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3B738C" w:rsidRDefault="00D21F62" w:rsidP="003C4BCB">
      <w:pPr>
        <w:pStyle w:val="ListParagraph"/>
        <w:numPr>
          <w:ilvl w:val="0"/>
          <w:numId w:val="2"/>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3B738C">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3B738C" w:rsidRDefault="006D217A" w:rsidP="006D217A">
      <w:pPr>
        <w:pStyle w:val="ListParagraph"/>
        <w:numPr>
          <w:ilvl w:val="0"/>
          <w:numId w:val="3"/>
        </w:numPr>
        <w:ind w:left="426"/>
        <w:jc w:val="both"/>
        <w:rPr>
          <w:rFonts w:ascii="Arial" w:hAnsi="Arial" w:cs="Arial"/>
          <w:iCs/>
          <w:sz w:val="22"/>
          <w:szCs w:val="22"/>
          <w:highlight w:val="yellow"/>
          <w:lang w:val="en-GB"/>
        </w:rPr>
      </w:pPr>
      <w:r w:rsidRPr="003B738C">
        <w:rPr>
          <w:rFonts w:ascii="Arial" w:hAnsi="Arial" w:cs="Arial"/>
          <w:iCs/>
          <w:sz w:val="22"/>
          <w:szCs w:val="22"/>
          <w:highlight w:val="yellow"/>
          <w:lang w:val="en-GB"/>
        </w:rPr>
        <w:t>False</w:t>
      </w:r>
      <w:r w:rsidR="00D21F62" w:rsidRPr="003B738C">
        <w:rPr>
          <w:rFonts w:ascii="Arial" w:hAnsi="Arial" w:cs="Arial"/>
          <w:iCs/>
          <w:sz w:val="22"/>
          <w:szCs w:val="22"/>
          <w:highlight w:val="yellow"/>
          <w:lang w:val="en-GB"/>
        </w:rPr>
        <w:t>.</w:t>
      </w:r>
      <w:r w:rsidRPr="003B738C">
        <w:rPr>
          <w:rFonts w:ascii="Arial" w:hAnsi="Arial" w:cs="Arial"/>
          <w:iCs/>
          <w:sz w:val="22"/>
          <w:szCs w:val="22"/>
          <w:highlight w:val="yellow"/>
          <w:lang w:val="en-GB"/>
        </w:rPr>
        <w:t xml:space="preserve"> </w:t>
      </w:r>
      <w:r w:rsidR="00D21F62" w:rsidRPr="003B738C">
        <w:rPr>
          <w:rFonts w:ascii="Arial" w:hAnsi="Arial" w:cs="Arial"/>
          <w:sz w:val="22"/>
          <w:szCs w:val="22"/>
          <w:highlight w:val="yellow"/>
          <w:lang w:val="en-GB"/>
        </w:rPr>
        <w:t>T</w:t>
      </w:r>
      <w:r w:rsidRPr="003B738C">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3B738C" w:rsidRDefault="00D21F62" w:rsidP="003C4BCB">
      <w:pPr>
        <w:pStyle w:val="ListParagraph"/>
        <w:numPr>
          <w:ilvl w:val="0"/>
          <w:numId w:val="4"/>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lastRenderedPageBreak/>
        <w:t xml:space="preserve">False. While </w:t>
      </w:r>
      <w:proofErr w:type="gramStart"/>
      <w:r w:rsidRPr="003B738C">
        <w:rPr>
          <w:rFonts w:ascii="Arial" w:hAnsi="Arial" w:cs="Arial"/>
          <w:sz w:val="22"/>
          <w:szCs w:val="22"/>
          <w:highlight w:val="yellow"/>
          <w:lang w:val="en-GB"/>
        </w:rPr>
        <w:t>a number of</w:t>
      </w:r>
      <w:proofErr w:type="gramEnd"/>
      <w:r w:rsidRPr="003B738C">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3B738C" w:rsidRDefault="00971896" w:rsidP="003C4BCB">
      <w:pPr>
        <w:pStyle w:val="ListParagraph"/>
        <w:numPr>
          <w:ilvl w:val="0"/>
          <w:numId w:val="5"/>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 xml:space="preserve">Although the EIR Recast includes relevant and useful innovations, it has stuck with the framework of the </w:t>
      </w:r>
      <w:r w:rsidR="006F0106" w:rsidRPr="003B738C">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3B738C" w:rsidRDefault="008E7371" w:rsidP="003C4BCB">
      <w:pPr>
        <w:pStyle w:val="ListParagraph"/>
        <w:numPr>
          <w:ilvl w:val="0"/>
          <w:numId w:val="6"/>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3B738C" w:rsidRDefault="00113E29" w:rsidP="00D509A5">
      <w:pPr>
        <w:pStyle w:val="ListParagraph"/>
        <w:numPr>
          <w:ilvl w:val="0"/>
          <w:numId w:val="7"/>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 xml:space="preserve">The </w:t>
      </w:r>
      <w:r w:rsidR="008E7371" w:rsidRPr="003B738C">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B738C" w:rsidRDefault="0034705B" w:rsidP="003C4BCB">
      <w:pPr>
        <w:pStyle w:val="ListParagraph"/>
        <w:numPr>
          <w:ilvl w:val="0"/>
          <w:numId w:val="8"/>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w:t>
      </w:r>
      <w:r w:rsidR="00F814B4" w:rsidRPr="003B738C">
        <w:rPr>
          <w:rFonts w:ascii="Arial" w:hAnsi="Arial" w:cs="Arial"/>
          <w:sz w:val="22"/>
          <w:szCs w:val="22"/>
          <w:highlight w:val="yellow"/>
          <w:lang w:val="en-GB"/>
        </w:rPr>
        <w:t>Synthetic proceedings</w:t>
      </w:r>
      <w:r w:rsidRPr="003B738C">
        <w:rPr>
          <w:rFonts w:ascii="Arial" w:hAnsi="Arial" w:cs="Arial"/>
          <w:sz w:val="22"/>
          <w:szCs w:val="22"/>
          <w:highlight w:val="yellow"/>
          <w:lang w:val="en-GB"/>
        </w:rPr>
        <w:t>”</w:t>
      </w:r>
      <w:r w:rsidR="00F814B4" w:rsidRPr="003B738C">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3B738C" w:rsidRDefault="00F814B4" w:rsidP="00F814B4">
      <w:pPr>
        <w:pStyle w:val="ListParagraph"/>
        <w:numPr>
          <w:ilvl w:val="0"/>
          <w:numId w:val="10"/>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3B738C" w:rsidRDefault="00375D11" w:rsidP="00375D11">
      <w:pPr>
        <w:pStyle w:val="ListParagraph"/>
        <w:numPr>
          <w:ilvl w:val="0"/>
          <w:numId w:val="9"/>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 xml:space="preserve">The contested transactions cannot be avoided if Lacroix SARL can prove that the </w:t>
      </w:r>
      <w:r w:rsidRPr="003B738C">
        <w:rPr>
          <w:rFonts w:ascii="Arial" w:hAnsi="Arial" w:cs="Arial"/>
          <w:i/>
          <w:sz w:val="22"/>
          <w:szCs w:val="22"/>
          <w:highlight w:val="yellow"/>
          <w:lang w:val="en-GB"/>
        </w:rPr>
        <w:t xml:space="preserve">lex </w:t>
      </w:r>
      <w:proofErr w:type="spellStart"/>
      <w:r w:rsidRPr="003B738C">
        <w:rPr>
          <w:rFonts w:ascii="Arial" w:hAnsi="Arial" w:cs="Arial"/>
          <w:i/>
          <w:sz w:val="22"/>
          <w:szCs w:val="22"/>
          <w:highlight w:val="yellow"/>
          <w:lang w:val="en-GB"/>
        </w:rPr>
        <w:t>causae</w:t>
      </w:r>
      <w:proofErr w:type="spellEnd"/>
      <w:r w:rsidRPr="003B738C">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3B738C">
        <w:rPr>
          <w:rFonts w:ascii="Arial" w:hAnsi="Arial" w:cs="Arial"/>
          <w:sz w:val="22"/>
          <w:szCs w:val="22"/>
          <w:highlight w:val="yellow"/>
          <w:lang w:val="en-GB"/>
        </w:rPr>
        <w:t>transactions, and</w:t>
      </w:r>
      <w:proofErr w:type="gramEnd"/>
      <w:r w:rsidRPr="003B738C">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3B738C" w:rsidRDefault="00FC48D8" w:rsidP="003C4BCB">
      <w:pPr>
        <w:pStyle w:val="ListParagraph"/>
        <w:numPr>
          <w:ilvl w:val="0"/>
          <w:numId w:val="11"/>
        </w:numPr>
        <w:ind w:left="426"/>
        <w:jc w:val="both"/>
        <w:rPr>
          <w:rFonts w:ascii="Arial" w:hAnsi="Arial" w:cs="Arial"/>
          <w:sz w:val="22"/>
          <w:szCs w:val="22"/>
          <w:highlight w:val="yellow"/>
          <w:lang w:val="en-GB"/>
        </w:rPr>
      </w:pPr>
      <w:r w:rsidRPr="003B738C">
        <w:rPr>
          <w:rFonts w:ascii="Arial" w:hAnsi="Arial" w:cs="Arial"/>
          <w:sz w:val="22"/>
          <w:szCs w:val="22"/>
          <w:highlight w:val="yellow"/>
          <w:lang w:val="en-GB"/>
        </w:rPr>
        <w:t>Within 30 days following the publication of the opening of insolvency proceedings in th</w:t>
      </w:r>
      <w:r w:rsidR="007772BD" w:rsidRPr="003B738C">
        <w:rPr>
          <w:rFonts w:ascii="Arial" w:hAnsi="Arial" w:cs="Arial"/>
          <w:sz w:val="22"/>
          <w:szCs w:val="22"/>
          <w:highlight w:val="yellow"/>
          <w:lang w:val="en-GB"/>
        </w:rPr>
        <w:t>e insolvency register of Spain</w:t>
      </w:r>
      <w:r w:rsidRPr="003B738C">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6B779C7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unilateral promise given by the main insolvency practitioner to local creditors that they will receive treatment ‘as if’ secondary proceedings had in fact been open.’ </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C1C2B89" w14:textId="77777777" w:rsidR="00A756EB" w:rsidRPr="00455A64" w:rsidRDefault="00A756EB" w:rsidP="00636C15">
      <w:pPr>
        <w:ind w:left="720" w:hanging="720"/>
        <w:jc w:val="both"/>
        <w:rPr>
          <w:rFonts w:ascii="Arial" w:hAnsi="Arial" w:cs="Arial"/>
          <w:sz w:val="22"/>
          <w:szCs w:val="22"/>
        </w:rPr>
      </w:pPr>
      <w:r w:rsidRPr="00455A64">
        <w:rPr>
          <w:rFonts w:ascii="Arial" w:hAnsi="Arial" w:cs="Arial"/>
          <w:sz w:val="22"/>
          <w:szCs w:val="22"/>
        </w:rPr>
        <w:t>Statement 1 – The right to give an undertaking to avoid secondary proceedings ("synthetic</w:t>
      </w:r>
    </w:p>
    <w:p w14:paraId="5C7DD9F3" w14:textId="054A6289" w:rsidR="00636C15" w:rsidRDefault="00A756EB" w:rsidP="00636C15">
      <w:pPr>
        <w:ind w:left="720" w:hanging="720"/>
        <w:jc w:val="both"/>
        <w:rPr>
          <w:rFonts w:ascii="Arial" w:hAnsi="Arial" w:cs="Arial"/>
          <w:sz w:val="22"/>
          <w:szCs w:val="22"/>
          <w:lang w:val="en-GB"/>
        </w:rPr>
      </w:pPr>
      <w:r w:rsidRPr="00455A64">
        <w:rPr>
          <w:rFonts w:ascii="Arial" w:hAnsi="Arial" w:cs="Arial"/>
          <w:sz w:val="22"/>
          <w:szCs w:val="22"/>
        </w:rPr>
        <w:t>secondary proceedings)</w:t>
      </w:r>
      <w:r w:rsidRPr="00455A64">
        <w:rPr>
          <w:rFonts w:ascii="Arial" w:hAnsi="Arial" w:cs="Arial"/>
          <w:sz w:val="22"/>
          <w:szCs w:val="22"/>
          <w:lang w:val="en-GB"/>
        </w:rPr>
        <w:t xml:space="preserve"> – Article</w:t>
      </w:r>
      <w:r w:rsidR="00455A64" w:rsidRPr="00455A64">
        <w:rPr>
          <w:rFonts w:ascii="Arial" w:hAnsi="Arial" w:cs="Arial"/>
          <w:sz w:val="22"/>
          <w:szCs w:val="22"/>
          <w:lang w:val="en-GB"/>
        </w:rPr>
        <w:t xml:space="preserve"> </w:t>
      </w:r>
      <w:r w:rsidRPr="00455A64">
        <w:rPr>
          <w:rFonts w:ascii="Arial" w:hAnsi="Arial" w:cs="Arial"/>
          <w:sz w:val="22"/>
          <w:szCs w:val="22"/>
          <w:lang w:val="en-GB"/>
        </w:rPr>
        <w:t>38</w:t>
      </w:r>
      <w:r w:rsidR="00455A64" w:rsidRPr="00455A64">
        <w:rPr>
          <w:rFonts w:ascii="Arial" w:hAnsi="Arial" w:cs="Arial"/>
          <w:sz w:val="22"/>
          <w:szCs w:val="22"/>
          <w:lang w:val="en-GB"/>
        </w:rPr>
        <w:t>(2) following and undertaking given under Art. 36.</w:t>
      </w:r>
    </w:p>
    <w:p w14:paraId="11B2C716" w14:textId="128C5C01" w:rsidR="00455A64" w:rsidRDefault="00455A64" w:rsidP="00636C15">
      <w:pPr>
        <w:ind w:left="720" w:hanging="720"/>
        <w:jc w:val="both"/>
        <w:rPr>
          <w:rFonts w:ascii="Arial" w:hAnsi="Arial" w:cs="Arial"/>
          <w:sz w:val="22"/>
          <w:szCs w:val="22"/>
          <w:lang w:val="en-GB"/>
        </w:rPr>
      </w:pPr>
    </w:p>
    <w:p w14:paraId="2DB25101" w14:textId="233B5F56" w:rsidR="00455A64" w:rsidRPr="00455A64" w:rsidRDefault="00455A64" w:rsidP="000D34E1">
      <w:pPr>
        <w:jc w:val="both"/>
        <w:rPr>
          <w:rFonts w:ascii="Arial" w:hAnsi="Arial" w:cs="Arial"/>
          <w:sz w:val="22"/>
          <w:szCs w:val="22"/>
        </w:rPr>
      </w:pPr>
      <w:r>
        <w:rPr>
          <w:rFonts w:ascii="Arial" w:hAnsi="Arial" w:cs="Arial"/>
          <w:sz w:val="22"/>
          <w:szCs w:val="22"/>
          <w:lang w:val="en-GB"/>
        </w:rPr>
        <w:t xml:space="preserve">Statement 2 </w:t>
      </w:r>
      <w:r w:rsidR="002F0C29">
        <w:rPr>
          <w:rFonts w:ascii="Arial" w:hAnsi="Arial" w:cs="Arial"/>
          <w:sz w:val="22"/>
          <w:szCs w:val="22"/>
          <w:lang w:val="en-GB"/>
        </w:rPr>
        <w:t>– Recital</w:t>
      </w:r>
      <w:r w:rsidR="0095128F">
        <w:rPr>
          <w:rFonts w:ascii="Arial" w:hAnsi="Arial" w:cs="Arial"/>
          <w:sz w:val="22"/>
          <w:szCs w:val="22"/>
          <w:lang w:val="en-GB"/>
        </w:rPr>
        <w:t xml:space="preserve"> </w:t>
      </w:r>
      <w:r w:rsidR="00F01085">
        <w:rPr>
          <w:rFonts w:ascii="Arial" w:hAnsi="Arial" w:cs="Arial"/>
          <w:sz w:val="22"/>
          <w:szCs w:val="22"/>
          <w:lang w:val="en-GB"/>
        </w:rPr>
        <w:t>3</w:t>
      </w:r>
      <w:r w:rsidR="0095128F">
        <w:rPr>
          <w:rFonts w:ascii="Arial" w:hAnsi="Arial" w:cs="Arial"/>
          <w:sz w:val="22"/>
          <w:szCs w:val="22"/>
          <w:lang w:val="en-GB"/>
        </w:rPr>
        <w:t xml:space="preserve"> drawing on the principle of modified universalism. </w:t>
      </w:r>
      <w:r w:rsidR="000D34E1">
        <w:rPr>
          <w:rFonts w:ascii="Arial" w:hAnsi="Arial" w:cs="Arial"/>
          <w:sz w:val="22"/>
          <w:szCs w:val="22"/>
          <w:lang w:val="en-GB"/>
        </w:rPr>
        <w:t xml:space="preserve">The concept of coo-operation and communication between courts (Arts 42 and 43). </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26D20D45" w:rsidR="00636C15" w:rsidRDefault="00455A64" w:rsidP="00455A64">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Mutual recognition of </w:t>
      </w:r>
      <w:r w:rsidR="00F01085">
        <w:rPr>
          <w:rFonts w:ascii="Arial" w:hAnsi="Arial" w:cs="Arial"/>
          <w:sz w:val="22"/>
          <w:szCs w:val="22"/>
          <w:lang w:val="en-GB"/>
        </w:rPr>
        <w:t>judgments (Art. 19</w:t>
      </w:r>
      <w:r w:rsidR="0095128F">
        <w:rPr>
          <w:rFonts w:ascii="Arial" w:hAnsi="Arial" w:cs="Arial"/>
          <w:sz w:val="22"/>
          <w:szCs w:val="22"/>
          <w:lang w:val="en-GB"/>
        </w:rPr>
        <w:t>(1</w:t>
      </w:r>
      <w:r w:rsidR="00F01085">
        <w:rPr>
          <w:rFonts w:ascii="Arial" w:hAnsi="Arial" w:cs="Arial"/>
          <w:sz w:val="22"/>
          <w:szCs w:val="22"/>
          <w:lang w:val="en-GB"/>
        </w:rPr>
        <w:t xml:space="preserve">) – any judgement opening insolvency proceedings by a court of a member state (having Art. 3 jurisdiction) shall be recognised in all other members states at the point in which that judgment is given effect. </w:t>
      </w:r>
    </w:p>
    <w:p w14:paraId="373A046C" w14:textId="6353C57D" w:rsidR="0095128F" w:rsidRDefault="0095128F" w:rsidP="00455A64">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Art 21(1) – an IP appointed pursuant to Art 3(1) may exercise all the powers conferred in it by the law of that State in another member state provided no other proceedings have been opened in that state and no preservations measures to the contrary have been taken in that State. </w:t>
      </w:r>
    </w:p>
    <w:p w14:paraId="1FCC39CF" w14:textId="5BDC738B" w:rsidR="0095128F" w:rsidRDefault="003E6081" w:rsidP="00455A64">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Art 25 – the establishment of a decentralised system for the interconnection of insolvency registers. </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334978EF" w:rsidR="00962045" w:rsidRDefault="00962045" w:rsidP="002A37BB">
      <w:pPr>
        <w:ind w:left="720" w:hanging="720"/>
        <w:jc w:val="both"/>
        <w:rPr>
          <w:rFonts w:ascii="Arial" w:hAnsi="Arial" w:cs="Arial"/>
          <w:sz w:val="22"/>
          <w:szCs w:val="22"/>
          <w:lang w:val="en-GB"/>
        </w:rPr>
      </w:pPr>
    </w:p>
    <w:p w14:paraId="71441517" w14:textId="1FB53223" w:rsidR="003E6081" w:rsidRDefault="003E6081" w:rsidP="003E6081">
      <w:pPr>
        <w:jc w:val="both"/>
        <w:rPr>
          <w:rFonts w:ascii="Arial" w:hAnsi="Arial" w:cs="Arial"/>
          <w:sz w:val="22"/>
          <w:szCs w:val="22"/>
          <w:lang w:val="en-GB"/>
        </w:rPr>
      </w:pPr>
      <w:r>
        <w:rPr>
          <w:rFonts w:ascii="Arial" w:hAnsi="Arial" w:cs="Arial"/>
          <w:sz w:val="22"/>
          <w:szCs w:val="22"/>
          <w:lang w:val="en-GB"/>
        </w:rPr>
        <w:t xml:space="preserve">Art 42 introduces a comprehensive framework for co-operation and communication between courts. </w:t>
      </w:r>
    </w:p>
    <w:p w14:paraId="3B5F64E8" w14:textId="77777777" w:rsidR="003E6081" w:rsidRDefault="003E6081" w:rsidP="003E6081">
      <w:pPr>
        <w:jc w:val="both"/>
        <w:rPr>
          <w:rFonts w:ascii="Arial" w:hAnsi="Arial" w:cs="Arial"/>
          <w:sz w:val="22"/>
          <w:szCs w:val="22"/>
          <w:lang w:val="en-GB"/>
        </w:rPr>
      </w:pPr>
    </w:p>
    <w:p w14:paraId="24B12FB5" w14:textId="7124044B" w:rsidR="003E6081" w:rsidRPr="005D2CD6" w:rsidRDefault="003E6081" w:rsidP="003E6081">
      <w:pPr>
        <w:jc w:val="both"/>
        <w:rPr>
          <w:rFonts w:ascii="Arial" w:hAnsi="Arial" w:cs="Arial"/>
          <w:sz w:val="22"/>
          <w:szCs w:val="22"/>
          <w:lang w:val="en-GB"/>
        </w:rPr>
      </w:pPr>
      <w:r>
        <w:rPr>
          <w:rFonts w:ascii="Arial" w:hAnsi="Arial" w:cs="Arial"/>
          <w:sz w:val="22"/>
          <w:szCs w:val="22"/>
          <w:lang w:val="en-GB"/>
        </w:rPr>
        <w:t>Recital 3 highlights the importance of judicial co-operation in cross-border civil matters for the proper functioning of the internal market.</w:t>
      </w:r>
    </w:p>
    <w:p w14:paraId="572227E7" w14:textId="0DC5A829" w:rsidR="0045683E" w:rsidRDefault="0045683E" w:rsidP="002A37BB">
      <w:pPr>
        <w:jc w:val="both"/>
        <w:rPr>
          <w:rFonts w:ascii="Arial" w:hAnsi="Arial" w:cs="Arial"/>
          <w:bCs/>
          <w:sz w:val="22"/>
          <w:szCs w:val="22"/>
          <w:lang w:val="en-GB"/>
        </w:rPr>
      </w:pPr>
    </w:p>
    <w:p w14:paraId="72D0EA8F" w14:textId="07FB7724" w:rsidR="003E6081" w:rsidRDefault="003E6081" w:rsidP="002A37BB">
      <w:pPr>
        <w:jc w:val="both"/>
        <w:rPr>
          <w:rFonts w:ascii="Arial" w:hAnsi="Arial" w:cs="Arial"/>
          <w:bCs/>
          <w:sz w:val="22"/>
          <w:szCs w:val="22"/>
          <w:lang w:val="en-GB"/>
        </w:rPr>
      </w:pPr>
      <w:r>
        <w:rPr>
          <w:rFonts w:ascii="Arial" w:hAnsi="Arial" w:cs="Arial"/>
          <w:bCs/>
          <w:sz w:val="22"/>
          <w:szCs w:val="22"/>
          <w:lang w:val="en-GB"/>
        </w:rPr>
        <w:t xml:space="preserve">Art 57 provides that where two sets of proceedings relating to tow or more members of a group company the court which opened such proceedings shall co-operate with the other court(s) </w:t>
      </w:r>
      <w:r w:rsidR="00D61D53">
        <w:rPr>
          <w:rFonts w:ascii="Arial" w:hAnsi="Arial" w:cs="Arial"/>
          <w:bCs/>
          <w:sz w:val="22"/>
          <w:szCs w:val="22"/>
          <w:lang w:val="en-GB"/>
        </w:rPr>
        <w:t xml:space="preserve">to </w:t>
      </w:r>
      <w:r w:rsidR="00D61D53">
        <w:rPr>
          <w:rFonts w:ascii="Arial" w:hAnsi="Arial" w:cs="Arial"/>
          <w:bCs/>
          <w:sz w:val="22"/>
          <w:szCs w:val="22"/>
          <w:lang w:val="en-GB"/>
        </w:rPr>
        <w:lastRenderedPageBreak/>
        <w:t xml:space="preserve">facilitate the effective administration of the proceedings. To achieve this </w:t>
      </w:r>
      <w:proofErr w:type="gramStart"/>
      <w:r w:rsidR="00D61D53">
        <w:rPr>
          <w:rFonts w:ascii="Arial" w:hAnsi="Arial" w:cs="Arial"/>
          <w:bCs/>
          <w:sz w:val="22"/>
          <w:szCs w:val="22"/>
          <w:lang w:val="en-GB"/>
        </w:rPr>
        <w:t>courts</w:t>
      </w:r>
      <w:proofErr w:type="gramEnd"/>
      <w:r w:rsidR="00D61D53">
        <w:rPr>
          <w:rFonts w:ascii="Arial" w:hAnsi="Arial" w:cs="Arial"/>
          <w:bCs/>
          <w:sz w:val="22"/>
          <w:szCs w:val="22"/>
          <w:lang w:val="en-GB"/>
        </w:rPr>
        <w:t xml:space="preserve"> have discretion to appoint an independent person/body to act on its instructions. </w:t>
      </w:r>
    </w:p>
    <w:p w14:paraId="468AD554" w14:textId="77777777" w:rsidR="00D61D53" w:rsidRPr="005D2CD6" w:rsidRDefault="00D61D53"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21358EA" w14:textId="141C1599" w:rsidR="009954B2" w:rsidRPr="002F0C29" w:rsidRDefault="00D61D53" w:rsidP="002A37BB">
      <w:pPr>
        <w:jc w:val="both"/>
        <w:rPr>
          <w:rFonts w:ascii="Arial" w:hAnsi="Arial" w:cs="Arial"/>
          <w:sz w:val="22"/>
          <w:szCs w:val="22"/>
          <w:lang w:val="en-GB"/>
        </w:rPr>
      </w:pPr>
      <w:r w:rsidRPr="002F0C29">
        <w:rPr>
          <w:rFonts w:ascii="Arial" w:hAnsi="Arial" w:cs="Arial"/>
          <w:sz w:val="22"/>
          <w:szCs w:val="22"/>
          <w:lang w:val="en-GB"/>
        </w:rPr>
        <w:t xml:space="preserve">Art 38(3) – this provides for a stay of secondary proceedings for a period not exceeding 3 months. This can only be done where suitable measures are in place to protect the interests of local creditors and will require to be made by application of the IP or the debtor in possession. </w:t>
      </w:r>
      <w:proofErr w:type="gramStart"/>
      <w:r w:rsidRPr="002F0C29">
        <w:rPr>
          <w:rFonts w:ascii="Arial" w:hAnsi="Arial" w:cs="Arial"/>
          <w:sz w:val="22"/>
          <w:szCs w:val="22"/>
          <w:lang w:val="en-GB"/>
        </w:rPr>
        <w:t>In order to</w:t>
      </w:r>
      <w:proofErr w:type="gramEnd"/>
      <w:r w:rsidRPr="002F0C29">
        <w:rPr>
          <w:rFonts w:ascii="Arial" w:hAnsi="Arial" w:cs="Arial"/>
          <w:sz w:val="22"/>
          <w:szCs w:val="22"/>
          <w:lang w:val="en-GB"/>
        </w:rPr>
        <w:t xml:space="preserve"> achieve suitable protection for creditors who may otherwise be prejudiced by the sta</w:t>
      </w:r>
      <w:r w:rsidR="009350F3" w:rsidRPr="002F0C29">
        <w:rPr>
          <w:rFonts w:ascii="Arial" w:hAnsi="Arial" w:cs="Arial"/>
          <w:sz w:val="22"/>
          <w:szCs w:val="22"/>
          <w:lang w:val="en-GB"/>
        </w:rPr>
        <w:t>y</w:t>
      </w:r>
      <w:r w:rsidRPr="002F0C29">
        <w:rPr>
          <w:rFonts w:ascii="Arial" w:hAnsi="Arial" w:cs="Arial"/>
          <w:sz w:val="22"/>
          <w:szCs w:val="22"/>
          <w:lang w:val="en-GB"/>
        </w:rPr>
        <w:t>, the court may require the IP in the main proceedings to refrain from disposing of any assets not otherwise in the course of ordinary business.</w:t>
      </w:r>
    </w:p>
    <w:p w14:paraId="14753F23" w14:textId="7103F029" w:rsidR="009350F3" w:rsidRPr="002F0C29" w:rsidRDefault="009350F3" w:rsidP="002A37BB">
      <w:pPr>
        <w:jc w:val="both"/>
        <w:rPr>
          <w:rFonts w:ascii="Arial" w:hAnsi="Arial" w:cs="Arial"/>
          <w:sz w:val="22"/>
          <w:szCs w:val="22"/>
          <w:lang w:val="en-GB"/>
        </w:rPr>
      </w:pPr>
    </w:p>
    <w:p w14:paraId="75D78518" w14:textId="6D020B1F" w:rsidR="009350F3" w:rsidRPr="002F0C29" w:rsidRDefault="009350F3" w:rsidP="002A37BB">
      <w:pPr>
        <w:jc w:val="both"/>
        <w:rPr>
          <w:rFonts w:ascii="Arial" w:hAnsi="Arial" w:cs="Arial"/>
          <w:sz w:val="22"/>
          <w:szCs w:val="22"/>
          <w:lang w:val="en-GB"/>
        </w:rPr>
      </w:pPr>
      <w:r w:rsidRPr="002F0C29">
        <w:rPr>
          <w:rFonts w:ascii="Arial" w:hAnsi="Arial" w:cs="Arial"/>
          <w:sz w:val="22"/>
          <w:szCs w:val="22"/>
          <w:lang w:val="en-GB"/>
        </w:rPr>
        <w:t xml:space="preserve">Art 39 – this allows for an IP in the main insolvency </w:t>
      </w:r>
      <w:r w:rsidR="00515BDF" w:rsidRPr="002F0C29">
        <w:rPr>
          <w:rFonts w:ascii="Arial" w:hAnsi="Arial" w:cs="Arial"/>
          <w:sz w:val="22"/>
          <w:szCs w:val="22"/>
          <w:lang w:val="en-GB"/>
        </w:rPr>
        <w:t>proceedings</w:t>
      </w:r>
      <w:r w:rsidRPr="002F0C29">
        <w:rPr>
          <w:rFonts w:ascii="Arial" w:hAnsi="Arial" w:cs="Arial"/>
          <w:sz w:val="22"/>
          <w:szCs w:val="22"/>
          <w:lang w:val="en-GB"/>
        </w:rPr>
        <w:t xml:space="preserve"> to challenge a decision to open </w:t>
      </w:r>
      <w:r w:rsidR="00515BDF" w:rsidRPr="002F0C29">
        <w:rPr>
          <w:rFonts w:ascii="Arial" w:hAnsi="Arial" w:cs="Arial"/>
          <w:sz w:val="22"/>
          <w:szCs w:val="22"/>
          <w:lang w:val="en-GB"/>
        </w:rPr>
        <w:t>secondary proceedings before the court of the member state in which the secondary proceedings were initiated on the basis that the proceedings do not comply with the conditions of Art.38, this may be by way of, for example, failure adhere to an undertaking under Art. 36.</w:t>
      </w:r>
    </w:p>
    <w:p w14:paraId="554837FB" w14:textId="77777777" w:rsidR="00D61D53" w:rsidRPr="005D2CD6" w:rsidRDefault="00D61D53"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A637290" w14:textId="2D02F00B" w:rsidR="00544127" w:rsidRPr="00DA3FCB" w:rsidRDefault="002F0C29" w:rsidP="002F0C29">
      <w:pPr>
        <w:jc w:val="both"/>
        <w:rPr>
          <w:rFonts w:ascii="Arial" w:hAnsi="Arial" w:cs="Arial"/>
          <w:sz w:val="22"/>
          <w:szCs w:val="22"/>
          <w:lang w:val="en-GB"/>
        </w:rPr>
      </w:pPr>
      <w:r w:rsidRPr="00DA3FCB">
        <w:rPr>
          <w:rFonts w:ascii="Arial" w:hAnsi="Arial" w:cs="Arial"/>
          <w:sz w:val="22"/>
          <w:szCs w:val="22"/>
          <w:lang w:val="en-GB"/>
        </w:rPr>
        <w:t xml:space="preserve">While it was generally accepted within the international insolvency community that the EIR 2000 has been a successful instrument codifying the principle of modified universalism, it was nevertheless apparent that certain aspect required amendment and new concepts and rules introduced to both modernise and increase the utility of the instrument. </w:t>
      </w:r>
    </w:p>
    <w:p w14:paraId="7F9A0502" w14:textId="52BF287E" w:rsidR="008B699B" w:rsidRPr="00DA3FCB" w:rsidRDefault="008B699B" w:rsidP="002F0C29">
      <w:pPr>
        <w:jc w:val="both"/>
        <w:rPr>
          <w:rFonts w:ascii="Arial" w:hAnsi="Arial" w:cs="Arial"/>
          <w:sz w:val="22"/>
          <w:szCs w:val="22"/>
          <w:lang w:val="en-GB"/>
        </w:rPr>
      </w:pPr>
    </w:p>
    <w:p w14:paraId="0A8152E7" w14:textId="09B4AA06" w:rsidR="008B699B" w:rsidRPr="00DA3FCB" w:rsidRDefault="008B699B" w:rsidP="002F0C29">
      <w:pPr>
        <w:jc w:val="both"/>
        <w:rPr>
          <w:rFonts w:ascii="Arial" w:hAnsi="Arial" w:cs="Arial"/>
          <w:sz w:val="22"/>
          <w:szCs w:val="22"/>
          <w:lang w:val="en-GB"/>
        </w:rPr>
      </w:pPr>
      <w:r w:rsidRPr="00DA3FCB">
        <w:rPr>
          <w:rFonts w:ascii="Arial" w:hAnsi="Arial" w:cs="Arial"/>
          <w:sz w:val="22"/>
          <w:szCs w:val="22"/>
          <w:lang w:val="en-GB"/>
        </w:rPr>
        <w:t xml:space="preserve">The EIR Recast built on the EIR 2000 in the following areas: </w:t>
      </w:r>
    </w:p>
    <w:p w14:paraId="5C36C008" w14:textId="3B71CED8" w:rsidR="008B699B" w:rsidRDefault="008B699B" w:rsidP="002F0C29">
      <w:pPr>
        <w:jc w:val="both"/>
        <w:rPr>
          <w:rFonts w:ascii="Arial" w:hAnsi="Arial" w:cs="Arial"/>
          <w:color w:val="7B7B7B" w:themeColor="accent3" w:themeShade="BF"/>
          <w:sz w:val="22"/>
          <w:szCs w:val="22"/>
          <w:lang w:val="en-GB"/>
        </w:rPr>
      </w:pPr>
    </w:p>
    <w:p w14:paraId="18190971" w14:textId="00E108CB" w:rsidR="008B699B" w:rsidRPr="00E77255" w:rsidRDefault="008B699B" w:rsidP="002F0C29">
      <w:pPr>
        <w:jc w:val="both"/>
        <w:rPr>
          <w:rFonts w:ascii="Arial" w:hAnsi="Arial" w:cs="Arial"/>
          <w:b/>
          <w:bCs/>
          <w:color w:val="7B7B7B" w:themeColor="accent3" w:themeShade="BF"/>
          <w:sz w:val="22"/>
          <w:szCs w:val="22"/>
          <w:lang w:val="en-GB"/>
        </w:rPr>
      </w:pPr>
      <w:r w:rsidRPr="00E77255">
        <w:rPr>
          <w:rFonts w:ascii="Arial" w:hAnsi="Arial" w:cs="Arial"/>
          <w:b/>
          <w:bCs/>
          <w:color w:val="7B7B7B" w:themeColor="accent3" w:themeShade="BF"/>
          <w:sz w:val="22"/>
          <w:szCs w:val="22"/>
          <w:lang w:val="en-GB"/>
        </w:rPr>
        <w:t>Broadened scope for restructuring proceeding</w:t>
      </w:r>
    </w:p>
    <w:p w14:paraId="541B063F" w14:textId="2BCB8910" w:rsidR="008B699B" w:rsidRDefault="008B699B" w:rsidP="002F0C29">
      <w:pPr>
        <w:jc w:val="both"/>
        <w:rPr>
          <w:rFonts w:ascii="Arial" w:hAnsi="Arial" w:cs="Arial"/>
          <w:color w:val="7B7B7B" w:themeColor="accent3" w:themeShade="BF"/>
          <w:sz w:val="22"/>
          <w:szCs w:val="22"/>
          <w:lang w:val="en-GB"/>
        </w:rPr>
      </w:pPr>
    </w:p>
    <w:p w14:paraId="3A55F884" w14:textId="44508C63" w:rsidR="008B699B" w:rsidRPr="00DA3FCB" w:rsidRDefault="008B699B" w:rsidP="002F0C29">
      <w:pPr>
        <w:jc w:val="both"/>
        <w:rPr>
          <w:rFonts w:ascii="Arial" w:hAnsi="Arial" w:cs="Arial"/>
          <w:sz w:val="22"/>
          <w:szCs w:val="22"/>
          <w:lang w:val="en-GB"/>
        </w:rPr>
      </w:pPr>
      <w:r w:rsidRPr="00DA3FCB">
        <w:rPr>
          <w:rFonts w:ascii="Arial" w:hAnsi="Arial" w:cs="Arial"/>
          <w:sz w:val="22"/>
          <w:szCs w:val="22"/>
          <w:lang w:val="en-GB"/>
        </w:rPr>
        <w:t>The scope of the EIR Recast has been widened to include certain pre-insolvency rescue and restructuring proceedings. This will encompass certain distressed business and the plans for their rescue – it is perhaps worth noting that when the EIR Recast applied to the UK (pre-Brexit</w:t>
      </w:r>
      <w:r w:rsidR="00872F61" w:rsidRPr="00DA3FCB">
        <w:rPr>
          <w:rFonts w:ascii="Arial" w:hAnsi="Arial" w:cs="Arial"/>
          <w:sz w:val="22"/>
          <w:szCs w:val="22"/>
          <w:lang w:val="en-GB"/>
        </w:rPr>
        <w:t>, 31 December 2020</w:t>
      </w:r>
      <w:r w:rsidRPr="00DA3FCB">
        <w:rPr>
          <w:rFonts w:ascii="Arial" w:hAnsi="Arial" w:cs="Arial"/>
          <w:sz w:val="22"/>
          <w:szCs w:val="22"/>
          <w:lang w:val="en-GB"/>
        </w:rPr>
        <w:t>)</w:t>
      </w:r>
      <w:r w:rsidR="00E77255" w:rsidRPr="00DA3FCB">
        <w:rPr>
          <w:rFonts w:ascii="Arial" w:hAnsi="Arial" w:cs="Arial"/>
          <w:sz w:val="22"/>
          <w:szCs w:val="22"/>
          <w:lang w:val="en-GB"/>
        </w:rPr>
        <w:t xml:space="preserve"> that schemes of arrangement and members voluntary liquidations were not subject to the EIR Recast.</w:t>
      </w:r>
    </w:p>
    <w:p w14:paraId="5A8DF036" w14:textId="12453F22" w:rsidR="008B699B" w:rsidRDefault="008B699B" w:rsidP="002F0C29">
      <w:pPr>
        <w:jc w:val="both"/>
        <w:rPr>
          <w:rFonts w:ascii="Arial" w:hAnsi="Arial" w:cs="Arial"/>
          <w:color w:val="7B7B7B" w:themeColor="accent3" w:themeShade="BF"/>
          <w:sz w:val="22"/>
          <w:szCs w:val="22"/>
          <w:lang w:val="en-GB"/>
        </w:rPr>
      </w:pPr>
    </w:p>
    <w:p w14:paraId="0593A3F7" w14:textId="3EFAE1DB" w:rsidR="008B699B" w:rsidRPr="00887046" w:rsidRDefault="008B699B" w:rsidP="002F0C29">
      <w:pPr>
        <w:jc w:val="both"/>
        <w:rPr>
          <w:rFonts w:ascii="Arial" w:hAnsi="Arial" w:cs="Arial"/>
          <w:b/>
          <w:bCs/>
          <w:color w:val="7B7B7B" w:themeColor="accent3" w:themeShade="BF"/>
          <w:sz w:val="22"/>
          <w:szCs w:val="22"/>
          <w:lang w:val="en-GB"/>
        </w:rPr>
      </w:pPr>
      <w:r w:rsidRPr="00887046">
        <w:rPr>
          <w:rFonts w:ascii="Arial" w:hAnsi="Arial" w:cs="Arial"/>
          <w:b/>
          <w:bCs/>
          <w:color w:val="7B7B7B" w:themeColor="accent3" w:themeShade="BF"/>
          <w:sz w:val="22"/>
          <w:szCs w:val="22"/>
          <w:lang w:val="en-GB"/>
        </w:rPr>
        <w:t xml:space="preserve">Enhanced rules for co-operation between practitioners and the court. </w:t>
      </w:r>
    </w:p>
    <w:p w14:paraId="39B77416" w14:textId="4DED4E8D" w:rsidR="008B699B" w:rsidRDefault="008B699B" w:rsidP="002F0C29">
      <w:pPr>
        <w:jc w:val="both"/>
        <w:rPr>
          <w:rFonts w:ascii="Arial" w:hAnsi="Arial" w:cs="Arial"/>
          <w:color w:val="7B7B7B" w:themeColor="accent3" w:themeShade="BF"/>
          <w:sz w:val="22"/>
          <w:szCs w:val="22"/>
          <w:lang w:val="en-GB"/>
        </w:rPr>
      </w:pPr>
    </w:p>
    <w:p w14:paraId="05700968" w14:textId="7C7AB444" w:rsidR="00887046" w:rsidRPr="00E8415C" w:rsidRDefault="00DA3FCB" w:rsidP="002F0C29">
      <w:pPr>
        <w:jc w:val="both"/>
        <w:rPr>
          <w:rFonts w:ascii="Arial" w:hAnsi="Arial" w:cs="Arial"/>
          <w:sz w:val="22"/>
          <w:szCs w:val="22"/>
          <w:lang w:val="en-GB"/>
        </w:rPr>
      </w:pPr>
      <w:r w:rsidRPr="00E8415C">
        <w:rPr>
          <w:rFonts w:ascii="Arial" w:hAnsi="Arial" w:cs="Arial"/>
          <w:sz w:val="22"/>
          <w:szCs w:val="22"/>
          <w:lang w:val="en-GB"/>
        </w:rPr>
        <w:lastRenderedPageBreak/>
        <w:t xml:space="preserve">The EIR 2000 did not contain specific provisions on co-ordination and communication. The principle of co-operation is perhaps most acutely laid out in </w:t>
      </w:r>
      <w:r w:rsidRPr="00E8415C">
        <w:rPr>
          <w:rFonts w:ascii="Arial" w:hAnsi="Arial" w:cs="Arial"/>
          <w:i/>
          <w:iCs/>
          <w:sz w:val="22"/>
          <w:szCs w:val="22"/>
          <w:u w:val="single"/>
          <w:lang w:val="en-GB"/>
        </w:rPr>
        <w:t xml:space="preserve">Bank </w:t>
      </w:r>
      <w:proofErr w:type="spellStart"/>
      <w:r w:rsidRPr="00E8415C">
        <w:rPr>
          <w:rFonts w:ascii="Arial" w:hAnsi="Arial" w:cs="Arial"/>
          <w:i/>
          <w:iCs/>
          <w:sz w:val="22"/>
          <w:szCs w:val="22"/>
          <w:u w:val="single"/>
          <w:lang w:val="en-GB"/>
        </w:rPr>
        <w:t>Handlowy</w:t>
      </w:r>
      <w:proofErr w:type="spellEnd"/>
      <w:r w:rsidRPr="00E8415C">
        <w:rPr>
          <w:rFonts w:ascii="Arial" w:hAnsi="Arial" w:cs="Arial"/>
          <w:sz w:val="22"/>
          <w:szCs w:val="22"/>
          <w:u w:val="single"/>
          <w:lang w:val="en-GB"/>
        </w:rPr>
        <w:t xml:space="preserve">. </w:t>
      </w:r>
      <w:r w:rsidRPr="00E8415C">
        <w:rPr>
          <w:rFonts w:ascii="Arial" w:hAnsi="Arial" w:cs="Arial"/>
          <w:sz w:val="22"/>
          <w:szCs w:val="22"/>
          <w:lang w:val="en-GB"/>
        </w:rPr>
        <w:t xml:space="preserve">The EIR Recast has built on existing best practices and solidified these practices further by creating an obligation on the courts to co-operate </w:t>
      </w:r>
      <w:r w:rsidR="00E8415C" w:rsidRPr="00E8415C">
        <w:rPr>
          <w:rFonts w:ascii="Arial" w:hAnsi="Arial" w:cs="Arial"/>
          <w:sz w:val="22"/>
          <w:szCs w:val="22"/>
          <w:lang w:val="en-GB"/>
        </w:rPr>
        <w:t xml:space="preserve">and will, in principle, assist in the prevention of forum shopping. Similarly, the co-operation between the courts and IPs have been set out fully and contains obligations between Ips (Art 41) courts-to-court (Art 42) and between IPs and the courts (Art 43) with the overall goal of improving the efficacy of cross-border insolvency proceedings. </w:t>
      </w:r>
    </w:p>
    <w:p w14:paraId="59FD4994" w14:textId="77777777" w:rsidR="00887046" w:rsidRDefault="00887046" w:rsidP="002F0C29">
      <w:pPr>
        <w:jc w:val="both"/>
        <w:rPr>
          <w:rFonts w:ascii="Arial" w:hAnsi="Arial" w:cs="Arial"/>
          <w:b/>
          <w:bCs/>
          <w:color w:val="7B7B7B" w:themeColor="accent3" w:themeShade="BF"/>
          <w:sz w:val="22"/>
          <w:szCs w:val="22"/>
          <w:lang w:val="en-GB"/>
        </w:rPr>
      </w:pPr>
    </w:p>
    <w:p w14:paraId="49379622" w14:textId="58110117" w:rsidR="00887046" w:rsidRDefault="00887046" w:rsidP="002F0C29">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Centre of Main Interests</w:t>
      </w:r>
    </w:p>
    <w:p w14:paraId="1F63B45C" w14:textId="4F0B0191" w:rsidR="00887046" w:rsidRDefault="00887046" w:rsidP="002F0C29">
      <w:pPr>
        <w:jc w:val="both"/>
        <w:rPr>
          <w:rFonts w:ascii="Arial" w:hAnsi="Arial" w:cs="Arial"/>
          <w:b/>
          <w:bCs/>
          <w:color w:val="7B7B7B" w:themeColor="accent3" w:themeShade="BF"/>
          <w:sz w:val="22"/>
          <w:szCs w:val="22"/>
          <w:lang w:val="en-GB"/>
        </w:rPr>
      </w:pPr>
    </w:p>
    <w:p w14:paraId="7447F0D6" w14:textId="64C7D3B8" w:rsidR="00887046" w:rsidRPr="00DA3FCB" w:rsidRDefault="00887046" w:rsidP="002F0C29">
      <w:pPr>
        <w:jc w:val="both"/>
        <w:rPr>
          <w:rFonts w:ascii="Arial" w:hAnsi="Arial" w:cs="Arial"/>
          <w:sz w:val="22"/>
          <w:szCs w:val="22"/>
          <w:lang w:val="en-GB"/>
        </w:rPr>
      </w:pPr>
      <w:r w:rsidRPr="00DA3FCB">
        <w:rPr>
          <w:rFonts w:ascii="Arial" w:hAnsi="Arial" w:cs="Arial"/>
          <w:sz w:val="22"/>
          <w:szCs w:val="22"/>
          <w:lang w:val="en-GB"/>
        </w:rPr>
        <w:t xml:space="preserve">The principles for around determining the COMI of a debtor </w:t>
      </w:r>
      <w:r w:rsidR="00DA3FCB" w:rsidRPr="00DA3FCB">
        <w:rPr>
          <w:rFonts w:ascii="Arial" w:hAnsi="Arial" w:cs="Arial"/>
          <w:sz w:val="22"/>
          <w:szCs w:val="22"/>
          <w:lang w:val="en-GB"/>
        </w:rPr>
        <w:t>have</w:t>
      </w:r>
      <w:r w:rsidRPr="00DA3FCB">
        <w:rPr>
          <w:rFonts w:ascii="Arial" w:hAnsi="Arial" w:cs="Arial"/>
          <w:sz w:val="22"/>
          <w:szCs w:val="22"/>
          <w:lang w:val="en-GB"/>
        </w:rPr>
        <w:t xml:space="preserve"> been codified within the EIR Recast, having previously been a matter of case law</w:t>
      </w:r>
      <w:r w:rsidR="00DA3FCB" w:rsidRPr="00DA3FCB">
        <w:rPr>
          <w:rFonts w:ascii="Arial" w:hAnsi="Arial" w:cs="Arial"/>
          <w:sz w:val="22"/>
          <w:szCs w:val="22"/>
          <w:lang w:val="en-GB"/>
        </w:rPr>
        <w:t xml:space="preserve"> (including </w:t>
      </w:r>
      <w:proofErr w:type="gramStart"/>
      <w:r w:rsidR="00DA3FCB" w:rsidRPr="00DA3FCB">
        <w:rPr>
          <w:rFonts w:ascii="Arial" w:hAnsi="Arial" w:cs="Arial"/>
          <w:i/>
          <w:iCs/>
          <w:sz w:val="22"/>
          <w:szCs w:val="22"/>
          <w:lang w:val="en-GB"/>
        </w:rPr>
        <w:t>e.g.</w:t>
      </w:r>
      <w:proofErr w:type="gramEnd"/>
      <w:r w:rsidR="00DA3FCB" w:rsidRPr="00DA3FCB">
        <w:rPr>
          <w:rFonts w:ascii="Arial" w:hAnsi="Arial" w:cs="Arial"/>
          <w:sz w:val="22"/>
          <w:szCs w:val="22"/>
          <w:lang w:val="en-GB"/>
        </w:rPr>
        <w:t xml:space="preserve"> </w:t>
      </w:r>
      <w:proofErr w:type="spellStart"/>
      <w:r w:rsidR="00DA3FCB" w:rsidRPr="00DA3FCB">
        <w:rPr>
          <w:rFonts w:ascii="Arial" w:hAnsi="Arial" w:cs="Arial"/>
          <w:i/>
          <w:iCs/>
          <w:sz w:val="22"/>
          <w:szCs w:val="22"/>
          <w:u w:val="single"/>
          <w:lang w:val="en-GB"/>
        </w:rPr>
        <w:t>Polbud-Wyknowstwo</w:t>
      </w:r>
      <w:proofErr w:type="spellEnd"/>
      <w:r w:rsidR="00DA3FCB" w:rsidRPr="00DA3FCB">
        <w:rPr>
          <w:rFonts w:ascii="Arial" w:hAnsi="Arial" w:cs="Arial"/>
          <w:sz w:val="22"/>
          <w:szCs w:val="22"/>
          <w:lang w:val="en-GB"/>
        </w:rPr>
        <w:t xml:space="preserve">; </w:t>
      </w:r>
      <w:r w:rsidR="00DA3FCB" w:rsidRPr="00DA3FCB">
        <w:rPr>
          <w:rFonts w:ascii="Arial" w:hAnsi="Arial" w:cs="Arial"/>
          <w:i/>
          <w:iCs/>
          <w:sz w:val="22"/>
          <w:szCs w:val="22"/>
          <w:u w:val="single"/>
          <w:lang w:val="en-GB"/>
        </w:rPr>
        <w:t xml:space="preserve">Susanne </w:t>
      </w:r>
      <w:proofErr w:type="spellStart"/>
      <w:r w:rsidR="00DA3FCB" w:rsidRPr="00DA3FCB">
        <w:rPr>
          <w:rFonts w:ascii="Arial" w:hAnsi="Arial" w:cs="Arial"/>
          <w:i/>
          <w:iCs/>
          <w:sz w:val="22"/>
          <w:szCs w:val="22"/>
          <w:u w:val="single"/>
          <w:lang w:val="en-GB"/>
        </w:rPr>
        <w:t>Stuabitz-Schrieber</w:t>
      </w:r>
      <w:proofErr w:type="spellEnd"/>
      <w:r w:rsidR="00DA3FCB" w:rsidRPr="00DA3FCB">
        <w:rPr>
          <w:rFonts w:ascii="Arial" w:hAnsi="Arial" w:cs="Arial"/>
          <w:sz w:val="22"/>
          <w:szCs w:val="22"/>
          <w:u w:val="single"/>
          <w:lang w:val="en-GB"/>
        </w:rPr>
        <w:t xml:space="preserve"> and </w:t>
      </w:r>
      <w:proofErr w:type="spellStart"/>
      <w:r w:rsidR="00DA3FCB" w:rsidRPr="00DA3FCB">
        <w:rPr>
          <w:rFonts w:ascii="Arial" w:hAnsi="Arial" w:cs="Arial"/>
          <w:i/>
          <w:iCs/>
          <w:sz w:val="22"/>
          <w:szCs w:val="22"/>
          <w:u w:val="single"/>
          <w:lang w:val="en-GB"/>
        </w:rPr>
        <w:t>Interedil</w:t>
      </w:r>
      <w:proofErr w:type="spellEnd"/>
      <w:r w:rsidR="00DA3FCB" w:rsidRPr="00DA3FCB">
        <w:rPr>
          <w:rFonts w:ascii="Arial" w:hAnsi="Arial" w:cs="Arial"/>
          <w:i/>
          <w:iCs/>
          <w:sz w:val="22"/>
          <w:szCs w:val="22"/>
          <w:u w:val="single"/>
          <w:lang w:val="en-GB"/>
        </w:rPr>
        <w:t xml:space="preserve"> </w:t>
      </w:r>
      <w:proofErr w:type="spellStart"/>
      <w:r w:rsidR="00DA3FCB" w:rsidRPr="00DA3FCB">
        <w:rPr>
          <w:rFonts w:ascii="Arial" w:hAnsi="Arial" w:cs="Arial"/>
          <w:i/>
          <w:iCs/>
          <w:sz w:val="22"/>
          <w:szCs w:val="22"/>
          <w:u w:val="single"/>
          <w:lang w:val="en-GB"/>
        </w:rPr>
        <w:t>Srl</w:t>
      </w:r>
      <w:proofErr w:type="spellEnd"/>
      <w:r w:rsidR="00DA3FCB" w:rsidRPr="00DA3FCB">
        <w:rPr>
          <w:rFonts w:ascii="Arial" w:hAnsi="Arial" w:cs="Arial"/>
          <w:i/>
          <w:iCs/>
          <w:sz w:val="22"/>
          <w:szCs w:val="22"/>
          <w:u w:val="single"/>
          <w:lang w:val="en-GB"/>
        </w:rPr>
        <w:t xml:space="preserve"> v </w:t>
      </w:r>
      <w:proofErr w:type="spellStart"/>
      <w:r w:rsidR="00DA3FCB" w:rsidRPr="00DA3FCB">
        <w:rPr>
          <w:rFonts w:ascii="Arial" w:hAnsi="Arial" w:cs="Arial"/>
          <w:i/>
          <w:iCs/>
          <w:sz w:val="22"/>
          <w:szCs w:val="22"/>
          <w:u w:val="single"/>
          <w:lang w:val="en-GB"/>
        </w:rPr>
        <w:t>Fallimento</w:t>
      </w:r>
      <w:proofErr w:type="spellEnd"/>
      <w:r w:rsidR="00DA3FCB" w:rsidRPr="00DA3FCB">
        <w:rPr>
          <w:rFonts w:ascii="Arial" w:hAnsi="Arial" w:cs="Arial"/>
          <w:sz w:val="22"/>
          <w:szCs w:val="22"/>
          <w:lang w:val="en-GB"/>
        </w:rPr>
        <w:t xml:space="preserve">), is now contained in Art. 3. While this does not radically change the previous position Art 3 does set out a series of presumptions regarding the location of a debtor's COMI. </w:t>
      </w:r>
    </w:p>
    <w:p w14:paraId="0BD94E9D" w14:textId="77777777" w:rsidR="00887046" w:rsidRDefault="00887046" w:rsidP="002F0C29">
      <w:pPr>
        <w:jc w:val="both"/>
        <w:rPr>
          <w:rFonts w:ascii="Arial" w:hAnsi="Arial" w:cs="Arial"/>
          <w:b/>
          <w:bCs/>
          <w:color w:val="7B7B7B" w:themeColor="accent3" w:themeShade="BF"/>
          <w:sz w:val="22"/>
          <w:szCs w:val="22"/>
          <w:lang w:val="en-GB"/>
        </w:rPr>
      </w:pPr>
    </w:p>
    <w:p w14:paraId="4C5EFE94" w14:textId="7487767B" w:rsidR="008B699B" w:rsidRPr="00134C11" w:rsidRDefault="008B699B" w:rsidP="002F0C29">
      <w:pPr>
        <w:jc w:val="both"/>
        <w:rPr>
          <w:rFonts w:ascii="Arial" w:hAnsi="Arial" w:cs="Arial"/>
          <w:b/>
          <w:bCs/>
          <w:color w:val="7B7B7B" w:themeColor="accent3" w:themeShade="BF"/>
          <w:sz w:val="22"/>
          <w:szCs w:val="22"/>
          <w:lang w:val="en-GB"/>
        </w:rPr>
      </w:pPr>
      <w:r w:rsidRPr="00134C11">
        <w:rPr>
          <w:rFonts w:ascii="Arial" w:hAnsi="Arial" w:cs="Arial"/>
          <w:b/>
          <w:bCs/>
          <w:color w:val="7B7B7B" w:themeColor="accent3" w:themeShade="BF"/>
          <w:sz w:val="22"/>
          <w:szCs w:val="22"/>
          <w:lang w:val="en-GB"/>
        </w:rPr>
        <w:t>Group Companies</w:t>
      </w:r>
    </w:p>
    <w:p w14:paraId="4A89C94E" w14:textId="22FC9C11" w:rsidR="00201344" w:rsidRDefault="00201344" w:rsidP="002F0C29">
      <w:pPr>
        <w:jc w:val="both"/>
        <w:rPr>
          <w:rFonts w:ascii="Arial" w:hAnsi="Arial" w:cs="Arial"/>
          <w:color w:val="7B7B7B" w:themeColor="accent3" w:themeShade="BF"/>
          <w:sz w:val="22"/>
          <w:szCs w:val="22"/>
          <w:lang w:val="en-GB"/>
        </w:rPr>
      </w:pPr>
    </w:p>
    <w:p w14:paraId="252139D4" w14:textId="21A4036A" w:rsidR="00201344" w:rsidRPr="00134C11" w:rsidRDefault="00201344" w:rsidP="00134C11">
      <w:pPr>
        <w:pStyle w:val="NormalWeb"/>
        <w:shd w:val="clear" w:color="auto" w:fill="FFFFFF"/>
        <w:spacing w:before="0" w:beforeAutospacing="0"/>
        <w:jc w:val="both"/>
        <w:rPr>
          <w:rFonts w:ascii="Open Sans" w:hAnsi="Open Sans" w:cs="Open Sans"/>
          <w:color w:val="212529"/>
          <w:sz w:val="22"/>
          <w:szCs w:val="22"/>
        </w:rPr>
      </w:pPr>
      <w:r>
        <w:rPr>
          <w:rFonts w:ascii="Open Sans" w:hAnsi="Open Sans" w:cs="Open Sans"/>
          <w:color w:val="212529"/>
          <w:sz w:val="22"/>
          <w:szCs w:val="22"/>
        </w:rPr>
        <w:t xml:space="preserve">A new framework for </w:t>
      </w:r>
      <w:r w:rsidR="002D07CB">
        <w:rPr>
          <w:rFonts w:ascii="Open Sans" w:hAnsi="Open Sans" w:cs="Open Sans"/>
          <w:color w:val="212529"/>
          <w:sz w:val="22"/>
          <w:szCs w:val="22"/>
        </w:rPr>
        <w:t xml:space="preserve">co-operation and </w:t>
      </w:r>
      <w:r>
        <w:rPr>
          <w:rFonts w:ascii="Open Sans" w:hAnsi="Open Sans" w:cs="Open Sans"/>
          <w:color w:val="212529"/>
          <w:sz w:val="22"/>
          <w:szCs w:val="22"/>
        </w:rPr>
        <w:t xml:space="preserve">co-ordination of insolvency proceedings relating to multinational members of the same group of companies </w:t>
      </w:r>
      <w:r w:rsidR="00740F53">
        <w:rPr>
          <w:rFonts w:ascii="Open Sans" w:hAnsi="Open Sans" w:cs="Open Sans"/>
          <w:color w:val="212529"/>
          <w:sz w:val="22"/>
          <w:szCs w:val="22"/>
        </w:rPr>
        <w:t xml:space="preserve">was introduced by the EIR Recast. </w:t>
      </w:r>
      <w:r w:rsidR="002D07CB">
        <w:rPr>
          <w:rFonts w:ascii="Open Sans" w:hAnsi="Open Sans" w:cs="Open Sans"/>
          <w:color w:val="212529"/>
          <w:sz w:val="22"/>
          <w:szCs w:val="22"/>
        </w:rPr>
        <w:t>IPs taking on appointments in connection with group companies are under an obligation pursuant to Chapter V of the EIR Recast to co-operate and communicate with each other and with the courts. The introduction of group co-ordination proceedings in the EIR Recast is designed to achieve this</w:t>
      </w:r>
      <w:r w:rsidR="00134C11">
        <w:rPr>
          <w:rFonts w:ascii="Open Sans" w:hAnsi="Open Sans" w:cs="Open Sans"/>
          <w:color w:val="212529"/>
          <w:sz w:val="22"/>
          <w:szCs w:val="22"/>
        </w:rPr>
        <w:t xml:space="preserve"> by setting out the mechanism to be followed including the appointment of a group co-ordinator. The principles of co-ordination and co-operation largely mirror those for communication and co-operation between main and secondary proceedings. Although the case is more instructive for the principles surrounding the concept of COMI, the case of </w:t>
      </w:r>
      <w:proofErr w:type="spellStart"/>
      <w:r w:rsidR="00134C11" w:rsidRPr="00134C11">
        <w:rPr>
          <w:rFonts w:ascii="Open Sans" w:hAnsi="Open Sans" w:cs="Open Sans"/>
          <w:i/>
          <w:iCs/>
          <w:color w:val="212529"/>
          <w:sz w:val="22"/>
          <w:szCs w:val="22"/>
          <w:u w:val="single"/>
        </w:rPr>
        <w:t>Eurofood</w:t>
      </w:r>
      <w:proofErr w:type="spellEnd"/>
      <w:r w:rsidR="00134C11" w:rsidRPr="00134C11">
        <w:rPr>
          <w:rFonts w:ascii="Open Sans" w:hAnsi="Open Sans" w:cs="Open Sans"/>
          <w:i/>
          <w:iCs/>
          <w:color w:val="212529"/>
          <w:sz w:val="22"/>
          <w:szCs w:val="22"/>
          <w:u w:val="single"/>
        </w:rPr>
        <w:t xml:space="preserve"> IFSC </w:t>
      </w:r>
      <w:proofErr w:type="gramStart"/>
      <w:r w:rsidR="00134C11" w:rsidRPr="00134C11">
        <w:rPr>
          <w:rFonts w:ascii="Open Sans" w:hAnsi="Open Sans" w:cs="Open Sans"/>
          <w:i/>
          <w:iCs/>
          <w:color w:val="212529"/>
          <w:sz w:val="22"/>
          <w:szCs w:val="22"/>
          <w:u w:val="single"/>
        </w:rPr>
        <w:t>Ltd</w:t>
      </w:r>
      <w:r w:rsidR="00134C11">
        <w:rPr>
          <w:rFonts w:ascii="Open Sans" w:hAnsi="Open Sans" w:cs="Open Sans"/>
          <w:i/>
          <w:iCs/>
          <w:color w:val="212529"/>
          <w:sz w:val="22"/>
          <w:szCs w:val="22"/>
          <w:u w:val="single"/>
        </w:rPr>
        <w:t xml:space="preserve"> </w:t>
      </w:r>
      <w:r w:rsidR="00134C11">
        <w:rPr>
          <w:rFonts w:ascii="Open Sans" w:hAnsi="Open Sans" w:cs="Open Sans"/>
          <w:color w:val="212529"/>
          <w:sz w:val="22"/>
          <w:szCs w:val="22"/>
        </w:rPr>
        <w:t xml:space="preserve"> set</w:t>
      </w:r>
      <w:proofErr w:type="gramEnd"/>
      <w:r w:rsidR="00134C11">
        <w:rPr>
          <w:rFonts w:ascii="Open Sans" w:hAnsi="Open Sans" w:cs="Open Sans"/>
          <w:color w:val="212529"/>
          <w:sz w:val="22"/>
          <w:szCs w:val="22"/>
        </w:rPr>
        <w:t xml:space="preserve"> down a set of principles for the treatment of group companies in 2006, the tenor of which is reflected in the EIR Recast. </w:t>
      </w:r>
    </w:p>
    <w:p w14:paraId="79ACE471" w14:textId="2C23CACE" w:rsidR="008B699B" w:rsidRDefault="008B699B" w:rsidP="002F0C29">
      <w:pPr>
        <w:jc w:val="both"/>
        <w:rPr>
          <w:rFonts w:ascii="Arial" w:hAnsi="Arial" w:cs="Arial"/>
          <w:b/>
          <w:bCs/>
          <w:color w:val="7B7B7B" w:themeColor="accent3" w:themeShade="BF"/>
          <w:sz w:val="22"/>
          <w:szCs w:val="22"/>
          <w:lang w:val="en-GB"/>
        </w:rPr>
      </w:pPr>
      <w:r w:rsidRPr="00134C11">
        <w:rPr>
          <w:rFonts w:ascii="Arial" w:hAnsi="Arial" w:cs="Arial"/>
          <w:b/>
          <w:bCs/>
          <w:color w:val="7B7B7B" w:themeColor="accent3" w:themeShade="BF"/>
          <w:sz w:val="22"/>
          <w:szCs w:val="22"/>
          <w:lang w:val="en-GB"/>
        </w:rPr>
        <w:t>Improvement of creditor information</w:t>
      </w:r>
    </w:p>
    <w:p w14:paraId="74281DBF" w14:textId="420A0B38" w:rsidR="00134C11" w:rsidRDefault="00134C11" w:rsidP="002F0C29">
      <w:pPr>
        <w:jc w:val="both"/>
        <w:rPr>
          <w:rFonts w:ascii="Arial" w:hAnsi="Arial" w:cs="Arial"/>
          <w:b/>
          <w:bCs/>
          <w:color w:val="7B7B7B" w:themeColor="accent3" w:themeShade="BF"/>
          <w:sz w:val="22"/>
          <w:szCs w:val="22"/>
          <w:lang w:val="en-GB"/>
        </w:rPr>
      </w:pPr>
    </w:p>
    <w:p w14:paraId="165D2D4D" w14:textId="52F81A4F" w:rsidR="00134C11" w:rsidRPr="00E8415C" w:rsidRDefault="00134C11" w:rsidP="002F0C29">
      <w:pPr>
        <w:jc w:val="both"/>
        <w:rPr>
          <w:rFonts w:ascii="Arial" w:hAnsi="Arial" w:cs="Arial"/>
          <w:sz w:val="22"/>
          <w:szCs w:val="22"/>
          <w:lang w:val="en-GB"/>
        </w:rPr>
      </w:pPr>
      <w:r w:rsidRPr="00E8415C">
        <w:rPr>
          <w:rFonts w:ascii="Arial" w:hAnsi="Arial" w:cs="Arial"/>
          <w:sz w:val="22"/>
          <w:szCs w:val="22"/>
          <w:lang w:val="en-GB"/>
        </w:rPr>
        <w:t xml:space="preserve">All member states are required to maintain a register of insolvencies under Art. 24. By contrast with the more </w:t>
      </w:r>
      <w:r w:rsidRPr="00E8415C">
        <w:rPr>
          <w:rFonts w:ascii="Arial" w:hAnsi="Arial" w:cs="Arial"/>
          <w:i/>
          <w:iCs/>
          <w:sz w:val="22"/>
          <w:szCs w:val="22"/>
          <w:lang w:val="en-GB"/>
        </w:rPr>
        <w:t>ad hoc</w:t>
      </w:r>
      <w:r w:rsidRPr="00E8415C">
        <w:rPr>
          <w:rFonts w:ascii="Arial" w:hAnsi="Arial" w:cs="Arial"/>
          <w:sz w:val="22"/>
          <w:szCs w:val="22"/>
          <w:lang w:val="en-GB"/>
        </w:rPr>
        <w:t xml:space="preserve"> approach under the previous regime, the EIR Recast </w:t>
      </w:r>
      <w:r w:rsidR="00887046" w:rsidRPr="00E8415C">
        <w:rPr>
          <w:rFonts w:ascii="Arial" w:hAnsi="Arial" w:cs="Arial"/>
          <w:sz w:val="22"/>
          <w:szCs w:val="22"/>
          <w:lang w:val="en-GB"/>
        </w:rPr>
        <w:t xml:space="preserve">under Art. 25 creates a decentralised system for the interconnection of insolvency registers. This improves a creditor's (or other parties') ability to search via a single platform with the advantage of having confidence the information is accurate and complete. </w:t>
      </w:r>
    </w:p>
    <w:p w14:paraId="2E6A8395" w14:textId="4746C677" w:rsidR="008B699B" w:rsidRDefault="008B699B" w:rsidP="002F0C29">
      <w:pPr>
        <w:jc w:val="both"/>
        <w:rPr>
          <w:rFonts w:ascii="Arial" w:hAnsi="Arial" w:cs="Arial"/>
          <w:color w:val="7B7B7B" w:themeColor="accent3" w:themeShade="BF"/>
          <w:sz w:val="22"/>
          <w:szCs w:val="22"/>
          <w:lang w:val="en-GB"/>
        </w:rPr>
      </w:pPr>
    </w:p>
    <w:p w14:paraId="0138AD2F" w14:textId="7A7D9646" w:rsidR="008B699B" w:rsidRPr="00887046" w:rsidRDefault="008B699B" w:rsidP="002F0C29">
      <w:pPr>
        <w:jc w:val="both"/>
        <w:rPr>
          <w:rFonts w:ascii="Arial" w:hAnsi="Arial" w:cs="Arial"/>
          <w:b/>
          <w:bCs/>
          <w:color w:val="7B7B7B" w:themeColor="accent3" w:themeShade="BF"/>
          <w:sz w:val="22"/>
          <w:szCs w:val="22"/>
          <w:lang w:val="en-GB"/>
        </w:rPr>
      </w:pPr>
      <w:r w:rsidRPr="00887046">
        <w:rPr>
          <w:rFonts w:ascii="Arial" w:hAnsi="Arial" w:cs="Arial"/>
          <w:b/>
          <w:bCs/>
          <w:color w:val="7B7B7B" w:themeColor="accent3" w:themeShade="BF"/>
          <w:sz w:val="22"/>
          <w:szCs w:val="22"/>
          <w:lang w:val="en-GB"/>
        </w:rPr>
        <w:t xml:space="preserve">Data protection provisions </w:t>
      </w:r>
    </w:p>
    <w:p w14:paraId="19141A22" w14:textId="13163054" w:rsidR="002F0C29" w:rsidRDefault="002F0C29" w:rsidP="002A37BB">
      <w:pPr>
        <w:ind w:left="720" w:hanging="720"/>
        <w:jc w:val="both"/>
        <w:rPr>
          <w:rFonts w:ascii="Arial" w:hAnsi="Arial" w:cs="Arial"/>
          <w:color w:val="7B7B7B" w:themeColor="accent3" w:themeShade="BF"/>
          <w:sz w:val="22"/>
          <w:szCs w:val="22"/>
          <w:lang w:val="en-GB"/>
        </w:rPr>
      </w:pPr>
    </w:p>
    <w:p w14:paraId="5548C202" w14:textId="201C4054" w:rsidR="00887046" w:rsidRPr="00E8415C" w:rsidRDefault="00887046" w:rsidP="00887046">
      <w:pPr>
        <w:jc w:val="both"/>
        <w:rPr>
          <w:rFonts w:ascii="Arial" w:hAnsi="Arial" w:cs="Arial"/>
          <w:sz w:val="22"/>
          <w:szCs w:val="22"/>
          <w:lang w:val="en-GB"/>
        </w:rPr>
      </w:pPr>
      <w:r w:rsidRPr="00E8415C">
        <w:rPr>
          <w:rFonts w:ascii="Arial" w:hAnsi="Arial" w:cs="Arial"/>
          <w:sz w:val="22"/>
          <w:szCs w:val="22"/>
          <w:lang w:val="en-GB"/>
        </w:rPr>
        <w:t xml:space="preserve">In keeping with the modernising of the framework, the EIR Recast contains data protection provisions in Chapter VI consistent with the EU's move generally towards enhancing the data security of data subject and how information containing such data is processed. </w:t>
      </w:r>
    </w:p>
    <w:p w14:paraId="05C4FCE7" w14:textId="77777777" w:rsidR="002F0C29" w:rsidRPr="005D2CD6" w:rsidRDefault="002F0C29"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1500DBB8" w14:textId="4AF4B858" w:rsidR="0023316C" w:rsidRPr="0056336D" w:rsidRDefault="0023316C" w:rsidP="002A37BB">
      <w:pPr>
        <w:jc w:val="both"/>
        <w:rPr>
          <w:rFonts w:ascii="Arial" w:hAnsi="Arial" w:cs="Arial"/>
          <w:b/>
          <w:bCs/>
          <w:sz w:val="22"/>
          <w:szCs w:val="22"/>
          <w:lang w:val="en-GB"/>
        </w:rPr>
      </w:pPr>
      <w:r w:rsidRPr="0056336D">
        <w:rPr>
          <w:rFonts w:ascii="Arial" w:hAnsi="Arial" w:cs="Arial"/>
          <w:b/>
          <w:bCs/>
          <w:sz w:val="22"/>
          <w:szCs w:val="22"/>
          <w:lang w:val="en-GB"/>
        </w:rPr>
        <w:t>Restructure &amp; Rescue</w:t>
      </w:r>
    </w:p>
    <w:p w14:paraId="78F7CB42" w14:textId="77777777" w:rsidR="0023316C" w:rsidRPr="0056336D" w:rsidRDefault="0023316C" w:rsidP="002A37BB">
      <w:pPr>
        <w:jc w:val="both"/>
        <w:rPr>
          <w:rFonts w:ascii="Arial" w:hAnsi="Arial" w:cs="Arial"/>
          <w:sz w:val="22"/>
          <w:szCs w:val="22"/>
          <w:lang w:val="en-GB"/>
        </w:rPr>
      </w:pPr>
    </w:p>
    <w:p w14:paraId="7940D274" w14:textId="3A5E2973" w:rsidR="00DF75F8" w:rsidRPr="0056336D" w:rsidRDefault="00E8415C" w:rsidP="002A37BB">
      <w:pPr>
        <w:jc w:val="both"/>
        <w:rPr>
          <w:rFonts w:ascii="Arial" w:hAnsi="Arial" w:cs="Arial"/>
          <w:sz w:val="22"/>
          <w:szCs w:val="22"/>
          <w:lang w:val="en-GB"/>
        </w:rPr>
      </w:pPr>
      <w:r w:rsidRPr="0056336D">
        <w:rPr>
          <w:rFonts w:ascii="Arial" w:hAnsi="Arial" w:cs="Arial"/>
          <w:sz w:val="22"/>
          <w:szCs w:val="22"/>
          <w:lang w:val="en-GB"/>
        </w:rPr>
        <w:t xml:space="preserve">The focus on restructuring is an innovation that the EIR Recast has adopted. Previously, the focus has been on proceedings akin to liquidation without proper consideration of </w:t>
      </w:r>
      <w:r w:rsidR="0023316C" w:rsidRPr="0056336D">
        <w:rPr>
          <w:rFonts w:ascii="Arial" w:hAnsi="Arial" w:cs="Arial"/>
          <w:sz w:val="22"/>
          <w:szCs w:val="22"/>
          <w:lang w:val="en-GB"/>
        </w:rPr>
        <w:t xml:space="preserve">rescue plans, which have become a more common tool used by IP in dealing with distressed businesses. By placing a greater emphasis on the rehabilitation and rescue of companies and providing for proceedings where a restructuring is being advocated (as opposed to </w:t>
      </w:r>
      <w:r w:rsidR="0023316C" w:rsidRPr="0056336D">
        <w:rPr>
          <w:rFonts w:ascii="Arial" w:hAnsi="Arial" w:cs="Arial"/>
          <w:i/>
          <w:iCs/>
          <w:sz w:val="22"/>
          <w:szCs w:val="22"/>
          <w:lang w:val="en-GB"/>
        </w:rPr>
        <w:t>e.g</w:t>
      </w:r>
      <w:r w:rsidR="0023316C" w:rsidRPr="0056336D">
        <w:rPr>
          <w:rFonts w:ascii="Arial" w:hAnsi="Arial" w:cs="Arial"/>
          <w:sz w:val="22"/>
          <w:szCs w:val="22"/>
          <w:lang w:val="en-GB"/>
        </w:rPr>
        <w:t xml:space="preserve">. liquidation) and where the prospect of insolvency is not guaranteed the EIR Recast has taken on a more holistic approach to the issues of cross-border insolvency allowing the debtor, in certain circumstances, to remain with more control over the company's daily affairs and still be caught under the ambit of the regulations. </w:t>
      </w:r>
      <w:r w:rsidR="004F2EBF" w:rsidRPr="0056336D">
        <w:rPr>
          <w:rFonts w:ascii="Arial" w:hAnsi="Arial" w:cs="Arial"/>
          <w:sz w:val="22"/>
          <w:szCs w:val="22"/>
          <w:lang w:val="en-GB"/>
        </w:rPr>
        <w:t xml:space="preserve">This enhances the overall scope of the regulation and the broadening the provisions out to include rehabilitation of ailing businesses, the Recast has provided an additional set of tools to aid in the efficient administration of cross-border cases. </w:t>
      </w:r>
    </w:p>
    <w:p w14:paraId="6C52FB40" w14:textId="467DB7C4" w:rsidR="0023316C" w:rsidRDefault="0023316C" w:rsidP="002A37BB">
      <w:pPr>
        <w:jc w:val="both"/>
        <w:rPr>
          <w:rFonts w:ascii="Arial" w:hAnsi="Arial" w:cs="Arial"/>
          <w:color w:val="7B7B7B" w:themeColor="accent3" w:themeShade="BF"/>
          <w:sz w:val="22"/>
          <w:szCs w:val="22"/>
          <w:lang w:val="en-GB"/>
        </w:rPr>
      </w:pPr>
    </w:p>
    <w:p w14:paraId="37CEC44D" w14:textId="77777777" w:rsidR="0056336D" w:rsidRPr="008D6BA8" w:rsidRDefault="0023316C" w:rsidP="002A37BB">
      <w:pPr>
        <w:jc w:val="both"/>
        <w:rPr>
          <w:rFonts w:ascii="Arial" w:hAnsi="Arial" w:cs="Arial"/>
          <w:b/>
          <w:bCs/>
          <w:sz w:val="22"/>
          <w:szCs w:val="22"/>
          <w:lang w:val="en-GB"/>
        </w:rPr>
      </w:pPr>
      <w:r w:rsidRPr="008D6BA8">
        <w:rPr>
          <w:rFonts w:ascii="Arial" w:hAnsi="Arial" w:cs="Arial"/>
          <w:b/>
          <w:bCs/>
          <w:sz w:val="22"/>
          <w:szCs w:val="22"/>
          <w:lang w:val="en-GB"/>
        </w:rPr>
        <w:t>Suspect Period</w:t>
      </w:r>
    </w:p>
    <w:p w14:paraId="464172AC" w14:textId="77777777" w:rsidR="0056336D" w:rsidRPr="008D6BA8" w:rsidRDefault="0056336D" w:rsidP="002A37BB">
      <w:pPr>
        <w:jc w:val="both"/>
        <w:rPr>
          <w:rFonts w:ascii="Arial" w:hAnsi="Arial" w:cs="Arial"/>
          <w:b/>
          <w:bCs/>
          <w:sz w:val="22"/>
          <w:szCs w:val="22"/>
          <w:lang w:val="en-GB"/>
        </w:rPr>
      </w:pPr>
    </w:p>
    <w:p w14:paraId="745CA766" w14:textId="77777777" w:rsidR="00442B1B" w:rsidRPr="00DA3FCB" w:rsidRDefault="00442B1B" w:rsidP="00442B1B">
      <w:pPr>
        <w:jc w:val="both"/>
        <w:rPr>
          <w:rFonts w:ascii="Arial" w:hAnsi="Arial" w:cs="Arial"/>
          <w:sz w:val="22"/>
          <w:szCs w:val="22"/>
          <w:lang w:val="en-GB"/>
        </w:rPr>
      </w:pPr>
      <w:r w:rsidRPr="00DA3FCB">
        <w:rPr>
          <w:rFonts w:ascii="Arial" w:hAnsi="Arial" w:cs="Arial"/>
          <w:sz w:val="22"/>
          <w:szCs w:val="22"/>
          <w:lang w:val="en-GB"/>
        </w:rPr>
        <w:t xml:space="preserve">The principles for around determining the COMI of a debtor have been codified within the EIR Recast, having previously been a matter of case law (including </w:t>
      </w:r>
      <w:proofErr w:type="gramStart"/>
      <w:r w:rsidRPr="00DA3FCB">
        <w:rPr>
          <w:rFonts w:ascii="Arial" w:hAnsi="Arial" w:cs="Arial"/>
          <w:i/>
          <w:iCs/>
          <w:sz w:val="22"/>
          <w:szCs w:val="22"/>
          <w:lang w:val="en-GB"/>
        </w:rPr>
        <w:t>e.g.</w:t>
      </w:r>
      <w:proofErr w:type="gramEnd"/>
      <w:r w:rsidRPr="00DA3FCB">
        <w:rPr>
          <w:rFonts w:ascii="Arial" w:hAnsi="Arial" w:cs="Arial"/>
          <w:sz w:val="22"/>
          <w:szCs w:val="22"/>
          <w:lang w:val="en-GB"/>
        </w:rPr>
        <w:t xml:space="preserve"> </w:t>
      </w:r>
      <w:proofErr w:type="spellStart"/>
      <w:r w:rsidRPr="00DA3FCB">
        <w:rPr>
          <w:rFonts w:ascii="Arial" w:hAnsi="Arial" w:cs="Arial"/>
          <w:i/>
          <w:iCs/>
          <w:sz w:val="22"/>
          <w:szCs w:val="22"/>
          <w:u w:val="single"/>
          <w:lang w:val="en-GB"/>
        </w:rPr>
        <w:t>Polbud-Wyknowstwo</w:t>
      </w:r>
      <w:proofErr w:type="spellEnd"/>
      <w:r w:rsidRPr="00DA3FCB">
        <w:rPr>
          <w:rFonts w:ascii="Arial" w:hAnsi="Arial" w:cs="Arial"/>
          <w:sz w:val="22"/>
          <w:szCs w:val="22"/>
          <w:lang w:val="en-GB"/>
        </w:rPr>
        <w:t xml:space="preserve">; </w:t>
      </w:r>
      <w:r w:rsidRPr="00DA3FCB">
        <w:rPr>
          <w:rFonts w:ascii="Arial" w:hAnsi="Arial" w:cs="Arial"/>
          <w:i/>
          <w:iCs/>
          <w:sz w:val="22"/>
          <w:szCs w:val="22"/>
          <w:u w:val="single"/>
          <w:lang w:val="en-GB"/>
        </w:rPr>
        <w:t xml:space="preserve">Susanne </w:t>
      </w:r>
      <w:proofErr w:type="spellStart"/>
      <w:r w:rsidRPr="00DA3FCB">
        <w:rPr>
          <w:rFonts w:ascii="Arial" w:hAnsi="Arial" w:cs="Arial"/>
          <w:i/>
          <w:iCs/>
          <w:sz w:val="22"/>
          <w:szCs w:val="22"/>
          <w:u w:val="single"/>
          <w:lang w:val="en-GB"/>
        </w:rPr>
        <w:t>Stuabitz-Schrieber</w:t>
      </w:r>
      <w:proofErr w:type="spellEnd"/>
      <w:r w:rsidRPr="00DA3FCB">
        <w:rPr>
          <w:rFonts w:ascii="Arial" w:hAnsi="Arial" w:cs="Arial"/>
          <w:sz w:val="22"/>
          <w:szCs w:val="22"/>
          <w:u w:val="single"/>
          <w:lang w:val="en-GB"/>
        </w:rPr>
        <w:t xml:space="preserve"> and </w:t>
      </w:r>
      <w:proofErr w:type="spellStart"/>
      <w:r w:rsidRPr="00DA3FCB">
        <w:rPr>
          <w:rFonts w:ascii="Arial" w:hAnsi="Arial" w:cs="Arial"/>
          <w:i/>
          <w:iCs/>
          <w:sz w:val="22"/>
          <w:szCs w:val="22"/>
          <w:u w:val="single"/>
          <w:lang w:val="en-GB"/>
        </w:rPr>
        <w:t>Interedil</w:t>
      </w:r>
      <w:proofErr w:type="spellEnd"/>
      <w:r w:rsidRPr="00DA3FCB">
        <w:rPr>
          <w:rFonts w:ascii="Arial" w:hAnsi="Arial" w:cs="Arial"/>
          <w:i/>
          <w:iCs/>
          <w:sz w:val="22"/>
          <w:szCs w:val="22"/>
          <w:u w:val="single"/>
          <w:lang w:val="en-GB"/>
        </w:rPr>
        <w:t xml:space="preserve"> </w:t>
      </w:r>
      <w:proofErr w:type="spellStart"/>
      <w:r w:rsidRPr="00DA3FCB">
        <w:rPr>
          <w:rFonts w:ascii="Arial" w:hAnsi="Arial" w:cs="Arial"/>
          <w:i/>
          <w:iCs/>
          <w:sz w:val="22"/>
          <w:szCs w:val="22"/>
          <w:u w:val="single"/>
          <w:lang w:val="en-GB"/>
        </w:rPr>
        <w:t>Srl</w:t>
      </w:r>
      <w:proofErr w:type="spellEnd"/>
      <w:r w:rsidRPr="00DA3FCB">
        <w:rPr>
          <w:rFonts w:ascii="Arial" w:hAnsi="Arial" w:cs="Arial"/>
          <w:i/>
          <w:iCs/>
          <w:sz w:val="22"/>
          <w:szCs w:val="22"/>
          <w:u w:val="single"/>
          <w:lang w:val="en-GB"/>
        </w:rPr>
        <w:t xml:space="preserve"> v </w:t>
      </w:r>
      <w:proofErr w:type="spellStart"/>
      <w:r w:rsidRPr="00DA3FCB">
        <w:rPr>
          <w:rFonts w:ascii="Arial" w:hAnsi="Arial" w:cs="Arial"/>
          <w:i/>
          <w:iCs/>
          <w:sz w:val="22"/>
          <w:szCs w:val="22"/>
          <w:u w:val="single"/>
          <w:lang w:val="en-GB"/>
        </w:rPr>
        <w:t>Fallimento</w:t>
      </w:r>
      <w:proofErr w:type="spellEnd"/>
      <w:r w:rsidRPr="00DA3FCB">
        <w:rPr>
          <w:rFonts w:ascii="Arial" w:hAnsi="Arial" w:cs="Arial"/>
          <w:sz w:val="22"/>
          <w:szCs w:val="22"/>
          <w:lang w:val="en-GB"/>
        </w:rPr>
        <w:t xml:space="preserve">), is now contained in Art. 3. While this does not radically change the previous position Art 3 does set out a series of presumptions regarding the location of a debtor's COMI. </w:t>
      </w:r>
    </w:p>
    <w:p w14:paraId="04CD1343" w14:textId="77777777" w:rsidR="00442B1B" w:rsidRDefault="00442B1B" w:rsidP="002A37BB">
      <w:pPr>
        <w:jc w:val="both"/>
        <w:rPr>
          <w:rFonts w:ascii="Arial" w:hAnsi="Arial" w:cs="Arial"/>
          <w:sz w:val="22"/>
          <w:szCs w:val="22"/>
          <w:lang w:val="en-GB"/>
        </w:rPr>
      </w:pPr>
    </w:p>
    <w:p w14:paraId="5FFFBB3C" w14:textId="218EF801" w:rsidR="0023316C" w:rsidRPr="008D6BA8" w:rsidRDefault="0056336D" w:rsidP="002A37BB">
      <w:pPr>
        <w:jc w:val="both"/>
        <w:rPr>
          <w:rFonts w:ascii="Arial" w:hAnsi="Arial" w:cs="Arial"/>
          <w:sz w:val="22"/>
          <w:szCs w:val="22"/>
          <w:lang w:val="en-GB"/>
        </w:rPr>
      </w:pPr>
      <w:r w:rsidRPr="008D6BA8">
        <w:rPr>
          <w:rFonts w:ascii="Arial" w:hAnsi="Arial" w:cs="Arial"/>
          <w:sz w:val="22"/>
          <w:szCs w:val="22"/>
          <w:lang w:val="en-GB"/>
        </w:rPr>
        <w:t>The presumption relating to COMI is that the registered office of the company will be the COMI</w:t>
      </w:r>
      <w:r w:rsidR="0023316C" w:rsidRPr="008D6BA8">
        <w:rPr>
          <w:rFonts w:ascii="Arial" w:hAnsi="Arial" w:cs="Arial"/>
          <w:bCs/>
          <w:sz w:val="22"/>
          <w:szCs w:val="22"/>
          <w:lang w:val="en-GB"/>
        </w:rPr>
        <w:t xml:space="preserve"> </w:t>
      </w:r>
      <w:r w:rsidRPr="008D6BA8">
        <w:rPr>
          <w:rFonts w:ascii="Arial" w:hAnsi="Arial" w:cs="Arial"/>
          <w:bCs/>
          <w:sz w:val="22"/>
          <w:szCs w:val="22"/>
          <w:lang w:val="en-GB"/>
        </w:rPr>
        <w:t>(Art.3(1))</w:t>
      </w:r>
      <w:r w:rsidRPr="008D6BA8">
        <w:rPr>
          <w:rFonts w:ascii="Arial" w:hAnsi="Arial" w:cs="Arial"/>
          <w:sz w:val="22"/>
          <w:szCs w:val="22"/>
          <w:lang w:val="en-GB"/>
        </w:rPr>
        <w:t xml:space="preserve">. This presumption will only apply where the registered office of the company has not moved in the preceding three-month period prior to the insolvency proceedings. The rationale for this innovation was an acknowledgment of the need to make COMI more readily determinable but equally to prevent abuse or fraudulent manipulation of the forum </w:t>
      </w:r>
      <w:proofErr w:type="gramStart"/>
      <w:r w:rsidRPr="008D6BA8">
        <w:rPr>
          <w:rFonts w:ascii="Arial" w:hAnsi="Arial" w:cs="Arial"/>
          <w:sz w:val="22"/>
          <w:szCs w:val="22"/>
          <w:lang w:val="en-GB"/>
        </w:rPr>
        <w:t>in order to</w:t>
      </w:r>
      <w:proofErr w:type="gramEnd"/>
      <w:r w:rsidRPr="008D6BA8">
        <w:rPr>
          <w:rFonts w:ascii="Arial" w:hAnsi="Arial" w:cs="Arial"/>
          <w:sz w:val="22"/>
          <w:szCs w:val="22"/>
          <w:lang w:val="en-GB"/>
        </w:rPr>
        <w:t xml:space="preserve"> counteract instances of forum-shopping to achieve a more beneficial outcome or additional protections via for example utilising a more debtor-friendly set of rules in another jurisdiction. </w:t>
      </w:r>
    </w:p>
    <w:p w14:paraId="08A03837" w14:textId="05994590" w:rsidR="0056336D" w:rsidRPr="008D6BA8" w:rsidRDefault="0056336D" w:rsidP="002A37BB">
      <w:pPr>
        <w:jc w:val="both"/>
        <w:rPr>
          <w:rFonts w:ascii="Arial" w:hAnsi="Arial" w:cs="Arial"/>
          <w:sz w:val="22"/>
          <w:szCs w:val="22"/>
          <w:lang w:val="en-GB"/>
        </w:rPr>
      </w:pPr>
    </w:p>
    <w:p w14:paraId="640E65E6" w14:textId="4ACF4BA7" w:rsidR="0056336D" w:rsidRPr="008D6BA8" w:rsidRDefault="0056336D" w:rsidP="002A37BB">
      <w:pPr>
        <w:jc w:val="both"/>
        <w:rPr>
          <w:rFonts w:ascii="Arial" w:hAnsi="Arial" w:cs="Arial"/>
          <w:sz w:val="22"/>
          <w:szCs w:val="22"/>
          <w:lang w:val="en-GB"/>
        </w:rPr>
      </w:pPr>
      <w:r w:rsidRPr="008D6BA8">
        <w:rPr>
          <w:rFonts w:ascii="Arial" w:hAnsi="Arial" w:cs="Arial"/>
          <w:sz w:val="22"/>
          <w:szCs w:val="22"/>
          <w:lang w:val="en-GB"/>
        </w:rPr>
        <w:t xml:space="preserve">Where this does </w:t>
      </w:r>
      <w:proofErr w:type="gramStart"/>
      <w:r w:rsidRPr="008D6BA8">
        <w:rPr>
          <w:rFonts w:ascii="Arial" w:hAnsi="Arial" w:cs="Arial"/>
          <w:sz w:val="22"/>
          <w:szCs w:val="22"/>
          <w:lang w:val="en-GB"/>
        </w:rPr>
        <w:t>occur</w:t>
      </w:r>
      <w:proofErr w:type="gramEnd"/>
      <w:r w:rsidRPr="008D6BA8">
        <w:rPr>
          <w:rFonts w:ascii="Arial" w:hAnsi="Arial" w:cs="Arial"/>
          <w:sz w:val="22"/>
          <w:szCs w:val="22"/>
          <w:lang w:val="en-GB"/>
        </w:rPr>
        <w:t xml:space="preserve"> and the suspect period is triggered the court will disregard the change and proceed as if the relocation of the registered office had not occurred. This approach is in line </w:t>
      </w:r>
      <w:r w:rsidR="008D6BA8" w:rsidRPr="008D6BA8">
        <w:rPr>
          <w:rFonts w:ascii="Arial" w:hAnsi="Arial" w:cs="Arial"/>
          <w:sz w:val="22"/>
          <w:szCs w:val="22"/>
          <w:lang w:val="en-GB"/>
        </w:rPr>
        <w:t xml:space="preserve">with </w:t>
      </w:r>
      <w:r w:rsidRPr="008D6BA8">
        <w:rPr>
          <w:rFonts w:ascii="Arial" w:hAnsi="Arial" w:cs="Arial"/>
          <w:sz w:val="22"/>
          <w:szCs w:val="22"/>
          <w:lang w:val="en-GB"/>
        </w:rPr>
        <w:t xml:space="preserve">the </w:t>
      </w:r>
      <w:proofErr w:type="spellStart"/>
      <w:r w:rsidRPr="008D6BA8">
        <w:rPr>
          <w:rFonts w:ascii="Arial" w:hAnsi="Arial" w:cs="Arial"/>
          <w:i/>
          <w:iCs/>
          <w:sz w:val="22"/>
          <w:szCs w:val="22"/>
          <w:lang w:val="en-GB"/>
        </w:rPr>
        <w:t>perpetuatio</w:t>
      </w:r>
      <w:proofErr w:type="spellEnd"/>
      <w:r w:rsidRPr="008D6BA8">
        <w:rPr>
          <w:rFonts w:ascii="Arial" w:hAnsi="Arial" w:cs="Arial"/>
          <w:i/>
          <w:iCs/>
          <w:sz w:val="22"/>
          <w:szCs w:val="22"/>
          <w:lang w:val="en-GB"/>
        </w:rPr>
        <w:t xml:space="preserve"> </w:t>
      </w:r>
      <w:proofErr w:type="spellStart"/>
      <w:r w:rsidRPr="008D6BA8">
        <w:rPr>
          <w:rFonts w:ascii="Arial" w:hAnsi="Arial" w:cs="Arial"/>
          <w:i/>
          <w:iCs/>
          <w:sz w:val="22"/>
          <w:szCs w:val="22"/>
          <w:lang w:val="en-GB"/>
        </w:rPr>
        <w:t>fori</w:t>
      </w:r>
      <w:proofErr w:type="spellEnd"/>
      <w:r w:rsidRPr="008D6BA8">
        <w:rPr>
          <w:rFonts w:ascii="Arial" w:hAnsi="Arial" w:cs="Arial"/>
          <w:sz w:val="22"/>
          <w:szCs w:val="22"/>
          <w:lang w:val="en-GB"/>
        </w:rPr>
        <w:t xml:space="preserve"> doctrine (</w:t>
      </w:r>
      <w:proofErr w:type="gramStart"/>
      <w:r w:rsidRPr="008D6BA8">
        <w:rPr>
          <w:rFonts w:ascii="Arial" w:hAnsi="Arial" w:cs="Arial"/>
          <w:i/>
          <w:iCs/>
          <w:sz w:val="22"/>
          <w:szCs w:val="22"/>
          <w:lang w:val="en-GB"/>
        </w:rPr>
        <w:t>i.e.</w:t>
      </w:r>
      <w:proofErr w:type="gramEnd"/>
      <w:r w:rsidRPr="008D6BA8">
        <w:rPr>
          <w:rFonts w:ascii="Arial" w:hAnsi="Arial" w:cs="Arial"/>
          <w:i/>
          <w:iCs/>
          <w:sz w:val="22"/>
          <w:szCs w:val="22"/>
          <w:lang w:val="en-GB"/>
        </w:rPr>
        <w:t xml:space="preserve"> </w:t>
      </w:r>
      <w:r w:rsidRPr="008D6BA8">
        <w:rPr>
          <w:rFonts w:ascii="Arial" w:hAnsi="Arial" w:cs="Arial"/>
          <w:sz w:val="22"/>
          <w:szCs w:val="22"/>
          <w:lang w:val="en-GB"/>
        </w:rPr>
        <w:t xml:space="preserve">the continuation of the place of jurisdiction) which prevents one party from moving proceedings between </w:t>
      </w:r>
      <w:r w:rsidR="008D6BA8" w:rsidRPr="008D6BA8">
        <w:rPr>
          <w:rFonts w:ascii="Arial" w:hAnsi="Arial" w:cs="Arial"/>
          <w:sz w:val="22"/>
          <w:szCs w:val="22"/>
          <w:lang w:val="en-GB"/>
        </w:rPr>
        <w:t>jurisdictions</w:t>
      </w:r>
      <w:r w:rsidRPr="008D6BA8">
        <w:rPr>
          <w:rFonts w:ascii="Arial" w:hAnsi="Arial" w:cs="Arial"/>
          <w:sz w:val="22"/>
          <w:szCs w:val="22"/>
          <w:lang w:val="en-GB"/>
        </w:rPr>
        <w:t xml:space="preserve"> to gain a strategic advantage. These principles were examined in </w:t>
      </w:r>
      <w:r w:rsidRPr="008D6BA8">
        <w:rPr>
          <w:rFonts w:ascii="Arial" w:hAnsi="Arial" w:cs="Arial"/>
          <w:i/>
          <w:iCs/>
          <w:sz w:val="22"/>
          <w:szCs w:val="22"/>
          <w:u w:val="single"/>
          <w:lang w:val="en-GB"/>
        </w:rPr>
        <w:t xml:space="preserve">Susanne </w:t>
      </w:r>
      <w:proofErr w:type="spellStart"/>
      <w:r w:rsidRPr="008D6BA8">
        <w:rPr>
          <w:rFonts w:ascii="Arial" w:hAnsi="Arial" w:cs="Arial"/>
          <w:i/>
          <w:iCs/>
          <w:sz w:val="22"/>
          <w:szCs w:val="22"/>
          <w:u w:val="single"/>
          <w:lang w:val="en-GB"/>
        </w:rPr>
        <w:t>Stuabitz-Schrieber</w:t>
      </w:r>
      <w:proofErr w:type="spellEnd"/>
      <w:r w:rsidRPr="008D6BA8">
        <w:rPr>
          <w:rFonts w:ascii="Arial" w:hAnsi="Arial" w:cs="Arial"/>
          <w:sz w:val="22"/>
          <w:szCs w:val="22"/>
          <w:u w:val="single"/>
          <w:lang w:val="en-GB"/>
        </w:rPr>
        <w:t xml:space="preserve"> </w:t>
      </w:r>
      <w:r w:rsidRPr="008D6BA8">
        <w:rPr>
          <w:rFonts w:ascii="Arial" w:hAnsi="Arial" w:cs="Arial"/>
          <w:sz w:val="22"/>
          <w:szCs w:val="22"/>
          <w:lang w:val="en-GB"/>
        </w:rPr>
        <w:t>and provided the springboard for the adoption of this practice within the EIR Recast</w:t>
      </w:r>
      <w:r w:rsidR="008D6BA8" w:rsidRPr="008D6BA8">
        <w:rPr>
          <w:rFonts w:ascii="Arial" w:hAnsi="Arial" w:cs="Arial"/>
          <w:sz w:val="22"/>
          <w:szCs w:val="22"/>
          <w:lang w:val="en-GB"/>
        </w:rPr>
        <w:t xml:space="preserve"> </w:t>
      </w:r>
      <w:proofErr w:type="gramStart"/>
      <w:r w:rsidR="008D6BA8" w:rsidRPr="008D6BA8">
        <w:rPr>
          <w:rFonts w:ascii="Arial" w:hAnsi="Arial" w:cs="Arial"/>
          <w:sz w:val="22"/>
          <w:szCs w:val="22"/>
          <w:lang w:val="en-GB"/>
        </w:rPr>
        <w:t>in order to</w:t>
      </w:r>
      <w:proofErr w:type="gramEnd"/>
      <w:r w:rsidR="008D6BA8" w:rsidRPr="008D6BA8">
        <w:rPr>
          <w:rFonts w:ascii="Arial" w:hAnsi="Arial" w:cs="Arial"/>
          <w:sz w:val="22"/>
          <w:szCs w:val="22"/>
          <w:lang w:val="en-GB"/>
        </w:rPr>
        <w:t xml:space="preserve"> ensure the efficacious operation of cross-border insolvencies and to ensure creditors interest and legitimate expectations can be preserved. </w:t>
      </w:r>
    </w:p>
    <w:p w14:paraId="7815B40F" w14:textId="73A99FC1" w:rsidR="0023316C" w:rsidRDefault="0023316C" w:rsidP="002A37BB">
      <w:pPr>
        <w:jc w:val="both"/>
        <w:rPr>
          <w:rFonts w:ascii="Arial" w:hAnsi="Arial" w:cs="Arial"/>
          <w:b/>
          <w:bCs/>
          <w:color w:val="7B7B7B" w:themeColor="accent3" w:themeShade="BF"/>
          <w:sz w:val="22"/>
          <w:szCs w:val="22"/>
          <w:lang w:val="en-GB"/>
        </w:rPr>
      </w:pPr>
    </w:p>
    <w:p w14:paraId="4D629624" w14:textId="070BD744" w:rsidR="0023316C" w:rsidRPr="00442B1B" w:rsidRDefault="0023316C" w:rsidP="002A37BB">
      <w:pPr>
        <w:jc w:val="both"/>
        <w:rPr>
          <w:rFonts w:ascii="Arial" w:hAnsi="Arial" w:cs="Arial"/>
          <w:b/>
          <w:bCs/>
          <w:sz w:val="22"/>
          <w:szCs w:val="22"/>
          <w:lang w:val="en-GB"/>
        </w:rPr>
      </w:pPr>
      <w:r w:rsidRPr="00442B1B">
        <w:rPr>
          <w:rFonts w:ascii="Arial" w:hAnsi="Arial" w:cs="Arial"/>
          <w:b/>
          <w:bCs/>
          <w:sz w:val="22"/>
          <w:szCs w:val="22"/>
          <w:lang w:val="en-GB"/>
        </w:rPr>
        <w:t xml:space="preserve">Synthetic </w:t>
      </w:r>
      <w:r w:rsidR="004F2EBF" w:rsidRPr="00442B1B">
        <w:rPr>
          <w:rFonts w:ascii="Arial" w:hAnsi="Arial" w:cs="Arial"/>
          <w:b/>
          <w:bCs/>
          <w:sz w:val="22"/>
          <w:szCs w:val="22"/>
          <w:lang w:val="en-GB"/>
        </w:rPr>
        <w:t>Proceedings</w:t>
      </w:r>
      <w:r w:rsidRPr="00442B1B">
        <w:rPr>
          <w:rFonts w:ascii="Arial" w:hAnsi="Arial" w:cs="Arial"/>
          <w:b/>
          <w:bCs/>
          <w:sz w:val="22"/>
          <w:szCs w:val="22"/>
          <w:lang w:val="en-GB"/>
        </w:rPr>
        <w:t xml:space="preserve"> </w:t>
      </w:r>
    </w:p>
    <w:p w14:paraId="7A9C6027" w14:textId="77777777" w:rsidR="004F2EBF" w:rsidRDefault="004F2EBF" w:rsidP="004F2EBF">
      <w:pPr>
        <w:jc w:val="both"/>
        <w:rPr>
          <w:rFonts w:ascii="Arial" w:hAnsi="Arial" w:cs="Arial"/>
          <w:sz w:val="22"/>
          <w:szCs w:val="22"/>
          <w:shd w:val="clear" w:color="auto" w:fill="FFFFFF"/>
          <w:lang w:val="en-GB"/>
        </w:rPr>
      </w:pPr>
    </w:p>
    <w:p w14:paraId="05AE0B9F" w14:textId="774058D2" w:rsidR="004F2EBF" w:rsidRPr="004F2EBF" w:rsidRDefault="004F2EBF" w:rsidP="004F2EBF">
      <w:pPr>
        <w:jc w:val="both"/>
        <w:rPr>
          <w:rFonts w:ascii="Arial" w:hAnsi="Arial" w:cs="Arial"/>
          <w:sz w:val="22"/>
          <w:szCs w:val="22"/>
          <w:shd w:val="clear" w:color="auto" w:fill="FFFFFF"/>
          <w:lang w:val="en-GB"/>
        </w:rPr>
      </w:pPr>
      <w:r w:rsidRPr="004F2EBF">
        <w:rPr>
          <w:rFonts w:ascii="Arial" w:hAnsi="Arial" w:cs="Arial"/>
          <w:sz w:val="22"/>
          <w:szCs w:val="22"/>
          <w:shd w:val="clear" w:color="auto" w:fill="FFFFFF"/>
          <w:lang w:val="en-GB"/>
        </w:rPr>
        <w:t xml:space="preserve">Secondary proceedings previously applied to winding up proceedings but, consistent with the broadened scope of the EIR Recast noted above, has expanded to include all pre-insolvency or rescue proceedings covered under the EIR Recast. The use of synthetic proceedings is set out in Art. 36 of the EIR Recast. Synthetic proceedings have their advent from the case of </w:t>
      </w:r>
      <w:r w:rsidRPr="004F2EBF">
        <w:rPr>
          <w:rFonts w:ascii="Arial" w:hAnsi="Arial" w:cs="Arial"/>
          <w:i/>
          <w:iCs/>
          <w:sz w:val="22"/>
          <w:szCs w:val="22"/>
          <w:u w:val="single"/>
          <w:shd w:val="clear" w:color="auto" w:fill="FFFFFF"/>
          <w:lang w:val="en-GB"/>
        </w:rPr>
        <w:t>Collins &amp; Aikman Europe SA</w:t>
      </w:r>
      <w:r w:rsidRPr="004F2EBF">
        <w:rPr>
          <w:rFonts w:ascii="Arial" w:hAnsi="Arial" w:cs="Arial"/>
          <w:sz w:val="22"/>
          <w:szCs w:val="22"/>
          <w:shd w:val="clear" w:color="auto" w:fill="FFFFFF"/>
          <w:lang w:val="en-GB"/>
        </w:rPr>
        <w:t xml:space="preserve"> having previously been absent from the EIR 2000. To avoid secondary proceedings being brought an undertaking can be granted to give the creditors the benefit of secondary proceedings without the need for formal proceedings to be instigated (</w:t>
      </w:r>
      <w:proofErr w:type="gramStart"/>
      <w:r w:rsidRPr="004F2EBF">
        <w:rPr>
          <w:rFonts w:ascii="Arial" w:hAnsi="Arial" w:cs="Arial"/>
          <w:i/>
          <w:iCs/>
          <w:sz w:val="22"/>
          <w:szCs w:val="22"/>
          <w:shd w:val="clear" w:color="auto" w:fill="FFFFFF"/>
          <w:lang w:val="en-GB"/>
        </w:rPr>
        <w:t>i.e.</w:t>
      </w:r>
      <w:proofErr w:type="gramEnd"/>
      <w:r w:rsidRPr="004F2EBF">
        <w:rPr>
          <w:rFonts w:ascii="Arial" w:hAnsi="Arial" w:cs="Arial"/>
          <w:sz w:val="22"/>
          <w:szCs w:val="22"/>
          <w:shd w:val="clear" w:color="auto" w:fill="FFFFFF"/>
          <w:lang w:val="en-GB"/>
        </w:rPr>
        <w:t xml:space="preserve"> synthetic or virtual proceedings). The approach adopted in </w:t>
      </w:r>
      <w:r w:rsidRPr="004F2EBF">
        <w:rPr>
          <w:rFonts w:ascii="Arial" w:hAnsi="Arial" w:cs="Arial"/>
          <w:i/>
          <w:iCs/>
          <w:sz w:val="22"/>
          <w:szCs w:val="22"/>
          <w:shd w:val="clear" w:color="auto" w:fill="FFFFFF"/>
          <w:lang w:val="en-GB"/>
        </w:rPr>
        <w:t>Collins &amp; Aikman</w:t>
      </w:r>
      <w:r w:rsidRPr="004F2EBF">
        <w:rPr>
          <w:rFonts w:ascii="Arial" w:hAnsi="Arial" w:cs="Arial"/>
          <w:sz w:val="22"/>
          <w:szCs w:val="22"/>
          <w:shd w:val="clear" w:color="auto" w:fill="FFFFFF"/>
          <w:lang w:val="en-GB"/>
        </w:rPr>
        <w:t xml:space="preserve"> was both pragmatic and commercially driven and subsequently incorporated formally into the EIR Recast. </w:t>
      </w:r>
    </w:p>
    <w:p w14:paraId="3DAA6780" w14:textId="657CEFE1" w:rsidR="00962045" w:rsidRPr="004F2EBF" w:rsidRDefault="00962045" w:rsidP="002A37BB">
      <w:pPr>
        <w:jc w:val="both"/>
        <w:rPr>
          <w:rFonts w:ascii="Arial" w:hAnsi="Arial" w:cs="Arial"/>
          <w:sz w:val="22"/>
          <w:szCs w:val="22"/>
          <w:shd w:val="clear" w:color="auto" w:fill="FFFFFF"/>
          <w:lang w:val="en-GB"/>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AE7EA78" w14:textId="7227D322" w:rsidR="007D7C92" w:rsidRDefault="00D27C59" w:rsidP="00D27C59">
      <w:pPr>
        <w:jc w:val="both"/>
        <w:rPr>
          <w:rFonts w:ascii="Arial" w:hAnsi="Arial" w:cs="Arial"/>
          <w:sz w:val="22"/>
          <w:szCs w:val="22"/>
          <w:lang w:val="en-GB"/>
        </w:rPr>
      </w:pPr>
      <w:r>
        <w:rPr>
          <w:rFonts w:ascii="Arial" w:hAnsi="Arial" w:cs="Arial"/>
          <w:sz w:val="22"/>
          <w:szCs w:val="22"/>
          <w:lang w:val="en-GB"/>
        </w:rPr>
        <w:t xml:space="preserve">Group company co-ordination is designed to facilitate better administration of group insolvency/restructurings. However as this is a voluntary procedure. While it may be desirable to preserve the value of a group company by co-ordinating proceedings, this is undermined where one member of the group can voluntarily choose to opt out </w:t>
      </w:r>
      <w:r w:rsidR="002C2332">
        <w:rPr>
          <w:rFonts w:ascii="Arial" w:hAnsi="Arial" w:cs="Arial"/>
          <w:sz w:val="22"/>
          <w:szCs w:val="22"/>
          <w:lang w:val="en-GB"/>
        </w:rPr>
        <w:t xml:space="preserve">under Art. 64(3) without the need to provide much by way of explanation or justification for the refusal to participate. Recital 54 makes it apparent that the aim of group co-ordination is to provide for the efficient administration of group companies while retaining the autonomy of each distinct legal entity. The ability for opt out makes much of the group co-ordination toothless – there is no requirement for the IP to adhere to the recommendations of the co-ordinators under Art 70 the requirement is no higher than to "consider" the recommendations and although reasons for refusing to follow the recommendation are required </w:t>
      </w:r>
      <w:r w:rsidR="00E04893">
        <w:rPr>
          <w:rFonts w:ascii="Arial" w:hAnsi="Arial" w:cs="Arial"/>
          <w:sz w:val="22"/>
          <w:szCs w:val="22"/>
          <w:lang w:val="en-GB"/>
        </w:rPr>
        <w:t xml:space="preserve">and </w:t>
      </w:r>
      <w:r w:rsidR="002C2332">
        <w:rPr>
          <w:rFonts w:ascii="Arial" w:hAnsi="Arial" w:cs="Arial"/>
          <w:sz w:val="22"/>
          <w:szCs w:val="22"/>
          <w:lang w:val="en-GB"/>
        </w:rPr>
        <w:t xml:space="preserve">the system </w:t>
      </w:r>
      <w:r w:rsidR="00E04893">
        <w:rPr>
          <w:rFonts w:ascii="Arial" w:hAnsi="Arial" w:cs="Arial"/>
          <w:sz w:val="22"/>
          <w:szCs w:val="22"/>
          <w:lang w:val="en-GB"/>
        </w:rPr>
        <w:t xml:space="preserve">is </w:t>
      </w:r>
      <w:r w:rsidR="002C2332">
        <w:rPr>
          <w:rFonts w:ascii="Arial" w:hAnsi="Arial" w:cs="Arial"/>
          <w:sz w:val="22"/>
          <w:szCs w:val="22"/>
          <w:lang w:val="en-GB"/>
        </w:rPr>
        <w:t>non-committal</w:t>
      </w:r>
      <w:r w:rsidR="00E04893">
        <w:rPr>
          <w:rFonts w:ascii="Arial" w:hAnsi="Arial" w:cs="Arial"/>
          <w:sz w:val="22"/>
          <w:szCs w:val="22"/>
          <w:lang w:val="en-GB"/>
        </w:rPr>
        <w:t xml:space="preserve">. The voluntary process makes it too simple for a subsidiary to opt out of the proposed restructuring of the group in the group plan. In order to improve this </w:t>
      </w:r>
      <w:proofErr w:type="gramStart"/>
      <w:r w:rsidR="00E04893">
        <w:rPr>
          <w:rFonts w:ascii="Arial" w:hAnsi="Arial" w:cs="Arial"/>
          <w:sz w:val="22"/>
          <w:szCs w:val="22"/>
          <w:lang w:val="en-GB"/>
        </w:rPr>
        <w:t>position</w:t>
      </w:r>
      <w:proofErr w:type="gramEnd"/>
      <w:r w:rsidR="00E04893">
        <w:rPr>
          <w:rFonts w:ascii="Arial" w:hAnsi="Arial" w:cs="Arial"/>
          <w:sz w:val="22"/>
          <w:szCs w:val="22"/>
          <w:lang w:val="en-GB"/>
        </w:rPr>
        <w:t xml:space="preserve"> the mechanism for 'opt-out' should not be used without scrutiny – it may be a court supervisory role could assess the opt-out – this would allow the opt out to be preserved (which is crucial to avoid for example certain subsidiaries from being strongarmed into the rescue plan)</w:t>
      </w:r>
      <w:r w:rsidR="002E05E4">
        <w:rPr>
          <w:rFonts w:ascii="Arial" w:hAnsi="Arial" w:cs="Arial"/>
          <w:sz w:val="22"/>
          <w:szCs w:val="22"/>
          <w:lang w:val="en-GB"/>
        </w:rPr>
        <w:t xml:space="preserve">. </w:t>
      </w:r>
    </w:p>
    <w:p w14:paraId="7CDBB104" w14:textId="1322D56D" w:rsidR="002E05E4" w:rsidRDefault="002E05E4" w:rsidP="00D27C59">
      <w:pPr>
        <w:jc w:val="both"/>
        <w:rPr>
          <w:rFonts w:ascii="Arial" w:hAnsi="Arial" w:cs="Arial"/>
          <w:sz w:val="22"/>
          <w:szCs w:val="22"/>
          <w:lang w:val="en-GB"/>
        </w:rPr>
      </w:pPr>
    </w:p>
    <w:p w14:paraId="3A626A86" w14:textId="4892FC48" w:rsidR="002E05E4" w:rsidRPr="00EE4D73" w:rsidRDefault="002E05E4" w:rsidP="00D27C59">
      <w:pPr>
        <w:jc w:val="both"/>
        <w:rPr>
          <w:rFonts w:ascii="Arial" w:hAnsi="Arial" w:cs="Arial"/>
          <w:sz w:val="22"/>
          <w:szCs w:val="22"/>
          <w:lang w:val="en-GB"/>
        </w:rPr>
      </w:pPr>
      <w:r>
        <w:rPr>
          <w:rFonts w:ascii="Arial" w:hAnsi="Arial" w:cs="Arial"/>
          <w:sz w:val="22"/>
          <w:szCs w:val="22"/>
          <w:lang w:val="en-GB"/>
        </w:rPr>
        <w:t xml:space="preserve">Criticism of the EIR Recast as "modest" </w:t>
      </w:r>
      <w:proofErr w:type="gramStart"/>
      <w:r>
        <w:rPr>
          <w:rFonts w:ascii="Arial" w:hAnsi="Arial" w:cs="Arial"/>
          <w:sz w:val="22"/>
          <w:szCs w:val="22"/>
          <w:lang w:val="en-GB"/>
        </w:rPr>
        <w:t>and also</w:t>
      </w:r>
      <w:proofErr w:type="gramEnd"/>
      <w:r>
        <w:rPr>
          <w:rFonts w:ascii="Arial" w:hAnsi="Arial" w:cs="Arial"/>
          <w:sz w:val="22"/>
          <w:szCs w:val="22"/>
          <w:lang w:val="en-GB"/>
        </w:rPr>
        <w:t xml:space="preserve"> as potentially underwhelming as it does not drastically depart from the previous EIR 2000 although there are new concepts, improvements and innovations the fingerprints of the old regulations are evident in the Recast. </w:t>
      </w:r>
      <w:r w:rsidR="007E7FE2">
        <w:rPr>
          <w:rFonts w:ascii="Arial" w:hAnsi="Arial" w:cs="Arial"/>
          <w:sz w:val="22"/>
          <w:szCs w:val="22"/>
          <w:lang w:val="en-GB"/>
        </w:rPr>
        <w:t xml:space="preserve">The EIR Recast does not attempt to harmonise the member state's domestic laws to provide a consistency bridge to cross-border EU insolvency. The approach of the EU, as with many of the EU instruments is based in pragmatism and incremental, allowing the courts to determine and at times dictate the direction of travel for certain aspects of insolvency </w:t>
      </w:r>
      <w:r w:rsidR="00EE4D73">
        <w:rPr>
          <w:rFonts w:ascii="Arial" w:hAnsi="Arial" w:cs="Arial"/>
          <w:sz w:val="22"/>
          <w:szCs w:val="22"/>
          <w:lang w:val="en-GB"/>
        </w:rPr>
        <w:t xml:space="preserve">(see, </w:t>
      </w:r>
      <w:proofErr w:type="gramStart"/>
      <w:r w:rsidR="00EE4D73">
        <w:rPr>
          <w:rFonts w:ascii="Arial" w:hAnsi="Arial" w:cs="Arial"/>
          <w:sz w:val="22"/>
          <w:szCs w:val="22"/>
          <w:lang w:val="en-GB"/>
        </w:rPr>
        <w:t>e.g.</w:t>
      </w:r>
      <w:proofErr w:type="gramEnd"/>
      <w:r w:rsidR="00EE4D73">
        <w:rPr>
          <w:rFonts w:ascii="Arial" w:hAnsi="Arial" w:cs="Arial"/>
          <w:sz w:val="22"/>
          <w:szCs w:val="22"/>
          <w:lang w:val="en-GB"/>
        </w:rPr>
        <w:t xml:space="preserve"> </w:t>
      </w:r>
      <w:proofErr w:type="spellStart"/>
      <w:r w:rsidR="00EE4D73" w:rsidRPr="00EE4D73">
        <w:rPr>
          <w:rFonts w:ascii="Arial" w:hAnsi="Arial" w:cs="Arial"/>
          <w:i/>
          <w:iCs/>
          <w:sz w:val="22"/>
          <w:szCs w:val="22"/>
          <w:lang w:val="en-GB"/>
        </w:rPr>
        <w:t>Eurofood</w:t>
      </w:r>
      <w:proofErr w:type="spellEnd"/>
      <w:r w:rsidR="00EE4D73">
        <w:rPr>
          <w:rFonts w:ascii="Arial" w:hAnsi="Arial" w:cs="Arial"/>
          <w:sz w:val="22"/>
          <w:szCs w:val="22"/>
          <w:lang w:val="en-GB"/>
        </w:rPr>
        <w:t>). The incremental approach taken in the EIR Recast (</w:t>
      </w:r>
      <w:r w:rsidR="00EE4D73" w:rsidRPr="00EE4D73">
        <w:rPr>
          <w:rFonts w:ascii="Arial" w:hAnsi="Arial" w:cs="Arial"/>
          <w:i/>
          <w:iCs/>
          <w:sz w:val="22"/>
          <w:szCs w:val="22"/>
          <w:lang w:val="en-GB"/>
        </w:rPr>
        <w:t>i.e.</w:t>
      </w:r>
      <w:r w:rsidR="00EE4D73" w:rsidRPr="00EE4D73">
        <w:t xml:space="preserve"> </w:t>
      </w:r>
      <w:r w:rsidR="00EE4D73" w:rsidRPr="00EE4D73">
        <w:rPr>
          <w:rFonts w:ascii="Arial" w:hAnsi="Arial" w:cs="Arial"/>
          <w:i/>
          <w:iCs/>
          <w:sz w:val="22"/>
          <w:szCs w:val="22"/>
          <w:lang w:val="en-GB"/>
        </w:rPr>
        <w:t>theory of public policy making, according to which policies result from a process of interaction and mutual adaptation among a multiplicity of actors advocating different values, representing different interests, and possessing different information</w:t>
      </w:r>
      <w:r w:rsidR="00EE4D73">
        <w:rPr>
          <w:rFonts w:ascii="Arial" w:hAnsi="Arial" w:cs="Arial"/>
          <w:i/>
          <w:iCs/>
          <w:sz w:val="22"/>
          <w:szCs w:val="22"/>
          <w:lang w:val="en-GB"/>
        </w:rPr>
        <w:t xml:space="preserve">, </w:t>
      </w:r>
      <w:r w:rsidR="00EE4D73">
        <w:rPr>
          <w:rFonts w:ascii="Arial" w:hAnsi="Arial" w:cs="Arial"/>
          <w:sz w:val="22"/>
          <w:szCs w:val="22"/>
          <w:lang w:val="en-GB"/>
        </w:rPr>
        <w:t xml:space="preserve">defined by Michael T. Hayes in </w:t>
      </w:r>
      <w:r w:rsidR="0014422D">
        <w:rPr>
          <w:rFonts w:ascii="Arial" w:hAnsi="Arial" w:cs="Arial"/>
          <w:sz w:val="22"/>
          <w:szCs w:val="22"/>
          <w:lang w:val="en-GB"/>
        </w:rPr>
        <w:t xml:space="preserve">"Incrementalism") – this slow developing approach to regulations is frustrating from a policy perspective and at times can be considered regressive, where the regulations are not able to adequately keep up with modern business practices. The criticism that the incrementalism approach of the EIR Recast is a compromise borne out of pragmatism </w:t>
      </w:r>
      <w:proofErr w:type="gramStart"/>
      <w:r w:rsidR="0014422D">
        <w:rPr>
          <w:rFonts w:ascii="Arial" w:hAnsi="Arial" w:cs="Arial"/>
          <w:sz w:val="22"/>
          <w:szCs w:val="22"/>
          <w:lang w:val="en-GB"/>
        </w:rPr>
        <w:t>in an attempt to</w:t>
      </w:r>
      <w:proofErr w:type="gramEnd"/>
      <w:r w:rsidR="0014422D">
        <w:rPr>
          <w:rFonts w:ascii="Arial" w:hAnsi="Arial" w:cs="Arial"/>
          <w:sz w:val="22"/>
          <w:szCs w:val="22"/>
          <w:lang w:val="en-GB"/>
        </w:rPr>
        <w:t xml:space="preserve"> please all parties and reach agreement rather than to enact policy though regulations that will create meaningful change. The Recast is, on one view, a preservation of the status quo with </w:t>
      </w:r>
      <w:proofErr w:type="gramStart"/>
      <w:r w:rsidR="0014422D">
        <w:rPr>
          <w:rFonts w:ascii="Arial" w:hAnsi="Arial" w:cs="Arial"/>
          <w:sz w:val="22"/>
          <w:szCs w:val="22"/>
          <w:lang w:val="en-GB"/>
        </w:rPr>
        <w:t>a some</w:t>
      </w:r>
      <w:proofErr w:type="gramEnd"/>
      <w:r w:rsidR="0014422D">
        <w:rPr>
          <w:rFonts w:ascii="Arial" w:hAnsi="Arial" w:cs="Arial"/>
          <w:sz w:val="22"/>
          <w:szCs w:val="22"/>
          <w:lang w:val="en-GB"/>
        </w:rPr>
        <w:t xml:space="preserve"> new additions. </w:t>
      </w:r>
      <w:proofErr w:type="gramStart"/>
      <w:r w:rsidR="0014422D">
        <w:rPr>
          <w:rFonts w:ascii="Arial" w:hAnsi="Arial" w:cs="Arial"/>
          <w:sz w:val="22"/>
          <w:szCs w:val="22"/>
          <w:lang w:val="en-GB"/>
        </w:rPr>
        <w:t>With regard to</w:t>
      </w:r>
      <w:proofErr w:type="gramEnd"/>
      <w:r w:rsidR="0014422D">
        <w:rPr>
          <w:rFonts w:ascii="Arial" w:hAnsi="Arial" w:cs="Arial"/>
          <w:sz w:val="22"/>
          <w:szCs w:val="22"/>
          <w:lang w:val="en-GB"/>
        </w:rPr>
        <w:t xml:space="preserve"> the Recast, it has prioritised the procedural harmonisation rather than focussing on the harmonisation of the substantive laws of the member states to prevent the considerable imbalance between the members states' respective regimes. While harmonisation has always been a thorn in the side of any international multi-jurisdictional treaty or instrument, the lack of any attempt to harmonise the member state's laws to foster consistency across the EU, in favour the slower-paced incremental approach is a missed opportunity and provisions </w:t>
      </w:r>
      <w:r w:rsidR="00F3321A">
        <w:rPr>
          <w:rFonts w:ascii="Arial" w:hAnsi="Arial" w:cs="Arial"/>
          <w:sz w:val="22"/>
          <w:szCs w:val="22"/>
          <w:lang w:val="en-GB"/>
        </w:rPr>
        <w:t xml:space="preserve">that attempt to harmonise the insolvency rules would be welcomed by some who wish to see more joined up relationships between the member state's insolvency procedures. </w:t>
      </w:r>
    </w:p>
    <w:p w14:paraId="6D939E78" w14:textId="77777777" w:rsidR="00FB0F2E" w:rsidRPr="008500BD" w:rsidRDefault="00FB0F2E"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w:t>
      </w:r>
      <w:r w:rsidR="00627DE9">
        <w:rPr>
          <w:rFonts w:ascii="Arial" w:hAnsi="Arial" w:cs="Arial"/>
          <w:sz w:val="22"/>
          <w:szCs w:val="22"/>
          <w:lang w:val="en-GB"/>
        </w:rPr>
        <w:lastRenderedPageBreak/>
        <w:t>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51EE3A7C" w14:textId="4CA8B35B" w:rsidR="00271D20" w:rsidRPr="000847EF" w:rsidRDefault="00271D20" w:rsidP="002A37BB">
      <w:pPr>
        <w:jc w:val="both"/>
        <w:rPr>
          <w:rFonts w:ascii="Arial" w:hAnsi="Arial" w:cs="Arial"/>
          <w:sz w:val="22"/>
          <w:szCs w:val="22"/>
          <w:lang w:val="en-GB"/>
        </w:rPr>
      </w:pPr>
      <w:r w:rsidRPr="000847EF">
        <w:rPr>
          <w:rFonts w:ascii="Arial" w:hAnsi="Arial" w:cs="Arial"/>
          <w:sz w:val="22"/>
          <w:szCs w:val="22"/>
          <w:lang w:val="en-GB"/>
        </w:rPr>
        <w:t xml:space="preserve">The Dublin High Court will have to determine whether the COMI of Cardinal Home is. Proceedings can only be opened in the jurisdiction of the debtor's COMI. </w:t>
      </w:r>
      <w:r w:rsidR="008C38E4" w:rsidRPr="000847EF">
        <w:rPr>
          <w:rFonts w:ascii="Arial" w:hAnsi="Arial" w:cs="Arial"/>
          <w:sz w:val="22"/>
          <w:szCs w:val="22"/>
          <w:lang w:val="en-GB"/>
        </w:rPr>
        <w:t xml:space="preserve">As the EIR 2000 does not contain a definition of COMI, the Irish court will need to look to case law to assist in determining this question. The </w:t>
      </w:r>
      <w:proofErr w:type="spellStart"/>
      <w:r w:rsidR="008C38E4" w:rsidRPr="000847EF">
        <w:rPr>
          <w:rFonts w:ascii="Arial" w:hAnsi="Arial" w:cs="Arial"/>
          <w:i/>
          <w:iCs/>
          <w:sz w:val="22"/>
          <w:szCs w:val="22"/>
          <w:lang w:val="en-GB"/>
        </w:rPr>
        <w:t>Eurofood</w:t>
      </w:r>
      <w:proofErr w:type="spellEnd"/>
      <w:r w:rsidR="008C38E4" w:rsidRPr="000847EF">
        <w:rPr>
          <w:rFonts w:ascii="Arial" w:hAnsi="Arial" w:cs="Arial"/>
          <w:i/>
          <w:iCs/>
          <w:sz w:val="22"/>
          <w:szCs w:val="22"/>
          <w:lang w:val="en-GB"/>
        </w:rPr>
        <w:t xml:space="preserve"> IFSC</w:t>
      </w:r>
      <w:r w:rsidR="008C38E4" w:rsidRPr="000847EF">
        <w:rPr>
          <w:rFonts w:ascii="Arial" w:hAnsi="Arial" w:cs="Arial"/>
          <w:sz w:val="22"/>
          <w:szCs w:val="22"/>
          <w:lang w:val="en-GB"/>
        </w:rPr>
        <w:t xml:space="preserve"> case is particularly instructive, as the court stressed that the concept of COMI is distinct to the EIR 2000, the meaning of which </w:t>
      </w:r>
      <w:proofErr w:type="gramStart"/>
      <w:r w:rsidR="008C38E4" w:rsidRPr="000847EF">
        <w:rPr>
          <w:rFonts w:ascii="Arial" w:hAnsi="Arial" w:cs="Arial"/>
          <w:sz w:val="22"/>
          <w:szCs w:val="22"/>
          <w:lang w:val="en-GB"/>
        </w:rPr>
        <w:t>was not be</w:t>
      </w:r>
      <w:proofErr w:type="gramEnd"/>
      <w:r w:rsidR="008C38E4" w:rsidRPr="000847EF">
        <w:rPr>
          <w:rFonts w:ascii="Arial" w:hAnsi="Arial" w:cs="Arial"/>
          <w:sz w:val="22"/>
          <w:szCs w:val="22"/>
          <w:lang w:val="en-GB"/>
        </w:rPr>
        <w:t xml:space="preserve"> conflated with what that term may be defined as in domestic legislation. The autonomous nature of the definition is designed to provide certain for, </w:t>
      </w:r>
      <w:r w:rsidR="008C38E4" w:rsidRPr="000847EF">
        <w:rPr>
          <w:rFonts w:ascii="Arial" w:hAnsi="Arial" w:cs="Arial"/>
          <w:i/>
          <w:iCs/>
          <w:sz w:val="22"/>
          <w:szCs w:val="22"/>
          <w:lang w:val="en-GB"/>
        </w:rPr>
        <w:t>inter alios</w:t>
      </w:r>
      <w:r w:rsidR="008C38E4" w:rsidRPr="000847EF">
        <w:rPr>
          <w:rFonts w:ascii="Arial" w:hAnsi="Arial" w:cs="Arial"/>
          <w:sz w:val="22"/>
          <w:szCs w:val="22"/>
          <w:lang w:val="en-GB"/>
        </w:rPr>
        <w:t xml:space="preserve">, creditors. The Irish Court will be required to determine the COMI by reference to objective criteria ascertainable by a third party. As the Cardinal Home is registered in Ireland, and has a physical store in the country, it is more than a 'letterbox' company. There is a real substance and connection to Ireland. </w:t>
      </w:r>
    </w:p>
    <w:p w14:paraId="7EF57B81" w14:textId="2A8FEEB6" w:rsidR="003D7149" w:rsidRPr="000847EF" w:rsidRDefault="003D7149" w:rsidP="002A37BB">
      <w:pPr>
        <w:jc w:val="both"/>
        <w:rPr>
          <w:rFonts w:ascii="Arial" w:hAnsi="Arial" w:cs="Arial"/>
          <w:sz w:val="22"/>
          <w:szCs w:val="22"/>
          <w:lang w:val="en-GB"/>
        </w:rPr>
      </w:pPr>
    </w:p>
    <w:p w14:paraId="6EC596DA" w14:textId="05EE12DA" w:rsidR="003D7149" w:rsidRPr="000847EF" w:rsidRDefault="003D7149" w:rsidP="002A37BB">
      <w:pPr>
        <w:jc w:val="both"/>
        <w:rPr>
          <w:rFonts w:ascii="Arial" w:hAnsi="Arial" w:cs="Arial"/>
          <w:sz w:val="22"/>
          <w:szCs w:val="22"/>
          <w:lang w:val="en-GB"/>
        </w:rPr>
      </w:pPr>
      <w:r w:rsidRPr="000847EF">
        <w:rPr>
          <w:rFonts w:ascii="Arial" w:hAnsi="Arial" w:cs="Arial"/>
          <w:sz w:val="22"/>
          <w:szCs w:val="22"/>
          <w:lang w:val="en-GB"/>
        </w:rPr>
        <w:t xml:space="preserve">In </w:t>
      </w:r>
      <w:proofErr w:type="spellStart"/>
      <w:r w:rsidRPr="000847EF">
        <w:rPr>
          <w:rFonts w:ascii="Arial" w:hAnsi="Arial" w:cs="Arial"/>
          <w:i/>
          <w:iCs/>
          <w:sz w:val="22"/>
          <w:szCs w:val="22"/>
          <w:lang w:val="en-GB"/>
        </w:rPr>
        <w:t>Interredil</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Srl</w:t>
      </w:r>
      <w:proofErr w:type="spellEnd"/>
      <w:r w:rsidRPr="000847EF">
        <w:rPr>
          <w:rFonts w:ascii="Arial" w:hAnsi="Arial" w:cs="Arial"/>
          <w:i/>
          <w:iCs/>
          <w:sz w:val="22"/>
          <w:szCs w:val="22"/>
          <w:lang w:val="en-GB"/>
        </w:rPr>
        <w:t xml:space="preserve"> v </w:t>
      </w:r>
      <w:proofErr w:type="spellStart"/>
      <w:r w:rsidRPr="000847EF">
        <w:rPr>
          <w:rFonts w:ascii="Arial" w:hAnsi="Arial" w:cs="Arial"/>
          <w:i/>
          <w:iCs/>
          <w:sz w:val="22"/>
          <w:szCs w:val="22"/>
          <w:lang w:val="en-GB"/>
        </w:rPr>
        <w:t>Fallimento</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Interedil</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Srl</w:t>
      </w:r>
      <w:proofErr w:type="spellEnd"/>
      <w:r w:rsidRPr="000847EF">
        <w:rPr>
          <w:rFonts w:ascii="Arial" w:hAnsi="Arial" w:cs="Arial"/>
          <w:i/>
          <w:iCs/>
          <w:sz w:val="22"/>
          <w:szCs w:val="22"/>
          <w:lang w:val="en-GB"/>
        </w:rPr>
        <w:t xml:space="preserve"> </w:t>
      </w:r>
      <w:r w:rsidRPr="000847EF">
        <w:rPr>
          <w:rFonts w:ascii="Arial" w:hAnsi="Arial" w:cs="Arial"/>
          <w:sz w:val="22"/>
          <w:szCs w:val="22"/>
          <w:lang w:val="en-GB"/>
        </w:rPr>
        <w:t xml:space="preserve">the CJEU determined that where the management of supervision of the company is in the same place as the registered office and the management decisions of the company are taken in that same place as the registered office, this is presumed to be the COMI. In the present case the signs all point to Dublin/Ireland being the COMI. The fact that immovable property and a bank account are held in Italy will not be sufficient to rebut the presumption that the place of the registered office is also the COMI. </w:t>
      </w:r>
    </w:p>
    <w:p w14:paraId="1A21BDC5" w14:textId="1955F616" w:rsidR="00271D20" w:rsidRPr="000847EF" w:rsidRDefault="003D7149" w:rsidP="002A37BB">
      <w:pPr>
        <w:jc w:val="both"/>
        <w:rPr>
          <w:rFonts w:ascii="Arial" w:hAnsi="Arial" w:cs="Arial"/>
          <w:sz w:val="22"/>
          <w:szCs w:val="22"/>
          <w:lang w:val="en-GB"/>
        </w:rPr>
      </w:pPr>
      <w:r w:rsidRPr="000847EF">
        <w:rPr>
          <w:rFonts w:ascii="Arial" w:hAnsi="Arial" w:cs="Arial"/>
          <w:sz w:val="22"/>
          <w:szCs w:val="22"/>
          <w:lang w:val="en-GB"/>
        </w:rPr>
        <w:t xml:space="preserve"> </w:t>
      </w:r>
    </w:p>
    <w:p w14:paraId="11CE6903" w14:textId="2A7483A9" w:rsidR="003D7149" w:rsidRPr="000847EF" w:rsidRDefault="00F100C3" w:rsidP="002A37BB">
      <w:pPr>
        <w:jc w:val="both"/>
        <w:rPr>
          <w:rFonts w:ascii="Arial" w:hAnsi="Arial" w:cs="Arial"/>
          <w:sz w:val="22"/>
          <w:szCs w:val="22"/>
          <w:lang w:val="en-GB"/>
        </w:rPr>
      </w:pPr>
      <w:r w:rsidRPr="000847EF">
        <w:rPr>
          <w:rFonts w:ascii="Arial" w:hAnsi="Arial" w:cs="Arial"/>
          <w:sz w:val="22"/>
          <w:szCs w:val="22"/>
          <w:lang w:val="en-GB"/>
        </w:rPr>
        <w:t xml:space="preserve">Based on the above facts the courts of Ireland would have jurisdiction to open the requested insolvency proceedings where the COMI is competently assessed as being Ireland. </w:t>
      </w:r>
    </w:p>
    <w:p w14:paraId="44AF0D80" w14:textId="1A163D84" w:rsidR="003E4DB0" w:rsidRDefault="003E4DB0" w:rsidP="002A37BB">
      <w:pPr>
        <w:jc w:val="both"/>
        <w:rPr>
          <w:rFonts w:ascii="Arial" w:hAnsi="Arial" w:cs="Arial"/>
          <w:color w:val="7B7B7B" w:themeColor="accent3" w:themeShade="BF"/>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52EBC5F5" w:rsidR="009B0723" w:rsidRDefault="009B0723" w:rsidP="002A37BB">
      <w:pPr>
        <w:autoSpaceDE w:val="0"/>
        <w:autoSpaceDN w:val="0"/>
        <w:adjustRightInd w:val="0"/>
        <w:jc w:val="both"/>
        <w:rPr>
          <w:rFonts w:ascii="Arial" w:hAnsi="Arial" w:cs="Arial"/>
          <w:sz w:val="22"/>
          <w:szCs w:val="22"/>
          <w:lang w:val="en-GB"/>
        </w:rPr>
      </w:pPr>
    </w:p>
    <w:p w14:paraId="3A16207F" w14:textId="78C61AC8" w:rsidR="00F100C3" w:rsidRDefault="00F100C3"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The EIR Recast will be applicable as the regulation came into force on 26 June 2017. As the proceedings were brought on 30 June 2017 these will be subject to the EIR recast as the applicable regulation governing the insolvency proceedings in Ireland. As the EIR Recast has no retrospective effect, proceedings require to be opened after 26 June 2017</w:t>
      </w:r>
      <w:r w:rsidR="00AE3AE5">
        <w:rPr>
          <w:rFonts w:ascii="Arial" w:hAnsi="Arial" w:cs="Arial"/>
          <w:sz w:val="22"/>
          <w:szCs w:val="22"/>
          <w:lang w:val="en-GB"/>
        </w:rPr>
        <w:t xml:space="preserve"> (Art.84(1))</w:t>
      </w:r>
      <w:r>
        <w:rPr>
          <w:rFonts w:ascii="Arial" w:hAnsi="Arial" w:cs="Arial"/>
          <w:sz w:val="22"/>
          <w:szCs w:val="22"/>
          <w:lang w:val="en-GB"/>
        </w:rPr>
        <w:t xml:space="preserve"> </w:t>
      </w:r>
    </w:p>
    <w:p w14:paraId="68364FB1" w14:textId="069C177D" w:rsidR="00AE3AE5" w:rsidRDefault="00AE3AE5" w:rsidP="002A37BB">
      <w:pPr>
        <w:autoSpaceDE w:val="0"/>
        <w:autoSpaceDN w:val="0"/>
        <w:adjustRightInd w:val="0"/>
        <w:jc w:val="both"/>
        <w:rPr>
          <w:rFonts w:ascii="Arial" w:hAnsi="Arial" w:cs="Arial"/>
          <w:sz w:val="22"/>
          <w:szCs w:val="22"/>
          <w:lang w:val="en-GB"/>
        </w:rPr>
      </w:pPr>
    </w:p>
    <w:p w14:paraId="2D3DD640" w14:textId="2A732185" w:rsidR="00AE3AE5" w:rsidRDefault="00AE3AE5"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company appears to be a regular business engaged in the manufacture and sale of furniture. It would not fall within the excluded category therefore the personal scope can be confirmed. </w:t>
      </w:r>
    </w:p>
    <w:p w14:paraId="1DD9B92B" w14:textId="44A175E5" w:rsidR="00AE3AE5" w:rsidRDefault="00AE3AE5" w:rsidP="002A37BB">
      <w:pPr>
        <w:autoSpaceDE w:val="0"/>
        <w:autoSpaceDN w:val="0"/>
        <w:adjustRightInd w:val="0"/>
        <w:jc w:val="both"/>
        <w:rPr>
          <w:rFonts w:ascii="Arial" w:hAnsi="Arial" w:cs="Arial"/>
          <w:sz w:val="22"/>
          <w:szCs w:val="22"/>
          <w:lang w:val="en-GB"/>
        </w:rPr>
      </w:pPr>
    </w:p>
    <w:p w14:paraId="0134B2C7" w14:textId="146749B7" w:rsidR="00AE3AE5" w:rsidRDefault="00AE3AE5"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In terms of the material scope examinership is listed in Annex A, therefore this has been met and would fall within the scope of the EIR Recast. </w:t>
      </w:r>
    </w:p>
    <w:p w14:paraId="59839EE3" w14:textId="29734727" w:rsidR="00AE3AE5" w:rsidRDefault="00AE3AE5" w:rsidP="002A37BB">
      <w:pPr>
        <w:autoSpaceDE w:val="0"/>
        <w:autoSpaceDN w:val="0"/>
        <w:adjustRightInd w:val="0"/>
        <w:jc w:val="both"/>
        <w:rPr>
          <w:rFonts w:ascii="Arial" w:hAnsi="Arial" w:cs="Arial"/>
          <w:sz w:val="22"/>
          <w:szCs w:val="22"/>
          <w:lang w:val="en-GB"/>
        </w:rPr>
      </w:pPr>
    </w:p>
    <w:p w14:paraId="467D7118" w14:textId="795AB02C" w:rsidR="00AE3AE5" w:rsidRDefault="00AE3AE5"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COMI is located within the EU (Ireland) satisfying the geographical scope. </w:t>
      </w:r>
    </w:p>
    <w:p w14:paraId="44548F6B" w14:textId="7B0ECC1E" w:rsidR="00F100C3" w:rsidRDefault="00F100C3" w:rsidP="002A37BB">
      <w:pPr>
        <w:autoSpaceDE w:val="0"/>
        <w:autoSpaceDN w:val="0"/>
        <w:adjustRightInd w:val="0"/>
        <w:jc w:val="both"/>
        <w:rPr>
          <w:rFonts w:ascii="Arial" w:hAnsi="Arial" w:cs="Arial"/>
          <w:sz w:val="22"/>
          <w:szCs w:val="22"/>
          <w:lang w:val="en-GB"/>
        </w:rPr>
      </w:pPr>
    </w:p>
    <w:p w14:paraId="01B98959" w14:textId="66AE5A03" w:rsidR="00F100C3" w:rsidRDefault="00F100C3"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steps undertaken are as follow: </w:t>
      </w:r>
    </w:p>
    <w:p w14:paraId="49C02105" w14:textId="6ABFA74A" w:rsidR="00F100C3" w:rsidRDefault="00F100C3" w:rsidP="002A37BB">
      <w:pPr>
        <w:autoSpaceDE w:val="0"/>
        <w:autoSpaceDN w:val="0"/>
        <w:adjustRightInd w:val="0"/>
        <w:jc w:val="both"/>
        <w:rPr>
          <w:rFonts w:ascii="Arial" w:hAnsi="Arial" w:cs="Arial"/>
          <w:sz w:val="22"/>
          <w:szCs w:val="22"/>
          <w:lang w:val="en-GB"/>
        </w:rPr>
      </w:pPr>
    </w:p>
    <w:p w14:paraId="55819FFE" w14:textId="2B425B2F" w:rsidR="00F100C3" w:rsidRPr="00A94AE7" w:rsidRDefault="00F100C3" w:rsidP="00A94AE7">
      <w:pPr>
        <w:pStyle w:val="ListParagraph"/>
        <w:numPr>
          <w:ilvl w:val="0"/>
          <w:numId w:val="13"/>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When does it apply in time (temporal scope</w:t>
      </w:r>
      <w:proofErr w:type="gramStart"/>
      <w:r w:rsidRPr="00A94AE7">
        <w:rPr>
          <w:rFonts w:ascii="Arial" w:hAnsi="Arial" w:cs="Arial"/>
          <w:sz w:val="22"/>
          <w:szCs w:val="22"/>
          <w:lang w:val="en-GB"/>
        </w:rPr>
        <w:t>)</w:t>
      </w:r>
      <w:proofErr w:type="gramEnd"/>
      <w:r w:rsidRPr="00A94AE7">
        <w:rPr>
          <w:rFonts w:ascii="Arial" w:hAnsi="Arial" w:cs="Arial"/>
          <w:sz w:val="22"/>
          <w:szCs w:val="22"/>
          <w:lang w:val="en-GB"/>
        </w:rPr>
        <w:t xml:space="preserve"> </w:t>
      </w:r>
    </w:p>
    <w:p w14:paraId="2BB0E887" w14:textId="30EBA07C" w:rsidR="00F100C3" w:rsidRPr="00A94AE7" w:rsidRDefault="00F100C3" w:rsidP="00A94AE7">
      <w:pPr>
        <w:pStyle w:val="ListParagraph"/>
        <w:numPr>
          <w:ilvl w:val="0"/>
          <w:numId w:val="13"/>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 xml:space="preserve">To whom does it apply (personal scope) </w:t>
      </w:r>
    </w:p>
    <w:p w14:paraId="5A786F6A" w14:textId="528F22DB" w:rsidR="00F100C3" w:rsidRPr="00A94AE7" w:rsidRDefault="00F100C3" w:rsidP="00A94AE7">
      <w:pPr>
        <w:pStyle w:val="ListParagraph"/>
        <w:numPr>
          <w:ilvl w:val="0"/>
          <w:numId w:val="13"/>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Which proceedings are covered by it (material scope</w:t>
      </w:r>
      <w:proofErr w:type="gramStart"/>
      <w:r w:rsidRPr="00A94AE7">
        <w:rPr>
          <w:rFonts w:ascii="Arial" w:hAnsi="Arial" w:cs="Arial"/>
          <w:sz w:val="22"/>
          <w:szCs w:val="22"/>
          <w:lang w:val="en-GB"/>
        </w:rPr>
        <w:t>)</w:t>
      </w:r>
      <w:proofErr w:type="gramEnd"/>
      <w:r w:rsidRPr="00A94AE7">
        <w:rPr>
          <w:rFonts w:ascii="Arial" w:hAnsi="Arial" w:cs="Arial"/>
          <w:sz w:val="22"/>
          <w:szCs w:val="22"/>
          <w:lang w:val="en-GB"/>
        </w:rPr>
        <w:t xml:space="preserve"> </w:t>
      </w:r>
    </w:p>
    <w:p w14:paraId="5839088B" w14:textId="751696F5" w:rsidR="00F100C3" w:rsidRPr="00A94AE7" w:rsidRDefault="00F100C3" w:rsidP="00A94AE7">
      <w:pPr>
        <w:pStyle w:val="ListParagraph"/>
        <w:numPr>
          <w:ilvl w:val="0"/>
          <w:numId w:val="13"/>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 xml:space="preserve">What, if any, are the </w:t>
      </w:r>
      <w:r w:rsidR="00A94AE7" w:rsidRPr="00A94AE7">
        <w:rPr>
          <w:rFonts w:ascii="Arial" w:hAnsi="Arial" w:cs="Arial"/>
          <w:sz w:val="22"/>
          <w:szCs w:val="22"/>
          <w:lang w:val="en-GB"/>
        </w:rPr>
        <w:t>geographical</w:t>
      </w:r>
      <w:r w:rsidRPr="00A94AE7">
        <w:rPr>
          <w:rFonts w:ascii="Arial" w:hAnsi="Arial" w:cs="Arial"/>
          <w:sz w:val="22"/>
          <w:szCs w:val="22"/>
          <w:lang w:val="en-GB"/>
        </w:rPr>
        <w:t xml:space="preserve">/territorial limitations, (geographical scope). </w:t>
      </w:r>
    </w:p>
    <w:p w14:paraId="7B510007" w14:textId="6D7B1044" w:rsidR="00F100C3" w:rsidRDefault="00F100C3" w:rsidP="002A37BB">
      <w:pPr>
        <w:autoSpaceDE w:val="0"/>
        <w:autoSpaceDN w:val="0"/>
        <w:adjustRightInd w:val="0"/>
        <w:jc w:val="both"/>
        <w:rPr>
          <w:rFonts w:ascii="Arial" w:hAnsi="Arial" w:cs="Arial"/>
          <w:sz w:val="22"/>
          <w:szCs w:val="22"/>
          <w:lang w:val="en-GB"/>
        </w:rPr>
      </w:pPr>
    </w:p>
    <w:p w14:paraId="252BE722" w14:textId="3C70C4C2" w:rsidR="00F100C3" w:rsidRDefault="00A94AE7" w:rsidP="002A37B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apply the above steps to the facts of Cardinal Home's scenario we can confirm: </w:t>
      </w:r>
    </w:p>
    <w:p w14:paraId="4D391E5E" w14:textId="234ED876" w:rsidR="00A94AE7" w:rsidRDefault="00A94AE7" w:rsidP="002A37BB">
      <w:pPr>
        <w:autoSpaceDE w:val="0"/>
        <w:autoSpaceDN w:val="0"/>
        <w:adjustRightInd w:val="0"/>
        <w:jc w:val="both"/>
        <w:rPr>
          <w:rFonts w:ascii="Arial" w:hAnsi="Arial" w:cs="Arial"/>
          <w:sz w:val="22"/>
          <w:szCs w:val="22"/>
          <w:lang w:val="en-GB"/>
        </w:rPr>
      </w:pPr>
    </w:p>
    <w:p w14:paraId="22D2F851" w14:textId="2D0DA093" w:rsidR="00A94AE7" w:rsidRPr="00A94AE7" w:rsidRDefault="00A94AE7" w:rsidP="00A94AE7">
      <w:pPr>
        <w:pStyle w:val="ListParagraph"/>
        <w:numPr>
          <w:ilvl w:val="0"/>
          <w:numId w:val="14"/>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 xml:space="preserve">The proceedings took place after the EIR Recast was in force. post 26 June 2017. </w:t>
      </w:r>
    </w:p>
    <w:p w14:paraId="43558330" w14:textId="77777777" w:rsidR="00A94AE7" w:rsidRDefault="00A94AE7" w:rsidP="002A37BB">
      <w:pPr>
        <w:autoSpaceDE w:val="0"/>
        <w:autoSpaceDN w:val="0"/>
        <w:adjustRightInd w:val="0"/>
        <w:jc w:val="both"/>
        <w:rPr>
          <w:rFonts w:ascii="Arial" w:hAnsi="Arial" w:cs="Arial"/>
          <w:sz w:val="22"/>
          <w:szCs w:val="22"/>
          <w:lang w:val="en-GB"/>
        </w:rPr>
      </w:pPr>
    </w:p>
    <w:p w14:paraId="0DC05E82" w14:textId="4296A75F" w:rsidR="00A94AE7" w:rsidRPr="00A94AE7" w:rsidRDefault="00A94AE7" w:rsidP="00A94AE7">
      <w:pPr>
        <w:pStyle w:val="ListParagraph"/>
        <w:numPr>
          <w:ilvl w:val="0"/>
          <w:numId w:val="14"/>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 xml:space="preserve">Cardinal Home are not an excluded company/institution within the meaning of the regulations </w:t>
      </w:r>
      <w:proofErr w:type="gramStart"/>
      <w:r w:rsidRPr="00A94AE7">
        <w:rPr>
          <w:rFonts w:ascii="Arial" w:hAnsi="Arial" w:cs="Arial"/>
          <w:i/>
          <w:iCs/>
          <w:sz w:val="22"/>
          <w:szCs w:val="22"/>
          <w:lang w:val="en-GB"/>
        </w:rPr>
        <w:t>i.e.</w:t>
      </w:r>
      <w:proofErr w:type="gramEnd"/>
      <w:r w:rsidRPr="00A94AE7">
        <w:rPr>
          <w:rFonts w:ascii="Arial" w:hAnsi="Arial" w:cs="Arial"/>
          <w:sz w:val="22"/>
          <w:szCs w:val="22"/>
          <w:lang w:val="en-GB"/>
        </w:rPr>
        <w:t xml:space="preserve"> an insurance undertaking, credit institution, investment firm covered by Directive 2001/24/EC or a collective investment undertaking. </w:t>
      </w:r>
    </w:p>
    <w:p w14:paraId="289FC6AC" w14:textId="32E460AB" w:rsidR="00A94AE7" w:rsidRDefault="00A94AE7" w:rsidP="002A37BB">
      <w:pPr>
        <w:autoSpaceDE w:val="0"/>
        <w:autoSpaceDN w:val="0"/>
        <w:adjustRightInd w:val="0"/>
        <w:jc w:val="both"/>
        <w:rPr>
          <w:rFonts w:ascii="Arial" w:hAnsi="Arial" w:cs="Arial"/>
          <w:sz w:val="22"/>
          <w:szCs w:val="22"/>
          <w:lang w:val="en-GB"/>
        </w:rPr>
      </w:pPr>
    </w:p>
    <w:p w14:paraId="7E5D3FCF" w14:textId="28D2EF09" w:rsidR="00A94AE7" w:rsidRPr="00A94AE7" w:rsidRDefault="00A94AE7" w:rsidP="00A94AE7">
      <w:pPr>
        <w:pStyle w:val="ListParagraph"/>
        <w:numPr>
          <w:ilvl w:val="0"/>
          <w:numId w:val="14"/>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The proceeding opened against Cardinal Home (examinership) is listed under Annex A of the EIR Recast</w:t>
      </w:r>
      <w:r w:rsidR="00AE3AE5">
        <w:rPr>
          <w:rFonts w:ascii="Arial" w:hAnsi="Arial" w:cs="Arial"/>
          <w:sz w:val="22"/>
          <w:szCs w:val="22"/>
          <w:lang w:val="en-GB"/>
        </w:rPr>
        <w:t>.</w:t>
      </w:r>
      <w:r w:rsidRPr="00A94AE7">
        <w:rPr>
          <w:rFonts w:ascii="Arial" w:hAnsi="Arial" w:cs="Arial"/>
          <w:sz w:val="22"/>
          <w:szCs w:val="22"/>
          <w:lang w:val="en-GB"/>
        </w:rPr>
        <w:t xml:space="preserve"> </w:t>
      </w:r>
    </w:p>
    <w:p w14:paraId="27E58A80" w14:textId="2BFF1848" w:rsidR="00A94AE7" w:rsidRDefault="00A94AE7" w:rsidP="002A37BB">
      <w:pPr>
        <w:autoSpaceDE w:val="0"/>
        <w:autoSpaceDN w:val="0"/>
        <w:adjustRightInd w:val="0"/>
        <w:jc w:val="both"/>
        <w:rPr>
          <w:rFonts w:ascii="Arial" w:hAnsi="Arial" w:cs="Arial"/>
          <w:sz w:val="22"/>
          <w:szCs w:val="22"/>
          <w:lang w:val="en-GB"/>
        </w:rPr>
      </w:pPr>
    </w:p>
    <w:p w14:paraId="74535C71" w14:textId="5ADC7429" w:rsidR="00A94AE7" w:rsidRDefault="00A94AE7" w:rsidP="00A94AE7">
      <w:pPr>
        <w:pStyle w:val="ListParagraph"/>
        <w:numPr>
          <w:ilvl w:val="0"/>
          <w:numId w:val="14"/>
        </w:numPr>
        <w:autoSpaceDE w:val="0"/>
        <w:autoSpaceDN w:val="0"/>
        <w:adjustRightInd w:val="0"/>
        <w:jc w:val="both"/>
        <w:rPr>
          <w:rFonts w:ascii="Arial" w:hAnsi="Arial" w:cs="Arial"/>
          <w:sz w:val="22"/>
          <w:szCs w:val="22"/>
          <w:lang w:val="en-GB"/>
        </w:rPr>
      </w:pPr>
      <w:r w:rsidRPr="00A94AE7">
        <w:rPr>
          <w:rFonts w:ascii="Arial" w:hAnsi="Arial" w:cs="Arial"/>
          <w:sz w:val="22"/>
          <w:szCs w:val="22"/>
          <w:lang w:val="en-GB"/>
        </w:rPr>
        <w:t xml:space="preserve">Cardinal Home has </w:t>
      </w:r>
      <w:r w:rsidR="00AE3AE5">
        <w:rPr>
          <w:rFonts w:ascii="Arial" w:hAnsi="Arial" w:cs="Arial"/>
          <w:sz w:val="22"/>
          <w:szCs w:val="22"/>
          <w:lang w:val="en-GB"/>
        </w:rPr>
        <w:t xml:space="preserve">its </w:t>
      </w:r>
      <w:r w:rsidRPr="00A94AE7">
        <w:rPr>
          <w:rFonts w:ascii="Arial" w:hAnsi="Arial" w:cs="Arial"/>
          <w:sz w:val="22"/>
          <w:szCs w:val="22"/>
          <w:lang w:val="en-GB"/>
        </w:rPr>
        <w:t xml:space="preserve">COMI in Ireland, a member state of the EU. </w:t>
      </w:r>
    </w:p>
    <w:p w14:paraId="6EC01F25" w14:textId="0A113E86" w:rsidR="00A94AE7" w:rsidRDefault="00A94AE7" w:rsidP="00A94AE7">
      <w:pPr>
        <w:autoSpaceDE w:val="0"/>
        <w:autoSpaceDN w:val="0"/>
        <w:adjustRightInd w:val="0"/>
        <w:jc w:val="both"/>
        <w:rPr>
          <w:rFonts w:ascii="Arial" w:hAnsi="Arial" w:cs="Arial"/>
          <w:sz w:val="22"/>
          <w:szCs w:val="22"/>
          <w:lang w:val="en-GB"/>
        </w:rPr>
      </w:pPr>
    </w:p>
    <w:p w14:paraId="529860A9" w14:textId="40F02B23" w:rsidR="00A94AE7" w:rsidRPr="00A94AE7" w:rsidRDefault="00A94AE7" w:rsidP="00A94AE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On the basis </w:t>
      </w:r>
      <w:proofErr w:type="spellStart"/>
      <w:r>
        <w:rPr>
          <w:rFonts w:ascii="Arial" w:hAnsi="Arial" w:cs="Arial"/>
          <w:sz w:val="22"/>
          <w:szCs w:val="22"/>
          <w:lang w:val="en-GB"/>
        </w:rPr>
        <w:t>i</w:t>
      </w:r>
      <w:proofErr w:type="spellEnd"/>
      <w:r>
        <w:rPr>
          <w:rFonts w:ascii="Arial" w:hAnsi="Arial" w:cs="Arial"/>
          <w:sz w:val="22"/>
          <w:szCs w:val="22"/>
          <w:lang w:val="en-GB"/>
        </w:rPr>
        <w:t xml:space="preserve">-iv can be answered in the affirmative </w:t>
      </w:r>
      <w:r w:rsidR="00AE3AE5">
        <w:rPr>
          <w:rFonts w:ascii="Arial" w:hAnsi="Arial" w:cs="Arial"/>
          <w:sz w:val="22"/>
          <w:szCs w:val="22"/>
          <w:lang w:val="en-GB"/>
        </w:rPr>
        <w:t xml:space="preserve">the EIR recast is applicable to the insolvency proceeding. </w:t>
      </w:r>
    </w:p>
    <w:p w14:paraId="46B02CC6" w14:textId="77777777" w:rsidR="00A94AE7" w:rsidRPr="008500BD" w:rsidRDefault="00A94AE7" w:rsidP="002A37BB">
      <w:pPr>
        <w:autoSpaceDE w:val="0"/>
        <w:autoSpaceDN w:val="0"/>
        <w:adjustRightInd w:val="0"/>
        <w:jc w:val="both"/>
        <w:rPr>
          <w:rFonts w:ascii="Arial" w:hAnsi="Arial" w:cs="Arial"/>
          <w:sz w:val="22"/>
          <w:szCs w:val="22"/>
          <w:lang w:val="en-GB"/>
        </w:rPr>
      </w:pPr>
    </w:p>
    <w:p w14:paraId="70C6A8B6" w14:textId="62FE6563" w:rsidR="00126A4D" w:rsidRPr="008500BD" w:rsidRDefault="00AE3AE5" w:rsidP="00AE3AE5">
      <w:pPr>
        <w:tabs>
          <w:tab w:val="left" w:pos="1830"/>
        </w:tabs>
        <w:autoSpaceDE w:val="0"/>
        <w:autoSpaceDN w:val="0"/>
        <w:adjustRightInd w:val="0"/>
        <w:jc w:val="both"/>
        <w:rPr>
          <w:rFonts w:ascii="Arial" w:hAnsi="Arial" w:cs="Arial"/>
          <w:sz w:val="22"/>
          <w:szCs w:val="22"/>
          <w:lang w:val="en-GB"/>
        </w:rPr>
      </w:pPr>
      <w:r>
        <w:rPr>
          <w:rFonts w:ascii="Arial" w:hAnsi="Arial" w:cs="Arial"/>
          <w:sz w:val="22"/>
          <w:szCs w:val="22"/>
          <w:lang w:val="en-GB"/>
        </w:rPr>
        <w:tab/>
      </w: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5D8F287" w14:textId="707F5620" w:rsidR="0077498C" w:rsidRPr="000847EF" w:rsidRDefault="00AE3AE5" w:rsidP="002A37BB">
      <w:pPr>
        <w:jc w:val="both"/>
        <w:rPr>
          <w:rFonts w:ascii="Arial" w:hAnsi="Arial" w:cs="Arial"/>
          <w:sz w:val="22"/>
          <w:szCs w:val="22"/>
          <w:lang w:val="en-GB"/>
        </w:rPr>
      </w:pPr>
      <w:r w:rsidRPr="000847EF">
        <w:rPr>
          <w:rFonts w:ascii="Arial" w:hAnsi="Arial" w:cs="Arial"/>
          <w:sz w:val="22"/>
          <w:szCs w:val="22"/>
          <w:lang w:val="en-GB"/>
        </w:rPr>
        <w:t xml:space="preserve">The effect of the secondary proceedings will be limited to the assets in Italy only. The law of Italy will govern these proceedings (lex concursus </w:t>
      </w:r>
      <w:proofErr w:type="spellStart"/>
      <w:r w:rsidRPr="000847EF">
        <w:rPr>
          <w:rFonts w:ascii="Arial" w:hAnsi="Arial" w:cs="Arial"/>
          <w:sz w:val="22"/>
          <w:szCs w:val="22"/>
          <w:lang w:val="en-GB"/>
        </w:rPr>
        <w:t>secundarii</w:t>
      </w:r>
      <w:proofErr w:type="spellEnd"/>
      <w:r w:rsidR="00723CEE" w:rsidRPr="000847EF">
        <w:rPr>
          <w:rFonts w:ascii="Arial" w:hAnsi="Arial" w:cs="Arial"/>
          <w:sz w:val="22"/>
          <w:szCs w:val="22"/>
          <w:lang w:val="en-GB"/>
        </w:rPr>
        <w:t>) and will protect the local interests of the Italian bank. If proceedings were filed on before 26 June 2017, the EIR 2000 is still applicable as outlined in Art 84(1) of the Recast. Pursuant to the EIR 2000 the proceedings would have to be winding up proceedings under Art 3(3) of the EIR 2000</w:t>
      </w:r>
      <w:r w:rsidR="00A643BB" w:rsidRPr="000847EF">
        <w:rPr>
          <w:rFonts w:ascii="Arial" w:hAnsi="Arial" w:cs="Arial"/>
          <w:sz w:val="22"/>
          <w:szCs w:val="22"/>
          <w:lang w:val="en-GB"/>
        </w:rPr>
        <w:t xml:space="preserve"> – if the Italian proceedings pre-date the EIR Recast secondary proceedings cannot be brought unless they are winding up proceedings. </w:t>
      </w:r>
    </w:p>
    <w:p w14:paraId="06296A15" w14:textId="7DD76418" w:rsidR="00723CEE" w:rsidRPr="000847EF" w:rsidRDefault="00723CEE" w:rsidP="002A37BB">
      <w:pPr>
        <w:jc w:val="both"/>
        <w:rPr>
          <w:rFonts w:ascii="Arial" w:hAnsi="Arial" w:cs="Arial"/>
          <w:sz w:val="22"/>
          <w:szCs w:val="22"/>
          <w:lang w:val="en-GB"/>
        </w:rPr>
      </w:pPr>
    </w:p>
    <w:p w14:paraId="13B3CC5D" w14:textId="77777777" w:rsidR="00A643BB" w:rsidRPr="000847EF" w:rsidRDefault="00723CEE" w:rsidP="002A37BB">
      <w:pPr>
        <w:jc w:val="both"/>
        <w:rPr>
          <w:rFonts w:ascii="Arial" w:hAnsi="Arial" w:cs="Arial"/>
          <w:sz w:val="22"/>
          <w:szCs w:val="22"/>
          <w:lang w:val="en-GB"/>
        </w:rPr>
      </w:pPr>
      <w:r w:rsidRPr="000847EF">
        <w:rPr>
          <w:rFonts w:ascii="Arial" w:hAnsi="Arial" w:cs="Arial"/>
          <w:sz w:val="22"/>
          <w:szCs w:val="22"/>
          <w:lang w:val="en-GB"/>
        </w:rPr>
        <w:t xml:space="preserve">Assuming that the proceedings are post 26 June 2017, the </w:t>
      </w:r>
      <w:r w:rsidR="00A643BB" w:rsidRPr="000847EF">
        <w:rPr>
          <w:rFonts w:ascii="Arial" w:hAnsi="Arial" w:cs="Arial"/>
          <w:sz w:val="22"/>
          <w:szCs w:val="22"/>
          <w:lang w:val="en-GB"/>
        </w:rPr>
        <w:t xml:space="preserve">requirement for winding up to be the purpose of the secondary proceedings has been abolished. </w:t>
      </w:r>
    </w:p>
    <w:p w14:paraId="53106FC0" w14:textId="77777777" w:rsidR="00A643BB" w:rsidRPr="000847EF" w:rsidRDefault="00A643BB" w:rsidP="002A37BB">
      <w:pPr>
        <w:jc w:val="both"/>
        <w:rPr>
          <w:rFonts w:ascii="Arial" w:hAnsi="Arial" w:cs="Arial"/>
          <w:sz w:val="22"/>
          <w:szCs w:val="22"/>
          <w:lang w:val="en-GB"/>
        </w:rPr>
      </w:pPr>
    </w:p>
    <w:p w14:paraId="09FB5033" w14:textId="5F3EB47F" w:rsidR="00187A34" w:rsidRPr="000847EF" w:rsidRDefault="00A643BB" w:rsidP="000847EF">
      <w:pPr>
        <w:jc w:val="both"/>
        <w:rPr>
          <w:rFonts w:ascii="Arial" w:hAnsi="Arial" w:cs="Arial"/>
          <w:sz w:val="22"/>
          <w:szCs w:val="22"/>
          <w:lang w:val="en-GB"/>
        </w:rPr>
      </w:pPr>
      <w:r w:rsidRPr="000847EF">
        <w:rPr>
          <w:rFonts w:ascii="Arial" w:hAnsi="Arial" w:cs="Arial"/>
          <w:sz w:val="22"/>
          <w:szCs w:val="22"/>
          <w:lang w:val="en-GB"/>
        </w:rPr>
        <w:t xml:space="preserve">The court in </w:t>
      </w:r>
      <w:r w:rsidRPr="000847EF">
        <w:rPr>
          <w:rFonts w:ascii="Arial" w:hAnsi="Arial" w:cs="Arial"/>
          <w:sz w:val="22"/>
          <w:szCs w:val="22"/>
          <w:lang w:val="en-GB"/>
        </w:rPr>
        <w:t xml:space="preserve">In </w:t>
      </w:r>
      <w:proofErr w:type="spellStart"/>
      <w:r w:rsidRPr="000847EF">
        <w:rPr>
          <w:rFonts w:ascii="Arial" w:hAnsi="Arial" w:cs="Arial"/>
          <w:i/>
          <w:iCs/>
          <w:sz w:val="22"/>
          <w:szCs w:val="22"/>
          <w:lang w:val="en-GB"/>
        </w:rPr>
        <w:t>Interredil</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Srl</w:t>
      </w:r>
      <w:proofErr w:type="spellEnd"/>
      <w:r w:rsidRPr="000847EF">
        <w:rPr>
          <w:rFonts w:ascii="Arial" w:hAnsi="Arial" w:cs="Arial"/>
          <w:i/>
          <w:iCs/>
          <w:sz w:val="22"/>
          <w:szCs w:val="22"/>
          <w:lang w:val="en-GB"/>
        </w:rPr>
        <w:t xml:space="preserve"> v </w:t>
      </w:r>
      <w:proofErr w:type="spellStart"/>
      <w:r w:rsidRPr="000847EF">
        <w:rPr>
          <w:rFonts w:ascii="Arial" w:hAnsi="Arial" w:cs="Arial"/>
          <w:i/>
          <w:iCs/>
          <w:sz w:val="22"/>
          <w:szCs w:val="22"/>
          <w:lang w:val="en-GB"/>
        </w:rPr>
        <w:t>Fallimento</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Interedil</w:t>
      </w:r>
      <w:proofErr w:type="spellEnd"/>
      <w:r w:rsidRPr="000847EF">
        <w:rPr>
          <w:rFonts w:ascii="Arial" w:hAnsi="Arial" w:cs="Arial"/>
          <w:i/>
          <w:iCs/>
          <w:sz w:val="22"/>
          <w:szCs w:val="22"/>
          <w:lang w:val="en-GB"/>
        </w:rPr>
        <w:t xml:space="preserve"> </w:t>
      </w:r>
      <w:proofErr w:type="spellStart"/>
      <w:r w:rsidRPr="000847EF">
        <w:rPr>
          <w:rFonts w:ascii="Arial" w:hAnsi="Arial" w:cs="Arial"/>
          <w:i/>
          <w:iCs/>
          <w:sz w:val="22"/>
          <w:szCs w:val="22"/>
          <w:lang w:val="en-GB"/>
        </w:rPr>
        <w:t>Srl</w:t>
      </w:r>
      <w:proofErr w:type="spellEnd"/>
      <w:r w:rsidRPr="000847EF">
        <w:rPr>
          <w:rFonts w:ascii="Arial" w:hAnsi="Arial" w:cs="Arial"/>
          <w:i/>
          <w:iCs/>
          <w:sz w:val="22"/>
          <w:szCs w:val="22"/>
          <w:lang w:val="en-GB"/>
        </w:rPr>
        <w:t xml:space="preserve"> </w:t>
      </w:r>
      <w:r w:rsidRPr="000847EF">
        <w:rPr>
          <w:rFonts w:ascii="Arial" w:hAnsi="Arial" w:cs="Arial"/>
          <w:sz w:val="22"/>
          <w:szCs w:val="22"/>
          <w:lang w:val="en-GB"/>
        </w:rPr>
        <w:t xml:space="preserve">determined that the definition of establishment connections the pursuit of an economic activity to the presence of human resources, shows a minimum level of organisation and a degree of stability is required. While the presence of goods and a bank account will not satisfy the classification of an "establishment" on their own.  </w:t>
      </w:r>
      <w:r w:rsidRPr="000847EF">
        <w:rPr>
          <w:rFonts w:ascii="Arial" w:hAnsi="Arial" w:cs="Arial"/>
          <w:sz w:val="22"/>
          <w:szCs w:val="22"/>
          <w:lang w:val="en-GB"/>
        </w:rPr>
        <w:t xml:space="preserve">Cardinal Home needs to show an establishment (Art 3(2)) in Italy. The warehouse </w:t>
      </w:r>
      <w:r w:rsidRPr="000847EF">
        <w:rPr>
          <w:rFonts w:ascii="Arial" w:hAnsi="Arial" w:cs="Arial"/>
          <w:sz w:val="22"/>
          <w:szCs w:val="22"/>
          <w:lang w:val="en-GB"/>
        </w:rPr>
        <w:t>c</w:t>
      </w:r>
      <w:r w:rsidRPr="000847EF">
        <w:rPr>
          <w:rFonts w:ascii="Arial" w:hAnsi="Arial" w:cs="Arial"/>
          <w:sz w:val="22"/>
          <w:szCs w:val="22"/>
          <w:lang w:val="en-GB"/>
        </w:rPr>
        <w:t>ould constitute a place of operations carrying out non-transitory economic activity and an establishment in Italy could be able to be determined on that basis</w:t>
      </w:r>
      <w:r w:rsidRPr="000847EF">
        <w:rPr>
          <w:rFonts w:ascii="Arial" w:hAnsi="Arial" w:cs="Arial"/>
          <w:sz w:val="22"/>
          <w:szCs w:val="22"/>
          <w:lang w:val="en-GB"/>
        </w:rPr>
        <w:t xml:space="preserve"> if there is some human presence there – if the warehouse is merely for the storage of goods </w:t>
      </w:r>
      <w:r w:rsidRPr="000847EF">
        <w:rPr>
          <w:rFonts w:ascii="Arial" w:hAnsi="Arial" w:cs="Arial"/>
          <w:sz w:val="22"/>
          <w:szCs w:val="22"/>
          <w:lang w:val="en-GB"/>
        </w:rPr>
        <w:lastRenderedPageBreak/>
        <w:t>and an account is held with an Italian bank, establishing Italy as an establishment for the purposes of the Recast may be more problematic. These factors (particularly the lack of human recourses in the operation in Italy) would potentially</w:t>
      </w:r>
      <w:r w:rsidRPr="000847EF">
        <w:rPr>
          <w:rFonts w:ascii="Arial" w:hAnsi="Arial" w:cs="Arial"/>
          <w:sz w:val="22"/>
          <w:szCs w:val="22"/>
          <w:lang w:val="en-GB"/>
        </w:rPr>
        <w:t xml:space="preserve"> </w:t>
      </w:r>
      <w:r w:rsidRPr="000847EF">
        <w:rPr>
          <w:rFonts w:ascii="Arial" w:hAnsi="Arial" w:cs="Arial"/>
          <w:sz w:val="22"/>
          <w:szCs w:val="22"/>
          <w:lang w:val="en-GB"/>
        </w:rPr>
        <w:t xml:space="preserve">no be ascertainable to third parties and therefore may struggle to me the objective criteria for establishment under Art 2(10) of the EIR Recast. </w:t>
      </w:r>
    </w:p>
    <w:p w14:paraId="039F5411" w14:textId="77777777" w:rsidR="000847EF" w:rsidRPr="008500BD" w:rsidRDefault="000847EF" w:rsidP="000847EF">
      <w:pPr>
        <w:jc w:val="both"/>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38E20C88" w:rsidR="00D509A5" w:rsidRPr="009B4976" w:rsidRDefault="00515BDF" w:rsidP="009B4976">
    <w:pPr>
      <w:pStyle w:val="Footer"/>
      <w:ind w:right="360"/>
      <w:rPr>
        <w:rFonts w:ascii="Arial" w:hAnsi="Arial" w:cs="Arial"/>
        <w:sz w:val="18"/>
        <w:szCs w:val="18"/>
        <w:lang w:val="en-GB"/>
      </w:rPr>
    </w:pPr>
    <w:r>
      <w:rPr>
        <w:rFonts w:ascii="Arial" w:hAnsi="Arial" w:cs="Arial"/>
        <w:sz w:val="18"/>
        <w:szCs w:val="18"/>
        <w:lang w:val="en-GB"/>
      </w:rPr>
      <w:t>202122-621</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974"/>
    <w:multiLevelType w:val="hybridMultilevel"/>
    <w:tmpl w:val="81843E90"/>
    <w:lvl w:ilvl="0" w:tplc="0E5E756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3CF01A6"/>
    <w:multiLevelType w:val="hybridMultilevel"/>
    <w:tmpl w:val="E1A617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85C24B6"/>
    <w:multiLevelType w:val="hybridMultilevel"/>
    <w:tmpl w:val="02605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177406">
    <w:abstractNumId w:val="2"/>
  </w:num>
  <w:num w:numId="2" w16cid:durableId="560870139">
    <w:abstractNumId w:val="10"/>
  </w:num>
  <w:num w:numId="3" w16cid:durableId="124547777">
    <w:abstractNumId w:val="4"/>
  </w:num>
  <w:num w:numId="4" w16cid:durableId="512961064">
    <w:abstractNumId w:val="12"/>
  </w:num>
  <w:num w:numId="5" w16cid:durableId="835194025">
    <w:abstractNumId w:val="9"/>
  </w:num>
  <w:num w:numId="6" w16cid:durableId="1305697252">
    <w:abstractNumId w:val="11"/>
  </w:num>
  <w:num w:numId="7" w16cid:durableId="1688359990">
    <w:abstractNumId w:val="1"/>
  </w:num>
  <w:num w:numId="8" w16cid:durableId="2041083609">
    <w:abstractNumId w:val="6"/>
  </w:num>
  <w:num w:numId="9" w16cid:durableId="1541554749">
    <w:abstractNumId w:val="5"/>
  </w:num>
  <w:num w:numId="10" w16cid:durableId="386538829">
    <w:abstractNumId w:val="3"/>
  </w:num>
  <w:num w:numId="11" w16cid:durableId="1529562143">
    <w:abstractNumId w:val="8"/>
  </w:num>
  <w:num w:numId="12" w16cid:durableId="1024861105">
    <w:abstractNumId w:val="0"/>
  </w:num>
  <w:num w:numId="13" w16cid:durableId="719403935">
    <w:abstractNumId w:val="13"/>
  </w:num>
  <w:num w:numId="14" w16cid:durableId="105404046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47EF"/>
    <w:rsid w:val="000851CC"/>
    <w:rsid w:val="00087CD6"/>
    <w:rsid w:val="00093BE8"/>
    <w:rsid w:val="000A68ED"/>
    <w:rsid w:val="000A7BF9"/>
    <w:rsid w:val="000B5FF1"/>
    <w:rsid w:val="000B609F"/>
    <w:rsid w:val="000B6A10"/>
    <w:rsid w:val="000D34E1"/>
    <w:rsid w:val="000D55A8"/>
    <w:rsid w:val="000E4841"/>
    <w:rsid w:val="000F1677"/>
    <w:rsid w:val="000F3D6C"/>
    <w:rsid w:val="00101707"/>
    <w:rsid w:val="00113E29"/>
    <w:rsid w:val="0011473D"/>
    <w:rsid w:val="0011548B"/>
    <w:rsid w:val="00115C85"/>
    <w:rsid w:val="00123855"/>
    <w:rsid w:val="00126A4D"/>
    <w:rsid w:val="00134C11"/>
    <w:rsid w:val="0014171F"/>
    <w:rsid w:val="0014422D"/>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1344"/>
    <w:rsid w:val="00202DFE"/>
    <w:rsid w:val="00203720"/>
    <w:rsid w:val="0020725B"/>
    <w:rsid w:val="002110F1"/>
    <w:rsid w:val="00222FB5"/>
    <w:rsid w:val="0023316C"/>
    <w:rsid w:val="0024116D"/>
    <w:rsid w:val="00241B44"/>
    <w:rsid w:val="00241FA3"/>
    <w:rsid w:val="00244C44"/>
    <w:rsid w:val="00245EFB"/>
    <w:rsid w:val="0025386E"/>
    <w:rsid w:val="002638B0"/>
    <w:rsid w:val="0026647A"/>
    <w:rsid w:val="002668D3"/>
    <w:rsid w:val="00271D20"/>
    <w:rsid w:val="0027299F"/>
    <w:rsid w:val="00284EBE"/>
    <w:rsid w:val="0029433F"/>
    <w:rsid w:val="00294829"/>
    <w:rsid w:val="0029690F"/>
    <w:rsid w:val="00297C8A"/>
    <w:rsid w:val="002A2A60"/>
    <w:rsid w:val="002A37BB"/>
    <w:rsid w:val="002B1C45"/>
    <w:rsid w:val="002C13C8"/>
    <w:rsid w:val="002C2332"/>
    <w:rsid w:val="002C3547"/>
    <w:rsid w:val="002D0021"/>
    <w:rsid w:val="002D07CB"/>
    <w:rsid w:val="002D3473"/>
    <w:rsid w:val="002E05E4"/>
    <w:rsid w:val="002E4CF1"/>
    <w:rsid w:val="002F0C29"/>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738C"/>
    <w:rsid w:val="003C4342"/>
    <w:rsid w:val="003C4471"/>
    <w:rsid w:val="003C4BCB"/>
    <w:rsid w:val="003D0A6D"/>
    <w:rsid w:val="003D1974"/>
    <w:rsid w:val="003D7149"/>
    <w:rsid w:val="003E0B16"/>
    <w:rsid w:val="003E4DB0"/>
    <w:rsid w:val="003E6081"/>
    <w:rsid w:val="003E67D1"/>
    <w:rsid w:val="00404329"/>
    <w:rsid w:val="00405DC1"/>
    <w:rsid w:val="00415F1F"/>
    <w:rsid w:val="004202D2"/>
    <w:rsid w:val="0042108F"/>
    <w:rsid w:val="00430FED"/>
    <w:rsid w:val="00434A8C"/>
    <w:rsid w:val="00437297"/>
    <w:rsid w:val="00442B1B"/>
    <w:rsid w:val="00444284"/>
    <w:rsid w:val="00445CE6"/>
    <w:rsid w:val="004534C2"/>
    <w:rsid w:val="0045446F"/>
    <w:rsid w:val="00455A64"/>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2EBF"/>
    <w:rsid w:val="004F4AF9"/>
    <w:rsid w:val="004F5FDF"/>
    <w:rsid w:val="00515BDF"/>
    <w:rsid w:val="005177FE"/>
    <w:rsid w:val="0052263B"/>
    <w:rsid w:val="00524728"/>
    <w:rsid w:val="005331CA"/>
    <w:rsid w:val="00537970"/>
    <w:rsid w:val="00540E3A"/>
    <w:rsid w:val="00544127"/>
    <w:rsid w:val="00544F6E"/>
    <w:rsid w:val="005463A9"/>
    <w:rsid w:val="00553EB2"/>
    <w:rsid w:val="00560534"/>
    <w:rsid w:val="0056336D"/>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3CEE"/>
    <w:rsid w:val="0073158B"/>
    <w:rsid w:val="007333CC"/>
    <w:rsid w:val="0073399A"/>
    <w:rsid w:val="00740F53"/>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E7FE2"/>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2F61"/>
    <w:rsid w:val="00874240"/>
    <w:rsid w:val="00881DE6"/>
    <w:rsid w:val="008837A6"/>
    <w:rsid w:val="00887046"/>
    <w:rsid w:val="0089145D"/>
    <w:rsid w:val="00894C1D"/>
    <w:rsid w:val="00897A78"/>
    <w:rsid w:val="008A4DF2"/>
    <w:rsid w:val="008A6CFE"/>
    <w:rsid w:val="008B5333"/>
    <w:rsid w:val="008B6223"/>
    <w:rsid w:val="008B699B"/>
    <w:rsid w:val="008C38E4"/>
    <w:rsid w:val="008C4AC6"/>
    <w:rsid w:val="008C66E0"/>
    <w:rsid w:val="008D62F7"/>
    <w:rsid w:val="008D6BA8"/>
    <w:rsid w:val="008E0EC8"/>
    <w:rsid w:val="008E3339"/>
    <w:rsid w:val="008E7371"/>
    <w:rsid w:val="008F20FC"/>
    <w:rsid w:val="008F5FFE"/>
    <w:rsid w:val="00905A43"/>
    <w:rsid w:val="00912C79"/>
    <w:rsid w:val="00914A23"/>
    <w:rsid w:val="009350F3"/>
    <w:rsid w:val="00935A21"/>
    <w:rsid w:val="00942123"/>
    <w:rsid w:val="0095128F"/>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43BB"/>
    <w:rsid w:val="00A6627C"/>
    <w:rsid w:val="00A71019"/>
    <w:rsid w:val="00A756EB"/>
    <w:rsid w:val="00A81029"/>
    <w:rsid w:val="00A94AE7"/>
    <w:rsid w:val="00A96489"/>
    <w:rsid w:val="00AB685C"/>
    <w:rsid w:val="00AB6C2D"/>
    <w:rsid w:val="00AC08F7"/>
    <w:rsid w:val="00AC3839"/>
    <w:rsid w:val="00AC7082"/>
    <w:rsid w:val="00AD2931"/>
    <w:rsid w:val="00AD513F"/>
    <w:rsid w:val="00AD6870"/>
    <w:rsid w:val="00AE2316"/>
    <w:rsid w:val="00AE3AE5"/>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27C59"/>
    <w:rsid w:val="00D509A5"/>
    <w:rsid w:val="00D56B4E"/>
    <w:rsid w:val="00D608A4"/>
    <w:rsid w:val="00D60E46"/>
    <w:rsid w:val="00D61D53"/>
    <w:rsid w:val="00D63EFD"/>
    <w:rsid w:val="00D651FD"/>
    <w:rsid w:val="00D75351"/>
    <w:rsid w:val="00D84752"/>
    <w:rsid w:val="00D86B3B"/>
    <w:rsid w:val="00D8748A"/>
    <w:rsid w:val="00D93196"/>
    <w:rsid w:val="00D95496"/>
    <w:rsid w:val="00DA0DC0"/>
    <w:rsid w:val="00DA3FCB"/>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4893"/>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255"/>
    <w:rsid w:val="00E77C3D"/>
    <w:rsid w:val="00E81160"/>
    <w:rsid w:val="00E83CE8"/>
    <w:rsid w:val="00E8415C"/>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E4D73"/>
    <w:rsid w:val="00EF090E"/>
    <w:rsid w:val="00F01085"/>
    <w:rsid w:val="00F033DA"/>
    <w:rsid w:val="00F100C3"/>
    <w:rsid w:val="00F13FB1"/>
    <w:rsid w:val="00F27CD8"/>
    <w:rsid w:val="00F30351"/>
    <w:rsid w:val="00F3321A"/>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0F2E"/>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849616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Balmer</cp:lastModifiedBy>
  <cp:revision>3</cp:revision>
  <cp:lastPrinted>2019-08-27T05:42:00Z</cp:lastPrinted>
  <dcterms:created xsi:type="dcterms:W3CDTF">2022-07-31T20:44:00Z</dcterms:created>
  <dcterms:modified xsi:type="dcterms:W3CDTF">2022-07-31T20:48:00Z</dcterms:modified>
</cp:coreProperties>
</file>