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D81B59" w:rsidRDefault="007B0809" w:rsidP="004F49B5">
      <w:pPr>
        <w:pStyle w:val="AODocTxt"/>
        <w:numPr>
          <w:ilvl w:val="0"/>
          <w:numId w:val="2"/>
        </w:numPr>
        <w:spacing w:before="0" w:line="240" w:lineRule="auto"/>
        <w:ind w:left="426"/>
        <w:rPr>
          <w:rFonts w:ascii="Arial" w:hAnsi="Arial" w:cs="Arial"/>
          <w:highlight w:val="yellow"/>
        </w:rPr>
      </w:pPr>
      <w:r w:rsidRPr="00D81B59">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9320BB" w:rsidRDefault="007B0809" w:rsidP="004F49B5">
      <w:pPr>
        <w:pStyle w:val="AODocTxt"/>
        <w:numPr>
          <w:ilvl w:val="0"/>
          <w:numId w:val="3"/>
        </w:numPr>
        <w:spacing w:before="0" w:line="240" w:lineRule="auto"/>
        <w:ind w:left="426"/>
        <w:rPr>
          <w:rFonts w:ascii="Arial" w:hAnsi="Arial" w:cs="Arial"/>
          <w:highlight w:val="yellow"/>
        </w:rPr>
      </w:pPr>
      <w:r w:rsidRPr="009320BB">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40143A85" w14:textId="77777777" w:rsidR="002C5DE5" w:rsidRDefault="007B0809" w:rsidP="002C5DE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58BAFE10" w14:textId="77777777" w:rsidR="002C5DE5" w:rsidRDefault="002C5DE5" w:rsidP="002C5DE5">
      <w:pPr>
        <w:pStyle w:val="AODocTxt"/>
        <w:spacing w:before="0" w:line="240" w:lineRule="auto"/>
        <w:ind w:left="426"/>
        <w:rPr>
          <w:rFonts w:ascii="Arial" w:hAnsi="Arial" w:cs="Arial"/>
        </w:rPr>
      </w:pPr>
    </w:p>
    <w:p w14:paraId="73A41698" w14:textId="6315DC8D" w:rsidR="007B0809" w:rsidRPr="002C5DE5" w:rsidRDefault="007B0809" w:rsidP="002C5DE5">
      <w:pPr>
        <w:pStyle w:val="AODocTxt"/>
        <w:numPr>
          <w:ilvl w:val="0"/>
          <w:numId w:val="4"/>
        </w:numPr>
        <w:spacing w:before="0" w:line="240" w:lineRule="auto"/>
        <w:ind w:left="426"/>
        <w:rPr>
          <w:rFonts w:ascii="Arial" w:hAnsi="Arial" w:cs="Arial"/>
        </w:rPr>
      </w:pPr>
      <w:r w:rsidRPr="002C5DE5">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917227" w:rsidRDefault="007B0809" w:rsidP="004F49B5">
      <w:pPr>
        <w:pStyle w:val="AODocTxt"/>
        <w:numPr>
          <w:ilvl w:val="0"/>
          <w:numId w:val="5"/>
        </w:numPr>
        <w:spacing w:before="0" w:line="240" w:lineRule="auto"/>
        <w:ind w:left="426"/>
        <w:rPr>
          <w:rFonts w:ascii="Arial" w:hAnsi="Arial" w:cs="Arial"/>
          <w:highlight w:val="yellow"/>
        </w:rPr>
      </w:pPr>
      <w:r w:rsidRPr="00917227">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F130B8" w:rsidRDefault="007B0809" w:rsidP="004F49B5">
      <w:pPr>
        <w:pStyle w:val="AODocTxt"/>
        <w:numPr>
          <w:ilvl w:val="0"/>
          <w:numId w:val="6"/>
        </w:numPr>
        <w:spacing w:before="0" w:line="240" w:lineRule="auto"/>
        <w:ind w:left="426"/>
        <w:rPr>
          <w:rFonts w:ascii="Arial" w:hAnsi="Arial" w:cs="Arial"/>
          <w:highlight w:val="yellow"/>
        </w:rPr>
      </w:pPr>
      <w:r w:rsidRPr="00F130B8">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731096" w:rsidRDefault="007B0809" w:rsidP="004F49B5">
      <w:pPr>
        <w:pStyle w:val="AODocTxt"/>
        <w:numPr>
          <w:ilvl w:val="0"/>
          <w:numId w:val="7"/>
        </w:numPr>
        <w:spacing w:before="0" w:line="240" w:lineRule="auto"/>
        <w:ind w:left="426"/>
        <w:rPr>
          <w:rFonts w:ascii="Arial" w:hAnsi="Arial" w:cs="Arial"/>
          <w:highlight w:val="yellow"/>
        </w:rPr>
      </w:pPr>
      <w:r w:rsidRPr="00731096">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B2B7B" w:rsidRDefault="007B0809" w:rsidP="004F49B5">
      <w:pPr>
        <w:pStyle w:val="AODocTxt"/>
        <w:numPr>
          <w:ilvl w:val="0"/>
          <w:numId w:val="8"/>
        </w:numPr>
        <w:spacing w:before="0" w:line="240" w:lineRule="auto"/>
        <w:ind w:left="426"/>
        <w:rPr>
          <w:rFonts w:ascii="Arial" w:hAnsi="Arial" w:cs="Arial"/>
          <w:highlight w:val="yellow"/>
        </w:rPr>
      </w:pPr>
      <w:r w:rsidRPr="00CB2B7B">
        <w:rPr>
          <w:rFonts w:ascii="Arial" w:hAnsi="Arial" w:cs="Arial"/>
          <w:highlight w:val="yellow"/>
        </w:rPr>
        <w:t>The automatic stay applies upon the filing of a petition for recognition.</w:t>
      </w:r>
      <w:r w:rsidR="00F92140" w:rsidRPr="00CB2B7B">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4D1B14" w:rsidRDefault="007B0809" w:rsidP="004F49B5">
      <w:pPr>
        <w:pStyle w:val="AODocTxt"/>
        <w:numPr>
          <w:ilvl w:val="0"/>
          <w:numId w:val="9"/>
        </w:numPr>
        <w:spacing w:before="0" w:line="240" w:lineRule="auto"/>
        <w:ind w:left="426"/>
        <w:rPr>
          <w:rFonts w:ascii="Arial" w:hAnsi="Arial" w:cs="Arial"/>
          <w:highlight w:val="yellow"/>
        </w:rPr>
      </w:pPr>
      <w:r w:rsidRPr="004D1B14">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4040DB" w:rsidRDefault="007B0809" w:rsidP="004F49B5">
      <w:pPr>
        <w:pStyle w:val="AODocTxt"/>
        <w:numPr>
          <w:ilvl w:val="0"/>
          <w:numId w:val="10"/>
        </w:numPr>
        <w:spacing w:before="0" w:line="240" w:lineRule="auto"/>
        <w:ind w:left="426"/>
        <w:rPr>
          <w:rFonts w:ascii="Arial" w:hAnsi="Arial" w:cs="Arial"/>
          <w:highlight w:val="yellow"/>
        </w:rPr>
      </w:pPr>
      <w:r w:rsidRPr="004040DB">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4040DB" w:rsidRDefault="007B0809" w:rsidP="004F49B5">
      <w:pPr>
        <w:pStyle w:val="AODocTxt"/>
        <w:numPr>
          <w:ilvl w:val="0"/>
          <w:numId w:val="10"/>
        </w:numPr>
        <w:spacing w:before="0" w:line="240" w:lineRule="auto"/>
        <w:ind w:left="426"/>
        <w:rPr>
          <w:rFonts w:ascii="Arial" w:hAnsi="Arial" w:cs="Arial"/>
        </w:rPr>
      </w:pPr>
      <w:r w:rsidRPr="004040DB">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AF42E1" w:rsidRDefault="007B0809" w:rsidP="004F49B5">
      <w:pPr>
        <w:pStyle w:val="AODocTxt"/>
        <w:numPr>
          <w:ilvl w:val="0"/>
          <w:numId w:val="11"/>
        </w:numPr>
        <w:spacing w:before="0" w:line="240" w:lineRule="auto"/>
        <w:ind w:left="426"/>
        <w:rPr>
          <w:rFonts w:ascii="Arial" w:hAnsi="Arial" w:cs="Arial"/>
        </w:rPr>
      </w:pPr>
      <w:r w:rsidRPr="00AF42E1">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AF42E1" w:rsidRDefault="007B0809" w:rsidP="004F49B5">
      <w:pPr>
        <w:pStyle w:val="AODocTxt"/>
        <w:numPr>
          <w:ilvl w:val="0"/>
          <w:numId w:val="11"/>
        </w:numPr>
        <w:spacing w:before="0" w:line="240" w:lineRule="auto"/>
        <w:ind w:left="426"/>
        <w:rPr>
          <w:rFonts w:ascii="Arial" w:hAnsi="Arial" w:cs="Arial"/>
          <w:highlight w:val="yellow"/>
        </w:rPr>
      </w:pPr>
      <w:r w:rsidRPr="00AF42E1">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65886987" w:rsidR="00E12EC4" w:rsidRDefault="008A164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is one commenced by the debtor</w:t>
      </w:r>
      <w:r w:rsidR="00C6240C">
        <w:rPr>
          <w:rFonts w:ascii="Arial" w:hAnsi="Arial" w:cs="Arial"/>
          <w:color w:val="7B7B7B" w:themeColor="accent3" w:themeShade="BF"/>
          <w:sz w:val="22"/>
          <w:szCs w:val="22"/>
          <w:lang w:val="en-GB"/>
        </w:rPr>
        <w:t xml:space="preserve">.  Such voluntary petitions can be commenced </w:t>
      </w:r>
      <w:r>
        <w:rPr>
          <w:rFonts w:ascii="Arial" w:hAnsi="Arial" w:cs="Arial"/>
          <w:color w:val="7B7B7B" w:themeColor="accent3" w:themeShade="BF"/>
          <w:sz w:val="22"/>
          <w:szCs w:val="22"/>
          <w:lang w:val="en-GB"/>
        </w:rPr>
        <w:t>under any chapter (i.e. chapter</w:t>
      </w:r>
      <w:r w:rsidR="00C6240C">
        <w:rPr>
          <w:rFonts w:ascii="Arial" w:hAnsi="Arial" w:cs="Arial"/>
          <w:color w:val="7B7B7B" w:themeColor="accent3" w:themeShade="BF"/>
          <w:sz w:val="22"/>
          <w:szCs w:val="22"/>
          <w:lang w:val="en-GB"/>
        </w:rPr>
        <w:t>s 7, 11 or 15</w:t>
      </w:r>
      <w:r>
        <w:rPr>
          <w:rFonts w:ascii="Arial" w:hAnsi="Arial" w:cs="Arial"/>
          <w:color w:val="7B7B7B" w:themeColor="accent3" w:themeShade="BF"/>
          <w:sz w:val="22"/>
          <w:szCs w:val="22"/>
          <w:lang w:val="en-GB"/>
        </w:rPr>
        <w:t>).</w:t>
      </w:r>
    </w:p>
    <w:p w14:paraId="25A329B0" w14:textId="7F82FB08" w:rsidR="008A164F" w:rsidRDefault="008A164F" w:rsidP="00E12EC4">
      <w:pPr>
        <w:jc w:val="both"/>
        <w:rPr>
          <w:rFonts w:ascii="Arial" w:hAnsi="Arial" w:cs="Arial"/>
          <w:color w:val="7B7B7B" w:themeColor="accent3" w:themeShade="BF"/>
          <w:sz w:val="22"/>
          <w:szCs w:val="22"/>
          <w:lang w:val="en-GB"/>
        </w:rPr>
      </w:pPr>
    </w:p>
    <w:p w14:paraId="24C7FA94" w14:textId="583843CE" w:rsidR="00B11320" w:rsidRPr="00B11320" w:rsidRDefault="008A164F" w:rsidP="00B11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involuntary petition for bankruptcy is one commenced by a creditor against a</w:t>
      </w:r>
      <w:r w:rsidR="00C6240C">
        <w:rPr>
          <w:rFonts w:ascii="Arial" w:hAnsi="Arial" w:cs="Arial"/>
          <w:color w:val="7B7B7B" w:themeColor="accent3" w:themeShade="BF"/>
          <w:sz w:val="22"/>
          <w:szCs w:val="22"/>
          <w:lang w:val="en-GB"/>
        </w:rPr>
        <w:t>n eligible</w:t>
      </w:r>
      <w:r>
        <w:rPr>
          <w:rFonts w:ascii="Arial" w:hAnsi="Arial" w:cs="Arial"/>
          <w:color w:val="7B7B7B" w:themeColor="accent3" w:themeShade="BF"/>
          <w:sz w:val="22"/>
          <w:szCs w:val="22"/>
          <w:lang w:val="en-GB"/>
        </w:rPr>
        <w:t xml:space="preserve"> debtor.  It should be noted that involuntary petitions for bankruptcy may only be commenced under chapter</w:t>
      </w:r>
      <w:r w:rsidR="00C6240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7 or 11</w:t>
      </w:r>
      <w:r w:rsidR="003053FA">
        <w:rPr>
          <w:rFonts w:ascii="Arial" w:hAnsi="Arial" w:cs="Arial"/>
          <w:color w:val="7B7B7B" w:themeColor="accent3" w:themeShade="BF"/>
          <w:sz w:val="22"/>
          <w:szCs w:val="22"/>
          <w:lang w:val="en-GB"/>
        </w:rPr>
        <w:t xml:space="preserve"> </w:t>
      </w:r>
      <w:r w:rsidR="00C6240C">
        <w:rPr>
          <w:rFonts w:ascii="Arial" w:hAnsi="Arial" w:cs="Arial"/>
          <w:color w:val="7B7B7B" w:themeColor="accent3" w:themeShade="BF"/>
          <w:sz w:val="22"/>
          <w:szCs w:val="22"/>
          <w:lang w:val="en-GB"/>
        </w:rPr>
        <w:t>and cannot be commenced</w:t>
      </w:r>
      <w:r w:rsidR="003053FA">
        <w:rPr>
          <w:rFonts w:ascii="Arial" w:hAnsi="Arial" w:cs="Arial"/>
          <w:color w:val="7B7B7B" w:themeColor="accent3" w:themeShade="BF"/>
          <w:sz w:val="22"/>
          <w:szCs w:val="22"/>
          <w:lang w:val="en-GB"/>
        </w:rPr>
        <w:t xml:space="preserve"> against a farmer, family farmer, or not-for-profit corporation.</w:t>
      </w:r>
      <w:r w:rsidR="00F6629C">
        <w:rPr>
          <w:rFonts w:ascii="Arial" w:hAnsi="Arial" w:cs="Arial"/>
          <w:color w:val="7B7B7B" w:themeColor="accent3" w:themeShade="BF"/>
          <w:sz w:val="22"/>
          <w:szCs w:val="22"/>
          <w:lang w:val="en-GB"/>
        </w:rPr>
        <w:t xml:space="preserve">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536AB4A3" w:rsidR="00E12EC4" w:rsidRDefault="001C355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potential consequences of a violation of the automatic stay </w:t>
      </w:r>
      <w:r w:rsidR="00A94B43">
        <w:rPr>
          <w:rFonts w:ascii="Arial" w:hAnsi="Arial" w:cs="Arial"/>
          <w:color w:val="7B7B7B" w:themeColor="accent3" w:themeShade="BF"/>
          <w:sz w:val="22"/>
          <w:szCs w:val="22"/>
          <w:lang w:val="en-GB"/>
        </w:rPr>
        <w:t>include the requirement of the violator to:</w:t>
      </w:r>
    </w:p>
    <w:p w14:paraId="4E3F44D3" w14:textId="77777777" w:rsidR="001C355E" w:rsidRDefault="001C355E" w:rsidP="001C355E">
      <w:pPr>
        <w:pStyle w:val="ListParagraph"/>
        <w:jc w:val="both"/>
        <w:rPr>
          <w:rFonts w:ascii="Arial" w:hAnsi="Arial" w:cs="Arial"/>
          <w:color w:val="7B7B7B" w:themeColor="accent3" w:themeShade="BF"/>
          <w:sz w:val="22"/>
          <w:szCs w:val="22"/>
          <w:lang w:val="en-GB"/>
        </w:rPr>
      </w:pPr>
    </w:p>
    <w:p w14:paraId="1017DC21" w14:textId="36E3C4FB" w:rsidR="001C355E" w:rsidRDefault="00A94B43" w:rsidP="001C355E">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Satisfy payment of</w:t>
      </w:r>
      <w:r w:rsidR="001C355E">
        <w:rPr>
          <w:rFonts w:ascii="Arial" w:hAnsi="Arial" w:cs="Arial"/>
          <w:color w:val="7B7B7B" w:themeColor="accent3" w:themeShade="BF"/>
          <w:sz w:val="22"/>
          <w:szCs w:val="22"/>
          <w:lang w:val="en-GB"/>
        </w:rPr>
        <w:t xml:space="preserve"> the debtors’ attorneys’ fees; and,</w:t>
      </w:r>
    </w:p>
    <w:p w14:paraId="05F215D0" w14:textId="77777777" w:rsidR="001C355E" w:rsidRDefault="001C355E" w:rsidP="001C355E">
      <w:pPr>
        <w:pStyle w:val="ListParagraph"/>
        <w:jc w:val="both"/>
        <w:rPr>
          <w:rFonts w:ascii="Arial" w:hAnsi="Arial" w:cs="Arial"/>
          <w:color w:val="7B7B7B" w:themeColor="accent3" w:themeShade="BF"/>
          <w:sz w:val="22"/>
          <w:szCs w:val="22"/>
          <w:lang w:val="en-GB"/>
        </w:rPr>
      </w:pPr>
    </w:p>
    <w:p w14:paraId="1FEAA025" w14:textId="42BDEB3B" w:rsidR="001C355E" w:rsidRPr="001C355E" w:rsidRDefault="00A94B43" w:rsidP="001C355E">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C355E">
        <w:rPr>
          <w:rFonts w:ascii="Arial" w:hAnsi="Arial" w:cs="Arial"/>
          <w:color w:val="7B7B7B" w:themeColor="accent3" w:themeShade="BF"/>
          <w:sz w:val="22"/>
          <w:szCs w:val="22"/>
          <w:lang w:val="en-GB"/>
        </w:rPr>
        <w:t>ake</w:t>
      </w:r>
      <w:r>
        <w:rPr>
          <w:rFonts w:ascii="Arial" w:hAnsi="Arial" w:cs="Arial"/>
          <w:color w:val="7B7B7B" w:themeColor="accent3" w:themeShade="BF"/>
          <w:sz w:val="22"/>
          <w:szCs w:val="22"/>
          <w:lang w:val="en-GB"/>
        </w:rPr>
        <w:t xml:space="preserve"> the necessary steps to return the bankruptcy estate’s property to its </w:t>
      </w:r>
      <w:r>
        <w:rPr>
          <w:rFonts w:ascii="Arial" w:hAnsi="Arial" w:cs="Arial"/>
          <w:i/>
          <w:iCs/>
          <w:color w:val="7B7B7B" w:themeColor="accent3" w:themeShade="BF"/>
          <w:sz w:val="22"/>
          <w:szCs w:val="22"/>
          <w:lang w:val="en-GB"/>
        </w:rPr>
        <w:t>status quo</w:t>
      </w:r>
      <w:r>
        <w:rPr>
          <w:rFonts w:ascii="Arial" w:hAnsi="Arial" w:cs="Arial"/>
          <w:color w:val="7B7B7B" w:themeColor="accent3" w:themeShade="BF"/>
          <w:sz w:val="22"/>
          <w:szCs w:val="22"/>
          <w:lang w:val="en-GB"/>
        </w:rPr>
        <w:t>.</w:t>
      </w:r>
    </w:p>
    <w:p w14:paraId="51DD27A0" w14:textId="77777777" w:rsidR="00E12EC4" w:rsidRPr="00323167" w:rsidRDefault="00E12EC4" w:rsidP="00323167">
      <w:pPr>
        <w:pStyle w:val="AODocTxt"/>
        <w:spacing w:before="0" w:line="240" w:lineRule="auto"/>
        <w:rPr>
          <w:rFonts w:ascii="Arial" w:hAnsi="Arial" w:cs="Arial"/>
        </w:rPr>
      </w:pPr>
    </w:p>
    <w:p w14:paraId="52064998" w14:textId="77777777" w:rsidR="006D5B4C" w:rsidRDefault="006D5B4C">
      <w:pPr>
        <w:rPr>
          <w:rFonts w:ascii="Arial" w:eastAsiaTheme="minorHAnsi" w:hAnsi="Arial" w:cs="Arial"/>
          <w:b/>
          <w:sz w:val="22"/>
          <w:szCs w:val="22"/>
        </w:rPr>
      </w:pPr>
      <w:r>
        <w:rPr>
          <w:rFonts w:ascii="Arial" w:hAnsi="Arial" w:cs="Arial"/>
          <w:b/>
        </w:rPr>
        <w:br w:type="page"/>
      </w:r>
    </w:p>
    <w:p w14:paraId="1E71D3BC" w14:textId="09A9CC10"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2CA7629" w14:textId="31F36878" w:rsidR="006D5B4C" w:rsidRDefault="006D5B4C" w:rsidP="006D5B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considered “impaired” if the original debt terms are amended negatively in a reorganization plan such as by reducing the amount the creditor would have received in the original agreement or by increasing the repayment period.</w:t>
      </w:r>
      <w:r>
        <w:rPr>
          <w:rStyle w:val="FootnoteReference"/>
          <w:rFonts w:ascii="Arial" w:hAnsi="Arial" w:cs="Arial"/>
          <w:color w:val="7B7B7B" w:themeColor="accent3" w:themeShade="BF"/>
          <w:sz w:val="22"/>
          <w:szCs w:val="22"/>
          <w:lang w:val="en-GB"/>
        </w:rPr>
        <w:footnoteReference w:id="1"/>
      </w:r>
    </w:p>
    <w:p w14:paraId="61FB836E" w14:textId="190D9B5F" w:rsidR="006D5B4C" w:rsidRDefault="006D5B4C" w:rsidP="006D5B4C">
      <w:pPr>
        <w:jc w:val="both"/>
        <w:rPr>
          <w:rFonts w:ascii="Arial" w:hAnsi="Arial" w:cs="Arial"/>
          <w:color w:val="7B7B7B" w:themeColor="accent3" w:themeShade="BF"/>
          <w:sz w:val="22"/>
          <w:szCs w:val="22"/>
          <w:lang w:val="en-GB"/>
        </w:rPr>
      </w:pPr>
    </w:p>
    <w:p w14:paraId="6A20A047" w14:textId="152BA1B1" w:rsidR="002D540B" w:rsidRDefault="001416E1" w:rsidP="006D5B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assuming all the requirements</w:t>
      </w:r>
      <w:r w:rsidR="002D540B">
        <w:rPr>
          <w:rFonts w:ascii="Arial" w:hAnsi="Arial" w:cs="Arial"/>
          <w:color w:val="7B7B7B" w:themeColor="accent3" w:themeShade="BF"/>
          <w:sz w:val="22"/>
          <w:szCs w:val="22"/>
          <w:lang w:val="en-GB"/>
        </w:rPr>
        <w:t xml:space="preserve"> of confirmation</w:t>
      </w:r>
      <w:r>
        <w:rPr>
          <w:rFonts w:ascii="Arial" w:hAnsi="Arial" w:cs="Arial"/>
          <w:color w:val="7B7B7B" w:themeColor="accent3" w:themeShade="BF"/>
          <w:sz w:val="22"/>
          <w:szCs w:val="22"/>
          <w:lang w:val="en-GB"/>
        </w:rPr>
        <w:t xml:space="preserve"> of a reorganization plan are met, if all impaired class accept the plan, the court will confirm the plan.  However, in the scenario where there are dissenting impaired classes, </w:t>
      </w:r>
      <w:r w:rsidR="002D540B">
        <w:rPr>
          <w:rFonts w:ascii="Arial" w:hAnsi="Arial" w:cs="Arial"/>
          <w:color w:val="7B7B7B" w:themeColor="accent3" w:themeShade="BF"/>
          <w:sz w:val="22"/>
          <w:szCs w:val="22"/>
          <w:lang w:val="en-GB"/>
        </w:rPr>
        <w:t>the plan may still be confirmed by “cramming down” such classes.  To successfully cramdown impaired classes, in addition to meeting the above-mentioned requirements of confirmation, at least one impaired class must vote in favour of the plan.</w:t>
      </w:r>
    </w:p>
    <w:p w14:paraId="45E6C40A" w14:textId="40FB8B13" w:rsidR="002D540B" w:rsidRDefault="002D540B" w:rsidP="006D5B4C">
      <w:pPr>
        <w:jc w:val="both"/>
        <w:rPr>
          <w:rFonts w:ascii="Arial" w:hAnsi="Arial" w:cs="Arial"/>
          <w:color w:val="7B7B7B" w:themeColor="accent3" w:themeShade="BF"/>
          <w:sz w:val="22"/>
          <w:szCs w:val="22"/>
          <w:lang w:val="en-GB"/>
        </w:rPr>
      </w:pPr>
    </w:p>
    <w:p w14:paraId="3A0E4A01" w14:textId="59D1CF2D" w:rsidR="006D5B4C" w:rsidRPr="006D5B4C" w:rsidRDefault="002D540B" w:rsidP="006D5B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Insider impaired classes are not entitled to vote for the purposes of cramdown.</w:t>
      </w:r>
      <w:r w:rsidR="0028136F">
        <w:rPr>
          <w:rFonts w:ascii="Arial" w:hAnsi="Arial" w:cs="Arial"/>
          <w:color w:val="7B7B7B" w:themeColor="accent3" w:themeShade="BF"/>
          <w:sz w:val="22"/>
          <w:szCs w:val="22"/>
          <w:lang w:val="en-GB"/>
        </w:rPr>
        <w:t xml:space="preserve">  Instead, such votes are disregarded to determine whether an accepting non-insider impaired class exists.  If at least one non-insider impaired class votes in favour of the plan, it must </w:t>
      </w:r>
      <w:r w:rsidR="006A1B31">
        <w:rPr>
          <w:rFonts w:ascii="Arial" w:hAnsi="Arial" w:cs="Arial"/>
          <w:color w:val="7B7B7B" w:themeColor="accent3" w:themeShade="BF"/>
          <w:sz w:val="22"/>
          <w:szCs w:val="22"/>
          <w:lang w:val="en-GB"/>
        </w:rPr>
        <w:t xml:space="preserve">also </w:t>
      </w:r>
      <w:r w:rsidR="0028136F">
        <w:rPr>
          <w:rFonts w:ascii="Arial" w:hAnsi="Arial" w:cs="Arial"/>
          <w:color w:val="7B7B7B" w:themeColor="accent3" w:themeShade="BF"/>
          <w:sz w:val="22"/>
          <w:szCs w:val="22"/>
          <w:lang w:val="en-GB"/>
        </w:rPr>
        <w:t>be shown that the plan is fair and equitable to the dissenting impaired classes.</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25F1B23" w:rsidR="00E12EC4" w:rsidRPr="00033B35" w:rsidRDefault="00CF5C19" w:rsidP="00A761EC">
      <w:pPr>
        <w:pStyle w:val="ListParagraph"/>
        <w:numPr>
          <w:ilvl w:val="0"/>
          <w:numId w:val="18"/>
        </w:numPr>
        <w:jc w:val="both"/>
        <w:rPr>
          <w:rFonts w:ascii="Arial" w:hAnsi="Arial" w:cs="Arial"/>
          <w:color w:val="7B7B7B" w:themeColor="accent3" w:themeShade="BF"/>
          <w:sz w:val="22"/>
          <w:szCs w:val="22"/>
          <w:lang w:val="en-GB"/>
        </w:rPr>
      </w:pPr>
      <w:r w:rsidRPr="00033B35">
        <w:rPr>
          <w:rFonts w:ascii="Arial" w:hAnsi="Arial" w:cs="Arial"/>
          <w:color w:val="7B7B7B" w:themeColor="accent3" w:themeShade="BF"/>
          <w:sz w:val="22"/>
          <w:szCs w:val="22"/>
          <w:lang w:val="en-GB"/>
        </w:rPr>
        <w:t>Preferences</w:t>
      </w:r>
    </w:p>
    <w:p w14:paraId="567EDC30" w14:textId="5BD20A9B" w:rsidR="00E12EC4" w:rsidRPr="00033B35"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Pr="00033B35" w:rsidRDefault="00323167" w:rsidP="00DC359F">
      <w:pPr>
        <w:pStyle w:val="AODocTxt"/>
        <w:numPr>
          <w:ilvl w:val="0"/>
          <w:numId w:val="12"/>
        </w:numPr>
        <w:spacing w:before="0" w:line="240" w:lineRule="auto"/>
        <w:ind w:left="426"/>
        <w:rPr>
          <w:rFonts w:ascii="Arial" w:hAnsi="Arial" w:cs="Arial"/>
        </w:rPr>
      </w:pPr>
      <w:r w:rsidRPr="00033B35">
        <w:rPr>
          <w:rFonts w:ascii="Arial" w:hAnsi="Arial" w:cs="Arial"/>
        </w:rPr>
        <w:t>Which cause of action requires that the debtor be presumed or proven to have been insolvent at the time of the transfer?</w:t>
      </w:r>
    </w:p>
    <w:p w14:paraId="4D72C26B" w14:textId="77777777" w:rsidR="00DC359F" w:rsidRPr="00033B35" w:rsidRDefault="00DC359F" w:rsidP="00DC359F">
      <w:pPr>
        <w:pStyle w:val="AODocTxt"/>
        <w:spacing w:before="0" w:line="240" w:lineRule="auto"/>
        <w:rPr>
          <w:rFonts w:ascii="Arial" w:hAnsi="Arial" w:cs="Arial"/>
        </w:rPr>
      </w:pPr>
    </w:p>
    <w:p w14:paraId="0251832F" w14:textId="520F4778" w:rsidR="00A761EC" w:rsidRPr="00033B35" w:rsidRDefault="00CF5C19" w:rsidP="00A761EC">
      <w:pPr>
        <w:pStyle w:val="ListParagraph"/>
        <w:numPr>
          <w:ilvl w:val="0"/>
          <w:numId w:val="16"/>
        </w:numPr>
        <w:jc w:val="both"/>
        <w:rPr>
          <w:rFonts w:ascii="Arial" w:hAnsi="Arial" w:cs="Arial"/>
          <w:color w:val="7B7B7B" w:themeColor="accent3" w:themeShade="BF"/>
          <w:sz w:val="22"/>
          <w:szCs w:val="22"/>
          <w:lang w:val="en-GB"/>
        </w:rPr>
      </w:pPr>
      <w:r w:rsidRPr="00033B35">
        <w:rPr>
          <w:rFonts w:ascii="Arial" w:hAnsi="Arial" w:cs="Arial"/>
          <w:color w:val="7B7B7B" w:themeColor="accent3" w:themeShade="BF"/>
          <w:sz w:val="22"/>
          <w:szCs w:val="22"/>
          <w:lang w:val="en-GB"/>
        </w:rPr>
        <w:t>Preferences</w:t>
      </w:r>
      <w:r w:rsidR="00A761EC" w:rsidRPr="00033B35">
        <w:rPr>
          <w:rFonts w:ascii="Arial" w:hAnsi="Arial" w:cs="Arial"/>
          <w:color w:val="7B7B7B" w:themeColor="accent3" w:themeShade="BF"/>
          <w:sz w:val="22"/>
          <w:szCs w:val="22"/>
          <w:lang w:val="en-GB"/>
        </w:rPr>
        <w:t xml:space="preserve"> to third parties; </w:t>
      </w:r>
      <w:r w:rsidR="00033B35" w:rsidRPr="00033B35">
        <w:rPr>
          <w:rFonts w:ascii="Arial" w:hAnsi="Arial" w:cs="Arial"/>
          <w:color w:val="7B7B7B" w:themeColor="accent3" w:themeShade="BF"/>
          <w:sz w:val="22"/>
          <w:szCs w:val="22"/>
          <w:lang w:val="en-GB"/>
        </w:rPr>
        <w:t>for</w:t>
      </w:r>
      <w:r w:rsidR="00A761EC" w:rsidRPr="00033B35">
        <w:rPr>
          <w:rFonts w:ascii="Arial" w:hAnsi="Arial" w:cs="Arial"/>
          <w:color w:val="7B7B7B" w:themeColor="accent3" w:themeShade="BF"/>
          <w:sz w:val="22"/>
          <w:szCs w:val="22"/>
          <w:lang w:val="en-GB"/>
        </w:rPr>
        <w:t xml:space="preserve"> preferences to insiders, there is no presumption of insolvency</w:t>
      </w:r>
    </w:p>
    <w:p w14:paraId="32B18188" w14:textId="1BEFBCAA" w:rsidR="00A761EC" w:rsidRPr="00033B35" w:rsidRDefault="00A761EC" w:rsidP="00A761EC">
      <w:pPr>
        <w:pStyle w:val="ListParagraph"/>
        <w:numPr>
          <w:ilvl w:val="0"/>
          <w:numId w:val="16"/>
        </w:numPr>
        <w:jc w:val="both"/>
        <w:rPr>
          <w:rFonts w:ascii="Arial" w:hAnsi="Arial" w:cs="Arial"/>
          <w:color w:val="7B7B7B" w:themeColor="accent3" w:themeShade="BF"/>
          <w:sz w:val="22"/>
          <w:szCs w:val="22"/>
          <w:lang w:val="en-GB"/>
        </w:rPr>
      </w:pPr>
      <w:r w:rsidRPr="00033B35">
        <w:rPr>
          <w:rFonts w:ascii="Arial" w:hAnsi="Arial" w:cs="Arial"/>
          <w:color w:val="7B7B7B" w:themeColor="accent3" w:themeShade="BF"/>
          <w:sz w:val="22"/>
          <w:szCs w:val="22"/>
          <w:lang w:val="en-GB"/>
        </w:rPr>
        <w:t>A</w:t>
      </w:r>
      <w:r w:rsidR="00CF5C19" w:rsidRPr="00033B35">
        <w:rPr>
          <w:rFonts w:ascii="Arial" w:hAnsi="Arial" w:cs="Arial"/>
          <w:color w:val="7B7B7B" w:themeColor="accent3" w:themeShade="BF"/>
          <w:sz w:val="22"/>
          <w:szCs w:val="22"/>
          <w:lang w:val="en-GB"/>
        </w:rPr>
        <w:t>ctual fraudulent conveyances</w:t>
      </w:r>
    </w:p>
    <w:p w14:paraId="267C8555" w14:textId="57258B11" w:rsidR="005B2A9B" w:rsidRPr="00033B35" w:rsidRDefault="00A761EC" w:rsidP="00A761EC">
      <w:pPr>
        <w:pStyle w:val="ListParagraph"/>
        <w:numPr>
          <w:ilvl w:val="0"/>
          <w:numId w:val="16"/>
        </w:numPr>
        <w:jc w:val="both"/>
        <w:rPr>
          <w:rFonts w:ascii="Arial" w:hAnsi="Arial" w:cs="Arial"/>
          <w:color w:val="7B7B7B" w:themeColor="accent3" w:themeShade="BF"/>
          <w:sz w:val="22"/>
          <w:szCs w:val="22"/>
          <w:lang w:val="en-GB"/>
        </w:rPr>
      </w:pPr>
      <w:r w:rsidRPr="00033B35">
        <w:rPr>
          <w:rFonts w:ascii="Arial" w:hAnsi="Arial" w:cs="Arial"/>
          <w:color w:val="7B7B7B" w:themeColor="accent3" w:themeShade="BF"/>
          <w:sz w:val="22"/>
          <w:szCs w:val="22"/>
          <w:lang w:val="en-GB"/>
        </w:rPr>
        <w:t>C</w:t>
      </w:r>
      <w:r w:rsidR="00CF5C19" w:rsidRPr="00033B35">
        <w:rPr>
          <w:rFonts w:ascii="Arial" w:hAnsi="Arial" w:cs="Arial"/>
          <w:color w:val="7B7B7B" w:themeColor="accent3" w:themeShade="BF"/>
          <w:sz w:val="22"/>
          <w:szCs w:val="22"/>
          <w:lang w:val="en-GB"/>
        </w:rPr>
        <w:t>onstructive fraudulent conveyances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730D552B" w14:textId="4FB9BC86" w:rsidR="00323167" w:rsidRPr="00033B35"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be proven to have intended to frustrate </w:t>
      </w:r>
      <w:r w:rsidRPr="00033B35">
        <w:rPr>
          <w:rFonts w:ascii="Arial" w:hAnsi="Arial" w:cs="Arial"/>
        </w:rPr>
        <w:t>creditors’ recoveries?</w:t>
      </w:r>
    </w:p>
    <w:p w14:paraId="23824B28" w14:textId="77777777" w:rsidR="00DC359F" w:rsidRPr="00033B35" w:rsidRDefault="00DC359F" w:rsidP="00DC359F">
      <w:pPr>
        <w:pStyle w:val="AODocTxt"/>
        <w:spacing w:before="0" w:line="240" w:lineRule="auto"/>
        <w:rPr>
          <w:rFonts w:ascii="Arial" w:hAnsi="Arial" w:cs="Arial"/>
        </w:rPr>
      </w:pPr>
    </w:p>
    <w:p w14:paraId="68F89BF6" w14:textId="791F98F9" w:rsidR="005B2A9B" w:rsidRPr="00033B35" w:rsidRDefault="00CF5C19" w:rsidP="00A761EC">
      <w:pPr>
        <w:pStyle w:val="ListParagraph"/>
        <w:numPr>
          <w:ilvl w:val="0"/>
          <w:numId w:val="17"/>
        </w:numPr>
        <w:jc w:val="both"/>
        <w:rPr>
          <w:rFonts w:ascii="Arial" w:hAnsi="Arial" w:cs="Arial"/>
          <w:color w:val="7B7B7B" w:themeColor="accent3" w:themeShade="BF"/>
          <w:sz w:val="22"/>
          <w:szCs w:val="22"/>
          <w:lang w:val="en-GB"/>
        </w:rPr>
      </w:pPr>
      <w:r w:rsidRPr="00033B35">
        <w:rPr>
          <w:rFonts w:ascii="Arial" w:hAnsi="Arial" w:cs="Arial"/>
          <w:color w:val="7B7B7B" w:themeColor="accent3" w:themeShade="BF"/>
          <w:sz w:val="22"/>
          <w:szCs w:val="22"/>
          <w:lang w:val="en-GB"/>
        </w:rPr>
        <w:t>Actual fraudulent conveyances</w:t>
      </w:r>
    </w:p>
    <w:p w14:paraId="1CC6EE8C" w14:textId="77777777" w:rsidR="005B2A9B" w:rsidRPr="00323167" w:rsidRDefault="005B2A9B" w:rsidP="00323167">
      <w:pPr>
        <w:pStyle w:val="AODocTxt"/>
        <w:spacing w:before="0" w:line="240" w:lineRule="auto"/>
        <w:rPr>
          <w:rFonts w:ascii="Arial" w:hAnsi="Arial" w:cs="Arial"/>
        </w:rPr>
      </w:pPr>
    </w:p>
    <w:p w14:paraId="300CD481" w14:textId="77777777" w:rsidR="009C1DDA" w:rsidRDefault="009C1DDA">
      <w:pPr>
        <w:rPr>
          <w:rFonts w:ascii="Arial" w:eastAsiaTheme="minorHAnsi" w:hAnsi="Arial" w:cs="Arial"/>
          <w:b/>
          <w:sz w:val="22"/>
          <w:szCs w:val="22"/>
          <w:lang w:val="en-GB"/>
        </w:rPr>
      </w:pPr>
      <w:r>
        <w:rPr>
          <w:rFonts w:ascii="Arial" w:hAnsi="Arial" w:cs="Arial"/>
          <w:b/>
          <w:lang w:val="en-GB"/>
        </w:rPr>
        <w:br w:type="page"/>
      </w:r>
    </w:p>
    <w:p w14:paraId="3F763D13" w14:textId="04AE5C0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5B2679B2" w14:textId="267A7DEC" w:rsidR="009C1DDA" w:rsidRDefault="00D16CC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28 U.S.C. </w:t>
      </w:r>
      <w:r w:rsidR="00ED5360" w:rsidRPr="00ED5360">
        <w:rPr>
          <w:rFonts w:ascii="Arial" w:hAnsi="Arial" w:cs="Arial"/>
          <w:color w:val="7B7B7B" w:themeColor="accent3" w:themeShade="BF"/>
          <w:sz w:val="22"/>
          <w:szCs w:val="22"/>
          <w:lang w:val="en-GB"/>
        </w:rPr>
        <w:t>§</w:t>
      </w:r>
      <w:r w:rsidR="00ED5360">
        <w:rPr>
          <w:rFonts w:ascii="Arial" w:hAnsi="Arial" w:cs="Arial"/>
          <w:color w:val="7B7B7B" w:themeColor="accent3" w:themeShade="BF"/>
          <w:sz w:val="22"/>
          <w:szCs w:val="22"/>
          <w:lang w:val="en-GB"/>
        </w:rPr>
        <w:t xml:space="preserve"> </w:t>
      </w:r>
      <w:r w:rsidR="00464B88">
        <w:rPr>
          <w:rFonts w:ascii="Arial" w:hAnsi="Arial" w:cs="Arial"/>
          <w:color w:val="7B7B7B" w:themeColor="accent3" w:themeShade="BF"/>
          <w:sz w:val="22"/>
          <w:szCs w:val="22"/>
          <w:lang w:val="en-GB"/>
        </w:rPr>
        <w:t>157</w:t>
      </w:r>
      <w:r w:rsidR="00575EC6">
        <w:rPr>
          <w:rFonts w:ascii="Arial" w:hAnsi="Arial" w:cs="Arial"/>
          <w:color w:val="7B7B7B" w:themeColor="accent3" w:themeShade="BF"/>
          <w:sz w:val="22"/>
          <w:szCs w:val="22"/>
          <w:lang w:val="en-GB"/>
        </w:rPr>
        <w:t xml:space="preserve"> </w:t>
      </w:r>
      <w:r w:rsidR="00C94589">
        <w:rPr>
          <w:rFonts w:ascii="Arial" w:hAnsi="Arial" w:cs="Arial"/>
          <w:color w:val="7B7B7B" w:themeColor="accent3" w:themeShade="BF"/>
          <w:sz w:val="22"/>
          <w:szCs w:val="22"/>
          <w:lang w:val="en-GB"/>
        </w:rPr>
        <w:t xml:space="preserve">provides that bankruptcy judges may hear and determine all </w:t>
      </w:r>
      <w:r w:rsidR="009C5BE1">
        <w:rPr>
          <w:rFonts w:ascii="Arial" w:hAnsi="Arial" w:cs="Arial"/>
          <w:color w:val="7B7B7B" w:themeColor="accent3" w:themeShade="BF"/>
          <w:sz w:val="22"/>
          <w:szCs w:val="22"/>
          <w:lang w:val="en-GB"/>
        </w:rPr>
        <w:t xml:space="preserve">“core” proceedings but not “non-core” proceedings.  28 U.S.C. </w:t>
      </w:r>
      <w:r w:rsidR="009C5BE1" w:rsidRPr="00ED5360">
        <w:rPr>
          <w:rFonts w:ascii="Arial" w:hAnsi="Arial" w:cs="Arial"/>
          <w:color w:val="7B7B7B" w:themeColor="accent3" w:themeShade="BF"/>
          <w:sz w:val="22"/>
          <w:szCs w:val="22"/>
          <w:lang w:val="en-GB"/>
        </w:rPr>
        <w:t>§</w:t>
      </w:r>
      <w:r w:rsidR="009C5BE1">
        <w:rPr>
          <w:rFonts w:ascii="Arial" w:hAnsi="Arial" w:cs="Arial"/>
          <w:color w:val="7B7B7B" w:themeColor="accent3" w:themeShade="BF"/>
          <w:sz w:val="22"/>
          <w:szCs w:val="22"/>
          <w:lang w:val="en-GB"/>
        </w:rPr>
        <w:t xml:space="preserve"> 157</w:t>
      </w:r>
      <w:r w:rsidR="00106D7F">
        <w:rPr>
          <w:rFonts w:ascii="Arial" w:hAnsi="Arial" w:cs="Arial"/>
          <w:color w:val="7B7B7B" w:themeColor="accent3" w:themeShade="BF"/>
          <w:sz w:val="22"/>
          <w:szCs w:val="22"/>
          <w:lang w:val="en-GB"/>
        </w:rPr>
        <w:t>(b)(2)</w:t>
      </w:r>
      <w:r w:rsidR="00CD00A4">
        <w:rPr>
          <w:rFonts w:ascii="Arial" w:hAnsi="Arial" w:cs="Arial"/>
          <w:color w:val="7B7B7B" w:themeColor="accent3" w:themeShade="BF"/>
          <w:sz w:val="22"/>
          <w:szCs w:val="22"/>
          <w:lang w:val="en-GB"/>
        </w:rPr>
        <w:t xml:space="preserve">(C) </w:t>
      </w:r>
      <w:r w:rsidR="00197306">
        <w:rPr>
          <w:rFonts w:ascii="Arial" w:hAnsi="Arial" w:cs="Arial"/>
          <w:color w:val="7B7B7B" w:themeColor="accent3" w:themeShade="BF"/>
          <w:sz w:val="22"/>
          <w:szCs w:val="22"/>
          <w:lang w:val="en-GB"/>
        </w:rPr>
        <w:t xml:space="preserve">includes </w:t>
      </w:r>
      <w:r w:rsidR="002A5C94">
        <w:rPr>
          <w:rFonts w:ascii="Arial" w:hAnsi="Arial" w:cs="Arial"/>
          <w:color w:val="7B7B7B" w:themeColor="accent3" w:themeShade="BF"/>
          <w:sz w:val="22"/>
          <w:szCs w:val="22"/>
          <w:lang w:val="en-GB"/>
        </w:rPr>
        <w:t xml:space="preserve">as </w:t>
      </w:r>
      <w:r w:rsidR="00197306">
        <w:rPr>
          <w:rFonts w:ascii="Arial" w:hAnsi="Arial" w:cs="Arial"/>
          <w:color w:val="7B7B7B" w:themeColor="accent3" w:themeShade="BF"/>
          <w:sz w:val="22"/>
          <w:szCs w:val="22"/>
          <w:lang w:val="en-GB"/>
        </w:rPr>
        <w:t xml:space="preserve">a category of </w:t>
      </w:r>
      <w:r w:rsidR="00A63664">
        <w:rPr>
          <w:rFonts w:ascii="Arial" w:hAnsi="Arial" w:cs="Arial"/>
          <w:color w:val="7B7B7B" w:themeColor="accent3" w:themeShade="BF"/>
          <w:sz w:val="22"/>
          <w:szCs w:val="22"/>
          <w:lang w:val="en-GB"/>
        </w:rPr>
        <w:t>“</w:t>
      </w:r>
      <w:r w:rsidR="00197306">
        <w:rPr>
          <w:rFonts w:ascii="Arial" w:hAnsi="Arial" w:cs="Arial"/>
          <w:color w:val="7B7B7B" w:themeColor="accent3" w:themeShade="BF"/>
          <w:sz w:val="22"/>
          <w:szCs w:val="22"/>
          <w:lang w:val="en-GB"/>
        </w:rPr>
        <w:t>core</w:t>
      </w:r>
      <w:r w:rsidR="00A63664">
        <w:rPr>
          <w:rFonts w:ascii="Arial" w:hAnsi="Arial" w:cs="Arial"/>
          <w:color w:val="7B7B7B" w:themeColor="accent3" w:themeShade="BF"/>
          <w:sz w:val="22"/>
          <w:szCs w:val="22"/>
          <w:lang w:val="en-GB"/>
        </w:rPr>
        <w:t>”</w:t>
      </w:r>
      <w:r w:rsidR="00197306">
        <w:rPr>
          <w:rFonts w:ascii="Arial" w:hAnsi="Arial" w:cs="Arial"/>
          <w:color w:val="7B7B7B" w:themeColor="accent3" w:themeShade="BF"/>
          <w:sz w:val="22"/>
          <w:szCs w:val="22"/>
          <w:lang w:val="en-GB"/>
        </w:rPr>
        <w:t xml:space="preserve"> proceedings “</w:t>
      </w:r>
      <w:r w:rsidR="009C1DDA" w:rsidRPr="009C1DDA">
        <w:rPr>
          <w:rFonts w:ascii="Arial" w:hAnsi="Arial" w:cs="Arial"/>
          <w:color w:val="7B7B7B" w:themeColor="accent3" w:themeShade="BF"/>
          <w:sz w:val="22"/>
          <w:szCs w:val="22"/>
          <w:lang w:val="en-GB"/>
        </w:rPr>
        <w:t>counterclaims by the estate against persons filing claims against the estate</w:t>
      </w:r>
      <w:r w:rsidR="002A5C94">
        <w:rPr>
          <w:rFonts w:ascii="Arial" w:hAnsi="Arial" w:cs="Arial"/>
          <w:color w:val="7B7B7B" w:themeColor="accent3" w:themeShade="BF"/>
          <w:sz w:val="22"/>
          <w:szCs w:val="22"/>
          <w:lang w:val="en-GB"/>
        </w:rPr>
        <w:t>”.</w:t>
      </w:r>
      <w:r w:rsidR="00E874DC">
        <w:rPr>
          <w:rStyle w:val="FootnoteReference"/>
          <w:rFonts w:ascii="Arial" w:hAnsi="Arial" w:cs="Arial"/>
          <w:color w:val="7B7B7B" w:themeColor="accent3" w:themeShade="BF"/>
          <w:sz w:val="22"/>
          <w:szCs w:val="22"/>
          <w:lang w:val="en-GB"/>
        </w:rPr>
        <w:footnoteReference w:id="2"/>
      </w:r>
    </w:p>
    <w:p w14:paraId="16E10A6A" w14:textId="77777777" w:rsidR="009C1DDA" w:rsidRDefault="009C1DDA" w:rsidP="005B2A9B">
      <w:pPr>
        <w:jc w:val="both"/>
        <w:rPr>
          <w:rFonts w:ascii="Arial" w:hAnsi="Arial" w:cs="Arial"/>
          <w:color w:val="7B7B7B" w:themeColor="accent3" w:themeShade="BF"/>
          <w:sz w:val="22"/>
          <w:szCs w:val="22"/>
          <w:lang w:val="en-GB"/>
        </w:rPr>
      </w:pPr>
    </w:p>
    <w:p w14:paraId="3DDA6A84" w14:textId="3A3BD995" w:rsidR="005B2A9B" w:rsidRDefault="005231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Stern v Marshall</w:t>
      </w:r>
      <w:r w:rsidR="00CD6B90">
        <w:rPr>
          <w:rFonts w:ascii="Arial" w:hAnsi="Arial" w:cs="Arial"/>
          <w:color w:val="7B7B7B" w:themeColor="accent3" w:themeShade="BF"/>
          <w:sz w:val="22"/>
          <w:szCs w:val="22"/>
          <w:lang w:val="en-GB"/>
        </w:rPr>
        <w:t xml:space="preserve">, </w:t>
      </w:r>
      <w:r w:rsidR="002028E8">
        <w:rPr>
          <w:rFonts w:ascii="Arial" w:hAnsi="Arial" w:cs="Arial"/>
          <w:color w:val="7B7B7B" w:themeColor="accent3" w:themeShade="BF"/>
          <w:sz w:val="22"/>
          <w:szCs w:val="22"/>
          <w:lang w:val="en-GB"/>
        </w:rPr>
        <w:t>a bankruptcy claim was filed</w:t>
      </w:r>
      <w:r w:rsidR="007F4755">
        <w:rPr>
          <w:rFonts w:ascii="Arial" w:hAnsi="Arial" w:cs="Arial"/>
          <w:color w:val="7B7B7B" w:themeColor="accent3" w:themeShade="BF"/>
          <w:sz w:val="22"/>
          <w:szCs w:val="22"/>
          <w:lang w:val="en-GB"/>
        </w:rPr>
        <w:t xml:space="preserve"> against the debtor who then filed a counterclaim</w:t>
      </w:r>
      <w:r w:rsidR="00756E7B">
        <w:rPr>
          <w:rFonts w:ascii="Arial" w:hAnsi="Arial" w:cs="Arial"/>
          <w:color w:val="7B7B7B" w:themeColor="accent3" w:themeShade="BF"/>
          <w:sz w:val="22"/>
          <w:szCs w:val="22"/>
          <w:lang w:val="en-GB"/>
        </w:rPr>
        <w:t xml:space="preserve">.  </w:t>
      </w:r>
      <w:r w:rsidR="00DF36FE">
        <w:rPr>
          <w:rFonts w:ascii="Arial" w:hAnsi="Arial" w:cs="Arial"/>
          <w:color w:val="7B7B7B" w:themeColor="accent3" w:themeShade="BF"/>
          <w:sz w:val="22"/>
          <w:szCs w:val="22"/>
          <w:lang w:val="en-GB"/>
        </w:rPr>
        <w:t xml:space="preserve">Pursuant to </w:t>
      </w:r>
      <w:r w:rsidR="00E52E12">
        <w:rPr>
          <w:rFonts w:ascii="Arial" w:hAnsi="Arial" w:cs="Arial"/>
          <w:color w:val="7B7B7B" w:themeColor="accent3" w:themeShade="BF"/>
          <w:sz w:val="22"/>
          <w:szCs w:val="22"/>
          <w:lang w:val="en-GB"/>
        </w:rPr>
        <w:t xml:space="preserve">28 U.S.C. </w:t>
      </w:r>
      <w:r w:rsidR="00E52E12" w:rsidRPr="00ED5360">
        <w:rPr>
          <w:rFonts w:ascii="Arial" w:hAnsi="Arial" w:cs="Arial"/>
          <w:color w:val="7B7B7B" w:themeColor="accent3" w:themeShade="BF"/>
          <w:sz w:val="22"/>
          <w:szCs w:val="22"/>
          <w:lang w:val="en-GB"/>
        </w:rPr>
        <w:t>§</w:t>
      </w:r>
      <w:r w:rsidR="00E52E12">
        <w:rPr>
          <w:rFonts w:ascii="Arial" w:hAnsi="Arial" w:cs="Arial"/>
          <w:color w:val="7B7B7B" w:themeColor="accent3" w:themeShade="BF"/>
          <w:sz w:val="22"/>
          <w:szCs w:val="22"/>
          <w:lang w:val="en-GB"/>
        </w:rPr>
        <w:t xml:space="preserve"> 157</w:t>
      </w:r>
      <w:r w:rsidR="00DF36FE">
        <w:rPr>
          <w:rFonts w:ascii="Arial" w:hAnsi="Arial" w:cs="Arial"/>
          <w:color w:val="7B7B7B" w:themeColor="accent3" w:themeShade="BF"/>
          <w:sz w:val="22"/>
          <w:szCs w:val="22"/>
          <w:lang w:val="en-GB"/>
        </w:rPr>
        <w:t>(b)(2)(C) mentioned above</w:t>
      </w:r>
      <w:r w:rsidR="00477D1E">
        <w:rPr>
          <w:rFonts w:ascii="Arial" w:hAnsi="Arial" w:cs="Arial"/>
          <w:color w:val="7B7B7B" w:themeColor="accent3" w:themeShade="BF"/>
          <w:sz w:val="22"/>
          <w:szCs w:val="22"/>
          <w:lang w:val="en-GB"/>
        </w:rPr>
        <w:t xml:space="preserve">, </w:t>
      </w:r>
      <w:r w:rsidR="00DF36FE">
        <w:rPr>
          <w:rFonts w:ascii="Arial" w:hAnsi="Arial" w:cs="Arial"/>
          <w:color w:val="7B7B7B" w:themeColor="accent3" w:themeShade="BF"/>
          <w:sz w:val="22"/>
          <w:szCs w:val="22"/>
          <w:lang w:val="en-GB"/>
        </w:rPr>
        <w:t xml:space="preserve">the Bankruptcy Court concluded that the counterclaim was a “core” proceeding and </w:t>
      </w:r>
      <w:r w:rsidR="0099716D">
        <w:rPr>
          <w:rFonts w:ascii="Arial" w:hAnsi="Arial" w:cs="Arial"/>
          <w:color w:val="7B7B7B" w:themeColor="accent3" w:themeShade="BF"/>
          <w:sz w:val="22"/>
          <w:szCs w:val="22"/>
          <w:lang w:val="en-GB"/>
        </w:rPr>
        <w:t xml:space="preserve">eventually </w:t>
      </w:r>
      <w:r w:rsidR="00992913">
        <w:rPr>
          <w:rFonts w:ascii="Arial" w:hAnsi="Arial" w:cs="Arial"/>
          <w:color w:val="7B7B7B" w:themeColor="accent3" w:themeShade="BF"/>
          <w:sz w:val="22"/>
          <w:szCs w:val="22"/>
          <w:lang w:val="en-GB"/>
        </w:rPr>
        <w:t xml:space="preserve">awarded the debtor </w:t>
      </w:r>
      <w:r w:rsidR="00655AB1">
        <w:rPr>
          <w:rFonts w:ascii="Arial" w:hAnsi="Arial" w:cs="Arial"/>
          <w:color w:val="7B7B7B" w:themeColor="accent3" w:themeShade="BF"/>
          <w:sz w:val="22"/>
          <w:szCs w:val="22"/>
          <w:lang w:val="en-GB"/>
        </w:rPr>
        <w:t>for damages on the counterclaim.</w:t>
      </w:r>
      <w:r w:rsidR="00A33D51">
        <w:rPr>
          <w:rFonts w:ascii="Arial" w:hAnsi="Arial" w:cs="Arial"/>
          <w:color w:val="7B7B7B" w:themeColor="accent3" w:themeShade="BF"/>
          <w:sz w:val="22"/>
          <w:szCs w:val="22"/>
          <w:lang w:val="en-GB"/>
        </w:rPr>
        <w:t xml:space="preserve">  </w:t>
      </w:r>
      <w:r w:rsidR="00AF2B74">
        <w:rPr>
          <w:rFonts w:ascii="Arial" w:hAnsi="Arial" w:cs="Arial"/>
          <w:color w:val="7B7B7B" w:themeColor="accent3" w:themeShade="BF"/>
          <w:sz w:val="22"/>
          <w:szCs w:val="22"/>
          <w:lang w:val="en-GB"/>
        </w:rPr>
        <w:t xml:space="preserve">This was appealed to the District Court </w:t>
      </w:r>
      <w:r w:rsidR="002272BA">
        <w:rPr>
          <w:rFonts w:ascii="Arial" w:hAnsi="Arial" w:cs="Arial"/>
          <w:color w:val="7B7B7B" w:themeColor="accent3" w:themeShade="BF"/>
          <w:sz w:val="22"/>
          <w:szCs w:val="22"/>
          <w:lang w:val="en-GB"/>
        </w:rPr>
        <w:t>which affirmed the Bankruptcy Court’s decision</w:t>
      </w:r>
      <w:r w:rsidR="00A00104">
        <w:rPr>
          <w:rFonts w:ascii="Arial" w:hAnsi="Arial" w:cs="Arial"/>
          <w:color w:val="7B7B7B" w:themeColor="accent3" w:themeShade="BF"/>
          <w:sz w:val="22"/>
          <w:szCs w:val="22"/>
          <w:lang w:val="en-GB"/>
        </w:rPr>
        <w:t>.</w:t>
      </w:r>
      <w:r w:rsidR="00A00104">
        <w:rPr>
          <w:rStyle w:val="FootnoteReference"/>
          <w:rFonts w:ascii="Arial" w:hAnsi="Arial" w:cs="Arial"/>
          <w:color w:val="7B7B7B" w:themeColor="accent3" w:themeShade="BF"/>
          <w:sz w:val="22"/>
          <w:szCs w:val="22"/>
          <w:lang w:val="en-GB"/>
        </w:rPr>
        <w:footnoteReference w:id="3"/>
      </w:r>
    </w:p>
    <w:p w14:paraId="4733914B" w14:textId="77777777" w:rsidR="000B4A9F" w:rsidRDefault="000B4A9F" w:rsidP="005B2A9B">
      <w:pPr>
        <w:jc w:val="both"/>
        <w:rPr>
          <w:rFonts w:ascii="Arial" w:hAnsi="Arial" w:cs="Arial"/>
          <w:color w:val="7B7B7B" w:themeColor="accent3" w:themeShade="BF"/>
          <w:sz w:val="22"/>
          <w:szCs w:val="22"/>
          <w:lang w:val="en-GB"/>
        </w:rPr>
      </w:pPr>
    </w:p>
    <w:p w14:paraId="6D426A34" w14:textId="410A5A0C" w:rsidR="000B4A9F" w:rsidRDefault="00B75E5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A4540A">
        <w:rPr>
          <w:rFonts w:ascii="Arial" w:hAnsi="Arial" w:cs="Arial"/>
          <w:color w:val="7B7B7B" w:themeColor="accent3" w:themeShade="BF"/>
          <w:sz w:val="22"/>
          <w:szCs w:val="22"/>
          <w:lang w:val="en-GB"/>
        </w:rPr>
        <w:t xml:space="preserve">rior to the debtor’s bankruptcy, the debtor filed a suit </w:t>
      </w:r>
      <w:r w:rsidR="00A4587B">
        <w:rPr>
          <w:rFonts w:ascii="Arial" w:hAnsi="Arial" w:cs="Arial"/>
          <w:color w:val="7B7B7B" w:themeColor="accent3" w:themeShade="BF"/>
          <w:sz w:val="22"/>
          <w:szCs w:val="22"/>
          <w:lang w:val="en-GB"/>
        </w:rPr>
        <w:t>against the claimant in Texas state court covering, amongst other things, the issues in the counterclaim.</w:t>
      </w:r>
      <w:r w:rsidR="00636EFF">
        <w:rPr>
          <w:rFonts w:ascii="Arial" w:hAnsi="Arial" w:cs="Arial"/>
          <w:color w:val="7B7B7B" w:themeColor="accent3" w:themeShade="BF"/>
          <w:sz w:val="22"/>
          <w:szCs w:val="22"/>
          <w:lang w:val="en-GB"/>
        </w:rPr>
        <w:t xml:space="preserve">  Prior to the District Court’s affirmation</w:t>
      </w:r>
      <w:r w:rsidR="001A789C">
        <w:rPr>
          <w:rFonts w:ascii="Arial" w:hAnsi="Arial" w:cs="Arial"/>
          <w:color w:val="7B7B7B" w:themeColor="accent3" w:themeShade="BF"/>
          <w:sz w:val="22"/>
          <w:szCs w:val="22"/>
          <w:lang w:val="en-GB"/>
        </w:rPr>
        <w:t xml:space="preserve"> of the Bankruptcy Court’s decision</w:t>
      </w:r>
      <w:r w:rsidR="00636EFF">
        <w:rPr>
          <w:rFonts w:ascii="Arial" w:hAnsi="Arial" w:cs="Arial"/>
          <w:color w:val="7B7B7B" w:themeColor="accent3" w:themeShade="BF"/>
          <w:sz w:val="22"/>
          <w:szCs w:val="22"/>
          <w:lang w:val="en-GB"/>
        </w:rPr>
        <w:t>, the state cour</w:t>
      </w:r>
      <w:r w:rsidR="008E0D2F">
        <w:rPr>
          <w:rFonts w:ascii="Arial" w:hAnsi="Arial" w:cs="Arial"/>
          <w:color w:val="7B7B7B" w:themeColor="accent3" w:themeShade="BF"/>
          <w:sz w:val="22"/>
          <w:szCs w:val="22"/>
          <w:lang w:val="en-GB"/>
        </w:rPr>
        <w:t>t conducted a jury trial and entered a judgement in favour of the claimant.</w:t>
      </w:r>
      <w:r w:rsidR="000E78DD">
        <w:rPr>
          <w:rFonts w:ascii="Arial" w:hAnsi="Arial" w:cs="Arial"/>
          <w:color w:val="7B7B7B" w:themeColor="accent3" w:themeShade="BF"/>
          <w:sz w:val="22"/>
          <w:szCs w:val="22"/>
          <w:lang w:val="en-GB"/>
        </w:rPr>
        <w:t xml:space="preserve">  </w:t>
      </w:r>
      <w:r w:rsidR="00CF6D07">
        <w:rPr>
          <w:rFonts w:ascii="Arial" w:hAnsi="Arial" w:cs="Arial"/>
          <w:color w:val="7B7B7B" w:themeColor="accent3" w:themeShade="BF"/>
          <w:sz w:val="22"/>
          <w:szCs w:val="22"/>
          <w:lang w:val="en-GB"/>
        </w:rPr>
        <w:t>As a result, the Court of Appeals ultimately reversed the</w:t>
      </w:r>
      <w:r w:rsidR="006B7268">
        <w:rPr>
          <w:rFonts w:ascii="Arial" w:hAnsi="Arial" w:cs="Arial"/>
          <w:color w:val="7B7B7B" w:themeColor="accent3" w:themeShade="BF"/>
          <w:sz w:val="22"/>
          <w:szCs w:val="22"/>
          <w:lang w:val="en-GB"/>
        </w:rPr>
        <w:t xml:space="preserve"> Bankruptcy Court’s</w:t>
      </w:r>
      <w:r w:rsidR="00CF6D07">
        <w:rPr>
          <w:rFonts w:ascii="Arial" w:hAnsi="Arial" w:cs="Arial"/>
          <w:color w:val="7B7B7B" w:themeColor="accent3" w:themeShade="BF"/>
          <w:sz w:val="22"/>
          <w:szCs w:val="22"/>
          <w:lang w:val="en-GB"/>
        </w:rPr>
        <w:t xml:space="preserve"> award on the basis that the Bankruptcy Court lacked authority to make final judgement on the counterclaim</w:t>
      </w:r>
      <w:r w:rsidR="000C5ED1">
        <w:rPr>
          <w:rFonts w:ascii="Arial" w:hAnsi="Arial" w:cs="Arial"/>
          <w:color w:val="7B7B7B" w:themeColor="accent3" w:themeShade="BF"/>
          <w:sz w:val="22"/>
          <w:szCs w:val="22"/>
          <w:lang w:val="en-GB"/>
        </w:rPr>
        <w:t>.</w:t>
      </w:r>
      <w:r w:rsidR="000C5ED1">
        <w:rPr>
          <w:rStyle w:val="FootnoteReference"/>
          <w:rFonts w:ascii="Arial" w:hAnsi="Arial" w:cs="Arial"/>
          <w:color w:val="7B7B7B" w:themeColor="accent3" w:themeShade="BF"/>
          <w:sz w:val="22"/>
          <w:szCs w:val="22"/>
          <w:lang w:val="en-GB"/>
        </w:rPr>
        <w:footnoteReference w:id="4"/>
      </w:r>
      <w:r w:rsidR="00A4587B">
        <w:rPr>
          <w:rFonts w:ascii="Arial" w:hAnsi="Arial" w:cs="Arial"/>
          <w:color w:val="7B7B7B" w:themeColor="accent3" w:themeShade="BF"/>
          <w:sz w:val="22"/>
          <w:szCs w:val="22"/>
          <w:lang w:val="en-GB"/>
        </w:rPr>
        <w:t xml:space="preserve"> </w:t>
      </w:r>
    </w:p>
    <w:p w14:paraId="0D3523ED" w14:textId="77777777" w:rsidR="0053178E" w:rsidRDefault="0053178E" w:rsidP="005B2A9B">
      <w:pPr>
        <w:jc w:val="both"/>
        <w:rPr>
          <w:rFonts w:ascii="Arial" w:hAnsi="Arial" w:cs="Arial"/>
          <w:color w:val="7B7B7B" w:themeColor="accent3" w:themeShade="BF"/>
          <w:sz w:val="22"/>
          <w:szCs w:val="22"/>
          <w:lang w:val="en-GB"/>
        </w:rPr>
      </w:pPr>
    </w:p>
    <w:p w14:paraId="5DD8871C" w14:textId="0F753A9E" w:rsidR="0053178E" w:rsidRPr="00CD6B90" w:rsidRDefault="00E3350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w:t>
      </w:r>
      <w:r w:rsidR="00362046">
        <w:rPr>
          <w:rFonts w:ascii="Arial" w:hAnsi="Arial" w:cs="Arial"/>
          <w:color w:val="7B7B7B" w:themeColor="accent3" w:themeShade="BF"/>
          <w:sz w:val="22"/>
          <w:szCs w:val="22"/>
          <w:lang w:val="en-GB"/>
        </w:rPr>
        <w:t xml:space="preserve"> the Bankruptcy Court having statutory authority </w:t>
      </w:r>
      <w:r w:rsidR="0080736B">
        <w:rPr>
          <w:rFonts w:ascii="Arial" w:hAnsi="Arial" w:cs="Arial"/>
          <w:color w:val="7B7B7B" w:themeColor="accent3" w:themeShade="BF"/>
          <w:sz w:val="22"/>
          <w:szCs w:val="22"/>
          <w:lang w:val="en-GB"/>
        </w:rPr>
        <w:t xml:space="preserve">to enter judgement on a debtor’s counterclaim, the </w:t>
      </w:r>
      <w:r w:rsidR="0036136D">
        <w:rPr>
          <w:rFonts w:ascii="Arial" w:hAnsi="Arial" w:cs="Arial"/>
          <w:color w:val="7B7B7B" w:themeColor="accent3" w:themeShade="BF"/>
          <w:sz w:val="22"/>
          <w:szCs w:val="22"/>
          <w:lang w:val="en-GB"/>
        </w:rPr>
        <w:t xml:space="preserve">US </w:t>
      </w:r>
      <w:r w:rsidR="0080736B">
        <w:rPr>
          <w:rFonts w:ascii="Arial" w:hAnsi="Arial" w:cs="Arial"/>
          <w:color w:val="7B7B7B" w:themeColor="accent3" w:themeShade="BF"/>
          <w:sz w:val="22"/>
          <w:szCs w:val="22"/>
          <w:lang w:val="en-GB"/>
        </w:rPr>
        <w:t xml:space="preserve">Supreme Court found that it was unconstitutional </w:t>
      </w:r>
      <w:r w:rsidR="00FC270A">
        <w:rPr>
          <w:rFonts w:ascii="Arial" w:hAnsi="Arial" w:cs="Arial"/>
          <w:color w:val="7B7B7B" w:themeColor="accent3" w:themeShade="BF"/>
          <w:sz w:val="22"/>
          <w:szCs w:val="22"/>
          <w:lang w:val="en-GB"/>
        </w:rPr>
        <w:t>to do so over a state law claim.</w:t>
      </w:r>
      <w:r w:rsidR="00B05654">
        <w:rPr>
          <w:rFonts w:ascii="Arial" w:hAnsi="Arial" w:cs="Arial"/>
          <w:color w:val="7B7B7B" w:themeColor="accent3" w:themeShade="BF"/>
          <w:sz w:val="22"/>
          <w:szCs w:val="22"/>
          <w:lang w:val="en-GB"/>
        </w:rPr>
        <w:t xml:space="preserve">  In such cases</w:t>
      </w:r>
      <w:r w:rsidR="00C2613E">
        <w:rPr>
          <w:rFonts w:ascii="Arial" w:hAnsi="Arial" w:cs="Arial"/>
          <w:color w:val="7B7B7B" w:themeColor="accent3" w:themeShade="BF"/>
          <w:sz w:val="22"/>
          <w:szCs w:val="22"/>
          <w:lang w:val="en-GB"/>
        </w:rPr>
        <w:t xml:space="preserve"> (i.e. “core” proceedings over which the Bankruptcy Court lacks constitutional authority)</w:t>
      </w:r>
      <w:r w:rsidR="00B05654">
        <w:rPr>
          <w:rFonts w:ascii="Arial" w:hAnsi="Arial" w:cs="Arial"/>
          <w:color w:val="7B7B7B" w:themeColor="accent3" w:themeShade="BF"/>
          <w:sz w:val="22"/>
          <w:szCs w:val="22"/>
          <w:lang w:val="en-GB"/>
        </w:rPr>
        <w:t xml:space="preserve">, </w:t>
      </w:r>
      <w:r w:rsidR="00C12F88">
        <w:rPr>
          <w:rFonts w:ascii="Arial" w:hAnsi="Arial" w:cs="Arial"/>
          <w:color w:val="7B7B7B" w:themeColor="accent3" w:themeShade="BF"/>
          <w:sz w:val="22"/>
          <w:szCs w:val="22"/>
          <w:lang w:val="en-GB"/>
        </w:rPr>
        <w:t xml:space="preserve">the Bankruptcy Court </w:t>
      </w:r>
      <w:r w:rsidR="00C2613E">
        <w:rPr>
          <w:rFonts w:ascii="Arial" w:hAnsi="Arial" w:cs="Arial"/>
          <w:color w:val="7B7B7B" w:themeColor="accent3" w:themeShade="BF"/>
          <w:sz w:val="22"/>
          <w:szCs w:val="22"/>
          <w:lang w:val="en-GB"/>
        </w:rPr>
        <w:t xml:space="preserve">would </w:t>
      </w:r>
      <w:r w:rsidR="00A51190">
        <w:rPr>
          <w:rFonts w:ascii="Arial" w:hAnsi="Arial" w:cs="Arial"/>
          <w:color w:val="7B7B7B" w:themeColor="accent3" w:themeShade="BF"/>
          <w:sz w:val="22"/>
          <w:szCs w:val="22"/>
          <w:lang w:val="en-GB"/>
        </w:rPr>
        <w:t xml:space="preserve">only </w:t>
      </w:r>
      <w:r w:rsidR="00C2613E">
        <w:rPr>
          <w:rFonts w:ascii="Arial" w:hAnsi="Arial" w:cs="Arial"/>
          <w:color w:val="7B7B7B" w:themeColor="accent3" w:themeShade="BF"/>
          <w:sz w:val="22"/>
          <w:szCs w:val="22"/>
          <w:lang w:val="en-GB"/>
        </w:rPr>
        <w:t xml:space="preserve">be able to </w:t>
      </w:r>
      <w:r w:rsidR="0070431A">
        <w:rPr>
          <w:rFonts w:ascii="Arial" w:hAnsi="Arial" w:cs="Arial"/>
          <w:color w:val="7B7B7B" w:themeColor="accent3" w:themeShade="BF"/>
          <w:sz w:val="22"/>
          <w:szCs w:val="22"/>
          <w:lang w:val="en-GB"/>
        </w:rPr>
        <w:t xml:space="preserve">submit proposed findings of fact and conclusions of law as it would in “non-core” proceedings pursuant to 28 U.S.C. </w:t>
      </w:r>
      <w:r w:rsidR="0070431A" w:rsidRPr="00ED5360">
        <w:rPr>
          <w:rFonts w:ascii="Arial" w:hAnsi="Arial" w:cs="Arial"/>
          <w:color w:val="7B7B7B" w:themeColor="accent3" w:themeShade="BF"/>
          <w:sz w:val="22"/>
          <w:szCs w:val="22"/>
          <w:lang w:val="en-GB"/>
        </w:rPr>
        <w:t>§</w:t>
      </w:r>
      <w:r w:rsidR="0070431A">
        <w:rPr>
          <w:rFonts w:ascii="Arial" w:hAnsi="Arial" w:cs="Arial"/>
          <w:color w:val="7B7B7B" w:themeColor="accent3" w:themeShade="BF"/>
          <w:sz w:val="22"/>
          <w:szCs w:val="22"/>
          <w:lang w:val="en-GB"/>
        </w:rPr>
        <w:t xml:space="preserve"> 15</w:t>
      </w:r>
      <w:r w:rsidR="006740CA">
        <w:rPr>
          <w:rFonts w:ascii="Arial" w:hAnsi="Arial" w:cs="Arial"/>
          <w:color w:val="7B7B7B" w:themeColor="accent3" w:themeShade="BF"/>
          <w:sz w:val="22"/>
          <w:szCs w:val="22"/>
          <w:lang w:val="en-GB"/>
        </w:rPr>
        <w:t>7(c)(1).</w:t>
      </w:r>
      <w:r w:rsidR="006740CA">
        <w:rPr>
          <w:rStyle w:val="FootnoteReference"/>
          <w:rFonts w:ascii="Arial" w:hAnsi="Arial" w:cs="Arial"/>
          <w:color w:val="7B7B7B" w:themeColor="accent3" w:themeShade="BF"/>
          <w:sz w:val="22"/>
          <w:szCs w:val="22"/>
          <w:lang w:val="en-GB"/>
        </w:rPr>
        <w:footnoteReference w:id="5"/>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068CA21C"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A191D60" w:rsidR="005B2A9B" w:rsidRDefault="009E5DC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provisions of the Bankruptcy Code </w:t>
      </w:r>
      <w:r w:rsidR="008065CB">
        <w:rPr>
          <w:rFonts w:ascii="Arial" w:hAnsi="Arial" w:cs="Arial"/>
          <w:color w:val="7B7B7B" w:themeColor="accent3" w:themeShade="BF"/>
          <w:sz w:val="22"/>
          <w:szCs w:val="22"/>
          <w:lang w:val="en-GB"/>
        </w:rPr>
        <w:t>relating to avoidance</w:t>
      </w:r>
      <w:r w:rsidR="007723AC">
        <w:rPr>
          <w:rFonts w:ascii="Arial" w:hAnsi="Arial" w:cs="Arial"/>
          <w:color w:val="7B7B7B" w:themeColor="accent3" w:themeShade="BF"/>
          <w:sz w:val="22"/>
          <w:szCs w:val="22"/>
          <w:lang w:val="en-GB"/>
        </w:rPr>
        <w:t xml:space="preserve"> powers /</w:t>
      </w:r>
      <w:r w:rsidR="008065CB">
        <w:rPr>
          <w:rFonts w:ascii="Arial" w:hAnsi="Arial" w:cs="Arial"/>
          <w:color w:val="7B7B7B" w:themeColor="accent3" w:themeShade="BF"/>
          <w:sz w:val="22"/>
          <w:szCs w:val="22"/>
          <w:lang w:val="en-GB"/>
        </w:rPr>
        <w:t xml:space="preserve"> </w:t>
      </w:r>
      <w:r w:rsidR="00130706">
        <w:rPr>
          <w:rFonts w:ascii="Arial" w:hAnsi="Arial" w:cs="Arial"/>
          <w:color w:val="7B7B7B" w:themeColor="accent3" w:themeShade="BF"/>
          <w:sz w:val="22"/>
          <w:szCs w:val="22"/>
          <w:lang w:val="en-GB"/>
        </w:rPr>
        <w:t>actions</w:t>
      </w:r>
      <w:r w:rsidR="008065CB">
        <w:rPr>
          <w:rFonts w:ascii="Arial" w:hAnsi="Arial" w:cs="Arial"/>
          <w:color w:val="7B7B7B" w:themeColor="accent3" w:themeShade="BF"/>
          <w:sz w:val="22"/>
          <w:szCs w:val="22"/>
          <w:lang w:val="en-GB"/>
        </w:rPr>
        <w:t xml:space="preserve"> may not be invoked by a foreign representative in a chapter 15 proceeding.</w:t>
      </w:r>
    </w:p>
    <w:p w14:paraId="57F30742" w14:textId="77777777" w:rsidR="00DC1910" w:rsidRDefault="00DC1910" w:rsidP="005B2A9B">
      <w:pPr>
        <w:jc w:val="both"/>
        <w:rPr>
          <w:rFonts w:ascii="Arial" w:hAnsi="Arial" w:cs="Arial"/>
          <w:color w:val="7B7B7B" w:themeColor="accent3" w:themeShade="BF"/>
          <w:sz w:val="22"/>
          <w:szCs w:val="22"/>
          <w:lang w:val="en-GB"/>
        </w:rPr>
      </w:pPr>
    </w:p>
    <w:p w14:paraId="0713591C" w14:textId="1F05FDB4" w:rsidR="00DC1910" w:rsidRDefault="0013070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ways that the foreign representative can obtain equivalent relief include:</w:t>
      </w:r>
    </w:p>
    <w:p w14:paraId="4FAFC30E" w14:textId="77777777" w:rsidR="00130706" w:rsidRDefault="00130706" w:rsidP="005B2A9B">
      <w:pPr>
        <w:jc w:val="both"/>
        <w:rPr>
          <w:rFonts w:ascii="Arial" w:hAnsi="Arial" w:cs="Arial"/>
          <w:color w:val="7B7B7B" w:themeColor="accent3" w:themeShade="BF"/>
          <w:sz w:val="22"/>
          <w:szCs w:val="22"/>
          <w:lang w:val="en-GB"/>
        </w:rPr>
      </w:pPr>
    </w:p>
    <w:p w14:paraId="6BA3FD61" w14:textId="3A2D41F8" w:rsidR="00130706" w:rsidRDefault="002B2D4D" w:rsidP="0013070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Pursuing any cause of action available </w:t>
      </w:r>
      <w:r w:rsidR="000D7783">
        <w:rPr>
          <w:rFonts w:ascii="Arial" w:hAnsi="Arial" w:cs="Arial"/>
          <w:color w:val="7B7B7B" w:themeColor="accent3" w:themeShade="BF"/>
          <w:sz w:val="22"/>
          <w:szCs w:val="22"/>
          <w:lang w:val="en-GB"/>
        </w:rPr>
        <w:t xml:space="preserve">under </w:t>
      </w:r>
      <w:r w:rsidR="00126A8A">
        <w:rPr>
          <w:rFonts w:ascii="Arial" w:hAnsi="Arial" w:cs="Arial"/>
          <w:color w:val="7B7B7B" w:themeColor="accent3" w:themeShade="BF"/>
          <w:sz w:val="22"/>
          <w:szCs w:val="22"/>
          <w:lang w:val="en-GB"/>
        </w:rPr>
        <w:t xml:space="preserve">applicable foreign and </w:t>
      </w:r>
      <w:r w:rsidR="000D7783">
        <w:rPr>
          <w:rFonts w:ascii="Arial" w:hAnsi="Arial" w:cs="Arial"/>
          <w:color w:val="7B7B7B" w:themeColor="accent3" w:themeShade="BF"/>
          <w:sz w:val="22"/>
          <w:szCs w:val="22"/>
          <w:lang w:val="en-GB"/>
        </w:rPr>
        <w:t>non-bankruptcy law, including state law avoidance actions</w:t>
      </w:r>
      <w:r w:rsidR="00E207F0">
        <w:rPr>
          <w:rStyle w:val="FootnoteReference"/>
          <w:rFonts w:ascii="Arial" w:hAnsi="Arial" w:cs="Arial"/>
          <w:color w:val="7B7B7B" w:themeColor="accent3" w:themeShade="BF"/>
          <w:sz w:val="22"/>
          <w:szCs w:val="22"/>
          <w:lang w:val="en-GB"/>
        </w:rPr>
        <w:footnoteReference w:id="6"/>
      </w:r>
      <w:r w:rsidR="000D7783">
        <w:rPr>
          <w:rFonts w:ascii="Arial" w:hAnsi="Arial" w:cs="Arial"/>
          <w:color w:val="7B7B7B" w:themeColor="accent3" w:themeShade="BF"/>
          <w:sz w:val="22"/>
          <w:szCs w:val="22"/>
          <w:lang w:val="en-GB"/>
        </w:rPr>
        <w:t>; and,</w:t>
      </w:r>
    </w:p>
    <w:p w14:paraId="78CDE236" w14:textId="4D59F777" w:rsidR="000D7783" w:rsidRPr="00130706" w:rsidRDefault="00512704" w:rsidP="0013070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Commencing a plenary </w:t>
      </w:r>
      <w:r w:rsidR="000C62D0">
        <w:rPr>
          <w:rFonts w:ascii="Arial" w:hAnsi="Arial" w:cs="Arial"/>
          <w:color w:val="7B7B7B" w:themeColor="accent3" w:themeShade="BF"/>
          <w:sz w:val="22"/>
          <w:szCs w:val="22"/>
          <w:lang w:val="en-GB"/>
        </w:rPr>
        <w:t xml:space="preserve">proceeding under the Bankruptcy </w:t>
      </w:r>
      <w:r w:rsidR="0082319C">
        <w:rPr>
          <w:rFonts w:ascii="Arial" w:hAnsi="Arial" w:cs="Arial"/>
          <w:color w:val="7B7B7B" w:themeColor="accent3" w:themeShade="BF"/>
          <w:sz w:val="22"/>
          <w:szCs w:val="22"/>
          <w:lang w:val="en-GB"/>
        </w:rPr>
        <w:t>C</w:t>
      </w:r>
      <w:r w:rsidR="000C62D0">
        <w:rPr>
          <w:rFonts w:ascii="Arial" w:hAnsi="Arial" w:cs="Arial"/>
          <w:color w:val="7B7B7B" w:themeColor="accent3" w:themeShade="BF"/>
          <w:sz w:val="22"/>
          <w:szCs w:val="22"/>
          <w:lang w:val="en-GB"/>
        </w:rPr>
        <w:t xml:space="preserve">ode, such as chapter 7 or 11, after </w:t>
      </w:r>
      <w:r w:rsidR="00E96E6B">
        <w:rPr>
          <w:rFonts w:ascii="Arial" w:hAnsi="Arial" w:cs="Arial"/>
          <w:color w:val="7B7B7B" w:themeColor="accent3" w:themeShade="BF"/>
          <w:sz w:val="22"/>
          <w:szCs w:val="22"/>
          <w:lang w:val="en-GB"/>
        </w:rPr>
        <w:t>recognition of the foreign proceeding under chapter 15.</w:t>
      </w:r>
      <w:r w:rsidR="0069083E">
        <w:rPr>
          <w:rFonts w:ascii="Arial" w:hAnsi="Arial" w:cs="Arial"/>
          <w:color w:val="7B7B7B" w:themeColor="accent3" w:themeShade="BF"/>
          <w:sz w:val="22"/>
          <w:szCs w:val="22"/>
          <w:lang w:val="en-GB"/>
        </w:rPr>
        <w:t xml:space="preserve">  </w:t>
      </w:r>
      <w:r w:rsidR="00B775DD">
        <w:rPr>
          <w:rFonts w:ascii="Arial" w:hAnsi="Arial" w:cs="Arial"/>
          <w:color w:val="7B7B7B" w:themeColor="accent3" w:themeShade="BF"/>
          <w:sz w:val="22"/>
          <w:szCs w:val="22"/>
          <w:lang w:val="en-GB"/>
        </w:rPr>
        <w:t xml:space="preserve">Through such chapters, the foreign representative would gain access to the Bankruptcy’s </w:t>
      </w:r>
      <w:r w:rsidR="006569A1">
        <w:rPr>
          <w:rFonts w:ascii="Arial" w:hAnsi="Arial" w:cs="Arial"/>
          <w:color w:val="7B7B7B" w:themeColor="accent3" w:themeShade="BF"/>
          <w:sz w:val="22"/>
          <w:szCs w:val="22"/>
          <w:lang w:val="en-GB"/>
        </w:rPr>
        <w:t>Codes avoidance powers / actions.</w:t>
      </w:r>
      <w:r w:rsidR="006569A1">
        <w:rPr>
          <w:rStyle w:val="FootnoteReference"/>
          <w:rFonts w:ascii="Arial" w:hAnsi="Arial" w:cs="Arial"/>
          <w:color w:val="7B7B7B" w:themeColor="accent3" w:themeShade="BF"/>
          <w:sz w:val="22"/>
          <w:szCs w:val="22"/>
          <w:lang w:val="en-GB"/>
        </w:rPr>
        <w:footnoteReference w:id="7"/>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1EA3F29" w14:textId="2C069BA1" w:rsidR="00DC359F" w:rsidRDefault="000C0523" w:rsidP="000C0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w:t>
      </w:r>
      <w:r w:rsidR="0087575C">
        <w:rPr>
          <w:rFonts w:ascii="Arial" w:hAnsi="Arial" w:cs="Arial"/>
          <w:color w:val="7B7B7B" w:themeColor="accent3" w:themeShade="BF"/>
          <w:sz w:val="22"/>
          <w:szCs w:val="22"/>
          <w:lang w:val="en-GB"/>
        </w:rPr>
        <w:t>address and</w:t>
      </w:r>
      <w:r w:rsidR="00361B22">
        <w:rPr>
          <w:rFonts w:ascii="Arial" w:hAnsi="Arial" w:cs="Arial"/>
          <w:color w:val="7B7B7B" w:themeColor="accent3" w:themeShade="BF"/>
          <w:sz w:val="22"/>
          <w:szCs w:val="22"/>
          <w:lang w:val="en-GB"/>
        </w:rPr>
        <w:t xml:space="preserve"> resolve</w:t>
      </w:r>
      <w:r>
        <w:rPr>
          <w:rFonts w:ascii="Arial" w:hAnsi="Arial" w:cs="Arial"/>
          <w:color w:val="7B7B7B" w:themeColor="accent3" w:themeShade="BF"/>
          <w:sz w:val="22"/>
          <w:szCs w:val="22"/>
          <w:lang w:val="en-GB"/>
        </w:rPr>
        <w:t xml:space="preserve"> </w:t>
      </w:r>
      <w:r w:rsidRPr="007F1C6D">
        <w:rPr>
          <w:rFonts w:ascii="Arial" w:hAnsi="Arial" w:cs="Arial"/>
          <w:i/>
          <w:iCs/>
          <w:color w:val="7B7B7B" w:themeColor="accent3" w:themeShade="BF"/>
          <w:sz w:val="22"/>
          <w:szCs w:val="22"/>
          <w:lang w:val="en-GB"/>
        </w:rPr>
        <w:t>all</w:t>
      </w:r>
      <w:r w:rsidR="009B4630">
        <w:rPr>
          <w:rFonts w:ascii="Arial" w:hAnsi="Arial" w:cs="Arial"/>
          <w:color w:val="7B7B7B" w:themeColor="accent3" w:themeShade="BF"/>
          <w:sz w:val="22"/>
          <w:szCs w:val="22"/>
          <w:lang w:val="en-GB"/>
        </w:rPr>
        <w:t xml:space="preserve"> issues and claims, leaving nothing further to be </w:t>
      </w:r>
      <w:r w:rsidR="00AA15B1">
        <w:rPr>
          <w:rFonts w:ascii="Arial" w:hAnsi="Arial" w:cs="Arial"/>
          <w:color w:val="7B7B7B" w:themeColor="accent3" w:themeShade="BF"/>
          <w:sz w:val="22"/>
          <w:szCs w:val="22"/>
          <w:lang w:val="en-GB"/>
        </w:rPr>
        <w:t>determined</w:t>
      </w:r>
      <w:r w:rsidR="009B4630">
        <w:rPr>
          <w:rFonts w:ascii="Arial" w:hAnsi="Arial" w:cs="Arial"/>
          <w:color w:val="7B7B7B" w:themeColor="accent3" w:themeShade="BF"/>
          <w:sz w:val="22"/>
          <w:szCs w:val="22"/>
          <w:lang w:val="en-GB"/>
        </w:rPr>
        <w:t xml:space="preserve">, while interlocutory orders </w:t>
      </w:r>
      <w:r w:rsidR="007F1C6D">
        <w:rPr>
          <w:rFonts w:ascii="Arial" w:hAnsi="Arial" w:cs="Arial"/>
          <w:color w:val="7B7B7B" w:themeColor="accent3" w:themeShade="BF"/>
          <w:sz w:val="22"/>
          <w:szCs w:val="22"/>
          <w:lang w:val="en-GB"/>
        </w:rPr>
        <w:t xml:space="preserve">address and resolve only </w:t>
      </w:r>
      <w:r w:rsidR="007F1C6D">
        <w:rPr>
          <w:rFonts w:ascii="Arial" w:hAnsi="Arial" w:cs="Arial"/>
          <w:i/>
          <w:iCs/>
          <w:color w:val="7B7B7B" w:themeColor="accent3" w:themeShade="BF"/>
          <w:sz w:val="22"/>
          <w:szCs w:val="22"/>
          <w:lang w:val="en-GB"/>
        </w:rPr>
        <w:t xml:space="preserve">some </w:t>
      </w:r>
      <w:r w:rsidR="007F1C6D">
        <w:rPr>
          <w:rFonts w:ascii="Arial" w:hAnsi="Arial" w:cs="Arial"/>
          <w:color w:val="7B7B7B" w:themeColor="accent3" w:themeShade="BF"/>
          <w:sz w:val="22"/>
          <w:szCs w:val="22"/>
          <w:lang w:val="en-GB"/>
        </w:rPr>
        <w:t>of the issues and claims.</w:t>
      </w:r>
    </w:p>
    <w:p w14:paraId="21F8D925" w14:textId="77777777" w:rsidR="00723687" w:rsidRDefault="00723687" w:rsidP="000C0523">
      <w:pPr>
        <w:jc w:val="both"/>
        <w:rPr>
          <w:rFonts w:ascii="Arial" w:hAnsi="Arial" w:cs="Arial"/>
          <w:color w:val="7B7B7B" w:themeColor="accent3" w:themeShade="BF"/>
          <w:sz w:val="22"/>
          <w:szCs w:val="22"/>
          <w:lang w:val="en-GB"/>
        </w:rPr>
      </w:pPr>
    </w:p>
    <w:p w14:paraId="74F48980" w14:textId="736B0F1A" w:rsidR="00723687" w:rsidRDefault="00FD5A93" w:rsidP="000C0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may be appealed as of right </w:t>
      </w:r>
      <w:r w:rsidR="00091A16">
        <w:rPr>
          <w:rFonts w:ascii="Arial" w:hAnsi="Arial" w:cs="Arial"/>
          <w:color w:val="7B7B7B" w:themeColor="accent3" w:themeShade="BF"/>
          <w:sz w:val="22"/>
          <w:szCs w:val="22"/>
          <w:lang w:val="en-GB"/>
        </w:rPr>
        <w:t xml:space="preserve">which means that </w:t>
      </w:r>
      <w:r w:rsidR="00A2282C">
        <w:rPr>
          <w:rFonts w:ascii="Arial" w:hAnsi="Arial" w:cs="Arial"/>
          <w:color w:val="7B7B7B" w:themeColor="accent3" w:themeShade="BF"/>
          <w:sz w:val="22"/>
          <w:szCs w:val="22"/>
          <w:lang w:val="en-GB"/>
        </w:rPr>
        <w:t>leave (i.e. p</w:t>
      </w:r>
      <w:r w:rsidR="00091A16">
        <w:rPr>
          <w:rFonts w:ascii="Arial" w:hAnsi="Arial" w:cs="Arial"/>
          <w:color w:val="7B7B7B" w:themeColor="accent3" w:themeShade="BF"/>
          <w:sz w:val="22"/>
          <w:szCs w:val="22"/>
          <w:lang w:val="en-GB"/>
        </w:rPr>
        <w:t>ermission</w:t>
      </w:r>
      <w:r w:rsidR="00A2282C">
        <w:rPr>
          <w:rFonts w:ascii="Arial" w:hAnsi="Arial" w:cs="Arial"/>
          <w:color w:val="7B7B7B" w:themeColor="accent3" w:themeShade="BF"/>
          <w:sz w:val="22"/>
          <w:szCs w:val="22"/>
          <w:lang w:val="en-GB"/>
        </w:rPr>
        <w:t>)</w:t>
      </w:r>
      <w:r w:rsidR="00091A16">
        <w:rPr>
          <w:rFonts w:ascii="Arial" w:hAnsi="Arial" w:cs="Arial"/>
          <w:color w:val="7B7B7B" w:themeColor="accent3" w:themeShade="BF"/>
          <w:sz w:val="22"/>
          <w:szCs w:val="22"/>
          <w:lang w:val="en-GB"/>
        </w:rPr>
        <w:t xml:space="preserve"> </w:t>
      </w:r>
      <w:r w:rsidR="00A2282C">
        <w:rPr>
          <w:rFonts w:ascii="Arial" w:hAnsi="Arial" w:cs="Arial"/>
          <w:color w:val="7B7B7B" w:themeColor="accent3" w:themeShade="BF"/>
          <w:sz w:val="22"/>
          <w:szCs w:val="22"/>
          <w:lang w:val="en-GB"/>
        </w:rPr>
        <w:t xml:space="preserve">from the appellate court is not required to </w:t>
      </w:r>
      <w:r w:rsidR="00E35994">
        <w:rPr>
          <w:rFonts w:ascii="Arial" w:hAnsi="Arial" w:cs="Arial"/>
          <w:color w:val="7B7B7B" w:themeColor="accent3" w:themeShade="BF"/>
          <w:sz w:val="22"/>
          <w:szCs w:val="22"/>
          <w:lang w:val="en-GB"/>
        </w:rPr>
        <w:t xml:space="preserve">commence the </w:t>
      </w:r>
      <w:r w:rsidR="00A2282C">
        <w:rPr>
          <w:rFonts w:ascii="Arial" w:hAnsi="Arial" w:cs="Arial"/>
          <w:color w:val="7B7B7B" w:themeColor="accent3" w:themeShade="BF"/>
          <w:sz w:val="22"/>
          <w:szCs w:val="22"/>
          <w:lang w:val="en-GB"/>
        </w:rPr>
        <w:t>appeal.  Conversely, interlocutory orders may only be appealed with leave from the appellate court.</w:t>
      </w:r>
    </w:p>
    <w:p w14:paraId="4A7A404C" w14:textId="77777777" w:rsidR="00E35994" w:rsidRDefault="00E35994" w:rsidP="000C0523">
      <w:pPr>
        <w:jc w:val="both"/>
        <w:rPr>
          <w:rFonts w:ascii="Arial" w:hAnsi="Arial" w:cs="Arial"/>
          <w:color w:val="7B7B7B" w:themeColor="accent3" w:themeShade="BF"/>
          <w:sz w:val="22"/>
          <w:szCs w:val="22"/>
          <w:lang w:val="en-GB"/>
        </w:rPr>
      </w:pPr>
    </w:p>
    <w:p w14:paraId="5E4B24FD" w14:textId="74715528" w:rsidR="005F5F55" w:rsidRDefault="004A0667" w:rsidP="000C0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w:t>
      </w:r>
      <w:r w:rsidR="003557E0">
        <w:rPr>
          <w:rFonts w:ascii="Arial" w:hAnsi="Arial" w:cs="Arial"/>
          <w:color w:val="7B7B7B" w:themeColor="accent3" w:themeShade="BF"/>
          <w:sz w:val="22"/>
          <w:szCs w:val="22"/>
          <w:lang w:val="en-GB"/>
        </w:rPr>
        <w:t xml:space="preserve">y, appeals from bankruptcy court orders are heard </w:t>
      </w:r>
      <w:r w:rsidR="001A11CF">
        <w:rPr>
          <w:rFonts w:ascii="Arial" w:hAnsi="Arial" w:cs="Arial"/>
          <w:color w:val="7B7B7B" w:themeColor="accent3" w:themeShade="BF"/>
          <w:sz w:val="22"/>
          <w:szCs w:val="22"/>
          <w:lang w:val="en-GB"/>
        </w:rPr>
        <w:t xml:space="preserve">by the applicable district court.  However, </w:t>
      </w:r>
      <w:r w:rsidR="009E5B3C">
        <w:rPr>
          <w:rFonts w:ascii="Arial" w:hAnsi="Arial" w:cs="Arial"/>
          <w:color w:val="7B7B7B" w:themeColor="accent3" w:themeShade="BF"/>
          <w:sz w:val="22"/>
          <w:szCs w:val="22"/>
          <w:lang w:val="en-GB"/>
        </w:rPr>
        <w:t xml:space="preserve">in certain circuits, Bankruptcy Appellate Panels </w:t>
      </w:r>
      <w:r w:rsidR="00F44641">
        <w:rPr>
          <w:rFonts w:ascii="Arial" w:hAnsi="Arial" w:cs="Arial"/>
          <w:color w:val="7B7B7B" w:themeColor="accent3" w:themeShade="BF"/>
          <w:sz w:val="22"/>
          <w:szCs w:val="22"/>
          <w:lang w:val="en-GB"/>
        </w:rPr>
        <w:t xml:space="preserve">have been formed </w:t>
      </w:r>
      <w:r w:rsidR="0028759E">
        <w:rPr>
          <w:rFonts w:ascii="Arial" w:hAnsi="Arial" w:cs="Arial"/>
          <w:color w:val="7B7B7B" w:themeColor="accent3" w:themeShade="BF"/>
          <w:sz w:val="22"/>
          <w:szCs w:val="22"/>
          <w:lang w:val="en-GB"/>
        </w:rPr>
        <w:t>through which such appeals are heard although</w:t>
      </w:r>
      <w:r w:rsidR="0084372A">
        <w:rPr>
          <w:rFonts w:ascii="Arial" w:hAnsi="Arial" w:cs="Arial"/>
          <w:color w:val="7B7B7B" w:themeColor="accent3" w:themeShade="BF"/>
          <w:sz w:val="22"/>
          <w:szCs w:val="22"/>
          <w:lang w:val="en-GB"/>
        </w:rPr>
        <w:t xml:space="preserve"> the appellant or any </w:t>
      </w:r>
      <w:r w:rsidR="00891AB5">
        <w:rPr>
          <w:rFonts w:ascii="Arial" w:hAnsi="Arial" w:cs="Arial"/>
          <w:color w:val="7B7B7B" w:themeColor="accent3" w:themeShade="BF"/>
          <w:sz w:val="22"/>
          <w:szCs w:val="22"/>
          <w:lang w:val="en-GB"/>
        </w:rPr>
        <w:t xml:space="preserve">other </w:t>
      </w:r>
      <w:r w:rsidR="00931627">
        <w:rPr>
          <w:rFonts w:ascii="Arial" w:hAnsi="Arial" w:cs="Arial"/>
          <w:color w:val="7B7B7B" w:themeColor="accent3" w:themeShade="BF"/>
          <w:sz w:val="22"/>
          <w:szCs w:val="22"/>
          <w:lang w:val="en-GB"/>
        </w:rPr>
        <w:t xml:space="preserve">relevant </w:t>
      </w:r>
      <w:r w:rsidR="00891AB5">
        <w:rPr>
          <w:rFonts w:ascii="Arial" w:hAnsi="Arial" w:cs="Arial"/>
          <w:color w:val="7B7B7B" w:themeColor="accent3" w:themeShade="BF"/>
          <w:sz w:val="22"/>
          <w:szCs w:val="22"/>
          <w:lang w:val="en-GB"/>
        </w:rPr>
        <w:t>party</w:t>
      </w:r>
      <w:r w:rsidR="0028759E">
        <w:rPr>
          <w:rFonts w:ascii="Arial" w:hAnsi="Arial" w:cs="Arial"/>
          <w:color w:val="7B7B7B" w:themeColor="accent3" w:themeShade="BF"/>
          <w:sz w:val="22"/>
          <w:szCs w:val="22"/>
          <w:lang w:val="en-GB"/>
        </w:rPr>
        <w:t xml:space="preserve"> has the </w:t>
      </w:r>
      <w:r w:rsidR="00891AB5">
        <w:rPr>
          <w:rFonts w:ascii="Arial" w:hAnsi="Arial" w:cs="Arial"/>
          <w:color w:val="7B7B7B" w:themeColor="accent3" w:themeShade="BF"/>
          <w:sz w:val="22"/>
          <w:szCs w:val="22"/>
          <w:lang w:val="en-GB"/>
        </w:rPr>
        <w:t>right</w:t>
      </w:r>
      <w:r w:rsidR="0028759E">
        <w:rPr>
          <w:rFonts w:ascii="Arial" w:hAnsi="Arial" w:cs="Arial"/>
          <w:color w:val="7B7B7B" w:themeColor="accent3" w:themeShade="BF"/>
          <w:sz w:val="22"/>
          <w:szCs w:val="22"/>
          <w:lang w:val="en-GB"/>
        </w:rPr>
        <w:t xml:space="preserve"> to request that the appeal </w:t>
      </w:r>
      <w:r w:rsidR="00E9028C">
        <w:rPr>
          <w:rFonts w:ascii="Arial" w:hAnsi="Arial" w:cs="Arial"/>
          <w:color w:val="7B7B7B" w:themeColor="accent3" w:themeShade="BF"/>
          <w:sz w:val="22"/>
          <w:szCs w:val="22"/>
          <w:lang w:val="en-GB"/>
        </w:rPr>
        <w:t>be heard by the district court instead.</w:t>
      </w:r>
      <w:r w:rsidR="007D59CD">
        <w:rPr>
          <w:rFonts w:ascii="Arial" w:hAnsi="Arial" w:cs="Arial"/>
          <w:color w:val="7B7B7B" w:themeColor="accent3" w:themeShade="BF"/>
          <w:sz w:val="22"/>
          <w:szCs w:val="22"/>
          <w:lang w:val="en-GB"/>
        </w:rPr>
        <w:t xml:space="preserve">  </w:t>
      </w:r>
    </w:p>
    <w:p w14:paraId="63AF9777" w14:textId="77777777" w:rsidR="005F5F55" w:rsidRDefault="005F5F55" w:rsidP="000C0523">
      <w:pPr>
        <w:jc w:val="both"/>
        <w:rPr>
          <w:rFonts w:ascii="Arial" w:hAnsi="Arial" w:cs="Arial"/>
          <w:color w:val="7B7B7B" w:themeColor="accent3" w:themeShade="BF"/>
          <w:sz w:val="22"/>
          <w:szCs w:val="22"/>
          <w:lang w:val="en-GB"/>
        </w:rPr>
      </w:pPr>
    </w:p>
    <w:p w14:paraId="04F0C6B4" w14:textId="0A8810A8" w:rsidR="00AA15B1" w:rsidRDefault="007D59CD" w:rsidP="000C05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w:t>
      </w:r>
      <w:r w:rsidR="000B79E6">
        <w:rPr>
          <w:rFonts w:ascii="Arial" w:hAnsi="Arial" w:cs="Arial"/>
          <w:color w:val="7B7B7B" w:themeColor="accent3" w:themeShade="BF"/>
          <w:sz w:val="22"/>
          <w:szCs w:val="22"/>
          <w:lang w:val="en-GB"/>
        </w:rPr>
        <w:t xml:space="preserve">pursuant to </w:t>
      </w:r>
      <w:r w:rsidR="0073768E">
        <w:rPr>
          <w:rFonts w:ascii="Arial" w:hAnsi="Arial" w:cs="Arial"/>
          <w:color w:val="7B7B7B" w:themeColor="accent3" w:themeShade="BF"/>
          <w:sz w:val="22"/>
          <w:szCs w:val="22"/>
          <w:lang w:val="en-GB"/>
        </w:rPr>
        <w:t xml:space="preserve">28 </w:t>
      </w:r>
      <w:r w:rsidR="000B79E6">
        <w:rPr>
          <w:rFonts w:ascii="Arial" w:hAnsi="Arial" w:cs="Arial"/>
          <w:color w:val="7B7B7B" w:themeColor="accent3" w:themeShade="BF"/>
          <w:sz w:val="22"/>
          <w:szCs w:val="22"/>
          <w:lang w:val="en-GB"/>
        </w:rPr>
        <w:t xml:space="preserve">U.S.C. </w:t>
      </w:r>
      <w:r w:rsidR="000B79E6" w:rsidRPr="00ED5360">
        <w:rPr>
          <w:rFonts w:ascii="Arial" w:hAnsi="Arial" w:cs="Arial"/>
          <w:color w:val="7B7B7B" w:themeColor="accent3" w:themeShade="BF"/>
          <w:sz w:val="22"/>
          <w:szCs w:val="22"/>
          <w:lang w:val="en-GB"/>
        </w:rPr>
        <w:t>§</w:t>
      </w:r>
      <w:r w:rsidR="000B79E6">
        <w:rPr>
          <w:rFonts w:ascii="Arial" w:hAnsi="Arial" w:cs="Arial"/>
          <w:color w:val="7B7B7B" w:themeColor="accent3" w:themeShade="BF"/>
          <w:sz w:val="22"/>
          <w:szCs w:val="22"/>
          <w:lang w:val="en-GB"/>
        </w:rPr>
        <w:t xml:space="preserve"> 15</w:t>
      </w:r>
      <w:r w:rsidR="00952DAD">
        <w:rPr>
          <w:rFonts w:ascii="Arial" w:hAnsi="Arial" w:cs="Arial"/>
          <w:color w:val="7B7B7B" w:themeColor="accent3" w:themeShade="BF"/>
          <w:sz w:val="22"/>
          <w:szCs w:val="22"/>
          <w:lang w:val="en-GB"/>
        </w:rPr>
        <w:t xml:space="preserve">8(d), </w:t>
      </w:r>
      <w:r>
        <w:rPr>
          <w:rFonts w:ascii="Arial" w:hAnsi="Arial" w:cs="Arial"/>
          <w:color w:val="7B7B7B" w:themeColor="accent3" w:themeShade="BF"/>
          <w:sz w:val="22"/>
          <w:szCs w:val="22"/>
          <w:lang w:val="en-GB"/>
        </w:rPr>
        <w:t xml:space="preserve">appeals </w:t>
      </w:r>
      <w:r w:rsidR="005F5F55">
        <w:rPr>
          <w:rFonts w:ascii="Arial" w:hAnsi="Arial" w:cs="Arial"/>
          <w:color w:val="7B7B7B" w:themeColor="accent3" w:themeShade="BF"/>
          <w:sz w:val="22"/>
          <w:szCs w:val="22"/>
          <w:lang w:val="en-GB"/>
        </w:rPr>
        <w:t xml:space="preserve">from bankruptcy court orders may be heard </w:t>
      </w:r>
      <w:r w:rsidR="009D7783">
        <w:rPr>
          <w:rFonts w:ascii="Arial" w:hAnsi="Arial" w:cs="Arial"/>
          <w:color w:val="7B7B7B" w:themeColor="accent3" w:themeShade="BF"/>
          <w:sz w:val="22"/>
          <w:szCs w:val="22"/>
          <w:lang w:val="en-GB"/>
        </w:rPr>
        <w:t xml:space="preserve">directly </w:t>
      </w:r>
      <w:r w:rsidR="005F5F55">
        <w:rPr>
          <w:rFonts w:ascii="Arial" w:hAnsi="Arial" w:cs="Arial"/>
          <w:color w:val="7B7B7B" w:themeColor="accent3" w:themeShade="BF"/>
          <w:sz w:val="22"/>
          <w:szCs w:val="22"/>
          <w:lang w:val="en-GB"/>
        </w:rPr>
        <w:t xml:space="preserve">by </w:t>
      </w:r>
      <w:r w:rsidR="00935694">
        <w:rPr>
          <w:rFonts w:ascii="Arial" w:hAnsi="Arial" w:cs="Arial"/>
          <w:color w:val="7B7B7B" w:themeColor="accent3" w:themeShade="BF"/>
          <w:sz w:val="22"/>
          <w:szCs w:val="22"/>
          <w:lang w:val="en-GB"/>
        </w:rPr>
        <w:t xml:space="preserve">the court of appeals </w:t>
      </w:r>
      <w:r w:rsidR="003041AE">
        <w:rPr>
          <w:rFonts w:ascii="Arial" w:hAnsi="Arial" w:cs="Arial"/>
          <w:color w:val="7B7B7B" w:themeColor="accent3" w:themeShade="BF"/>
          <w:sz w:val="22"/>
          <w:szCs w:val="22"/>
          <w:lang w:val="en-GB"/>
        </w:rPr>
        <w:t xml:space="preserve">if one of the following conditions are met and if the court of appeals authorizes </w:t>
      </w:r>
      <w:r w:rsidR="0073768E">
        <w:rPr>
          <w:rFonts w:ascii="Arial" w:hAnsi="Arial" w:cs="Arial"/>
          <w:color w:val="7B7B7B" w:themeColor="accent3" w:themeShade="BF"/>
          <w:sz w:val="22"/>
          <w:szCs w:val="22"/>
          <w:lang w:val="en-GB"/>
        </w:rPr>
        <w:t>the direct appeal:</w:t>
      </w:r>
      <w:r w:rsidR="0073768E">
        <w:rPr>
          <w:rStyle w:val="FootnoteReference"/>
          <w:rFonts w:ascii="Arial" w:hAnsi="Arial" w:cs="Arial"/>
          <w:color w:val="7B7B7B" w:themeColor="accent3" w:themeShade="BF"/>
          <w:sz w:val="22"/>
          <w:szCs w:val="22"/>
          <w:lang w:val="en-GB"/>
        </w:rPr>
        <w:footnoteReference w:id="8"/>
      </w:r>
    </w:p>
    <w:p w14:paraId="06671DBC" w14:textId="77777777" w:rsidR="00113E11" w:rsidRDefault="00113E11" w:rsidP="000C0523">
      <w:pPr>
        <w:jc w:val="both"/>
        <w:rPr>
          <w:rFonts w:ascii="Arial" w:hAnsi="Arial" w:cs="Arial"/>
          <w:color w:val="7B7B7B" w:themeColor="accent3" w:themeShade="BF"/>
          <w:sz w:val="22"/>
          <w:szCs w:val="22"/>
          <w:lang w:val="en-GB"/>
        </w:rPr>
      </w:pPr>
    </w:p>
    <w:p w14:paraId="701BF568" w14:textId="77777777" w:rsidR="00113E11" w:rsidRDefault="00113E11" w:rsidP="00113E11">
      <w:pPr>
        <w:pStyle w:val="ListParagraph"/>
        <w:numPr>
          <w:ilvl w:val="0"/>
          <w:numId w:val="20"/>
        </w:numPr>
        <w:jc w:val="both"/>
        <w:rPr>
          <w:rFonts w:ascii="Arial" w:hAnsi="Arial" w:cs="Arial"/>
          <w:color w:val="7B7B7B" w:themeColor="accent3" w:themeShade="BF"/>
          <w:sz w:val="22"/>
          <w:szCs w:val="22"/>
          <w:lang w:val="en-GB"/>
        </w:rPr>
      </w:pPr>
      <w:r w:rsidRPr="00113E11">
        <w:rPr>
          <w:rFonts w:ascii="Arial" w:hAnsi="Arial" w:cs="Arial"/>
          <w:color w:val="7B7B7B" w:themeColor="accent3" w:themeShade="BF"/>
          <w:sz w:val="22"/>
          <w:szCs w:val="22"/>
          <w:lang w:val="en-GB"/>
        </w:rPr>
        <w:t>the judgment, order, or decree involves a question of law as to which there is no controlling decision of the court of appeals for the circuit or of the Supreme Court of the United States, or involves a matter of public importance;</w:t>
      </w:r>
    </w:p>
    <w:p w14:paraId="08129A94" w14:textId="77777777" w:rsidR="003E57F8" w:rsidRPr="00113E11" w:rsidRDefault="003E57F8" w:rsidP="003E57F8">
      <w:pPr>
        <w:pStyle w:val="ListParagraph"/>
        <w:jc w:val="both"/>
        <w:rPr>
          <w:rFonts w:ascii="Arial" w:hAnsi="Arial" w:cs="Arial"/>
          <w:color w:val="7B7B7B" w:themeColor="accent3" w:themeShade="BF"/>
          <w:sz w:val="22"/>
          <w:szCs w:val="22"/>
          <w:lang w:val="en-GB"/>
        </w:rPr>
      </w:pPr>
    </w:p>
    <w:p w14:paraId="7BA28333" w14:textId="0883BD2E" w:rsidR="00113E11" w:rsidRDefault="00113E11" w:rsidP="00113E11">
      <w:pPr>
        <w:pStyle w:val="ListParagraph"/>
        <w:numPr>
          <w:ilvl w:val="0"/>
          <w:numId w:val="20"/>
        </w:numPr>
        <w:jc w:val="both"/>
        <w:rPr>
          <w:rFonts w:ascii="Arial" w:hAnsi="Arial" w:cs="Arial"/>
          <w:color w:val="7B7B7B" w:themeColor="accent3" w:themeShade="BF"/>
          <w:sz w:val="22"/>
          <w:szCs w:val="22"/>
          <w:lang w:val="en-GB"/>
        </w:rPr>
      </w:pPr>
      <w:r w:rsidRPr="00113E11">
        <w:rPr>
          <w:rFonts w:ascii="Arial" w:hAnsi="Arial" w:cs="Arial"/>
          <w:color w:val="7B7B7B" w:themeColor="accent3" w:themeShade="BF"/>
          <w:sz w:val="22"/>
          <w:szCs w:val="22"/>
          <w:lang w:val="en-GB"/>
        </w:rPr>
        <w:t>the judgment, order, or decree involves a question of law requiring resolution of conflicting decisions; or</w:t>
      </w:r>
    </w:p>
    <w:p w14:paraId="68DB65C6" w14:textId="77777777" w:rsidR="003E57F8" w:rsidRPr="003E57F8" w:rsidRDefault="003E57F8" w:rsidP="003E57F8">
      <w:pPr>
        <w:pStyle w:val="ListParagraph"/>
        <w:rPr>
          <w:rFonts w:ascii="Arial" w:hAnsi="Arial" w:cs="Arial"/>
          <w:color w:val="7B7B7B" w:themeColor="accent3" w:themeShade="BF"/>
          <w:sz w:val="22"/>
          <w:szCs w:val="22"/>
          <w:lang w:val="en-GB"/>
        </w:rPr>
      </w:pPr>
    </w:p>
    <w:p w14:paraId="5511BEE0" w14:textId="57F8931E" w:rsidR="00113E11" w:rsidRPr="00113E11" w:rsidRDefault="00113E11" w:rsidP="00113E11">
      <w:pPr>
        <w:pStyle w:val="ListParagraph"/>
        <w:numPr>
          <w:ilvl w:val="0"/>
          <w:numId w:val="20"/>
        </w:numPr>
        <w:jc w:val="both"/>
        <w:rPr>
          <w:rFonts w:ascii="Arial" w:hAnsi="Arial" w:cs="Arial"/>
          <w:color w:val="7B7B7B" w:themeColor="accent3" w:themeShade="BF"/>
          <w:sz w:val="22"/>
          <w:szCs w:val="22"/>
          <w:lang w:val="en-GB"/>
        </w:rPr>
      </w:pPr>
      <w:r w:rsidRPr="00113E11">
        <w:rPr>
          <w:rFonts w:ascii="Arial" w:hAnsi="Arial" w:cs="Arial"/>
          <w:color w:val="7B7B7B" w:themeColor="accent3" w:themeShade="BF"/>
          <w:sz w:val="22"/>
          <w:szCs w:val="22"/>
          <w:lang w:val="en-GB"/>
        </w:rPr>
        <w:t>an immediate appeal from the judgment, order, or decree may materially advance the progress of the case or proceeding in which the appeal is taken</w:t>
      </w:r>
      <w:r w:rsidR="003041AE">
        <w:rPr>
          <w:rFonts w:ascii="Arial" w:hAnsi="Arial" w:cs="Arial"/>
          <w:color w:val="7B7B7B" w:themeColor="accent3" w:themeShade="BF"/>
          <w:sz w:val="22"/>
          <w:szCs w:val="22"/>
          <w:lang w:val="en-GB"/>
        </w:rPr>
        <w: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2197BA99" w:rsidR="005B2A9B" w:rsidRDefault="00DF48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of Delaware corporations owe the following fiduciary duties:</w:t>
      </w:r>
    </w:p>
    <w:p w14:paraId="25E6A8D8" w14:textId="77777777" w:rsidR="00DF4872" w:rsidRDefault="00DF4872" w:rsidP="005B2A9B">
      <w:pPr>
        <w:jc w:val="both"/>
        <w:rPr>
          <w:rFonts w:ascii="Arial" w:hAnsi="Arial" w:cs="Arial"/>
          <w:color w:val="7B7B7B" w:themeColor="accent3" w:themeShade="BF"/>
          <w:sz w:val="22"/>
          <w:szCs w:val="22"/>
          <w:lang w:val="en-GB"/>
        </w:rPr>
      </w:pPr>
    </w:p>
    <w:p w14:paraId="6F8CA7C0" w14:textId="74C57166" w:rsidR="00DF4872" w:rsidRDefault="00BE2881" w:rsidP="00DF487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Duty of loyalty</w:t>
      </w:r>
      <w:r w:rsidR="00774B16">
        <w:rPr>
          <w:rFonts w:ascii="Arial" w:hAnsi="Arial" w:cs="Arial"/>
          <w:color w:val="7B7B7B" w:themeColor="accent3" w:themeShade="BF"/>
          <w:sz w:val="22"/>
          <w:szCs w:val="22"/>
          <w:lang w:val="en-GB"/>
        </w:rPr>
        <w:t xml:space="preserve"> </w:t>
      </w:r>
      <w:r w:rsidR="00C37605">
        <w:rPr>
          <w:rFonts w:ascii="Arial" w:hAnsi="Arial" w:cs="Arial"/>
          <w:color w:val="7B7B7B" w:themeColor="accent3" w:themeShade="BF"/>
          <w:sz w:val="22"/>
          <w:szCs w:val="22"/>
          <w:lang w:val="en-GB"/>
        </w:rPr>
        <w:t>(</w:t>
      </w:r>
      <w:r w:rsidR="00774B16">
        <w:rPr>
          <w:rFonts w:ascii="Arial" w:hAnsi="Arial" w:cs="Arial"/>
          <w:color w:val="7B7B7B" w:themeColor="accent3" w:themeShade="BF"/>
          <w:sz w:val="22"/>
          <w:szCs w:val="22"/>
          <w:lang w:val="en-GB"/>
        </w:rPr>
        <w:t>to the corporation’s best interest</w:t>
      </w:r>
      <w:r w:rsidR="00C376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and,</w:t>
      </w:r>
    </w:p>
    <w:p w14:paraId="1F757791" w14:textId="77777777" w:rsidR="00BE2881" w:rsidRDefault="00BE2881" w:rsidP="00BE2881">
      <w:pPr>
        <w:pStyle w:val="ListParagraph"/>
        <w:jc w:val="both"/>
        <w:rPr>
          <w:rFonts w:ascii="Arial" w:hAnsi="Arial" w:cs="Arial"/>
          <w:color w:val="7B7B7B" w:themeColor="accent3" w:themeShade="BF"/>
          <w:sz w:val="22"/>
          <w:szCs w:val="22"/>
          <w:lang w:val="en-GB"/>
        </w:rPr>
      </w:pPr>
    </w:p>
    <w:p w14:paraId="3180FD7E" w14:textId="5731CD71" w:rsidR="00BE2881" w:rsidRDefault="00BE2881" w:rsidP="00DF487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Duty of care</w:t>
      </w:r>
      <w:r w:rsidR="00C37605">
        <w:rPr>
          <w:rFonts w:ascii="Arial" w:hAnsi="Arial" w:cs="Arial"/>
          <w:color w:val="7B7B7B" w:themeColor="accent3" w:themeShade="BF"/>
          <w:sz w:val="22"/>
          <w:szCs w:val="22"/>
          <w:lang w:val="en-GB"/>
        </w:rPr>
        <w:t xml:space="preserve"> (in educated decision-making)</w:t>
      </w:r>
      <w:r>
        <w:rPr>
          <w:rFonts w:ascii="Arial" w:hAnsi="Arial" w:cs="Arial"/>
          <w:color w:val="7B7B7B" w:themeColor="accent3" w:themeShade="BF"/>
          <w:sz w:val="22"/>
          <w:szCs w:val="22"/>
          <w:lang w:val="en-GB"/>
        </w:rPr>
        <w:t>.</w:t>
      </w:r>
    </w:p>
    <w:p w14:paraId="48208D4A" w14:textId="77777777" w:rsidR="00BE2881" w:rsidRDefault="00BE2881" w:rsidP="00BE2881">
      <w:pPr>
        <w:jc w:val="both"/>
        <w:rPr>
          <w:rFonts w:ascii="Arial" w:hAnsi="Arial" w:cs="Arial"/>
          <w:color w:val="7B7B7B" w:themeColor="accent3" w:themeShade="BF"/>
          <w:sz w:val="22"/>
          <w:szCs w:val="22"/>
          <w:lang w:val="en-GB"/>
        </w:rPr>
      </w:pPr>
    </w:p>
    <w:p w14:paraId="03735A66" w14:textId="34CDDC0A" w:rsidR="00BE2881" w:rsidRDefault="006A3229" w:rsidP="00BE28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the ordinary course of business, directors owe such duties to</w:t>
      </w:r>
      <w:r w:rsidR="0015108F">
        <w:rPr>
          <w:rFonts w:ascii="Arial" w:hAnsi="Arial" w:cs="Arial"/>
          <w:color w:val="7B7B7B" w:themeColor="accent3" w:themeShade="BF"/>
          <w:sz w:val="22"/>
          <w:szCs w:val="22"/>
          <w:lang w:val="en-GB"/>
        </w:rPr>
        <w:t>:</w:t>
      </w:r>
    </w:p>
    <w:p w14:paraId="254E47FE" w14:textId="77777777" w:rsidR="0015108F" w:rsidRDefault="0015108F" w:rsidP="00BE2881">
      <w:pPr>
        <w:jc w:val="both"/>
        <w:rPr>
          <w:rFonts w:ascii="Arial" w:hAnsi="Arial" w:cs="Arial"/>
          <w:color w:val="7B7B7B" w:themeColor="accent3" w:themeShade="BF"/>
          <w:sz w:val="22"/>
          <w:szCs w:val="22"/>
          <w:lang w:val="en-GB"/>
        </w:rPr>
      </w:pPr>
    </w:p>
    <w:p w14:paraId="17EAF9B2" w14:textId="413F4ABC" w:rsidR="0015108F" w:rsidRDefault="0015108F" w:rsidP="0015108F">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corporation; and, </w:t>
      </w:r>
    </w:p>
    <w:p w14:paraId="3AD8E6D9" w14:textId="77777777" w:rsidR="0015108F" w:rsidRDefault="0015108F" w:rsidP="0015108F">
      <w:pPr>
        <w:pStyle w:val="ListParagraph"/>
        <w:jc w:val="both"/>
        <w:rPr>
          <w:rFonts w:ascii="Arial" w:hAnsi="Arial" w:cs="Arial"/>
          <w:color w:val="7B7B7B" w:themeColor="accent3" w:themeShade="BF"/>
          <w:sz w:val="22"/>
          <w:szCs w:val="22"/>
          <w:lang w:val="en-GB"/>
        </w:rPr>
      </w:pPr>
    </w:p>
    <w:p w14:paraId="3A94F3DC" w14:textId="0320B2C9" w:rsidR="0015108F" w:rsidRDefault="0015108F" w:rsidP="0015108F">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corporation’s shareholders.</w:t>
      </w:r>
    </w:p>
    <w:p w14:paraId="6DC24CDC" w14:textId="77777777" w:rsidR="0015108F" w:rsidRPr="0015108F" w:rsidRDefault="0015108F" w:rsidP="0015108F">
      <w:pPr>
        <w:pStyle w:val="ListParagraph"/>
        <w:rPr>
          <w:rFonts w:ascii="Arial" w:hAnsi="Arial" w:cs="Arial"/>
          <w:color w:val="7B7B7B" w:themeColor="accent3" w:themeShade="BF"/>
          <w:sz w:val="22"/>
          <w:szCs w:val="22"/>
          <w:lang w:val="en-GB"/>
        </w:rPr>
      </w:pPr>
    </w:p>
    <w:p w14:paraId="2382D8C2" w14:textId="6465F015" w:rsidR="0015108F" w:rsidRDefault="005A40E7" w:rsidP="0015108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corporation is potentially or actually insolvent, </w:t>
      </w:r>
      <w:r w:rsidR="00CC791E">
        <w:rPr>
          <w:rFonts w:ascii="Arial" w:hAnsi="Arial" w:cs="Arial"/>
          <w:color w:val="7B7B7B" w:themeColor="accent3" w:themeShade="BF"/>
          <w:sz w:val="22"/>
          <w:szCs w:val="22"/>
          <w:lang w:val="en-GB"/>
        </w:rPr>
        <w:t>this does not change.  That is, the directors continue to owe duties of loyalty and care to the corporation and its shareholders irrespective of the corporation’s solvency status.</w:t>
      </w:r>
    </w:p>
    <w:p w14:paraId="2B06A862" w14:textId="77777777" w:rsidR="00DD1968" w:rsidRDefault="00DD1968" w:rsidP="0015108F">
      <w:pPr>
        <w:jc w:val="both"/>
        <w:rPr>
          <w:rFonts w:ascii="Arial" w:hAnsi="Arial" w:cs="Arial"/>
          <w:color w:val="7B7B7B" w:themeColor="accent3" w:themeShade="BF"/>
          <w:sz w:val="22"/>
          <w:szCs w:val="22"/>
          <w:lang w:val="en-GB"/>
        </w:rPr>
      </w:pPr>
    </w:p>
    <w:p w14:paraId="147170D4" w14:textId="660CE6DE" w:rsidR="00DD1968" w:rsidRPr="0004155E" w:rsidRDefault="00E02FB0" w:rsidP="0015108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completeness, i</w:t>
      </w:r>
      <w:r w:rsidR="00740BFC">
        <w:rPr>
          <w:rFonts w:ascii="Arial" w:hAnsi="Arial" w:cs="Arial"/>
          <w:color w:val="7B7B7B" w:themeColor="accent3" w:themeShade="BF"/>
          <w:sz w:val="22"/>
          <w:szCs w:val="22"/>
          <w:lang w:val="en-GB"/>
        </w:rPr>
        <w:t xml:space="preserve">n </w:t>
      </w:r>
      <w:r w:rsidRPr="00E02FB0">
        <w:rPr>
          <w:rFonts w:ascii="Arial" w:hAnsi="Arial" w:cs="Arial"/>
          <w:i/>
          <w:iCs/>
          <w:color w:val="7B7B7B" w:themeColor="accent3" w:themeShade="BF"/>
          <w:sz w:val="22"/>
          <w:szCs w:val="22"/>
          <w:lang w:val="en-GB"/>
        </w:rPr>
        <w:t xml:space="preserve">North American Catholic Educ. Programming Found., Inc. v. </w:t>
      </w:r>
      <w:proofErr w:type="spellStart"/>
      <w:r w:rsidRPr="00E02FB0">
        <w:rPr>
          <w:rFonts w:ascii="Arial" w:hAnsi="Arial" w:cs="Arial"/>
          <w:i/>
          <w:iCs/>
          <w:color w:val="7B7B7B" w:themeColor="accent3" w:themeShade="BF"/>
          <w:sz w:val="22"/>
          <w:szCs w:val="22"/>
          <w:lang w:val="en-GB"/>
        </w:rPr>
        <w:t>Gheewall</w:t>
      </w:r>
      <w:r>
        <w:rPr>
          <w:rFonts w:ascii="Arial" w:hAnsi="Arial" w:cs="Arial"/>
          <w:i/>
          <w:iCs/>
          <w:color w:val="7B7B7B" w:themeColor="accent3" w:themeShade="BF"/>
          <w:sz w:val="22"/>
          <w:szCs w:val="22"/>
          <w:lang w:val="en-GB"/>
        </w:rPr>
        <w:t>a</w:t>
      </w:r>
      <w:proofErr w:type="spellEnd"/>
      <w:r w:rsidR="0004155E">
        <w:rPr>
          <w:rFonts w:ascii="Arial" w:hAnsi="Arial" w:cs="Arial"/>
          <w:color w:val="7B7B7B" w:themeColor="accent3" w:themeShade="BF"/>
          <w:sz w:val="22"/>
          <w:szCs w:val="22"/>
          <w:lang w:val="en-GB"/>
        </w:rPr>
        <w:t xml:space="preserve">, the </w:t>
      </w:r>
      <w:r w:rsidR="008F3410">
        <w:rPr>
          <w:rFonts w:ascii="Arial" w:hAnsi="Arial" w:cs="Arial"/>
          <w:color w:val="7B7B7B" w:themeColor="accent3" w:themeShade="BF"/>
          <w:sz w:val="22"/>
          <w:szCs w:val="22"/>
          <w:lang w:val="en-GB"/>
        </w:rPr>
        <w:t>court established that irrespective of a corporation’s solvency status, individual creditors cannot assert direct claims for breach of fiduciary duty against directors.</w:t>
      </w:r>
      <w:r w:rsidR="00620320">
        <w:rPr>
          <w:rFonts w:ascii="Arial" w:hAnsi="Arial" w:cs="Arial"/>
          <w:color w:val="7B7B7B" w:themeColor="accent3" w:themeShade="BF"/>
          <w:sz w:val="22"/>
          <w:szCs w:val="22"/>
          <w:lang w:val="en-GB"/>
        </w:rPr>
        <w:t xml:space="preserve">  </w:t>
      </w:r>
      <w:r w:rsidR="004C74DB">
        <w:rPr>
          <w:rFonts w:ascii="Arial" w:hAnsi="Arial" w:cs="Arial"/>
          <w:color w:val="7B7B7B" w:themeColor="accent3" w:themeShade="BF"/>
          <w:sz w:val="22"/>
          <w:szCs w:val="22"/>
          <w:lang w:val="en-GB"/>
        </w:rPr>
        <w:t>However, the court made clear that creditors still have the option to bring derivative claims against the directors on behalf of the corporation for breach of fiduciary duty.</w:t>
      </w:r>
      <w:r w:rsidR="004C74DB">
        <w:rPr>
          <w:rStyle w:val="FootnoteReference"/>
          <w:rFonts w:ascii="Arial" w:hAnsi="Arial" w:cs="Arial"/>
          <w:color w:val="7B7B7B" w:themeColor="accent3" w:themeShade="BF"/>
          <w:sz w:val="22"/>
          <w:szCs w:val="22"/>
          <w:lang w:val="en-GB"/>
        </w:rPr>
        <w:footnoteReference w:id="9"/>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226107C5" w14:textId="4B46731A" w:rsidR="00FC5900" w:rsidRPr="00FC5900" w:rsidRDefault="00AF6C66" w:rsidP="006F617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English </w:t>
      </w:r>
      <w:r w:rsidR="00FC5900">
        <w:rPr>
          <w:rFonts w:ascii="Arial" w:hAnsi="Arial" w:cs="Arial"/>
          <w:b/>
          <w:bCs/>
          <w:color w:val="7B7B7B" w:themeColor="accent3" w:themeShade="BF"/>
          <w:sz w:val="22"/>
          <w:szCs w:val="22"/>
          <w:lang w:val="en-GB"/>
        </w:rPr>
        <w:t>Schemes of Arrangement</w:t>
      </w:r>
      <w:r>
        <w:rPr>
          <w:rFonts w:ascii="Arial" w:hAnsi="Arial" w:cs="Arial"/>
          <w:b/>
          <w:bCs/>
          <w:color w:val="7B7B7B" w:themeColor="accent3" w:themeShade="BF"/>
          <w:sz w:val="22"/>
          <w:szCs w:val="22"/>
          <w:lang w:val="en-GB"/>
        </w:rPr>
        <w:t xml:space="preserve"> of Foreign Companies</w:t>
      </w:r>
    </w:p>
    <w:p w14:paraId="1BC3B72A" w14:textId="77777777" w:rsidR="00FC5900" w:rsidRDefault="00FC5900" w:rsidP="006F617D">
      <w:pPr>
        <w:jc w:val="both"/>
        <w:rPr>
          <w:rFonts w:ascii="Arial" w:hAnsi="Arial" w:cs="Arial"/>
          <w:color w:val="7B7B7B" w:themeColor="accent3" w:themeShade="BF"/>
          <w:sz w:val="22"/>
          <w:szCs w:val="22"/>
          <w:lang w:val="en-GB"/>
        </w:rPr>
      </w:pPr>
    </w:p>
    <w:p w14:paraId="0316DE00" w14:textId="7C2D0A8F" w:rsidR="00ED1E22" w:rsidRDefault="00FA2F4D" w:rsidP="006F61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courts will sanction </w:t>
      </w:r>
      <w:r w:rsidR="003600BF">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English scheme of arrangement of the creditors of a foreign company </w:t>
      </w:r>
      <w:r w:rsidR="00B82A0B">
        <w:rPr>
          <w:rFonts w:ascii="Arial" w:hAnsi="Arial" w:cs="Arial"/>
          <w:color w:val="7B7B7B" w:themeColor="accent3" w:themeShade="BF"/>
          <w:sz w:val="22"/>
          <w:szCs w:val="22"/>
          <w:lang w:val="en-GB"/>
        </w:rPr>
        <w:t>if it can be shown that</w:t>
      </w:r>
      <w:r w:rsidR="00ED1E22">
        <w:rPr>
          <w:rFonts w:ascii="Arial" w:hAnsi="Arial" w:cs="Arial"/>
          <w:color w:val="7B7B7B" w:themeColor="accent3" w:themeShade="BF"/>
          <w:sz w:val="22"/>
          <w:szCs w:val="22"/>
          <w:lang w:val="en-GB"/>
        </w:rPr>
        <w:t>:</w:t>
      </w:r>
      <w:r w:rsidR="00D95E9D">
        <w:rPr>
          <w:rStyle w:val="FootnoteReference"/>
          <w:rFonts w:ascii="Arial" w:hAnsi="Arial" w:cs="Arial"/>
          <w:color w:val="7B7B7B" w:themeColor="accent3" w:themeShade="BF"/>
          <w:sz w:val="22"/>
          <w:szCs w:val="22"/>
          <w:lang w:val="en-GB"/>
        </w:rPr>
        <w:footnoteReference w:id="10"/>
      </w:r>
      <w:r w:rsidR="00B82A0B">
        <w:rPr>
          <w:rFonts w:ascii="Arial" w:hAnsi="Arial" w:cs="Arial"/>
          <w:color w:val="7B7B7B" w:themeColor="accent3" w:themeShade="BF"/>
          <w:sz w:val="22"/>
          <w:szCs w:val="22"/>
          <w:lang w:val="en-GB"/>
        </w:rPr>
        <w:t xml:space="preserve"> </w:t>
      </w:r>
    </w:p>
    <w:p w14:paraId="43A0FE0E" w14:textId="77777777" w:rsidR="00ED1E22" w:rsidRDefault="00ED1E22" w:rsidP="006F617D">
      <w:pPr>
        <w:jc w:val="both"/>
        <w:rPr>
          <w:rFonts w:ascii="Arial" w:hAnsi="Arial" w:cs="Arial"/>
          <w:color w:val="7B7B7B" w:themeColor="accent3" w:themeShade="BF"/>
          <w:sz w:val="22"/>
          <w:szCs w:val="22"/>
          <w:lang w:val="en-GB"/>
        </w:rPr>
      </w:pPr>
    </w:p>
    <w:p w14:paraId="0D55FF42" w14:textId="77777777" w:rsidR="007B1B21" w:rsidRDefault="00B82A0B" w:rsidP="007B1B21">
      <w:pPr>
        <w:pStyle w:val="ListParagraph"/>
        <w:numPr>
          <w:ilvl w:val="0"/>
          <w:numId w:val="23"/>
        </w:numPr>
        <w:jc w:val="both"/>
        <w:rPr>
          <w:rFonts w:ascii="Arial" w:hAnsi="Arial" w:cs="Arial"/>
          <w:color w:val="7B7B7B" w:themeColor="accent3" w:themeShade="BF"/>
          <w:sz w:val="22"/>
          <w:szCs w:val="22"/>
          <w:lang w:val="en-GB"/>
        </w:rPr>
      </w:pPr>
      <w:r w:rsidRPr="00ED1E22">
        <w:rPr>
          <w:rFonts w:ascii="Arial" w:hAnsi="Arial" w:cs="Arial"/>
          <w:color w:val="7B7B7B" w:themeColor="accent3" w:themeShade="BF"/>
          <w:sz w:val="22"/>
          <w:szCs w:val="22"/>
          <w:lang w:val="en-GB"/>
        </w:rPr>
        <w:t xml:space="preserve">the </w:t>
      </w:r>
      <w:r w:rsidR="00ED1E22">
        <w:rPr>
          <w:rFonts w:ascii="Arial" w:hAnsi="Arial" w:cs="Arial"/>
          <w:color w:val="7B7B7B" w:themeColor="accent3" w:themeShade="BF"/>
          <w:sz w:val="22"/>
          <w:szCs w:val="22"/>
          <w:lang w:val="en-GB"/>
        </w:rPr>
        <w:t xml:space="preserve">foreign </w:t>
      </w:r>
      <w:r w:rsidRPr="00ED1E22">
        <w:rPr>
          <w:rFonts w:ascii="Arial" w:hAnsi="Arial" w:cs="Arial"/>
          <w:color w:val="7B7B7B" w:themeColor="accent3" w:themeShade="BF"/>
          <w:sz w:val="22"/>
          <w:szCs w:val="22"/>
          <w:lang w:val="en-GB"/>
        </w:rPr>
        <w:t xml:space="preserve">company </w:t>
      </w:r>
      <w:r w:rsidR="00ED1E22" w:rsidRPr="00ED1E22">
        <w:rPr>
          <w:rFonts w:ascii="Arial" w:hAnsi="Arial" w:cs="Arial"/>
          <w:color w:val="7B7B7B" w:themeColor="accent3" w:themeShade="BF"/>
          <w:sz w:val="22"/>
          <w:szCs w:val="22"/>
          <w:lang w:val="en-GB"/>
        </w:rPr>
        <w:t xml:space="preserve">has “sufficient connection” </w:t>
      </w:r>
      <w:r w:rsidR="00ED1E22">
        <w:rPr>
          <w:rFonts w:ascii="Arial" w:hAnsi="Arial" w:cs="Arial"/>
          <w:color w:val="7B7B7B" w:themeColor="accent3" w:themeShade="BF"/>
          <w:sz w:val="22"/>
          <w:szCs w:val="22"/>
          <w:lang w:val="en-GB"/>
        </w:rPr>
        <w:t>with England; and,</w:t>
      </w:r>
    </w:p>
    <w:p w14:paraId="063726C7" w14:textId="77777777" w:rsidR="007B1B21" w:rsidRDefault="007B1B21" w:rsidP="007B1B21">
      <w:pPr>
        <w:pStyle w:val="ListParagraph"/>
        <w:jc w:val="both"/>
        <w:rPr>
          <w:rFonts w:ascii="Arial" w:hAnsi="Arial" w:cs="Arial"/>
          <w:color w:val="7B7B7B" w:themeColor="accent3" w:themeShade="BF"/>
          <w:sz w:val="22"/>
          <w:szCs w:val="22"/>
          <w:lang w:val="en-GB"/>
        </w:rPr>
      </w:pPr>
    </w:p>
    <w:p w14:paraId="538E1A12" w14:textId="7782D81F" w:rsidR="00B03E64" w:rsidRPr="007B1B21" w:rsidRDefault="007B1B21" w:rsidP="007B1B21">
      <w:pPr>
        <w:pStyle w:val="ListParagraph"/>
        <w:numPr>
          <w:ilvl w:val="0"/>
          <w:numId w:val="23"/>
        </w:numPr>
        <w:jc w:val="both"/>
        <w:rPr>
          <w:rFonts w:ascii="Arial" w:hAnsi="Arial" w:cs="Arial"/>
          <w:color w:val="7B7B7B" w:themeColor="accent3" w:themeShade="BF"/>
          <w:sz w:val="22"/>
          <w:szCs w:val="22"/>
          <w:lang w:val="en-GB"/>
        </w:rPr>
      </w:pPr>
      <w:r w:rsidRPr="007B1B21">
        <w:rPr>
          <w:rFonts w:ascii="Arial" w:hAnsi="Arial" w:cs="Arial"/>
          <w:color w:val="7B7B7B" w:themeColor="accent3" w:themeShade="BF"/>
          <w:sz w:val="22"/>
          <w:szCs w:val="22"/>
          <w:lang w:val="en-GB"/>
        </w:rPr>
        <w:t xml:space="preserve">the scheme will achieve a </w:t>
      </w:r>
      <w:r w:rsidR="00B471BE">
        <w:rPr>
          <w:rFonts w:ascii="Arial" w:hAnsi="Arial" w:cs="Arial"/>
          <w:color w:val="7B7B7B" w:themeColor="accent3" w:themeShade="BF"/>
          <w:sz w:val="22"/>
          <w:szCs w:val="22"/>
          <w:lang w:val="en-GB"/>
        </w:rPr>
        <w:t>“</w:t>
      </w:r>
      <w:r w:rsidRPr="007B1B21">
        <w:rPr>
          <w:rFonts w:ascii="Arial" w:hAnsi="Arial" w:cs="Arial"/>
          <w:color w:val="7B7B7B" w:themeColor="accent3" w:themeShade="BF"/>
          <w:sz w:val="22"/>
          <w:szCs w:val="22"/>
          <w:lang w:val="en-GB"/>
        </w:rPr>
        <w:t>substantial effect</w:t>
      </w:r>
      <w:r w:rsidR="00B471BE">
        <w:rPr>
          <w:rFonts w:ascii="Arial" w:hAnsi="Arial" w:cs="Arial"/>
          <w:color w:val="7B7B7B" w:themeColor="accent3" w:themeShade="BF"/>
          <w:sz w:val="22"/>
          <w:szCs w:val="22"/>
          <w:lang w:val="en-GB"/>
        </w:rPr>
        <w:t>”</w:t>
      </w:r>
      <w:r w:rsidRPr="007B1B21">
        <w:rPr>
          <w:rFonts w:ascii="Arial" w:hAnsi="Arial" w:cs="Arial"/>
          <w:color w:val="7B7B7B" w:themeColor="accent3" w:themeShade="BF"/>
          <w:sz w:val="22"/>
          <w:szCs w:val="22"/>
          <w:lang w:val="en-GB"/>
        </w:rPr>
        <w:t xml:space="preserve"> in the foreign jurisdictions in which the company conducts significant business</w:t>
      </w:r>
      <w:r w:rsidR="003F14DC">
        <w:rPr>
          <w:rFonts w:ascii="Arial" w:hAnsi="Arial" w:cs="Arial"/>
          <w:color w:val="7B7B7B" w:themeColor="accent3" w:themeShade="BF"/>
          <w:sz w:val="22"/>
          <w:szCs w:val="22"/>
          <w:lang w:val="en-GB"/>
        </w:rPr>
        <w:t>.</w:t>
      </w:r>
    </w:p>
    <w:p w14:paraId="3CE63088" w14:textId="77777777" w:rsidR="007B1B21" w:rsidRDefault="007B1B21" w:rsidP="00B03E64">
      <w:pPr>
        <w:jc w:val="both"/>
        <w:rPr>
          <w:rFonts w:ascii="Arial" w:hAnsi="Arial" w:cs="Arial"/>
          <w:color w:val="7B7B7B" w:themeColor="accent3" w:themeShade="BF"/>
          <w:sz w:val="22"/>
          <w:szCs w:val="22"/>
          <w:lang w:val="en-GB"/>
        </w:rPr>
      </w:pPr>
    </w:p>
    <w:p w14:paraId="6127EBCE" w14:textId="49FBACDF" w:rsidR="00B03E64" w:rsidRDefault="00A4123C" w:rsidP="00B03E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ways to show “sufficient connection” with England is where the finance documents </w:t>
      </w:r>
      <w:r w:rsidR="00EA35C6">
        <w:rPr>
          <w:rFonts w:ascii="Arial" w:hAnsi="Arial" w:cs="Arial"/>
          <w:color w:val="7B7B7B" w:themeColor="accent3" w:themeShade="BF"/>
          <w:sz w:val="22"/>
          <w:szCs w:val="22"/>
          <w:lang w:val="en-GB"/>
        </w:rPr>
        <w:t xml:space="preserve">(and therefore the rights of creditors) </w:t>
      </w:r>
      <w:r>
        <w:rPr>
          <w:rFonts w:ascii="Arial" w:hAnsi="Arial" w:cs="Arial"/>
          <w:color w:val="7B7B7B" w:themeColor="accent3" w:themeShade="BF"/>
          <w:sz w:val="22"/>
          <w:szCs w:val="22"/>
          <w:lang w:val="en-GB"/>
        </w:rPr>
        <w:t>are governed by English law.</w:t>
      </w:r>
      <w:r w:rsidR="00A03A60">
        <w:rPr>
          <w:rFonts w:ascii="Arial" w:hAnsi="Arial" w:cs="Arial"/>
          <w:color w:val="7B7B7B" w:themeColor="accent3" w:themeShade="BF"/>
          <w:sz w:val="22"/>
          <w:szCs w:val="22"/>
          <w:lang w:val="en-GB"/>
        </w:rPr>
        <w:tab/>
      </w:r>
      <w:r w:rsidR="00275F66">
        <w:rPr>
          <w:rStyle w:val="FootnoteReference"/>
          <w:rFonts w:ascii="Arial" w:hAnsi="Arial" w:cs="Arial"/>
          <w:color w:val="7B7B7B" w:themeColor="accent3" w:themeShade="BF"/>
          <w:sz w:val="22"/>
          <w:szCs w:val="22"/>
          <w:lang w:val="en-GB"/>
        </w:rPr>
        <w:footnoteReference w:id="11"/>
      </w:r>
      <w:r w:rsidR="00275F66">
        <w:rPr>
          <w:rFonts w:ascii="Arial" w:hAnsi="Arial" w:cs="Arial"/>
          <w:color w:val="7B7B7B" w:themeColor="accent3" w:themeShade="BF"/>
          <w:sz w:val="22"/>
          <w:szCs w:val="22"/>
          <w:lang w:val="en-GB"/>
        </w:rPr>
        <w:t xml:space="preserve">  Gambling Corp’s bonds are governed by English law and would</w:t>
      </w:r>
      <w:r w:rsidR="00D957C8">
        <w:rPr>
          <w:rFonts w:ascii="Arial" w:hAnsi="Arial" w:cs="Arial"/>
          <w:color w:val="7B7B7B" w:themeColor="accent3" w:themeShade="BF"/>
          <w:sz w:val="22"/>
          <w:szCs w:val="22"/>
          <w:lang w:val="en-GB"/>
        </w:rPr>
        <w:t xml:space="preserve"> likely</w:t>
      </w:r>
      <w:r w:rsidR="00275F66">
        <w:rPr>
          <w:rFonts w:ascii="Arial" w:hAnsi="Arial" w:cs="Arial"/>
          <w:color w:val="7B7B7B" w:themeColor="accent3" w:themeShade="BF"/>
          <w:sz w:val="22"/>
          <w:szCs w:val="22"/>
          <w:lang w:val="en-GB"/>
        </w:rPr>
        <w:t xml:space="preserve"> satisfy the “sufficient connection” requirement.</w:t>
      </w:r>
    </w:p>
    <w:p w14:paraId="46361C8E" w14:textId="77777777" w:rsidR="000A4025" w:rsidRDefault="000A4025" w:rsidP="00B03E64">
      <w:pPr>
        <w:jc w:val="both"/>
        <w:rPr>
          <w:rFonts w:ascii="Arial" w:hAnsi="Arial" w:cs="Arial"/>
          <w:color w:val="7B7B7B" w:themeColor="accent3" w:themeShade="BF"/>
          <w:sz w:val="22"/>
          <w:szCs w:val="22"/>
          <w:lang w:val="en-GB"/>
        </w:rPr>
      </w:pPr>
    </w:p>
    <w:p w14:paraId="0170FF2B" w14:textId="367FE5DD" w:rsidR="000A4025" w:rsidRDefault="0059787E" w:rsidP="00B03E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“substantial effect”</w:t>
      </w:r>
      <w:r w:rsidR="002218F5">
        <w:rPr>
          <w:rFonts w:ascii="Arial" w:hAnsi="Arial" w:cs="Arial"/>
          <w:color w:val="7B7B7B" w:themeColor="accent3" w:themeShade="BF"/>
          <w:sz w:val="22"/>
          <w:szCs w:val="22"/>
          <w:lang w:val="en-GB"/>
        </w:rPr>
        <w:t>,</w:t>
      </w:r>
      <w:r w:rsidR="00451168">
        <w:rPr>
          <w:rFonts w:ascii="Arial" w:hAnsi="Arial" w:cs="Arial"/>
          <w:color w:val="7B7B7B" w:themeColor="accent3" w:themeShade="BF"/>
          <w:sz w:val="22"/>
          <w:szCs w:val="22"/>
          <w:lang w:val="en-GB"/>
        </w:rPr>
        <w:t xml:space="preserve"> </w:t>
      </w:r>
      <w:r w:rsidR="00453E04">
        <w:rPr>
          <w:rFonts w:ascii="Arial" w:hAnsi="Arial" w:cs="Arial"/>
          <w:color w:val="7B7B7B" w:themeColor="accent3" w:themeShade="BF"/>
          <w:sz w:val="22"/>
          <w:szCs w:val="22"/>
          <w:lang w:val="en-GB"/>
        </w:rPr>
        <w:t>assuming that the requisite approvals in each class of creditor is</w:t>
      </w:r>
      <w:r w:rsidR="005A73BF">
        <w:rPr>
          <w:rFonts w:ascii="Arial" w:hAnsi="Arial" w:cs="Arial"/>
          <w:color w:val="7B7B7B" w:themeColor="accent3" w:themeShade="BF"/>
          <w:sz w:val="22"/>
          <w:szCs w:val="22"/>
          <w:lang w:val="en-GB"/>
        </w:rPr>
        <w:t xml:space="preserve"> obtained, </w:t>
      </w:r>
      <w:r w:rsidR="003F40F1">
        <w:rPr>
          <w:rFonts w:ascii="Arial" w:hAnsi="Arial" w:cs="Arial"/>
          <w:color w:val="7B7B7B" w:themeColor="accent3" w:themeShade="BF"/>
          <w:sz w:val="22"/>
          <w:szCs w:val="22"/>
          <w:lang w:val="en-GB"/>
        </w:rPr>
        <w:t>expert evidence showing that the scheme would likely be recognized in Greece (i.e. Gambling Corp’s place of incorporation</w:t>
      </w:r>
      <w:r w:rsidR="00811BE9">
        <w:rPr>
          <w:rFonts w:ascii="Arial" w:hAnsi="Arial" w:cs="Arial"/>
          <w:color w:val="7B7B7B" w:themeColor="accent3" w:themeShade="BF"/>
          <w:sz w:val="22"/>
          <w:szCs w:val="22"/>
          <w:lang w:val="en-GB"/>
        </w:rPr>
        <w:t xml:space="preserve"> and </w:t>
      </w:r>
      <w:r w:rsidR="00C86C63">
        <w:rPr>
          <w:rFonts w:ascii="Arial" w:hAnsi="Arial" w:cs="Arial"/>
          <w:color w:val="7B7B7B" w:themeColor="accent3" w:themeShade="BF"/>
          <w:sz w:val="22"/>
          <w:szCs w:val="22"/>
          <w:lang w:val="en-GB"/>
        </w:rPr>
        <w:t>one of its business operations</w:t>
      </w:r>
      <w:r w:rsidR="003F40F1">
        <w:rPr>
          <w:rFonts w:ascii="Arial" w:hAnsi="Arial" w:cs="Arial"/>
          <w:color w:val="7B7B7B" w:themeColor="accent3" w:themeShade="BF"/>
          <w:sz w:val="22"/>
          <w:szCs w:val="22"/>
          <w:lang w:val="en-GB"/>
        </w:rPr>
        <w:t xml:space="preserve">) </w:t>
      </w:r>
      <w:r w:rsidR="000F4D1A">
        <w:rPr>
          <w:rFonts w:ascii="Arial" w:hAnsi="Arial" w:cs="Arial"/>
          <w:color w:val="7B7B7B" w:themeColor="accent3" w:themeShade="BF"/>
          <w:sz w:val="22"/>
          <w:szCs w:val="22"/>
          <w:lang w:val="en-GB"/>
        </w:rPr>
        <w:t xml:space="preserve">and the United </w:t>
      </w:r>
      <w:r w:rsidR="000F4D1A">
        <w:rPr>
          <w:rFonts w:ascii="Arial" w:hAnsi="Arial" w:cs="Arial"/>
          <w:color w:val="7B7B7B" w:themeColor="accent3" w:themeShade="BF"/>
          <w:sz w:val="22"/>
          <w:szCs w:val="22"/>
          <w:lang w:val="en-GB"/>
        </w:rPr>
        <w:lastRenderedPageBreak/>
        <w:t>States</w:t>
      </w:r>
      <w:r w:rsidR="00067EB4">
        <w:rPr>
          <w:rFonts w:ascii="Arial" w:hAnsi="Arial" w:cs="Arial"/>
          <w:color w:val="7B7B7B" w:themeColor="accent3" w:themeShade="BF"/>
          <w:sz w:val="22"/>
          <w:szCs w:val="22"/>
          <w:lang w:val="en-GB"/>
        </w:rPr>
        <w:t xml:space="preserve"> (i.e.</w:t>
      </w:r>
      <w:r w:rsidR="00811BE9">
        <w:rPr>
          <w:rFonts w:ascii="Arial" w:hAnsi="Arial" w:cs="Arial"/>
          <w:color w:val="7B7B7B" w:themeColor="accent3" w:themeShade="BF"/>
          <w:sz w:val="22"/>
          <w:szCs w:val="22"/>
          <w:lang w:val="en-GB"/>
        </w:rPr>
        <w:t xml:space="preserve"> one of Gambling Corp’s place</w:t>
      </w:r>
      <w:r w:rsidR="00D305DE">
        <w:rPr>
          <w:rFonts w:ascii="Arial" w:hAnsi="Arial" w:cs="Arial"/>
          <w:color w:val="7B7B7B" w:themeColor="accent3" w:themeShade="BF"/>
          <w:sz w:val="22"/>
          <w:szCs w:val="22"/>
          <w:lang w:val="en-GB"/>
        </w:rPr>
        <w:t>s</w:t>
      </w:r>
      <w:r w:rsidR="00811BE9">
        <w:rPr>
          <w:rFonts w:ascii="Arial" w:hAnsi="Arial" w:cs="Arial"/>
          <w:color w:val="7B7B7B" w:themeColor="accent3" w:themeShade="BF"/>
          <w:sz w:val="22"/>
          <w:szCs w:val="22"/>
          <w:lang w:val="en-GB"/>
        </w:rPr>
        <w:t xml:space="preserve"> of business operations) </w:t>
      </w:r>
      <w:r w:rsidR="003F40F1">
        <w:rPr>
          <w:rFonts w:ascii="Arial" w:hAnsi="Arial" w:cs="Arial"/>
          <w:color w:val="7B7B7B" w:themeColor="accent3" w:themeShade="BF"/>
          <w:sz w:val="22"/>
          <w:szCs w:val="22"/>
          <w:lang w:val="en-GB"/>
        </w:rPr>
        <w:t>would satisfy this requirement.</w:t>
      </w:r>
      <w:r w:rsidR="003F40F1">
        <w:rPr>
          <w:rStyle w:val="FootnoteReference"/>
          <w:rFonts w:ascii="Arial" w:hAnsi="Arial" w:cs="Arial"/>
          <w:color w:val="7B7B7B" w:themeColor="accent3" w:themeShade="BF"/>
          <w:sz w:val="22"/>
          <w:szCs w:val="22"/>
          <w:lang w:val="en-GB"/>
        </w:rPr>
        <w:footnoteReference w:id="12"/>
      </w:r>
      <w:r w:rsidR="003F40F1">
        <w:rPr>
          <w:rFonts w:ascii="Arial" w:hAnsi="Arial" w:cs="Arial"/>
          <w:color w:val="7B7B7B" w:themeColor="accent3" w:themeShade="BF"/>
          <w:sz w:val="22"/>
          <w:szCs w:val="22"/>
          <w:lang w:val="en-GB"/>
        </w:rPr>
        <w:t xml:space="preserve">  </w:t>
      </w:r>
    </w:p>
    <w:p w14:paraId="3EE77089" w14:textId="77777777" w:rsidR="00C86C63" w:rsidRDefault="00C86C63" w:rsidP="00B03E64">
      <w:pPr>
        <w:jc w:val="both"/>
        <w:rPr>
          <w:rFonts w:ascii="Arial" w:hAnsi="Arial" w:cs="Arial"/>
          <w:color w:val="7B7B7B" w:themeColor="accent3" w:themeShade="BF"/>
          <w:sz w:val="22"/>
          <w:szCs w:val="22"/>
          <w:lang w:val="en-GB"/>
        </w:rPr>
      </w:pPr>
    </w:p>
    <w:p w14:paraId="57FA8FBB" w14:textId="36ADA6DE" w:rsidR="001C64D5" w:rsidRDefault="00C264D9" w:rsidP="00B03E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completeness, the location </w:t>
      </w:r>
      <w:r w:rsidR="00E32720">
        <w:rPr>
          <w:rFonts w:ascii="Arial" w:hAnsi="Arial" w:cs="Arial"/>
          <w:color w:val="7B7B7B" w:themeColor="accent3" w:themeShade="BF"/>
          <w:sz w:val="22"/>
          <w:szCs w:val="22"/>
          <w:lang w:val="en-GB"/>
        </w:rPr>
        <w:t>of a company’s Centre of Main Interests (</w:t>
      </w:r>
      <w:r w:rsidR="00E32720">
        <w:rPr>
          <w:rFonts w:ascii="Arial" w:hAnsi="Arial" w:cs="Arial"/>
          <w:b/>
          <w:bCs/>
          <w:color w:val="7B7B7B" w:themeColor="accent3" w:themeShade="BF"/>
          <w:sz w:val="22"/>
          <w:szCs w:val="22"/>
          <w:lang w:val="en-GB"/>
        </w:rPr>
        <w:t>“COMI”</w:t>
      </w:r>
      <w:r w:rsidR="00E32720">
        <w:rPr>
          <w:rFonts w:ascii="Arial" w:hAnsi="Arial" w:cs="Arial"/>
          <w:color w:val="7B7B7B" w:themeColor="accent3" w:themeShade="BF"/>
          <w:sz w:val="22"/>
          <w:szCs w:val="22"/>
          <w:lang w:val="en-GB"/>
        </w:rPr>
        <w:t xml:space="preserve">) does not </w:t>
      </w:r>
      <w:r w:rsidR="000A4025">
        <w:rPr>
          <w:rFonts w:ascii="Arial" w:hAnsi="Arial" w:cs="Arial"/>
          <w:color w:val="7B7B7B" w:themeColor="accent3" w:themeShade="BF"/>
          <w:sz w:val="22"/>
          <w:szCs w:val="22"/>
          <w:lang w:val="en-GB"/>
        </w:rPr>
        <w:t>play a direct role in the English courts’ approval of a scheme of arrangement.</w:t>
      </w:r>
      <w:r w:rsidR="000A4025">
        <w:rPr>
          <w:rStyle w:val="FootnoteReference"/>
          <w:rFonts w:ascii="Arial" w:hAnsi="Arial" w:cs="Arial"/>
          <w:color w:val="7B7B7B" w:themeColor="accent3" w:themeShade="BF"/>
          <w:sz w:val="22"/>
          <w:szCs w:val="22"/>
          <w:lang w:val="en-GB"/>
        </w:rPr>
        <w:footnoteReference w:id="13"/>
      </w:r>
    </w:p>
    <w:p w14:paraId="50D41B9A" w14:textId="77777777" w:rsidR="00F4494A" w:rsidRDefault="00F4494A" w:rsidP="00B03E64">
      <w:pPr>
        <w:jc w:val="both"/>
        <w:rPr>
          <w:rFonts w:ascii="Arial" w:hAnsi="Arial" w:cs="Arial"/>
          <w:color w:val="7B7B7B" w:themeColor="accent3" w:themeShade="BF"/>
          <w:sz w:val="22"/>
          <w:szCs w:val="22"/>
          <w:lang w:val="en-GB"/>
        </w:rPr>
      </w:pPr>
    </w:p>
    <w:p w14:paraId="7E6E4D3E" w14:textId="2E7B4747" w:rsidR="00F4494A" w:rsidRDefault="00F4494A" w:rsidP="00B03E64">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Chapter 15 </w:t>
      </w:r>
      <w:r w:rsidR="00056D9B">
        <w:rPr>
          <w:rFonts w:ascii="Arial" w:hAnsi="Arial" w:cs="Arial"/>
          <w:b/>
          <w:bCs/>
          <w:color w:val="7B7B7B" w:themeColor="accent3" w:themeShade="BF"/>
          <w:sz w:val="22"/>
          <w:szCs w:val="22"/>
          <w:lang w:val="en-GB"/>
        </w:rPr>
        <w:t>Recognition</w:t>
      </w:r>
      <w:r w:rsidR="0053274D">
        <w:rPr>
          <w:rFonts w:ascii="Arial" w:hAnsi="Arial" w:cs="Arial"/>
          <w:b/>
          <w:bCs/>
          <w:color w:val="7B7B7B" w:themeColor="accent3" w:themeShade="BF"/>
          <w:sz w:val="22"/>
          <w:szCs w:val="22"/>
          <w:lang w:val="en-GB"/>
        </w:rPr>
        <w:t xml:space="preserve"> of English Schemes of Arrangement</w:t>
      </w:r>
    </w:p>
    <w:p w14:paraId="69C1E869" w14:textId="77777777" w:rsidR="0053274D" w:rsidRDefault="0053274D" w:rsidP="00B03E64">
      <w:pPr>
        <w:jc w:val="both"/>
        <w:rPr>
          <w:rFonts w:ascii="Arial" w:hAnsi="Arial" w:cs="Arial"/>
          <w:b/>
          <w:bCs/>
          <w:color w:val="7B7B7B" w:themeColor="accent3" w:themeShade="BF"/>
          <w:sz w:val="22"/>
          <w:szCs w:val="22"/>
          <w:lang w:val="en-GB"/>
        </w:rPr>
      </w:pPr>
    </w:p>
    <w:p w14:paraId="7F561A64" w14:textId="2143DF42" w:rsidR="0053274D" w:rsidRDefault="00452B4B" w:rsidP="00B03E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points need to be satisfied </w:t>
      </w:r>
      <w:r w:rsidR="009D69C6">
        <w:rPr>
          <w:rFonts w:ascii="Arial" w:hAnsi="Arial" w:cs="Arial"/>
          <w:color w:val="7B7B7B" w:themeColor="accent3" w:themeShade="BF"/>
          <w:sz w:val="22"/>
          <w:szCs w:val="22"/>
          <w:lang w:val="en-GB"/>
        </w:rPr>
        <w:t>to obtain chapter 15 recognition:</w:t>
      </w:r>
      <w:r w:rsidR="00A61565">
        <w:rPr>
          <w:rStyle w:val="FootnoteReference"/>
          <w:rFonts w:ascii="Arial" w:hAnsi="Arial" w:cs="Arial"/>
          <w:color w:val="7B7B7B" w:themeColor="accent3" w:themeShade="BF"/>
          <w:sz w:val="22"/>
          <w:szCs w:val="22"/>
          <w:lang w:val="en-GB"/>
        </w:rPr>
        <w:footnoteReference w:id="14"/>
      </w:r>
    </w:p>
    <w:p w14:paraId="4D83FED0" w14:textId="77777777" w:rsidR="0023072A" w:rsidRDefault="0023072A" w:rsidP="00B03E64">
      <w:pPr>
        <w:jc w:val="both"/>
        <w:rPr>
          <w:rFonts w:ascii="Arial" w:hAnsi="Arial" w:cs="Arial"/>
          <w:color w:val="7B7B7B" w:themeColor="accent3" w:themeShade="BF"/>
          <w:sz w:val="22"/>
          <w:szCs w:val="22"/>
          <w:lang w:val="en-GB"/>
        </w:rPr>
      </w:pPr>
    </w:p>
    <w:p w14:paraId="206BE6D2" w14:textId="4A6DDFE4" w:rsidR="002A5356" w:rsidRDefault="00226C2A" w:rsidP="0023072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w:t>
      </w:r>
      <w:r w:rsidR="002A5356">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tor</w:t>
      </w:r>
      <w:r w:rsidR="002A5356">
        <w:rPr>
          <w:rFonts w:ascii="Arial" w:hAnsi="Arial" w:cs="Arial"/>
          <w:color w:val="7B7B7B" w:themeColor="accent3" w:themeShade="BF"/>
          <w:sz w:val="22"/>
          <w:szCs w:val="22"/>
          <w:lang w:val="en-GB"/>
        </w:rPr>
        <w:t xml:space="preserve"> is subject to a </w:t>
      </w:r>
      <w:r w:rsidR="00203BA2">
        <w:rPr>
          <w:rFonts w:ascii="Arial" w:hAnsi="Arial" w:cs="Arial"/>
          <w:color w:val="7B7B7B" w:themeColor="accent3" w:themeShade="BF"/>
          <w:sz w:val="22"/>
          <w:szCs w:val="22"/>
          <w:lang w:val="en-GB"/>
        </w:rPr>
        <w:t>“</w:t>
      </w:r>
      <w:r w:rsidR="002A5356">
        <w:rPr>
          <w:rFonts w:ascii="Arial" w:hAnsi="Arial" w:cs="Arial"/>
          <w:color w:val="7B7B7B" w:themeColor="accent3" w:themeShade="BF"/>
          <w:sz w:val="22"/>
          <w:szCs w:val="22"/>
          <w:lang w:val="en-GB"/>
        </w:rPr>
        <w:t>foreign proceeding</w:t>
      </w:r>
      <w:r w:rsidR="00203BA2">
        <w:rPr>
          <w:rFonts w:ascii="Arial" w:hAnsi="Arial" w:cs="Arial"/>
          <w:color w:val="7B7B7B" w:themeColor="accent3" w:themeShade="BF"/>
          <w:sz w:val="22"/>
          <w:szCs w:val="22"/>
          <w:lang w:val="en-GB"/>
        </w:rPr>
        <w:t>”</w:t>
      </w:r>
      <w:r w:rsidR="002A5356">
        <w:rPr>
          <w:rFonts w:ascii="Arial" w:hAnsi="Arial" w:cs="Arial"/>
          <w:color w:val="7B7B7B" w:themeColor="accent3" w:themeShade="BF"/>
          <w:sz w:val="22"/>
          <w:szCs w:val="22"/>
          <w:lang w:val="en-GB"/>
        </w:rPr>
        <w:t>;</w:t>
      </w:r>
    </w:p>
    <w:p w14:paraId="4419D7F7" w14:textId="77777777" w:rsidR="002A5356" w:rsidRDefault="002A5356" w:rsidP="002A5356">
      <w:pPr>
        <w:pStyle w:val="ListParagraph"/>
        <w:jc w:val="both"/>
        <w:rPr>
          <w:rFonts w:ascii="Arial" w:hAnsi="Arial" w:cs="Arial"/>
          <w:color w:val="7B7B7B" w:themeColor="accent3" w:themeShade="BF"/>
          <w:sz w:val="22"/>
          <w:szCs w:val="22"/>
          <w:lang w:val="en-GB"/>
        </w:rPr>
      </w:pPr>
    </w:p>
    <w:p w14:paraId="795DFD50" w14:textId="419DA222" w:rsidR="003D09B6" w:rsidRDefault="002A5356" w:rsidP="0023072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203BA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foreign representative</w:t>
      </w:r>
      <w:r w:rsidR="00203BA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203BA2">
        <w:rPr>
          <w:rFonts w:ascii="Arial" w:hAnsi="Arial" w:cs="Arial"/>
          <w:color w:val="7B7B7B" w:themeColor="accent3" w:themeShade="BF"/>
          <w:sz w:val="22"/>
          <w:szCs w:val="22"/>
          <w:lang w:val="en-GB"/>
        </w:rPr>
        <w:t xml:space="preserve">is </w:t>
      </w:r>
      <w:r w:rsidR="009C392F">
        <w:rPr>
          <w:rFonts w:ascii="Arial" w:hAnsi="Arial" w:cs="Arial"/>
          <w:color w:val="7B7B7B" w:themeColor="accent3" w:themeShade="BF"/>
          <w:sz w:val="22"/>
          <w:szCs w:val="22"/>
          <w:lang w:val="en-GB"/>
        </w:rPr>
        <w:t>empowered to file a chapter 15 petition; and,</w:t>
      </w:r>
    </w:p>
    <w:p w14:paraId="47A015A9" w14:textId="77777777" w:rsidR="009C392F" w:rsidRPr="009C392F" w:rsidRDefault="009C392F" w:rsidP="009C392F">
      <w:pPr>
        <w:pStyle w:val="ListParagraph"/>
        <w:rPr>
          <w:rFonts w:ascii="Arial" w:hAnsi="Arial" w:cs="Arial"/>
          <w:color w:val="7B7B7B" w:themeColor="accent3" w:themeShade="BF"/>
          <w:sz w:val="22"/>
          <w:szCs w:val="22"/>
          <w:lang w:val="en-GB"/>
        </w:rPr>
      </w:pPr>
    </w:p>
    <w:p w14:paraId="5DC0C706" w14:textId="16EA0AE3" w:rsidR="009C392F" w:rsidRDefault="009C392F" w:rsidP="0023072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Likely the requirement for the debtor to show connection to the US in the form of a residence, domicile, place of business or assets in the US.</w:t>
      </w:r>
    </w:p>
    <w:p w14:paraId="1FAD4ECD" w14:textId="77777777" w:rsidR="009C392F" w:rsidRPr="009C392F" w:rsidRDefault="009C392F" w:rsidP="009C392F">
      <w:pPr>
        <w:pStyle w:val="ListParagraph"/>
        <w:rPr>
          <w:rFonts w:ascii="Arial" w:hAnsi="Arial" w:cs="Arial"/>
          <w:color w:val="7B7B7B" w:themeColor="accent3" w:themeShade="BF"/>
          <w:sz w:val="22"/>
          <w:szCs w:val="22"/>
          <w:lang w:val="en-GB"/>
        </w:rPr>
      </w:pPr>
    </w:p>
    <w:p w14:paraId="642E305A" w14:textId="6BDCD2C1" w:rsidR="009843A2" w:rsidRDefault="00845062"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1, </w:t>
      </w:r>
      <w:r w:rsidR="003E4791">
        <w:rPr>
          <w:rFonts w:ascii="Arial" w:hAnsi="Arial" w:cs="Arial"/>
          <w:color w:val="7B7B7B" w:themeColor="accent3" w:themeShade="BF"/>
          <w:sz w:val="22"/>
          <w:szCs w:val="22"/>
          <w:lang w:val="en-GB"/>
        </w:rPr>
        <w:t xml:space="preserve">pursuant to </w:t>
      </w:r>
      <w:r w:rsidR="00757FB7">
        <w:rPr>
          <w:rFonts w:ascii="Arial" w:hAnsi="Arial" w:cs="Arial"/>
          <w:color w:val="7B7B7B" w:themeColor="accent3" w:themeShade="BF"/>
          <w:sz w:val="22"/>
          <w:szCs w:val="22"/>
          <w:lang w:val="en-GB"/>
        </w:rPr>
        <w:t xml:space="preserve">11 U.S.C. § 101(23), </w:t>
      </w:r>
      <w:r>
        <w:rPr>
          <w:rFonts w:ascii="Arial" w:hAnsi="Arial" w:cs="Arial"/>
          <w:color w:val="7B7B7B" w:themeColor="accent3" w:themeShade="BF"/>
          <w:sz w:val="22"/>
          <w:szCs w:val="22"/>
          <w:lang w:val="en-GB"/>
        </w:rPr>
        <w:t xml:space="preserve">a “foreign proceeding” </w:t>
      </w:r>
      <w:r w:rsidR="00757FB7">
        <w:rPr>
          <w:rFonts w:ascii="Arial" w:hAnsi="Arial" w:cs="Arial"/>
          <w:color w:val="7B7B7B" w:themeColor="accent3" w:themeShade="BF"/>
          <w:sz w:val="22"/>
          <w:szCs w:val="22"/>
          <w:lang w:val="en-GB"/>
        </w:rPr>
        <w:t>means “a</w:t>
      </w:r>
      <w:r>
        <w:rPr>
          <w:rFonts w:ascii="Arial" w:hAnsi="Arial" w:cs="Arial"/>
          <w:color w:val="7B7B7B" w:themeColor="accent3" w:themeShade="BF"/>
          <w:sz w:val="22"/>
          <w:szCs w:val="22"/>
          <w:lang w:val="en-GB"/>
        </w:rPr>
        <w:t xml:space="preserve"> </w:t>
      </w:r>
      <w:r w:rsidR="00757FB7" w:rsidRPr="00757FB7">
        <w:rPr>
          <w:rFonts w:ascii="Arial" w:hAnsi="Arial" w:cs="Arial"/>
          <w:color w:val="7B7B7B" w:themeColor="accent3" w:themeShade="BF"/>
          <w:sz w:val="22"/>
          <w:szCs w:val="22"/>
          <w:lang w:val="en-GB"/>
        </w:rPr>
        <w:t>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F90096">
        <w:rPr>
          <w:rFonts w:ascii="Arial" w:hAnsi="Arial" w:cs="Arial"/>
          <w:color w:val="7B7B7B" w:themeColor="accent3" w:themeShade="BF"/>
          <w:sz w:val="22"/>
          <w:szCs w:val="22"/>
          <w:lang w:val="en-GB"/>
        </w:rPr>
        <w:t>”</w:t>
      </w:r>
      <w:r w:rsidR="00757FB7" w:rsidRPr="00757FB7">
        <w:rPr>
          <w:rFonts w:ascii="Arial" w:hAnsi="Arial" w:cs="Arial"/>
          <w:color w:val="7B7B7B" w:themeColor="accent3" w:themeShade="BF"/>
          <w:sz w:val="22"/>
          <w:szCs w:val="22"/>
          <w:lang w:val="en-GB"/>
        </w:rPr>
        <w:t>.</w:t>
      </w:r>
      <w:r w:rsidR="00F90096">
        <w:rPr>
          <w:rStyle w:val="FootnoteReference"/>
          <w:rFonts w:ascii="Arial" w:hAnsi="Arial" w:cs="Arial"/>
          <w:color w:val="7B7B7B" w:themeColor="accent3" w:themeShade="BF"/>
          <w:sz w:val="22"/>
          <w:szCs w:val="22"/>
          <w:lang w:val="en-GB"/>
        </w:rPr>
        <w:footnoteReference w:id="15"/>
      </w:r>
      <w:r w:rsidR="00A70608">
        <w:rPr>
          <w:rFonts w:ascii="Arial" w:hAnsi="Arial" w:cs="Arial"/>
          <w:color w:val="7B7B7B" w:themeColor="accent3" w:themeShade="BF"/>
          <w:sz w:val="22"/>
          <w:szCs w:val="22"/>
          <w:lang w:val="en-GB"/>
        </w:rPr>
        <w:t xml:space="preserve">  </w:t>
      </w:r>
      <w:r w:rsidR="00A53542">
        <w:rPr>
          <w:rFonts w:ascii="Arial" w:hAnsi="Arial" w:cs="Arial"/>
          <w:color w:val="7B7B7B" w:themeColor="accent3" w:themeShade="BF"/>
          <w:sz w:val="22"/>
          <w:szCs w:val="22"/>
          <w:lang w:val="en-GB"/>
        </w:rPr>
        <w:t xml:space="preserve">This definition has been interpreted </w:t>
      </w:r>
      <w:r w:rsidR="00F64A77">
        <w:rPr>
          <w:rFonts w:ascii="Arial" w:hAnsi="Arial" w:cs="Arial"/>
          <w:color w:val="7B7B7B" w:themeColor="accent3" w:themeShade="BF"/>
          <w:sz w:val="22"/>
          <w:szCs w:val="22"/>
          <w:lang w:val="en-GB"/>
        </w:rPr>
        <w:t>as</w:t>
      </w:r>
      <w:r w:rsidR="00A53542">
        <w:rPr>
          <w:rFonts w:ascii="Arial" w:hAnsi="Arial" w:cs="Arial"/>
          <w:color w:val="7B7B7B" w:themeColor="accent3" w:themeShade="BF"/>
          <w:sz w:val="22"/>
          <w:szCs w:val="22"/>
          <w:lang w:val="en-GB"/>
        </w:rPr>
        <w:t xml:space="preserve"> encompass</w:t>
      </w:r>
      <w:r w:rsidR="00F64A77">
        <w:rPr>
          <w:rFonts w:ascii="Arial" w:hAnsi="Arial" w:cs="Arial"/>
          <w:color w:val="7B7B7B" w:themeColor="accent3" w:themeShade="BF"/>
          <w:sz w:val="22"/>
          <w:szCs w:val="22"/>
          <w:lang w:val="en-GB"/>
        </w:rPr>
        <w:t>ing</w:t>
      </w:r>
      <w:r w:rsidR="00A53542">
        <w:rPr>
          <w:rFonts w:ascii="Arial" w:hAnsi="Arial" w:cs="Arial"/>
          <w:color w:val="7B7B7B" w:themeColor="accent3" w:themeShade="BF"/>
          <w:sz w:val="22"/>
          <w:szCs w:val="22"/>
          <w:lang w:val="en-GB"/>
        </w:rPr>
        <w:t xml:space="preserve"> English schemes of arrangement which </w:t>
      </w:r>
      <w:r w:rsidR="009843A2">
        <w:rPr>
          <w:rFonts w:ascii="Arial" w:hAnsi="Arial" w:cs="Arial"/>
          <w:color w:val="7B7B7B" w:themeColor="accent3" w:themeShade="BF"/>
          <w:sz w:val="22"/>
          <w:szCs w:val="22"/>
          <w:lang w:val="en-GB"/>
        </w:rPr>
        <w:t>have been granted chapter 15 recognition.</w:t>
      </w:r>
    </w:p>
    <w:p w14:paraId="70384FC6" w14:textId="77777777" w:rsidR="009843A2" w:rsidRDefault="009843A2" w:rsidP="009C392F">
      <w:pPr>
        <w:jc w:val="both"/>
        <w:rPr>
          <w:rFonts w:ascii="Arial" w:hAnsi="Arial" w:cs="Arial"/>
          <w:color w:val="7B7B7B" w:themeColor="accent3" w:themeShade="BF"/>
          <w:sz w:val="22"/>
          <w:szCs w:val="22"/>
          <w:lang w:val="en-GB"/>
        </w:rPr>
      </w:pPr>
    </w:p>
    <w:p w14:paraId="26FBA9C9" w14:textId="39CABD43" w:rsidR="009C392F" w:rsidRDefault="009843A2"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2, </w:t>
      </w:r>
      <w:r w:rsidR="00BD4BAB">
        <w:rPr>
          <w:rFonts w:ascii="Arial" w:hAnsi="Arial" w:cs="Arial"/>
          <w:color w:val="7B7B7B" w:themeColor="accent3" w:themeShade="BF"/>
          <w:sz w:val="22"/>
          <w:szCs w:val="22"/>
          <w:lang w:val="en-GB"/>
        </w:rPr>
        <w:t>pursuant to 11 U.S.C. §</w:t>
      </w:r>
      <w:r w:rsidR="00A53542">
        <w:rPr>
          <w:rFonts w:ascii="Arial" w:hAnsi="Arial" w:cs="Arial"/>
          <w:color w:val="7B7B7B" w:themeColor="accent3" w:themeShade="BF"/>
          <w:sz w:val="22"/>
          <w:szCs w:val="22"/>
          <w:lang w:val="en-GB"/>
        </w:rPr>
        <w:t xml:space="preserve"> </w:t>
      </w:r>
      <w:r w:rsidR="00BD4BAB">
        <w:rPr>
          <w:rFonts w:ascii="Arial" w:hAnsi="Arial" w:cs="Arial"/>
          <w:color w:val="7B7B7B" w:themeColor="accent3" w:themeShade="BF"/>
          <w:sz w:val="22"/>
          <w:szCs w:val="22"/>
          <w:lang w:val="en-GB"/>
        </w:rPr>
        <w:t>101(24), a “foreign representative” means “</w:t>
      </w:r>
      <w:r w:rsidR="00283F7A" w:rsidRPr="00283F7A">
        <w:rPr>
          <w:rFonts w:ascii="Arial" w:hAnsi="Arial" w:cs="Arial"/>
          <w:color w:val="7B7B7B" w:themeColor="accent3" w:themeShade="BF"/>
          <w:sz w:val="22"/>
          <w:szCs w:val="22"/>
          <w:lang w:val="en-GB"/>
        </w:rPr>
        <w:t>a person or body, including a person or body appointed on an interim basis, authorized in a foreign proceeding to administer the reorganization or the liquidation of the debtor’s assets or affairs or to act as a representative of such foreign proceeding</w:t>
      </w:r>
      <w:r w:rsidR="00283F7A">
        <w:rPr>
          <w:rFonts w:ascii="Arial" w:hAnsi="Arial" w:cs="Arial"/>
          <w:color w:val="7B7B7B" w:themeColor="accent3" w:themeShade="BF"/>
          <w:sz w:val="22"/>
          <w:szCs w:val="22"/>
          <w:lang w:val="en-GB"/>
        </w:rPr>
        <w:t>”.</w:t>
      </w:r>
      <w:r w:rsidR="00283F7A">
        <w:rPr>
          <w:rStyle w:val="FootnoteReference"/>
          <w:rFonts w:ascii="Arial" w:hAnsi="Arial" w:cs="Arial"/>
          <w:color w:val="7B7B7B" w:themeColor="accent3" w:themeShade="BF"/>
          <w:sz w:val="22"/>
          <w:szCs w:val="22"/>
          <w:lang w:val="en-GB"/>
        </w:rPr>
        <w:footnoteReference w:id="16"/>
      </w:r>
      <w:r w:rsidR="00836E94">
        <w:rPr>
          <w:rFonts w:ascii="Arial" w:hAnsi="Arial" w:cs="Arial"/>
          <w:color w:val="7B7B7B" w:themeColor="accent3" w:themeShade="BF"/>
          <w:sz w:val="22"/>
          <w:szCs w:val="22"/>
          <w:lang w:val="en-GB"/>
        </w:rPr>
        <w:t xml:space="preserve">  </w:t>
      </w:r>
      <w:r w:rsidR="00A7190D">
        <w:rPr>
          <w:rFonts w:ascii="Arial" w:hAnsi="Arial" w:cs="Arial"/>
          <w:color w:val="7B7B7B" w:themeColor="accent3" w:themeShade="BF"/>
          <w:sz w:val="22"/>
          <w:szCs w:val="22"/>
          <w:lang w:val="en-GB"/>
        </w:rPr>
        <w:t xml:space="preserve">In </w:t>
      </w:r>
      <w:r w:rsidR="00A7190D">
        <w:rPr>
          <w:rFonts w:ascii="Arial" w:hAnsi="Arial" w:cs="Arial"/>
          <w:i/>
          <w:iCs/>
          <w:color w:val="7B7B7B" w:themeColor="accent3" w:themeShade="BF"/>
          <w:sz w:val="22"/>
          <w:szCs w:val="22"/>
          <w:lang w:val="en-GB"/>
        </w:rPr>
        <w:t xml:space="preserve">Re Avanti </w:t>
      </w:r>
      <w:proofErr w:type="spellStart"/>
      <w:r w:rsidR="00A7190D">
        <w:rPr>
          <w:rFonts w:ascii="Arial" w:hAnsi="Arial" w:cs="Arial"/>
          <w:i/>
          <w:iCs/>
          <w:color w:val="7B7B7B" w:themeColor="accent3" w:themeShade="BF"/>
          <w:sz w:val="22"/>
          <w:szCs w:val="22"/>
          <w:lang w:val="en-GB"/>
        </w:rPr>
        <w:t>Communs</w:t>
      </w:r>
      <w:proofErr w:type="spellEnd"/>
      <w:r w:rsidR="00A7190D">
        <w:rPr>
          <w:rFonts w:ascii="Arial" w:hAnsi="Arial" w:cs="Arial"/>
          <w:i/>
          <w:iCs/>
          <w:color w:val="7B7B7B" w:themeColor="accent3" w:themeShade="BF"/>
          <w:sz w:val="22"/>
          <w:szCs w:val="22"/>
          <w:lang w:val="en-GB"/>
        </w:rPr>
        <w:t xml:space="preserve">. </w:t>
      </w:r>
      <w:r w:rsidR="00E46576">
        <w:rPr>
          <w:rFonts w:ascii="Arial" w:hAnsi="Arial" w:cs="Arial"/>
          <w:i/>
          <w:iCs/>
          <w:color w:val="7B7B7B" w:themeColor="accent3" w:themeShade="BF"/>
          <w:sz w:val="22"/>
          <w:szCs w:val="22"/>
          <w:lang w:val="en-GB"/>
        </w:rPr>
        <w:t>Grp. PLC</w:t>
      </w:r>
      <w:r w:rsidR="00E46576">
        <w:rPr>
          <w:rFonts w:ascii="Arial" w:hAnsi="Arial" w:cs="Arial"/>
          <w:color w:val="7B7B7B" w:themeColor="accent3" w:themeShade="BF"/>
          <w:sz w:val="22"/>
          <w:szCs w:val="22"/>
          <w:lang w:val="en-GB"/>
        </w:rPr>
        <w:t xml:space="preserve">, </w:t>
      </w:r>
      <w:r w:rsidR="004B5781">
        <w:rPr>
          <w:rFonts w:ascii="Arial" w:hAnsi="Arial" w:cs="Arial"/>
          <w:color w:val="7B7B7B" w:themeColor="accent3" w:themeShade="BF"/>
          <w:sz w:val="22"/>
          <w:szCs w:val="22"/>
          <w:lang w:val="en-GB"/>
        </w:rPr>
        <w:t>an English scheme</w:t>
      </w:r>
      <w:r w:rsidR="008910BD">
        <w:rPr>
          <w:rFonts w:ascii="Arial" w:hAnsi="Arial" w:cs="Arial"/>
          <w:color w:val="7B7B7B" w:themeColor="accent3" w:themeShade="BF"/>
          <w:sz w:val="22"/>
          <w:szCs w:val="22"/>
          <w:lang w:val="en-GB"/>
        </w:rPr>
        <w:t xml:space="preserve"> of arrangement was sanctioned and a foreign representative was appointed to facilitate a chapter 15 recognition application.</w:t>
      </w:r>
      <w:r w:rsidR="008910BD">
        <w:rPr>
          <w:rStyle w:val="FootnoteReference"/>
          <w:rFonts w:ascii="Arial" w:hAnsi="Arial" w:cs="Arial"/>
          <w:color w:val="7B7B7B" w:themeColor="accent3" w:themeShade="BF"/>
          <w:sz w:val="22"/>
          <w:szCs w:val="22"/>
          <w:lang w:val="en-GB"/>
        </w:rPr>
        <w:footnoteReference w:id="17"/>
      </w:r>
      <w:r w:rsidR="002B7901">
        <w:rPr>
          <w:rFonts w:ascii="Arial" w:hAnsi="Arial" w:cs="Arial"/>
          <w:color w:val="7B7B7B" w:themeColor="accent3" w:themeShade="BF"/>
          <w:sz w:val="22"/>
          <w:szCs w:val="22"/>
          <w:lang w:val="en-GB"/>
        </w:rPr>
        <w:t xml:space="preserve">  Therefore, in the case of Gambling Corp., </w:t>
      </w:r>
      <w:r w:rsidR="006F72EA">
        <w:rPr>
          <w:rFonts w:ascii="Arial" w:hAnsi="Arial" w:cs="Arial"/>
          <w:color w:val="7B7B7B" w:themeColor="accent3" w:themeShade="BF"/>
          <w:sz w:val="22"/>
          <w:szCs w:val="22"/>
          <w:lang w:val="en-GB"/>
        </w:rPr>
        <w:t xml:space="preserve">a foreign representative </w:t>
      </w:r>
      <w:r w:rsidR="00437A6E">
        <w:rPr>
          <w:rFonts w:ascii="Arial" w:hAnsi="Arial" w:cs="Arial"/>
          <w:color w:val="7B7B7B" w:themeColor="accent3" w:themeShade="BF"/>
          <w:sz w:val="22"/>
          <w:szCs w:val="22"/>
          <w:lang w:val="en-GB"/>
        </w:rPr>
        <w:t>could be appointed to satisfy this requirement.</w:t>
      </w:r>
    </w:p>
    <w:p w14:paraId="652E1AD6" w14:textId="77777777" w:rsidR="00437A6E" w:rsidRDefault="00437A6E" w:rsidP="009C392F">
      <w:pPr>
        <w:jc w:val="both"/>
        <w:rPr>
          <w:rFonts w:ascii="Arial" w:hAnsi="Arial" w:cs="Arial"/>
          <w:color w:val="7B7B7B" w:themeColor="accent3" w:themeShade="BF"/>
          <w:sz w:val="22"/>
          <w:szCs w:val="22"/>
          <w:lang w:val="en-GB"/>
        </w:rPr>
      </w:pPr>
    </w:p>
    <w:p w14:paraId="0633A95F" w14:textId="214D2D06" w:rsidR="00437A6E" w:rsidRDefault="009258F3"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3, Gambling Corp. would satisfy this due to it having </w:t>
      </w:r>
      <w:r w:rsidR="002676D8">
        <w:rPr>
          <w:rFonts w:ascii="Arial" w:hAnsi="Arial" w:cs="Arial"/>
          <w:color w:val="7B7B7B" w:themeColor="accent3" w:themeShade="BF"/>
          <w:sz w:val="22"/>
          <w:szCs w:val="22"/>
          <w:lang w:val="en-GB"/>
        </w:rPr>
        <w:t>business operations in Las Vegas.</w:t>
      </w:r>
    </w:p>
    <w:p w14:paraId="251730B6" w14:textId="77777777" w:rsidR="00BB2A9A" w:rsidRDefault="00BB2A9A" w:rsidP="009C392F">
      <w:pPr>
        <w:jc w:val="both"/>
        <w:rPr>
          <w:rFonts w:ascii="Arial" w:hAnsi="Arial" w:cs="Arial"/>
          <w:color w:val="7B7B7B" w:themeColor="accent3" w:themeShade="BF"/>
          <w:sz w:val="22"/>
          <w:szCs w:val="22"/>
          <w:lang w:val="en-GB"/>
        </w:rPr>
      </w:pPr>
    </w:p>
    <w:p w14:paraId="76B68D34" w14:textId="5B33FA20" w:rsidR="00BB2A9A" w:rsidRDefault="00BB2A9A" w:rsidP="009C392F">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Foreign Main / Non-Main Proceeding</w:t>
      </w:r>
    </w:p>
    <w:p w14:paraId="5AC3A599" w14:textId="77777777" w:rsidR="008D3A6A" w:rsidRDefault="008D3A6A" w:rsidP="009C392F">
      <w:pPr>
        <w:jc w:val="both"/>
        <w:rPr>
          <w:rFonts w:ascii="Arial" w:hAnsi="Arial" w:cs="Arial"/>
          <w:b/>
          <w:bCs/>
          <w:color w:val="7B7B7B" w:themeColor="accent3" w:themeShade="BF"/>
          <w:sz w:val="22"/>
          <w:szCs w:val="22"/>
          <w:lang w:val="en-GB"/>
        </w:rPr>
      </w:pPr>
    </w:p>
    <w:p w14:paraId="1A5DE782" w14:textId="65BF109C" w:rsidR="008D3A6A" w:rsidRDefault="00DC269C"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proceeding can be recognized as either “main” or “non-main”.  </w:t>
      </w:r>
      <w:r w:rsidR="009E24B3">
        <w:rPr>
          <w:rFonts w:ascii="Arial" w:hAnsi="Arial" w:cs="Arial"/>
          <w:color w:val="7B7B7B" w:themeColor="accent3" w:themeShade="BF"/>
          <w:sz w:val="22"/>
          <w:szCs w:val="22"/>
          <w:lang w:val="en-GB"/>
        </w:rPr>
        <w:t xml:space="preserve">A foreign “main” proceeding is </w:t>
      </w:r>
      <w:r w:rsidR="00076B6A">
        <w:rPr>
          <w:rFonts w:ascii="Arial" w:hAnsi="Arial" w:cs="Arial"/>
          <w:color w:val="7B7B7B" w:themeColor="accent3" w:themeShade="BF"/>
          <w:sz w:val="22"/>
          <w:szCs w:val="22"/>
          <w:lang w:val="en-GB"/>
        </w:rPr>
        <w:t xml:space="preserve">a “foreign proceeding” </w:t>
      </w:r>
      <w:r w:rsidR="00CD14B4">
        <w:rPr>
          <w:rFonts w:ascii="Arial" w:hAnsi="Arial" w:cs="Arial"/>
          <w:color w:val="7B7B7B" w:themeColor="accent3" w:themeShade="BF"/>
          <w:sz w:val="22"/>
          <w:szCs w:val="22"/>
          <w:lang w:val="en-GB"/>
        </w:rPr>
        <w:t xml:space="preserve">pending in the country where the debtor has its </w:t>
      </w:r>
      <w:r w:rsidR="00544711">
        <w:rPr>
          <w:rFonts w:ascii="Arial" w:hAnsi="Arial" w:cs="Arial"/>
          <w:color w:val="7B7B7B" w:themeColor="accent3" w:themeShade="BF"/>
          <w:sz w:val="22"/>
          <w:szCs w:val="22"/>
          <w:lang w:val="en-GB"/>
        </w:rPr>
        <w:t>COMI</w:t>
      </w:r>
      <w:r w:rsidR="00CD14B4">
        <w:rPr>
          <w:rFonts w:ascii="Arial" w:hAnsi="Arial" w:cs="Arial"/>
          <w:color w:val="7B7B7B" w:themeColor="accent3" w:themeShade="BF"/>
          <w:sz w:val="22"/>
          <w:szCs w:val="22"/>
          <w:lang w:val="en-GB"/>
        </w:rPr>
        <w:t xml:space="preserve">.  A </w:t>
      </w:r>
      <w:r w:rsidR="00CD14B4">
        <w:rPr>
          <w:rFonts w:ascii="Arial" w:hAnsi="Arial" w:cs="Arial"/>
          <w:color w:val="7B7B7B" w:themeColor="accent3" w:themeShade="BF"/>
          <w:sz w:val="22"/>
          <w:szCs w:val="22"/>
          <w:lang w:val="en-GB"/>
        </w:rPr>
        <w:lastRenderedPageBreak/>
        <w:t xml:space="preserve">foreign “non-main” proceeding is a “foreign proceeding” </w:t>
      </w:r>
      <w:r w:rsidR="00DC6A69">
        <w:rPr>
          <w:rFonts w:ascii="Arial" w:hAnsi="Arial" w:cs="Arial"/>
          <w:color w:val="7B7B7B" w:themeColor="accent3" w:themeShade="BF"/>
          <w:sz w:val="22"/>
          <w:szCs w:val="22"/>
          <w:lang w:val="en-GB"/>
        </w:rPr>
        <w:t xml:space="preserve">pending where the debtor </w:t>
      </w:r>
      <w:r w:rsidR="0080289E">
        <w:rPr>
          <w:rFonts w:ascii="Arial" w:hAnsi="Arial" w:cs="Arial"/>
          <w:color w:val="7B7B7B" w:themeColor="accent3" w:themeShade="BF"/>
          <w:sz w:val="22"/>
          <w:szCs w:val="22"/>
          <w:lang w:val="en-GB"/>
        </w:rPr>
        <w:t>has an establishment.</w:t>
      </w:r>
      <w:r w:rsidR="0080289E">
        <w:rPr>
          <w:rStyle w:val="FootnoteReference"/>
          <w:rFonts w:ascii="Arial" w:hAnsi="Arial" w:cs="Arial"/>
          <w:color w:val="7B7B7B" w:themeColor="accent3" w:themeShade="BF"/>
          <w:sz w:val="22"/>
          <w:szCs w:val="22"/>
          <w:lang w:val="en-GB"/>
        </w:rPr>
        <w:footnoteReference w:id="18"/>
      </w:r>
    </w:p>
    <w:p w14:paraId="0182CFC0" w14:textId="77777777" w:rsidR="004E52E0" w:rsidRDefault="004E52E0" w:rsidP="009C392F">
      <w:pPr>
        <w:jc w:val="both"/>
        <w:rPr>
          <w:rFonts w:ascii="Arial" w:hAnsi="Arial" w:cs="Arial"/>
          <w:color w:val="7B7B7B" w:themeColor="accent3" w:themeShade="BF"/>
          <w:sz w:val="22"/>
          <w:szCs w:val="22"/>
          <w:lang w:val="en-GB"/>
        </w:rPr>
      </w:pPr>
    </w:p>
    <w:p w14:paraId="56B7C6D1" w14:textId="6C5907FF" w:rsidR="004E52E0" w:rsidRDefault="00C52217"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COMI is not defined in Chapter 15 however, the location of the debtor’s registered office is presumed to be its COMI.  </w:t>
      </w:r>
      <w:r w:rsidR="00292AF2">
        <w:rPr>
          <w:rFonts w:ascii="Arial" w:hAnsi="Arial" w:cs="Arial"/>
          <w:color w:val="7B7B7B" w:themeColor="accent3" w:themeShade="BF"/>
          <w:sz w:val="22"/>
          <w:szCs w:val="22"/>
          <w:lang w:val="en-GB"/>
        </w:rPr>
        <w:t xml:space="preserve">This presumption is rebuttable based on other facts including the location of the debtor’s </w:t>
      </w:r>
      <w:r w:rsidR="00AE779F">
        <w:rPr>
          <w:rFonts w:ascii="Arial" w:hAnsi="Arial" w:cs="Arial"/>
          <w:color w:val="7B7B7B" w:themeColor="accent3" w:themeShade="BF"/>
          <w:sz w:val="22"/>
          <w:szCs w:val="22"/>
          <w:lang w:val="en-GB"/>
        </w:rPr>
        <w:t>headquarters, those who manage the debtor, and the debtor’s assets.</w:t>
      </w:r>
      <w:r w:rsidR="00AE779F">
        <w:rPr>
          <w:rStyle w:val="FootnoteReference"/>
          <w:rFonts w:ascii="Arial" w:hAnsi="Arial" w:cs="Arial"/>
          <w:color w:val="7B7B7B" w:themeColor="accent3" w:themeShade="BF"/>
          <w:sz w:val="22"/>
          <w:szCs w:val="22"/>
          <w:lang w:val="en-GB"/>
        </w:rPr>
        <w:footnoteReference w:id="19"/>
      </w:r>
      <w:r w:rsidR="00AE779F">
        <w:rPr>
          <w:rFonts w:ascii="Arial" w:hAnsi="Arial" w:cs="Arial"/>
          <w:color w:val="7B7B7B" w:themeColor="accent3" w:themeShade="BF"/>
          <w:sz w:val="22"/>
          <w:szCs w:val="22"/>
          <w:lang w:val="en-GB"/>
        </w:rPr>
        <w:t xml:space="preserve">  In the case of Gambling Corp., </w:t>
      </w:r>
      <w:r w:rsidR="0095098D">
        <w:rPr>
          <w:rFonts w:ascii="Arial" w:hAnsi="Arial" w:cs="Arial"/>
          <w:color w:val="7B7B7B" w:themeColor="accent3" w:themeShade="BF"/>
          <w:sz w:val="22"/>
          <w:szCs w:val="22"/>
          <w:lang w:val="en-GB"/>
        </w:rPr>
        <w:t>its registered office and principal place of business is located in Greece.  As such, Greece would be considered its COMI</w:t>
      </w:r>
      <w:r w:rsidR="00B57B6A">
        <w:rPr>
          <w:rFonts w:ascii="Arial" w:hAnsi="Arial" w:cs="Arial"/>
          <w:color w:val="7B7B7B" w:themeColor="accent3" w:themeShade="BF"/>
          <w:sz w:val="22"/>
          <w:szCs w:val="22"/>
          <w:lang w:val="en-GB"/>
        </w:rPr>
        <w:t>;</w:t>
      </w:r>
      <w:r w:rsidR="00925D51">
        <w:rPr>
          <w:rFonts w:ascii="Arial" w:hAnsi="Arial" w:cs="Arial"/>
          <w:color w:val="7B7B7B" w:themeColor="accent3" w:themeShade="BF"/>
          <w:sz w:val="22"/>
          <w:szCs w:val="22"/>
          <w:lang w:val="en-GB"/>
        </w:rPr>
        <w:t xml:space="preserve"> </w:t>
      </w:r>
      <w:r w:rsidR="00B57B6A">
        <w:rPr>
          <w:rFonts w:ascii="Arial" w:hAnsi="Arial" w:cs="Arial"/>
          <w:color w:val="7B7B7B" w:themeColor="accent3" w:themeShade="BF"/>
          <w:sz w:val="22"/>
          <w:szCs w:val="22"/>
          <w:lang w:val="en-GB"/>
        </w:rPr>
        <w:t>an</w:t>
      </w:r>
      <w:r w:rsidR="00925D51">
        <w:rPr>
          <w:rFonts w:ascii="Arial" w:hAnsi="Arial" w:cs="Arial"/>
          <w:color w:val="7B7B7B" w:themeColor="accent3" w:themeShade="BF"/>
          <w:sz w:val="22"/>
          <w:szCs w:val="22"/>
          <w:lang w:val="en-GB"/>
        </w:rPr>
        <w:t xml:space="preserve"> English scheme of arrangement </w:t>
      </w:r>
      <w:r w:rsidR="000E77D4">
        <w:rPr>
          <w:rFonts w:ascii="Arial" w:hAnsi="Arial" w:cs="Arial"/>
          <w:color w:val="7B7B7B" w:themeColor="accent3" w:themeShade="BF"/>
          <w:sz w:val="22"/>
          <w:szCs w:val="22"/>
          <w:lang w:val="en-GB"/>
        </w:rPr>
        <w:t xml:space="preserve">of Gambling Corp. </w:t>
      </w:r>
      <w:r w:rsidR="00925D51">
        <w:rPr>
          <w:rFonts w:ascii="Arial" w:hAnsi="Arial" w:cs="Arial"/>
          <w:color w:val="7B7B7B" w:themeColor="accent3" w:themeShade="BF"/>
          <w:sz w:val="22"/>
          <w:szCs w:val="22"/>
          <w:lang w:val="en-GB"/>
        </w:rPr>
        <w:t>would be ineligible to be recognized as a “main” proceeding.</w:t>
      </w:r>
    </w:p>
    <w:p w14:paraId="02CBB563" w14:textId="77777777" w:rsidR="00925D51" w:rsidRDefault="00925D51" w:rsidP="009C392F">
      <w:pPr>
        <w:jc w:val="both"/>
        <w:rPr>
          <w:rFonts w:ascii="Arial" w:hAnsi="Arial" w:cs="Arial"/>
          <w:color w:val="7B7B7B" w:themeColor="accent3" w:themeShade="BF"/>
          <w:sz w:val="22"/>
          <w:szCs w:val="22"/>
          <w:lang w:val="en-GB"/>
        </w:rPr>
      </w:pPr>
    </w:p>
    <w:p w14:paraId="2E7666AA" w14:textId="06DB6760" w:rsidR="00925D51" w:rsidRDefault="001D5105" w:rsidP="009C39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11 U.S.C. § 1502(2), an “establishment” means “</w:t>
      </w:r>
      <w:r w:rsidR="003A222C" w:rsidRPr="003A222C">
        <w:rPr>
          <w:rFonts w:ascii="Arial" w:hAnsi="Arial" w:cs="Arial"/>
          <w:color w:val="7B7B7B" w:themeColor="accent3" w:themeShade="BF"/>
          <w:sz w:val="22"/>
          <w:szCs w:val="22"/>
          <w:lang w:val="en-GB"/>
        </w:rPr>
        <w:t xml:space="preserve">any place of operations where the debtor carries out a </w:t>
      </w:r>
      <w:proofErr w:type="spellStart"/>
      <w:r w:rsidR="003A222C" w:rsidRPr="003A222C">
        <w:rPr>
          <w:rFonts w:ascii="Arial" w:hAnsi="Arial" w:cs="Arial"/>
          <w:color w:val="7B7B7B" w:themeColor="accent3" w:themeShade="BF"/>
          <w:sz w:val="22"/>
          <w:szCs w:val="22"/>
          <w:lang w:val="en-GB"/>
        </w:rPr>
        <w:t>nontransitory</w:t>
      </w:r>
      <w:proofErr w:type="spellEnd"/>
      <w:r w:rsidR="003A222C" w:rsidRPr="003A222C">
        <w:rPr>
          <w:rFonts w:ascii="Arial" w:hAnsi="Arial" w:cs="Arial"/>
          <w:color w:val="7B7B7B" w:themeColor="accent3" w:themeShade="BF"/>
          <w:sz w:val="22"/>
          <w:szCs w:val="22"/>
          <w:lang w:val="en-GB"/>
        </w:rPr>
        <w:t xml:space="preserve"> economic activity</w:t>
      </w:r>
      <w:r w:rsidR="003A222C">
        <w:rPr>
          <w:rFonts w:ascii="Arial" w:hAnsi="Arial" w:cs="Arial"/>
          <w:color w:val="7B7B7B" w:themeColor="accent3" w:themeShade="BF"/>
          <w:sz w:val="22"/>
          <w:szCs w:val="22"/>
          <w:lang w:val="en-GB"/>
        </w:rPr>
        <w:t>”.</w:t>
      </w:r>
      <w:r w:rsidR="006A147F">
        <w:rPr>
          <w:rStyle w:val="FootnoteReference"/>
          <w:rFonts w:ascii="Arial" w:hAnsi="Arial" w:cs="Arial"/>
          <w:color w:val="7B7B7B" w:themeColor="accent3" w:themeShade="BF"/>
          <w:sz w:val="22"/>
          <w:szCs w:val="22"/>
          <w:lang w:val="en-GB"/>
        </w:rPr>
        <w:footnoteReference w:id="20"/>
      </w:r>
      <w:r w:rsidR="0017389E">
        <w:rPr>
          <w:rFonts w:ascii="Arial" w:hAnsi="Arial" w:cs="Arial"/>
          <w:color w:val="7B7B7B" w:themeColor="accent3" w:themeShade="BF"/>
          <w:sz w:val="22"/>
          <w:szCs w:val="22"/>
          <w:lang w:val="en-GB"/>
        </w:rPr>
        <w:t xml:space="preserve">  Gambling Corp. has business operations in London</w:t>
      </w:r>
      <w:r w:rsidR="00464480">
        <w:rPr>
          <w:rFonts w:ascii="Arial" w:hAnsi="Arial" w:cs="Arial"/>
          <w:color w:val="7B7B7B" w:themeColor="accent3" w:themeShade="BF"/>
          <w:sz w:val="22"/>
          <w:szCs w:val="22"/>
          <w:lang w:val="en-GB"/>
        </w:rPr>
        <w:t xml:space="preserve"> which would be considered an establishment for the purposes of chapter 15 recognition</w:t>
      </w:r>
      <w:r w:rsidR="0017389E">
        <w:rPr>
          <w:rFonts w:ascii="Arial" w:hAnsi="Arial" w:cs="Arial"/>
          <w:color w:val="7B7B7B" w:themeColor="accent3" w:themeShade="BF"/>
          <w:sz w:val="22"/>
          <w:szCs w:val="22"/>
          <w:lang w:val="en-GB"/>
        </w:rPr>
        <w:t>.</w:t>
      </w:r>
      <w:r w:rsidR="00464480">
        <w:rPr>
          <w:rFonts w:ascii="Arial" w:hAnsi="Arial" w:cs="Arial"/>
          <w:color w:val="7B7B7B" w:themeColor="accent3" w:themeShade="BF"/>
          <w:sz w:val="22"/>
          <w:szCs w:val="22"/>
          <w:lang w:val="en-GB"/>
        </w:rPr>
        <w:t xml:space="preserve">  As such, the English scheme of arrangement would be eligible to be recognized as a foreign “non-main” proceeding</w:t>
      </w:r>
      <w:r w:rsidR="00DD7DDF">
        <w:rPr>
          <w:rFonts w:ascii="Arial" w:hAnsi="Arial" w:cs="Arial"/>
          <w:color w:val="7B7B7B" w:themeColor="accent3" w:themeShade="BF"/>
          <w:sz w:val="22"/>
          <w:szCs w:val="22"/>
          <w:lang w:val="en-GB"/>
        </w:rPr>
        <w:t xml:space="preserve"> in a chapter 15 recognition application.</w:t>
      </w:r>
      <w:r w:rsidR="0017389E">
        <w:rPr>
          <w:rFonts w:ascii="Arial" w:hAnsi="Arial" w:cs="Arial"/>
          <w:color w:val="7B7B7B" w:themeColor="accent3" w:themeShade="BF"/>
          <w:sz w:val="22"/>
          <w:szCs w:val="22"/>
          <w:lang w:val="en-GB"/>
        </w:rPr>
        <w:t xml:space="preserve">  </w:t>
      </w:r>
    </w:p>
    <w:p w14:paraId="2AA1E732" w14:textId="589A927F" w:rsidR="005B2A9B" w:rsidRPr="00DD7DDF" w:rsidRDefault="005B2A9B" w:rsidP="00DD7DDF">
      <w:pPr>
        <w:jc w:val="both"/>
        <w:rPr>
          <w:rFonts w:ascii="Arial" w:hAnsi="Arial" w:cs="Arial"/>
          <w:b/>
          <w:bCs/>
          <w:color w:val="7B7B7B" w:themeColor="accent3" w:themeShade="BF"/>
          <w:sz w:val="22"/>
          <w:szCs w:val="22"/>
          <w:lang w:val="en-GB"/>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E54E7CF" w14:textId="2011C444" w:rsidR="00A42399" w:rsidRDefault="00A42399" w:rsidP="00154A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filing of a chapter 11 petition</w:t>
      </w:r>
      <w:r w:rsidR="002609F6">
        <w:rPr>
          <w:rFonts w:ascii="Arial" w:hAnsi="Arial" w:cs="Arial"/>
          <w:color w:val="7B7B7B" w:themeColor="accent3" w:themeShade="BF"/>
          <w:sz w:val="22"/>
          <w:szCs w:val="22"/>
          <w:lang w:val="en-GB"/>
        </w:rPr>
        <w:t xml:space="preserve"> by Oil Corp</w:t>
      </w:r>
      <w:r>
        <w:rPr>
          <w:rFonts w:ascii="Arial" w:hAnsi="Arial" w:cs="Arial"/>
          <w:color w:val="7B7B7B" w:themeColor="accent3" w:themeShade="BF"/>
          <w:sz w:val="22"/>
          <w:szCs w:val="22"/>
          <w:lang w:val="en-GB"/>
        </w:rPr>
        <w:t xml:space="preserve">, a worldwide automatic stay </w:t>
      </w:r>
      <w:r w:rsidR="00F07AF6">
        <w:rPr>
          <w:rFonts w:ascii="Arial" w:hAnsi="Arial" w:cs="Arial"/>
          <w:color w:val="7B7B7B" w:themeColor="accent3" w:themeShade="BF"/>
          <w:sz w:val="22"/>
          <w:szCs w:val="22"/>
          <w:lang w:val="en-GB"/>
        </w:rPr>
        <w:t>would be</w:t>
      </w:r>
      <w:r w:rsidR="00712D7B">
        <w:rPr>
          <w:rFonts w:ascii="Arial" w:hAnsi="Arial" w:cs="Arial"/>
          <w:color w:val="7B7B7B" w:themeColor="accent3" w:themeShade="BF"/>
          <w:sz w:val="22"/>
          <w:szCs w:val="22"/>
          <w:lang w:val="en-GB"/>
        </w:rPr>
        <w:t xml:space="preserve"> invoked </w:t>
      </w:r>
      <w:r w:rsidR="00247D47">
        <w:rPr>
          <w:rFonts w:ascii="Arial" w:hAnsi="Arial" w:cs="Arial"/>
          <w:color w:val="7B7B7B" w:themeColor="accent3" w:themeShade="BF"/>
          <w:sz w:val="22"/>
          <w:szCs w:val="22"/>
          <w:lang w:val="en-GB"/>
        </w:rPr>
        <w:t>with respect to</w:t>
      </w:r>
      <w:r w:rsidR="00776DF2">
        <w:rPr>
          <w:rFonts w:ascii="Arial" w:hAnsi="Arial" w:cs="Arial"/>
          <w:color w:val="7B7B7B" w:themeColor="accent3" w:themeShade="BF"/>
          <w:sz w:val="22"/>
          <w:szCs w:val="22"/>
          <w:lang w:val="en-GB"/>
        </w:rPr>
        <w:t xml:space="preserve"> any proceeding against </w:t>
      </w:r>
      <w:r w:rsidR="002609F6">
        <w:rPr>
          <w:rFonts w:ascii="Arial" w:hAnsi="Arial" w:cs="Arial"/>
          <w:color w:val="7B7B7B" w:themeColor="accent3" w:themeShade="BF"/>
          <w:sz w:val="22"/>
          <w:szCs w:val="22"/>
          <w:lang w:val="en-GB"/>
        </w:rPr>
        <w:t>it or its property</w:t>
      </w:r>
      <w:r w:rsidR="00D4577C">
        <w:rPr>
          <w:rFonts w:ascii="Arial" w:hAnsi="Arial" w:cs="Arial"/>
          <w:color w:val="7B7B7B" w:themeColor="accent3" w:themeShade="BF"/>
          <w:sz w:val="22"/>
          <w:szCs w:val="22"/>
          <w:lang w:val="en-GB"/>
        </w:rPr>
        <w:t xml:space="preserve"> </w:t>
      </w:r>
      <w:r w:rsidR="00276518">
        <w:rPr>
          <w:rFonts w:ascii="Arial" w:hAnsi="Arial" w:cs="Arial"/>
          <w:color w:val="7B7B7B" w:themeColor="accent3" w:themeShade="BF"/>
          <w:sz w:val="22"/>
          <w:szCs w:val="22"/>
          <w:lang w:val="en-GB"/>
        </w:rPr>
        <w:t>as it relates to any pre-petition claims</w:t>
      </w:r>
      <w:r w:rsidR="00F07AF6">
        <w:rPr>
          <w:rFonts w:ascii="Arial" w:hAnsi="Arial" w:cs="Arial"/>
          <w:color w:val="7B7B7B" w:themeColor="accent3" w:themeShade="BF"/>
          <w:sz w:val="22"/>
          <w:szCs w:val="22"/>
          <w:lang w:val="en-GB"/>
        </w:rPr>
        <w:t xml:space="preserve"> subject to certain statutory exceptions</w:t>
      </w:r>
      <w:r w:rsidR="00276518">
        <w:rPr>
          <w:rFonts w:ascii="Arial" w:hAnsi="Arial" w:cs="Arial"/>
          <w:color w:val="7B7B7B" w:themeColor="accent3" w:themeShade="BF"/>
          <w:sz w:val="22"/>
          <w:szCs w:val="22"/>
          <w:lang w:val="en-GB"/>
        </w:rPr>
        <w:t xml:space="preserve">.  </w:t>
      </w:r>
    </w:p>
    <w:p w14:paraId="01025ED7" w14:textId="77777777" w:rsidR="00EC4B8D" w:rsidRDefault="00EC4B8D" w:rsidP="00154A7D">
      <w:pPr>
        <w:jc w:val="both"/>
        <w:rPr>
          <w:rFonts w:ascii="Arial" w:hAnsi="Arial" w:cs="Arial"/>
          <w:b/>
          <w:bCs/>
          <w:color w:val="7B7B7B" w:themeColor="accent3" w:themeShade="BF"/>
          <w:sz w:val="22"/>
          <w:szCs w:val="22"/>
          <w:lang w:val="en-GB"/>
        </w:rPr>
      </w:pPr>
    </w:p>
    <w:p w14:paraId="6695EB39" w14:textId="61D9F113" w:rsidR="00154A7D" w:rsidRDefault="00154A7D" w:rsidP="00154A7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Situation 1</w:t>
      </w:r>
    </w:p>
    <w:p w14:paraId="72FB896F" w14:textId="77777777" w:rsidR="00154A7D" w:rsidRDefault="00154A7D" w:rsidP="00154A7D">
      <w:pPr>
        <w:jc w:val="both"/>
        <w:rPr>
          <w:rFonts w:ascii="Arial" w:hAnsi="Arial" w:cs="Arial"/>
          <w:b/>
          <w:bCs/>
          <w:color w:val="7B7B7B" w:themeColor="accent3" w:themeShade="BF"/>
          <w:sz w:val="22"/>
          <w:szCs w:val="22"/>
          <w:lang w:val="en-GB"/>
        </w:rPr>
      </w:pPr>
    </w:p>
    <w:p w14:paraId="167A3CBD" w14:textId="32D36F54" w:rsidR="00154A7D" w:rsidRPr="00154A7D" w:rsidRDefault="00154A7D" w:rsidP="00154A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situation 1,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has filed a breach of contract lawsuit in Texas state court alleging that Oil Corp sold it contaminated oil that caused USD 1 billion in damage to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container ships.</w:t>
      </w:r>
      <w:r w:rsidR="00A535C8">
        <w:rPr>
          <w:rFonts w:ascii="Arial" w:hAnsi="Arial" w:cs="Arial"/>
          <w:color w:val="7B7B7B" w:themeColor="accent3" w:themeShade="BF"/>
          <w:sz w:val="22"/>
          <w:szCs w:val="22"/>
          <w:lang w:val="en-GB"/>
        </w:rPr>
        <w:t xml:space="preserve">  The automatic stay relates to </w:t>
      </w:r>
      <w:r w:rsidR="008C43CD">
        <w:rPr>
          <w:rFonts w:ascii="Arial" w:hAnsi="Arial" w:cs="Arial"/>
          <w:color w:val="7B7B7B" w:themeColor="accent3" w:themeShade="BF"/>
          <w:sz w:val="22"/>
          <w:szCs w:val="22"/>
          <w:lang w:val="en-GB"/>
        </w:rPr>
        <w:t xml:space="preserve">the commencement or continuation of </w:t>
      </w:r>
      <w:r w:rsidR="00A535C8">
        <w:rPr>
          <w:rFonts w:ascii="Arial" w:hAnsi="Arial" w:cs="Arial"/>
          <w:color w:val="7B7B7B" w:themeColor="accent3" w:themeShade="BF"/>
          <w:sz w:val="22"/>
          <w:szCs w:val="22"/>
          <w:lang w:val="en-GB"/>
        </w:rPr>
        <w:t xml:space="preserve">litigation </w:t>
      </w:r>
      <w:r w:rsidR="0085461D">
        <w:rPr>
          <w:rFonts w:ascii="Arial" w:hAnsi="Arial" w:cs="Arial"/>
          <w:color w:val="7B7B7B" w:themeColor="accent3" w:themeShade="BF"/>
          <w:sz w:val="22"/>
          <w:szCs w:val="22"/>
          <w:lang w:val="en-GB"/>
        </w:rPr>
        <w:t>on pre-petition claims.</w:t>
      </w:r>
      <w:r w:rsidR="00930B26">
        <w:rPr>
          <w:rStyle w:val="FootnoteReference"/>
          <w:rFonts w:ascii="Arial" w:hAnsi="Arial" w:cs="Arial"/>
          <w:color w:val="7B7B7B" w:themeColor="accent3" w:themeShade="BF"/>
          <w:sz w:val="22"/>
          <w:szCs w:val="22"/>
          <w:lang w:val="en-GB"/>
        </w:rPr>
        <w:footnoteReference w:id="21"/>
      </w:r>
      <w:r w:rsidR="00FA65EF">
        <w:rPr>
          <w:rFonts w:ascii="Arial" w:hAnsi="Arial" w:cs="Arial"/>
          <w:color w:val="7B7B7B" w:themeColor="accent3" w:themeShade="BF"/>
          <w:sz w:val="22"/>
          <w:szCs w:val="22"/>
          <w:lang w:val="en-GB"/>
        </w:rPr>
        <w:t xml:space="preserve"> As such, the lawsuit </w:t>
      </w:r>
      <w:r w:rsidR="00554367">
        <w:rPr>
          <w:rFonts w:ascii="Arial" w:hAnsi="Arial" w:cs="Arial"/>
          <w:color w:val="7B7B7B" w:themeColor="accent3" w:themeShade="BF"/>
          <w:sz w:val="22"/>
          <w:szCs w:val="22"/>
          <w:lang w:val="en-GB"/>
        </w:rPr>
        <w:t xml:space="preserve">filed by </w:t>
      </w:r>
      <w:proofErr w:type="spellStart"/>
      <w:r w:rsidR="00554367">
        <w:rPr>
          <w:rFonts w:ascii="Arial" w:hAnsi="Arial" w:cs="Arial"/>
          <w:color w:val="7B7B7B" w:themeColor="accent3" w:themeShade="BF"/>
          <w:sz w:val="22"/>
          <w:szCs w:val="22"/>
          <w:lang w:val="en-GB"/>
        </w:rPr>
        <w:t>ShipCo</w:t>
      </w:r>
      <w:proofErr w:type="spellEnd"/>
      <w:r w:rsidR="00554367">
        <w:rPr>
          <w:rFonts w:ascii="Arial" w:hAnsi="Arial" w:cs="Arial"/>
          <w:color w:val="7B7B7B" w:themeColor="accent3" w:themeShade="BF"/>
          <w:sz w:val="22"/>
          <w:szCs w:val="22"/>
          <w:lang w:val="en-GB"/>
        </w:rPr>
        <w:t xml:space="preserve"> would be suspended upon the filing of the chapter 11 petition by </w:t>
      </w:r>
      <w:r w:rsidR="00173668">
        <w:rPr>
          <w:rFonts w:ascii="Arial" w:hAnsi="Arial" w:cs="Arial"/>
          <w:color w:val="7B7B7B" w:themeColor="accent3" w:themeShade="BF"/>
          <w:sz w:val="22"/>
          <w:szCs w:val="22"/>
          <w:lang w:val="en-GB"/>
        </w:rPr>
        <w:t>Oil Corp.</w:t>
      </w:r>
      <w:r w:rsidR="00FA65EF">
        <w:rPr>
          <w:rFonts w:ascii="Arial" w:hAnsi="Arial" w:cs="Arial"/>
          <w:color w:val="7B7B7B" w:themeColor="accent3" w:themeShade="BF"/>
          <w:sz w:val="22"/>
          <w:szCs w:val="22"/>
          <w:lang w:val="en-GB"/>
        </w:rPr>
        <w:t xml:space="preserve"> </w:t>
      </w:r>
    </w:p>
    <w:p w14:paraId="0D183E49" w14:textId="77777777" w:rsidR="00173668" w:rsidRDefault="00173668">
      <w:pPr>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br w:type="page"/>
      </w:r>
    </w:p>
    <w:p w14:paraId="09E5A236" w14:textId="7462CB25" w:rsidR="00154A7D" w:rsidRDefault="00154A7D" w:rsidP="00154A7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Situation 2</w:t>
      </w:r>
    </w:p>
    <w:p w14:paraId="44FCDE31" w14:textId="77777777" w:rsidR="00154A7D" w:rsidRDefault="00154A7D" w:rsidP="00154A7D">
      <w:pPr>
        <w:jc w:val="both"/>
        <w:rPr>
          <w:rFonts w:ascii="Arial" w:hAnsi="Arial" w:cs="Arial"/>
          <w:b/>
          <w:bCs/>
          <w:color w:val="7B7B7B" w:themeColor="accent3" w:themeShade="BF"/>
          <w:sz w:val="22"/>
          <w:szCs w:val="22"/>
          <w:lang w:val="en-GB"/>
        </w:rPr>
      </w:pPr>
    </w:p>
    <w:p w14:paraId="3BD5F8C5" w14:textId="7FAF0D79" w:rsidR="00CC5938" w:rsidRPr="00154A7D" w:rsidRDefault="00154A7D" w:rsidP="004101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situation 2, the US Department of Justice</w:t>
      </w:r>
      <w:r w:rsidR="00410197">
        <w:rPr>
          <w:rFonts w:ascii="Arial" w:hAnsi="Arial" w:cs="Arial"/>
          <w:color w:val="7B7B7B" w:themeColor="accent3" w:themeShade="BF"/>
          <w:sz w:val="22"/>
          <w:szCs w:val="22"/>
          <w:lang w:val="en-GB"/>
        </w:rPr>
        <w:t xml:space="preserve"> (</w:t>
      </w:r>
      <w:r w:rsidR="00410197">
        <w:rPr>
          <w:rFonts w:ascii="Arial" w:hAnsi="Arial" w:cs="Arial"/>
          <w:b/>
          <w:bCs/>
          <w:color w:val="7B7B7B" w:themeColor="accent3" w:themeShade="BF"/>
          <w:sz w:val="22"/>
          <w:szCs w:val="22"/>
          <w:lang w:val="en-GB"/>
        </w:rPr>
        <w:t xml:space="preserve">“the </w:t>
      </w:r>
      <w:proofErr w:type="spellStart"/>
      <w:r w:rsidR="00410197">
        <w:rPr>
          <w:rFonts w:ascii="Arial" w:hAnsi="Arial" w:cs="Arial"/>
          <w:b/>
          <w:bCs/>
          <w:color w:val="7B7B7B" w:themeColor="accent3" w:themeShade="BF"/>
          <w:sz w:val="22"/>
          <w:szCs w:val="22"/>
          <w:lang w:val="en-GB"/>
        </w:rPr>
        <w:t>DoJ</w:t>
      </w:r>
      <w:proofErr w:type="spellEnd"/>
      <w:r w:rsidR="00410197">
        <w:rPr>
          <w:rFonts w:ascii="Arial" w:hAnsi="Arial" w:cs="Arial"/>
          <w:b/>
          <w:bCs/>
          <w:color w:val="7B7B7B" w:themeColor="accent3" w:themeShade="BF"/>
          <w:sz w:val="22"/>
          <w:szCs w:val="22"/>
          <w:lang w:val="en-GB"/>
        </w:rPr>
        <w:t>”</w:t>
      </w:r>
      <w:r w:rsidR="004101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investigating whether Oil Corp illegally purchased oil from countries subject to US sanctions.</w:t>
      </w:r>
      <w:r w:rsidR="00410197">
        <w:rPr>
          <w:rFonts w:ascii="Arial" w:hAnsi="Arial" w:cs="Arial"/>
          <w:color w:val="7B7B7B" w:themeColor="accent3" w:themeShade="BF"/>
          <w:sz w:val="22"/>
          <w:szCs w:val="22"/>
          <w:lang w:val="en-GB"/>
        </w:rPr>
        <w:t xml:space="preserve">  One of the statutory exceptions to the automatic stay is regulatory investigations.  Therefore, the filing of the chapter 11 petition would not impact</w:t>
      </w:r>
      <w:r w:rsidR="00DC39D5">
        <w:rPr>
          <w:rFonts w:ascii="Arial" w:hAnsi="Arial" w:cs="Arial"/>
          <w:color w:val="7B7B7B" w:themeColor="accent3" w:themeShade="BF"/>
          <w:sz w:val="22"/>
          <w:szCs w:val="22"/>
          <w:lang w:val="en-GB"/>
        </w:rPr>
        <w:t>, suspend or otherwise limit</w:t>
      </w:r>
      <w:r w:rsidR="00342AFD">
        <w:rPr>
          <w:rFonts w:ascii="Arial" w:hAnsi="Arial" w:cs="Arial"/>
          <w:color w:val="7B7B7B" w:themeColor="accent3" w:themeShade="BF"/>
          <w:sz w:val="22"/>
          <w:szCs w:val="22"/>
          <w:lang w:val="en-GB"/>
        </w:rPr>
        <w:t xml:space="preserve"> </w:t>
      </w:r>
      <w:r w:rsidR="00410197">
        <w:rPr>
          <w:rFonts w:ascii="Arial" w:hAnsi="Arial" w:cs="Arial"/>
          <w:color w:val="7B7B7B" w:themeColor="accent3" w:themeShade="BF"/>
          <w:sz w:val="22"/>
          <w:szCs w:val="22"/>
          <w:lang w:val="en-GB"/>
        </w:rPr>
        <w:t xml:space="preserve">the </w:t>
      </w:r>
      <w:proofErr w:type="spellStart"/>
      <w:r w:rsidR="00410197">
        <w:rPr>
          <w:rFonts w:ascii="Arial" w:hAnsi="Arial" w:cs="Arial"/>
          <w:color w:val="7B7B7B" w:themeColor="accent3" w:themeShade="BF"/>
          <w:sz w:val="22"/>
          <w:szCs w:val="22"/>
          <w:lang w:val="en-GB"/>
        </w:rPr>
        <w:t>DoJ’s</w:t>
      </w:r>
      <w:proofErr w:type="spellEnd"/>
      <w:r w:rsidR="00410197">
        <w:rPr>
          <w:rFonts w:ascii="Arial" w:hAnsi="Arial" w:cs="Arial"/>
          <w:color w:val="7B7B7B" w:themeColor="accent3" w:themeShade="BF"/>
          <w:sz w:val="22"/>
          <w:szCs w:val="22"/>
          <w:lang w:val="en-GB"/>
        </w:rPr>
        <w:t xml:space="preserve"> </w:t>
      </w:r>
      <w:r w:rsidR="00342AFD">
        <w:rPr>
          <w:rFonts w:ascii="Arial" w:hAnsi="Arial" w:cs="Arial"/>
          <w:color w:val="7B7B7B" w:themeColor="accent3" w:themeShade="BF"/>
          <w:sz w:val="22"/>
          <w:szCs w:val="22"/>
          <w:lang w:val="en-GB"/>
        </w:rPr>
        <w:t>ongoing i</w:t>
      </w:r>
      <w:r w:rsidR="00410197">
        <w:rPr>
          <w:rFonts w:ascii="Arial" w:hAnsi="Arial" w:cs="Arial"/>
          <w:color w:val="7B7B7B" w:themeColor="accent3" w:themeShade="BF"/>
          <w:sz w:val="22"/>
          <w:szCs w:val="22"/>
          <w:lang w:val="en-GB"/>
        </w:rPr>
        <w:t>nvestigation</w:t>
      </w:r>
      <w:r w:rsidR="00DC39D5">
        <w:rPr>
          <w:rFonts w:ascii="Arial" w:hAnsi="Arial" w:cs="Arial"/>
          <w:color w:val="7B7B7B" w:themeColor="accent3" w:themeShade="BF"/>
          <w:sz w:val="22"/>
          <w:szCs w:val="22"/>
          <w:lang w:val="en-GB"/>
        </w:rPr>
        <w:t>s</w:t>
      </w:r>
      <w:r w:rsidR="00410197">
        <w:rPr>
          <w:rFonts w:ascii="Arial" w:hAnsi="Arial" w:cs="Arial"/>
          <w:color w:val="7B7B7B" w:themeColor="accent3" w:themeShade="BF"/>
          <w:sz w:val="22"/>
          <w:szCs w:val="22"/>
          <w:lang w:val="en-GB"/>
        </w:rPr>
        <w:t xml:space="preserve"> into Oil Corp’s potential illegal activities.</w:t>
      </w:r>
    </w:p>
    <w:p w14:paraId="21EA404A" w14:textId="77777777" w:rsidR="00154A7D" w:rsidRDefault="00154A7D" w:rsidP="00154A7D">
      <w:pPr>
        <w:jc w:val="both"/>
        <w:rPr>
          <w:rFonts w:ascii="Arial" w:hAnsi="Arial" w:cs="Arial"/>
          <w:b/>
          <w:bCs/>
          <w:color w:val="7B7B7B" w:themeColor="accent3" w:themeShade="BF"/>
          <w:sz w:val="22"/>
          <w:szCs w:val="22"/>
          <w:lang w:val="en-GB"/>
        </w:rPr>
      </w:pPr>
    </w:p>
    <w:p w14:paraId="6A883EE6" w14:textId="76857B60" w:rsidR="00154A7D" w:rsidRDefault="00154A7D" w:rsidP="00154A7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Situation 3</w:t>
      </w:r>
    </w:p>
    <w:p w14:paraId="61859B4A" w14:textId="77777777" w:rsidR="00154A7D" w:rsidRDefault="00154A7D" w:rsidP="00154A7D">
      <w:pPr>
        <w:jc w:val="both"/>
        <w:rPr>
          <w:rFonts w:ascii="Arial" w:hAnsi="Arial" w:cs="Arial"/>
          <w:b/>
          <w:bCs/>
          <w:color w:val="7B7B7B" w:themeColor="accent3" w:themeShade="BF"/>
          <w:sz w:val="22"/>
          <w:szCs w:val="22"/>
          <w:lang w:val="en-GB"/>
        </w:rPr>
      </w:pPr>
    </w:p>
    <w:p w14:paraId="24BEE9AB" w14:textId="0D924C92" w:rsidR="001E1990" w:rsidRPr="00154A7D" w:rsidRDefault="00154A7D" w:rsidP="00154A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situation 3, USA Bank is threatening to </w:t>
      </w:r>
      <w:r w:rsidR="00E045F1">
        <w:rPr>
          <w:rFonts w:ascii="Arial" w:hAnsi="Arial" w:cs="Arial"/>
          <w:color w:val="7B7B7B" w:themeColor="accent3" w:themeShade="BF"/>
          <w:sz w:val="22"/>
          <w:szCs w:val="22"/>
          <w:lang w:val="en-GB"/>
        </w:rPr>
        <w:t xml:space="preserve">foreclose on </w:t>
      </w:r>
      <w:r w:rsidR="00DC39D5">
        <w:rPr>
          <w:rFonts w:ascii="Arial" w:hAnsi="Arial" w:cs="Arial"/>
          <w:color w:val="7B7B7B" w:themeColor="accent3" w:themeShade="BF"/>
          <w:sz w:val="22"/>
          <w:szCs w:val="22"/>
          <w:lang w:val="en-GB"/>
        </w:rPr>
        <w:t xml:space="preserve">an </w:t>
      </w:r>
      <w:r w:rsidR="00E045F1">
        <w:rPr>
          <w:rFonts w:ascii="Arial" w:hAnsi="Arial" w:cs="Arial"/>
          <w:color w:val="7B7B7B" w:themeColor="accent3" w:themeShade="BF"/>
          <w:sz w:val="22"/>
          <w:szCs w:val="22"/>
          <w:lang w:val="en-GB"/>
        </w:rPr>
        <w:t>Oil Corp refinery located in the Philippines due to the default of a secured loan.</w:t>
      </w:r>
      <w:r w:rsidR="00CE5D1D">
        <w:rPr>
          <w:rFonts w:ascii="Arial" w:hAnsi="Arial" w:cs="Arial"/>
          <w:color w:val="7B7B7B" w:themeColor="accent3" w:themeShade="BF"/>
          <w:sz w:val="22"/>
          <w:szCs w:val="22"/>
          <w:lang w:val="en-GB"/>
        </w:rPr>
        <w:t xml:space="preserve">  The automatic stay prohibits foreclosures</w:t>
      </w:r>
      <w:r w:rsidR="006E7812">
        <w:rPr>
          <w:rFonts w:ascii="Arial" w:hAnsi="Arial" w:cs="Arial"/>
          <w:color w:val="7B7B7B" w:themeColor="accent3" w:themeShade="BF"/>
          <w:sz w:val="22"/>
          <w:szCs w:val="22"/>
          <w:lang w:val="en-GB"/>
        </w:rPr>
        <w:t xml:space="preserve"> on a debtor’s property.  The worldwide nature of the automatic stay would include Oil Corp’s refinery despite it being located in the Philippines.</w:t>
      </w:r>
    </w:p>
    <w:p w14:paraId="54A857BD" w14:textId="77777777" w:rsidR="00154A7D" w:rsidRDefault="00154A7D" w:rsidP="00154A7D">
      <w:pPr>
        <w:jc w:val="both"/>
        <w:rPr>
          <w:rFonts w:ascii="Arial" w:hAnsi="Arial" w:cs="Arial"/>
          <w:b/>
          <w:bCs/>
          <w:color w:val="7B7B7B" w:themeColor="accent3" w:themeShade="BF"/>
          <w:sz w:val="22"/>
          <w:szCs w:val="22"/>
          <w:lang w:val="en-GB"/>
        </w:rPr>
      </w:pPr>
    </w:p>
    <w:p w14:paraId="5B65E727" w14:textId="048D213E" w:rsidR="00154A7D" w:rsidRDefault="00154A7D" w:rsidP="00154A7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Situation 4</w:t>
      </w:r>
    </w:p>
    <w:p w14:paraId="5C5274B8" w14:textId="77777777" w:rsidR="00E045F1" w:rsidRDefault="00E045F1" w:rsidP="00154A7D">
      <w:pPr>
        <w:jc w:val="both"/>
        <w:rPr>
          <w:rFonts w:ascii="Arial" w:hAnsi="Arial" w:cs="Arial"/>
          <w:b/>
          <w:bCs/>
          <w:color w:val="7B7B7B" w:themeColor="accent3" w:themeShade="BF"/>
          <w:sz w:val="22"/>
          <w:szCs w:val="22"/>
          <w:lang w:val="en-GB"/>
        </w:rPr>
      </w:pPr>
    </w:p>
    <w:p w14:paraId="4E8FA093" w14:textId="6A7D32A7" w:rsidR="00E141ED" w:rsidRDefault="00E045F1" w:rsidP="00154A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situation 4, Oil Corp’s landlord in Houston, Texas is threatening to evict it due to a missed rent payment.</w:t>
      </w:r>
      <w:r w:rsidR="00FF5CE5">
        <w:rPr>
          <w:rFonts w:ascii="Arial" w:hAnsi="Arial" w:cs="Arial"/>
          <w:color w:val="7B7B7B" w:themeColor="accent3" w:themeShade="BF"/>
          <w:sz w:val="22"/>
          <w:szCs w:val="22"/>
          <w:lang w:val="en-GB"/>
        </w:rPr>
        <w:t xml:space="preserve">  </w:t>
      </w:r>
      <w:r w:rsidR="00C82D2A">
        <w:rPr>
          <w:rFonts w:ascii="Arial" w:hAnsi="Arial" w:cs="Arial"/>
          <w:color w:val="7B7B7B" w:themeColor="accent3" w:themeShade="BF"/>
          <w:sz w:val="22"/>
          <w:szCs w:val="22"/>
          <w:lang w:val="en-GB"/>
        </w:rPr>
        <w:t>O</w:t>
      </w:r>
      <w:r w:rsidR="00B41100">
        <w:rPr>
          <w:rFonts w:ascii="Arial" w:hAnsi="Arial" w:cs="Arial"/>
          <w:color w:val="7B7B7B" w:themeColor="accent3" w:themeShade="BF"/>
          <w:sz w:val="22"/>
          <w:szCs w:val="22"/>
          <w:lang w:val="en-GB"/>
        </w:rPr>
        <w:t xml:space="preserve">ne of the statutory exceptions to the automatic stay is eviction </w:t>
      </w:r>
      <w:r w:rsidR="00330AA1">
        <w:rPr>
          <w:rFonts w:ascii="Arial" w:hAnsi="Arial" w:cs="Arial"/>
          <w:color w:val="7B7B7B" w:themeColor="accent3" w:themeShade="BF"/>
          <w:sz w:val="22"/>
          <w:szCs w:val="22"/>
          <w:lang w:val="en-GB"/>
        </w:rPr>
        <w:t xml:space="preserve">by a landlord from </w:t>
      </w:r>
      <w:r w:rsidR="00D975EE">
        <w:rPr>
          <w:rFonts w:ascii="Arial" w:hAnsi="Arial" w:cs="Arial"/>
          <w:color w:val="7B7B7B" w:themeColor="accent3" w:themeShade="BF"/>
          <w:sz w:val="22"/>
          <w:szCs w:val="22"/>
          <w:lang w:val="en-GB"/>
        </w:rPr>
        <w:t>commercial property where the lease has expired.</w:t>
      </w:r>
      <w:r w:rsidR="00233478">
        <w:rPr>
          <w:rFonts w:ascii="Arial" w:hAnsi="Arial" w:cs="Arial"/>
          <w:color w:val="7B7B7B" w:themeColor="accent3" w:themeShade="BF"/>
          <w:sz w:val="22"/>
          <w:szCs w:val="22"/>
          <w:lang w:val="en-GB"/>
        </w:rPr>
        <w:t xml:space="preserve">  In this case, it appears that the </w:t>
      </w:r>
      <w:r w:rsidR="007B1163">
        <w:rPr>
          <w:rFonts w:ascii="Arial" w:hAnsi="Arial" w:cs="Arial"/>
          <w:color w:val="7B7B7B" w:themeColor="accent3" w:themeShade="BF"/>
          <w:sz w:val="22"/>
          <w:szCs w:val="22"/>
          <w:lang w:val="en-GB"/>
        </w:rPr>
        <w:t>lease is still valid.  As such, the automatic stay would work in Oil Corp’s favour and prohibit the landlord from</w:t>
      </w:r>
      <w:r w:rsidR="00E141ED">
        <w:rPr>
          <w:rFonts w:ascii="Arial" w:hAnsi="Arial" w:cs="Arial"/>
          <w:color w:val="7B7B7B" w:themeColor="accent3" w:themeShade="BF"/>
          <w:sz w:val="22"/>
          <w:szCs w:val="22"/>
          <w:lang w:val="en-GB"/>
        </w:rPr>
        <w:t>:</w:t>
      </w:r>
      <w:r w:rsidR="000E6DA6">
        <w:rPr>
          <w:rStyle w:val="FootnoteReference"/>
          <w:rFonts w:ascii="Arial" w:hAnsi="Arial" w:cs="Arial"/>
          <w:color w:val="7B7B7B" w:themeColor="accent3" w:themeShade="BF"/>
          <w:sz w:val="22"/>
          <w:szCs w:val="22"/>
          <w:lang w:val="en-GB"/>
        </w:rPr>
        <w:footnoteReference w:id="22"/>
      </w:r>
    </w:p>
    <w:p w14:paraId="3FA16FF1" w14:textId="77777777" w:rsidR="00E141ED" w:rsidRDefault="00E141ED" w:rsidP="00154A7D">
      <w:pPr>
        <w:jc w:val="both"/>
        <w:rPr>
          <w:rFonts w:ascii="Arial" w:hAnsi="Arial" w:cs="Arial"/>
          <w:color w:val="7B7B7B" w:themeColor="accent3" w:themeShade="BF"/>
          <w:sz w:val="22"/>
          <w:szCs w:val="22"/>
          <w:lang w:val="en-GB"/>
        </w:rPr>
      </w:pPr>
    </w:p>
    <w:p w14:paraId="23DB1F08" w14:textId="77777777" w:rsidR="00E141ED" w:rsidRDefault="000843AA" w:rsidP="00E141ED">
      <w:pPr>
        <w:pStyle w:val="ListParagraph"/>
        <w:numPr>
          <w:ilvl w:val="0"/>
          <w:numId w:val="26"/>
        </w:numPr>
        <w:jc w:val="both"/>
        <w:rPr>
          <w:rFonts w:ascii="Arial" w:hAnsi="Arial" w:cs="Arial"/>
          <w:color w:val="7B7B7B" w:themeColor="accent3" w:themeShade="BF"/>
          <w:sz w:val="22"/>
          <w:szCs w:val="22"/>
          <w:lang w:val="en-GB"/>
        </w:rPr>
      </w:pPr>
      <w:r w:rsidRPr="00E141ED">
        <w:rPr>
          <w:rFonts w:ascii="Arial" w:hAnsi="Arial" w:cs="Arial"/>
          <w:color w:val="7B7B7B" w:themeColor="accent3" w:themeShade="BF"/>
          <w:sz w:val="22"/>
          <w:szCs w:val="22"/>
          <w:lang w:val="en-GB"/>
        </w:rPr>
        <w:t>commencing eviction actions</w:t>
      </w:r>
      <w:r w:rsidR="00E141ED">
        <w:rPr>
          <w:rFonts w:ascii="Arial" w:hAnsi="Arial" w:cs="Arial"/>
          <w:color w:val="7B7B7B" w:themeColor="accent3" w:themeShade="BF"/>
          <w:sz w:val="22"/>
          <w:szCs w:val="22"/>
          <w:lang w:val="en-GB"/>
        </w:rPr>
        <w:t>;</w:t>
      </w:r>
      <w:r w:rsidRPr="00E141ED">
        <w:rPr>
          <w:rFonts w:ascii="Arial" w:hAnsi="Arial" w:cs="Arial"/>
          <w:color w:val="7B7B7B" w:themeColor="accent3" w:themeShade="BF"/>
          <w:sz w:val="22"/>
          <w:szCs w:val="22"/>
          <w:lang w:val="en-GB"/>
        </w:rPr>
        <w:t xml:space="preserve"> </w:t>
      </w:r>
    </w:p>
    <w:p w14:paraId="0D73E3B1" w14:textId="77777777" w:rsidR="00E141ED" w:rsidRDefault="00E141ED" w:rsidP="00E141ED">
      <w:pPr>
        <w:pStyle w:val="ListParagraph"/>
        <w:jc w:val="both"/>
        <w:rPr>
          <w:rFonts w:ascii="Arial" w:hAnsi="Arial" w:cs="Arial"/>
          <w:color w:val="7B7B7B" w:themeColor="accent3" w:themeShade="BF"/>
          <w:sz w:val="22"/>
          <w:szCs w:val="22"/>
          <w:lang w:val="en-GB"/>
        </w:rPr>
      </w:pPr>
    </w:p>
    <w:p w14:paraId="0EE0B30A" w14:textId="77777777" w:rsidR="00E141ED" w:rsidRDefault="000843AA" w:rsidP="00E141ED">
      <w:pPr>
        <w:pStyle w:val="ListParagraph"/>
        <w:numPr>
          <w:ilvl w:val="0"/>
          <w:numId w:val="26"/>
        </w:numPr>
        <w:jc w:val="both"/>
        <w:rPr>
          <w:rFonts w:ascii="Arial" w:hAnsi="Arial" w:cs="Arial"/>
          <w:color w:val="7B7B7B" w:themeColor="accent3" w:themeShade="BF"/>
          <w:sz w:val="22"/>
          <w:szCs w:val="22"/>
          <w:lang w:val="en-GB"/>
        </w:rPr>
      </w:pPr>
      <w:r w:rsidRPr="00E141ED">
        <w:rPr>
          <w:rFonts w:ascii="Arial" w:hAnsi="Arial" w:cs="Arial"/>
          <w:color w:val="7B7B7B" w:themeColor="accent3" w:themeShade="BF"/>
          <w:sz w:val="22"/>
          <w:szCs w:val="22"/>
          <w:lang w:val="en-GB"/>
        </w:rPr>
        <w:t>continuing an unfinished eviction action</w:t>
      </w:r>
      <w:r w:rsidR="00E141ED">
        <w:rPr>
          <w:rFonts w:ascii="Arial" w:hAnsi="Arial" w:cs="Arial"/>
          <w:color w:val="7B7B7B" w:themeColor="accent3" w:themeShade="BF"/>
          <w:sz w:val="22"/>
          <w:szCs w:val="22"/>
          <w:lang w:val="en-GB"/>
        </w:rPr>
        <w:t>;</w:t>
      </w:r>
      <w:r w:rsidRPr="00E141ED">
        <w:rPr>
          <w:rFonts w:ascii="Arial" w:hAnsi="Arial" w:cs="Arial"/>
          <w:color w:val="7B7B7B" w:themeColor="accent3" w:themeShade="BF"/>
          <w:sz w:val="22"/>
          <w:szCs w:val="22"/>
          <w:lang w:val="en-GB"/>
        </w:rPr>
        <w:t xml:space="preserve"> </w:t>
      </w:r>
    </w:p>
    <w:p w14:paraId="5D413E27" w14:textId="77777777" w:rsidR="00E141ED" w:rsidRPr="00E141ED" w:rsidRDefault="00E141ED" w:rsidP="00E141ED">
      <w:pPr>
        <w:pStyle w:val="ListParagraph"/>
        <w:rPr>
          <w:rFonts w:ascii="Arial" w:hAnsi="Arial" w:cs="Arial"/>
          <w:color w:val="7B7B7B" w:themeColor="accent3" w:themeShade="BF"/>
          <w:sz w:val="22"/>
          <w:szCs w:val="22"/>
          <w:lang w:val="en-GB"/>
        </w:rPr>
      </w:pPr>
    </w:p>
    <w:p w14:paraId="534DD652" w14:textId="77777777" w:rsidR="00E141ED" w:rsidRDefault="000843AA" w:rsidP="00E141ED">
      <w:pPr>
        <w:pStyle w:val="ListParagraph"/>
        <w:numPr>
          <w:ilvl w:val="0"/>
          <w:numId w:val="26"/>
        </w:numPr>
        <w:jc w:val="both"/>
        <w:rPr>
          <w:rFonts w:ascii="Arial" w:hAnsi="Arial" w:cs="Arial"/>
          <w:color w:val="7B7B7B" w:themeColor="accent3" w:themeShade="BF"/>
          <w:sz w:val="22"/>
          <w:szCs w:val="22"/>
          <w:lang w:val="en-GB"/>
        </w:rPr>
      </w:pPr>
      <w:r w:rsidRPr="00E141ED">
        <w:rPr>
          <w:rFonts w:ascii="Arial" w:hAnsi="Arial" w:cs="Arial"/>
          <w:color w:val="7B7B7B" w:themeColor="accent3" w:themeShade="BF"/>
          <w:sz w:val="22"/>
          <w:szCs w:val="22"/>
          <w:lang w:val="en-GB"/>
        </w:rPr>
        <w:t>attempting to collect past-due rent</w:t>
      </w:r>
      <w:r w:rsidR="00E141ED">
        <w:rPr>
          <w:rFonts w:ascii="Arial" w:hAnsi="Arial" w:cs="Arial"/>
          <w:color w:val="7B7B7B" w:themeColor="accent3" w:themeShade="BF"/>
          <w:sz w:val="22"/>
          <w:szCs w:val="22"/>
          <w:lang w:val="en-GB"/>
        </w:rPr>
        <w:t>;</w:t>
      </w:r>
      <w:r w:rsidRPr="00E141ED">
        <w:rPr>
          <w:rFonts w:ascii="Arial" w:hAnsi="Arial" w:cs="Arial"/>
          <w:color w:val="7B7B7B" w:themeColor="accent3" w:themeShade="BF"/>
          <w:sz w:val="22"/>
          <w:szCs w:val="22"/>
          <w:lang w:val="en-GB"/>
        </w:rPr>
        <w:t xml:space="preserve"> or</w:t>
      </w:r>
      <w:r w:rsidR="00E141ED">
        <w:rPr>
          <w:rFonts w:ascii="Arial" w:hAnsi="Arial" w:cs="Arial"/>
          <w:color w:val="7B7B7B" w:themeColor="accent3" w:themeShade="BF"/>
          <w:sz w:val="22"/>
          <w:szCs w:val="22"/>
          <w:lang w:val="en-GB"/>
        </w:rPr>
        <w:t>,</w:t>
      </w:r>
      <w:r w:rsidRPr="00E141ED">
        <w:rPr>
          <w:rFonts w:ascii="Arial" w:hAnsi="Arial" w:cs="Arial"/>
          <w:color w:val="7B7B7B" w:themeColor="accent3" w:themeShade="BF"/>
          <w:sz w:val="22"/>
          <w:szCs w:val="22"/>
          <w:lang w:val="en-GB"/>
        </w:rPr>
        <w:t xml:space="preserve"> </w:t>
      </w:r>
    </w:p>
    <w:p w14:paraId="6C23D81C" w14:textId="77777777" w:rsidR="00E141ED" w:rsidRPr="00E141ED" w:rsidRDefault="00E141ED" w:rsidP="00E141ED">
      <w:pPr>
        <w:pStyle w:val="ListParagraph"/>
        <w:rPr>
          <w:rFonts w:ascii="Arial" w:hAnsi="Arial" w:cs="Arial"/>
          <w:color w:val="7B7B7B" w:themeColor="accent3" w:themeShade="BF"/>
          <w:sz w:val="22"/>
          <w:szCs w:val="22"/>
          <w:lang w:val="en-GB"/>
        </w:rPr>
      </w:pPr>
    </w:p>
    <w:p w14:paraId="608483A7" w14:textId="1D415515" w:rsidR="00E045F1" w:rsidRPr="00E141ED" w:rsidRDefault="000843AA" w:rsidP="00E141ED">
      <w:pPr>
        <w:pStyle w:val="ListParagraph"/>
        <w:numPr>
          <w:ilvl w:val="0"/>
          <w:numId w:val="26"/>
        </w:numPr>
        <w:jc w:val="both"/>
        <w:rPr>
          <w:rFonts w:ascii="Arial" w:hAnsi="Arial" w:cs="Arial"/>
          <w:color w:val="7B7B7B" w:themeColor="accent3" w:themeShade="BF"/>
          <w:sz w:val="22"/>
          <w:szCs w:val="22"/>
          <w:lang w:val="en-GB"/>
        </w:rPr>
      </w:pPr>
      <w:r w:rsidRPr="00E141ED">
        <w:rPr>
          <w:rFonts w:ascii="Arial" w:hAnsi="Arial" w:cs="Arial"/>
          <w:color w:val="7B7B7B" w:themeColor="accent3" w:themeShade="BF"/>
          <w:sz w:val="22"/>
          <w:szCs w:val="22"/>
          <w:lang w:val="en-GB"/>
        </w:rPr>
        <w:t>using a security deposit to offset amounts owed to the landlord by the tenant</w:t>
      </w:r>
      <w:r w:rsidR="00AE441F">
        <w:rPr>
          <w:rFonts w:ascii="Arial" w:hAnsi="Arial" w:cs="Arial"/>
          <w:color w:val="7B7B7B" w:themeColor="accent3" w:themeShade="BF"/>
          <w:sz w:val="22"/>
          <w:szCs w:val="22"/>
          <w:lang w:val="en-GB"/>
        </w:rPr>
        <w:t>.</w:t>
      </w:r>
    </w:p>
    <w:p w14:paraId="42FD9FDA" w14:textId="77777777" w:rsidR="00AE441F" w:rsidRDefault="00AE441F" w:rsidP="00AE441F">
      <w:pPr>
        <w:pStyle w:val="ListParagraph"/>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72BE93EA" w14:textId="77777777" w:rsidR="007358C6" w:rsidRDefault="007358C6">
      <w:pPr>
        <w:rPr>
          <w:rFonts w:ascii="Arial" w:eastAsiaTheme="minorHAnsi" w:hAnsi="Arial" w:cs="Arial"/>
          <w:b/>
          <w:sz w:val="22"/>
          <w:szCs w:val="22"/>
        </w:rPr>
      </w:pPr>
      <w:r>
        <w:rPr>
          <w:rFonts w:ascii="Arial" w:hAnsi="Arial" w:cs="Arial"/>
          <w:b/>
        </w:rPr>
        <w:br w:type="page"/>
      </w:r>
    </w:p>
    <w:p w14:paraId="05D71E4B" w14:textId="731E76C0" w:rsidR="00323167" w:rsidRPr="00323167" w:rsidRDefault="00323167" w:rsidP="00323167">
      <w:pPr>
        <w:pStyle w:val="AODocTxt"/>
        <w:spacing w:before="0" w:line="240" w:lineRule="auto"/>
        <w:rPr>
          <w:rFonts w:ascii="Arial" w:hAnsi="Arial" w:cs="Arial"/>
        </w:rPr>
      </w:pPr>
      <w:r w:rsidRPr="00323167">
        <w:rPr>
          <w:rFonts w:ascii="Arial" w:hAnsi="Arial" w:cs="Arial"/>
          <w:b/>
        </w:rPr>
        <w:lastRenderedPageBreak/>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61B3E55B" w14:textId="4DD46413" w:rsidR="00237857" w:rsidRPr="00125029" w:rsidRDefault="00323167" w:rsidP="00125029">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xml:space="preserve">) assume and assign the trademark license; (ii) </w:t>
      </w:r>
      <w:bookmarkStart w:id="2" w:name="_Hlk106937033"/>
      <w:r w:rsidRPr="00323167">
        <w:rPr>
          <w:rFonts w:ascii="Arial" w:hAnsi="Arial" w:cs="Arial"/>
        </w:rPr>
        <w:t>reject the patent licenses so the purchaser has the exclusive right to use the patents</w:t>
      </w:r>
      <w:bookmarkEnd w:id="2"/>
      <w:r w:rsidRPr="00323167">
        <w:rPr>
          <w:rFonts w:ascii="Arial" w:hAnsi="Arial" w:cs="Arial"/>
        </w:rPr>
        <w:t xml:space="preserve">; and (iii) </w:t>
      </w:r>
      <w:bookmarkStart w:id="3" w:name="_Hlk106937048"/>
      <w:r w:rsidRPr="00323167">
        <w:rPr>
          <w:rFonts w:ascii="Arial" w:hAnsi="Arial" w:cs="Arial"/>
        </w:rPr>
        <w:t>sell the manufacturing facility free and clear of the USA Bank lien</w:t>
      </w:r>
      <w:bookmarkEnd w:id="3"/>
      <w:r w:rsidRPr="00323167">
        <w:rPr>
          <w:rFonts w:ascii="Arial" w:hAnsi="Arial" w:cs="Arial"/>
        </w:rPr>
        <w:t>.</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468E3F4F" w14:textId="77777777" w:rsidR="00237857" w:rsidRDefault="00237857" w:rsidP="005B2A9B">
      <w:pPr>
        <w:jc w:val="both"/>
        <w:rPr>
          <w:rFonts w:ascii="Arial" w:hAnsi="Arial" w:cs="Arial"/>
          <w:b/>
          <w:bCs/>
          <w:color w:val="7B7B7B" w:themeColor="accent3" w:themeShade="BF"/>
          <w:sz w:val="22"/>
          <w:szCs w:val="22"/>
          <w:u w:val="single"/>
          <w:lang w:val="en-GB"/>
        </w:rPr>
      </w:pPr>
    </w:p>
    <w:p w14:paraId="2D44822C" w14:textId="4D72C221" w:rsidR="005B2A9B" w:rsidRPr="00AE441F" w:rsidRDefault="00237857" w:rsidP="005B2A9B">
      <w:pPr>
        <w:jc w:val="both"/>
        <w:rPr>
          <w:rFonts w:ascii="Arial" w:hAnsi="Arial" w:cs="Arial"/>
          <w:b/>
          <w:bCs/>
          <w:color w:val="7B7B7B" w:themeColor="accent3" w:themeShade="BF"/>
          <w:sz w:val="22"/>
          <w:szCs w:val="22"/>
          <w:lang w:val="en-GB"/>
        </w:rPr>
      </w:pPr>
      <w:r w:rsidRPr="00AE441F">
        <w:rPr>
          <w:rFonts w:ascii="Arial" w:hAnsi="Arial" w:cs="Arial"/>
          <w:b/>
          <w:bCs/>
          <w:color w:val="7B7B7B" w:themeColor="accent3" w:themeShade="BF"/>
          <w:sz w:val="22"/>
          <w:szCs w:val="22"/>
          <w:lang w:val="en-GB"/>
        </w:rPr>
        <w:t>Condition</w:t>
      </w:r>
      <w:r w:rsidR="00537744" w:rsidRPr="00AE441F">
        <w:rPr>
          <w:rFonts w:ascii="Arial" w:hAnsi="Arial" w:cs="Arial"/>
          <w:b/>
          <w:bCs/>
          <w:color w:val="7B7B7B" w:themeColor="accent3" w:themeShade="BF"/>
          <w:sz w:val="22"/>
          <w:szCs w:val="22"/>
          <w:lang w:val="en-GB"/>
        </w:rPr>
        <w:t xml:space="preserve"> 1</w:t>
      </w:r>
    </w:p>
    <w:p w14:paraId="6A406207" w14:textId="77777777" w:rsidR="00AE441F" w:rsidRDefault="00AE441F" w:rsidP="00D60335">
      <w:pPr>
        <w:jc w:val="both"/>
        <w:rPr>
          <w:rFonts w:ascii="Arial" w:hAnsi="Arial" w:cs="Arial"/>
          <w:color w:val="7B7B7B" w:themeColor="accent3" w:themeShade="BF"/>
          <w:sz w:val="22"/>
          <w:szCs w:val="22"/>
          <w:lang w:val="en-GB"/>
        </w:rPr>
      </w:pPr>
    </w:p>
    <w:p w14:paraId="6FB42D52" w14:textId="6E69C1E5" w:rsidR="00A76C09" w:rsidRPr="001663FC" w:rsidRDefault="009B12B9" w:rsidP="00D603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thinks it will get the highest return for the plastics manufacturing business if it can assume and assign the trademark license.</w:t>
      </w:r>
      <w:r w:rsidR="00125029">
        <w:rPr>
          <w:rFonts w:ascii="Arial" w:hAnsi="Arial" w:cs="Arial"/>
          <w:color w:val="7B7B7B" w:themeColor="accent3" w:themeShade="BF"/>
          <w:sz w:val="22"/>
          <w:szCs w:val="22"/>
          <w:lang w:val="en-GB"/>
        </w:rPr>
        <w:t xml:space="preserve">  However, trademark licenses are not assignable </w:t>
      </w:r>
      <w:r w:rsidR="00D60335">
        <w:rPr>
          <w:rFonts w:ascii="Arial" w:hAnsi="Arial" w:cs="Arial"/>
          <w:color w:val="7B7B7B" w:themeColor="accent3" w:themeShade="BF"/>
          <w:sz w:val="22"/>
          <w:szCs w:val="22"/>
          <w:lang w:val="en-GB"/>
        </w:rPr>
        <w:t>without the consent of the licensor.  In this case therefore, Oil Corp would have to first obtain Plastic Corp’s consent to assume and assign the trademark license before being able to do so.</w:t>
      </w:r>
    </w:p>
    <w:p w14:paraId="33E888DA" w14:textId="77777777" w:rsidR="00537744" w:rsidRDefault="00537744" w:rsidP="005B2A9B">
      <w:pPr>
        <w:jc w:val="both"/>
        <w:rPr>
          <w:rFonts w:ascii="Arial" w:hAnsi="Arial" w:cs="Arial"/>
          <w:b/>
          <w:bCs/>
          <w:color w:val="7B7B7B" w:themeColor="accent3" w:themeShade="BF"/>
          <w:sz w:val="22"/>
          <w:szCs w:val="22"/>
          <w:u w:val="single"/>
          <w:lang w:val="en-GB"/>
        </w:rPr>
      </w:pPr>
    </w:p>
    <w:p w14:paraId="7DB41A09" w14:textId="5564B143" w:rsidR="00537744" w:rsidRPr="007358C6" w:rsidRDefault="00237857" w:rsidP="005B2A9B">
      <w:pPr>
        <w:jc w:val="both"/>
        <w:rPr>
          <w:rFonts w:ascii="Arial" w:hAnsi="Arial" w:cs="Arial"/>
          <w:b/>
          <w:bCs/>
          <w:color w:val="7B7B7B" w:themeColor="accent3" w:themeShade="BF"/>
          <w:sz w:val="22"/>
          <w:szCs w:val="22"/>
          <w:lang w:val="en-GB"/>
        </w:rPr>
      </w:pPr>
      <w:r w:rsidRPr="007358C6">
        <w:rPr>
          <w:rFonts w:ascii="Arial" w:hAnsi="Arial" w:cs="Arial"/>
          <w:b/>
          <w:bCs/>
          <w:color w:val="7B7B7B" w:themeColor="accent3" w:themeShade="BF"/>
          <w:sz w:val="22"/>
          <w:szCs w:val="22"/>
          <w:lang w:val="en-GB"/>
        </w:rPr>
        <w:t>Condition</w:t>
      </w:r>
      <w:r w:rsidR="00537744" w:rsidRPr="007358C6">
        <w:rPr>
          <w:rFonts w:ascii="Arial" w:hAnsi="Arial" w:cs="Arial"/>
          <w:b/>
          <w:bCs/>
          <w:color w:val="7B7B7B" w:themeColor="accent3" w:themeShade="BF"/>
          <w:sz w:val="22"/>
          <w:szCs w:val="22"/>
          <w:lang w:val="en-GB"/>
        </w:rPr>
        <w:t xml:space="preserve"> 2</w:t>
      </w:r>
    </w:p>
    <w:p w14:paraId="14C0C6CC" w14:textId="77777777" w:rsidR="007358C6" w:rsidRDefault="007358C6" w:rsidP="00903E89">
      <w:pPr>
        <w:jc w:val="both"/>
        <w:rPr>
          <w:rFonts w:ascii="Arial" w:hAnsi="Arial" w:cs="Arial"/>
          <w:color w:val="7B7B7B" w:themeColor="accent3" w:themeShade="BF"/>
          <w:sz w:val="22"/>
          <w:szCs w:val="22"/>
          <w:lang w:val="en-GB"/>
        </w:rPr>
      </w:pPr>
    </w:p>
    <w:p w14:paraId="521FBD52" w14:textId="665F5C8C" w:rsidR="005B1025" w:rsidRPr="00537744" w:rsidRDefault="00B777EF" w:rsidP="00903E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thinks it will get the highest return for the plastics manufacturing business if it can </w:t>
      </w:r>
      <w:r w:rsidRPr="00B777EF">
        <w:rPr>
          <w:rFonts w:ascii="Arial" w:hAnsi="Arial" w:cs="Arial"/>
          <w:color w:val="7B7B7B" w:themeColor="accent3" w:themeShade="BF"/>
          <w:sz w:val="22"/>
          <w:szCs w:val="22"/>
          <w:lang w:val="en-GB"/>
        </w:rPr>
        <w:t>reject the patent licenses so the purchaser has the exclusive right to use the patents</w:t>
      </w:r>
      <w:r>
        <w:rPr>
          <w:rFonts w:ascii="Arial" w:hAnsi="Arial" w:cs="Arial"/>
          <w:color w:val="7B7B7B" w:themeColor="accent3" w:themeShade="BF"/>
          <w:sz w:val="22"/>
          <w:szCs w:val="22"/>
          <w:lang w:val="en-GB"/>
        </w:rPr>
        <w:t>.</w:t>
      </w:r>
      <w:r w:rsidR="00AE7861">
        <w:rPr>
          <w:rFonts w:ascii="Arial" w:hAnsi="Arial" w:cs="Arial"/>
          <w:color w:val="7B7B7B" w:themeColor="accent3" w:themeShade="BF"/>
          <w:sz w:val="22"/>
          <w:szCs w:val="22"/>
          <w:lang w:val="en-GB"/>
        </w:rPr>
        <w:t xml:space="preserve">  11 U.S.C. </w:t>
      </w:r>
      <w:r w:rsidR="00AE7861" w:rsidRPr="00ED5360">
        <w:rPr>
          <w:rFonts w:ascii="Arial" w:hAnsi="Arial" w:cs="Arial"/>
          <w:color w:val="7B7B7B" w:themeColor="accent3" w:themeShade="BF"/>
          <w:sz w:val="22"/>
          <w:szCs w:val="22"/>
          <w:lang w:val="en-GB"/>
        </w:rPr>
        <w:t>§</w:t>
      </w:r>
      <w:r w:rsidR="00AE7861">
        <w:rPr>
          <w:rFonts w:ascii="Arial" w:hAnsi="Arial" w:cs="Arial"/>
          <w:color w:val="7B7B7B" w:themeColor="accent3" w:themeShade="BF"/>
          <w:sz w:val="22"/>
          <w:szCs w:val="22"/>
          <w:lang w:val="en-GB"/>
        </w:rPr>
        <w:t xml:space="preserve"> 365(n) </w:t>
      </w:r>
      <w:r w:rsidR="0062376B">
        <w:rPr>
          <w:rFonts w:ascii="Arial" w:hAnsi="Arial" w:cs="Arial"/>
          <w:color w:val="7B7B7B" w:themeColor="accent3" w:themeShade="BF"/>
          <w:sz w:val="22"/>
          <w:szCs w:val="22"/>
          <w:lang w:val="en-GB"/>
        </w:rPr>
        <w:t xml:space="preserve">provides that </w:t>
      </w:r>
      <w:r w:rsidR="005663F9">
        <w:rPr>
          <w:rFonts w:ascii="Arial" w:hAnsi="Arial" w:cs="Arial"/>
          <w:color w:val="7B7B7B" w:themeColor="accent3" w:themeShade="BF"/>
          <w:sz w:val="22"/>
          <w:szCs w:val="22"/>
          <w:lang w:val="en-GB"/>
        </w:rPr>
        <w:t xml:space="preserve">such rejections may not occur without the consent </w:t>
      </w:r>
      <w:r w:rsidR="0064397B">
        <w:rPr>
          <w:rFonts w:ascii="Arial" w:hAnsi="Arial" w:cs="Arial"/>
          <w:color w:val="7B7B7B" w:themeColor="accent3" w:themeShade="BF"/>
          <w:sz w:val="22"/>
          <w:szCs w:val="22"/>
          <w:lang w:val="en-GB"/>
        </w:rPr>
        <w:t>of the licensee.</w:t>
      </w:r>
      <w:r w:rsidR="0064397B">
        <w:rPr>
          <w:rStyle w:val="FootnoteReference"/>
          <w:rFonts w:ascii="Arial" w:hAnsi="Arial" w:cs="Arial"/>
          <w:color w:val="7B7B7B" w:themeColor="accent3" w:themeShade="BF"/>
          <w:sz w:val="22"/>
          <w:szCs w:val="22"/>
          <w:lang w:val="en-GB"/>
        </w:rPr>
        <w:footnoteReference w:id="23"/>
      </w:r>
      <w:r w:rsidR="0064397B">
        <w:rPr>
          <w:rFonts w:ascii="Arial" w:hAnsi="Arial" w:cs="Arial"/>
          <w:color w:val="7B7B7B" w:themeColor="accent3" w:themeShade="BF"/>
          <w:sz w:val="22"/>
          <w:szCs w:val="22"/>
          <w:lang w:val="en-GB"/>
        </w:rPr>
        <w:t xml:space="preserve">  Therefore, Oil Corp would have to first obtain Plastic Corp’s</w:t>
      </w:r>
      <w:r w:rsidR="006E0CDA">
        <w:rPr>
          <w:rFonts w:ascii="Arial" w:hAnsi="Arial" w:cs="Arial"/>
          <w:color w:val="7B7B7B" w:themeColor="accent3" w:themeShade="BF"/>
          <w:sz w:val="22"/>
          <w:szCs w:val="22"/>
          <w:lang w:val="en-GB"/>
        </w:rPr>
        <w:t xml:space="preserve"> acceptance and</w:t>
      </w:r>
      <w:r w:rsidR="0064397B">
        <w:rPr>
          <w:rFonts w:ascii="Arial" w:hAnsi="Arial" w:cs="Arial"/>
          <w:color w:val="7B7B7B" w:themeColor="accent3" w:themeShade="BF"/>
          <w:sz w:val="22"/>
          <w:szCs w:val="22"/>
          <w:lang w:val="en-GB"/>
        </w:rPr>
        <w:t xml:space="preserve"> consent to </w:t>
      </w:r>
      <w:r w:rsidR="006E0CDA">
        <w:rPr>
          <w:rFonts w:ascii="Arial" w:hAnsi="Arial" w:cs="Arial"/>
          <w:color w:val="7B7B7B" w:themeColor="accent3" w:themeShade="BF"/>
          <w:sz w:val="22"/>
          <w:szCs w:val="22"/>
          <w:lang w:val="en-GB"/>
        </w:rPr>
        <w:t>the</w:t>
      </w:r>
      <w:r w:rsidR="00903E89">
        <w:rPr>
          <w:rFonts w:ascii="Arial" w:hAnsi="Arial" w:cs="Arial"/>
          <w:color w:val="7B7B7B" w:themeColor="accent3" w:themeShade="BF"/>
          <w:sz w:val="22"/>
          <w:szCs w:val="22"/>
          <w:lang w:val="en-GB"/>
        </w:rPr>
        <w:t xml:space="preserve"> rejection and</w:t>
      </w:r>
      <w:r w:rsidR="006E0CDA">
        <w:rPr>
          <w:rFonts w:ascii="Arial" w:hAnsi="Arial" w:cs="Arial"/>
          <w:color w:val="7B7B7B" w:themeColor="accent3" w:themeShade="BF"/>
          <w:sz w:val="22"/>
          <w:szCs w:val="22"/>
          <w:lang w:val="en-GB"/>
        </w:rPr>
        <w:t xml:space="preserve"> termination of the patent licenses</w:t>
      </w:r>
      <w:r w:rsidR="00903E89">
        <w:rPr>
          <w:rFonts w:ascii="Arial" w:hAnsi="Arial" w:cs="Arial"/>
          <w:color w:val="7B7B7B" w:themeColor="accent3" w:themeShade="BF"/>
          <w:sz w:val="22"/>
          <w:szCs w:val="22"/>
          <w:lang w:val="en-GB"/>
        </w:rPr>
        <w:t xml:space="preserve"> before being able to grant the purchaser exclusive right to use the patents.</w:t>
      </w:r>
    </w:p>
    <w:p w14:paraId="0F4E89D0" w14:textId="77777777" w:rsidR="00B777EF" w:rsidRDefault="00B777EF" w:rsidP="005B2A9B">
      <w:pPr>
        <w:jc w:val="both"/>
        <w:rPr>
          <w:rFonts w:ascii="Arial" w:hAnsi="Arial" w:cs="Arial"/>
          <w:b/>
          <w:bCs/>
          <w:color w:val="7B7B7B" w:themeColor="accent3" w:themeShade="BF"/>
          <w:sz w:val="22"/>
          <w:szCs w:val="22"/>
          <w:u w:val="single"/>
          <w:lang w:val="en-GB"/>
        </w:rPr>
      </w:pPr>
    </w:p>
    <w:p w14:paraId="13EDBFF8" w14:textId="18E60F6E" w:rsidR="00537744" w:rsidRPr="007358C6" w:rsidRDefault="00237857" w:rsidP="005B2A9B">
      <w:pPr>
        <w:jc w:val="both"/>
        <w:rPr>
          <w:rFonts w:ascii="Arial" w:hAnsi="Arial" w:cs="Arial"/>
          <w:b/>
          <w:bCs/>
          <w:color w:val="7B7B7B" w:themeColor="accent3" w:themeShade="BF"/>
          <w:sz w:val="22"/>
          <w:szCs w:val="22"/>
          <w:lang w:val="en-GB"/>
        </w:rPr>
      </w:pPr>
      <w:r w:rsidRPr="007358C6">
        <w:rPr>
          <w:rFonts w:ascii="Arial" w:hAnsi="Arial" w:cs="Arial"/>
          <w:b/>
          <w:bCs/>
          <w:color w:val="7B7B7B" w:themeColor="accent3" w:themeShade="BF"/>
          <w:sz w:val="22"/>
          <w:szCs w:val="22"/>
          <w:lang w:val="en-GB"/>
        </w:rPr>
        <w:t>Condition</w:t>
      </w:r>
      <w:r w:rsidR="00537744" w:rsidRPr="007358C6">
        <w:rPr>
          <w:rFonts w:ascii="Arial" w:hAnsi="Arial" w:cs="Arial"/>
          <w:b/>
          <w:bCs/>
          <w:color w:val="7B7B7B" w:themeColor="accent3" w:themeShade="BF"/>
          <w:sz w:val="22"/>
          <w:szCs w:val="22"/>
          <w:lang w:val="en-GB"/>
        </w:rPr>
        <w:t xml:space="preserve"> 3</w:t>
      </w:r>
    </w:p>
    <w:p w14:paraId="418E0608" w14:textId="77777777" w:rsidR="007358C6" w:rsidRDefault="007358C6" w:rsidP="00B777EF">
      <w:pPr>
        <w:jc w:val="both"/>
        <w:rPr>
          <w:rFonts w:ascii="Arial" w:hAnsi="Arial" w:cs="Arial"/>
          <w:color w:val="7B7B7B" w:themeColor="accent3" w:themeShade="BF"/>
          <w:sz w:val="22"/>
          <w:szCs w:val="22"/>
          <w:lang w:val="en-GB"/>
        </w:rPr>
      </w:pPr>
    </w:p>
    <w:p w14:paraId="0A403655" w14:textId="42974DBC" w:rsidR="001D79C6" w:rsidRDefault="00B777EF" w:rsidP="00B777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thinks it will get the highest return for the plastics manufacturing business if it can </w:t>
      </w:r>
      <w:r w:rsidRPr="00B777EF">
        <w:rPr>
          <w:rFonts w:ascii="Arial" w:hAnsi="Arial" w:cs="Arial"/>
          <w:color w:val="7B7B7B" w:themeColor="accent3" w:themeShade="BF"/>
          <w:sz w:val="22"/>
          <w:szCs w:val="22"/>
          <w:lang w:val="en-GB"/>
        </w:rPr>
        <w:t>sell the manufacturing facility free and clear of the USA Bank lien</w:t>
      </w:r>
      <w:r w:rsidR="00F9659C">
        <w:rPr>
          <w:rFonts w:ascii="Arial" w:hAnsi="Arial" w:cs="Arial"/>
          <w:color w:val="7B7B7B" w:themeColor="accent3" w:themeShade="BF"/>
          <w:sz w:val="22"/>
          <w:szCs w:val="22"/>
          <w:lang w:val="en-GB"/>
        </w:rPr>
        <w:t>.</w:t>
      </w:r>
      <w:r w:rsidR="00D3077A">
        <w:rPr>
          <w:rFonts w:ascii="Arial" w:hAnsi="Arial" w:cs="Arial"/>
          <w:color w:val="7B7B7B" w:themeColor="accent3" w:themeShade="BF"/>
          <w:sz w:val="22"/>
          <w:szCs w:val="22"/>
          <w:lang w:val="en-GB"/>
        </w:rPr>
        <w:t xml:space="preserve">  </w:t>
      </w:r>
    </w:p>
    <w:p w14:paraId="75F3453D" w14:textId="77777777" w:rsidR="001D79C6" w:rsidRDefault="001D79C6" w:rsidP="00B777EF">
      <w:pPr>
        <w:jc w:val="both"/>
        <w:rPr>
          <w:rFonts w:ascii="Arial" w:hAnsi="Arial" w:cs="Arial"/>
          <w:color w:val="7B7B7B" w:themeColor="accent3" w:themeShade="BF"/>
          <w:sz w:val="22"/>
          <w:szCs w:val="22"/>
          <w:lang w:val="en-GB"/>
        </w:rPr>
      </w:pPr>
    </w:p>
    <w:p w14:paraId="11DC0C98" w14:textId="70EF739B" w:rsidR="00B777EF" w:rsidRDefault="00D3077A" w:rsidP="00B777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 sale can be achieved with court approval pursuant to 11 U.S.C. </w:t>
      </w:r>
      <w:r w:rsidRPr="00ED536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363</w:t>
      </w:r>
      <w:r w:rsidR="001D79C6">
        <w:rPr>
          <w:rFonts w:ascii="Arial" w:hAnsi="Arial" w:cs="Arial"/>
          <w:color w:val="7B7B7B" w:themeColor="accent3" w:themeShade="BF"/>
          <w:sz w:val="22"/>
          <w:szCs w:val="22"/>
          <w:lang w:val="en-GB"/>
        </w:rPr>
        <w:t xml:space="preserve"> of which the following </w:t>
      </w:r>
      <w:r w:rsidR="00A2166E">
        <w:rPr>
          <w:rFonts w:ascii="Arial" w:hAnsi="Arial" w:cs="Arial"/>
          <w:color w:val="7B7B7B" w:themeColor="accent3" w:themeShade="BF"/>
          <w:sz w:val="22"/>
          <w:szCs w:val="22"/>
          <w:lang w:val="en-GB"/>
        </w:rPr>
        <w:t>is relevant to this condition</w:t>
      </w:r>
      <w:r w:rsidR="001D79C6">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4"/>
      </w:r>
    </w:p>
    <w:p w14:paraId="29047833" w14:textId="77777777" w:rsidR="00172F9D" w:rsidRDefault="00172F9D" w:rsidP="00B777EF">
      <w:pPr>
        <w:jc w:val="both"/>
        <w:rPr>
          <w:rFonts w:ascii="Arial" w:hAnsi="Arial" w:cs="Arial"/>
          <w:color w:val="7B7B7B" w:themeColor="accent3" w:themeShade="BF"/>
          <w:sz w:val="22"/>
          <w:szCs w:val="22"/>
          <w:lang w:val="en-GB"/>
        </w:rPr>
      </w:pPr>
    </w:p>
    <w:p w14:paraId="70D7DF80" w14:textId="0F2608CE" w:rsidR="00956E33" w:rsidRDefault="00956E33" w:rsidP="000E003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11 U.S.C. </w:t>
      </w:r>
      <w:r w:rsidRPr="00ED536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363(f) provides that</w:t>
      </w:r>
      <w:r w:rsidR="00225800">
        <w:rPr>
          <w:rFonts w:ascii="Arial" w:hAnsi="Arial" w:cs="Arial"/>
          <w:color w:val="7B7B7B" w:themeColor="accent3" w:themeShade="BF"/>
          <w:sz w:val="22"/>
          <w:szCs w:val="22"/>
          <w:lang w:val="en-GB"/>
        </w:rPr>
        <w:t xml:space="preserve">, amongst other things, prior to court approval of such a sale, USA Bank </w:t>
      </w:r>
      <w:r w:rsidR="004D2F2B">
        <w:rPr>
          <w:rFonts w:ascii="Arial" w:hAnsi="Arial" w:cs="Arial"/>
          <w:color w:val="7B7B7B" w:themeColor="accent3" w:themeShade="BF"/>
          <w:sz w:val="22"/>
          <w:szCs w:val="22"/>
          <w:lang w:val="en-GB"/>
        </w:rPr>
        <w:t xml:space="preserve">would have to consent to the sale or Oil Corp would have to demonstrate that the sale proceeds </w:t>
      </w:r>
      <w:r w:rsidR="00054A4E">
        <w:rPr>
          <w:rFonts w:ascii="Arial" w:hAnsi="Arial" w:cs="Arial"/>
          <w:color w:val="7B7B7B" w:themeColor="accent3" w:themeShade="BF"/>
          <w:sz w:val="22"/>
          <w:szCs w:val="22"/>
          <w:lang w:val="en-GB"/>
        </w:rPr>
        <w:t>would be greater than the secured claim and therefore be sufficient to satisfy the claim in full.</w:t>
      </w:r>
    </w:p>
    <w:p w14:paraId="17C7ACF7" w14:textId="77777777" w:rsidR="00956E33" w:rsidRDefault="00956E33" w:rsidP="00956E33">
      <w:pPr>
        <w:pStyle w:val="ListParagraph"/>
        <w:jc w:val="both"/>
        <w:rPr>
          <w:rFonts w:ascii="Arial" w:hAnsi="Arial" w:cs="Arial"/>
          <w:color w:val="7B7B7B" w:themeColor="accent3" w:themeShade="BF"/>
          <w:sz w:val="22"/>
          <w:szCs w:val="22"/>
          <w:lang w:val="en-GB"/>
        </w:rPr>
      </w:pPr>
    </w:p>
    <w:p w14:paraId="00498B19" w14:textId="2D32160F" w:rsidR="00286039" w:rsidRDefault="00172F9D" w:rsidP="000E003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11 U.S.C. </w:t>
      </w:r>
      <w:r w:rsidRPr="00ED536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363(m) provides that the reversal or modification of court approval would not affect the validity of the sale to a good faith purchaser unless the sale was stayed pending appeal.</w:t>
      </w:r>
      <w:r w:rsidR="00AD3650">
        <w:rPr>
          <w:rFonts w:ascii="Arial" w:hAnsi="Arial" w:cs="Arial"/>
          <w:color w:val="7B7B7B" w:themeColor="accent3" w:themeShade="BF"/>
          <w:sz w:val="22"/>
          <w:szCs w:val="22"/>
          <w:lang w:val="en-GB"/>
        </w:rPr>
        <w:t xml:space="preserve">  This is an attractive provision to potential purchasers </w:t>
      </w:r>
      <w:r w:rsidR="001669F5">
        <w:rPr>
          <w:rFonts w:ascii="Arial" w:hAnsi="Arial" w:cs="Arial"/>
          <w:color w:val="7B7B7B" w:themeColor="accent3" w:themeShade="BF"/>
          <w:sz w:val="22"/>
          <w:szCs w:val="22"/>
          <w:lang w:val="en-GB"/>
        </w:rPr>
        <w:t xml:space="preserve">of the manufacturing facility </w:t>
      </w:r>
      <w:r w:rsidR="001D3D2C">
        <w:rPr>
          <w:rFonts w:ascii="Arial" w:hAnsi="Arial" w:cs="Arial"/>
          <w:color w:val="7B7B7B" w:themeColor="accent3" w:themeShade="BF"/>
          <w:sz w:val="22"/>
          <w:szCs w:val="22"/>
          <w:lang w:val="en-GB"/>
        </w:rPr>
        <w:t>as they can gain comfort that the free and clear sale would be final barring any stay granted pending appeal.</w:t>
      </w:r>
    </w:p>
    <w:p w14:paraId="2EF94F65" w14:textId="77777777" w:rsidR="00172F9D" w:rsidRDefault="00172F9D" w:rsidP="00172F9D">
      <w:pPr>
        <w:pStyle w:val="ListParagraph"/>
        <w:jc w:val="both"/>
        <w:rPr>
          <w:rFonts w:ascii="Arial" w:hAnsi="Arial" w:cs="Arial"/>
          <w:color w:val="7B7B7B" w:themeColor="accent3" w:themeShade="BF"/>
          <w:sz w:val="22"/>
          <w:szCs w:val="22"/>
          <w:lang w:val="en-GB"/>
        </w:rPr>
      </w:pPr>
    </w:p>
    <w:p w14:paraId="298B802C" w14:textId="1BEBA89B" w:rsidR="00574BA5" w:rsidRDefault="001D3D2C" w:rsidP="0059196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Pursuant to </w:t>
      </w:r>
      <w:r w:rsidR="00932844">
        <w:rPr>
          <w:rFonts w:ascii="Arial" w:hAnsi="Arial" w:cs="Arial"/>
          <w:color w:val="7B7B7B" w:themeColor="accent3" w:themeShade="BF"/>
          <w:sz w:val="22"/>
          <w:szCs w:val="22"/>
          <w:lang w:val="en-GB"/>
        </w:rPr>
        <w:t xml:space="preserve">11 U.S.C. </w:t>
      </w:r>
      <w:r w:rsidR="00932844" w:rsidRPr="00ED5360">
        <w:rPr>
          <w:rFonts w:ascii="Arial" w:hAnsi="Arial" w:cs="Arial"/>
          <w:color w:val="7B7B7B" w:themeColor="accent3" w:themeShade="BF"/>
          <w:sz w:val="22"/>
          <w:szCs w:val="22"/>
          <w:lang w:val="en-GB"/>
        </w:rPr>
        <w:t>§</w:t>
      </w:r>
      <w:r w:rsidR="00932844">
        <w:rPr>
          <w:rFonts w:ascii="Arial" w:hAnsi="Arial" w:cs="Arial"/>
          <w:color w:val="7B7B7B" w:themeColor="accent3" w:themeShade="BF"/>
          <w:sz w:val="22"/>
          <w:szCs w:val="22"/>
          <w:lang w:val="en-GB"/>
        </w:rPr>
        <w:t xml:space="preserve"> 363(k)</w:t>
      </w:r>
      <w:r>
        <w:rPr>
          <w:rFonts w:ascii="Arial" w:hAnsi="Arial" w:cs="Arial"/>
          <w:color w:val="7B7B7B" w:themeColor="accent3" w:themeShade="BF"/>
          <w:sz w:val="22"/>
          <w:szCs w:val="22"/>
          <w:lang w:val="en-GB"/>
        </w:rPr>
        <w:t>,</w:t>
      </w:r>
      <w:r w:rsidR="00932844">
        <w:rPr>
          <w:rFonts w:ascii="Arial" w:hAnsi="Arial" w:cs="Arial"/>
          <w:color w:val="7B7B7B" w:themeColor="accent3" w:themeShade="BF"/>
          <w:sz w:val="22"/>
          <w:szCs w:val="22"/>
          <w:lang w:val="en-GB"/>
        </w:rPr>
        <w:t xml:space="preserve"> </w:t>
      </w:r>
      <w:r w:rsidR="00591969">
        <w:rPr>
          <w:rFonts w:ascii="Arial" w:hAnsi="Arial" w:cs="Arial"/>
          <w:color w:val="7B7B7B" w:themeColor="accent3" w:themeShade="BF"/>
          <w:sz w:val="22"/>
          <w:szCs w:val="22"/>
          <w:lang w:val="en-GB"/>
        </w:rPr>
        <w:t xml:space="preserve">USA Bank would be permitted to bid </w:t>
      </w:r>
      <w:r w:rsidR="00D95465">
        <w:rPr>
          <w:rFonts w:ascii="Arial" w:hAnsi="Arial" w:cs="Arial"/>
          <w:color w:val="7B7B7B" w:themeColor="accent3" w:themeShade="BF"/>
          <w:sz w:val="22"/>
          <w:szCs w:val="22"/>
          <w:lang w:val="en-GB"/>
        </w:rPr>
        <w:t>on s</w:t>
      </w:r>
      <w:r w:rsidR="00591969">
        <w:rPr>
          <w:rFonts w:ascii="Arial" w:hAnsi="Arial" w:cs="Arial"/>
          <w:color w:val="7B7B7B" w:themeColor="accent3" w:themeShade="BF"/>
          <w:sz w:val="22"/>
          <w:szCs w:val="22"/>
          <w:lang w:val="en-GB"/>
        </w:rPr>
        <w:t>uch sale and if the bid is ultimately accepted, USA Bank may offset the secured claim against the purchase price of the manufacturing facility.</w:t>
      </w:r>
      <w:r w:rsidR="001669F5">
        <w:rPr>
          <w:rFonts w:ascii="Arial" w:hAnsi="Arial" w:cs="Arial"/>
          <w:color w:val="7B7B7B" w:themeColor="accent3" w:themeShade="BF"/>
          <w:sz w:val="22"/>
          <w:szCs w:val="22"/>
          <w:lang w:val="en-GB"/>
        </w:rPr>
        <w:t xml:space="preserve">  </w:t>
      </w:r>
      <w:r w:rsidR="00AD644B">
        <w:rPr>
          <w:rFonts w:ascii="Arial" w:hAnsi="Arial" w:cs="Arial"/>
          <w:color w:val="7B7B7B" w:themeColor="accent3" w:themeShade="BF"/>
          <w:sz w:val="22"/>
          <w:szCs w:val="22"/>
          <w:lang w:val="en-GB"/>
        </w:rPr>
        <w:t xml:space="preserve">In the scenario where adequate </w:t>
      </w:r>
      <w:r w:rsidR="0097640E">
        <w:rPr>
          <w:rFonts w:ascii="Arial" w:hAnsi="Arial" w:cs="Arial"/>
          <w:color w:val="7B7B7B" w:themeColor="accent3" w:themeShade="BF"/>
          <w:sz w:val="22"/>
          <w:szCs w:val="22"/>
          <w:lang w:val="en-GB"/>
        </w:rPr>
        <w:t xml:space="preserve">or acceptable </w:t>
      </w:r>
      <w:r w:rsidR="00AD644B">
        <w:rPr>
          <w:rFonts w:ascii="Arial" w:hAnsi="Arial" w:cs="Arial"/>
          <w:color w:val="7B7B7B" w:themeColor="accent3" w:themeShade="BF"/>
          <w:sz w:val="22"/>
          <w:szCs w:val="22"/>
          <w:lang w:val="en-GB"/>
        </w:rPr>
        <w:t xml:space="preserve">bids on the manufacturing facility were not received </w:t>
      </w:r>
      <w:r w:rsidR="00696163">
        <w:rPr>
          <w:rFonts w:ascii="Arial" w:hAnsi="Arial" w:cs="Arial"/>
          <w:color w:val="7B7B7B" w:themeColor="accent3" w:themeShade="BF"/>
          <w:sz w:val="22"/>
          <w:szCs w:val="22"/>
          <w:lang w:val="en-GB"/>
        </w:rPr>
        <w:t xml:space="preserve">or consented </w:t>
      </w:r>
      <w:r w:rsidR="0097640E">
        <w:rPr>
          <w:rFonts w:ascii="Arial" w:hAnsi="Arial" w:cs="Arial"/>
          <w:color w:val="7B7B7B" w:themeColor="accent3" w:themeShade="BF"/>
          <w:sz w:val="22"/>
          <w:szCs w:val="22"/>
          <w:lang w:val="en-GB"/>
        </w:rPr>
        <w:t xml:space="preserve">to </w:t>
      </w:r>
      <w:r w:rsidR="00696163">
        <w:rPr>
          <w:rFonts w:ascii="Arial" w:hAnsi="Arial" w:cs="Arial"/>
          <w:color w:val="7B7B7B" w:themeColor="accent3" w:themeShade="BF"/>
          <w:sz w:val="22"/>
          <w:szCs w:val="22"/>
          <w:lang w:val="en-GB"/>
        </w:rPr>
        <w:t>by USA Bank, this provision provides Oil Corp with an additional option of selling directly to USA Bank in full satisfaction of the secured claim.</w:t>
      </w:r>
    </w:p>
    <w:p w14:paraId="4A717F82" w14:textId="77777777" w:rsidR="00591969" w:rsidRPr="00591969" w:rsidRDefault="00591969" w:rsidP="00591969">
      <w:pPr>
        <w:jc w:val="both"/>
        <w:rPr>
          <w:rFonts w:ascii="Arial" w:hAnsi="Arial" w:cs="Arial"/>
          <w:color w:val="7B7B7B" w:themeColor="accent3" w:themeShade="BF"/>
          <w:sz w:val="22"/>
          <w:szCs w:val="22"/>
          <w:lang w:val="en-GB"/>
        </w:rPr>
      </w:pPr>
    </w:p>
    <w:p w14:paraId="1EB886B2" w14:textId="221098B7" w:rsidR="00696163" w:rsidRDefault="00863F00" w:rsidP="00B777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w:t>
      </w:r>
      <w:r w:rsidR="007F256C">
        <w:rPr>
          <w:rFonts w:ascii="Arial" w:hAnsi="Arial" w:cs="Arial"/>
          <w:color w:val="7B7B7B" w:themeColor="accent3" w:themeShade="BF"/>
          <w:sz w:val="22"/>
          <w:szCs w:val="22"/>
          <w:lang w:val="en-GB"/>
        </w:rPr>
        <w:t xml:space="preserve">often, in cases involving significant sales such as this one with the manufacturing facility, </w:t>
      </w:r>
      <w:r w:rsidR="00D43D1E">
        <w:rPr>
          <w:rFonts w:ascii="Arial" w:hAnsi="Arial" w:cs="Arial"/>
          <w:color w:val="7B7B7B" w:themeColor="accent3" w:themeShade="BF"/>
          <w:sz w:val="22"/>
          <w:szCs w:val="22"/>
          <w:lang w:val="en-GB"/>
        </w:rPr>
        <w:t>an initial auction would be held</w:t>
      </w:r>
      <w:r w:rsidR="000240ED">
        <w:rPr>
          <w:rFonts w:ascii="Arial" w:hAnsi="Arial" w:cs="Arial"/>
          <w:color w:val="7B7B7B" w:themeColor="accent3" w:themeShade="BF"/>
          <w:sz w:val="22"/>
          <w:szCs w:val="22"/>
          <w:lang w:val="en-GB"/>
        </w:rPr>
        <w:t xml:space="preserve"> prior to bankruptcy</w:t>
      </w:r>
      <w:r w:rsidR="00D43D1E">
        <w:rPr>
          <w:rFonts w:ascii="Arial" w:hAnsi="Arial" w:cs="Arial"/>
          <w:color w:val="7B7B7B" w:themeColor="accent3" w:themeShade="BF"/>
          <w:sz w:val="22"/>
          <w:szCs w:val="22"/>
          <w:lang w:val="en-GB"/>
        </w:rPr>
        <w:t xml:space="preserve"> to identify the highest and best bid.  The winning bidder is referred to as </w:t>
      </w:r>
      <w:r w:rsidR="000240ED">
        <w:rPr>
          <w:rFonts w:ascii="Arial" w:hAnsi="Arial" w:cs="Arial"/>
          <w:color w:val="7B7B7B" w:themeColor="accent3" w:themeShade="BF"/>
          <w:sz w:val="22"/>
          <w:szCs w:val="22"/>
          <w:lang w:val="en-GB"/>
        </w:rPr>
        <w:t>the “stalking horse” bidder and sets the “floor" for the subsequent auction held during the bankruptcy</w:t>
      </w:r>
      <w:r w:rsidR="002D4E2D">
        <w:rPr>
          <w:rFonts w:ascii="Arial" w:hAnsi="Arial" w:cs="Arial"/>
          <w:color w:val="7B7B7B" w:themeColor="accent3" w:themeShade="BF"/>
          <w:sz w:val="22"/>
          <w:szCs w:val="22"/>
          <w:lang w:val="en-GB"/>
        </w:rPr>
        <w:t xml:space="preserve"> cas</w:t>
      </w:r>
      <w:r w:rsidR="00732F80">
        <w:rPr>
          <w:rFonts w:ascii="Arial" w:hAnsi="Arial" w:cs="Arial"/>
          <w:color w:val="7B7B7B" w:themeColor="accent3" w:themeShade="BF"/>
          <w:sz w:val="22"/>
          <w:szCs w:val="22"/>
          <w:lang w:val="en-GB"/>
        </w:rPr>
        <w:t>e, pending court approval.</w:t>
      </w:r>
      <w:r w:rsidR="00D52FC8">
        <w:rPr>
          <w:rFonts w:ascii="Arial" w:hAnsi="Arial" w:cs="Arial"/>
          <w:color w:val="7B7B7B" w:themeColor="accent3" w:themeShade="BF"/>
          <w:sz w:val="22"/>
          <w:szCs w:val="22"/>
          <w:lang w:val="en-GB"/>
        </w:rPr>
        <w:t xml:space="preserve">  Upon the conclusion of the subsequent auction, </w:t>
      </w:r>
      <w:r w:rsidR="00A004FD">
        <w:rPr>
          <w:rFonts w:ascii="Arial" w:hAnsi="Arial" w:cs="Arial"/>
          <w:color w:val="7B7B7B" w:themeColor="accent3" w:themeShade="BF"/>
          <w:sz w:val="22"/>
          <w:szCs w:val="22"/>
          <w:lang w:val="en-GB"/>
        </w:rPr>
        <w:t>Oil Corp would then select the highest and best offer</w:t>
      </w:r>
      <w:r w:rsidR="00014F19">
        <w:rPr>
          <w:rFonts w:ascii="Arial" w:hAnsi="Arial" w:cs="Arial"/>
          <w:color w:val="7B7B7B" w:themeColor="accent3" w:themeShade="BF"/>
          <w:sz w:val="22"/>
          <w:szCs w:val="22"/>
          <w:lang w:val="en-GB"/>
        </w:rPr>
        <w:t xml:space="preserve"> and seek court approval of such bid.  </w:t>
      </w:r>
      <w:r w:rsidR="00BB38F9">
        <w:rPr>
          <w:rFonts w:ascii="Arial" w:hAnsi="Arial" w:cs="Arial"/>
          <w:color w:val="7B7B7B" w:themeColor="accent3" w:themeShade="BF"/>
          <w:sz w:val="22"/>
          <w:szCs w:val="22"/>
          <w:lang w:val="en-GB"/>
        </w:rPr>
        <w:t xml:space="preserve">The closing of the sale will occur </w:t>
      </w:r>
      <w:r w:rsidR="00547D95">
        <w:rPr>
          <w:rFonts w:ascii="Arial" w:hAnsi="Arial" w:cs="Arial"/>
          <w:color w:val="7B7B7B" w:themeColor="accent3" w:themeShade="BF"/>
          <w:sz w:val="22"/>
          <w:szCs w:val="22"/>
          <w:lang w:val="en-GB"/>
        </w:rPr>
        <w:t>once court approval of the sale is obtained.</w:t>
      </w:r>
      <w:r w:rsidR="00547D95">
        <w:rPr>
          <w:rStyle w:val="FootnoteReference"/>
          <w:rFonts w:ascii="Arial" w:hAnsi="Arial" w:cs="Arial"/>
          <w:color w:val="7B7B7B" w:themeColor="accent3" w:themeShade="BF"/>
          <w:sz w:val="22"/>
          <w:szCs w:val="22"/>
          <w:lang w:val="en-GB"/>
        </w:rPr>
        <w:footnoteReference w:id="25"/>
      </w: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1085" w14:textId="77777777" w:rsidR="00D50613" w:rsidRDefault="00D50613" w:rsidP="00241B44">
      <w:r>
        <w:separator/>
      </w:r>
    </w:p>
  </w:endnote>
  <w:endnote w:type="continuationSeparator" w:id="0">
    <w:p w14:paraId="637857DE" w14:textId="77777777" w:rsidR="00D50613" w:rsidRDefault="00D506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E25FC65" w:rsidR="00241FA3" w:rsidRPr="009B4976" w:rsidRDefault="00BC2ED9" w:rsidP="009B4976">
    <w:pPr>
      <w:pStyle w:val="Footer"/>
      <w:ind w:right="360"/>
      <w:rPr>
        <w:rFonts w:ascii="Arial" w:hAnsi="Arial" w:cs="Arial"/>
        <w:sz w:val="18"/>
        <w:szCs w:val="18"/>
        <w:lang w:val="en-GB"/>
      </w:rPr>
    </w:pPr>
    <w:r>
      <w:rPr>
        <w:rFonts w:ascii="Arial" w:hAnsi="Arial" w:cs="Arial"/>
        <w:sz w:val="18"/>
        <w:szCs w:val="18"/>
        <w:lang w:val="en-GB"/>
      </w:rPr>
      <w:t>202122-518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BEB1" w14:textId="77777777" w:rsidR="00D50613" w:rsidRDefault="00D50613" w:rsidP="00241B44">
      <w:r>
        <w:separator/>
      </w:r>
    </w:p>
  </w:footnote>
  <w:footnote w:type="continuationSeparator" w:id="0">
    <w:p w14:paraId="18F1099C" w14:textId="77777777" w:rsidR="00D50613" w:rsidRDefault="00D50613" w:rsidP="00241B44">
      <w:r>
        <w:continuationSeparator/>
      </w:r>
    </w:p>
  </w:footnote>
  <w:footnote w:id="1">
    <w:p w14:paraId="6A0D6262" w14:textId="7BC4CF5A" w:rsidR="006D5B4C" w:rsidRPr="006D5B4C" w:rsidRDefault="006D5B4C">
      <w:pPr>
        <w:pStyle w:val="FootnoteText"/>
      </w:pPr>
      <w:r>
        <w:rPr>
          <w:rStyle w:val="FootnoteReference"/>
        </w:rPr>
        <w:footnoteRef/>
      </w:r>
      <w:r>
        <w:t xml:space="preserve"> </w:t>
      </w:r>
      <w:proofErr w:type="spellStart"/>
      <w:r>
        <w:t>Geilich</w:t>
      </w:r>
      <w:proofErr w:type="spellEnd"/>
      <w:r>
        <w:t>, Paul, “</w:t>
      </w:r>
      <w:r w:rsidRPr="006D5B4C">
        <w:rPr>
          <w:i/>
          <w:iCs/>
        </w:rPr>
        <w:t>Impaired Creditors and Your Chapter 11 Bankruptcy Plan</w:t>
      </w:r>
      <w:r>
        <w:t xml:space="preserve">”, at </w:t>
      </w:r>
      <w:hyperlink r:id="rId1" w:history="1">
        <w:r w:rsidRPr="00D84E93">
          <w:rPr>
            <w:rStyle w:val="Hyperlink"/>
          </w:rPr>
          <w:t>https://www.lawyers.com/legal-info/bankruptcy/commercial-bankruptcy/impaired-creditors-and-your-chapter-11-plan.html</w:t>
        </w:r>
      </w:hyperlink>
      <w:r>
        <w:t>, accessed 4 May 2022.</w:t>
      </w:r>
    </w:p>
  </w:footnote>
  <w:footnote w:id="2">
    <w:p w14:paraId="2C6237F5" w14:textId="6BB45BE5" w:rsidR="00E874DC" w:rsidRDefault="00E874DC">
      <w:pPr>
        <w:pStyle w:val="FootnoteText"/>
      </w:pPr>
      <w:r>
        <w:rPr>
          <w:rStyle w:val="FootnoteReference"/>
        </w:rPr>
        <w:footnoteRef/>
      </w:r>
      <w:r>
        <w:t xml:space="preserve"> </w:t>
      </w:r>
      <w:r w:rsidR="00D27210">
        <w:t xml:space="preserve">28 </w:t>
      </w:r>
      <w:r w:rsidR="007A5713">
        <w:t xml:space="preserve">USC, </w:t>
      </w:r>
      <w:r w:rsidR="00713021">
        <w:rPr>
          <w:rFonts w:cstheme="minorHAnsi"/>
        </w:rPr>
        <w:t>§</w:t>
      </w:r>
      <w:r w:rsidR="00713021">
        <w:t xml:space="preserve"> </w:t>
      </w:r>
      <w:r w:rsidR="00BC298D">
        <w:t>157</w:t>
      </w:r>
      <w:r w:rsidR="003D7274">
        <w:t xml:space="preserve">. </w:t>
      </w:r>
    </w:p>
  </w:footnote>
  <w:footnote w:id="3">
    <w:p w14:paraId="57182B09" w14:textId="0238BEE5" w:rsidR="00A00104" w:rsidRPr="00447042" w:rsidRDefault="00A00104" w:rsidP="00A044D3">
      <w:pPr>
        <w:pStyle w:val="FootnoteText"/>
      </w:pPr>
      <w:r>
        <w:rPr>
          <w:rStyle w:val="FootnoteReference"/>
        </w:rPr>
        <w:footnoteRef/>
      </w:r>
      <w:r>
        <w:t xml:space="preserve"> </w:t>
      </w:r>
      <w:r w:rsidR="0013792B">
        <w:t>Legal Information Institute</w:t>
      </w:r>
      <w:r w:rsidR="00246FE8">
        <w:t xml:space="preserve">, </w:t>
      </w:r>
      <w:r w:rsidR="00A044D3">
        <w:t>“</w:t>
      </w:r>
      <w:r w:rsidR="00A044D3" w:rsidRPr="00447042">
        <w:rPr>
          <w:i/>
          <w:iCs/>
        </w:rPr>
        <w:t>STERN v. MARSHALL ( No. 10-179 )</w:t>
      </w:r>
      <w:r w:rsidR="00447042" w:rsidRPr="00447042">
        <w:rPr>
          <w:i/>
          <w:iCs/>
        </w:rPr>
        <w:t xml:space="preserve"> </w:t>
      </w:r>
      <w:r w:rsidR="00A044D3" w:rsidRPr="00447042">
        <w:rPr>
          <w:i/>
          <w:iCs/>
        </w:rPr>
        <w:t>600 F. 3d 1037, affirmed.</w:t>
      </w:r>
      <w:r w:rsidR="00447042">
        <w:t xml:space="preserve">”, at </w:t>
      </w:r>
      <w:hyperlink r:id="rId2" w:history="1">
        <w:r w:rsidR="00447042" w:rsidRPr="00CE0EEE">
          <w:rPr>
            <w:rStyle w:val="Hyperlink"/>
          </w:rPr>
          <w:t>https://www.law.cornell.edu/supct/html/10-179.ZS.html</w:t>
        </w:r>
      </w:hyperlink>
      <w:r w:rsidR="00447042">
        <w:t xml:space="preserve">, </w:t>
      </w:r>
      <w:r w:rsidR="00A253CF">
        <w:t>accessed 11 June 2022.</w:t>
      </w:r>
    </w:p>
  </w:footnote>
  <w:footnote w:id="4">
    <w:p w14:paraId="5C2605BC" w14:textId="34C27D8B" w:rsidR="000C5ED1" w:rsidRPr="000C5ED1" w:rsidRDefault="000C5ED1">
      <w:pPr>
        <w:pStyle w:val="FootnoteText"/>
      </w:pPr>
      <w:r>
        <w:rPr>
          <w:rStyle w:val="FootnoteReference"/>
        </w:rPr>
        <w:footnoteRef/>
      </w:r>
      <w:r>
        <w:t xml:space="preserve"> </w:t>
      </w:r>
      <w:r>
        <w:rPr>
          <w:i/>
          <w:iCs/>
        </w:rPr>
        <w:t>Ibid</w:t>
      </w:r>
      <w:r>
        <w:t>.</w:t>
      </w:r>
    </w:p>
  </w:footnote>
  <w:footnote w:id="5">
    <w:p w14:paraId="138297CB" w14:textId="5E33B52E" w:rsidR="006740CA" w:rsidRDefault="006740CA">
      <w:pPr>
        <w:pStyle w:val="FootnoteText"/>
      </w:pPr>
      <w:r>
        <w:rPr>
          <w:rStyle w:val="FootnoteReference"/>
        </w:rPr>
        <w:footnoteRef/>
      </w:r>
      <w:r>
        <w:t xml:space="preserve"> 28 USC, </w:t>
      </w:r>
      <w:r>
        <w:rPr>
          <w:rFonts w:cstheme="minorHAnsi"/>
        </w:rPr>
        <w:t>§</w:t>
      </w:r>
      <w:r>
        <w:t xml:space="preserve"> 157. </w:t>
      </w:r>
    </w:p>
  </w:footnote>
  <w:footnote w:id="6">
    <w:p w14:paraId="31E87022" w14:textId="65058ECB" w:rsidR="00E207F0" w:rsidRPr="00605330" w:rsidRDefault="00E207F0">
      <w:pPr>
        <w:pStyle w:val="FootnoteText"/>
        <w:rPr>
          <w:i/>
          <w:iCs/>
        </w:rPr>
      </w:pPr>
      <w:r>
        <w:rPr>
          <w:rStyle w:val="FootnoteReference"/>
        </w:rPr>
        <w:footnoteRef/>
      </w:r>
      <w:r>
        <w:t xml:space="preserve"> </w:t>
      </w:r>
      <w:r w:rsidR="00746159">
        <w:t xml:space="preserve">Rosenblatt, Andrew </w:t>
      </w:r>
      <w:r w:rsidR="00A61565">
        <w:t>and</w:t>
      </w:r>
      <w:r w:rsidR="00746159">
        <w:t xml:space="preserve"> Copeland, James</w:t>
      </w:r>
      <w:r w:rsidR="00605330">
        <w:t>, “</w:t>
      </w:r>
      <w:r w:rsidR="00605330" w:rsidRPr="00605330">
        <w:rPr>
          <w:i/>
          <w:iCs/>
        </w:rPr>
        <w:t xml:space="preserve">Chapter 15: Pursuing “Avoidance Actions” Under </w:t>
      </w:r>
      <w:proofErr w:type="spellStart"/>
      <w:r w:rsidR="00605330" w:rsidRPr="00605330">
        <w:rPr>
          <w:i/>
          <w:iCs/>
        </w:rPr>
        <w:t>Nonbankruptcy</w:t>
      </w:r>
      <w:proofErr w:type="spellEnd"/>
      <w:r w:rsidR="00605330" w:rsidRPr="00605330">
        <w:rPr>
          <w:i/>
          <w:iCs/>
        </w:rPr>
        <w:t xml:space="preserve"> Law</w:t>
      </w:r>
      <w:r w:rsidR="00605330">
        <w:t>”</w:t>
      </w:r>
      <w:r w:rsidR="00CD3685">
        <w:t xml:space="preserve">, at </w:t>
      </w:r>
      <w:r w:rsidR="00CD3685">
        <w:tab/>
      </w:r>
      <w:hyperlink r:id="rId3" w:anchor=":~:text=The%20bankruptcy%20court%20found%20that,under%20nonbankruptcy%20law%2C%20including%20state" w:history="1">
        <w:r w:rsidR="00CD3685" w:rsidRPr="00CE0EEE">
          <w:rPr>
            <w:rStyle w:val="Hyperlink"/>
          </w:rPr>
          <w:t>https://www.nortonrosefulbright.com/en-us/knowledge/publications/ae70969d/chapter-15-pursuing-avoidance-actions-under-nonbankruptcy-law#:~:text=The%20bankruptcy%20court%20found%20that,under%20nonbankruptcy%20law%2C%20including%20state</w:t>
        </w:r>
      </w:hyperlink>
      <w:r w:rsidR="00CD3685">
        <w:t xml:space="preserve">, </w:t>
      </w:r>
      <w:r w:rsidR="00C53B2A">
        <w:t>accessed 11 June 2022.</w:t>
      </w:r>
    </w:p>
  </w:footnote>
  <w:footnote w:id="7">
    <w:p w14:paraId="0F77679A" w14:textId="1C2DAF5A" w:rsidR="006569A1" w:rsidRDefault="006569A1">
      <w:pPr>
        <w:pStyle w:val="FootnoteText"/>
      </w:pPr>
      <w:r>
        <w:rPr>
          <w:rStyle w:val="FootnoteReference"/>
        </w:rPr>
        <w:footnoteRef/>
      </w:r>
      <w:r>
        <w:t xml:space="preserve"> </w:t>
      </w:r>
      <w:r w:rsidR="00AC1FC9">
        <w:t xml:space="preserve">11 USC, </w:t>
      </w:r>
      <w:r w:rsidR="00AC1FC9">
        <w:rPr>
          <w:rFonts w:cstheme="minorHAnsi"/>
        </w:rPr>
        <w:t>§ 1523</w:t>
      </w:r>
      <w:r w:rsidR="00C050B1">
        <w:rPr>
          <w:rFonts w:cstheme="minorHAnsi"/>
        </w:rPr>
        <w:t xml:space="preserve">. </w:t>
      </w:r>
    </w:p>
  </w:footnote>
  <w:footnote w:id="8">
    <w:p w14:paraId="4E69ACF6" w14:textId="3E823A1A" w:rsidR="0073768E" w:rsidRDefault="0073768E">
      <w:pPr>
        <w:pStyle w:val="FootnoteText"/>
      </w:pPr>
      <w:r>
        <w:rPr>
          <w:rStyle w:val="FootnoteReference"/>
        </w:rPr>
        <w:footnoteRef/>
      </w:r>
      <w:r>
        <w:t xml:space="preserve"> 28 USC, </w:t>
      </w:r>
      <w:r>
        <w:rPr>
          <w:rFonts w:cstheme="minorHAnsi"/>
        </w:rPr>
        <w:t>§</w:t>
      </w:r>
      <w:r>
        <w:t xml:space="preserve"> 15</w:t>
      </w:r>
      <w:r w:rsidR="00F811EF">
        <w:t>8</w:t>
      </w:r>
      <w:r>
        <w:t>.</w:t>
      </w:r>
      <w:r w:rsidR="00F811EF">
        <w:t xml:space="preserve"> </w:t>
      </w:r>
    </w:p>
  </w:footnote>
  <w:footnote w:id="9">
    <w:p w14:paraId="1801CC69" w14:textId="273545E8" w:rsidR="004C74DB" w:rsidRPr="00460D85" w:rsidRDefault="004C74DB">
      <w:pPr>
        <w:pStyle w:val="FootnoteText"/>
      </w:pPr>
      <w:r>
        <w:rPr>
          <w:rStyle w:val="FootnoteReference"/>
        </w:rPr>
        <w:footnoteRef/>
      </w:r>
      <w:r>
        <w:t xml:space="preserve"> </w:t>
      </w:r>
      <w:r w:rsidR="00902FF5">
        <w:t>Jones Day</w:t>
      </w:r>
      <w:r w:rsidR="00746F7C">
        <w:t>, “</w:t>
      </w:r>
      <w:r w:rsidR="00746F7C" w:rsidRPr="00746F7C">
        <w:rPr>
          <w:i/>
          <w:iCs/>
        </w:rPr>
        <w:t>Delaware Supreme Court Limits Scope of “Zone of Insolvency” Fiduciary Duties</w:t>
      </w:r>
      <w:r w:rsidR="00460D85">
        <w:rPr>
          <w:i/>
          <w:iCs/>
        </w:rPr>
        <w:t>”</w:t>
      </w:r>
      <w:r w:rsidR="00460D85">
        <w:t xml:space="preserve">, at </w:t>
      </w:r>
      <w:hyperlink r:id="rId4" w:history="1">
        <w:r w:rsidR="00460D85" w:rsidRPr="00CE0EEE">
          <w:rPr>
            <w:rStyle w:val="Hyperlink"/>
          </w:rPr>
          <w:t>https://www.jonesday.com/en/insights/2007/10/delaware-supreme-court-limits-scope-of-zone-of-insolvency-fiduciary-duties</w:t>
        </w:r>
      </w:hyperlink>
      <w:r w:rsidR="00460D85">
        <w:t>, accessed 11 June 2022.</w:t>
      </w:r>
    </w:p>
  </w:footnote>
  <w:footnote w:id="10">
    <w:p w14:paraId="1FD2471C" w14:textId="40F360B3" w:rsidR="00D95E9D" w:rsidRPr="000468A4" w:rsidRDefault="00D95E9D">
      <w:pPr>
        <w:pStyle w:val="FootnoteText"/>
      </w:pPr>
      <w:r>
        <w:rPr>
          <w:rStyle w:val="FootnoteReference"/>
        </w:rPr>
        <w:footnoteRef/>
      </w:r>
      <w:r>
        <w:t xml:space="preserve"> </w:t>
      </w:r>
      <w:r w:rsidR="000F2BEA">
        <w:t xml:space="preserve">Craggs, Mark </w:t>
      </w:r>
      <w:r w:rsidR="00A61565">
        <w:t>and</w:t>
      </w:r>
      <w:r w:rsidR="000F2BEA">
        <w:t xml:space="preserve"> Thorn, Matthew</w:t>
      </w:r>
      <w:r w:rsidR="000468A4">
        <w:t>, “</w:t>
      </w:r>
      <w:r w:rsidR="00E97CB2" w:rsidRPr="00E97CB2">
        <w:rPr>
          <w:i/>
          <w:iCs/>
        </w:rPr>
        <w:t>Review of jurisdictional issues in recent cross-border schemes of arrangement</w:t>
      </w:r>
      <w:r w:rsidR="000468A4">
        <w:t>”, a</w:t>
      </w:r>
      <w:r w:rsidR="00E97CB2">
        <w:t xml:space="preserve">t </w:t>
      </w:r>
      <w:hyperlink r:id="rId5" w:history="1">
        <w:r w:rsidR="00E97CB2" w:rsidRPr="00E26926">
          <w:rPr>
            <w:rStyle w:val="Hyperlink"/>
          </w:rPr>
          <w:t>https://www.nortonrosefulbright.com/en/knowledge/publications/87824a8c/review-of-jurisdictional-issues</w:t>
        </w:r>
      </w:hyperlink>
      <w:r w:rsidR="00E97CB2">
        <w:t>,</w:t>
      </w:r>
      <w:r w:rsidR="000468A4">
        <w:t xml:space="preserve"> accessed 12 June 2022.</w:t>
      </w:r>
    </w:p>
  </w:footnote>
  <w:footnote w:id="11">
    <w:p w14:paraId="072FC1A1" w14:textId="22342355" w:rsidR="00275F66" w:rsidRPr="00275F66" w:rsidRDefault="00275F66">
      <w:pPr>
        <w:pStyle w:val="FootnoteText"/>
        <w:rPr>
          <w:i/>
          <w:iCs/>
        </w:rPr>
      </w:pPr>
      <w:r>
        <w:rPr>
          <w:rStyle w:val="FootnoteReference"/>
        </w:rPr>
        <w:footnoteRef/>
      </w:r>
      <w:r>
        <w:t xml:space="preserve"> </w:t>
      </w:r>
      <w:r>
        <w:rPr>
          <w:i/>
          <w:iCs/>
        </w:rPr>
        <w:t>Ibid.</w:t>
      </w:r>
    </w:p>
  </w:footnote>
  <w:footnote w:id="12">
    <w:p w14:paraId="383324E4" w14:textId="74C95A25" w:rsidR="003F40F1" w:rsidRPr="003F40F1" w:rsidRDefault="003F40F1">
      <w:pPr>
        <w:pStyle w:val="FootnoteText"/>
      </w:pPr>
      <w:r>
        <w:rPr>
          <w:rStyle w:val="FootnoteReference"/>
        </w:rPr>
        <w:footnoteRef/>
      </w:r>
      <w:r>
        <w:t xml:space="preserve"> </w:t>
      </w:r>
      <w:r>
        <w:rPr>
          <w:i/>
          <w:iCs/>
        </w:rPr>
        <w:t>Ibid</w:t>
      </w:r>
      <w:r>
        <w:t>.</w:t>
      </w:r>
    </w:p>
  </w:footnote>
  <w:footnote w:id="13">
    <w:p w14:paraId="57576A61" w14:textId="10116E12" w:rsidR="000A4025" w:rsidRPr="000A4025" w:rsidRDefault="000A4025">
      <w:pPr>
        <w:pStyle w:val="FootnoteText"/>
      </w:pPr>
      <w:r>
        <w:rPr>
          <w:rStyle w:val="FootnoteReference"/>
        </w:rPr>
        <w:footnoteRef/>
      </w:r>
      <w:r>
        <w:t xml:space="preserve"> </w:t>
      </w:r>
      <w:r>
        <w:rPr>
          <w:i/>
          <w:iCs/>
        </w:rPr>
        <w:t>Ibid</w:t>
      </w:r>
      <w:r>
        <w:t>.</w:t>
      </w:r>
    </w:p>
  </w:footnote>
  <w:footnote w:id="14">
    <w:p w14:paraId="43D8B4D4" w14:textId="5E9E4EE7" w:rsidR="00A61565" w:rsidRPr="0081505A" w:rsidRDefault="00A61565">
      <w:pPr>
        <w:pStyle w:val="FootnoteText"/>
      </w:pPr>
      <w:r>
        <w:rPr>
          <w:rStyle w:val="FootnoteReference"/>
        </w:rPr>
        <w:footnoteRef/>
      </w:r>
      <w:r>
        <w:t xml:space="preserve"> </w:t>
      </w:r>
      <w:r w:rsidR="000F4382">
        <w:t xml:space="preserve">Kampfner, Roberto, </w:t>
      </w:r>
      <w:proofErr w:type="spellStart"/>
      <w:r w:rsidR="000F4382">
        <w:t>Olier</w:t>
      </w:r>
      <w:proofErr w:type="spellEnd"/>
      <w:r w:rsidR="000F4382">
        <w:t>, Jonathan, McConnell, Charles and Ho, Joann, “</w:t>
      </w:r>
      <w:r w:rsidR="0081505A" w:rsidRPr="0081505A">
        <w:rPr>
          <w:i/>
          <w:iCs/>
        </w:rPr>
        <w:t>US Chapter 15: Recognition of Indonesian Reorganization Plan</w:t>
      </w:r>
      <w:r w:rsidR="0081505A">
        <w:t xml:space="preserve">”, at </w:t>
      </w:r>
      <w:hyperlink r:id="rId6" w:anchor=":~:text=Recognition%20of%20foreign%20proceedings%20under%20Chapter%2015&amp;text=Chapter%2015%20governs%20the%20provision,direct%20appropriation%20by%20individual%20creditors." w:history="1">
        <w:r w:rsidR="00AD45A2">
          <w:rPr>
            <w:rStyle w:val="Hyperlink"/>
          </w:rPr>
          <w:t>https://www.whitecase.com/publications/alert/us-chapter-15-recognition-indonesian-reorganization-plan#:~:text=Recognition%20of%20foreign%20proceedings%20under%20Chapter%2015&amp;text=Chapter%2015%20governs%20the%20provision,direct%20appropriation%20by%20individual%20creditors.</w:t>
        </w:r>
      </w:hyperlink>
      <w:r w:rsidR="0081505A">
        <w:t>, accessed 12 June 2022.</w:t>
      </w:r>
    </w:p>
  </w:footnote>
  <w:footnote w:id="15">
    <w:p w14:paraId="703C9025" w14:textId="436ECDA5" w:rsidR="00F90096" w:rsidRDefault="00F90096">
      <w:pPr>
        <w:pStyle w:val="FootnoteText"/>
      </w:pPr>
      <w:r>
        <w:rPr>
          <w:rStyle w:val="FootnoteReference"/>
        </w:rPr>
        <w:footnoteRef/>
      </w:r>
      <w:r>
        <w:t xml:space="preserve"> </w:t>
      </w:r>
      <w:bookmarkStart w:id="1" w:name="_Hlk105934891"/>
      <w:r>
        <w:t xml:space="preserve">11 USC, </w:t>
      </w:r>
      <w:r>
        <w:rPr>
          <w:rFonts w:cstheme="minorHAnsi"/>
        </w:rPr>
        <w:t>§ 101</w:t>
      </w:r>
      <w:bookmarkEnd w:id="1"/>
      <w:r>
        <w:rPr>
          <w:rFonts w:cstheme="minorHAnsi"/>
        </w:rPr>
        <w:t xml:space="preserve">. </w:t>
      </w:r>
    </w:p>
  </w:footnote>
  <w:footnote w:id="16">
    <w:p w14:paraId="11A95DEA" w14:textId="2956DE13" w:rsidR="00283F7A" w:rsidRPr="00836E94" w:rsidRDefault="00283F7A">
      <w:pPr>
        <w:pStyle w:val="FootnoteText"/>
      </w:pPr>
      <w:r>
        <w:rPr>
          <w:rStyle w:val="FootnoteReference"/>
        </w:rPr>
        <w:footnoteRef/>
      </w:r>
      <w:r>
        <w:t xml:space="preserve"> </w:t>
      </w:r>
      <w:r w:rsidR="00836E94">
        <w:rPr>
          <w:i/>
          <w:iCs/>
        </w:rPr>
        <w:t>Ibid</w:t>
      </w:r>
      <w:r w:rsidR="00836E94">
        <w:t>.</w:t>
      </w:r>
    </w:p>
  </w:footnote>
  <w:footnote w:id="17">
    <w:p w14:paraId="4F6F1538" w14:textId="69C07F22" w:rsidR="008910BD" w:rsidRPr="00AF58BD" w:rsidRDefault="008910BD">
      <w:pPr>
        <w:pStyle w:val="FootnoteText"/>
      </w:pPr>
      <w:r>
        <w:rPr>
          <w:rStyle w:val="FootnoteReference"/>
        </w:rPr>
        <w:footnoteRef/>
      </w:r>
      <w:r>
        <w:t xml:space="preserve"> </w:t>
      </w:r>
      <w:r w:rsidR="00AF58BD">
        <w:t>Lowenthal, Daniel, “</w:t>
      </w:r>
      <w:r w:rsidR="00AF58BD" w:rsidRPr="00AF58BD">
        <w:rPr>
          <w:i/>
          <w:iCs/>
        </w:rPr>
        <w:t>Chapter 15: US Court Respects UK Scheme of Arrangement: Third-Party Releases Enforced</w:t>
      </w:r>
      <w:r w:rsidR="00AF58BD">
        <w:t xml:space="preserve">”, at </w:t>
      </w:r>
      <w:hyperlink r:id="rId7" w:history="1">
        <w:r w:rsidR="002B7901" w:rsidRPr="00E26926">
          <w:rPr>
            <w:rStyle w:val="Hyperlink"/>
          </w:rPr>
          <w:t>https://www.pbwt.com/bankruptcy-update-blog/chapter-15-us-court-respects-uk-scheme-of-arrangement-third-party-releases-enforced</w:t>
        </w:r>
      </w:hyperlink>
      <w:r w:rsidR="002B7901">
        <w:t>, accessed 12 June 2022.</w:t>
      </w:r>
    </w:p>
  </w:footnote>
  <w:footnote w:id="18">
    <w:p w14:paraId="72651072" w14:textId="31C84CD7" w:rsidR="0080289E" w:rsidRPr="001F520F" w:rsidRDefault="0080289E">
      <w:pPr>
        <w:pStyle w:val="FootnoteText"/>
      </w:pPr>
      <w:r>
        <w:rPr>
          <w:rStyle w:val="FootnoteReference"/>
        </w:rPr>
        <w:footnoteRef/>
      </w:r>
      <w:r>
        <w:t xml:space="preserve"> </w:t>
      </w:r>
      <w:r w:rsidR="005D40DF">
        <w:t>Vazquez, Francisco, “</w:t>
      </w:r>
      <w:r w:rsidR="001F520F" w:rsidRPr="001F520F">
        <w:rPr>
          <w:i/>
          <w:iCs/>
        </w:rPr>
        <w:t>Overview of the key Chapter 15 decisions in 2020</w:t>
      </w:r>
      <w:r w:rsidR="001F520F">
        <w:t xml:space="preserve">”, at </w:t>
      </w:r>
      <w:hyperlink r:id="rId8" w:history="1">
        <w:r w:rsidR="001F520F" w:rsidRPr="00E26926">
          <w:rPr>
            <w:rStyle w:val="Hyperlink"/>
          </w:rPr>
          <w:t>https://www.nortonrosefulbright.com/en/knowledge/publications/1496f7a8/key-chapter-15</w:t>
        </w:r>
      </w:hyperlink>
      <w:r w:rsidR="001F520F">
        <w:t>, accessed 12 June 2022.</w:t>
      </w:r>
    </w:p>
  </w:footnote>
  <w:footnote w:id="19">
    <w:p w14:paraId="5A79B2F8" w14:textId="61A8851C" w:rsidR="00AE779F" w:rsidRPr="00AE779F" w:rsidRDefault="00AE779F">
      <w:pPr>
        <w:pStyle w:val="FootnoteText"/>
      </w:pPr>
      <w:r>
        <w:rPr>
          <w:rStyle w:val="FootnoteReference"/>
        </w:rPr>
        <w:footnoteRef/>
      </w:r>
      <w:r>
        <w:t xml:space="preserve"> </w:t>
      </w:r>
      <w:r>
        <w:rPr>
          <w:i/>
          <w:iCs/>
        </w:rPr>
        <w:t>Ibid</w:t>
      </w:r>
      <w:r>
        <w:t>.</w:t>
      </w:r>
    </w:p>
  </w:footnote>
  <w:footnote w:id="20">
    <w:p w14:paraId="015E16A1" w14:textId="24FA74C5" w:rsidR="006A147F" w:rsidRDefault="006A147F">
      <w:pPr>
        <w:pStyle w:val="FootnoteText"/>
      </w:pPr>
      <w:r>
        <w:rPr>
          <w:rStyle w:val="FootnoteReference"/>
        </w:rPr>
        <w:footnoteRef/>
      </w:r>
      <w:r>
        <w:t xml:space="preserve"> </w:t>
      </w:r>
      <w:r w:rsidRPr="006A147F">
        <w:t xml:space="preserve">11 USC, § </w:t>
      </w:r>
      <w:r>
        <w:t xml:space="preserve">1502. </w:t>
      </w:r>
    </w:p>
  </w:footnote>
  <w:footnote w:id="21">
    <w:p w14:paraId="38E122B5" w14:textId="56CBF0A6" w:rsidR="00930B26" w:rsidRPr="00C84D24" w:rsidRDefault="00930B26">
      <w:pPr>
        <w:pStyle w:val="FootnoteText"/>
      </w:pPr>
      <w:r>
        <w:rPr>
          <w:rStyle w:val="FootnoteReference"/>
        </w:rPr>
        <w:footnoteRef/>
      </w:r>
      <w:r>
        <w:t xml:space="preserve"> Smith, Aaron and </w:t>
      </w:r>
      <w:r w:rsidR="00C84D24">
        <w:t>Kind, Michael, “</w:t>
      </w:r>
      <w:r w:rsidR="00C84D24" w:rsidRPr="00C84D24">
        <w:rPr>
          <w:i/>
          <w:iCs/>
        </w:rPr>
        <w:t xml:space="preserve">Locke Lord </w:t>
      </w:r>
      <w:proofErr w:type="spellStart"/>
      <w:r w:rsidR="00C84D24" w:rsidRPr="00C84D24">
        <w:rPr>
          <w:i/>
          <w:iCs/>
        </w:rPr>
        <w:t>QuickStudy</w:t>
      </w:r>
      <w:proofErr w:type="spellEnd"/>
      <w:r w:rsidR="00C84D24" w:rsidRPr="00C84D24">
        <w:rPr>
          <w:i/>
          <w:iCs/>
        </w:rPr>
        <w:t>: The Use of Chapter 11 of the Bankruptcy Code to Address Business Disruption Resulting From COVID-19</w:t>
      </w:r>
      <w:r w:rsidR="00C84D24">
        <w:t xml:space="preserve">”, at </w:t>
      </w:r>
      <w:hyperlink r:id="rId9" w:anchor=":~:text=A.&amp;text=The%20automatic%20stay%20bars%20the,before%20commencement%20of%20the%20case" w:history="1">
        <w:r w:rsidR="00E33888" w:rsidRPr="009941E0">
          <w:rPr>
            <w:rStyle w:val="Hyperlink"/>
          </w:rPr>
          <w:t>https://www.lockelord.com/newsandevents/publications/2020/03/the-use-of-chapter-11-covid19#:~:text=A.&amp;text=The%20automatic%20stay%20bars%20the,before%20commencement%20of%20the%20case</w:t>
        </w:r>
      </w:hyperlink>
      <w:r w:rsidR="00E33888" w:rsidRPr="00E33888">
        <w:t>.</w:t>
      </w:r>
      <w:r w:rsidR="00E33888">
        <w:t>, accessed 23 June 2022.</w:t>
      </w:r>
    </w:p>
  </w:footnote>
  <w:footnote w:id="22">
    <w:p w14:paraId="600D22B5" w14:textId="55476ECE" w:rsidR="000E6DA6" w:rsidRPr="00FF3A18" w:rsidRDefault="000E6DA6">
      <w:pPr>
        <w:pStyle w:val="FootnoteText"/>
      </w:pPr>
      <w:r>
        <w:rPr>
          <w:rStyle w:val="FootnoteReference"/>
        </w:rPr>
        <w:footnoteRef/>
      </w:r>
      <w:r>
        <w:t xml:space="preserve"> McGill </w:t>
      </w:r>
      <w:proofErr w:type="spellStart"/>
      <w:r>
        <w:t>Gotsdiner</w:t>
      </w:r>
      <w:proofErr w:type="spellEnd"/>
      <w:r>
        <w:t xml:space="preserve"> Work</w:t>
      </w:r>
      <w:r w:rsidR="00FF3A18">
        <w:t xml:space="preserve">man &amp; </w:t>
      </w:r>
      <w:proofErr w:type="spellStart"/>
      <w:r w:rsidR="00FF3A18">
        <w:t>Lepp</w:t>
      </w:r>
      <w:proofErr w:type="spellEnd"/>
      <w:r w:rsidR="00FF3A18">
        <w:t xml:space="preserve"> PC LLO, “</w:t>
      </w:r>
      <w:r w:rsidR="00FF3A18" w:rsidRPr="00FF3A18">
        <w:rPr>
          <w:i/>
          <w:iCs/>
        </w:rPr>
        <w:t>What Commercial Landlords Need to Know if a Tenant Files a Chapter 11 Bankruptcy (And What They Should Consider Before the Filing)</w:t>
      </w:r>
      <w:r w:rsidR="00FF3A18">
        <w:rPr>
          <w:i/>
          <w:iCs/>
        </w:rPr>
        <w:t xml:space="preserve">”, </w:t>
      </w:r>
      <w:r w:rsidR="00FF3A18">
        <w:t xml:space="preserve">at </w:t>
      </w:r>
      <w:hyperlink r:id="rId10" w:history="1">
        <w:r w:rsidR="00D60335" w:rsidRPr="009941E0">
          <w:rPr>
            <w:rStyle w:val="Hyperlink"/>
          </w:rPr>
          <w:t>https://www.mgwl.com/blog/what-commercial-landlords-need-to-know-if-a-tenant-may-file-a-chapter-11-bankruptcy/</w:t>
        </w:r>
      </w:hyperlink>
      <w:r w:rsidR="007013F0">
        <w:t>, accessed 23 June 2022.</w:t>
      </w:r>
    </w:p>
  </w:footnote>
  <w:footnote w:id="23">
    <w:p w14:paraId="3C59A7EE" w14:textId="3B328B84" w:rsidR="0064397B" w:rsidRDefault="0064397B">
      <w:pPr>
        <w:pStyle w:val="FootnoteText"/>
      </w:pPr>
      <w:r>
        <w:rPr>
          <w:rStyle w:val="FootnoteReference"/>
        </w:rPr>
        <w:footnoteRef/>
      </w:r>
      <w:r>
        <w:t xml:space="preserve"> 11 USC, </w:t>
      </w:r>
      <w:r>
        <w:rPr>
          <w:rFonts w:cstheme="minorHAnsi"/>
        </w:rPr>
        <w:t>§</w:t>
      </w:r>
      <w:r>
        <w:t xml:space="preserve"> 365(n). </w:t>
      </w:r>
    </w:p>
  </w:footnote>
  <w:footnote w:id="24">
    <w:p w14:paraId="157018A6" w14:textId="4C3D144F" w:rsidR="00D3077A" w:rsidRDefault="00D3077A">
      <w:pPr>
        <w:pStyle w:val="FootnoteText"/>
      </w:pPr>
      <w:r>
        <w:rPr>
          <w:rStyle w:val="FootnoteReference"/>
        </w:rPr>
        <w:footnoteRef/>
      </w:r>
      <w:r>
        <w:t xml:space="preserve"> 11 USC, </w:t>
      </w:r>
      <w:r>
        <w:rPr>
          <w:rFonts w:cstheme="minorHAnsi"/>
        </w:rPr>
        <w:t>§</w:t>
      </w:r>
      <w:r>
        <w:t xml:space="preserve"> 363. </w:t>
      </w:r>
    </w:p>
  </w:footnote>
  <w:footnote w:id="25">
    <w:p w14:paraId="71BF6E22" w14:textId="752574D3" w:rsidR="00547D95" w:rsidRPr="0021555F" w:rsidRDefault="00547D95" w:rsidP="00EB4CCD">
      <w:pPr>
        <w:pStyle w:val="FootnoteText"/>
      </w:pPr>
      <w:r>
        <w:rPr>
          <w:rStyle w:val="FootnoteReference"/>
        </w:rPr>
        <w:footnoteRef/>
      </w:r>
      <w:r>
        <w:t xml:space="preserve"> </w:t>
      </w:r>
      <w:r w:rsidR="00EB4CCD">
        <w:t>Baker &amp; McKenzie, “</w:t>
      </w:r>
      <w:r w:rsidR="00EB4CCD">
        <w:rPr>
          <w:i/>
          <w:iCs/>
        </w:rPr>
        <w:t xml:space="preserve">A </w:t>
      </w:r>
      <w:r w:rsidR="00EB4CCD" w:rsidRPr="00EB4CCD">
        <w:rPr>
          <w:i/>
          <w:iCs/>
        </w:rPr>
        <w:t xml:space="preserve"> Road Map for Potential Buyers of Distressed Businesses in Section 363 Bankruptcy Sales</w:t>
      </w:r>
      <w:r w:rsidR="00EB4CCD">
        <w:rPr>
          <w:i/>
          <w:iCs/>
        </w:rPr>
        <w:t>”,</w:t>
      </w:r>
      <w:r w:rsidR="0021555F">
        <w:rPr>
          <w:i/>
          <w:iCs/>
        </w:rPr>
        <w:t xml:space="preserve"> </w:t>
      </w:r>
      <w:r w:rsidR="0021555F">
        <w:t>at</w:t>
      </w:r>
      <w:r w:rsidR="00EB4CCD">
        <w:rPr>
          <w:i/>
          <w:iCs/>
        </w:rPr>
        <w:t xml:space="preserve"> </w:t>
      </w:r>
      <w:hyperlink r:id="rId11" w:history="1">
        <w:r w:rsidR="0021555F" w:rsidRPr="0021555F">
          <w:rPr>
            <w:rStyle w:val="Hyperlink"/>
          </w:rPr>
          <w:t>https://restructuring.bakermckenzie.com/wp-content/uploads/sites/23/2020/04/Road-Map-for-Potential-Buyers-of-Section-363-Bankruptcy-Sales.pdf</w:t>
        </w:r>
      </w:hyperlink>
      <w:r w:rsidR="0021555F" w:rsidRPr="0021555F">
        <w:t>, accessed 24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A72"/>
    <w:multiLevelType w:val="hybridMultilevel"/>
    <w:tmpl w:val="0D1AE450"/>
    <w:lvl w:ilvl="0" w:tplc="A78879C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 w15:restartNumberingAfterBreak="0">
    <w:nsid w:val="03836DDB"/>
    <w:multiLevelType w:val="hybridMultilevel"/>
    <w:tmpl w:val="B6AA4A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928E5"/>
    <w:multiLevelType w:val="hybridMultilevel"/>
    <w:tmpl w:val="CDA4B314"/>
    <w:lvl w:ilvl="0" w:tplc="3C2E09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D06A90"/>
    <w:multiLevelType w:val="hybridMultilevel"/>
    <w:tmpl w:val="4B30C3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B04BC1"/>
    <w:multiLevelType w:val="hybridMultilevel"/>
    <w:tmpl w:val="1F30DB30"/>
    <w:lvl w:ilvl="0" w:tplc="685E36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22A6F"/>
    <w:multiLevelType w:val="hybridMultilevel"/>
    <w:tmpl w:val="42341F04"/>
    <w:lvl w:ilvl="0" w:tplc="6B00671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13D8D"/>
    <w:multiLevelType w:val="hybridMultilevel"/>
    <w:tmpl w:val="3D9298AC"/>
    <w:lvl w:ilvl="0" w:tplc="46CEDF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D591C"/>
    <w:multiLevelType w:val="hybridMultilevel"/>
    <w:tmpl w:val="89FAE67A"/>
    <w:lvl w:ilvl="0" w:tplc="DB80435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A84351"/>
    <w:multiLevelType w:val="hybridMultilevel"/>
    <w:tmpl w:val="AD66AFF0"/>
    <w:lvl w:ilvl="0" w:tplc="9F0E66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0FE1603"/>
    <w:multiLevelType w:val="hybridMultilevel"/>
    <w:tmpl w:val="1668D570"/>
    <w:lvl w:ilvl="0" w:tplc="89A2A51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23FB0"/>
    <w:multiLevelType w:val="hybridMultilevel"/>
    <w:tmpl w:val="3C645036"/>
    <w:lvl w:ilvl="0" w:tplc="DD6E58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C4D43"/>
    <w:multiLevelType w:val="hybridMultilevel"/>
    <w:tmpl w:val="BEDA6252"/>
    <w:lvl w:ilvl="0" w:tplc="87C4D51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C960A4"/>
    <w:multiLevelType w:val="hybridMultilevel"/>
    <w:tmpl w:val="8398D02E"/>
    <w:lvl w:ilvl="0" w:tplc="BB8A428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931776"/>
    <w:multiLevelType w:val="hybridMultilevel"/>
    <w:tmpl w:val="7F2C1D74"/>
    <w:lvl w:ilvl="0" w:tplc="6EE8213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16cid:durableId="1691954593">
    <w:abstractNumId w:val="18"/>
  </w:num>
  <w:num w:numId="2" w16cid:durableId="291403040">
    <w:abstractNumId w:val="20"/>
  </w:num>
  <w:num w:numId="3" w16cid:durableId="637762728">
    <w:abstractNumId w:val="6"/>
  </w:num>
  <w:num w:numId="4" w16cid:durableId="1717242931">
    <w:abstractNumId w:val="10"/>
  </w:num>
  <w:num w:numId="5" w16cid:durableId="557284175">
    <w:abstractNumId w:val="11"/>
  </w:num>
  <w:num w:numId="6" w16cid:durableId="1247110062">
    <w:abstractNumId w:val="22"/>
  </w:num>
  <w:num w:numId="7" w16cid:durableId="1873179344">
    <w:abstractNumId w:val="8"/>
  </w:num>
  <w:num w:numId="8" w16cid:durableId="552276412">
    <w:abstractNumId w:val="23"/>
  </w:num>
  <w:num w:numId="9" w16cid:durableId="1900629325">
    <w:abstractNumId w:val="12"/>
  </w:num>
  <w:num w:numId="10" w16cid:durableId="238944792">
    <w:abstractNumId w:val="19"/>
  </w:num>
  <w:num w:numId="11" w16cid:durableId="1782988179">
    <w:abstractNumId w:val="13"/>
  </w:num>
  <w:num w:numId="12" w16cid:durableId="1030838652">
    <w:abstractNumId w:val="17"/>
  </w:num>
  <w:num w:numId="13" w16cid:durableId="1235317465">
    <w:abstractNumId w:val="2"/>
  </w:num>
  <w:num w:numId="14" w16cid:durableId="1456363435">
    <w:abstractNumId w:val="4"/>
  </w:num>
  <w:num w:numId="15" w16cid:durableId="399442927">
    <w:abstractNumId w:val="1"/>
  </w:num>
  <w:num w:numId="16" w16cid:durableId="1669749422">
    <w:abstractNumId w:val="7"/>
  </w:num>
  <w:num w:numId="17" w16cid:durableId="693386955">
    <w:abstractNumId w:val="0"/>
  </w:num>
  <w:num w:numId="18" w16cid:durableId="567569858">
    <w:abstractNumId w:val="26"/>
  </w:num>
  <w:num w:numId="19" w16cid:durableId="1726685057">
    <w:abstractNumId w:val="15"/>
  </w:num>
  <w:num w:numId="20" w16cid:durableId="123081050">
    <w:abstractNumId w:val="14"/>
  </w:num>
  <w:num w:numId="21" w16cid:durableId="630211108">
    <w:abstractNumId w:val="5"/>
  </w:num>
  <w:num w:numId="22" w16cid:durableId="827746940">
    <w:abstractNumId w:val="25"/>
  </w:num>
  <w:num w:numId="23" w16cid:durableId="311717372">
    <w:abstractNumId w:val="3"/>
  </w:num>
  <w:num w:numId="24" w16cid:durableId="2147232138">
    <w:abstractNumId w:val="16"/>
  </w:num>
  <w:num w:numId="25" w16cid:durableId="1432162103">
    <w:abstractNumId w:val="21"/>
  </w:num>
  <w:num w:numId="26" w16cid:durableId="1384017505">
    <w:abstractNumId w:val="24"/>
  </w:num>
  <w:num w:numId="27" w16cid:durableId="137153987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F19"/>
    <w:rsid w:val="0001655B"/>
    <w:rsid w:val="00017103"/>
    <w:rsid w:val="00020557"/>
    <w:rsid w:val="00021FC2"/>
    <w:rsid w:val="00022E00"/>
    <w:rsid w:val="000240ED"/>
    <w:rsid w:val="000250C7"/>
    <w:rsid w:val="00026F16"/>
    <w:rsid w:val="00033B35"/>
    <w:rsid w:val="00037621"/>
    <w:rsid w:val="00037671"/>
    <w:rsid w:val="00041379"/>
    <w:rsid w:val="0004155E"/>
    <w:rsid w:val="00044D46"/>
    <w:rsid w:val="00045088"/>
    <w:rsid w:val="00045904"/>
    <w:rsid w:val="000468A4"/>
    <w:rsid w:val="00047C2A"/>
    <w:rsid w:val="000502FD"/>
    <w:rsid w:val="00054A4E"/>
    <w:rsid w:val="00056D9B"/>
    <w:rsid w:val="00065166"/>
    <w:rsid w:val="000677D0"/>
    <w:rsid w:val="00067EB4"/>
    <w:rsid w:val="00076B6A"/>
    <w:rsid w:val="00082609"/>
    <w:rsid w:val="000843AA"/>
    <w:rsid w:val="0008509B"/>
    <w:rsid w:val="000851CC"/>
    <w:rsid w:val="00091A16"/>
    <w:rsid w:val="00093BE8"/>
    <w:rsid w:val="00097B45"/>
    <w:rsid w:val="000A4025"/>
    <w:rsid w:val="000A407B"/>
    <w:rsid w:val="000A636A"/>
    <w:rsid w:val="000A68ED"/>
    <w:rsid w:val="000B4A9F"/>
    <w:rsid w:val="000B5FF1"/>
    <w:rsid w:val="000B609F"/>
    <w:rsid w:val="000B79E6"/>
    <w:rsid w:val="000C0523"/>
    <w:rsid w:val="000C2988"/>
    <w:rsid w:val="000C4C5B"/>
    <w:rsid w:val="000C5ED1"/>
    <w:rsid w:val="000C62D0"/>
    <w:rsid w:val="000D55A8"/>
    <w:rsid w:val="000D7783"/>
    <w:rsid w:val="000E0030"/>
    <w:rsid w:val="000E4841"/>
    <w:rsid w:val="000E6DA6"/>
    <w:rsid w:val="000E77D4"/>
    <w:rsid w:val="000E78DD"/>
    <w:rsid w:val="000F1677"/>
    <w:rsid w:val="000F2BEA"/>
    <w:rsid w:val="000F3D6C"/>
    <w:rsid w:val="000F4382"/>
    <w:rsid w:val="000F4D1A"/>
    <w:rsid w:val="000F7FC2"/>
    <w:rsid w:val="00100C40"/>
    <w:rsid w:val="00101707"/>
    <w:rsid w:val="00102CC9"/>
    <w:rsid w:val="00106D7F"/>
    <w:rsid w:val="00113E11"/>
    <w:rsid w:val="0011473D"/>
    <w:rsid w:val="00115C85"/>
    <w:rsid w:val="0012224B"/>
    <w:rsid w:val="00123855"/>
    <w:rsid w:val="00125029"/>
    <w:rsid w:val="00126A4D"/>
    <w:rsid w:val="00126A8A"/>
    <w:rsid w:val="00130706"/>
    <w:rsid w:val="0013792B"/>
    <w:rsid w:val="001416E1"/>
    <w:rsid w:val="0014171F"/>
    <w:rsid w:val="0014622C"/>
    <w:rsid w:val="0015108F"/>
    <w:rsid w:val="00152348"/>
    <w:rsid w:val="0015456D"/>
    <w:rsid w:val="00154A7D"/>
    <w:rsid w:val="00155CAC"/>
    <w:rsid w:val="00155FA2"/>
    <w:rsid w:val="00160679"/>
    <w:rsid w:val="0016128A"/>
    <w:rsid w:val="00161F1B"/>
    <w:rsid w:val="00162829"/>
    <w:rsid w:val="001663FC"/>
    <w:rsid w:val="001669F5"/>
    <w:rsid w:val="00172F9D"/>
    <w:rsid w:val="00173668"/>
    <w:rsid w:val="0017389E"/>
    <w:rsid w:val="00180548"/>
    <w:rsid w:val="00180AC4"/>
    <w:rsid w:val="00180CCE"/>
    <w:rsid w:val="0018267A"/>
    <w:rsid w:val="00182779"/>
    <w:rsid w:val="001830DF"/>
    <w:rsid w:val="001966D9"/>
    <w:rsid w:val="00197306"/>
    <w:rsid w:val="001A11CF"/>
    <w:rsid w:val="001A789C"/>
    <w:rsid w:val="001A79CC"/>
    <w:rsid w:val="001A7E9A"/>
    <w:rsid w:val="001B0F70"/>
    <w:rsid w:val="001B5016"/>
    <w:rsid w:val="001C355E"/>
    <w:rsid w:val="001C45FC"/>
    <w:rsid w:val="001C64D5"/>
    <w:rsid w:val="001D0469"/>
    <w:rsid w:val="001D3D2C"/>
    <w:rsid w:val="001D4862"/>
    <w:rsid w:val="001D5105"/>
    <w:rsid w:val="001D79C6"/>
    <w:rsid w:val="001E1990"/>
    <w:rsid w:val="001E25B9"/>
    <w:rsid w:val="001E49E0"/>
    <w:rsid w:val="001E7B5A"/>
    <w:rsid w:val="001F4882"/>
    <w:rsid w:val="001F520F"/>
    <w:rsid w:val="001F7412"/>
    <w:rsid w:val="002028E8"/>
    <w:rsid w:val="00202DFE"/>
    <w:rsid w:val="00203BA2"/>
    <w:rsid w:val="0020725B"/>
    <w:rsid w:val="0020754C"/>
    <w:rsid w:val="002110F1"/>
    <w:rsid w:val="0021555F"/>
    <w:rsid w:val="002218F5"/>
    <w:rsid w:val="00223917"/>
    <w:rsid w:val="00225800"/>
    <w:rsid w:val="00226C2A"/>
    <w:rsid w:val="002272BA"/>
    <w:rsid w:val="0023072A"/>
    <w:rsid w:val="00233478"/>
    <w:rsid w:val="00237857"/>
    <w:rsid w:val="0024116D"/>
    <w:rsid w:val="00241B44"/>
    <w:rsid w:val="00241FA3"/>
    <w:rsid w:val="0024200F"/>
    <w:rsid w:val="00245EFB"/>
    <w:rsid w:val="00246FE8"/>
    <w:rsid w:val="00247D47"/>
    <w:rsid w:val="00251D40"/>
    <w:rsid w:val="0025386E"/>
    <w:rsid w:val="00256B74"/>
    <w:rsid w:val="00260210"/>
    <w:rsid w:val="002609F6"/>
    <w:rsid w:val="002638B0"/>
    <w:rsid w:val="0026647A"/>
    <w:rsid w:val="002668D3"/>
    <w:rsid w:val="002676D8"/>
    <w:rsid w:val="0027299F"/>
    <w:rsid w:val="00275F66"/>
    <w:rsid w:val="00276518"/>
    <w:rsid w:val="0028136F"/>
    <w:rsid w:val="00283F7A"/>
    <w:rsid w:val="00284EBE"/>
    <w:rsid w:val="00285296"/>
    <w:rsid w:val="00286039"/>
    <w:rsid w:val="0028759E"/>
    <w:rsid w:val="002903A7"/>
    <w:rsid w:val="00292AF2"/>
    <w:rsid w:val="00293110"/>
    <w:rsid w:val="0029433F"/>
    <w:rsid w:val="00294829"/>
    <w:rsid w:val="0029690F"/>
    <w:rsid w:val="00297C8A"/>
    <w:rsid w:val="002A2A60"/>
    <w:rsid w:val="002A3031"/>
    <w:rsid w:val="002A37BB"/>
    <w:rsid w:val="002A5356"/>
    <w:rsid w:val="002A5C94"/>
    <w:rsid w:val="002B1C45"/>
    <w:rsid w:val="002B2D4D"/>
    <w:rsid w:val="002B7901"/>
    <w:rsid w:val="002C0121"/>
    <w:rsid w:val="002C13C8"/>
    <w:rsid w:val="002C3547"/>
    <w:rsid w:val="002C5DE5"/>
    <w:rsid w:val="002D0021"/>
    <w:rsid w:val="002D299D"/>
    <w:rsid w:val="002D3473"/>
    <w:rsid w:val="002D4E2D"/>
    <w:rsid w:val="002D540B"/>
    <w:rsid w:val="002D6789"/>
    <w:rsid w:val="002D78C5"/>
    <w:rsid w:val="002F1956"/>
    <w:rsid w:val="002F3440"/>
    <w:rsid w:val="002F75A3"/>
    <w:rsid w:val="00301D2B"/>
    <w:rsid w:val="00303C2F"/>
    <w:rsid w:val="003041AE"/>
    <w:rsid w:val="003053FA"/>
    <w:rsid w:val="00310515"/>
    <w:rsid w:val="003144EF"/>
    <w:rsid w:val="00323167"/>
    <w:rsid w:val="00326292"/>
    <w:rsid w:val="00326415"/>
    <w:rsid w:val="00330937"/>
    <w:rsid w:val="00330AA1"/>
    <w:rsid w:val="00330F31"/>
    <w:rsid w:val="00334648"/>
    <w:rsid w:val="0033768C"/>
    <w:rsid w:val="00337938"/>
    <w:rsid w:val="00340769"/>
    <w:rsid w:val="00341AA6"/>
    <w:rsid w:val="00342AFD"/>
    <w:rsid w:val="003502EB"/>
    <w:rsid w:val="0035373F"/>
    <w:rsid w:val="003557E0"/>
    <w:rsid w:val="003600BF"/>
    <w:rsid w:val="0036136D"/>
    <w:rsid w:val="00361A0A"/>
    <w:rsid w:val="00361B22"/>
    <w:rsid w:val="00362046"/>
    <w:rsid w:val="00364836"/>
    <w:rsid w:val="0036565C"/>
    <w:rsid w:val="0036625E"/>
    <w:rsid w:val="0037465A"/>
    <w:rsid w:val="00381FE6"/>
    <w:rsid w:val="00382C98"/>
    <w:rsid w:val="0038533C"/>
    <w:rsid w:val="00386568"/>
    <w:rsid w:val="00390B57"/>
    <w:rsid w:val="003948D5"/>
    <w:rsid w:val="00396821"/>
    <w:rsid w:val="00397D3A"/>
    <w:rsid w:val="003A051E"/>
    <w:rsid w:val="003A222C"/>
    <w:rsid w:val="003A75F4"/>
    <w:rsid w:val="003B170F"/>
    <w:rsid w:val="003B3C5F"/>
    <w:rsid w:val="003B7184"/>
    <w:rsid w:val="003C4471"/>
    <w:rsid w:val="003C53FE"/>
    <w:rsid w:val="003D09B6"/>
    <w:rsid w:val="003D0A6D"/>
    <w:rsid w:val="003D7274"/>
    <w:rsid w:val="003E0B16"/>
    <w:rsid w:val="003E4791"/>
    <w:rsid w:val="003E52BF"/>
    <w:rsid w:val="003E57F8"/>
    <w:rsid w:val="003E67D1"/>
    <w:rsid w:val="003F14DC"/>
    <w:rsid w:val="003F40F1"/>
    <w:rsid w:val="004040DB"/>
    <w:rsid w:val="00404329"/>
    <w:rsid w:val="00405DC1"/>
    <w:rsid w:val="00407998"/>
    <w:rsid w:val="00410197"/>
    <w:rsid w:val="00415F1F"/>
    <w:rsid w:val="0042108F"/>
    <w:rsid w:val="004248F6"/>
    <w:rsid w:val="004273B0"/>
    <w:rsid w:val="00430AEF"/>
    <w:rsid w:val="00430FED"/>
    <w:rsid w:val="00434A8C"/>
    <w:rsid w:val="00437297"/>
    <w:rsid w:val="00437A6E"/>
    <w:rsid w:val="00444284"/>
    <w:rsid w:val="00445CE6"/>
    <w:rsid w:val="00447042"/>
    <w:rsid w:val="00451168"/>
    <w:rsid w:val="00452B4B"/>
    <w:rsid w:val="004534C2"/>
    <w:rsid w:val="00453E04"/>
    <w:rsid w:val="0045446F"/>
    <w:rsid w:val="004549A6"/>
    <w:rsid w:val="00455018"/>
    <w:rsid w:val="0045683E"/>
    <w:rsid w:val="00460D85"/>
    <w:rsid w:val="00464480"/>
    <w:rsid w:val="00464B88"/>
    <w:rsid w:val="00477C72"/>
    <w:rsid w:val="00477D1E"/>
    <w:rsid w:val="00485226"/>
    <w:rsid w:val="00491675"/>
    <w:rsid w:val="00493855"/>
    <w:rsid w:val="00495E79"/>
    <w:rsid w:val="004962F8"/>
    <w:rsid w:val="004A0667"/>
    <w:rsid w:val="004A22F2"/>
    <w:rsid w:val="004A57DD"/>
    <w:rsid w:val="004A7B51"/>
    <w:rsid w:val="004A7D71"/>
    <w:rsid w:val="004A7EF3"/>
    <w:rsid w:val="004B11FD"/>
    <w:rsid w:val="004B23A2"/>
    <w:rsid w:val="004B2B22"/>
    <w:rsid w:val="004B5781"/>
    <w:rsid w:val="004C74DB"/>
    <w:rsid w:val="004D12BF"/>
    <w:rsid w:val="004D1A5A"/>
    <w:rsid w:val="004D1B14"/>
    <w:rsid w:val="004D2EBC"/>
    <w:rsid w:val="004D2F2B"/>
    <w:rsid w:val="004D2FFF"/>
    <w:rsid w:val="004D3721"/>
    <w:rsid w:val="004D64F9"/>
    <w:rsid w:val="004E2FF4"/>
    <w:rsid w:val="004E3A6B"/>
    <w:rsid w:val="004E52E0"/>
    <w:rsid w:val="004E5AF5"/>
    <w:rsid w:val="004E622C"/>
    <w:rsid w:val="004E63EF"/>
    <w:rsid w:val="004F0666"/>
    <w:rsid w:val="004F49B5"/>
    <w:rsid w:val="004F5FDF"/>
    <w:rsid w:val="004F7B99"/>
    <w:rsid w:val="00512704"/>
    <w:rsid w:val="00515810"/>
    <w:rsid w:val="005177FE"/>
    <w:rsid w:val="0052263B"/>
    <w:rsid w:val="00523117"/>
    <w:rsid w:val="005232FE"/>
    <w:rsid w:val="00524728"/>
    <w:rsid w:val="0052616B"/>
    <w:rsid w:val="0053178E"/>
    <w:rsid w:val="0053274D"/>
    <w:rsid w:val="005331CA"/>
    <w:rsid w:val="00537744"/>
    <w:rsid w:val="00537970"/>
    <w:rsid w:val="00540E3A"/>
    <w:rsid w:val="00544127"/>
    <w:rsid w:val="00544711"/>
    <w:rsid w:val="005463A9"/>
    <w:rsid w:val="00547D95"/>
    <w:rsid w:val="00553EB2"/>
    <w:rsid w:val="00554367"/>
    <w:rsid w:val="00560534"/>
    <w:rsid w:val="0056391B"/>
    <w:rsid w:val="005650E2"/>
    <w:rsid w:val="005663F9"/>
    <w:rsid w:val="00567AD7"/>
    <w:rsid w:val="00574BA5"/>
    <w:rsid w:val="00575B2D"/>
    <w:rsid w:val="00575EC6"/>
    <w:rsid w:val="005833D0"/>
    <w:rsid w:val="00583D8E"/>
    <w:rsid w:val="005846F3"/>
    <w:rsid w:val="0058622F"/>
    <w:rsid w:val="00587019"/>
    <w:rsid w:val="00591969"/>
    <w:rsid w:val="00592F82"/>
    <w:rsid w:val="0059787E"/>
    <w:rsid w:val="005A0CCA"/>
    <w:rsid w:val="005A40E7"/>
    <w:rsid w:val="005A6FF2"/>
    <w:rsid w:val="005A726D"/>
    <w:rsid w:val="005A73BF"/>
    <w:rsid w:val="005B1025"/>
    <w:rsid w:val="005B2A9B"/>
    <w:rsid w:val="005B67AC"/>
    <w:rsid w:val="005B79F4"/>
    <w:rsid w:val="005D1293"/>
    <w:rsid w:val="005D40DF"/>
    <w:rsid w:val="005D43E0"/>
    <w:rsid w:val="005D58A3"/>
    <w:rsid w:val="005D6642"/>
    <w:rsid w:val="005E1B79"/>
    <w:rsid w:val="005E6076"/>
    <w:rsid w:val="005E7008"/>
    <w:rsid w:val="005F026D"/>
    <w:rsid w:val="005F2AEA"/>
    <w:rsid w:val="005F2D0B"/>
    <w:rsid w:val="005F4B31"/>
    <w:rsid w:val="005F5F55"/>
    <w:rsid w:val="00605330"/>
    <w:rsid w:val="00610388"/>
    <w:rsid w:val="00610A42"/>
    <w:rsid w:val="00610AC7"/>
    <w:rsid w:val="00612CA5"/>
    <w:rsid w:val="006153EC"/>
    <w:rsid w:val="00620320"/>
    <w:rsid w:val="00620DAB"/>
    <w:rsid w:val="00621A17"/>
    <w:rsid w:val="0062376B"/>
    <w:rsid w:val="006245E3"/>
    <w:rsid w:val="00627CC9"/>
    <w:rsid w:val="00627E7B"/>
    <w:rsid w:val="00630542"/>
    <w:rsid w:val="00632E44"/>
    <w:rsid w:val="00634622"/>
    <w:rsid w:val="00635ACC"/>
    <w:rsid w:val="00636808"/>
    <w:rsid w:val="00636EFF"/>
    <w:rsid w:val="00641515"/>
    <w:rsid w:val="0064397B"/>
    <w:rsid w:val="00654C2F"/>
    <w:rsid w:val="00655AB1"/>
    <w:rsid w:val="006569A1"/>
    <w:rsid w:val="00657087"/>
    <w:rsid w:val="006639DB"/>
    <w:rsid w:val="006661EF"/>
    <w:rsid w:val="006740CA"/>
    <w:rsid w:val="00677AEB"/>
    <w:rsid w:val="00680EF2"/>
    <w:rsid w:val="0068508F"/>
    <w:rsid w:val="00687A1D"/>
    <w:rsid w:val="0069083E"/>
    <w:rsid w:val="00696163"/>
    <w:rsid w:val="00697EA1"/>
    <w:rsid w:val="006A147F"/>
    <w:rsid w:val="006A1B31"/>
    <w:rsid w:val="006A2646"/>
    <w:rsid w:val="006A3229"/>
    <w:rsid w:val="006A6530"/>
    <w:rsid w:val="006B3571"/>
    <w:rsid w:val="006B435A"/>
    <w:rsid w:val="006B43C9"/>
    <w:rsid w:val="006B4C64"/>
    <w:rsid w:val="006B7268"/>
    <w:rsid w:val="006D5338"/>
    <w:rsid w:val="006D5B4C"/>
    <w:rsid w:val="006D6BD5"/>
    <w:rsid w:val="006D6D00"/>
    <w:rsid w:val="006E0CDA"/>
    <w:rsid w:val="006E2C76"/>
    <w:rsid w:val="006E481A"/>
    <w:rsid w:val="006E5298"/>
    <w:rsid w:val="006E7812"/>
    <w:rsid w:val="006E7925"/>
    <w:rsid w:val="006F3756"/>
    <w:rsid w:val="006F4A78"/>
    <w:rsid w:val="006F617D"/>
    <w:rsid w:val="006F72EA"/>
    <w:rsid w:val="006F734A"/>
    <w:rsid w:val="00700D83"/>
    <w:rsid w:val="007013F0"/>
    <w:rsid w:val="0070431A"/>
    <w:rsid w:val="00704852"/>
    <w:rsid w:val="007074E9"/>
    <w:rsid w:val="00712D7B"/>
    <w:rsid w:val="00713021"/>
    <w:rsid w:val="00713DA4"/>
    <w:rsid w:val="00714BF1"/>
    <w:rsid w:val="00717C2C"/>
    <w:rsid w:val="00721383"/>
    <w:rsid w:val="00723687"/>
    <w:rsid w:val="00731096"/>
    <w:rsid w:val="0073158B"/>
    <w:rsid w:val="00732F80"/>
    <w:rsid w:val="007333CC"/>
    <w:rsid w:val="0073399A"/>
    <w:rsid w:val="007358C6"/>
    <w:rsid w:val="0073768E"/>
    <w:rsid w:val="00740BFC"/>
    <w:rsid w:val="007411ED"/>
    <w:rsid w:val="00746159"/>
    <w:rsid w:val="00746F7C"/>
    <w:rsid w:val="00756E7B"/>
    <w:rsid w:val="00757FB7"/>
    <w:rsid w:val="007603F5"/>
    <w:rsid w:val="00764DB0"/>
    <w:rsid w:val="0076764D"/>
    <w:rsid w:val="007723AC"/>
    <w:rsid w:val="0077498C"/>
    <w:rsid w:val="00774B16"/>
    <w:rsid w:val="00776DF2"/>
    <w:rsid w:val="00777C53"/>
    <w:rsid w:val="007809BC"/>
    <w:rsid w:val="00781453"/>
    <w:rsid w:val="00784128"/>
    <w:rsid w:val="00787BCC"/>
    <w:rsid w:val="00793173"/>
    <w:rsid w:val="007A2A33"/>
    <w:rsid w:val="007A5713"/>
    <w:rsid w:val="007A7435"/>
    <w:rsid w:val="007B0809"/>
    <w:rsid w:val="007B1163"/>
    <w:rsid w:val="007B1B21"/>
    <w:rsid w:val="007B5C89"/>
    <w:rsid w:val="007C1FCC"/>
    <w:rsid w:val="007C6201"/>
    <w:rsid w:val="007D0192"/>
    <w:rsid w:val="007D59CD"/>
    <w:rsid w:val="007D7C92"/>
    <w:rsid w:val="007E1154"/>
    <w:rsid w:val="007E6BA4"/>
    <w:rsid w:val="007F12AB"/>
    <w:rsid w:val="007F1C6D"/>
    <w:rsid w:val="007F256C"/>
    <w:rsid w:val="007F41F8"/>
    <w:rsid w:val="007F4755"/>
    <w:rsid w:val="007F659B"/>
    <w:rsid w:val="0080289E"/>
    <w:rsid w:val="0080454E"/>
    <w:rsid w:val="00804C32"/>
    <w:rsid w:val="00805305"/>
    <w:rsid w:val="00806302"/>
    <w:rsid w:val="008065CB"/>
    <w:rsid w:val="00807119"/>
    <w:rsid w:val="0080736B"/>
    <w:rsid w:val="00811BE9"/>
    <w:rsid w:val="0081505A"/>
    <w:rsid w:val="0082319C"/>
    <w:rsid w:val="008242C9"/>
    <w:rsid w:val="0082483F"/>
    <w:rsid w:val="008279C0"/>
    <w:rsid w:val="00834F92"/>
    <w:rsid w:val="00836E94"/>
    <w:rsid w:val="0084372A"/>
    <w:rsid w:val="00845062"/>
    <w:rsid w:val="0085461D"/>
    <w:rsid w:val="008565BA"/>
    <w:rsid w:val="00863F00"/>
    <w:rsid w:val="008723B5"/>
    <w:rsid w:val="008723F3"/>
    <w:rsid w:val="0087575C"/>
    <w:rsid w:val="00881DE6"/>
    <w:rsid w:val="008837A6"/>
    <w:rsid w:val="008910BD"/>
    <w:rsid w:val="0089145D"/>
    <w:rsid w:val="00891AB5"/>
    <w:rsid w:val="00895EF1"/>
    <w:rsid w:val="008A0EAA"/>
    <w:rsid w:val="008A164F"/>
    <w:rsid w:val="008A4DF2"/>
    <w:rsid w:val="008A6CFE"/>
    <w:rsid w:val="008A771D"/>
    <w:rsid w:val="008B5333"/>
    <w:rsid w:val="008B6223"/>
    <w:rsid w:val="008C2FB7"/>
    <w:rsid w:val="008C43CD"/>
    <w:rsid w:val="008C66E0"/>
    <w:rsid w:val="008D3A6A"/>
    <w:rsid w:val="008E0504"/>
    <w:rsid w:val="008E0D2F"/>
    <w:rsid w:val="008E3339"/>
    <w:rsid w:val="008E5642"/>
    <w:rsid w:val="008E5A6E"/>
    <w:rsid w:val="008F20FC"/>
    <w:rsid w:val="008F3410"/>
    <w:rsid w:val="008F5FFE"/>
    <w:rsid w:val="00901207"/>
    <w:rsid w:val="00902FA7"/>
    <w:rsid w:val="00902FF5"/>
    <w:rsid w:val="00903E89"/>
    <w:rsid w:val="00905A43"/>
    <w:rsid w:val="00905E23"/>
    <w:rsid w:val="00912C79"/>
    <w:rsid w:val="00917227"/>
    <w:rsid w:val="00921B8C"/>
    <w:rsid w:val="0092565E"/>
    <w:rsid w:val="009258F3"/>
    <w:rsid w:val="00925D51"/>
    <w:rsid w:val="00930B26"/>
    <w:rsid w:val="00931627"/>
    <w:rsid w:val="009320BB"/>
    <w:rsid w:val="00932844"/>
    <w:rsid w:val="0093467C"/>
    <w:rsid w:val="00935694"/>
    <w:rsid w:val="00942123"/>
    <w:rsid w:val="0095098D"/>
    <w:rsid w:val="0095207B"/>
    <w:rsid w:val="00952DAD"/>
    <w:rsid w:val="00956E33"/>
    <w:rsid w:val="00962045"/>
    <w:rsid w:val="0097640E"/>
    <w:rsid w:val="00980E61"/>
    <w:rsid w:val="009843A2"/>
    <w:rsid w:val="00991428"/>
    <w:rsid w:val="00992676"/>
    <w:rsid w:val="00992913"/>
    <w:rsid w:val="009954B2"/>
    <w:rsid w:val="00996691"/>
    <w:rsid w:val="0099716D"/>
    <w:rsid w:val="009B0723"/>
    <w:rsid w:val="009B07AD"/>
    <w:rsid w:val="009B0883"/>
    <w:rsid w:val="009B12B9"/>
    <w:rsid w:val="009B15E2"/>
    <w:rsid w:val="009B4630"/>
    <w:rsid w:val="009B4976"/>
    <w:rsid w:val="009C0B8E"/>
    <w:rsid w:val="009C1BC8"/>
    <w:rsid w:val="009C1DDA"/>
    <w:rsid w:val="009C2442"/>
    <w:rsid w:val="009C392F"/>
    <w:rsid w:val="009C5BE1"/>
    <w:rsid w:val="009D0811"/>
    <w:rsid w:val="009D0EE1"/>
    <w:rsid w:val="009D69C6"/>
    <w:rsid w:val="009D7783"/>
    <w:rsid w:val="009E24B3"/>
    <w:rsid w:val="009E2AEB"/>
    <w:rsid w:val="009E2E27"/>
    <w:rsid w:val="009E45DF"/>
    <w:rsid w:val="009E4DE3"/>
    <w:rsid w:val="009E5B3C"/>
    <w:rsid w:val="009E5DC7"/>
    <w:rsid w:val="009F275E"/>
    <w:rsid w:val="009F6545"/>
    <w:rsid w:val="009F76BD"/>
    <w:rsid w:val="00A00104"/>
    <w:rsid w:val="00A004FD"/>
    <w:rsid w:val="00A024E7"/>
    <w:rsid w:val="00A03A60"/>
    <w:rsid w:val="00A044D3"/>
    <w:rsid w:val="00A047EE"/>
    <w:rsid w:val="00A2166E"/>
    <w:rsid w:val="00A2274A"/>
    <w:rsid w:val="00A2282C"/>
    <w:rsid w:val="00A235B7"/>
    <w:rsid w:val="00A253CF"/>
    <w:rsid w:val="00A27A7A"/>
    <w:rsid w:val="00A3165E"/>
    <w:rsid w:val="00A33D51"/>
    <w:rsid w:val="00A34ABE"/>
    <w:rsid w:val="00A36659"/>
    <w:rsid w:val="00A407EF"/>
    <w:rsid w:val="00A4123C"/>
    <w:rsid w:val="00A42399"/>
    <w:rsid w:val="00A4540A"/>
    <w:rsid w:val="00A4587B"/>
    <w:rsid w:val="00A46B4C"/>
    <w:rsid w:val="00A5117B"/>
    <w:rsid w:val="00A51190"/>
    <w:rsid w:val="00A53542"/>
    <w:rsid w:val="00A535C8"/>
    <w:rsid w:val="00A56D34"/>
    <w:rsid w:val="00A60074"/>
    <w:rsid w:val="00A61565"/>
    <w:rsid w:val="00A631D0"/>
    <w:rsid w:val="00A63664"/>
    <w:rsid w:val="00A64089"/>
    <w:rsid w:val="00A6627C"/>
    <w:rsid w:val="00A668BF"/>
    <w:rsid w:val="00A70608"/>
    <w:rsid w:val="00A71019"/>
    <w:rsid w:val="00A7190D"/>
    <w:rsid w:val="00A761EC"/>
    <w:rsid w:val="00A76C09"/>
    <w:rsid w:val="00A81029"/>
    <w:rsid w:val="00A94B43"/>
    <w:rsid w:val="00A94F58"/>
    <w:rsid w:val="00A95463"/>
    <w:rsid w:val="00A96489"/>
    <w:rsid w:val="00AA15B1"/>
    <w:rsid w:val="00AA7BE3"/>
    <w:rsid w:val="00AB1B65"/>
    <w:rsid w:val="00AB2425"/>
    <w:rsid w:val="00AB685C"/>
    <w:rsid w:val="00AB6C2D"/>
    <w:rsid w:val="00AC08F7"/>
    <w:rsid w:val="00AC14AB"/>
    <w:rsid w:val="00AC1FC9"/>
    <w:rsid w:val="00AC3839"/>
    <w:rsid w:val="00AC7082"/>
    <w:rsid w:val="00AD3650"/>
    <w:rsid w:val="00AD45A2"/>
    <w:rsid w:val="00AD4BE8"/>
    <w:rsid w:val="00AD644B"/>
    <w:rsid w:val="00AE441F"/>
    <w:rsid w:val="00AE779F"/>
    <w:rsid w:val="00AE7861"/>
    <w:rsid w:val="00AF228E"/>
    <w:rsid w:val="00AF2B74"/>
    <w:rsid w:val="00AF42E1"/>
    <w:rsid w:val="00AF58BD"/>
    <w:rsid w:val="00AF6C66"/>
    <w:rsid w:val="00B016A8"/>
    <w:rsid w:val="00B03E64"/>
    <w:rsid w:val="00B05654"/>
    <w:rsid w:val="00B10961"/>
    <w:rsid w:val="00B11320"/>
    <w:rsid w:val="00B14819"/>
    <w:rsid w:val="00B15E2F"/>
    <w:rsid w:val="00B1781E"/>
    <w:rsid w:val="00B17AA9"/>
    <w:rsid w:val="00B24E25"/>
    <w:rsid w:val="00B27E6E"/>
    <w:rsid w:val="00B41100"/>
    <w:rsid w:val="00B44713"/>
    <w:rsid w:val="00B471BE"/>
    <w:rsid w:val="00B56103"/>
    <w:rsid w:val="00B57B6A"/>
    <w:rsid w:val="00B64929"/>
    <w:rsid w:val="00B72618"/>
    <w:rsid w:val="00B736DF"/>
    <w:rsid w:val="00B74138"/>
    <w:rsid w:val="00B743D6"/>
    <w:rsid w:val="00B74FBD"/>
    <w:rsid w:val="00B75E51"/>
    <w:rsid w:val="00B775DD"/>
    <w:rsid w:val="00B777EF"/>
    <w:rsid w:val="00B77F46"/>
    <w:rsid w:val="00B82586"/>
    <w:rsid w:val="00B829A3"/>
    <w:rsid w:val="00B82A0B"/>
    <w:rsid w:val="00B86DB1"/>
    <w:rsid w:val="00B87869"/>
    <w:rsid w:val="00B9639B"/>
    <w:rsid w:val="00B96EAE"/>
    <w:rsid w:val="00BB0F2B"/>
    <w:rsid w:val="00BB2A9A"/>
    <w:rsid w:val="00BB38F9"/>
    <w:rsid w:val="00BC298D"/>
    <w:rsid w:val="00BC2ED9"/>
    <w:rsid w:val="00BD4A58"/>
    <w:rsid w:val="00BD4BAB"/>
    <w:rsid w:val="00BD7337"/>
    <w:rsid w:val="00BE2881"/>
    <w:rsid w:val="00BE4FF3"/>
    <w:rsid w:val="00BF50F7"/>
    <w:rsid w:val="00C02F29"/>
    <w:rsid w:val="00C050B1"/>
    <w:rsid w:val="00C05A98"/>
    <w:rsid w:val="00C12F88"/>
    <w:rsid w:val="00C1590D"/>
    <w:rsid w:val="00C20AFE"/>
    <w:rsid w:val="00C22A25"/>
    <w:rsid w:val="00C2613E"/>
    <w:rsid w:val="00C264D9"/>
    <w:rsid w:val="00C35671"/>
    <w:rsid w:val="00C35B77"/>
    <w:rsid w:val="00C362AA"/>
    <w:rsid w:val="00C37605"/>
    <w:rsid w:val="00C376EB"/>
    <w:rsid w:val="00C46A92"/>
    <w:rsid w:val="00C46EC1"/>
    <w:rsid w:val="00C52217"/>
    <w:rsid w:val="00C52796"/>
    <w:rsid w:val="00C53B2A"/>
    <w:rsid w:val="00C53E2C"/>
    <w:rsid w:val="00C54E19"/>
    <w:rsid w:val="00C550C8"/>
    <w:rsid w:val="00C56B61"/>
    <w:rsid w:val="00C606C3"/>
    <w:rsid w:val="00C620F4"/>
    <w:rsid w:val="00C6240C"/>
    <w:rsid w:val="00C651D6"/>
    <w:rsid w:val="00C72848"/>
    <w:rsid w:val="00C7736C"/>
    <w:rsid w:val="00C82D2A"/>
    <w:rsid w:val="00C82D87"/>
    <w:rsid w:val="00C84D24"/>
    <w:rsid w:val="00C86C63"/>
    <w:rsid w:val="00C86F15"/>
    <w:rsid w:val="00C8712A"/>
    <w:rsid w:val="00C87E0A"/>
    <w:rsid w:val="00C902C8"/>
    <w:rsid w:val="00C919D1"/>
    <w:rsid w:val="00C94589"/>
    <w:rsid w:val="00C94ED4"/>
    <w:rsid w:val="00C963D3"/>
    <w:rsid w:val="00CA164B"/>
    <w:rsid w:val="00CB1654"/>
    <w:rsid w:val="00CB1983"/>
    <w:rsid w:val="00CB2B7B"/>
    <w:rsid w:val="00CB2CBB"/>
    <w:rsid w:val="00CB6578"/>
    <w:rsid w:val="00CB7CAC"/>
    <w:rsid w:val="00CC175B"/>
    <w:rsid w:val="00CC4818"/>
    <w:rsid w:val="00CC5335"/>
    <w:rsid w:val="00CC5938"/>
    <w:rsid w:val="00CC5BA4"/>
    <w:rsid w:val="00CC791E"/>
    <w:rsid w:val="00CD00A4"/>
    <w:rsid w:val="00CD14B4"/>
    <w:rsid w:val="00CD3685"/>
    <w:rsid w:val="00CD4998"/>
    <w:rsid w:val="00CD6B90"/>
    <w:rsid w:val="00CE1035"/>
    <w:rsid w:val="00CE5D1D"/>
    <w:rsid w:val="00CE6E50"/>
    <w:rsid w:val="00CF2819"/>
    <w:rsid w:val="00CF4F9D"/>
    <w:rsid w:val="00CF5C19"/>
    <w:rsid w:val="00CF6D07"/>
    <w:rsid w:val="00CF70DC"/>
    <w:rsid w:val="00D041E0"/>
    <w:rsid w:val="00D07A41"/>
    <w:rsid w:val="00D14336"/>
    <w:rsid w:val="00D148DC"/>
    <w:rsid w:val="00D16CC1"/>
    <w:rsid w:val="00D17FDC"/>
    <w:rsid w:val="00D21021"/>
    <w:rsid w:val="00D21D8C"/>
    <w:rsid w:val="00D27210"/>
    <w:rsid w:val="00D305DE"/>
    <w:rsid w:val="00D3077A"/>
    <w:rsid w:val="00D316F2"/>
    <w:rsid w:val="00D43D1E"/>
    <w:rsid w:val="00D4577C"/>
    <w:rsid w:val="00D50613"/>
    <w:rsid w:val="00D52FC8"/>
    <w:rsid w:val="00D53719"/>
    <w:rsid w:val="00D60335"/>
    <w:rsid w:val="00D60B57"/>
    <w:rsid w:val="00D63EFD"/>
    <w:rsid w:val="00D70B85"/>
    <w:rsid w:val="00D7100B"/>
    <w:rsid w:val="00D81B59"/>
    <w:rsid w:val="00D84752"/>
    <w:rsid w:val="00D86B3B"/>
    <w:rsid w:val="00D8748A"/>
    <w:rsid w:val="00D92374"/>
    <w:rsid w:val="00D93196"/>
    <w:rsid w:val="00D95465"/>
    <w:rsid w:val="00D957C8"/>
    <w:rsid w:val="00D95E9D"/>
    <w:rsid w:val="00D975EE"/>
    <w:rsid w:val="00DA0DC0"/>
    <w:rsid w:val="00DA1D45"/>
    <w:rsid w:val="00DA345B"/>
    <w:rsid w:val="00DB1CC1"/>
    <w:rsid w:val="00DB243C"/>
    <w:rsid w:val="00DB482A"/>
    <w:rsid w:val="00DB50FB"/>
    <w:rsid w:val="00DB56F2"/>
    <w:rsid w:val="00DB6EF5"/>
    <w:rsid w:val="00DB7858"/>
    <w:rsid w:val="00DC1910"/>
    <w:rsid w:val="00DC269C"/>
    <w:rsid w:val="00DC3089"/>
    <w:rsid w:val="00DC359F"/>
    <w:rsid w:val="00DC39D5"/>
    <w:rsid w:val="00DC4420"/>
    <w:rsid w:val="00DC6A69"/>
    <w:rsid w:val="00DD0802"/>
    <w:rsid w:val="00DD1968"/>
    <w:rsid w:val="00DD2E11"/>
    <w:rsid w:val="00DD7DDF"/>
    <w:rsid w:val="00DE03AF"/>
    <w:rsid w:val="00DE121C"/>
    <w:rsid w:val="00DE5357"/>
    <w:rsid w:val="00DE6633"/>
    <w:rsid w:val="00DF158F"/>
    <w:rsid w:val="00DF36FE"/>
    <w:rsid w:val="00DF4872"/>
    <w:rsid w:val="00DF75F8"/>
    <w:rsid w:val="00DF7A3A"/>
    <w:rsid w:val="00E00C00"/>
    <w:rsid w:val="00E02FB0"/>
    <w:rsid w:val="00E045F1"/>
    <w:rsid w:val="00E05B35"/>
    <w:rsid w:val="00E07C5A"/>
    <w:rsid w:val="00E12EC4"/>
    <w:rsid w:val="00E141ED"/>
    <w:rsid w:val="00E15B82"/>
    <w:rsid w:val="00E15BA9"/>
    <w:rsid w:val="00E207F0"/>
    <w:rsid w:val="00E261E1"/>
    <w:rsid w:val="00E26E10"/>
    <w:rsid w:val="00E26E19"/>
    <w:rsid w:val="00E30E60"/>
    <w:rsid w:val="00E31DF3"/>
    <w:rsid w:val="00E32720"/>
    <w:rsid w:val="00E33503"/>
    <w:rsid w:val="00E33888"/>
    <w:rsid w:val="00E35994"/>
    <w:rsid w:val="00E450A4"/>
    <w:rsid w:val="00E46576"/>
    <w:rsid w:val="00E506BE"/>
    <w:rsid w:val="00E52E12"/>
    <w:rsid w:val="00E55547"/>
    <w:rsid w:val="00E6302B"/>
    <w:rsid w:val="00E6452F"/>
    <w:rsid w:val="00E64F45"/>
    <w:rsid w:val="00E6742D"/>
    <w:rsid w:val="00E71CB0"/>
    <w:rsid w:val="00E7385E"/>
    <w:rsid w:val="00E77C3D"/>
    <w:rsid w:val="00E874DC"/>
    <w:rsid w:val="00E9028C"/>
    <w:rsid w:val="00E90991"/>
    <w:rsid w:val="00E909F0"/>
    <w:rsid w:val="00E90C08"/>
    <w:rsid w:val="00E90D47"/>
    <w:rsid w:val="00E93993"/>
    <w:rsid w:val="00E9597C"/>
    <w:rsid w:val="00E96E6B"/>
    <w:rsid w:val="00E97CB2"/>
    <w:rsid w:val="00EA0913"/>
    <w:rsid w:val="00EA35C6"/>
    <w:rsid w:val="00EA5B00"/>
    <w:rsid w:val="00EB11EC"/>
    <w:rsid w:val="00EB146B"/>
    <w:rsid w:val="00EB45AC"/>
    <w:rsid w:val="00EB4CCD"/>
    <w:rsid w:val="00EC441F"/>
    <w:rsid w:val="00EC4755"/>
    <w:rsid w:val="00EC4B8D"/>
    <w:rsid w:val="00EC5805"/>
    <w:rsid w:val="00ED0BC4"/>
    <w:rsid w:val="00ED1E22"/>
    <w:rsid w:val="00ED447D"/>
    <w:rsid w:val="00ED5360"/>
    <w:rsid w:val="00ED738F"/>
    <w:rsid w:val="00ED74BC"/>
    <w:rsid w:val="00EE4971"/>
    <w:rsid w:val="00EF090E"/>
    <w:rsid w:val="00EF134C"/>
    <w:rsid w:val="00EF5572"/>
    <w:rsid w:val="00F02EAC"/>
    <w:rsid w:val="00F033DA"/>
    <w:rsid w:val="00F07AF6"/>
    <w:rsid w:val="00F130B8"/>
    <w:rsid w:val="00F13691"/>
    <w:rsid w:val="00F13FB1"/>
    <w:rsid w:val="00F14147"/>
    <w:rsid w:val="00F27CD8"/>
    <w:rsid w:val="00F30351"/>
    <w:rsid w:val="00F3323E"/>
    <w:rsid w:val="00F341F4"/>
    <w:rsid w:val="00F34F9D"/>
    <w:rsid w:val="00F35CCE"/>
    <w:rsid w:val="00F44641"/>
    <w:rsid w:val="00F4494A"/>
    <w:rsid w:val="00F5524B"/>
    <w:rsid w:val="00F60538"/>
    <w:rsid w:val="00F61DD2"/>
    <w:rsid w:val="00F64A77"/>
    <w:rsid w:val="00F6629C"/>
    <w:rsid w:val="00F66AFF"/>
    <w:rsid w:val="00F71433"/>
    <w:rsid w:val="00F72CA7"/>
    <w:rsid w:val="00F767A3"/>
    <w:rsid w:val="00F811EF"/>
    <w:rsid w:val="00F90096"/>
    <w:rsid w:val="00F92140"/>
    <w:rsid w:val="00F9659C"/>
    <w:rsid w:val="00F97C5B"/>
    <w:rsid w:val="00FA01B8"/>
    <w:rsid w:val="00FA2F4D"/>
    <w:rsid w:val="00FA3D50"/>
    <w:rsid w:val="00FA65EF"/>
    <w:rsid w:val="00FB7FBD"/>
    <w:rsid w:val="00FC270A"/>
    <w:rsid w:val="00FC374A"/>
    <w:rsid w:val="00FC43EC"/>
    <w:rsid w:val="00FC5900"/>
    <w:rsid w:val="00FC7AC7"/>
    <w:rsid w:val="00FC7B47"/>
    <w:rsid w:val="00FD035C"/>
    <w:rsid w:val="00FD1A35"/>
    <w:rsid w:val="00FD2EA4"/>
    <w:rsid w:val="00FD36C5"/>
    <w:rsid w:val="00FD5A93"/>
    <w:rsid w:val="00FD6310"/>
    <w:rsid w:val="00FD7C7B"/>
    <w:rsid w:val="00FE1D12"/>
    <w:rsid w:val="00FE2122"/>
    <w:rsid w:val="00FE2A86"/>
    <w:rsid w:val="00FE2DE2"/>
    <w:rsid w:val="00FE45A4"/>
    <w:rsid w:val="00FE5DB8"/>
    <w:rsid w:val="00FF296F"/>
    <w:rsid w:val="00FF3A18"/>
    <w:rsid w:val="00FF5CE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6D5B4C"/>
    <w:rPr>
      <w:color w:val="605E5C"/>
      <w:shd w:val="clear" w:color="auto" w:fill="E1DFDD"/>
    </w:rPr>
  </w:style>
  <w:style w:type="character" w:customStyle="1" w:styleId="num">
    <w:name w:val="num"/>
    <w:basedOn w:val="DefaultParagraphFont"/>
    <w:rsid w:val="0093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03729969">
      <w:bodyDiv w:val="1"/>
      <w:marLeft w:val="0"/>
      <w:marRight w:val="0"/>
      <w:marTop w:val="0"/>
      <w:marBottom w:val="0"/>
      <w:divBdr>
        <w:top w:val="none" w:sz="0" w:space="0" w:color="auto"/>
        <w:left w:val="none" w:sz="0" w:space="0" w:color="auto"/>
        <w:bottom w:val="none" w:sz="0" w:space="0" w:color="auto"/>
        <w:right w:val="none" w:sz="0" w:space="0" w:color="auto"/>
      </w:divBdr>
      <w:divsChild>
        <w:div w:id="673848481">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rtonrosefulbright.com/en/knowledge/publications/1496f7a8/key-chapter-15" TargetMode="External"/><Relationship Id="rId3" Type="http://schemas.openxmlformats.org/officeDocument/2006/relationships/hyperlink" Target="https://www.nortonrosefulbright.com/en-us/knowledge/publications/ae70969d/chapter-15-pursuing-avoidance-actions-under-nonbankruptcy-law" TargetMode="External"/><Relationship Id="rId7" Type="http://schemas.openxmlformats.org/officeDocument/2006/relationships/hyperlink" Target="https://www.pbwt.com/bankruptcy-update-blog/chapter-15-us-court-respects-uk-scheme-of-arrangement-third-party-releases-enforced" TargetMode="External"/><Relationship Id="rId2" Type="http://schemas.openxmlformats.org/officeDocument/2006/relationships/hyperlink" Target="https://www.law.cornell.edu/supct/html/10-179.ZS.html" TargetMode="External"/><Relationship Id="rId1" Type="http://schemas.openxmlformats.org/officeDocument/2006/relationships/hyperlink" Target="https://www.lawyers.com/legal-info/bankruptcy/commercial-bankruptcy/impaired-creditors-and-your-chapter-11-plan.html" TargetMode="External"/><Relationship Id="rId6" Type="http://schemas.openxmlformats.org/officeDocument/2006/relationships/hyperlink" Target="https://www.whitecase.com/publications/alert/us-chapter-15-recognition-indonesian-reorganization-plan" TargetMode="External"/><Relationship Id="rId11" Type="http://schemas.openxmlformats.org/officeDocument/2006/relationships/hyperlink" Target="https://restructuring.bakermckenzie.com/wp-content/uploads/sites/23/2020/04/Road-Map-for-Potential-Buyers-of-Section-363-Bankruptcy-Sales.pdf" TargetMode="External"/><Relationship Id="rId5" Type="http://schemas.openxmlformats.org/officeDocument/2006/relationships/hyperlink" Target="https://www.nortonrosefulbright.com/en/knowledge/publications/87824a8c/review-of-jurisdictional-issues" TargetMode="External"/><Relationship Id="rId10" Type="http://schemas.openxmlformats.org/officeDocument/2006/relationships/hyperlink" Target="https://www.mgwl.com/blog/what-commercial-landlords-need-to-know-if-a-tenant-may-file-a-chapter-11-bankruptcy/" TargetMode="External"/><Relationship Id="rId4" Type="http://schemas.openxmlformats.org/officeDocument/2006/relationships/hyperlink" Target="https://www.jonesday.com/en/insights/2007/10/delaware-supreme-court-limits-scope-of-zone-of-insolvency-fiduciary-duties" TargetMode="External"/><Relationship Id="rId9" Type="http://schemas.openxmlformats.org/officeDocument/2006/relationships/hyperlink" Target="https://www.lockelord.com/newsandevents/publications/2020/03/the-use-of-chapter-11-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9534</TotalTime>
  <Pages>15</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Pierson</cp:lastModifiedBy>
  <cp:revision>432</cp:revision>
  <cp:lastPrinted>2019-08-27T05:42:00Z</cp:lastPrinted>
  <dcterms:created xsi:type="dcterms:W3CDTF">2021-08-17T15:55:00Z</dcterms:created>
  <dcterms:modified xsi:type="dcterms:W3CDTF">2022-07-31T20:29:00Z</dcterms:modified>
</cp:coreProperties>
</file>