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664F" w14:textId="75570BB2" w:rsidR="004B23A2" w:rsidRDefault="001600E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78BC325" wp14:editId="67CA0DF9">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2BBBE0DB" w14:textId="77777777" w:rsidR="004B23A2" w:rsidRDefault="004B23A2" w:rsidP="00592F82">
      <w:pPr>
        <w:jc w:val="center"/>
        <w:rPr>
          <w:rFonts w:ascii="Arial" w:hAnsi="Arial" w:cs="Arial"/>
          <w:b/>
          <w:sz w:val="22"/>
          <w:szCs w:val="22"/>
          <w:lang w:val="en-GB"/>
        </w:rPr>
      </w:pPr>
    </w:p>
    <w:p w14:paraId="61AE0AA6" w14:textId="77777777" w:rsidR="00397D3A" w:rsidRDefault="00397D3A" w:rsidP="00592F82">
      <w:pPr>
        <w:jc w:val="center"/>
        <w:rPr>
          <w:rFonts w:ascii="Arial" w:hAnsi="Arial" w:cs="Arial"/>
          <w:b/>
          <w:sz w:val="22"/>
          <w:szCs w:val="22"/>
          <w:lang w:val="en-GB"/>
        </w:rPr>
      </w:pPr>
    </w:p>
    <w:p w14:paraId="6CDB5B04" w14:textId="77777777" w:rsidR="00437297" w:rsidRDefault="00437297" w:rsidP="00592F82">
      <w:pPr>
        <w:jc w:val="center"/>
        <w:rPr>
          <w:rFonts w:ascii="Arial" w:hAnsi="Arial" w:cs="Arial"/>
          <w:b/>
          <w:sz w:val="22"/>
          <w:szCs w:val="22"/>
          <w:lang w:val="en-GB"/>
        </w:rPr>
      </w:pPr>
    </w:p>
    <w:p w14:paraId="363FAB0E" w14:textId="77777777" w:rsidR="00437297" w:rsidRDefault="00437297" w:rsidP="00592F82">
      <w:pPr>
        <w:jc w:val="center"/>
        <w:rPr>
          <w:rFonts w:ascii="Arial" w:hAnsi="Arial" w:cs="Arial"/>
          <w:b/>
          <w:sz w:val="22"/>
          <w:szCs w:val="22"/>
          <w:lang w:val="en-GB"/>
        </w:rPr>
      </w:pPr>
    </w:p>
    <w:p w14:paraId="439202A4" w14:textId="77777777" w:rsidR="00397D3A" w:rsidRDefault="00397D3A" w:rsidP="00592F82">
      <w:pPr>
        <w:jc w:val="center"/>
        <w:rPr>
          <w:rFonts w:ascii="Arial" w:hAnsi="Arial" w:cs="Arial"/>
          <w:b/>
          <w:sz w:val="22"/>
          <w:szCs w:val="22"/>
          <w:lang w:val="en-GB"/>
        </w:rPr>
      </w:pPr>
    </w:p>
    <w:p w14:paraId="537C1D27" w14:textId="77777777" w:rsidR="00397D3A" w:rsidRDefault="00397D3A" w:rsidP="00592F82">
      <w:pPr>
        <w:jc w:val="center"/>
        <w:rPr>
          <w:rFonts w:ascii="Arial" w:hAnsi="Arial" w:cs="Arial"/>
          <w:b/>
          <w:sz w:val="22"/>
          <w:szCs w:val="22"/>
          <w:lang w:val="en-GB"/>
        </w:rPr>
      </w:pPr>
    </w:p>
    <w:p w14:paraId="5B773742" w14:textId="77777777" w:rsidR="00E93993" w:rsidRDefault="00E93993" w:rsidP="00592F82">
      <w:pPr>
        <w:jc w:val="center"/>
        <w:rPr>
          <w:rFonts w:ascii="Arial" w:hAnsi="Arial" w:cs="Arial"/>
          <w:b/>
          <w:sz w:val="22"/>
          <w:szCs w:val="22"/>
          <w:lang w:val="en-GB"/>
        </w:rPr>
      </w:pPr>
    </w:p>
    <w:p w14:paraId="078FD3DE" w14:textId="77777777" w:rsidR="00434A8C"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3BFACE9" w14:textId="77777777" w:rsidR="0011473D"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 xml:space="preserve">SUMMATIVE (FORMAL) </w:t>
      </w:r>
      <w:r w:rsidR="009D0811" w:rsidRPr="00F83F59">
        <w:rPr>
          <w:rFonts w:ascii="Arial" w:hAnsi="Arial" w:cs="Arial"/>
          <w:b/>
          <w:color w:val="000000" w:themeColor="text1"/>
          <w:sz w:val="28"/>
          <w:szCs w:val="28"/>
          <w:lang w:val="en-GB"/>
        </w:rPr>
        <w:t xml:space="preserve">ASSESSMENT: MODULE </w:t>
      </w:r>
      <w:r w:rsidR="00FF045E" w:rsidRPr="00F83F59">
        <w:rPr>
          <w:rFonts w:ascii="Arial" w:hAnsi="Arial" w:cs="Arial"/>
          <w:b/>
          <w:color w:val="000000" w:themeColor="text1"/>
          <w:sz w:val="28"/>
          <w:szCs w:val="28"/>
          <w:lang w:val="en-GB"/>
        </w:rPr>
        <w:t>8E</w:t>
      </w:r>
    </w:p>
    <w:p w14:paraId="5B594880" w14:textId="77777777" w:rsidR="002638B0" w:rsidRPr="00F83F59" w:rsidRDefault="002638B0"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0B3F38E2" w14:textId="77777777" w:rsidR="002638B0"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SINGAPORE</w:t>
      </w:r>
    </w:p>
    <w:p w14:paraId="1375FC8A" w14:textId="77777777" w:rsidR="00434A8C" w:rsidRPr="007C6201"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065E3B8" w14:textId="77777777" w:rsidR="009D0811" w:rsidRDefault="009D0811" w:rsidP="00592F82">
      <w:pPr>
        <w:jc w:val="center"/>
        <w:rPr>
          <w:rFonts w:ascii="Arial" w:hAnsi="Arial" w:cs="Arial"/>
          <w:b/>
          <w:sz w:val="22"/>
          <w:szCs w:val="22"/>
          <w:lang w:val="en-GB"/>
        </w:rPr>
      </w:pPr>
    </w:p>
    <w:p w14:paraId="4FDDDC6A" w14:textId="77777777" w:rsidR="00E93993" w:rsidRDefault="00E93993" w:rsidP="00592F82">
      <w:pPr>
        <w:jc w:val="center"/>
        <w:rPr>
          <w:rFonts w:ascii="Arial" w:hAnsi="Arial" w:cs="Arial"/>
          <w:b/>
          <w:sz w:val="22"/>
          <w:szCs w:val="22"/>
          <w:lang w:val="en-GB"/>
        </w:rPr>
      </w:pPr>
    </w:p>
    <w:p w14:paraId="0D5DAECB" w14:textId="77777777" w:rsidR="00397D3A" w:rsidRDefault="00397D3A" w:rsidP="00592F82">
      <w:pPr>
        <w:jc w:val="center"/>
        <w:rPr>
          <w:rFonts w:ascii="Arial" w:hAnsi="Arial" w:cs="Arial"/>
          <w:b/>
          <w:sz w:val="22"/>
          <w:szCs w:val="22"/>
          <w:lang w:val="en-GB"/>
        </w:rPr>
      </w:pPr>
    </w:p>
    <w:p w14:paraId="5E0764E1" w14:textId="77777777" w:rsidR="00397D3A" w:rsidRDefault="00397D3A" w:rsidP="00592F82">
      <w:pPr>
        <w:jc w:val="center"/>
        <w:rPr>
          <w:rFonts w:ascii="Arial" w:hAnsi="Arial" w:cs="Arial"/>
          <w:b/>
          <w:sz w:val="22"/>
          <w:szCs w:val="22"/>
          <w:lang w:val="en-GB"/>
        </w:rPr>
      </w:pPr>
    </w:p>
    <w:p w14:paraId="5CB60259" w14:textId="77777777" w:rsidR="00437297" w:rsidRDefault="00437297" w:rsidP="00592F82">
      <w:pPr>
        <w:jc w:val="center"/>
        <w:rPr>
          <w:rFonts w:ascii="Arial" w:hAnsi="Arial" w:cs="Arial"/>
          <w:b/>
          <w:sz w:val="22"/>
          <w:szCs w:val="22"/>
          <w:lang w:val="en-GB"/>
        </w:rPr>
      </w:pPr>
    </w:p>
    <w:p w14:paraId="4D84FEC7" w14:textId="77777777" w:rsidR="00397D3A" w:rsidRDefault="00397D3A" w:rsidP="00592F82">
      <w:pPr>
        <w:jc w:val="center"/>
        <w:rPr>
          <w:rFonts w:ascii="Arial" w:hAnsi="Arial" w:cs="Arial"/>
          <w:b/>
          <w:sz w:val="22"/>
          <w:szCs w:val="22"/>
          <w:lang w:val="en-GB"/>
        </w:rPr>
      </w:pPr>
    </w:p>
    <w:p w14:paraId="022EE818" w14:textId="77777777" w:rsidR="00397D3A" w:rsidRDefault="00397D3A" w:rsidP="00592F82">
      <w:pPr>
        <w:jc w:val="center"/>
        <w:rPr>
          <w:rFonts w:ascii="Arial" w:hAnsi="Arial" w:cs="Arial"/>
          <w:b/>
          <w:sz w:val="22"/>
          <w:szCs w:val="22"/>
          <w:lang w:val="en-GB"/>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FF045E">
        <w:rPr>
          <w:rFonts w:ascii="Arial" w:hAnsi="Arial" w:cs="Arial"/>
          <w:b/>
          <w:color w:val="767171" w:themeColor="background2" w:themeShade="80"/>
          <w:sz w:val="22"/>
          <w:szCs w:val="22"/>
          <w:lang w:val="en-GB"/>
        </w:rPr>
        <w:t xml:space="preserve">8E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F83F5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F83F59">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155A9">
        <w:rPr>
          <w:rFonts w:ascii="Arial" w:hAnsi="Arial" w:cs="Arial"/>
          <w:b/>
          <w:color w:val="767171" w:themeColor="background2" w:themeShade="80"/>
          <w:sz w:val="22"/>
          <w:szCs w:val="22"/>
          <w:lang w:val="en-GB"/>
        </w:rPr>
        <w:t>8E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Default="00793173" w:rsidP="007C6201">
      <w:pPr>
        <w:jc w:val="both"/>
        <w:rPr>
          <w:rFonts w:ascii="Arial" w:hAnsi="Arial" w:cs="Arial"/>
          <w:b/>
          <w:sz w:val="22"/>
          <w:szCs w:val="22"/>
          <w:lang w:val="en-GB"/>
        </w:rPr>
      </w:pPr>
    </w:p>
    <w:p w14:paraId="47B1AF40" w14:textId="77777777" w:rsidR="00DB56F2" w:rsidRDefault="00DB56F2" w:rsidP="007C6201">
      <w:pPr>
        <w:jc w:val="both"/>
        <w:rPr>
          <w:rFonts w:ascii="Arial" w:hAnsi="Arial" w:cs="Arial"/>
          <w:b/>
          <w:sz w:val="22"/>
          <w:szCs w:val="22"/>
          <w:lang w:val="en-GB"/>
        </w:rPr>
      </w:pPr>
    </w:p>
    <w:p w14:paraId="069D06DD" w14:textId="77777777" w:rsidR="00397D3A" w:rsidRDefault="00397D3A" w:rsidP="007C6201">
      <w:pPr>
        <w:jc w:val="both"/>
        <w:rPr>
          <w:rFonts w:ascii="Arial" w:hAnsi="Arial" w:cs="Arial"/>
          <w:b/>
          <w:sz w:val="22"/>
          <w:szCs w:val="22"/>
          <w:lang w:val="en-GB"/>
        </w:rPr>
      </w:pPr>
    </w:p>
    <w:p w14:paraId="511D133E" w14:textId="77777777" w:rsidR="00397D3A" w:rsidRDefault="00397D3A" w:rsidP="007C6201">
      <w:pPr>
        <w:jc w:val="both"/>
        <w:rPr>
          <w:rFonts w:ascii="Arial" w:hAnsi="Arial" w:cs="Arial"/>
          <w:b/>
          <w:sz w:val="22"/>
          <w:szCs w:val="22"/>
          <w:lang w:val="en-GB"/>
        </w:rPr>
      </w:pPr>
    </w:p>
    <w:p w14:paraId="63780BE3" w14:textId="77777777" w:rsidR="00397D3A" w:rsidRDefault="00397D3A" w:rsidP="007C6201">
      <w:pPr>
        <w:jc w:val="both"/>
        <w:rPr>
          <w:rFonts w:ascii="Arial" w:hAnsi="Arial" w:cs="Arial"/>
          <w:b/>
          <w:sz w:val="22"/>
          <w:szCs w:val="22"/>
          <w:lang w:val="en-GB"/>
        </w:rPr>
      </w:pPr>
    </w:p>
    <w:p w14:paraId="0F6CDF8E" w14:textId="77777777" w:rsidR="00397D3A" w:rsidRDefault="00397D3A" w:rsidP="007C6201">
      <w:pPr>
        <w:jc w:val="both"/>
        <w:rPr>
          <w:rFonts w:ascii="Arial" w:hAnsi="Arial" w:cs="Arial"/>
          <w:b/>
          <w:sz w:val="22"/>
          <w:szCs w:val="22"/>
          <w:lang w:val="en-GB"/>
        </w:rPr>
      </w:pPr>
    </w:p>
    <w:p w14:paraId="5EC90720" w14:textId="77777777" w:rsidR="00397D3A" w:rsidRDefault="00397D3A" w:rsidP="007C6201">
      <w:pPr>
        <w:jc w:val="both"/>
        <w:rPr>
          <w:rFonts w:ascii="Arial" w:hAnsi="Arial" w:cs="Arial"/>
          <w:b/>
          <w:sz w:val="22"/>
          <w:szCs w:val="22"/>
          <w:lang w:val="en-GB"/>
        </w:rPr>
      </w:pPr>
    </w:p>
    <w:p w14:paraId="61234DD6" w14:textId="77777777" w:rsidR="00397D3A" w:rsidRDefault="00397D3A" w:rsidP="007C6201">
      <w:pPr>
        <w:jc w:val="both"/>
        <w:rPr>
          <w:rFonts w:ascii="Arial" w:hAnsi="Arial" w:cs="Arial"/>
          <w:b/>
          <w:sz w:val="22"/>
          <w:szCs w:val="22"/>
          <w:lang w:val="en-GB"/>
        </w:rPr>
      </w:pPr>
    </w:p>
    <w:p w14:paraId="226DE435" w14:textId="77777777" w:rsidR="00397D3A" w:rsidRDefault="00397D3A" w:rsidP="007C6201">
      <w:pPr>
        <w:jc w:val="both"/>
        <w:rPr>
          <w:rFonts w:ascii="Arial" w:hAnsi="Arial" w:cs="Arial"/>
          <w:b/>
          <w:sz w:val="22"/>
          <w:szCs w:val="22"/>
          <w:lang w:val="en-GB"/>
        </w:rPr>
      </w:pPr>
    </w:p>
    <w:p w14:paraId="6CD89A72" w14:textId="77777777" w:rsidR="00A94F39"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4CA9F569" w14:textId="77777777" w:rsidR="005C5B99" w:rsidRDefault="005C5B99" w:rsidP="009D0811">
      <w:pPr>
        <w:jc w:val="center"/>
        <w:rPr>
          <w:rFonts w:ascii="Arial" w:hAnsi="Arial" w:cs="Arial"/>
          <w:b/>
          <w:sz w:val="22"/>
          <w:szCs w:val="22"/>
          <w:u w:val="single"/>
          <w:lang w:val="en-GB"/>
        </w:rPr>
      </w:pPr>
    </w:p>
    <w:p w14:paraId="2F38897F" w14:textId="77777777" w:rsidR="005C5B99" w:rsidRDefault="005C5B99" w:rsidP="009D0811">
      <w:pPr>
        <w:jc w:val="center"/>
        <w:rPr>
          <w:rFonts w:ascii="Arial" w:hAnsi="Arial" w:cs="Arial"/>
          <w:b/>
          <w:sz w:val="22"/>
          <w:szCs w:val="22"/>
          <w:u w:val="single"/>
          <w:lang w:val="en-GB"/>
        </w:rPr>
      </w:pPr>
    </w:p>
    <w:p w14:paraId="26FFAA80" w14:textId="77777777" w:rsidR="005C5B99" w:rsidRDefault="005C5B99" w:rsidP="009D0811">
      <w:pPr>
        <w:jc w:val="center"/>
        <w:rPr>
          <w:rFonts w:ascii="Arial" w:hAnsi="Arial" w:cs="Arial"/>
          <w:b/>
          <w:sz w:val="22"/>
          <w:szCs w:val="22"/>
          <w:u w:val="single"/>
          <w:lang w:val="en-GB"/>
        </w:rPr>
      </w:pPr>
    </w:p>
    <w:p w14:paraId="7626F9ED" w14:textId="77777777" w:rsidR="001600E5" w:rsidRPr="00592F82" w:rsidRDefault="001600E5" w:rsidP="001600E5">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04EFF25" w14:textId="77777777" w:rsidR="001600E5" w:rsidRPr="00592F82" w:rsidRDefault="001600E5" w:rsidP="001600E5">
      <w:pPr>
        <w:jc w:val="both"/>
        <w:rPr>
          <w:rFonts w:ascii="Arial" w:hAnsi="Arial" w:cs="Arial"/>
          <w:sz w:val="22"/>
          <w:szCs w:val="22"/>
          <w:lang w:val="en-GB"/>
        </w:rPr>
      </w:pPr>
    </w:p>
    <w:p w14:paraId="019F06A3" w14:textId="77777777" w:rsidR="001600E5" w:rsidRDefault="001600E5" w:rsidP="001600E5">
      <w:pPr>
        <w:jc w:val="both"/>
        <w:rPr>
          <w:rFonts w:ascii="Arial" w:hAnsi="Arial" w:cs="Arial"/>
          <w:b/>
          <w:sz w:val="22"/>
          <w:szCs w:val="22"/>
          <w:lang w:val="en-GB"/>
        </w:rPr>
      </w:pPr>
    </w:p>
    <w:p w14:paraId="4CCE46AC" w14:textId="77777777" w:rsidR="001600E5" w:rsidRPr="001E23FD" w:rsidRDefault="001600E5" w:rsidP="001600E5">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07A1BD0" w14:textId="77777777" w:rsidR="001600E5" w:rsidRPr="001E23FD" w:rsidRDefault="001600E5" w:rsidP="001600E5">
      <w:pPr>
        <w:jc w:val="both"/>
        <w:rPr>
          <w:rFonts w:ascii="Arial" w:hAnsi="Arial" w:cs="Arial"/>
          <w:b/>
          <w:sz w:val="22"/>
          <w:szCs w:val="22"/>
          <w:lang w:val="en-GB"/>
        </w:rPr>
      </w:pPr>
    </w:p>
    <w:p w14:paraId="0789CC03" w14:textId="77777777" w:rsidR="001600E5" w:rsidRPr="001E23FD" w:rsidRDefault="001600E5" w:rsidP="001600E5">
      <w:pPr>
        <w:jc w:val="both"/>
        <w:rPr>
          <w:rFonts w:ascii="Arial" w:hAnsi="Arial" w:cs="Arial"/>
          <w:sz w:val="22"/>
          <w:szCs w:val="22"/>
          <w:lang w:val="en-GB"/>
        </w:rPr>
      </w:pPr>
    </w:p>
    <w:p w14:paraId="4C645393"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FE708FE" w14:textId="77777777" w:rsidR="001600E5" w:rsidRPr="001E23FD" w:rsidRDefault="001600E5" w:rsidP="001600E5">
      <w:pPr>
        <w:ind w:left="720" w:hanging="720"/>
        <w:jc w:val="both"/>
        <w:rPr>
          <w:rFonts w:ascii="Arial" w:hAnsi="Arial" w:cs="Arial"/>
          <w:sz w:val="22"/>
          <w:szCs w:val="22"/>
          <w:lang w:val="en-GB"/>
        </w:rPr>
      </w:pPr>
    </w:p>
    <w:p w14:paraId="1D50C2E8"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E51EE76" w14:textId="77777777" w:rsidR="001600E5" w:rsidRPr="001E23FD" w:rsidRDefault="001600E5" w:rsidP="001600E5">
      <w:pPr>
        <w:ind w:left="720" w:hanging="720"/>
        <w:jc w:val="both"/>
        <w:rPr>
          <w:rFonts w:ascii="Arial" w:hAnsi="Arial" w:cs="Arial"/>
          <w:sz w:val="22"/>
          <w:szCs w:val="22"/>
          <w:lang w:val="en-GB"/>
        </w:rPr>
      </w:pPr>
    </w:p>
    <w:p w14:paraId="6835F6D6"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94B6500" w14:textId="77777777" w:rsidR="001600E5" w:rsidRPr="001E23FD" w:rsidRDefault="001600E5" w:rsidP="001600E5">
      <w:pPr>
        <w:ind w:left="720" w:hanging="720"/>
        <w:jc w:val="both"/>
        <w:rPr>
          <w:rFonts w:ascii="Arial" w:hAnsi="Arial" w:cs="Arial"/>
          <w:sz w:val="22"/>
          <w:szCs w:val="22"/>
          <w:lang w:val="en-GB"/>
        </w:rPr>
      </w:pPr>
    </w:p>
    <w:p w14:paraId="5C6EBB77" w14:textId="5C67669E"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1F1AB7D9" w14:textId="77777777" w:rsidR="001600E5" w:rsidRPr="001E23FD" w:rsidRDefault="001600E5" w:rsidP="001600E5">
      <w:pPr>
        <w:ind w:left="720" w:hanging="720"/>
        <w:jc w:val="both"/>
        <w:rPr>
          <w:rFonts w:ascii="Arial" w:hAnsi="Arial" w:cs="Arial"/>
          <w:sz w:val="22"/>
          <w:szCs w:val="22"/>
          <w:lang w:val="en-GB"/>
        </w:rPr>
      </w:pPr>
    </w:p>
    <w:p w14:paraId="5F0BBDB9"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07A3D65" w14:textId="77777777" w:rsidR="001600E5" w:rsidRPr="001E23FD" w:rsidRDefault="001600E5" w:rsidP="001600E5">
      <w:pPr>
        <w:ind w:left="720" w:hanging="720"/>
        <w:jc w:val="both"/>
        <w:rPr>
          <w:rFonts w:ascii="Arial" w:hAnsi="Arial" w:cs="Arial"/>
          <w:sz w:val="22"/>
          <w:szCs w:val="22"/>
          <w:lang w:val="en-GB"/>
        </w:rPr>
      </w:pPr>
    </w:p>
    <w:p w14:paraId="4C9227B4"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1E0A0054" w14:textId="77777777" w:rsidR="001600E5" w:rsidRPr="001E23FD" w:rsidRDefault="001600E5" w:rsidP="001600E5">
      <w:pPr>
        <w:ind w:left="720" w:hanging="720"/>
        <w:jc w:val="both"/>
        <w:rPr>
          <w:rFonts w:ascii="Arial" w:hAnsi="Arial" w:cs="Arial"/>
          <w:sz w:val="22"/>
          <w:szCs w:val="22"/>
          <w:lang w:val="en-GB"/>
        </w:rPr>
      </w:pPr>
    </w:p>
    <w:p w14:paraId="00BB6B7D" w14:textId="22C35217" w:rsidR="001600E5" w:rsidRPr="00592F82"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84F62">
        <w:rPr>
          <w:rFonts w:ascii="Arial" w:hAnsi="Arial" w:cs="Arial"/>
          <w:b/>
          <w:bCs/>
          <w:sz w:val="22"/>
          <w:szCs w:val="22"/>
          <w:lang w:val="en-GB"/>
        </w:rPr>
        <w:t>9</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31174D23" w14:textId="77777777" w:rsidR="001600E5" w:rsidRPr="00592F82" w:rsidRDefault="001600E5" w:rsidP="001600E5">
      <w:pPr>
        <w:ind w:left="720" w:hanging="720"/>
        <w:jc w:val="both"/>
        <w:rPr>
          <w:rFonts w:ascii="Arial" w:hAnsi="Arial" w:cs="Arial"/>
          <w:sz w:val="22"/>
          <w:szCs w:val="22"/>
          <w:lang w:val="en-GB"/>
        </w:rPr>
      </w:pPr>
    </w:p>
    <w:p w14:paraId="65F7106E" w14:textId="77777777" w:rsidR="001600E5" w:rsidRPr="00592F82" w:rsidRDefault="001600E5" w:rsidP="001600E5">
      <w:pPr>
        <w:ind w:left="720" w:hanging="720"/>
        <w:jc w:val="both"/>
        <w:rPr>
          <w:rFonts w:ascii="Arial" w:hAnsi="Arial" w:cs="Arial"/>
          <w:sz w:val="22"/>
          <w:szCs w:val="22"/>
          <w:lang w:val="en-GB"/>
        </w:rPr>
      </w:pPr>
    </w:p>
    <w:p w14:paraId="4CD7E8FE" w14:textId="77777777" w:rsidR="00223CAE"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121233B0" w14:textId="77777777" w:rsidR="00F3323E" w:rsidRPr="00B9639B" w:rsidRDefault="0007291B"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lang w:val="en-GB"/>
        </w:rPr>
      </w:pPr>
    </w:p>
    <w:p w14:paraId="7586FE58" w14:textId="77777777" w:rsidR="005D43E0" w:rsidRPr="00B9639B" w:rsidRDefault="0007291B"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56D8726C" w14:textId="77777777" w:rsidR="00F3323E" w:rsidRPr="00B9639B" w:rsidRDefault="00F3323E" w:rsidP="00B9639B">
      <w:pPr>
        <w:ind w:left="720" w:hanging="720"/>
        <w:jc w:val="both"/>
        <w:rPr>
          <w:rFonts w:ascii="Arial" w:hAnsi="Arial" w:cs="Arial"/>
          <w:sz w:val="22"/>
          <w:szCs w:val="22"/>
          <w:lang w:val="en-GB"/>
        </w:rPr>
      </w:pPr>
    </w:p>
    <w:p w14:paraId="48AA8E32" w14:textId="77777777" w:rsidR="005D43E0" w:rsidRPr="00B9639B" w:rsidRDefault="0007291B"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521E02C2" w14:textId="3A30EE7C" w:rsidR="00AF228E"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05D8A760" w:rsidR="00867701" w:rsidRDefault="002B2F9F"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384F62">
        <w:rPr>
          <w:rFonts w:ascii="Arial" w:hAnsi="Arial" w:cs="Arial"/>
          <w:b/>
          <w:bCs/>
          <w:sz w:val="22"/>
          <w:szCs w:val="22"/>
          <w:u w:val="single"/>
          <w:lang w:val="en-GB"/>
        </w:rPr>
        <w:t>is not</w:t>
      </w:r>
      <w:r>
        <w:rPr>
          <w:rFonts w:ascii="Arial" w:hAnsi="Arial" w:cs="Arial"/>
          <w:sz w:val="22"/>
          <w:szCs w:val="22"/>
          <w:lang w:val="en-GB"/>
        </w:rPr>
        <w:t xml:space="preserve"> one of the </w:t>
      </w:r>
      <w:r w:rsidR="00EE030D">
        <w:rPr>
          <w:rFonts w:ascii="Arial" w:hAnsi="Arial" w:cs="Arial"/>
          <w:sz w:val="22"/>
          <w:szCs w:val="22"/>
          <w:lang w:val="en-GB"/>
        </w:rPr>
        <w:t xml:space="preserve">roles of a </w:t>
      </w:r>
      <w:r w:rsidR="005E32B3">
        <w:rPr>
          <w:rFonts w:ascii="Arial" w:hAnsi="Arial" w:cs="Arial"/>
          <w:sz w:val="22"/>
          <w:szCs w:val="22"/>
          <w:lang w:val="en-GB"/>
        </w:rPr>
        <w:t>scheme manager</w:t>
      </w:r>
      <w:r w:rsidR="0007291B" w:rsidRPr="006D2BBF">
        <w:rPr>
          <w:rFonts w:ascii="Arial" w:hAnsi="Arial" w:cs="Arial"/>
          <w:sz w:val="22"/>
          <w:szCs w:val="22"/>
          <w:lang w:val="en-GB"/>
        </w:rPr>
        <w:t>?</w:t>
      </w:r>
    </w:p>
    <w:p w14:paraId="3A2F0DBA" w14:textId="77777777" w:rsidR="00876F56" w:rsidRPr="006D2BBF" w:rsidRDefault="00876F56" w:rsidP="00C55824">
      <w:pPr>
        <w:jc w:val="both"/>
        <w:rPr>
          <w:rFonts w:ascii="Arial" w:hAnsi="Arial" w:cs="Arial"/>
          <w:sz w:val="22"/>
          <w:szCs w:val="22"/>
          <w:lang w:val="en-GB"/>
        </w:rPr>
      </w:pPr>
    </w:p>
    <w:p w14:paraId="3A2E6D04" w14:textId="236A9EDD" w:rsidR="00867701" w:rsidRDefault="00851178"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To </w:t>
      </w:r>
      <w:r w:rsidR="005E32B3" w:rsidRPr="005E32B3">
        <w:rPr>
          <w:rFonts w:ascii="Arial" w:hAnsi="Arial" w:cs="Arial"/>
          <w:sz w:val="22"/>
          <w:szCs w:val="22"/>
          <w:lang w:val="en-GB"/>
        </w:rPr>
        <w:t xml:space="preserve">administer the scheme after it has been approved by the creditors. </w:t>
      </w:r>
    </w:p>
    <w:p w14:paraId="2BE5792A" w14:textId="77777777" w:rsidR="00831582" w:rsidRPr="00831582" w:rsidRDefault="00831582" w:rsidP="00831582">
      <w:pPr>
        <w:jc w:val="both"/>
        <w:rPr>
          <w:rFonts w:ascii="Arial" w:hAnsi="Arial" w:cs="Arial"/>
          <w:sz w:val="22"/>
          <w:szCs w:val="22"/>
          <w:lang w:val="en-GB"/>
        </w:rPr>
      </w:pPr>
    </w:p>
    <w:p w14:paraId="22190121" w14:textId="0313B5CE" w:rsidR="00867701" w:rsidRPr="00B00EB2" w:rsidRDefault="00831582" w:rsidP="00BE65AA">
      <w:pPr>
        <w:pStyle w:val="ListParagraph"/>
        <w:numPr>
          <w:ilvl w:val="0"/>
          <w:numId w:val="4"/>
        </w:numPr>
        <w:ind w:left="426"/>
        <w:jc w:val="both"/>
        <w:rPr>
          <w:rFonts w:ascii="Arial" w:hAnsi="Arial" w:cs="Arial"/>
          <w:sz w:val="22"/>
          <w:szCs w:val="22"/>
          <w:highlight w:val="yellow"/>
          <w:lang w:val="en-GB"/>
        </w:rPr>
      </w:pPr>
      <w:r w:rsidRPr="00B00EB2">
        <w:rPr>
          <w:rFonts w:ascii="Arial" w:hAnsi="Arial" w:cs="Arial"/>
          <w:sz w:val="22"/>
          <w:szCs w:val="22"/>
          <w:highlight w:val="yellow"/>
          <w:lang w:val="en-GB"/>
        </w:rPr>
        <w:t>To</w:t>
      </w:r>
      <w:r w:rsidR="005E32B3" w:rsidRPr="00B00EB2">
        <w:rPr>
          <w:rFonts w:ascii="Arial" w:hAnsi="Arial" w:cs="Arial"/>
          <w:sz w:val="22"/>
          <w:szCs w:val="22"/>
          <w:highlight w:val="yellow"/>
          <w:lang w:val="en-GB"/>
        </w:rPr>
        <w:t xml:space="preserve"> run the business of the </w:t>
      </w:r>
      <w:r w:rsidR="00787521" w:rsidRPr="00B00EB2">
        <w:rPr>
          <w:rFonts w:ascii="Arial" w:hAnsi="Arial" w:cs="Arial"/>
          <w:sz w:val="22"/>
          <w:szCs w:val="22"/>
          <w:highlight w:val="yellow"/>
          <w:lang w:val="en-GB"/>
        </w:rPr>
        <w:t xml:space="preserve">debtor </w:t>
      </w:r>
      <w:r w:rsidR="005E32B3" w:rsidRPr="00B00EB2">
        <w:rPr>
          <w:rFonts w:ascii="Arial" w:hAnsi="Arial" w:cs="Arial"/>
          <w:sz w:val="22"/>
          <w:szCs w:val="22"/>
          <w:highlight w:val="yellow"/>
          <w:lang w:val="en-GB"/>
        </w:rPr>
        <w:t>company.</w:t>
      </w:r>
    </w:p>
    <w:p w14:paraId="5A16C038" w14:textId="77777777" w:rsidR="00831582" w:rsidRPr="00831582" w:rsidRDefault="00831582" w:rsidP="00831582">
      <w:pPr>
        <w:jc w:val="both"/>
        <w:rPr>
          <w:rFonts w:ascii="Arial" w:hAnsi="Arial" w:cs="Arial"/>
          <w:sz w:val="22"/>
          <w:szCs w:val="22"/>
          <w:lang w:val="en-GB"/>
        </w:rPr>
      </w:pPr>
    </w:p>
    <w:p w14:paraId="344D1E30" w14:textId="73A1B683" w:rsidR="00867701" w:rsidRDefault="005E32B3"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To prepare the scheme of arrangement proposal.</w:t>
      </w:r>
    </w:p>
    <w:p w14:paraId="223227E0" w14:textId="77777777" w:rsidR="00831582" w:rsidRPr="00831582" w:rsidRDefault="00831582" w:rsidP="00831582">
      <w:pPr>
        <w:jc w:val="both"/>
        <w:rPr>
          <w:rFonts w:ascii="Arial" w:hAnsi="Arial" w:cs="Arial"/>
          <w:sz w:val="22"/>
          <w:szCs w:val="22"/>
          <w:lang w:val="en-GB"/>
        </w:rPr>
      </w:pPr>
    </w:p>
    <w:p w14:paraId="4CAB62DA" w14:textId="37A132F9" w:rsidR="005B79F4" w:rsidRPr="00851178" w:rsidRDefault="00831582" w:rsidP="00BE65AA">
      <w:pPr>
        <w:pStyle w:val="ListParagraph"/>
        <w:numPr>
          <w:ilvl w:val="0"/>
          <w:numId w:val="4"/>
        </w:numPr>
        <w:ind w:left="426"/>
        <w:jc w:val="both"/>
        <w:rPr>
          <w:rFonts w:ascii="Arial" w:hAnsi="Arial" w:cs="Arial"/>
          <w:sz w:val="22"/>
          <w:szCs w:val="22"/>
        </w:rPr>
      </w:pPr>
      <w:r>
        <w:rPr>
          <w:rFonts w:ascii="Arial" w:hAnsi="Arial" w:cs="Arial"/>
          <w:sz w:val="22"/>
          <w:szCs w:val="22"/>
          <w:lang w:val="en-GB"/>
        </w:rPr>
        <w:t xml:space="preserve">To </w:t>
      </w:r>
      <w:r w:rsidR="005E32B3">
        <w:rPr>
          <w:rFonts w:ascii="Arial" w:hAnsi="Arial" w:cs="Arial"/>
          <w:sz w:val="22"/>
          <w:szCs w:val="22"/>
          <w:lang w:val="en-GB"/>
        </w:rPr>
        <w:t xml:space="preserve">adjudicate on the proofs of debt filed by the creditors. </w:t>
      </w:r>
    </w:p>
    <w:p w14:paraId="580E634B" w14:textId="7F48AA14"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3A53FF01" w:rsidR="00867701" w:rsidRDefault="0007291B" w:rsidP="00C55824">
      <w:pPr>
        <w:jc w:val="both"/>
        <w:rPr>
          <w:rFonts w:ascii="Arial" w:hAnsi="Arial" w:cs="Arial"/>
          <w:sz w:val="22"/>
          <w:szCs w:val="22"/>
          <w:lang w:val="en-GB"/>
        </w:rPr>
      </w:pPr>
      <w:r w:rsidRPr="00EA6F96">
        <w:rPr>
          <w:rFonts w:ascii="Arial" w:hAnsi="Arial" w:cs="Arial"/>
          <w:sz w:val="22"/>
          <w:szCs w:val="22"/>
          <w:lang w:val="en-GB"/>
        </w:rPr>
        <w:t>Wh</w:t>
      </w:r>
      <w:r w:rsidR="00DE0963">
        <w:rPr>
          <w:rFonts w:ascii="Arial" w:hAnsi="Arial" w:cs="Arial"/>
          <w:sz w:val="22"/>
          <w:szCs w:val="22"/>
          <w:lang w:val="en-GB"/>
        </w:rPr>
        <w:t xml:space="preserve">ich of the following forms of security </w:t>
      </w:r>
      <w:r w:rsidR="00DE0963" w:rsidRPr="00384F62">
        <w:rPr>
          <w:rFonts w:ascii="Arial" w:hAnsi="Arial" w:cs="Arial"/>
          <w:b/>
          <w:bCs/>
          <w:sz w:val="22"/>
          <w:szCs w:val="22"/>
          <w:u w:val="single"/>
          <w:lang w:val="en-GB"/>
        </w:rPr>
        <w:t>need not</w:t>
      </w:r>
      <w:r w:rsidR="00DE0963">
        <w:rPr>
          <w:rFonts w:ascii="Arial" w:hAnsi="Arial" w:cs="Arial"/>
          <w:sz w:val="22"/>
          <w:szCs w:val="22"/>
          <w:lang w:val="en-GB"/>
        </w:rPr>
        <w:t xml:space="preserve"> be registered</w:t>
      </w:r>
      <w:r w:rsidR="00C041E8">
        <w:rPr>
          <w:rFonts w:ascii="Arial" w:hAnsi="Arial" w:cs="Arial"/>
          <w:sz w:val="22"/>
          <w:szCs w:val="22"/>
          <w:lang w:val="en-GB"/>
        </w:rPr>
        <w:t>?</w:t>
      </w:r>
    </w:p>
    <w:p w14:paraId="5929AF04" w14:textId="77777777" w:rsidR="00876F56" w:rsidRPr="006D2BBF" w:rsidRDefault="00876F56" w:rsidP="00C55824">
      <w:pPr>
        <w:jc w:val="both"/>
        <w:rPr>
          <w:rFonts w:ascii="Arial" w:hAnsi="Arial" w:cs="Arial"/>
          <w:sz w:val="22"/>
          <w:szCs w:val="22"/>
          <w:lang w:val="en-GB"/>
        </w:rPr>
      </w:pPr>
    </w:p>
    <w:p w14:paraId="2F2C07B8" w14:textId="436A8ED2"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DE0963">
        <w:rPr>
          <w:rFonts w:ascii="Arial" w:hAnsi="Arial" w:cs="Arial"/>
          <w:sz w:val="22"/>
          <w:szCs w:val="22"/>
          <w:lang w:val="en-GB"/>
        </w:rPr>
        <w:t>fixed charge</w:t>
      </w:r>
      <w:r w:rsidR="0007291B" w:rsidRPr="000F0B79">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lang w:val="en-GB"/>
        </w:rPr>
      </w:pPr>
    </w:p>
    <w:p w14:paraId="4730DA76" w14:textId="1C079272"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 xml:space="preserve">A </w:t>
      </w:r>
      <w:r w:rsidR="00DE0963">
        <w:rPr>
          <w:rFonts w:ascii="Arial" w:hAnsi="Arial" w:cs="Arial"/>
          <w:sz w:val="22"/>
          <w:szCs w:val="22"/>
          <w:lang w:val="en-GB"/>
        </w:rPr>
        <w:t>mortgage</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lang w:val="en-GB"/>
        </w:rPr>
      </w:pPr>
    </w:p>
    <w:p w14:paraId="3839B8AF" w14:textId="742F1F1D" w:rsidR="00867701" w:rsidRPr="00630176" w:rsidRDefault="004C294D" w:rsidP="00BE65AA">
      <w:pPr>
        <w:pStyle w:val="ListParagraph"/>
        <w:numPr>
          <w:ilvl w:val="0"/>
          <w:numId w:val="5"/>
        </w:numPr>
        <w:ind w:left="426"/>
        <w:jc w:val="both"/>
        <w:rPr>
          <w:rFonts w:ascii="Arial" w:hAnsi="Arial" w:cs="Arial"/>
          <w:sz w:val="22"/>
          <w:szCs w:val="22"/>
          <w:highlight w:val="yellow"/>
          <w:lang w:val="en-GB"/>
        </w:rPr>
      </w:pPr>
      <w:r w:rsidRPr="00630176">
        <w:rPr>
          <w:rFonts w:ascii="Arial" w:hAnsi="Arial" w:cs="Arial"/>
          <w:sz w:val="22"/>
          <w:szCs w:val="22"/>
          <w:highlight w:val="yellow"/>
          <w:lang w:val="en-GB"/>
        </w:rPr>
        <w:t>A</w:t>
      </w:r>
      <w:r w:rsidR="00C041E8" w:rsidRPr="00630176">
        <w:rPr>
          <w:rFonts w:ascii="Arial" w:hAnsi="Arial" w:cs="Arial"/>
          <w:sz w:val="22"/>
          <w:szCs w:val="22"/>
          <w:highlight w:val="yellow"/>
          <w:lang w:val="en-GB"/>
        </w:rPr>
        <w:t xml:space="preserve"> </w:t>
      </w:r>
      <w:r w:rsidR="00DE0963" w:rsidRPr="00630176">
        <w:rPr>
          <w:rFonts w:ascii="Arial" w:hAnsi="Arial" w:cs="Arial"/>
          <w:sz w:val="22"/>
          <w:szCs w:val="22"/>
          <w:highlight w:val="yellow"/>
          <w:lang w:val="en-GB"/>
        </w:rPr>
        <w:t>pledge</w:t>
      </w:r>
      <w:r w:rsidR="0007291B" w:rsidRPr="00630176">
        <w:rPr>
          <w:rFonts w:ascii="Arial" w:hAnsi="Arial" w:cs="Arial"/>
          <w:sz w:val="22"/>
          <w:szCs w:val="22"/>
          <w:highlight w:val="yellow"/>
          <w:lang w:val="en-GB"/>
        </w:rPr>
        <w:t>.</w:t>
      </w:r>
    </w:p>
    <w:p w14:paraId="63A4F2B8" w14:textId="77777777" w:rsidR="000F0B79" w:rsidRPr="00EA6F96" w:rsidRDefault="000F0B79" w:rsidP="00EA6F96">
      <w:pPr>
        <w:jc w:val="both"/>
        <w:rPr>
          <w:rFonts w:ascii="Arial" w:hAnsi="Arial" w:cs="Arial"/>
          <w:sz w:val="22"/>
          <w:szCs w:val="22"/>
          <w:lang w:val="en-GB"/>
        </w:rPr>
      </w:pPr>
    </w:p>
    <w:p w14:paraId="196EE6EC" w14:textId="67A8A3C8" w:rsidR="00867701" w:rsidRPr="000F0B79" w:rsidRDefault="0007291B"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DE0963">
        <w:rPr>
          <w:rFonts w:ascii="Arial" w:hAnsi="Arial" w:cs="Arial"/>
          <w:sz w:val="22"/>
          <w:szCs w:val="22"/>
          <w:lang w:val="en-GB"/>
        </w:rPr>
        <w:t xml:space="preserve"> floating charge</w:t>
      </w:r>
      <w:r w:rsidRPr="000F0B79">
        <w:rPr>
          <w:rFonts w:ascii="Arial" w:hAnsi="Arial" w:cs="Arial"/>
          <w:sz w:val="22"/>
          <w:szCs w:val="22"/>
          <w:lang w:val="en-GB"/>
        </w:rPr>
        <w:t>.</w:t>
      </w:r>
    </w:p>
    <w:p w14:paraId="4E9D9AF0" w14:textId="3897C107" w:rsidR="005B79F4" w:rsidRDefault="005B79F4" w:rsidP="00C55824">
      <w:pPr>
        <w:ind w:left="66"/>
        <w:jc w:val="both"/>
        <w:rPr>
          <w:rFonts w:ascii="Arial" w:hAnsi="Arial" w:cs="Arial"/>
          <w:iCs/>
          <w:sz w:val="22"/>
          <w:szCs w:val="22"/>
          <w:lang w:val="en-GB"/>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5444FC2B" w:rsidR="00867701" w:rsidRDefault="00FC32B6" w:rsidP="00C55824">
      <w:pPr>
        <w:jc w:val="both"/>
        <w:rPr>
          <w:rFonts w:ascii="Arial" w:hAnsi="Arial" w:cs="Arial"/>
          <w:sz w:val="22"/>
          <w:szCs w:val="22"/>
          <w:lang w:val="en-GB"/>
        </w:rPr>
      </w:pPr>
      <w:r>
        <w:rPr>
          <w:rFonts w:ascii="Arial" w:hAnsi="Arial" w:cs="Arial"/>
          <w:sz w:val="22"/>
          <w:szCs w:val="22"/>
          <w:lang w:val="en-GB"/>
        </w:rPr>
        <w:t>Which of the following factors may enable a foreign debtor to establish a “substantial connection” to Singapore</w:t>
      </w:r>
      <w:r w:rsidR="0007291B" w:rsidRPr="006D2BBF">
        <w:rPr>
          <w:rFonts w:ascii="Arial" w:hAnsi="Arial" w:cs="Arial"/>
          <w:sz w:val="22"/>
          <w:szCs w:val="22"/>
          <w:lang w:val="en-GB"/>
        </w:rPr>
        <w:t>?</w:t>
      </w:r>
    </w:p>
    <w:p w14:paraId="52020FC0" w14:textId="77777777" w:rsidR="00C55824" w:rsidRPr="006D2BBF" w:rsidRDefault="00C55824" w:rsidP="00C55824">
      <w:pPr>
        <w:jc w:val="both"/>
        <w:rPr>
          <w:rFonts w:ascii="Arial" w:hAnsi="Arial" w:cs="Arial"/>
          <w:sz w:val="22"/>
          <w:szCs w:val="22"/>
          <w:lang w:val="en-GB"/>
        </w:rPr>
      </w:pPr>
    </w:p>
    <w:p w14:paraId="7B826637" w14:textId="28543AE7"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lang w:val="en-GB"/>
        </w:rPr>
      </w:pPr>
    </w:p>
    <w:p w14:paraId="54984AE8" w14:textId="4EC9A3D4"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w:t>
      </w:r>
      <w:r w:rsidR="006452E6">
        <w:rPr>
          <w:rFonts w:ascii="Arial" w:hAnsi="Arial" w:cs="Arial"/>
          <w:sz w:val="22"/>
          <w:szCs w:val="22"/>
          <w:lang w:val="en-GB"/>
        </w:rPr>
        <w:t xml:space="preserve">debtor is registered as a foreign company </w:t>
      </w:r>
      <w:r w:rsidR="00FC32B6" w:rsidRPr="00FC32B6">
        <w:rPr>
          <w:rFonts w:ascii="Arial" w:hAnsi="Arial" w:cs="Arial"/>
          <w:sz w:val="22"/>
          <w:szCs w:val="22"/>
          <w:lang w:val="en-GB"/>
        </w:rPr>
        <w:t>in Singapore</w:t>
      </w:r>
      <w:r>
        <w:rPr>
          <w:rFonts w:ascii="Arial" w:hAnsi="Arial" w:cs="Arial"/>
          <w:sz w:val="22"/>
          <w:szCs w:val="22"/>
          <w:lang w:val="en-GB"/>
        </w:rPr>
        <w:t>.</w:t>
      </w:r>
    </w:p>
    <w:p w14:paraId="34C796A4" w14:textId="77777777" w:rsidR="00EA6F96" w:rsidRPr="00EA6F96" w:rsidRDefault="00EA6F96" w:rsidP="00EA6F96">
      <w:pPr>
        <w:ind w:left="66"/>
        <w:jc w:val="both"/>
        <w:rPr>
          <w:rFonts w:ascii="Arial" w:hAnsi="Arial" w:cs="Arial"/>
          <w:sz w:val="22"/>
          <w:szCs w:val="22"/>
          <w:lang w:val="en-GB"/>
        </w:rPr>
      </w:pPr>
    </w:p>
    <w:p w14:paraId="717E9B17" w14:textId="289EE571"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debtor </w:t>
      </w:r>
      <w:r w:rsidR="006452E6">
        <w:rPr>
          <w:rFonts w:ascii="Arial" w:hAnsi="Arial" w:cs="Arial"/>
          <w:sz w:val="22"/>
          <w:szCs w:val="22"/>
          <w:lang w:val="en-GB"/>
        </w:rPr>
        <w:t>is carrying on business in</w:t>
      </w:r>
      <w:r w:rsidR="00FC32B6" w:rsidRPr="00FC32B6">
        <w:rPr>
          <w:rFonts w:ascii="Arial" w:hAnsi="Arial" w:cs="Arial"/>
          <w:sz w:val="22"/>
          <w:szCs w:val="22"/>
          <w:lang w:val="en-GB"/>
        </w:rPr>
        <w:t xml:space="preserve"> Singapore</w:t>
      </w:r>
      <w:r>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lang w:val="en-GB"/>
        </w:rPr>
      </w:pPr>
    </w:p>
    <w:p w14:paraId="2110C861" w14:textId="6F14706B" w:rsidR="00867701" w:rsidRPr="00CA29EA" w:rsidRDefault="00FC32B6" w:rsidP="00BE65AA">
      <w:pPr>
        <w:pStyle w:val="ListParagraph"/>
        <w:numPr>
          <w:ilvl w:val="0"/>
          <w:numId w:val="6"/>
        </w:numPr>
        <w:ind w:left="426"/>
        <w:jc w:val="both"/>
        <w:rPr>
          <w:rFonts w:ascii="Arial" w:hAnsi="Arial" w:cs="Arial"/>
          <w:sz w:val="22"/>
          <w:szCs w:val="22"/>
          <w:highlight w:val="yellow"/>
          <w:lang w:val="en-GB"/>
        </w:rPr>
      </w:pPr>
      <w:r w:rsidRPr="00CA29EA">
        <w:rPr>
          <w:rFonts w:ascii="Arial" w:hAnsi="Arial" w:cs="Arial"/>
          <w:sz w:val="22"/>
          <w:szCs w:val="22"/>
          <w:highlight w:val="yellow"/>
          <w:lang w:val="en-GB"/>
        </w:rPr>
        <w:t>Any of the above</w:t>
      </w:r>
      <w:r w:rsidR="00EA6F96" w:rsidRPr="00CA29EA">
        <w:rPr>
          <w:rFonts w:ascii="Arial" w:hAnsi="Arial" w:cs="Arial"/>
          <w:sz w:val="22"/>
          <w:szCs w:val="22"/>
          <w:highlight w:val="yellow"/>
          <w:lang w:val="en-GB"/>
        </w:rPr>
        <w:t>.</w:t>
      </w:r>
    </w:p>
    <w:p w14:paraId="4C4D2BBE" w14:textId="06BCA9D0" w:rsidR="00EA6F96" w:rsidRDefault="00EA6F96" w:rsidP="00C55824">
      <w:pPr>
        <w:jc w:val="both"/>
        <w:rPr>
          <w:rFonts w:ascii="Arial" w:hAnsi="Arial" w:cs="Arial"/>
          <w:sz w:val="22"/>
          <w:szCs w:val="22"/>
        </w:rPr>
      </w:pPr>
    </w:p>
    <w:p w14:paraId="0ECB3B6D" w14:textId="25B3742E" w:rsidR="00384F62" w:rsidRDefault="00384F62" w:rsidP="00C55824">
      <w:pPr>
        <w:jc w:val="both"/>
        <w:rPr>
          <w:rFonts w:ascii="Arial" w:hAnsi="Arial" w:cs="Arial"/>
          <w:sz w:val="22"/>
          <w:szCs w:val="22"/>
        </w:rPr>
      </w:pPr>
    </w:p>
    <w:p w14:paraId="707CC94C" w14:textId="7E435879" w:rsidR="00384F62" w:rsidRDefault="00384F62" w:rsidP="00C55824">
      <w:pPr>
        <w:jc w:val="both"/>
        <w:rPr>
          <w:rFonts w:ascii="Arial" w:hAnsi="Arial" w:cs="Arial"/>
          <w:sz w:val="22"/>
          <w:szCs w:val="22"/>
        </w:rPr>
      </w:pPr>
    </w:p>
    <w:p w14:paraId="78A62180" w14:textId="1A1FAAD4" w:rsidR="00384F62" w:rsidRDefault="00384F62" w:rsidP="00C55824">
      <w:pPr>
        <w:jc w:val="both"/>
        <w:rPr>
          <w:rFonts w:ascii="Arial" w:hAnsi="Arial" w:cs="Arial"/>
          <w:sz w:val="22"/>
          <w:szCs w:val="22"/>
        </w:rPr>
      </w:pPr>
    </w:p>
    <w:p w14:paraId="4BE94821" w14:textId="4F80EDE8" w:rsidR="00384F62" w:rsidRDefault="00384F62" w:rsidP="00C55824">
      <w:pPr>
        <w:jc w:val="both"/>
        <w:rPr>
          <w:rFonts w:ascii="Arial" w:hAnsi="Arial" w:cs="Arial"/>
          <w:sz w:val="22"/>
          <w:szCs w:val="22"/>
        </w:rPr>
      </w:pPr>
    </w:p>
    <w:p w14:paraId="2033C7E8" w14:textId="7D88D4F6" w:rsidR="00384F62" w:rsidRDefault="00384F62" w:rsidP="00C55824">
      <w:pPr>
        <w:jc w:val="both"/>
        <w:rPr>
          <w:rFonts w:ascii="Arial" w:hAnsi="Arial" w:cs="Arial"/>
          <w:sz w:val="22"/>
          <w:szCs w:val="22"/>
        </w:rPr>
      </w:pPr>
    </w:p>
    <w:p w14:paraId="055EDEBA" w14:textId="77777777" w:rsidR="00384F62" w:rsidRDefault="00384F62"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77777777" w:rsidR="00867701" w:rsidRDefault="0007291B" w:rsidP="00C55824">
      <w:pPr>
        <w:jc w:val="both"/>
        <w:rPr>
          <w:rFonts w:ascii="Arial" w:hAnsi="Arial" w:cs="Arial"/>
          <w:sz w:val="22"/>
          <w:szCs w:val="22"/>
          <w:lang w:val="en-GB"/>
        </w:rPr>
      </w:pPr>
      <w:r w:rsidRPr="006D2BBF">
        <w:rPr>
          <w:rFonts w:ascii="Arial" w:hAnsi="Arial" w:cs="Arial"/>
          <w:sz w:val="22"/>
          <w:szCs w:val="22"/>
          <w:lang w:val="en-GB"/>
        </w:rPr>
        <w:t xml:space="preserve">What percentage of </w:t>
      </w:r>
      <w:r w:rsidR="00661BA6">
        <w:rPr>
          <w:rFonts w:ascii="Arial" w:hAnsi="Arial" w:cs="Arial"/>
          <w:sz w:val="22"/>
          <w:szCs w:val="22"/>
          <w:lang w:val="en-GB"/>
        </w:rPr>
        <w:t>each class of creditors must approve a scheme of arrangement for it to be binding</w:t>
      </w:r>
      <w:r w:rsidRPr="006D2BBF">
        <w:rPr>
          <w:rFonts w:ascii="Arial" w:hAnsi="Arial" w:cs="Arial"/>
          <w:sz w:val="22"/>
          <w:szCs w:val="22"/>
          <w:lang w:val="en-GB"/>
        </w:rPr>
        <w:t>?</w:t>
      </w:r>
    </w:p>
    <w:p w14:paraId="6FD1A19D" w14:textId="77777777" w:rsidR="00C55824" w:rsidRPr="006D2BBF" w:rsidRDefault="00C55824" w:rsidP="00C55824">
      <w:pPr>
        <w:jc w:val="both"/>
        <w:rPr>
          <w:rFonts w:ascii="Arial" w:hAnsi="Arial" w:cs="Arial"/>
          <w:sz w:val="22"/>
          <w:szCs w:val="22"/>
          <w:lang w:val="en-GB"/>
        </w:rPr>
      </w:pPr>
    </w:p>
    <w:p w14:paraId="5831F314" w14:textId="7A00F345" w:rsidR="00867701" w:rsidRDefault="0007291B" w:rsidP="00BE65AA">
      <w:pPr>
        <w:pStyle w:val="ListParagraph"/>
        <w:numPr>
          <w:ilvl w:val="0"/>
          <w:numId w:val="7"/>
        </w:numPr>
        <w:ind w:left="426"/>
        <w:jc w:val="both"/>
        <w:rPr>
          <w:rFonts w:ascii="Arial" w:hAnsi="Arial" w:cs="Arial"/>
          <w:sz w:val="22"/>
          <w:szCs w:val="22"/>
          <w:lang w:val="en-GB"/>
        </w:rPr>
      </w:pPr>
      <w:r w:rsidRPr="009A3AB7">
        <w:rPr>
          <w:rFonts w:ascii="Arial" w:hAnsi="Arial" w:cs="Arial"/>
          <w:sz w:val="22"/>
          <w:szCs w:val="22"/>
          <w:lang w:val="en-GB"/>
        </w:rPr>
        <w:t>Over 50% in</w:t>
      </w:r>
      <w:r w:rsidR="00483BC6">
        <w:rPr>
          <w:rFonts w:ascii="Arial" w:hAnsi="Arial" w:cs="Arial"/>
          <w:sz w:val="22"/>
          <w:szCs w:val="22"/>
          <w:lang w:val="en-GB"/>
        </w:rPr>
        <w:t xml:space="preserve"> value</w:t>
      </w:r>
      <w:r w:rsidR="00F50041">
        <w:rPr>
          <w:rFonts w:ascii="Arial" w:hAnsi="Arial" w:cs="Arial"/>
          <w:sz w:val="22"/>
          <w:szCs w:val="22"/>
          <w:lang w:val="en-GB"/>
        </w:rPr>
        <w:t>.</w:t>
      </w:r>
    </w:p>
    <w:p w14:paraId="5332C74F" w14:textId="77777777" w:rsidR="001957E8" w:rsidRPr="001957E8" w:rsidRDefault="001957E8" w:rsidP="001957E8">
      <w:pPr>
        <w:ind w:left="66"/>
        <w:jc w:val="both"/>
        <w:rPr>
          <w:rFonts w:ascii="Arial" w:hAnsi="Arial" w:cs="Arial"/>
          <w:sz w:val="22"/>
          <w:szCs w:val="22"/>
          <w:lang w:val="en-GB"/>
        </w:rPr>
      </w:pPr>
    </w:p>
    <w:p w14:paraId="0F47279A" w14:textId="1181A8B0"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50% or more in </w:t>
      </w:r>
      <w:r w:rsidR="00483BC6">
        <w:rPr>
          <w:rFonts w:ascii="Arial" w:hAnsi="Arial" w:cs="Arial"/>
          <w:sz w:val="22"/>
          <w:szCs w:val="22"/>
          <w:lang w:val="en-GB"/>
        </w:rPr>
        <w:t>value</w:t>
      </w:r>
      <w:r w:rsidR="00F50041">
        <w:rPr>
          <w:rFonts w:ascii="Arial" w:hAnsi="Arial" w:cs="Arial"/>
          <w:sz w:val="22"/>
          <w:szCs w:val="22"/>
          <w:lang w:val="en-GB"/>
        </w:rPr>
        <w:t>.</w:t>
      </w:r>
    </w:p>
    <w:p w14:paraId="6880D218" w14:textId="77777777" w:rsidR="001957E8" w:rsidRPr="001957E8" w:rsidRDefault="001957E8" w:rsidP="001957E8">
      <w:pPr>
        <w:ind w:left="66"/>
        <w:jc w:val="both"/>
        <w:rPr>
          <w:rFonts w:ascii="Arial" w:hAnsi="Arial" w:cs="Arial"/>
          <w:sz w:val="22"/>
          <w:szCs w:val="22"/>
          <w:lang w:val="en-GB"/>
        </w:rPr>
      </w:pPr>
    </w:p>
    <w:p w14:paraId="37C6F08C" w14:textId="189E9906"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Over 75% in </w:t>
      </w:r>
      <w:r w:rsidR="00483BC6">
        <w:rPr>
          <w:rFonts w:ascii="Arial" w:hAnsi="Arial" w:cs="Arial"/>
          <w:sz w:val="22"/>
          <w:szCs w:val="22"/>
          <w:lang w:val="en-GB"/>
        </w:rPr>
        <w:t xml:space="preserve">value. </w:t>
      </w:r>
    </w:p>
    <w:p w14:paraId="3805824F" w14:textId="77777777" w:rsidR="001957E8" w:rsidRPr="001957E8" w:rsidRDefault="001957E8" w:rsidP="001957E8">
      <w:pPr>
        <w:ind w:left="66"/>
        <w:jc w:val="both"/>
        <w:rPr>
          <w:rFonts w:ascii="Arial" w:hAnsi="Arial" w:cs="Arial"/>
          <w:sz w:val="22"/>
          <w:szCs w:val="22"/>
          <w:lang w:val="en-GB"/>
        </w:rPr>
      </w:pPr>
    </w:p>
    <w:p w14:paraId="66070E23" w14:textId="17612D76" w:rsidR="00867701" w:rsidRPr="00ED082E" w:rsidRDefault="0007291B" w:rsidP="00BE65AA">
      <w:pPr>
        <w:pStyle w:val="ListParagraph"/>
        <w:numPr>
          <w:ilvl w:val="0"/>
          <w:numId w:val="7"/>
        </w:numPr>
        <w:ind w:left="426"/>
        <w:jc w:val="both"/>
        <w:rPr>
          <w:rFonts w:ascii="Arial" w:hAnsi="Arial" w:cs="Arial"/>
          <w:sz w:val="22"/>
          <w:szCs w:val="22"/>
          <w:highlight w:val="yellow"/>
          <w:lang w:val="en-GB"/>
        </w:rPr>
      </w:pPr>
      <w:r w:rsidRPr="00ED082E">
        <w:rPr>
          <w:rFonts w:ascii="Arial" w:hAnsi="Arial" w:cs="Arial"/>
          <w:sz w:val="22"/>
          <w:szCs w:val="22"/>
          <w:highlight w:val="yellow"/>
          <w:lang w:val="en-GB"/>
        </w:rPr>
        <w:t xml:space="preserve">75% or more in </w:t>
      </w:r>
      <w:r w:rsidR="00483BC6" w:rsidRPr="00ED082E">
        <w:rPr>
          <w:rFonts w:ascii="Arial" w:hAnsi="Arial" w:cs="Arial"/>
          <w:sz w:val="22"/>
          <w:szCs w:val="22"/>
          <w:highlight w:val="yellow"/>
          <w:lang w:val="en-GB"/>
        </w:rPr>
        <w:t>value</w:t>
      </w:r>
      <w:r w:rsidR="00F50041" w:rsidRPr="00ED082E">
        <w:rPr>
          <w:rFonts w:ascii="Arial" w:hAnsi="Arial" w:cs="Arial"/>
          <w:sz w:val="22"/>
          <w:szCs w:val="22"/>
          <w:highlight w:val="yellow"/>
          <w:lang w:val="en-GB"/>
        </w:rPr>
        <w:t>.</w:t>
      </w:r>
    </w:p>
    <w:p w14:paraId="37B64868" w14:textId="5DE8D4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170974A2" w:rsidR="00867701" w:rsidRDefault="00C041E8" w:rsidP="0020090A">
      <w:pPr>
        <w:keepNext/>
        <w:jc w:val="both"/>
        <w:rPr>
          <w:rFonts w:ascii="Arial" w:hAnsi="Arial" w:cs="Arial"/>
          <w:sz w:val="22"/>
          <w:szCs w:val="22"/>
          <w:lang w:val="en-GB"/>
        </w:rPr>
      </w:pPr>
      <w:r>
        <w:rPr>
          <w:rFonts w:ascii="Arial" w:hAnsi="Arial" w:cs="Arial"/>
          <w:sz w:val="22"/>
          <w:szCs w:val="22"/>
          <w:lang w:val="en-GB"/>
        </w:rPr>
        <w:t xml:space="preserve">Which of </w:t>
      </w:r>
      <w:r w:rsidR="0007291B" w:rsidRPr="006D2BBF">
        <w:rPr>
          <w:rFonts w:ascii="Arial" w:hAnsi="Arial" w:cs="Arial"/>
          <w:sz w:val="22"/>
          <w:szCs w:val="22"/>
          <w:lang w:val="en-GB"/>
        </w:rPr>
        <w:t xml:space="preserve">the </w:t>
      </w:r>
      <w:r>
        <w:rPr>
          <w:rFonts w:ascii="Arial" w:hAnsi="Arial" w:cs="Arial"/>
          <w:sz w:val="22"/>
          <w:szCs w:val="22"/>
          <w:lang w:val="en-GB"/>
        </w:rPr>
        <w:t>following</w:t>
      </w:r>
      <w:r w:rsidR="00DE2CD9">
        <w:rPr>
          <w:rFonts w:ascii="Arial" w:hAnsi="Arial" w:cs="Arial"/>
          <w:sz w:val="22"/>
          <w:szCs w:val="22"/>
          <w:lang w:val="en-GB"/>
        </w:rPr>
        <w:t xml:space="preserve"> is </w:t>
      </w:r>
      <w:r w:rsidR="00DE2CD9" w:rsidRPr="00384F62">
        <w:rPr>
          <w:rFonts w:ascii="Arial" w:hAnsi="Arial" w:cs="Arial"/>
          <w:b/>
          <w:bCs/>
          <w:sz w:val="22"/>
          <w:szCs w:val="22"/>
          <w:u w:val="single"/>
          <w:lang w:val="en-GB"/>
        </w:rPr>
        <w:t>not</w:t>
      </w:r>
      <w:r w:rsidR="00DE2CD9">
        <w:rPr>
          <w:rFonts w:ascii="Arial" w:hAnsi="Arial" w:cs="Arial"/>
          <w:sz w:val="22"/>
          <w:szCs w:val="22"/>
          <w:lang w:val="en-GB"/>
        </w:rPr>
        <w:t xml:space="preserve"> one of the statutory duties of a bankrupt</w:t>
      </w:r>
      <w:r w:rsidR="0007291B" w:rsidRPr="006D2BBF">
        <w:rPr>
          <w:rFonts w:ascii="Arial" w:hAnsi="Arial" w:cs="Arial"/>
          <w:sz w:val="22"/>
          <w:szCs w:val="22"/>
          <w:lang w:val="en-GB"/>
        </w:rPr>
        <w:t>?</w:t>
      </w:r>
    </w:p>
    <w:p w14:paraId="404DB0EE" w14:textId="77777777" w:rsidR="00C55824" w:rsidRPr="006D2BBF" w:rsidRDefault="00C55824" w:rsidP="00C55824">
      <w:pPr>
        <w:jc w:val="both"/>
        <w:rPr>
          <w:rFonts w:ascii="Arial" w:hAnsi="Arial" w:cs="Arial"/>
          <w:sz w:val="22"/>
          <w:szCs w:val="22"/>
          <w:lang w:val="en-GB"/>
        </w:rPr>
      </w:pPr>
    </w:p>
    <w:p w14:paraId="7F89812F" w14:textId="1D8C1559" w:rsidR="00867701" w:rsidRDefault="003E22E2" w:rsidP="00384F62">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E2CD9">
        <w:rPr>
          <w:rFonts w:ascii="Arial" w:hAnsi="Arial" w:cs="Arial"/>
          <w:sz w:val="22"/>
          <w:szCs w:val="22"/>
          <w:lang w:val="en-GB"/>
        </w:rPr>
        <w:t xml:space="preserve">o </w:t>
      </w:r>
      <w:r w:rsidR="00DE2CD9" w:rsidRPr="00DE2CD9">
        <w:rPr>
          <w:rFonts w:ascii="Arial" w:hAnsi="Arial" w:cs="Arial"/>
          <w:sz w:val="22"/>
          <w:szCs w:val="22"/>
          <w:lang w:val="en-GB"/>
        </w:rPr>
        <w:t>make discovery of and deliver all his property to the Official Assignee</w:t>
      </w:r>
      <w:r w:rsidR="00384F62">
        <w:rPr>
          <w:rFonts w:ascii="Arial" w:hAnsi="Arial" w:cs="Arial"/>
          <w:sz w:val="22"/>
          <w:szCs w:val="22"/>
          <w:lang w:val="en-GB"/>
        </w:rPr>
        <w:t>.</w:t>
      </w:r>
    </w:p>
    <w:p w14:paraId="1D7C033B" w14:textId="77777777" w:rsidR="003E22E2" w:rsidRPr="003E22E2" w:rsidRDefault="003E22E2" w:rsidP="003E22E2">
      <w:pPr>
        <w:jc w:val="both"/>
        <w:rPr>
          <w:rFonts w:ascii="Arial" w:hAnsi="Arial" w:cs="Arial"/>
          <w:sz w:val="22"/>
          <w:szCs w:val="22"/>
          <w:lang w:val="en-GB"/>
        </w:rPr>
      </w:pPr>
    </w:p>
    <w:p w14:paraId="592DE966" w14:textId="1C1E05BC" w:rsidR="00867701" w:rsidRDefault="00C041E8" w:rsidP="00384F62">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7C6CC7">
        <w:rPr>
          <w:rFonts w:ascii="Arial" w:hAnsi="Arial" w:cs="Arial"/>
          <w:sz w:val="22"/>
          <w:szCs w:val="22"/>
          <w:lang w:val="en-GB"/>
        </w:rPr>
        <w:t xml:space="preserve">o </w:t>
      </w:r>
      <w:r w:rsidR="007C6CC7" w:rsidRPr="007C6CC7">
        <w:rPr>
          <w:rFonts w:ascii="Arial" w:hAnsi="Arial" w:cs="Arial"/>
          <w:sz w:val="22"/>
          <w:szCs w:val="22"/>
          <w:lang w:val="en-GB"/>
        </w:rPr>
        <w:t>attend any meeting of his creditors as may be convened by the Official Assignee</w:t>
      </w:r>
      <w:r w:rsidR="00384F62">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lang w:val="en-GB"/>
        </w:rPr>
      </w:pPr>
    </w:p>
    <w:p w14:paraId="515FDBAD" w14:textId="02E4A7A8" w:rsidR="00867701" w:rsidRDefault="00C041E8"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B6EEB" w:rsidRPr="00384F62">
        <w:rPr>
          <w:rFonts w:ascii="Arial" w:hAnsi="Arial" w:cs="Arial"/>
          <w:sz w:val="22"/>
          <w:szCs w:val="22"/>
          <w:lang w:val="en-GB"/>
        </w:rPr>
        <w:t>o execute such powers of attorney, conveyances, deeds and instruments as may be required</w:t>
      </w:r>
      <w:r w:rsidR="00384F62">
        <w:rPr>
          <w:rFonts w:ascii="Arial" w:hAnsi="Arial" w:cs="Arial"/>
          <w:sz w:val="22"/>
          <w:szCs w:val="22"/>
          <w:lang w:val="en-GB"/>
        </w:rPr>
        <w:t>.</w:t>
      </w:r>
    </w:p>
    <w:p w14:paraId="5CFC3AFA" w14:textId="77777777" w:rsidR="003E22E2" w:rsidRPr="003E22E2" w:rsidRDefault="003E22E2" w:rsidP="003E22E2">
      <w:pPr>
        <w:jc w:val="both"/>
        <w:rPr>
          <w:rFonts w:ascii="Arial" w:hAnsi="Arial" w:cs="Arial"/>
          <w:sz w:val="22"/>
          <w:szCs w:val="22"/>
          <w:lang w:val="en-GB"/>
        </w:rPr>
      </w:pPr>
    </w:p>
    <w:p w14:paraId="657B4BB8" w14:textId="19008D4F" w:rsidR="00867701" w:rsidRPr="00476830" w:rsidRDefault="00FC32B6" w:rsidP="00BE65AA">
      <w:pPr>
        <w:pStyle w:val="ListParagraph"/>
        <w:numPr>
          <w:ilvl w:val="0"/>
          <w:numId w:val="8"/>
        </w:numPr>
        <w:ind w:left="426"/>
        <w:jc w:val="both"/>
        <w:rPr>
          <w:rFonts w:ascii="Arial" w:hAnsi="Arial" w:cs="Arial"/>
          <w:sz w:val="22"/>
          <w:szCs w:val="22"/>
          <w:highlight w:val="yellow"/>
          <w:lang w:val="en-GB"/>
        </w:rPr>
      </w:pPr>
      <w:r w:rsidRPr="00476830">
        <w:rPr>
          <w:rFonts w:ascii="Arial" w:hAnsi="Arial" w:cs="Arial"/>
          <w:sz w:val="22"/>
          <w:szCs w:val="22"/>
          <w:highlight w:val="yellow"/>
          <w:lang w:val="en-GB"/>
        </w:rPr>
        <w:t>T</w:t>
      </w:r>
      <w:r w:rsidR="00DE2CD9" w:rsidRPr="00476830">
        <w:rPr>
          <w:rFonts w:ascii="Arial" w:hAnsi="Arial" w:cs="Arial"/>
          <w:sz w:val="22"/>
          <w:szCs w:val="22"/>
          <w:highlight w:val="yellow"/>
          <w:lang w:val="en-GB"/>
        </w:rPr>
        <w:t>o not travel overseas under any circumstances whatsoever</w:t>
      </w:r>
      <w:r w:rsidR="00384F62" w:rsidRPr="00476830">
        <w:rPr>
          <w:rFonts w:ascii="Arial" w:hAnsi="Arial" w:cs="Arial"/>
          <w:sz w:val="22"/>
          <w:szCs w:val="22"/>
          <w:highlight w:val="yellow"/>
          <w:lang w:val="en-GB"/>
        </w:rPr>
        <w:t>.</w:t>
      </w:r>
    </w:p>
    <w:p w14:paraId="4614C3CF" w14:textId="512AF812"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01233B0B" w:rsidR="00876F56" w:rsidRDefault="00262940"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7C7036" w:rsidRPr="00384F62">
        <w:rPr>
          <w:rFonts w:ascii="Arial" w:hAnsi="Arial" w:cs="Arial"/>
          <w:b/>
          <w:bCs/>
          <w:sz w:val="22"/>
          <w:szCs w:val="22"/>
          <w:u w:val="single"/>
          <w:lang w:val="en-GB"/>
        </w:rPr>
        <w:t>is not true</w:t>
      </w:r>
      <w:r w:rsidR="007C7036">
        <w:rPr>
          <w:rFonts w:ascii="Arial" w:hAnsi="Arial" w:cs="Arial"/>
          <w:b/>
          <w:bCs/>
          <w:sz w:val="22"/>
          <w:szCs w:val="22"/>
          <w:lang w:val="en-GB"/>
        </w:rPr>
        <w:t xml:space="preserve"> </w:t>
      </w:r>
      <w:r w:rsidR="00384F62">
        <w:rPr>
          <w:rFonts w:ascii="Arial" w:hAnsi="Arial" w:cs="Arial"/>
          <w:sz w:val="22"/>
          <w:szCs w:val="22"/>
          <w:lang w:val="en-GB"/>
        </w:rPr>
        <w:t>of</w:t>
      </w:r>
      <w:r w:rsidR="007C7036">
        <w:rPr>
          <w:rFonts w:ascii="Arial" w:hAnsi="Arial" w:cs="Arial"/>
          <w:sz w:val="22"/>
          <w:szCs w:val="22"/>
          <w:lang w:val="en-GB"/>
        </w:rPr>
        <w:t xml:space="preserve"> the </w:t>
      </w:r>
      <w:r w:rsidR="00EB7B75">
        <w:rPr>
          <w:rFonts w:ascii="Arial" w:hAnsi="Arial" w:cs="Arial"/>
          <w:sz w:val="22"/>
          <w:szCs w:val="22"/>
          <w:lang w:val="en-GB"/>
        </w:rPr>
        <w:t>Model Law</w:t>
      </w:r>
      <w:r w:rsidR="00FA4DD1">
        <w:rPr>
          <w:rFonts w:ascii="Arial" w:hAnsi="Arial" w:cs="Arial"/>
          <w:sz w:val="22"/>
          <w:szCs w:val="22"/>
          <w:lang w:val="en-GB"/>
        </w:rPr>
        <w:t xml:space="preserve"> as enacted in Singapore</w:t>
      </w:r>
      <w:r w:rsidR="00067A22">
        <w:rPr>
          <w:rFonts w:ascii="Arial" w:hAnsi="Arial" w:cs="Arial"/>
          <w:sz w:val="22"/>
          <w:szCs w:val="22"/>
          <w:lang w:val="en-GB"/>
        </w:rPr>
        <w:t xml:space="preserve">? </w:t>
      </w:r>
    </w:p>
    <w:p w14:paraId="33F6C663" w14:textId="77777777" w:rsidR="00C55824" w:rsidRPr="006D2BBF" w:rsidRDefault="00C55824" w:rsidP="00C55824">
      <w:pPr>
        <w:ind w:left="720" w:hanging="720"/>
        <w:jc w:val="both"/>
        <w:rPr>
          <w:rFonts w:ascii="Arial" w:hAnsi="Arial" w:cs="Arial"/>
          <w:sz w:val="22"/>
          <w:szCs w:val="22"/>
          <w:lang w:val="en-GB"/>
        </w:rPr>
      </w:pPr>
    </w:p>
    <w:p w14:paraId="600763B8" w14:textId="19F1D417" w:rsidR="00E45264" w:rsidRDefault="00E40797" w:rsidP="00BE65AA">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w:t>
      </w:r>
      <w:r w:rsidRPr="00E40797">
        <w:rPr>
          <w:rFonts w:ascii="Arial" w:hAnsi="Arial" w:cs="Arial"/>
          <w:sz w:val="22"/>
          <w:szCs w:val="22"/>
          <w:lang w:val="en-GB"/>
        </w:rPr>
        <w:t>allows foreign representatives to apply to</w:t>
      </w:r>
      <w:r>
        <w:rPr>
          <w:rFonts w:ascii="Arial" w:hAnsi="Arial" w:cs="Arial"/>
          <w:sz w:val="22"/>
          <w:szCs w:val="22"/>
          <w:lang w:val="en-GB"/>
        </w:rPr>
        <w:t xml:space="preserve"> </w:t>
      </w:r>
      <w:r w:rsidR="00384F62">
        <w:rPr>
          <w:rFonts w:ascii="Arial" w:hAnsi="Arial" w:cs="Arial"/>
          <w:sz w:val="22"/>
          <w:szCs w:val="22"/>
          <w:lang w:val="en-GB"/>
        </w:rPr>
        <w:t>c</w:t>
      </w:r>
      <w:r>
        <w:rPr>
          <w:rFonts w:ascii="Arial" w:hAnsi="Arial" w:cs="Arial"/>
          <w:sz w:val="22"/>
          <w:szCs w:val="22"/>
          <w:lang w:val="en-GB"/>
        </w:rPr>
        <w:t>ourt</w:t>
      </w:r>
      <w:r w:rsidRPr="00E40797">
        <w:rPr>
          <w:rFonts w:ascii="Arial" w:hAnsi="Arial" w:cs="Arial"/>
          <w:sz w:val="22"/>
          <w:szCs w:val="22"/>
          <w:lang w:val="en-GB"/>
        </w:rPr>
        <w:t xml:space="preserve"> for the recognition of foreign proceedings.</w:t>
      </w:r>
    </w:p>
    <w:p w14:paraId="6664268D" w14:textId="77777777" w:rsidR="006302A0" w:rsidRDefault="006302A0" w:rsidP="00384F62">
      <w:pPr>
        <w:pStyle w:val="ListParagraph"/>
        <w:ind w:left="426"/>
        <w:jc w:val="both"/>
        <w:rPr>
          <w:rFonts w:ascii="Arial" w:hAnsi="Arial" w:cs="Arial"/>
          <w:sz w:val="22"/>
          <w:szCs w:val="22"/>
          <w:lang w:val="en-GB"/>
        </w:rPr>
      </w:pPr>
    </w:p>
    <w:p w14:paraId="488B0709" w14:textId="4359ED8E" w:rsidR="00E45264" w:rsidRPr="00B71F52" w:rsidRDefault="00FA4DD1" w:rsidP="00C2645B">
      <w:pPr>
        <w:pStyle w:val="ListParagraph"/>
        <w:numPr>
          <w:ilvl w:val="0"/>
          <w:numId w:val="9"/>
        </w:numPr>
        <w:ind w:left="426"/>
        <w:jc w:val="both"/>
        <w:rPr>
          <w:rFonts w:ascii="Arial" w:hAnsi="Arial" w:cs="Arial"/>
          <w:sz w:val="22"/>
          <w:szCs w:val="22"/>
          <w:highlight w:val="yellow"/>
          <w:lang w:val="en-GB"/>
        </w:rPr>
      </w:pPr>
      <w:r w:rsidRPr="00B71F52">
        <w:rPr>
          <w:rFonts w:ascii="Arial" w:hAnsi="Arial" w:cs="Arial"/>
          <w:sz w:val="22"/>
          <w:szCs w:val="22"/>
          <w:highlight w:val="yellow"/>
          <w:lang w:val="en-GB"/>
        </w:rPr>
        <w:t>The court can deny recognition only if recognition is “manifestly contrary” to public policy</w:t>
      </w:r>
      <w:r w:rsidR="00EB7B75" w:rsidRPr="00B71F52">
        <w:rPr>
          <w:rFonts w:ascii="Arial" w:hAnsi="Arial" w:cs="Arial"/>
          <w:sz w:val="22"/>
          <w:szCs w:val="22"/>
          <w:highlight w:val="yellow"/>
          <w:lang w:val="en-GB"/>
        </w:rPr>
        <w:t>.</w:t>
      </w:r>
    </w:p>
    <w:p w14:paraId="3FEA754C" w14:textId="77777777" w:rsidR="006302A0" w:rsidRPr="00C2645B" w:rsidRDefault="006302A0" w:rsidP="00384F62">
      <w:pPr>
        <w:pStyle w:val="ListParagraph"/>
        <w:ind w:left="426"/>
        <w:jc w:val="both"/>
        <w:rPr>
          <w:lang w:val="en-GB"/>
        </w:rPr>
      </w:pPr>
    </w:p>
    <w:p w14:paraId="529C5696" w14:textId="5D02C1D0" w:rsidR="00E45264" w:rsidRDefault="006302A0" w:rsidP="00384F62">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provides for </w:t>
      </w:r>
      <w:r w:rsidRPr="00384F62">
        <w:rPr>
          <w:rFonts w:ascii="Arial" w:hAnsi="Arial" w:cs="Arial"/>
          <w:sz w:val="22"/>
          <w:szCs w:val="22"/>
          <w:lang w:val="en-GB"/>
        </w:rPr>
        <w:t xml:space="preserve">concurrent insolvency proceedings. </w:t>
      </w:r>
    </w:p>
    <w:p w14:paraId="6DBCC1DC" w14:textId="77777777" w:rsidR="00E45264" w:rsidRDefault="00E45264" w:rsidP="00384F62">
      <w:pPr>
        <w:pStyle w:val="ListParagraph"/>
        <w:ind w:left="426"/>
        <w:jc w:val="both"/>
        <w:rPr>
          <w:rFonts w:ascii="Arial" w:hAnsi="Arial" w:cs="Arial"/>
          <w:sz w:val="22"/>
          <w:szCs w:val="22"/>
          <w:lang w:val="en-GB"/>
        </w:rPr>
      </w:pPr>
    </w:p>
    <w:p w14:paraId="70188075" w14:textId="45991FED" w:rsidR="00B50EA0" w:rsidRPr="00384F62" w:rsidRDefault="00E45264" w:rsidP="00384F62">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w:t>
      </w:r>
      <w:r w:rsidRPr="00E45264">
        <w:rPr>
          <w:rFonts w:ascii="Arial" w:hAnsi="Arial" w:cs="Arial"/>
          <w:sz w:val="22"/>
          <w:szCs w:val="22"/>
          <w:lang w:val="en-GB"/>
        </w:rPr>
        <w:t>provides for international co-operation and communication between courts and representatives</w:t>
      </w:r>
      <w:r w:rsidR="00384F62">
        <w:rPr>
          <w:rFonts w:ascii="Arial" w:hAnsi="Arial" w:cs="Arial"/>
          <w:sz w:val="22"/>
          <w:szCs w:val="22"/>
          <w:lang w:val="en-GB"/>
        </w:rPr>
        <w:t>.</w:t>
      </w:r>
    </w:p>
    <w:p w14:paraId="77967061" w14:textId="49EF89E7" w:rsidR="00876F56" w:rsidRPr="00B50EA0" w:rsidRDefault="00876F56" w:rsidP="00384F62">
      <w:pPr>
        <w:pStyle w:val="ListParagraph"/>
        <w:ind w:left="426"/>
        <w:jc w:val="both"/>
        <w:rPr>
          <w:rFonts w:ascii="Arial" w:hAnsi="Arial" w:cs="Arial"/>
          <w:sz w:val="22"/>
          <w:szCs w:val="22"/>
          <w:lang w:val="en-GB"/>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6F3CD136" w:rsidR="00876F56" w:rsidRDefault="0007291B" w:rsidP="00C55824">
      <w:pPr>
        <w:jc w:val="both"/>
        <w:rPr>
          <w:rFonts w:ascii="Arial" w:hAnsi="Arial" w:cs="Arial"/>
          <w:sz w:val="22"/>
          <w:szCs w:val="22"/>
          <w:lang w:val="en-GB"/>
        </w:rPr>
      </w:pPr>
      <w:r>
        <w:rPr>
          <w:rFonts w:ascii="Arial" w:hAnsi="Arial" w:cs="Arial"/>
          <w:sz w:val="22"/>
          <w:szCs w:val="22"/>
          <w:lang w:val="en-GB"/>
        </w:rPr>
        <w:t>Which of th</w:t>
      </w:r>
      <w:r w:rsidR="00F50041">
        <w:rPr>
          <w:rFonts w:ascii="Arial" w:hAnsi="Arial" w:cs="Arial"/>
          <w:sz w:val="22"/>
          <w:szCs w:val="22"/>
          <w:lang w:val="en-GB"/>
        </w:rPr>
        <w:t xml:space="preserve">e following </w:t>
      </w:r>
      <w:r w:rsidR="00C87FF9" w:rsidRPr="00384F62">
        <w:rPr>
          <w:rFonts w:ascii="Arial" w:hAnsi="Arial" w:cs="Arial"/>
          <w:bCs/>
          <w:sz w:val="22"/>
          <w:szCs w:val="22"/>
          <w:lang w:val="en-GB"/>
        </w:rPr>
        <w:t xml:space="preserve">new reforms </w:t>
      </w:r>
      <w:r w:rsidR="00C87FF9" w:rsidRPr="00384F62">
        <w:rPr>
          <w:rFonts w:ascii="Arial" w:hAnsi="Arial" w:cs="Arial"/>
          <w:b/>
          <w:sz w:val="22"/>
          <w:szCs w:val="22"/>
          <w:u w:val="single"/>
          <w:lang w:val="en-GB"/>
        </w:rPr>
        <w:t xml:space="preserve">were </w:t>
      </w:r>
      <w:r w:rsidR="00BC2272" w:rsidRPr="00384F62">
        <w:rPr>
          <w:rFonts w:ascii="Arial" w:hAnsi="Arial" w:cs="Arial"/>
          <w:b/>
          <w:sz w:val="22"/>
          <w:szCs w:val="22"/>
          <w:u w:val="single"/>
          <w:lang w:val="en-GB"/>
        </w:rPr>
        <w:t>not</w:t>
      </w:r>
      <w:r w:rsidR="00BC2272">
        <w:rPr>
          <w:rFonts w:ascii="Arial" w:hAnsi="Arial" w:cs="Arial"/>
          <w:bCs/>
          <w:sz w:val="22"/>
          <w:szCs w:val="22"/>
          <w:lang w:val="en-GB"/>
        </w:rPr>
        <w:t xml:space="preserve"> </w:t>
      </w:r>
      <w:r w:rsidR="00C87FF9" w:rsidRPr="00384F62">
        <w:rPr>
          <w:rFonts w:ascii="Arial" w:hAnsi="Arial" w:cs="Arial"/>
          <w:bCs/>
          <w:sz w:val="22"/>
          <w:szCs w:val="22"/>
          <w:lang w:val="en-GB"/>
        </w:rPr>
        <w:t>introduced by way of the</w:t>
      </w:r>
      <w:r w:rsidR="00C87FF9">
        <w:rPr>
          <w:rFonts w:ascii="Arial" w:hAnsi="Arial" w:cs="Arial"/>
          <w:b/>
          <w:bCs/>
          <w:sz w:val="22"/>
          <w:szCs w:val="22"/>
          <w:lang w:val="en-GB"/>
        </w:rPr>
        <w:t xml:space="preserve"> </w:t>
      </w:r>
      <w:r w:rsidR="00BC2272" w:rsidRPr="00C2645B">
        <w:rPr>
          <w:rFonts w:ascii="Arial" w:hAnsi="Arial" w:cs="Arial"/>
          <w:bCs/>
          <w:sz w:val="22"/>
          <w:szCs w:val="22"/>
          <w:lang w:val="en-GB"/>
        </w:rPr>
        <w:t>2017 amendments to the C</w:t>
      </w:r>
      <w:r w:rsidR="00BC2272">
        <w:rPr>
          <w:rFonts w:ascii="Arial" w:hAnsi="Arial" w:cs="Arial"/>
          <w:bCs/>
          <w:sz w:val="22"/>
          <w:szCs w:val="22"/>
          <w:lang w:val="en-GB"/>
        </w:rPr>
        <w:t>ompanies Act</w:t>
      </w:r>
      <w:r>
        <w:rPr>
          <w:rFonts w:ascii="Arial" w:hAnsi="Arial" w:cs="Arial"/>
          <w:sz w:val="22"/>
          <w:szCs w:val="22"/>
          <w:lang w:val="en-GB"/>
        </w:rPr>
        <w:t xml:space="preserve">? </w:t>
      </w:r>
    </w:p>
    <w:p w14:paraId="2CC41920" w14:textId="77777777" w:rsidR="00C55824" w:rsidRPr="006D2BBF" w:rsidRDefault="00C55824" w:rsidP="00C55824">
      <w:pPr>
        <w:jc w:val="both"/>
        <w:rPr>
          <w:rFonts w:ascii="Arial" w:hAnsi="Arial" w:cs="Arial"/>
          <w:sz w:val="22"/>
          <w:szCs w:val="22"/>
          <w:lang w:val="en-GB"/>
        </w:rPr>
      </w:pPr>
    </w:p>
    <w:p w14:paraId="7A04B2AB" w14:textId="1E6AB3D2" w:rsidR="00876F56"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The automatic moratorium</w:t>
      </w:r>
      <w:r w:rsidR="00384F62">
        <w:rPr>
          <w:rFonts w:ascii="Arial" w:hAnsi="Arial" w:cs="Arial"/>
          <w:sz w:val="22"/>
          <w:szCs w:val="22"/>
          <w:lang w:val="en-GB"/>
        </w:rPr>
        <w:t>.</w:t>
      </w:r>
    </w:p>
    <w:p w14:paraId="579A2F64" w14:textId="77777777" w:rsidR="003541EB" w:rsidRPr="003541EB" w:rsidRDefault="003541EB" w:rsidP="003541EB">
      <w:pPr>
        <w:jc w:val="both"/>
        <w:rPr>
          <w:rFonts w:ascii="Arial" w:hAnsi="Arial" w:cs="Arial"/>
          <w:sz w:val="22"/>
          <w:szCs w:val="22"/>
          <w:lang w:val="en-GB"/>
        </w:rPr>
      </w:pPr>
    </w:p>
    <w:p w14:paraId="2147465B" w14:textId="7E814844" w:rsidR="00876F56"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The cross-class cram down</w:t>
      </w:r>
      <w:r w:rsidR="00384F62">
        <w:rPr>
          <w:rFonts w:ascii="Arial" w:hAnsi="Arial" w:cs="Arial"/>
          <w:sz w:val="22"/>
          <w:szCs w:val="22"/>
          <w:lang w:val="en-GB"/>
        </w:rPr>
        <w:t>.</w:t>
      </w:r>
    </w:p>
    <w:p w14:paraId="42CD12C5" w14:textId="77777777" w:rsidR="003541EB" w:rsidRPr="003541EB" w:rsidRDefault="003541EB" w:rsidP="003541EB">
      <w:pPr>
        <w:jc w:val="both"/>
        <w:rPr>
          <w:rFonts w:ascii="Arial" w:hAnsi="Arial" w:cs="Arial"/>
          <w:sz w:val="22"/>
          <w:szCs w:val="22"/>
          <w:lang w:val="en-GB"/>
        </w:rPr>
      </w:pPr>
    </w:p>
    <w:p w14:paraId="4662CAD4" w14:textId="40BE55C2" w:rsidR="00876F56" w:rsidRPr="00CC17AA" w:rsidRDefault="00C87FF9" w:rsidP="00BE65AA">
      <w:pPr>
        <w:pStyle w:val="ListParagraph"/>
        <w:numPr>
          <w:ilvl w:val="0"/>
          <w:numId w:val="10"/>
        </w:numPr>
        <w:ind w:left="426"/>
        <w:jc w:val="both"/>
        <w:rPr>
          <w:rFonts w:ascii="Arial" w:hAnsi="Arial" w:cs="Arial"/>
          <w:sz w:val="22"/>
          <w:szCs w:val="22"/>
          <w:highlight w:val="yellow"/>
          <w:lang w:val="en-GB"/>
        </w:rPr>
      </w:pPr>
      <w:r w:rsidRPr="00CC17AA">
        <w:rPr>
          <w:rFonts w:ascii="Arial" w:hAnsi="Arial" w:cs="Arial"/>
          <w:sz w:val="22"/>
          <w:szCs w:val="22"/>
          <w:highlight w:val="yellow"/>
          <w:lang w:val="en-GB"/>
        </w:rPr>
        <w:t xml:space="preserve">Restrictions on </w:t>
      </w:r>
      <w:r w:rsidR="00BC2272" w:rsidRPr="00CC17AA">
        <w:rPr>
          <w:rFonts w:ascii="Arial" w:hAnsi="Arial" w:cs="Arial"/>
          <w:i/>
          <w:iCs/>
          <w:sz w:val="22"/>
          <w:szCs w:val="22"/>
          <w:highlight w:val="yellow"/>
          <w:lang w:val="en-GB"/>
        </w:rPr>
        <w:t>ipso facto</w:t>
      </w:r>
      <w:r w:rsidR="00BC2272" w:rsidRPr="00CC17AA">
        <w:rPr>
          <w:rFonts w:ascii="Arial" w:hAnsi="Arial" w:cs="Arial"/>
          <w:sz w:val="22"/>
          <w:szCs w:val="22"/>
          <w:highlight w:val="yellow"/>
          <w:lang w:val="en-GB"/>
        </w:rPr>
        <w:t xml:space="preserve"> clauses</w:t>
      </w:r>
      <w:r w:rsidR="00384F62" w:rsidRPr="00CC17AA">
        <w:rPr>
          <w:rFonts w:ascii="Arial" w:hAnsi="Arial" w:cs="Arial"/>
          <w:sz w:val="22"/>
          <w:szCs w:val="22"/>
          <w:highlight w:val="yellow"/>
          <w:lang w:val="en-GB"/>
        </w:rPr>
        <w:t>.</w:t>
      </w:r>
    </w:p>
    <w:p w14:paraId="091F0105" w14:textId="77777777" w:rsidR="003541EB" w:rsidRPr="003541EB" w:rsidRDefault="003541EB" w:rsidP="003541EB">
      <w:pPr>
        <w:jc w:val="both"/>
        <w:rPr>
          <w:rFonts w:ascii="Arial" w:hAnsi="Arial" w:cs="Arial"/>
          <w:sz w:val="22"/>
          <w:szCs w:val="22"/>
          <w:lang w:val="en-GB"/>
        </w:rPr>
      </w:pPr>
    </w:p>
    <w:p w14:paraId="570C0294" w14:textId="60ECD375" w:rsidR="00876F56" w:rsidRPr="003541EB"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Pre-packaged scheme of arrangement</w:t>
      </w:r>
      <w:r w:rsidR="00384F62">
        <w:rPr>
          <w:rFonts w:ascii="Arial" w:hAnsi="Arial" w:cs="Arial"/>
          <w:sz w:val="22"/>
          <w:szCs w:val="22"/>
          <w:lang w:val="en-GB"/>
        </w:rPr>
        <w:t>.</w:t>
      </w:r>
    </w:p>
    <w:p w14:paraId="02CBC043" w14:textId="1415D176" w:rsidR="005B79F4" w:rsidRDefault="005B79F4" w:rsidP="00C55824">
      <w:pPr>
        <w:jc w:val="both"/>
        <w:rPr>
          <w:rFonts w:ascii="Arial" w:eastAsiaTheme="minorHAnsi" w:hAnsi="Arial" w:cs="Arial"/>
          <w:sz w:val="22"/>
          <w:szCs w:val="22"/>
          <w:lang w:val="en-GB"/>
        </w:rPr>
      </w:pPr>
    </w:p>
    <w:p w14:paraId="241161DA" w14:textId="77777777" w:rsidR="00384F62" w:rsidRDefault="00384F62" w:rsidP="00C55824">
      <w:pPr>
        <w:jc w:val="both"/>
        <w:rPr>
          <w:rFonts w:ascii="Arial" w:eastAsiaTheme="minorHAnsi" w:hAnsi="Arial" w:cs="Arial"/>
          <w:sz w:val="22"/>
          <w:szCs w:val="22"/>
          <w:lang w:val="en-GB"/>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259713FD" w:rsidR="00A01DDA" w:rsidRDefault="00170EF8" w:rsidP="00C55824">
      <w:pPr>
        <w:jc w:val="both"/>
        <w:rPr>
          <w:rFonts w:ascii="Arial" w:hAnsi="Arial" w:cs="Arial"/>
          <w:sz w:val="22"/>
          <w:szCs w:val="22"/>
          <w:lang w:val="en-GB"/>
        </w:rPr>
      </w:pPr>
      <w:r>
        <w:rPr>
          <w:rFonts w:ascii="Arial" w:hAnsi="Arial" w:cs="Arial"/>
          <w:sz w:val="22"/>
          <w:szCs w:val="22"/>
          <w:lang w:val="en-GB"/>
        </w:rPr>
        <w:t>Who amongst</w:t>
      </w:r>
      <w:r w:rsidR="006F2457">
        <w:rPr>
          <w:rFonts w:ascii="Arial" w:hAnsi="Arial" w:cs="Arial"/>
          <w:sz w:val="22"/>
          <w:szCs w:val="22"/>
          <w:lang w:val="en-GB"/>
        </w:rPr>
        <w:t xml:space="preserve"> the following </w:t>
      </w:r>
      <w:r w:rsidRPr="00384F62">
        <w:rPr>
          <w:rFonts w:ascii="Arial" w:hAnsi="Arial" w:cs="Arial"/>
          <w:b/>
          <w:bCs/>
          <w:sz w:val="22"/>
          <w:szCs w:val="22"/>
          <w:u w:val="single"/>
          <w:lang w:val="en-GB"/>
        </w:rPr>
        <w:t xml:space="preserve">may not </w:t>
      </w:r>
      <w:r w:rsidRPr="00384F62">
        <w:rPr>
          <w:rFonts w:ascii="Arial" w:hAnsi="Arial" w:cs="Arial"/>
          <w:sz w:val="22"/>
          <w:szCs w:val="22"/>
          <w:lang w:val="en-GB"/>
        </w:rPr>
        <w:t>bring</w:t>
      </w:r>
      <w:r>
        <w:rPr>
          <w:rFonts w:ascii="Arial" w:hAnsi="Arial" w:cs="Arial"/>
          <w:sz w:val="22"/>
          <w:szCs w:val="22"/>
          <w:lang w:val="en-GB"/>
        </w:rPr>
        <w:t xml:space="preserve"> a judicial management application? </w:t>
      </w:r>
    </w:p>
    <w:p w14:paraId="78960EE5" w14:textId="77777777" w:rsidR="00C55824" w:rsidRPr="006D2BBF" w:rsidRDefault="00C55824" w:rsidP="00F674C7">
      <w:pPr>
        <w:jc w:val="both"/>
        <w:rPr>
          <w:rFonts w:ascii="Arial" w:hAnsi="Arial" w:cs="Arial"/>
          <w:sz w:val="22"/>
          <w:szCs w:val="22"/>
          <w:lang w:val="en-GB"/>
        </w:rPr>
      </w:pPr>
    </w:p>
    <w:p w14:paraId="2FC64D9F" w14:textId="5FA59EAF" w:rsidR="00876F56" w:rsidRDefault="00C21EB5"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ompany by way of a members’ resolution</w:t>
      </w:r>
      <w:r w:rsidR="00384F62">
        <w:rPr>
          <w:rFonts w:ascii="Arial" w:hAnsi="Arial" w:cs="Arial"/>
          <w:sz w:val="22"/>
          <w:szCs w:val="22"/>
          <w:lang w:val="en-GB"/>
        </w:rPr>
        <w:t>.</w:t>
      </w:r>
    </w:p>
    <w:p w14:paraId="5C585436" w14:textId="77777777" w:rsidR="005B5514" w:rsidRPr="005B5514" w:rsidRDefault="005B5514" w:rsidP="005B5514">
      <w:pPr>
        <w:jc w:val="both"/>
        <w:rPr>
          <w:rFonts w:ascii="Arial" w:hAnsi="Arial" w:cs="Arial"/>
          <w:sz w:val="22"/>
          <w:szCs w:val="22"/>
          <w:lang w:val="en-GB"/>
        </w:rPr>
      </w:pPr>
    </w:p>
    <w:p w14:paraId="659C8BED" w14:textId="6C7264F3" w:rsidR="00876F56" w:rsidRPr="00E57702" w:rsidRDefault="00C21EB5" w:rsidP="00BE65AA">
      <w:pPr>
        <w:pStyle w:val="ListParagraph"/>
        <w:numPr>
          <w:ilvl w:val="0"/>
          <w:numId w:val="11"/>
        </w:numPr>
        <w:ind w:left="426"/>
        <w:jc w:val="both"/>
        <w:rPr>
          <w:rFonts w:ascii="Arial" w:hAnsi="Arial" w:cs="Arial"/>
          <w:sz w:val="22"/>
          <w:szCs w:val="22"/>
          <w:highlight w:val="yellow"/>
          <w:lang w:val="en-GB"/>
        </w:rPr>
      </w:pPr>
      <w:r w:rsidRPr="00E57702">
        <w:rPr>
          <w:rFonts w:ascii="Arial" w:hAnsi="Arial" w:cs="Arial"/>
          <w:sz w:val="22"/>
          <w:szCs w:val="22"/>
          <w:highlight w:val="yellow"/>
          <w:lang w:val="en-GB"/>
        </w:rPr>
        <w:t xml:space="preserve">The </w:t>
      </w:r>
      <w:r w:rsidR="00384F62" w:rsidRPr="00E57702">
        <w:rPr>
          <w:rFonts w:ascii="Arial" w:hAnsi="Arial" w:cs="Arial"/>
          <w:sz w:val="22"/>
          <w:szCs w:val="22"/>
          <w:highlight w:val="yellow"/>
          <w:lang w:val="en-GB"/>
        </w:rPr>
        <w:t>l</w:t>
      </w:r>
      <w:r w:rsidRPr="00E57702">
        <w:rPr>
          <w:rFonts w:ascii="Arial" w:hAnsi="Arial" w:cs="Arial"/>
          <w:sz w:val="22"/>
          <w:szCs w:val="22"/>
          <w:highlight w:val="yellow"/>
          <w:lang w:val="en-GB"/>
        </w:rPr>
        <w:t xml:space="preserve">iquidator by way of an application to </w:t>
      </w:r>
      <w:r w:rsidR="00384F62" w:rsidRPr="00E57702">
        <w:rPr>
          <w:rFonts w:ascii="Arial" w:hAnsi="Arial" w:cs="Arial"/>
          <w:sz w:val="22"/>
          <w:szCs w:val="22"/>
          <w:highlight w:val="yellow"/>
          <w:lang w:val="en-GB"/>
        </w:rPr>
        <w:t>c</w:t>
      </w:r>
      <w:r w:rsidRPr="00E57702">
        <w:rPr>
          <w:rFonts w:ascii="Arial" w:hAnsi="Arial" w:cs="Arial"/>
          <w:sz w:val="22"/>
          <w:szCs w:val="22"/>
          <w:highlight w:val="yellow"/>
          <w:lang w:val="en-GB"/>
        </w:rPr>
        <w:t>ourt</w:t>
      </w:r>
      <w:r w:rsidR="00384F62" w:rsidRPr="00E57702">
        <w:rPr>
          <w:rFonts w:ascii="Arial" w:hAnsi="Arial" w:cs="Arial"/>
          <w:sz w:val="22"/>
          <w:szCs w:val="22"/>
          <w:highlight w:val="yellow"/>
          <w:lang w:val="en-GB"/>
        </w:rPr>
        <w:t>.</w:t>
      </w:r>
    </w:p>
    <w:p w14:paraId="71B57179" w14:textId="77777777" w:rsidR="005B5514" w:rsidRPr="005B5514" w:rsidRDefault="005B5514" w:rsidP="005B5514">
      <w:pPr>
        <w:jc w:val="both"/>
        <w:rPr>
          <w:rFonts w:ascii="Arial" w:hAnsi="Arial" w:cs="Arial"/>
          <w:sz w:val="22"/>
          <w:szCs w:val="22"/>
          <w:lang w:val="en-GB"/>
        </w:rPr>
      </w:pPr>
    </w:p>
    <w:p w14:paraId="41B0E1A8" w14:textId="59656214" w:rsidR="00876F56" w:rsidRDefault="000E0D36"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d</w:t>
      </w:r>
      <w:r>
        <w:rPr>
          <w:rFonts w:ascii="Arial" w:hAnsi="Arial" w:cs="Arial"/>
          <w:sz w:val="22"/>
          <w:szCs w:val="22"/>
          <w:lang w:val="en-GB"/>
        </w:rPr>
        <w:t>irectors pursuant to a board resolution</w:t>
      </w:r>
      <w:r w:rsidR="00384F62">
        <w:rPr>
          <w:rFonts w:ascii="Arial" w:hAnsi="Arial" w:cs="Arial"/>
          <w:sz w:val="22"/>
          <w:szCs w:val="22"/>
          <w:lang w:val="en-GB"/>
        </w:rPr>
        <w:t>.</w:t>
      </w:r>
    </w:p>
    <w:p w14:paraId="1EEC6E18" w14:textId="77777777" w:rsidR="005B5514" w:rsidRPr="005B5514" w:rsidRDefault="005B5514" w:rsidP="005B5514">
      <w:pPr>
        <w:jc w:val="both"/>
        <w:rPr>
          <w:rFonts w:ascii="Arial" w:hAnsi="Arial" w:cs="Arial"/>
          <w:sz w:val="22"/>
          <w:szCs w:val="22"/>
          <w:lang w:val="en-GB"/>
        </w:rPr>
      </w:pPr>
    </w:p>
    <w:p w14:paraId="339170DA" w14:textId="75947B18" w:rsidR="006F2457" w:rsidRPr="005B5514" w:rsidRDefault="000E0D36">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reditors either together or separately</w:t>
      </w:r>
      <w:r w:rsidR="00384F62">
        <w:rPr>
          <w:rFonts w:ascii="Arial" w:hAnsi="Arial" w:cs="Arial"/>
          <w:sz w:val="22"/>
          <w:szCs w:val="22"/>
          <w:lang w:val="en-GB"/>
        </w:rPr>
        <w:t>.</w:t>
      </w:r>
    </w:p>
    <w:p w14:paraId="2733446D" w14:textId="77777777" w:rsidR="005B79F4" w:rsidRPr="006F2457" w:rsidRDefault="005B79F4" w:rsidP="00384F62">
      <w:pPr>
        <w:pStyle w:val="ListParagraph"/>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04A7D311" w:rsidR="00876F56" w:rsidRDefault="0007291B" w:rsidP="00C55824">
      <w:pPr>
        <w:jc w:val="both"/>
        <w:rPr>
          <w:rFonts w:ascii="Arial" w:hAnsi="Arial" w:cs="Arial"/>
          <w:sz w:val="22"/>
          <w:szCs w:val="22"/>
          <w:lang w:val="en-GB"/>
        </w:rPr>
      </w:pPr>
      <w:r>
        <w:rPr>
          <w:rFonts w:ascii="Arial" w:hAnsi="Arial" w:cs="Arial"/>
          <w:sz w:val="22"/>
          <w:szCs w:val="22"/>
          <w:lang w:val="en-GB"/>
        </w:rPr>
        <w:t>Which one of the</w:t>
      </w:r>
      <w:r w:rsidR="00361BAA">
        <w:rPr>
          <w:rFonts w:ascii="Arial" w:hAnsi="Arial" w:cs="Arial"/>
          <w:sz w:val="22"/>
          <w:szCs w:val="22"/>
          <w:lang w:val="en-GB"/>
        </w:rPr>
        <w:t xml:space="preserve"> following</w:t>
      </w:r>
      <w:r>
        <w:rPr>
          <w:rFonts w:ascii="Arial" w:hAnsi="Arial" w:cs="Arial"/>
          <w:sz w:val="22"/>
          <w:szCs w:val="22"/>
          <w:lang w:val="en-GB"/>
        </w:rPr>
        <w:t xml:space="preserve"> </w:t>
      </w:r>
      <w:r w:rsidR="00A57528" w:rsidRPr="00384F62">
        <w:rPr>
          <w:rFonts w:ascii="Arial" w:hAnsi="Arial" w:cs="Arial"/>
          <w:b/>
          <w:bCs/>
          <w:sz w:val="22"/>
          <w:szCs w:val="22"/>
          <w:u w:val="single"/>
          <w:lang w:val="en-GB"/>
        </w:rPr>
        <w:t>is not</w:t>
      </w:r>
      <w:r w:rsidR="00A57528">
        <w:rPr>
          <w:rFonts w:ascii="Arial" w:hAnsi="Arial" w:cs="Arial"/>
          <w:sz w:val="22"/>
          <w:szCs w:val="22"/>
          <w:lang w:val="en-GB"/>
        </w:rPr>
        <w:t xml:space="preserve"> one of the statutory duties that a bankrupt is subject to?</w:t>
      </w:r>
    </w:p>
    <w:p w14:paraId="1C6CA528" w14:textId="77777777" w:rsidR="00C55824" w:rsidRPr="00C55824" w:rsidRDefault="00C55824" w:rsidP="00C55824">
      <w:pPr>
        <w:jc w:val="both"/>
        <w:rPr>
          <w:rFonts w:ascii="Arial" w:hAnsi="Arial" w:cs="Arial"/>
          <w:sz w:val="22"/>
          <w:szCs w:val="22"/>
          <w:lang w:val="en-GB"/>
        </w:rPr>
      </w:pPr>
    </w:p>
    <w:p w14:paraId="0F08BF2F" w14:textId="066AD255" w:rsidR="00876F56" w:rsidRDefault="00A57528" w:rsidP="00BE65AA">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M</w:t>
      </w:r>
      <w:r w:rsidRPr="00A57528">
        <w:rPr>
          <w:rFonts w:ascii="Arial" w:hAnsi="Arial" w:cs="Arial"/>
          <w:sz w:val="22"/>
          <w:szCs w:val="22"/>
          <w:lang w:val="en-GB"/>
        </w:rPr>
        <w:t>ake discovery of and deliver all his property to the Official Assignee</w:t>
      </w:r>
      <w:r w:rsidR="00384F62">
        <w:rPr>
          <w:rFonts w:ascii="Arial" w:hAnsi="Arial" w:cs="Arial"/>
          <w:sz w:val="22"/>
          <w:szCs w:val="22"/>
          <w:lang w:val="en-GB"/>
        </w:rPr>
        <w:t>.</w:t>
      </w:r>
    </w:p>
    <w:p w14:paraId="27A3BE93" w14:textId="77777777" w:rsidR="00853901" w:rsidRPr="00853901" w:rsidRDefault="00853901" w:rsidP="00853901">
      <w:pPr>
        <w:jc w:val="both"/>
        <w:rPr>
          <w:rFonts w:ascii="Arial" w:hAnsi="Arial" w:cs="Arial"/>
          <w:sz w:val="22"/>
          <w:szCs w:val="22"/>
          <w:lang w:val="en-GB"/>
        </w:rPr>
      </w:pPr>
    </w:p>
    <w:p w14:paraId="5D9B24C5" w14:textId="4F31831C" w:rsidR="00876F56" w:rsidRDefault="00A57528" w:rsidP="00BE65AA">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D</w:t>
      </w:r>
      <w:r w:rsidRPr="00A57528">
        <w:rPr>
          <w:rFonts w:ascii="Arial" w:hAnsi="Arial" w:cs="Arial"/>
          <w:sz w:val="22"/>
          <w:szCs w:val="22"/>
          <w:lang w:val="en-GB"/>
        </w:rPr>
        <w:t>isclose all property disposed of by gift or settlement without adequate valuable consideration within the five years immediately preceding his bankruptcy</w:t>
      </w:r>
      <w:r w:rsidR="00384F62">
        <w:rPr>
          <w:rFonts w:ascii="Arial" w:hAnsi="Arial" w:cs="Arial"/>
          <w:sz w:val="22"/>
          <w:szCs w:val="22"/>
          <w:lang w:val="en-GB"/>
        </w:rPr>
        <w:t>.</w:t>
      </w:r>
    </w:p>
    <w:p w14:paraId="65914EA3" w14:textId="77777777" w:rsidR="00853901" w:rsidRPr="00853901" w:rsidRDefault="00853901" w:rsidP="00853901">
      <w:pPr>
        <w:jc w:val="both"/>
        <w:rPr>
          <w:rFonts w:ascii="Arial" w:hAnsi="Arial" w:cs="Arial"/>
          <w:sz w:val="22"/>
          <w:szCs w:val="22"/>
          <w:lang w:val="en-GB"/>
        </w:rPr>
      </w:pPr>
    </w:p>
    <w:p w14:paraId="23DE8A56" w14:textId="397FA243" w:rsidR="00876F56" w:rsidRPr="00583FDF" w:rsidRDefault="00391426" w:rsidP="00BE65AA">
      <w:pPr>
        <w:pStyle w:val="ListParagraph"/>
        <w:numPr>
          <w:ilvl w:val="0"/>
          <w:numId w:val="12"/>
        </w:numPr>
        <w:ind w:left="426"/>
        <w:jc w:val="both"/>
        <w:rPr>
          <w:rFonts w:ascii="Arial" w:hAnsi="Arial" w:cs="Arial"/>
          <w:sz w:val="22"/>
          <w:szCs w:val="22"/>
          <w:highlight w:val="yellow"/>
          <w:lang w:val="en-GB"/>
        </w:rPr>
      </w:pPr>
      <w:r w:rsidRPr="00583FDF">
        <w:rPr>
          <w:rFonts w:ascii="Arial" w:hAnsi="Arial" w:cs="Arial"/>
          <w:sz w:val="22"/>
          <w:szCs w:val="22"/>
          <w:highlight w:val="yellow"/>
          <w:lang w:val="en-GB"/>
        </w:rPr>
        <w:t>Not being able to travel overseas at all</w:t>
      </w:r>
      <w:r w:rsidR="00384F62" w:rsidRPr="00583FDF">
        <w:rPr>
          <w:rFonts w:ascii="Arial" w:hAnsi="Arial" w:cs="Arial"/>
          <w:sz w:val="22"/>
          <w:szCs w:val="22"/>
          <w:highlight w:val="yellow"/>
          <w:lang w:val="en-GB"/>
        </w:rPr>
        <w:t>.</w:t>
      </w:r>
    </w:p>
    <w:p w14:paraId="3C22A1F8" w14:textId="77777777" w:rsidR="00853901" w:rsidRPr="00853901" w:rsidRDefault="00853901" w:rsidP="00853901">
      <w:pPr>
        <w:jc w:val="both"/>
        <w:rPr>
          <w:rFonts w:ascii="Arial" w:hAnsi="Arial" w:cs="Arial"/>
          <w:sz w:val="22"/>
          <w:szCs w:val="22"/>
          <w:lang w:val="en-GB"/>
        </w:rPr>
      </w:pPr>
    </w:p>
    <w:p w14:paraId="2B6DC6E2" w14:textId="15E19E53" w:rsidR="00876F56" w:rsidRPr="00853901" w:rsidRDefault="00A57528" w:rsidP="00BE65AA">
      <w:pPr>
        <w:pStyle w:val="ListParagraph"/>
        <w:widowControl w:val="0"/>
        <w:numPr>
          <w:ilvl w:val="0"/>
          <w:numId w:val="12"/>
        </w:numPr>
        <w:ind w:left="426"/>
        <w:jc w:val="both"/>
        <w:rPr>
          <w:rFonts w:ascii="Arial" w:hAnsi="Arial" w:cs="Arial"/>
          <w:sz w:val="22"/>
          <w:szCs w:val="22"/>
          <w:lang w:val="en-GB"/>
        </w:rPr>
      </w:pPr>
      <w:r>
        <w:rPr>
          <w:rFonts w:ascii="Arial" w:hAnsi="Arial" w:cs="Arial"/>
          <w:sz w:val="22"/>
          <w:szCs w:val="22"/>
          <w:lang w:val="en-GB"/>
        </w:rPr>
        <w:t>A</w:t>
      </w:r>
      <w:r w:rsidRPr="00A57528">
        <w:rPr>
          <w:rFonts w:ascii="Arial" w:hAnsi="Arial" w:cs="Arial"/>
          <w:sz w:val="22"/>
          <w:szCs w:val="22"/>
          <w:lang w:val="en-GB"/>
        </w:rPr>
        <w:t>ttend meetings with the Official Assignee and answer all relevant questions</w:t>
      </w:r>
      <w:r w:rsidR="00384F62">
        <w:rPr>
          <w:rFonts w:ascii="Arial" w:hAnsi="Arial" w:cs="Arial"/>
          <w:sz w:val="22"/>
          <w:szCs w:val="22"/>
          <w:lang w:val="en-GB"/>
        </w:rPr>
        <w:t>.</w:t>
      </w:r>
    </w:p>
    <w:p w14:paraId="2D738413" w14:textId="77777777" w:rsidR="007E40F0" w:rsidRDefault="007E40F0" w:rsidP="007E40F0">
      <w:pPr>
        <w:widowControl w:val="0"/>
        <w:jc w:val="both"/>
        <w:rPr>
          <w:rFonts w:ascii="Arial" w:hAnsi="Arial" w:cs="Arial"/>
          <w:sz w:val="22"/>
          <w:szCs w:val="22"/>
          <w:lang w:val="en-GB"/>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387F3E58" w:rsidR="00876F56" w:rsidRDefault="0007291B" w:rsidP="007E40F0">
      <w:pPr>
        <w:widowControl w:val="0"/>
        <w:jc w:val="both"/>
        <w:rPr>
          <w:rFonts w:ascii="Arial" w:hAnsi="Arial" w:cs="Arial"/>
          <w:sz w:val="22"/>
          <w:szCs w:val="22"/>
          <w:lang w:val="en-GB"/>
        </w:rPr>
      </w:pPr>
      <w:r>
        <w:rPr>
          <w:rFonts w:ascii="Arial" w:hAnsi="Arial" w:cs="Arial"/>
          <w:sz w:val="22"/>
          <w:szCs w:val="22"/>
          <w:lang w:val="en-GB"/>
        </w:rPr>
        <w:t>Which of the</w:t>
      </w:r>
      <w:r w:rsidR="00726B93">
        <w:rPr>
          <w:rFonts w:ascii="Arial" w:hAnsi="Arial" w:cs="Arial"/>
          <w:sz w:val="22"/>
          <w:szCs w:val="22"/>
          <w:lang w:val="en-GB"/>
        </w:rPr>
        <w:t xml:space="preserve"> following</w:t>
      </w:r>
      <w:r>
        <w:rPr>
          <w:rFonts w:ascii="Arial" w:hAnsi="Arial" w:cs="Arial"/>
          <w:sz w:val="22"/>
          <w:szCs w:val="22"/>
          <w:lang w:val="en-GB"/>
        </w:rPr>
        <w:t xml:space="preserve"> </w:t>
      </w:r>
      <w:r w:rsidR="008569B9" w:rsidRPr="00384F62">
        <w:rPr>
          <w:rFonts w:ascii="Arial" w:hAnsi="Arial" w:cs="Arial"/>
          <w:b/>
          <w:bCs/>
          <w:sz w:val="22"/>
          <w:szCs w:val="22"/>
          <w:u w:val="single"/>
          <w:lang w:val="en-GB"/>
        </w:rPr>
        <w:t>is not</w:t>
      </w:r>
      <w:r w:rsidR="008569B9">
        <w:rPr>
          <w:rFonts w:ascii="Arial" w:hAnsi="Arial" w:cs="Arial"/>
          <w:sz w:val="22"/>
          <w:szCs w:val="22"/>
          <w:lang w:val="en-GB"/>
        </w:rPr>
        <w:t xml:space="preserve"> one of reasons for which the Court will appoint an interim judicial manager:</w:t>
      </w:r>
    </w:p>
    <w:p w14:paraId="5F04F70E" w14:textId="77777777" w:rsidR="00C55824" w:rsidRPr="00C55824" w:rsidRDefault="00C55824" w:rsidP="0020090A">
      <w:pPr>
        <w:keepNext/>
        <w:jc w:val="both"/>
        <w:rPr>
          <w:rFonts w:ascii="Arial" w:hAnsi="Arial" w:cs="Arial"/>
          <w:sz w:val="22"/>
          <w:szCs w:val="22"/>
          <w:lang w:val="en-GB"/>
        </w:rPr>
      </w:pPr>
    </w:p>
    <w:p w14:paraId="6267F999" w14:textId="2635C853" w:rsidR="008B16E7" w:rsidRDefault="0007291B" w:rsidP="00384F62">
      <w:pPr>
        <w:pStyle w:val="ListParagraph"/>
        <w:numPr>
          <w:ilvl w:val="0"/>
          <w:numId w:val="16"/>
        </w:numPr>
        <w:ind w:left="426"/>
        <w:jc w:val="both"/>
        <w:rPr>
          <w:rFonts w:ascii="Arial" w:hAnsi="Arial" w:cs="Arial"/>
          <w:sz w:val="22"/>
          <w:szCs w:val="22"/>
          <w:lang w:val="en-GB"/>
        </w:rPr>
      </w:pPr>
      <w:r w:rsidRPr="00C2645B">
        <w:rPr>
          <w:rFonts w:ascii="Arial" w:hAnsi="Arial" w:cs="Arial"/>
          <w:sz w:val="22"/>
          <w:szCs w:val="22"/>
          <w:lang w:val="en-GB"/>
        </w:rPr>
        <w:t>The</w:t>
      </w:r>
      <w:r w:rsidR="008569B9" w:rsidRPr="00C2645B">
        <w:rPr>
          <w:rFonts w:ascii="Arial" w:hAnsi="Arial" w:cs="Arial"/>
          <w:sz w:val="22"/>
          <w:szCs w:val="22"/>
          <w:lang w:val="en-GB"/>
        </w:rPr>
        <w:t xml:space="preserve"> preservation of the </w:t>
      </w:r>
      <w:r w:rsidR="008569B9" w:rsidRPr="00384F62">
        <w:rPr>
          <w:rFonts w:ascii="Arial" w:hAnsi="Arial" w:cs="Arial"/>
          <w:sz w:val="22"/>
          <w:szCs w:val="22"/>
          <w:lang w:val="en-GB"/>
        </w:rPr>
        <w:t>company’s</w:t>
      </w:r>
      <w:r w:rsidR="008569B9" w:rsidRPr="00C2645B">
        <w:rPr>
          <w:rFonts w:ascii="Arial" w:hAnsi="Arial" w:cs="Arial"/>
          <w:sz w:val="22"/>
          <w:szCs w:val="22"/>
          <w:lang w:val="en-GB"/>
        </w:rPr>
        <w:t xml:space="preserve"> property</w:t>
      </w:r>
      <w:r w:rsidR="008569B9" w:rsidRPr="00384F62">
        <w:rPr>
          <w:rFonts w:ascii="Arial" w:hAnsi="Arial" w:cs="Arial"/>
          <w:sz w:val="22"/>
          <w:szCs w:val="22"/>
          <w:lang w:val="en-GB"/>
        </w:rPr>
        <w:t xml:space="preserve"> or business from dissipation or deterioration</w:t>
      </w:r>
      <w:r w:rsidR="00384F62">
        <w:rPr>
          <w:rFonts w:ascii="Arial" w:hAnsi="Arial" w:cs="Arial"/>
          <w:sz w:val="22"/>
          <w:szCs w:val="22"/>
          <w:lang w:val="en-GB"/>
        </w:rPr>
        <w:t>.</w:t>
      </w:r>
    </w:p>
    <w:p w14:paraId="5C86CE98" w14:textId="7FE8CA86" w:rsidR="00876F56" w:rsidRPr="00C2645B" w:rsidRDefault="00876F56" w:rsidP="00384F62">
      <w:pPr>
        <w:pStyle w:val="ListParagraph"/>
        <w:ind w:left="426"/>
        <w:jc w:val="both"/>
        <w:rPr>
          <w:rFonts w:ascii="Arial" w:hAnsi="Arial" w:cs="Arial"/>
          <w:sz w:val="22"/>
          <w:szCs w:val="22"/>
          <w:lang w:val="en-GB"/>
        </w:rPr>
      </w:pPr>
    </w:p>
    <w:p w14:paraId="7512816B" w14:textId="1C57A5C8" w:rsidR="008B16E7" w:rsidRPr="003D0295" w:rsidRDefault="0007291B" w:rsidP="00384F62">
      <w:pPr>
        <w:pStyle w:val="ListParagraph"/>
        <w:numPr>
          <w:ilvl w:val="0"/>
          <w:numId w:val="16"/>
        </w:numPr>
        <w:ind w:left="426"/>
        <w:jc w:val="both"/>
        <w:rPr>
          <w:rFonts w:ascii="Arial" w:hAnsi="Arial" w:cs="Arial"/>
          <w:sz w:val="22"/>
          <w:szCs w:val="22"/>
          <w:highlight w:val="yellow"/>
          <w:lang w:val="en-GB"/>
        </w:rPr>
      </w:pPr>
      <w:r w:rsidRPr="003D0295">
        <w:rPr>
          <w:rFonts w:ascii="Arial" w:hAnsi="Arial" w:cs="Arial"/>
          <w:sz w:val="22"/>
          <w:szCs w:val="22"/>
          <w:highlight w:val="yellow"/>
          <w:lang w:val="en-GB"/>
        </w:rPr>
        <w:t xml:space="preserve">The </w:t>
      </w:r>
      <w:r w:rsidR="008569B9" w:rsidRPr="003D0295">
        <w:rPr>
          <w:rFonts w:ascii="Arial" w:hAnsi="Arial" w:cs="Arial"/>
          <w:sz w:val="22"/>
          <w:szCs w:val="22"/>
          <w:highlight w:val="yellow"/>
          <w:lang w:val="en-GB"/>
        </w:rPr>
        <w:t>more advantageous realisation of the property than in a liquidation</w:t>
      </w:r>
      <w:r w:rsidR="00384F62" w:rsidRPr="003D0295">
        <w:rPr>
          <w:rFonts w:ascii="Arial" w:hAnsi="Arial" w:cs="Arial"/>
          <w:sz w:val="22"/>
          <w:szCs w:val="22"/>
          <w:highlight w:val="yellow"/>
          <w:lang w:val="en-GB"/>
        </w:rPr>
        <w:t>.</w:t>
      </w:r>
    </w:p>
    <w:p w14:paraId="6BAC1FA2" w14:textId="77777777" w:rsidR="008569B9" w:rsidRPr="00C2645B" w:rsidRDefault="008569B9" w:rsidP="00384F62">
      <w:pPr>
        <w:pStyle w:val="ListParagraph"/>
        <w:ind w:left="426"/>
        <w:jc w:val="both"/>
        <w:rPr>
          <w:lang w:val="en-GB"/>
        </w:rPr>
      </w:pPr>
    </w:p>
    <w:p w14:paraId="436FAE60" w14:textId="62D54F54" w:rsidR="008569B9" w:rsidRPr="00384F62" w:rsidRDefault="008B16E7" w:rsidP="00384F62">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 xml:space="preserve">To </w:t>
      </w:r>
      <w:r w:rsidRPr="00C2645B">
        <w:rPr>
          <w:rFonts w:ascii="Arial" w:hAnsi="Arial" w:cs="Arial"/>
          <w:sz w:val="22"/>
          <w:szCs w:val="22"/>
          <w:lang w:val="en-GB"/>
        </w:rPr>
        <w:t>bridge the gap</w:t>
      </w:r>
      <w:r w:rsidR="008569B9" w:rsidRPr="00384F62">
        <w:rPr>
          <w:rFonts w:ascii="Arial" w:hAnsi="Arial" w:cs="Arial"/>
          <w:sz w:val="22"/>
          <w:szCs w:val="22"/>
          <w:lang w:val="en-GB"/>
        </w:rPr>
        <w:t xml:space="preserve"> between the application for judicial management and the hearing of the judicial management application</w:t>
      </w:r>
      <w:r w:rsidR="00384F62">
        <w:rPr>
          <w:rFonts w:ascii="Arial" w:hAnsi="Arial" w:cs="Arial"/>
          <w:sz w:val="22"/>
          <w:szCs w:val="22"/>
          <w:lang w:val="en-GB"/>
        </w:rPr>
        <w:t>.</w:t>
      </w:r>
    </w:p>
    <w:p w14:paraId="12871E09" w14:textId="77777777" w:rsidR="00C66D43" w:rsidRPr="00C2645B" w:rsidRDefault="00C66D43" w:rsidP="00384F62">
      <w:pPr>
        <w:pStyle w:val="ListParagraph"/>
        <w:ind w:left="426"/>
        <w:jc w:val="both"/>
        <w:rPr>
          <w:rFonts w:ascii="Arial" w:hAnsi="Arial" w:cs="Arial"/>
          <w:sz w:val="22"/>
          <w:szCs w:val="22"/>
          <w:lang w:val="en-GB"/>
        </w:rPr>
      </w:pPr>
    </w:p>
    <w:p w14:paraId="70FF61A2" w14:textId="2C513065" w:rsidR="00876F56" w:rsidRPr="00C66D43" w:rsidRDefault="0007291B" w:rsidP="00384F62">
      <w:pPr>
        <w:pStyle w:val="ListParagraph"/>
        <w:numPr>
          <w:ilvl w:val="0"/>
          <w:numId w:val="16"/>
        </w:numPr>
        <w:ind w:left="426"/>
        <w:jc w:val="both"/>
        <w:rPr>
          <w:rFonts w:ascii="Arial" w:hAnsi="Arial" w:cs="Arial"/>
          <w:sz w:val="22"/>
          <w:szCs w:val="22"/>
          <w:lang w:val="en-GB"/>
        </w:rPr>
      </w:pPr>
      <w:r w:rsidRPr="00C66D43">
        <w:rPr>
          <w:rFonts w:ascii="Arial" w:hAnsi="Arial" w:cs="Arial"/>
          <w:sz w:val="22"/>
          <w:szCs w:val="22"/>
          <w:lang w:val="en-GB"/>
        </w:rPr>
        <w:t>T</w:t>
      </w:r>
      <w:r w:rsidR="008B16E7" w:rsidRPr="008B16E7">
        <w:rPr>
          <w:rFonts w:ascii="Arial" w:hAnsi="Arial" w:cs="Arial"/>
          <w:sz w:val="22"/>
          <w:szCs w:val="22"/>
          <w:lang w:val="en-GB"/>
        </w:rPr>
        <w:t>o safeguard the interests of the company as well as its creditors</w:t>
      </w:r>
      <w:r w:rsidR="00384F62">
        <w:rPr>
          <w:rFonts w:ascii="Arial" w:hAnsi="Arial" w:cs="Arial"/>
          <w:sz w:val="22"/>
          <w:szCs w:val="22"/>
          <w:lang w:val="en-GB"/>
        </w:rPr>
        <w:t>.</w:t>
      </w:r>
    </w:p>
    <w:p w14:paraId="10517512" w14:textId="77777777" w:rsidR="005B79F4" w:rsidRDefault="005B79F4" w:rsidP="00C55824">
      <w:pPr>
        <w:jc w:val="both"/>
        <w:rPr>
          <w:rFonts w:ascii="Arial" w:hAnsi="Arial" w:cs="Arial"/>
          <w:b/>
          <w:sz w:val="22"/>
          <w:szCs w:val="22"/>
          <w:lang w:val="en-GB"/>
        </w:rPr>
      </w:pPr>
    </w:p>
    <w:p w14:paraId="2004F8B3" w14:textId="77777777" w:rsidR="00C55824" w:rsidRPr="00C55824" w:rsidRDefault="00C55824" w:rsidP="002A37BB">
      <w:pPr>
        <w:jc w:val="both"/>
        <w:rPr>
          <w:rFonts w:ascii="Arial" w:hAnsi="Arial" w:cs="Arial"/>
          <w:bCs/>
          <w:sz w:val="22"/>
          <w:szCs w:val="22"/>
          <w:lang w:val="en-GB"/>
        </w:rPr>
      </w:pPr>
    </w:p>
    <w:p w14:paraId="79C5B79A"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1218136" w14:textId="77777777" w:rsidR="00962045" w:rsidRPr="002A37BB" w:rsidRDefault="00962045" w:rsidP="002A37BB">
      <w:pPr>
        <w:ind w:left="720" w:hanging="720"/>
        <w:jc w:val="both"/>
        <w:rPr>
          <w:rFonts w:ascii="Arial" w:hAnsi="Arial" w:cs="Arial"/>
          <w:sz w:val="22"/>
          <w:szCs w:val="22"/>
          <w:lang w:val="en-GB"/>
        </w:rPr>
      </w:pPr>
    </w:p>
    <w:p w14:paraId="6D66CE9B" w14:textId="77777777" w:rsidR="002C13C8" w:rsidRPr="002A37BB" w:rsidRDefault="0007291B"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6D2C9136" w14:textId="77777777" w:rsidR="000214ED" w:rsidRDefault="000214ED" w:rsidP="000214ED">
      <w:pPr>
        <w:jc w:val="both"/>
        <w:rPr>
          <w:rFonts w:ascii="Arial" w:hAnsi="Arial" w:cs="Arial"/>
          <w:sz w:val="22"/>
          <w:szCs w:val="22"/>
          <w:lang w:val="en-GB"/>
        </w:rPr>
      </w:pPr>
    </w:p>
    <w:p w14:paraId="217DE743" w14:textId="298E978E" w:rsidR="000214ED" w:rsidRDefault="000214ED" w:rsidP="000214ED">
      <w:pPr>
        <w:jc w:val="both"/>
        <w:rPr>
          <w:rFonts w:ascii="Arial" w:hAnsi="Arial" w:cs="Arial"/>
          <w:sz w:val="22"/>
          <w:szCs w:val="22"/>
          <w:lang w:val="en-GB"/>
        </w:rPr>
      </w:pPr>
      <w:r>
        <w:rPr>
          <w:rFonts w:ascii="Arial" w:hAnsi="Arial" w:cs="Arial"/>
          <w:sz w:val="22"/>
          <w:szCs w:val="22"/>
          <w:lang w:val="en-GB"/>
        </w:rPr>
        <w:t xml:space="preserve">What is the significance </w:t>
      </w:r>
      <w:r w:rsidRPr="00670CB1">
        <w:rPr>
          <w:rFonts w:ascii="Arial" w:hAnsi="Arial" w:cs="Arial"/>
          <w:sz w:val="22"/>
          <w:szCs w:val="22"/>
          <w:lang w:val="en-GB"/>
        </w:rPr>
        <w:t>of</w:t>
      </w:r>
      <w:r w:rsidR="00384F62">
        <w:rPr>
          <w:rFonts w:ascii="Arial" w:hAnsi="Arial" w:cs="Arial"/>
          <w:sz w:val="22"/>
          <w:szCs w:val="22"/>
          <w:lang w:val="en-GB"/>
        </w:rPr>
        <w:t xml:space="preserve"> the decision in </w:t>
      </w:r>
      <w:r w:rsidRPr="00264F7D">
        <w:rPr>
          <w:rFonts w:ascii="Arial" w:hAnsi="Arial" w:cs="Arial"/>
          <w:i/>
          <w:iCs/>
          <w:sz w:val="22"/>
          <w:szCs w:val="22"/>
          <w:lang w:val="en-GB"/>
        </w:rPr>
        <w:t>Sun Electric Power Pte Ltd v RCMA Asia Pte Ltd</w:t>
      </w:r>
      <w:r w:rsidRPr="00A915E4">
        <w:rPr>
          <w:rFonts w:ascii="Arial" w:hAnsi="Arial" w:cs="Arial"/>
          <w:sz w:val="22"/>
          <w:szCs w:val="22"/>
          <w:lang w:val="en-GB"/>
        </w:rPr>
        <w:t xml:space="preserve"> [2021] SGCA 60</w:t>
      </w:r>
      <w:r>
        <w:rPr>
          <w:rFonts w:ascii="Arial" w:hAnsi="Arial" w:cs="Arial"/>
          <w:sz w:val="22"/>
          <w:szCs w:val="22"/>
          <w:lang w:val="en-GB"/>
        </w:rPr>
        <w:t xml:space="preserve"> and what did the Court of Appeal decide?</w:t>
      </w:r>
    </w:p>
    <w:p w14:paraId="1C10EFEB" w14:textId="2464774D" w:rsidR="002C13C8" w:rsidRDefault="002C13C8" w:rsidP="002A37BB">
      <w:pPr>
        <w:ind w:left="720" w:hanging="720"/>
        <w:jc w:val="both"/>
        <w:rPr>
          <w:rFonts w:ascii="Arial" w:hAnsi="Arial" w:cs="Arial"/>
          <w:sz w:val="22"/>
          <w:szCs w:val="22"/>
          <w:lang w:val="en-GB"/>
        </w:rPr>
      </w:pPr>
    </w:p>
    <w:p w14:paraId="15FE2B33" w14:textId="760C2225" w:rsidR="00384F62" w:rsidRDefault="000E5ABB" w:rsidP="008E21E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w:t>
      </w:r>
      <w:r>
        <w:rPr>
          <w:rFonts w:ascii="Arial" w:hAnsi="Arial" w:cs="Arial"/>
          <w:i/>
          <w:iCs/>
          <w:color w:val="7B7B7B" w:themeColor="accent3" w:themeShade="BF"/>
          <w:sz w:val="22"/>
          <w:szCs w:val="22"/>
        </w:rPr>
        <w:t xml:space="preserve">Sun Electric Power Pte Ltd v RCMA Asia Pte Ltd </w:t>
      </w:r>
      <w:r w:rsidRPr="000E5ABB">
        <w:rPr>
          <w:rFonts w:ascii="Arial" w:hAnsi="Arial" w:cs="Arial"/>
          <w:color w:val="7B7B7B" w:themeColor="accent3" w:themeShade="BF"/>
          <w:sz w:val="22"/>
          <w:szCs w:val="22"/>
        </w:rPr>
        <w:t>[2021] SGCA 60</w:t>
      </w:r>
      <w:r>
        <w:rPr>
          <w:rFonts w:ascii="Arial" w:hAnsi="Arial" w:cs="Arial"/>
          <w:color w:val="7B7B7B" w:themeColor="accent3" w:themeShade="BF"/>
          <w:sz w:val="22"/>
          <w:szCs w:val="22"/>
        </w:rPr>
        <w:t xml:space="preserve">, </w:t>
      </w:r>
      <w:r w:rsidR="001A5AC2">
        <w:rPr>
          <w:rFonts w:ascii="Arial" w:hAnsi="Arial" w:cs="Arial"/>
          <w:color w:val="7B7B7B" w:themeColor="accent3" w:themeShade="BF"/>
          <w:sz w:val="22"/>
          <w:szCs w:val="22"/>
        </w:rPr>
        <w:t xml:space="preserve">the question </w:t>
      </w:r>
      <w:r w:rsidR="00012273">
        <w:rPr>
          <w:rFonts w:ascii="Arial" w:hAnsi="Arial" w:cs="Arial"/>
          <w:color w:val="7B7B7B" w:themeColor="accent3" w:themeShade="BF"/>
          <w:sz w:val="22"/>
          <w:szCs w:val="22"/>
        </w:rPr>
        <w:t>of</w:t>
      </w:r>
      <w:r w:rsidR="001A5AC2">
        <w:rPr>
          <w:rFonts w:ascii="Arial" w:hAnsi="Arial" w:cs="Arial"/>
          <w:color w:val="7B7B7B" w:themeColor="accent3" w:themeShade="BF"/>
          <w:sz w:val="22"/>
          <w:szCs w:val="22"/>
        </w:rPr>
        <w:t xml:space="preserve"> whether a cash flow test and/or a balance sheet test was appropriate to determine whether a company is unable to pay its debts pursuant to section 125(2)(c) of the Insolvency, Restructuring and Dissolution Act 2018 (</w:t>
      </w:r>
      <w:r w:rsidR="001A5AC2">
        <w:rPr>
          <w:rFonts w:ascii="Arial" w:hAnsi="Arial" w:cs="Arial"/>
          <w:b/>
          <w:bCs/>
          <w:color w:val="7B7B7B" w:themeColor="accent3" w:themeShade="BF"/>
          <w:sz w:val="22"/>
          <w:szCs w:val="22"/>
        </w:rPr>
        <w:t>“</w:t>
      </w:r>
      <w:r w:rsidR="00B75BA4">
        <w:rPr>
          <w:rFonts w:ascii="Arial" w:hAnsi="Arial" w:cs="Arial"/>
          <w:b/>
          <w:bCs/>
          <w:color w:val="7B7B7B" w:themeColor="accent3" w:themeShade="BF"/>
          <w:sz w:val="22"/>
          <w:szCs w:val="22"/>
        </w:rPr>
        <w:t xml:space="preserve">the </w:t>
      </w:r>
      <w:r w:rsidR="001A5AC2">
        <w:rPr>
          <w:rFonts w:ascii="Arial" w:hAnsi="Arial" w:cs="Arial"/>
          <w:b/>
          <w:bCs/>
          <w:color w:val="7B7B7B" w:themeColor="accent3" w:themeShade="BF"/>
          <w:sz w:val="22"/>
          <w:szCs w:val="22"/>
        </w:rPr>
        <w:t>IRDA”</w:t>
      </w:r>
      <w:r w:rsidR="001A5AC2">
        <w:rPr>
          <w:rFonts w:ascii="Arial" w:hAnsi="Arial" w:cs="Arial"/>
          <w:color w:val="7B7B7B" w:themeColor="accent3" w:themeShade="BF"/>
          <w:sz w:val="22"/>
          <w:szCs w:val="22"/>
        </w:rPr>
        <w:t>)</w:t>
      </w:r>
      <w:r w:rsidR="004F36F3">
        <w:rPr>
          <w:rFonts w:ascii="Arial" w:hAnsi="Arial" w:cs="Arial"/>
          <w:color w:val="7B7B7B" w:themeColor="accent3" w:themeShade="BF"/>
          <w:sz w:val="22"/>
          <w:szCs w:val="22"/>
        </w:rPr>
        <w:t xml:space="preserve"> was addressed</w:t>
      </w:r>
      <w:r w:rsidR="001A5AC2">
        <w:rPr>
          <w:rFonts w:ascii="Arial" w:hAnsi="Arial" w:cs="Arial"/>
          <w:color w:val="7B7B7B" w:themeColor="accent3" w:themeShade="BF"/>
          <w:sz w:val="22"/>
          <w:szCs w:val="22"/>
        </w:rPr>
        <w:t>.</w:t>
      </w:r>
      <w:r w:rsidR="00B75BA4">
        <w:rPr>
          <w:rFonts w:ascii="Arial" w:hAnsi="Arial" w:cs="Arial"/>
          <w:color w:val="7B7B7B" w:themeColor="accent3" w:themeShade="BF"/>
          <w:sz w:val="22"/>
          <w:szCs w:val="22"/>
        </w:rPr>
        <w:t xml:space="preserve">  The Singapore Court </w:t>
      </w:r>
      <w:r w:rsidR="00B75BA4">
        <w:rPr>
          <w:rFonts w:ascii="Arial" w:hAnsi="Arial" w:cs="Arial"/>
          <w:color w:val="7B7B7B" w:themeColor="accent3" w:themeShade="BF"/>
          <w:sz w:val="22"/>
          <w:szCs w:val="22"/>
        </w:rPr>
        <w:lastRenderedPageBreak/>
        <w:t>of Appeal clarified that the cash flow test should be the sole and determinative test under this section.</w:t>
      </w:r>
      <w:r w:rsidR="00B75BA4">
        <w:rPr>
          <w:rStyle w:val="FootnoteReference"/>
          <w:rFonts w:ascii="Arial" w:hAnsi="Arial" w:cs="Arial"/>
          <w:color w:val="7B7B7B" w:themeColor="accent3" w:themeShade="BF"/>
          <w:sz w:val="22"/>
          <w:szCs w:val="22"/>
        </w:rPr>
        <w:footnoteReference w:id="1"/>
      </w:r>
    </w:p>
    <w:p w14:paraId="713C31C0" w14:textId="77777777" w:rsidR="00E93622" w:rsidRDefault="00E93622" w:rsidP="008E21EB">
      <w:pPr>
        <w:jc w:val="both"/>
        <w:rPr>
          <w:rFonts w:ascii="Arial" w:hAnsi="Arial" w:cs="Arial"/>
          <w:color w:val="7B7B7B" w:themeColor="accent3" w:themeShade="BF"/>
          <w:sz w:val="22"/>
          <w:szCs w:val="22"/>
        </w:rPr>
      </w:pPr>
    </w:p>
    <w:p w14:paraId="4A5C51C1" w14:textId="7F7BEB4A" w:rsidR="00637AE7" w:rsidRDefault="004E2E8E" w:rsidP="00E15D6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addition, the Court of Appeal set out a non-exhaustive list of factors that should be considered </w:t>
      </w:r>
      <w:r w:rsidR="00637AE7">
        <w:rPr>
          <w:rFonts w:ascii="Arial" w:hAnsi="Arial" w:cs="Arial"/>
          <w:color w:val="7B7B7B" w:themeColor="accent3" w:themeShade="BF"/>
          <w:sz w:val="22"/>
          <w:szCs w:val="22"/>
        </w:rPr>
        <w:t>under the cash flow test, including:</w:t>
      </w:r>
      <w:r w:rsidR="00637AE7">
        <w:rPr>
          <w:rStyle w:val="FootnoteReference"/>
          <w:rFonts w:ascii="Arial" w:hAnsi="Arial" w:cs="Arial"/>
          <w:color w:val="7B7B7B" w:themeColor="accent3" w:themeShade="BF"/>
          <w:sz w:val="22"/>
          <w:szCs w:val="22"/>
        </w:rPr>
        <w:footnoteReference w:id="2"/>
      </w:r>
    </w:p>
    <w:p w14:paraId="71440D75" w14:textId="77777777" w:rsidR="00E15D6D" w:rsidRDefault="00E15D6D" w:rsidP="00E15D6D">
      <w:pPr>
        <w:jc w:val="both"/>
        <w:rPr>
          <w:rFonts w:ascii="Arial" w:hAnsi="Arial" w:cs="Arial"/>
          <w:color w:val="7B7B7B" w:themeColor="accent3" w:themeShade="BF"/>
          <w:sz w:val="22"/>
          <w:szCs w:val="22"/>
        </w:rPr>
      </w:pPr>
    </w:p>
    <w:p w14:paraId="592C5478" w14:textId="24D6FD71" w:rsidR="00E15D6D" w:rsidRDefault="00E15D6D" w:rsidP="00E15D6D">
      <w:pPr>
        <w:pStyle w:val="ListParagraph"/>
        <w:numPr>
          <w:ilvl w:val="0"/>
          <w:numId w:val="1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quantum of all debts which are due or will be due in the reasonably near future;</w:t>
      </w:r>
    </w:p>
    <w:p w14:paraId="7BC9129E" w14:textId="77777777" w:rsidR="00E15D6D" w:rsidRDefault="00E15D6D" w:rsidP="00E15D6D">
      <w:pPr>
        <w:pStyle w:val="ListParagraph"/>
        <w:jc w:val="both"/>
        <w:rPr>
          <w:rFonts w:ascii="Arial" w:hAnsi="Arial" w:cs="Arial"/>
          <w:color w:val="7B7B7B" w:themeColor="accent3" w:themeShade="BF"/>
          <w:sz w:val="22"/>
          <w:szCs w:val="22"/>
        </w:rPr>
      </w:pPr>
    </w:p>
    <w:p w14:paraId="730513D6" w14:textId="4036D7D7" w:rsidR="00E15D6D" w:rsidRDefault="00E15D6D" w:rsidP="00E15D6D">
      <w:pPr>
        <w:pStyle w:val="ListParagraph"/>
        <w:numPr>
          <w:ilvl w:val="0"/>
          <w:numId w:val="1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Whether the payment is being demanded or is likely to be demanded for those debts;</w:t>
      </w:r>
    </w:p>
    <w:p w14:paraId="7F3D8342" w14:textId="77777777" w:rsidR="00E15D6D" w:rsidRPr="00E15D6D" w:rsidRDefault="00E15D6D" w:rsidP="00E15D6D">
      <w:pPr>
        <w:pStyle w:val="ListParagraph"/>
        <w:rPr>
          <w:rFonts w:ascii="Arial" w:hAnsi="Arial" w:cs="Arial"/>
          <w:color w:val="7B7B7B" w:themeColor="accent3" w:themeShade="BF"/>
          <w:sz w:val="22"/>
          <w:szCs w:val="22"/>
        </w:rPr>
      </w:pPr>
    </w:p>
    <w:p w14:paraId="796DAAC7" w14:textId="0ED8E614" w:rsidR="00E15D6D" w:rsidRDefault="00E15D6D" w:rsidP="00E15D6D">
      <w:pPr>
        <w:pStyle w:val="ListParagraph"/>
        <w:numPr>
          <w:ilvl w:val="0"/>
          <w:numId w:val="1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Whether the company has failed to pay any of its debts, the quantum of such debt, and for how long the company has failed to pay it;</w:t>
      </w:r>
    </w:p>
    <w:p w14:paraId="3ECE4AEF" w14:textId="77777777" w:rsidR="00E15D6D" w:rsidRPr="00E15D6D" w:rsidRDefault="00E15D6D" w:rsidP="00E15D6D">
      <w:pPr>
        <w:pStyle w:val="ListParagraph"/>
        <w:rPr>
          <w:rFonts w:ascii="Arial" w:hAnsi="Arial" w:cs="Arial"/>
          <w:color w:val="7B7B7B" w:themeColor="accent3" w:themeShade="BF"/>
          <w:sz w:val="22"/>
          <w:szCs w:val="22"/>
        </w:rPr>
      </w:pPr>
    </w:p>
    <w:p w14:paraId="29BC7B2E" w14:textId="000464F9" w:rsidR="00E15D6D" w:rsidRDefault="00E15D6D" w:rsidP="00E15D6D">
      <w:pPr>
        <w:pStyle w:val="ListParagraph"/>
        <w:numPr>
          <w:ilvl w:val="0"/>
          <w:numId w:val="1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length of time which has passed since the commencement of the winding up proceedings;</w:t>
      </w:r>
    </w:p>
    <w:p w14:paraId="4C4A69CD" w14:textId="77777777" w:rsidR="00E15D6D" w:rsidRPr="00E15D6D" w:rsidRDefault="00E15D6D" w:rsidP="00E15D6D">
      <w:pPr>
        <w:pStyle w:val="ListParagraph"/>
        <w:rPr>
          <w:rFonts w:ascii="Arial" w:hAnsi="Arial" w:cs="Arial"/>
          <w:color w:val="7B7B7B" w:themeColor="accent3" w:themeShade="BF"/>
          <w:sz w:val="22"/>
          <w:szCs w:val="22"/>
        </w:rPr>
      </w:pPr>
    </w:p>
    <w:p w14:paraId="47FCE783" w14:textId="658E9CE5" w:rsidR="00E15D6D" w:rsidRDefault="00E15D6D" w:rsidP="00E15D6D">
      <w:pPr>
        <w:pStyle w:val="ListParagraph"/>
        <w:numPr>
          <w:ilvl w:val="0"/>
          <w:numId w:val="1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value of the company’s current assets and assets which will be realizable in the reasonably near future;</w:t>
      </w:r>
    </w:p>
    <w:p w14:paraId="561BFC17" w14:textId="77777777" w:rsidR="00E15D6D" w:rsidRPr="00E15D6D" w:rsidRDefault="00E15D6D" w:rsidP="00E15D6D">
      <w:pPr>
        <w:pStyle w:val="ListParagraph"/>
        <w:rPr>
          <w:rFonts w:ascii="Arial" w:hAnsi="Arial" w:cs="Arial"/>
          <w:color w:val="7B7B7B" w:themeColor="accent3" w:themeShade="BF"/>
          <w:sz w:val="22"/>
          <w:szCs w:val="22"/>
        </w:rPr>
      </w:pPr>
    </w:p>
    <w:p w14:paraId="6A3D8B75" w14:textId="64DEFA69" w:rsidR="00E15D6D" w:rsidRDefault="00E15D6D" w:rsidP="00E15D6D">
      <w:pPr>
        <w:pStyle w:val="ListParagraph"/>
        <w:numPr>
          <w:ilvl w:val="0"/>
          <w:numId w:val="1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state of the company’s business, in order to determine its expected net cash flow from the business by deducting from projected future sales the cash expenses which would be necessary to generate those sales;</w:t>
      </w:r>
    </w:p>
    <w:p w14:paraId="136A5F79" w14:textId="77777777" w:rsidR="00E15D6D" w:rsidRPr="00E15D6D" w:rsidRDefault="00E15D6D" w:rsidP="00E15D6D">
      <w:pPr>
        <w:pStyle w:val="ListParagraph"/>
        <w:rPr>
          <w:rFonts w:ascii="Arial" w:hAnsi="Arial" w:cs="Arial"/>
          <w:color w:val="7B7B7B" w:themeColor="accent3" w:themeShade="BF"/>
          <w:sz w:val="22"/>
          <w:szCs w:val="22"/>
        </w:rPr>
      </w:pPr>
    </w:p>
    <w:p w14:paraId="0AC71B2E" w14:textId="6D76B00E" w:rsidR="00E15D6D" w:rsidRDefault="00E15D6D" w:rsidP="00E15D6D">
      <w:pPr>
        <w:pStyle w:val="ListParagraph"/>
        <w:numPr>
          <w:ilvl w:val="0"/>
          <w:numId w:val="1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Any other income or payment which the company may receive in the reasonably near future; and,</w:t>
      </w:r>
    </w:p>
    <w:p w14:paraId="71D2AAB4" w14:textId="77777777" w:rsidR="00E15D6D" w:rsidRPr="00E15D6D" w:rsidRDefault="00E15D6D" w:rsidP="00E15D6D">
      <w:pPr>
        <w:pStyle w:val="ListParagraph"/>
        <w:rPr>
          <w:rFonts w:ascii="Arial" w:hAnsi="Arial" w:cs="Arial"/>
          <w:color w:val="7B7B7B" w:themeColor="accent3" w:themeShade="BF"/>
          <w:sz w:val="22"/>
          <w:szCs w:val="22"/>
        </w:rPr>
      </w:pPr>
    </w:p>
    <w:p w14:paraId="0D78E415" w14:textId="04C7DADC" w:rsidR="00E15D6D" w:rsidRPr="00E15D6D" w:rsidRDefault="00E15D6D" w:rsidP="00E15D6D">
      <w:pPr>
        <w:pStyle w:val="ListParagraph"/>
        <w:numPr>
          <w:ilvl w:val="0"/>
          <w:numId w:val="1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Arrangements between the company and prospective lenders, such as its bankers and shareholders, in order to determine whether any shortfall in liquid and realizable assets and cash flow could be made by borrowings which would be repayable at a time later than the debts.</w:t>
      </w:r>
    </w:p>
    <w:p w14:paraId="3D4187A9" w14:textId="77777777" w:rsidR="00384F62" w:rsidRPr="002A37BB" w:rsidRDefault="00384F62" w:rsidP="002A37BB">
      <w:pPr>
        <w:ind w:left="720" w:hanging="720"/>
        <w:jc w:val="both"/>
        <w:rPr>
          <w:rFonts w:ascii="Arial" w:hAnsi="Arial" w:cs="Arial"/>
          <w:sz w:val="22"/>
          <w:szCs w:val="22"/>
          <w:lang w:val="en-GB"/>
        </w:rPr>
      </w:pPr>
    </w:p>
    <w:p w14:paraId="08FAFBBE" w14:textId="77777777" w:rsidR="00C7284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0CE1EC19" w14:textId="6CC42B0F" w:rsidR="000214ED" w:rsidRPr="002A37BB" w:rsidRDefault="000214ED" w:rsidP="002A37BB">
      <w:pPr>
        <w:jc w:val="both"/>
        <w:rPr>
          <w:rFonts w:ascii="Arial" w:hAnsi="Arial" w:cs="Arial"/>
          <w:sz w:val="22"/>
          <w:szCs w:val="22"/>
        </w:rPr>
      </w:pPr>
      <w:r w:rsidRPr="00264F7D">
        <w:rPr>
          <w:rFonts w:ascii="Arial" w:hAnsi="Arial" w:cs="Arial"/>
          <w:sz w:val="22"/>
          <w:szCs w:val="22"/>
          <w:lang w:val="en-GB"/>
        </w:rPr>
        <w:t xml:space="preserve">State </w:t>
      </w:r>
      <w:r w:rsidRPr="00384F62">
        <w:rPr>
          <w:rFonts w:ascii="Arial" w:hAnsi="Arial" w:cs="Arial"/>
          <w:b/>
          <w:bCs/>
          <w:sz w:val="22"/>
          <w:szCs w:val="22"/>
          <w:lang w:val="en-GB"/>
        </w:rPr>
        <w:t xml:space="preserve">four </w:t>
      </w:r>
      <w:r w:rsidR="00384F62" w:rsidRPr="00384F62">
        <w:rPr>
          <w:rFonts w:ascii="Arial" w:hAnsi="Arial" w:cs="Arial"/>
          <w:b/>
          <w:bCs/>
          <w:sz w:val="22"/>
          <w:szCs w:val="22"/>
          <w:lang w:val="en-GB"/>
        </w:rPr>
        <w:t>(4)</w:t>
      </w:r>
      <w:r w:rsidR="00384F62">
        <w:rPr>
          <w:rFonts w:ascii="Arial" w:hAnsi="Arial" w:cs="Arial"/>
          <w:sz w:val="22"/>
          <w:szCs w:val="22"/>
          <w:lang w:val="en-GB"/>
        </w:rPr>
        <w:t xml:space="preserve"> </w:t>
      </w:r>
      <w:r w:rsidRPr="00264F7D">
        <w:rPr>
          <w:rFonts w:ascii="Arial" w:hAnsi="Arial" w:cs="Arial"/>
          <w:sz w:val="22"/>
          <w:szCs w:val="22"/>
          <w:lang w:val="en-GB"/>
        </w:rPr>
        <w:t xml:space="preserve">new features that were only introduced in the IRDA </w:t>
      </w:r>
      <w:r w:rsidRPr="00384F62">
        <w:rPr>
          <w:rFonts w:ascii="Arial" w:hAnsi="Arial" w:cs="Arial"/>
          <w:b/>
          <w:bCs/>
          <w:sz w:val="22"/>
          <w:szCs w:val="22"/>
          <w:lang w:val="en-GB"/>
        </w:rPr>
        <w:t>and were not in force</w:t>
      </w:r>
      <w:r w:rsidRPr="00264F7D">
        <w:rPr>
          <w:rFonts w:ascii="Arial" w:hAnsi="Arial" w:cs="Arial"/>
          <w:sz w:val="22"/>
          <w:szCs w:val="22"/>
          <w:lang w:val="en-GB"/>
        </w:rPr>
        <w:t xml:space="preserve"> at the time of the 2017 amendments to the Companies Act.</w:t>
      </w:r>
    </w:p>
    <w:p w14:paraId="210BFCBF" w14:textId="77777777" w:rsidR="009B07AD" w:rsidRPr="002A37BB" w:rsidRDefault="009B07AD" w:rsidP="00384F62">
      <w:pPr>
        <w:jc w:val="both"/>
        <w:rPr>
          <w:rFonts w:ascii="Arial" w:hAnsi="Arial" w:cs="Arial"/>
          <w:sz w:val="22"/>
          <w:szCs w:val="22"/>
        </w:rPr>
      </w:pPr>
    </w:p>
    <w:p w14:paraId="06B93B3A" w14:textId="5109C3D3" w:rsidR="003D6D38" w:rsidRDefault="003D6D38" w:rsidP="003D6D3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Four new features that were only introduced in the IRDA and were not in force at the time of the 2017 amendments to the Companies Act include:</w:t>
      </w:r>
    </w:p>
    <w:p w14:paraId="64F7FA9E" w14:textId="77777777" w:rsidR="003D6D38" w:rsidRDefault="003D6D38" w:rsidP="003D6D38">
      <w:pPr>
        <w:jc w:val="both"/>
        <w:rPr>
          <w:rFonts w:ascii="Arial" w:hAnsi="Arial" w:cs="Arial"/>
          <w:color w:val="7B7B7B" w:themeColor="accent3" w:themeShade="BF"/>
          <w:sz w:val="22"/>
          <w:szCs w:val="22"/>
        </w:rPr>
      </w:pPr>
    </w:p>
    <w:p w14:paraId="47FA192C" w14:textId="3D6EB90B" w:rsidR="003D6D38" w:rsidRDefault="000A1EAE" w:rsidP="003D6D38">
      <w:pPr>
        <w:pStyle w:val="ListParagraph"/>
        <w:numPr>
          <w:ilvl w:val="0"/>
          <w:numId w:val="20"/>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A n</w:t>
      </w:r>
      <w:r w:rsidR="00AC6A21">
        <w:rPr>
          <w:rFonts w:ascii="Arial" w:hAnsi="Arial" w:cs="Arial"/>
          <w:color w:val="7B7B7B" w:themeColor="accent3" w:themeShade="BF"/>
          <w:sz w:val="22"/>
          <w:szCs w:val="22"/>
        </w:rPr>
        <w:t xml:space="preserve">ew provision restricting the operation of </w:t>
      </w:r>
      <w:r w:rsidR="00AC6A21">
        <w:rPr>
          <w:rFonts w:ascii="Arial" w:hAnsi="Arial" w:cs="Arial"/>
          <w:i/>
          <w:iCs/>
          <w:color w:val="7B7B7B" w:themeColor="accent3" w:themeShade="BF"/>
          <w:sz w:val="22"/>
          <w:szCs w:val="22"/>
        </w:rPr>
        <w:t xml:space="preserve">ipso facto </w:t>
      </w:r>
      <w:r w:rsidR="00AC6A21">
        <w:rPr>
          <w:rFonts w:ascii="Arial" w:hAnsi="Arial" w:cs="Arial"/>
          <w:color w:val="7B7B7B" w:themeColor="accent3" w:themeShade="BF"/>
          <w:sz w:val="22"/>
          <w:szCs w:val="22"/>
        </w:rPr>
        <w:t>clauses in certain circumstances.</w:t>
      </w:r>
      <w:r w:rsidR="008C072D">
        <w:rPr>
          <w:rStyle w:val="FootnoteReference"/>
          <w:rFonts w:ascii="Arial" w:hAnsi="Arial" w:cs="Arial"/>
          <w:color w:val="7B7B7B" w:themeColor="accent3" w:themeShade="BF"/>
          <w:sz w:val="22"/>
          <w:szCs w:val="22"/>
        </w:rPr>
        <w:footnoteReference w:id="3"/>
      </w:r>
    </w:p>
    <w:p w14:paraId="7C924913" w14:textId="77777777" w:rsidR="003D6D38" w:rsidRDefault="003D6D38" w:rsidP="003D6D38">
      <w:pPr>
        <w:pStyle w:val="ListParagraph"/>
        <w:jc w:val="both"/>
        <w:rPr>
          <w:rFonts w:ascii="Arial" w:hAnsi="Arial" w:cs="Arial"/>
          <w:color w:val="7B7B7B" w:themeColor="accent3" w:themeShade="BF"/>
          <w:sz w:val="22"/>
          <w:szCs w:val="22"/>
        </w:rPr>
      </w:pPr>
    </w:p>
    <w:p w14:paraId="54CB3559" w14:textId="67E1CBE3" w:rsidR="003D6D38" w:rsidRDefault="000A1EAE" w:rsidP="003D6D38">
      <w:pPr>
        <w:pStyle w:val="ListParagraph"/>
        <w:numPr>
          <w:ilvl w:val="0"/>
          <w:numId w:val="20"/>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A n</w:t>
      </w:r>
      <w:r w:rsidR="00CA00B6">
        <w:rPr>
          <w:rFonts w:ascii="Arial" w:hAnsi="Arial" w:cs="Arial"/>
          <w:color w:val="7B7B7B" w:themeColor="accent3" w:themeShade="BF"/>
          <w:sz w:val="22"/>
          <w:szCs w:val="22"/>
        </w:rPr>
        <w:t xml:space="preserve">ew concept of wrongful trading which imposes personal </w:t>
      </w:r>
      <w:r w:rsidR="000F3F11">
        <w:rPr>
          <w:rFonts w:ascii="Arial" w:hAnsi="Arial" w:cs="Arial"/>
          <w:color w:val="7B7B7B" w:themeColor="accent3" w:themeShade="BF"/>
          <w:sz w:val="22"/>
          <w:szCs w:val="22"/>
        </w:rPr>
        <w:t>liability</w:t>
      </w:r>
      <w:r w:rsidR="00CA00B6">
        <w:rPr>
          <w:rFonts w:ascii="Arial" w:hAnsi="Arial" w:cs="Arial"/>
          <w:color w:val="7B7B7B" w:themeColor="accent3" w:themeShade="BF"/>
          <w:sz w:val="22"/>
          <w:szCs w:val="22"/>
        </w:rPr>
        <w:t xml:space="preserve"> for the company’s debts on a person </w:t>
      </w:r>
      <w:r w:rsidR="00AE07B7">
        <w:rPr>
          <w:rFonts w:ascii="Arial" w:hAnsi="Arial" w:cs="Arial"/>
          <w:color w:val="7B7B7B" w:themeColor="accent3" w:themeShade="BF"/>
          <w:sz w:val="22"/>
          <w:szCs w:val="22"/>
        </w:rPr>
        <w:t>in certain circumstances.</w:t>
      </w:r>
      <w:r w:rsidR="00973967">
        <w:rPr>
          <w:rStyle w:val="FootnoteReference"/>
          <w:rFonts w:ascii="Arial" w:hAnsi="Arial" w:cs="Arial"/>
          <w:color w:val="7B7B7B" w:themeColor="accent3" w:themeShade="BF"/>
          <w:sz w:val="22"/>
          <w:szCs w:val="22"/>
        </w:rPr>
        <w:footnoteReference w:id="4"/>
      </w:r>
    </w:p>
    <w:p w14:paraId="0784AC43" w14:textId="77777777" w:rsidR="000C257D" w:rsidRPr="000C257D" w:rsidRDefault="000C257D" w:rsidP="000C257D">
      <w:pPr>
        <w:pStyle w:val="ListParagraph"/>
        <w:rPr>
          <w:rFonts w:ascii="Arial" w:hAnsi="Arial" w:cs="Arial"/>
          <w:color w:val="7B7B7B" w:themeColor="accent3" w:themeShade="BF"/>
          <w:sz w:val="22"/>
          <w:szCs w:val="22"/>
        </w:rPr>
      </w:pPr>
    </w:p>
    <w:p w14:paraId="76B1367F" w14:textId="6E18E5FE" w:rsidR="000C257D" w:rsidRDefault="00D42B4F" w:rsidP="003D6D38">
      <w:pPr>
        <w:pStyle w:val="ListParagraph"/>
        <w:numPr>
          <w:ilvl w:val="0"/>
          <w:numId w:val="20"/>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A n</w:t>
      </w:r>
      <w:r w:rsidR="004F4BB4">
        <w:rPr>
          <w:rFonts w:ascii="Arial" w:hAnsi="Arial" w:cs="Arial"/>
          <w:color w:val="7B7B7B" w:themeColor="accent3" w:themeShade="BF"/>
          <w:sz w:val="22"/>
          <w:szCs w:val="22"/>
        </w:rPr>
        <w:t>ew procedure for the early dissolution of a company in liquidation.</w:t>
      </w:r>
      <w:r w:rsidR="001558C7">
        <w:rPr>
          <w:rStyle w:val="FootnoteReference"/>
          <w:rFonts w:ascii="Arial" w:hAnsi="Arial" w:cs="Arial"/>
          <w:color w:val="7B7B7B" w:themeColor="accent3" w:themeShade="BF"/>
          <w:sz w:val="22"/>
          <w:szCs w:val="22"/>
        </w:rPr>
        <w:footnoteReference w:id="5"/>
      </w:r>
    </w:p>
    <w:p w14:paraId="7ACA922D" w14:textId="77777777" w:rsidR="008D5D84" w:rsidRPr="008D5D84" w:rsidRDefault="008D5D84" w:rsidP="008D5D84">
      <w:pPr>
        <w:pStyle w:val="ListParagraph"/>
        <w:rPr>
          <w:rFonts w:ascii="Arial" w:hAnsi="Arial" w:cs="Arial"/>
          <w:color w:val="7B7B7B" w:themeColor="accent3" w:themeShade="BF"/>
          <w:sz w:val="22"/>
          <w:szCs w:val="22"/>
        </w:rPr>
      </w:pPr>
    </w:p>
    <w:p w14:paraId="3CA7573D" w14:textId="5AEEFD96" w:rsidR="008D5D84" w:rsidRPr="003D6D38" w:rsidRDefault="00CD3725" w:rsidP="003D6D38">
      <w:pPr>
        <w:pStyle w:val="ListParagraph"/>
        <w:numPr>
          <w:ilvl w:val="0"/>
          <w:numId w:val="20"/>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A new licensing regime that sets out m</w:t>
      </w:r>
      <w:r w:rsidR="00183ADA">
        <w:rPr>
          <w:rFonts w:ascii="Arial" w:hAnsi="Arial" w:cs="Arial"/>
          <w:color w:val="7B7B7B" w:themeColor="accent3" w:themeShade="BF"/>
          <w:sz w:val="22"/>
          <w:szCs w:val="22"/>
        </w:rPr>
        <w:t>inimum qualifications, conditions for the grant and renewal of licenses and a disciplinary framework for insolvency practitioners.</w:t>
      </w:r>
      <w:r w:rsidR="0069133D">
        <w:rPr>
          <w:rStyle w:val="FootnoteReference"/>
          <w:rFonts w:ascii="Arial" w:hAnsi="Arial" w:cs="Arial"/>
          <w:color w:val="7B7B7B" w:themeColor="accent3" w:themeShade="BF"/>
          <w:sz w:val="22"/>
          <w:szCs w:val="22"/>
        </w:rPr>
        <w:footnoteReference w:id="6"/>
      </w:r>
    </w:p>
    <w:p w14:paraId="6CCB7F31" w14:textId="77777777" w:rsidR="00E90991" w:rsidRPr="002A37BB" w:rsidRDefault="00E90991" w:rsidP="002A37BB">
      <w:pPr>
        <w:ind w:left="720" w:hanging="720"/>
        <w:jc w:val="both"/>
        <w:rPr>
          <w:rFonts w:ascii="Arial" w:hAnsi="Arial" w:cs="Arial"/>
          <w:sz w:val="22"/>
          <w:szCs w:val="22"/>
          <w:lang w:val="en-GB"/>
        </w:rPr>
      </w:pPr>
    </w:p>
    <w:p w14:paraId="608361AD" w14:textId="77777777" w:rsidR="00C72848" w:rsidRPr="002A37BB" w:rsidRDefault="0007291B"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B471CF0" w14:textId="77777777" w:rsidR="00C72848" w:rsidRPr="002A37BB" w:rsidRDefault="00C72848" w:rsidP="002A37BB">
      <w:pPr>
        <w:ind w:left="720" w:hanging="720"/>
        <w:jc w:val="both"/>
        <w:rPr>
          <w:rFonts w:ascii="Arial" w:hAnsi="Arial" w:cs="Arial"/>
          <w:b/>
          <w:bCs/>
          <w:sz w:val="22"/>
          <w:szCs w:val="22"/>
          <w:lang w:val="en-GB"/>
        </w:rPr>
      </w:pPr>
    </w:p>
    <w:p w14:paraId="622DFD06" w14:textId="08F57261" w:rsidR="00C82D87" w:rsidRPr="002A37BB" w:rsidRDefault="00170EF8" w:rsidP="002A37BB">
      <w:pPr>
        <w:jc w:val="both"/>
        <w:rPr>
          <w:rFonts w:ascii="Arial" w:hAnsi="Arial" w:cs="Arial"/>
          <w:sz w:val="22"/>
          <w:szCs w:val="22"/>
          <w:lang w:val="en-GB"/>
        </w:rPr>
      </w:pPr>
      <w:r>
        <w:rPr>
          <w:rFonts w:ascii="Arial" w:hAnsi="Arial" w:cs="Arial"/>
          <w:sz w:val="22"/>
          <w:szCs w:val="22"/>
          <w:lang w:val="en-GB"/>
        </w:rPr>
        <w:t>D</w:t>
      </w:r>
      <w:r w:rsidR="00384F62">
        <w:rPr>
          <w:rFonts w:ascii="Arial" w:hAnsi="Arial" w:cs="Arial"/>
          <w:sz w:val="22"/>
          <w:szCs w:val="22"/>
          <w:lang w:val="en-GB"/>
        </w:rPr>
        <w:t>escribe</w:t>
      </w:r>
      <w:r>
        <w:rPr>
          <w:rFonts w:ascii="Arial" w:hAnsi="Arial" w:cs="Arial"/>
          <w:sz w:val="22"/>
          <w:szCs w:val="22"/>
          <w:lang w:val="en-GB"/>
        </w:rPr>
        <w:t xml:space="preserve"> the process involved in one of the</w:t>
      </w:r>
      <w:r w:rsidDel="00170EF8">
        <w:rPr>
          <w:rFonts w:ascii="Arial" w:hAnsi="Arial" w:cs="Arial"/>
          <w:sz w:val="22"/>
          <w:szCs w:val="22"/>
          <w:lang w:val="en-GB"/>
        </w:rPr>
        <w:t xml:space="preserve"> </w:t>
      </w:r>
      <w:r>
        <w:rPr>
          <w:rFonts w:ascii="Arial" w:hAnsi="Arial" w:cs="Arial"/>
          <w:sz w:val="22"/>
          <w:szCs w:val="22"/>
          <w:lang w:val="en-GB"/>
        </w:rPr>
        <w:t>alternatives to formal bankruptcy.</w:t>
      </w:r>
    </w:p>
    <w:p w14:paraId="1950C738" w14:textId="77777777" w:rsidR="00962045" w:rsidRPr="002A37BB" w:rsidRDefault="00962045" w:rsidP="00384F62">
      <w:pPr>
        <w:jc w:val="both"/>
        <w:rPr>
          <w:rFonts w:ascii="Arial" w:hAnsi="Arial" w:cs="Arial"/>
          <w:sz w:val="22"/>
          <w:szCs w:val="22"/>
          <w:lang w:val="en-GB"/>
        </w:rPr>
      </w:pPr>
    </w:p>
    <w:p w14:paraId="4AF7625F" w14:textId="1FDF8E3A" w:rsidR="00C72848" w:rsidRDefault="00F6424B" w:rsidP="00F6424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One of the alternatives to formal bankruptcy is a voluntary arrangement.</w:t>
      </w:r>
    </w:p>
    <w:p w14:paraId="27294FD9" w14:textId="77777777" w:rsidR="00F6424B" w:rsidRDefault="00F6424B" w:rsidP="00F6424B">
      <w:pPr>
        <w:jc w:val="both"/>
        <w:rPr>
          <w:rFonts w:ascii="Arial" w:hAnsi="Arial" w:cs="Arial"/>
          <w:color w:val="7B7B7B" w:themeColor="accent3" w:themeShade="BF"/>
          <w:sz w:val="22"/>
          <w:szCs w:val="22"/>
          <w:lang w:val="en-GB"/>
        </w:rPr>
      </w:pPr>
    </w:p>
    <w:p w14:paraId="61CB9988" w14:textId="361B0783" w:rsidR="00F6424B" w:rsidRDefault="00A34488" w:rsidP="00F6424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F6424B">
        <w:rPr>
          <w:rFonts w:ascii="Arial" w:hAnsi="Arial" w:cs="Arial"/>
          <w:color w:val="7B7B7B" w:themeColor="accent3" w:themeShade="BF"/>
          <w:sz w:val="22"/>
          <w:szCs w:val="22"/>
          <w:lang w:val="en-GB"/>
        </w:rPr>
        <w:t xml:space="preserve">ny insolvent debtor who intends to make a proposal to </w:t>
      </w:r>
      <w:r w:rsidR="00811B9D">
        <w:rPr>
          <w:rFonts w:ascii="Arial" w:hAnsi="Arial" w:cs="Arial"/>
          <w:color w:val="7B7B7B" w:themeColor="accent3" w:themeShade="BF"/>
          <w:sz w:val="22"/>
          <w:szCs w:val="22"/>
          <w:lang w:val="en-GB"/>
        </w:rPr>
        <w:t>its</w:t>
      </w:r>
      <w:r w:rsidR="00F6424B">
        <w:rPr>
          <w:rFonts w:ascii="Arial" w:hAnsi="Arial" w:cs="Arial"/>
          <w:color w:val="7B7B7B" w:themeColor="accent3" w:themeShade="BF"/>
          <w:sz w:val="22"/>
          <w:szCs w:val="22"/>
          <w:lang w:val="en-GB"/>
        </w:rPr>
        <w:t xml:space="preserve"> creditors for a voluntary arrangement may apply to the Court for an interim order.</w:t>
      </w:r>
      <w:r w:rsidR="00F6424B">
        <w:rPr>
          <w:rStyle w:val="FootnoteReference"/>
          <w:rFonts w:ascii="Arial" w:hAnsi="Arial" w:cs="Arial"/>
          <w:color w:val="7B7B7B" w:themeColor="accent3" w:themeShade="BF"/>
          <w:sz w:val="22"/>
          <w:szCs w:val="22"/>
          <w:lang w:val="en-GB"/>
        </w:rPr>
        <w:footnoteReference w:id="7"/>
      </w:r>
    </w:p>
    <w:p w14:paraId="11E98216" w14:textId="77777777" w:rsidR="00D42F55" w:rsidRDefault="00D42F55" w:rsidP="00F6424B">
      <w:pPr>
        <w:jc w:val="both"/>
        <w:rPr>
          <w:rFonts w:ascii="Arial" w:hAnsi="Arial" w:cs="Arial"/>
          <w:color w:val="7B7B7B" w:themeColor="accent3" w:themeShade="BF"/>
          <w:sz w:val="22"/>
          <w:szCs w:val="22"/>
          <w:lang w:val="en-GB"/>
        </w:rPr>
      </w:pPr>
    </w:p>
    <w:p w14:paraId="59AB97B6" w14:textId="6390A313" w:rsidR="002956F7" w:rsidRDefault="00A34488" w:rsidP="002956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w:t>
      </w:r>
      <w:r w:rsidR="002956F7">
        <w:rPr>
          <w:rFonts w:ascii="Arial" w:hAnsi="Arial" w:cs="Arial"/>
          <w:color w:val="7B7B7B" w:themeColor="accent3" w:themeShade="BF"/>
          <w:sz w:val="22"/>
          <w:szCs w:val="22"/>
          <w:lang w:val="en-GB"/>
        </w:rPr>
        <w:t>uring the period for which an interim order is in force:</w:t>
      </w:r>
      <w:r w:rsidR="001861F9">
        <w:rPr>
          <w:rStyle w:val="FootnoteReference"/>
          <w:rFonts w:ascii="Arial" w:hAnsi="Arial" w:cs="Arial"/>
          <w:color w:val="7B7B7B" w:themeColor="accent3" w:themeShade="BF"/>
          <w:sz w:val="22"/>
          <w:szCs w:val="22"/>
          <w:lang w:val="en-GB"/>
        </w:rPr>
        <w:footnoteReference w:id="8"/>
      </w:r>
    </w:p>
    <w:p w14:paraId="6817109F" w14:textId="77777777" w:rsidR="002956F7" w:rsidRDefault="002956F7" w:rsidP="002956F7">
      <w:pPr>
        <w:jc w:val="both"/>
        <w:rPr>
          <w:rFonts w:ascii="Arial" w:hAnsi="Arial" w:cs="Arial"/>
          <w:color w:val="7B7B7B" w:themeColor="accent3" w:themeShade="BF"/>
          <w:sz w:val="22"/>
          <w:szCs w:val="22"/>
          <w:lang w:val="en-GB"/>
        </w:rPr>
      </w:pPr>
    </w:p>
    <w:p w14:paraId="1E829B68" w14:textId="25DBBB05" w:rsidR="002956F7" w:rsidRDefault="002956F7" w:rsidP="002956F7">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 bankruptcy application may be made or proceeded with against the debtor (whether it be an individual debtor, a firm, or</w:t>
      </w:r>
      <w:r w:rsidR="001861F9">
        <w:rPr>
          <w:rFonts w:ascii="Arial" w:hAnsi="Arial" w:cs="Arial"/>
          <w:color w:val="7B7B7B" w:themeColor="accent3" w:themeShade="BF"/>
          <w:sz w:val="22"/>
          <w:szCs w:val="22"/>
          <w:lang w:val="en-GB"/>
        </w:rPr>
        <w:t>, except with the leave of the Court,</w:t>
      </w:r>
      <w:r>
        <w:rPr>
          <w:rFonts w:ascii="Arial" w:hAnsi="Arial" w:cs="Arial"/>
          <w:color w:val="7B7B7B" w:themeColor="accent3" w:themeShade="BF"/>
          <w:sz w:val="22"/>
          <w:szCs w:val="22"/>
          <w:lang w:val="en-GB"/>
        </w:rPr>
        <w:t xml:space="preserve"> any partner in the firm).</w:t>
      </w:r>
    </w:p>
    <w:p w14:paraId="73DBBFFC" w14:textId="77777777" w:rsidR="000E63B1" w:rsidRDefault="000E63B1" w:rsidP="000E63B1">
      <w:pPr>
        <w:pStyle w:val="ListParagraph"/>
        <w:jc w:val="both"/>
        <w:rPr>
          <w:rFonts w:ascii="Arial" w:hAnsi="Arial" w:cs="Arial"/>
          <w:color w:val="7B7B7B" w:themeColor="accent3" w:themeShade="BF"/>
          <w:sz w:val="22"/>
          <w:szCs w:val="22"/>
          <w:lang w:val="en-GB"/>
        </w:rPr>
      </w:pPr>
    </w:p>
    <w:p w14:paraId="29BA5D43" w14:textId="217F9285" w:rsidR="002956F7" w:rsidRDefault="002956F7" w:rsidP="002956F7">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 other proceedings</w:t>
      </w:r>
      <w:r w:rsidR="005D2D13">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execution or other legal process may be commenced or continued against </w:t>
      </w:r>
      <w:r w:rsidR="000E63B1">
        <w:rPr>
          <w:rFonts w:ascii="Arial" w:hAnsi="Arial" w:cs="Arial"/>
          <w:color w:val="7B7B7B" w:themeColor="accent3" w:themeShade="BF"/>
          <w:sz w:val="22"/>
          <w:szCs w:val="22"/>
          <w:lang w:val="en-GB"/>
        </w:rPr>
        <w:t>the person or property of the debtor (or, in the case of a firm, the firm or its property or the person or property of any partner in the firm)</w:t>
      </w:r>
      <w:r w:rsidR="001861F9">
        <w:rPr>
          <w:rFonts w:ascii="Arial" w:hAnsi="Arial" w:cs="Arial"/>
          <w:color w:val="7B7B7B" w:themeColor="accent3" w:themeShade="BF"/>
          <w:sz w:val="22"/>
          <w:szCs w:val="22"/>
          <w:lang w:val="en-GB"/>
        </w:rPr>
        <w:t>, without the leave of the Court.</w:t>
      </w:r>
    </w:p>
    <w:p w14:paraId="73F368E5" w14:textId="77777777" w:rsidR="00967C9D" w:rsidRPr="00967C9D" w:rsidRDefault="00967C9D" w:rsidP="00967C9D">
      <w:pPr>
        <w:pStyle w:val="ListParagraph"/>
        <w:rPr>
          <w:rFonts w:ascii="Arial" w:hAnsi="Arial" w:cs="Arial"/>
          <w:color w:val="7B7B7B" w:themeColor="accent3" w:themeShade="BF"/>
          <w:sz w:val="22"/>
          <w:szCs w:val="22"/>
          <w:lang w:val="en-GB"/>
        </w:rPr>
      </w:pPr>
    </w:p>
    <w:p w14:paraId="5DE8B2A0" w14:textId="597749EE" w:rsidR="00EE4651" w:rsidRDefault="00A34488" w:rsidP="00967C9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w:t>
      </w:r>
      <w:r w:rsidR="00EE4651">
        <w:rPr>
          <w:rFonts w:ascii="Arial" w:hAnsi="Arial" w:cs="Arial"/>
          <w:color w:val="7B7B7B" w:themeColor="accent3" w:themeShade="BF"/>
          <w:sz w:val="22"/>
          <w:szCs w:val="22"/>
          <w:lang w:val="en-GB"/>
        </w:rPr>
        <w:t>very debtor making a proposal for a voluntary arrangement must appoint a licensed insolvency practitioner as a nominee to act either as trustee or otherwise for the purpose of supervising its implementation.</w:t>
      </w:r>
      <w:r w:rsidR="00EE4651">
        <w:rPr>
          <w:rStyle w:val="FootnoteReference"/>
          <w:rFonts w:ascii="Arial" w:hAnsi="Arial" w:cs="Arial"/>
          <w:color w:val="7B7B7B" w:themeColor="accent3" w:themeShade="BF"/>
          <w:sz w:val="22"/>
          <w:szCs w:val="22"/>
          <w:lang w:val="en-GB"/>
        </w:rPr>
        <w:footnoteReference w:id="9"/>
      </w:r>
    </w:p>
    <w:p w14:paraId="47049BBE" w14:textId="77777777" w:rsidR="00EE4651" w:rsidRDefault="00EE4651" w:rsidP="00967C9D">
      <w:pPr>
        <w:jc w:val="both"/>
        <w:rPr>
          <w:rFonts w:ascii="Arial" w:hAnsi="Arial" w:cs="Arial"/>
          <w:color w:val="7B7B7B" w:themeColor="accent3" w:themeShade="BF"/>
          <w:sz w:val="22"/>
          <w:szCs w:val="22"/>
          <w:lang w:val="en-GB"/>
        </w:rPr>
      </w:pPr>
    </w:p>
    <w:p w14:paraId="4AF3543C" w14:textId="4DE03C90" w:rsidR="00967C9D" w:rsidRDefault="00A34488" w:rsidP="00967C9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2B2885">
        <w:rPr>
          <w:rFonts w:ascii="Arial" w:hAnsi="Arial" w:cs="Arial"/>
          <w:color w:val="7B7B7B" w:themeColor="accent3" w:themeShade="BF"/>
          <w:sz w:val="22"/>
          <w:szCs w:val="22"/>
          <w:lang w:val="en-GB"/>
        </w:rPr>
        <w:t>he Court may, unless certain exceptions are met, make an interim order if it thinks that it would be appropriate to do so for the purpose of facilitating the consideration and implementation of the debtor’s proposal.</w:t>
      </w:r>
      <w:r w:rsidR="002B2885">
        <w:rPr>
          <w:rStyle w:val="FootnoteReference"/>
          <w:rFonts w:ascii="Arial" w:hAnsi="Arial" w:cs="Arial"/>
          <w:color w:val="7B7B7B" w:themeColor="accent3" w:themeShade="BF"/>
          <w:sz w:val="22"/>
          <w:szCs w:val="22"/>
          <w:lang w:val="en-GB"/>
        </w:rPr>
        <w:footnoteReference w:id="10"/>
      </w:r>
      <w:r w:rsidR="002B2885">
        <w:rPr>
          <w:rFonts w:ascii="Arial" w:hAnsi="Arial" w:cs="Arial"/>
          <w:color w:val="7B7B7B" w:themeColor="accent3" w:themeShade="BF"/>
          <w:sz w:val="22"/>
          <w:szCs w:val="22"/>
          <w:lang w:val="en-GB"/>
        </w:rPr>
        <w:t xml:space="preserve">  </w:t>
      </w:r>
      <w:r w:rsidR="009A05AA">
        <w:rPr>
          <w:rFonts w:ascii="Arial" w:hAnsi="Arial" w:cs="Arial"/>
          <w:color w:val="7B7B7B" w:themeColor="accent3" w:themeShade="BF"/>
          <w:sz w:val="22"/>
          <w:szCs w:val="22"/>
          <w:lang w:val="en-GB"/>
        </w:rPr>
        <w:t xml:space="preserve">It should be noted that </w:t>
      </w:r>
      <w:r w:rsidR="007A053A">
        <w:rPr>
          <w:rFonts w:ascii="Arial" w:hAnsi="Arial" w:cs="Arial"/>
          <w:color w:val="7B7B7B" w:themeColor="accent3" w:themeShade="BF"/>
          <w:sz w:val="22"/>
          <w:szCs w:val="22"/>
          <w:lang w:val="en-GB"/>
        </w:rPr>
        <w:t>an interim order ceases to have effect 42 days after the making of that interim order unless the Court otherwise directs.</w:t>
      </w:r>
      <w:r w:rsidR="007A053A">
        <w:rPr>
          <w:rStyle w:val="FootnoteReference"/>
          <w:rFonts w:ascii="Arial" w:hAnsi="Arial" w:cs="Arial"/>
          <w:color w:val="7B7B7B" w:themeColor="accent3" w:themeShade="BF"/>
          <w:sz w:val="22"/>
          <w:szCs w:val="22"/>
          <w:lang w:val="en-GB"/>
        </w:rPr>
        <w:footnoteReference w:id="11"/>
      </w:r>
    </w:p>
    <w:p w14:paraId="4C13109D" w14:textId="77777777" w:rsidR="009A05AA" w:rsidRDefault="009A05AA" w:rsidP="00967C9D">
      <w:pPr>
        <w:jc w:val="both"/>
        <w:rPr>
          <w:rFonts w:ascii="Arial" w:hAnsi="Arial" w:cs="Arial"/>
          <w:color w:val="7B7B7B" w:themeColor="accent3" w:themeShade="BF"/>
          <w:sz w:val="22"/>
          <w:szCs w:val="22"/>
          <w:lang w:val="en-GB"/>
        </w:rPr>
      </w:pPr>
    </w:p>
    <w:p w14:paraId="1ADD1984" w14:textId="072448C7" w:rsidR="009A05AA" w:rsidRDefault="00A34488" w:rsidP="00967C9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w:t>
      </w:r>
      <w:r w:rsidR="00030273">
        <w:rPr>
          <w:rFonts w:ascii="Arial" w:hAnsi="Arial" w:cs="Arial"/>
          <w:color w:val="7B7B7B" w:themeColor="accent3" w:themeShade="BF"/>
          <w:sz w:val="22"/>
          <w:szCs w:val="22"/>
          <w:lang w:val="en-GB"/>
        </w:rPr>
        <w:t>hen an interim order has been made, the nominee must, before the order ceases to have effect</w:t>
      </w:r>
      <w:r w:rsidR="00AD474A">
        <w:rPr>
          <w:rFonts w:ascii="Arial" w:hAnsi="Arial" w:cs="Arial"/>
          <w:color w:val="7B7B7B" w:themeColor="accent3" w:themeShade="BF"/>
          <w:sz w:val="22"/>
          <w:szCs w:val="22"/>
          <w:lang w:val="en-GB"/>
        </w:rPr>
        <w:t xml:space="preserve"> and after having considered the terms of the voluntary arrangement</w:t>
      </w:r>
      <w:r w:rsidR="008C4C76">
        <w:rPr>
          <w:rFonts w:ascii="Arial" w:hAnsi="Arial" w:cs="Arial"/>
          <w:color w:val="7B7B7B" w:themeColor="accent3" w:themeShade="BF"/>
          <w:sz w:val="22"/>
          <w:szCs w:val="22"/>
          <w:lang w:val="en-GB"/>
        </w:rPr>
        <w:t xml:space="preserve"> and statement of the debtor’s affairs</w:t>
      </w:r>
      <w:r w:rsidR="00030273">
        <w:rPr>
          <w:rFonts w:ascii="Arial" w:hAnsi="Arial" w:cs="Arial"/>
          <w:color w:val="7B7B7B" w:themeColor="accent3" w:themeShade="BF"/>
          <w:sz w:val="22"/>
          <w:szCs w:val="22"/>
          <w:lang w:val="en-GB"/>
        </w:rPr>
        <w:t>, submit a report to the Court stating whether a meeting of the debtor’s creditors should be summoned to consider the proposal and if so, the time and place of the proposed meeting.</w:t>
      </w:r>
      <w:r w:rsidR="00C515BA">
        <w:rPr>
          <w:rFonts w:ascii="Arial" w:hAnsi="Arial" w:cs="Arial"/>
          <w:color w:val="7B7B7B" w:themeColor="accent3" w:themeShade="BF"/>
          <w:sz w:val="22"/>
          <w:szCs w:val="22"/>
          <w:lang w:val="en-GB"/>
        </w:rPr>
        <w:t xml:space="preserve">  If the Court is satisfied that a meeting of the debtor’s creditors should be summoned to consider the proposal, the Court must direct that the period for which the interim order has effect is extended to allow time for the meeting to be held and the nominee to report the results of the meeting to the Court.</w:t>
      </w:r>
      <w:r w:rsidR="00030273">
        <w:rPr>
          <w:rStyle w:val="FootnoteReference"/>
          <w:rFonts w:ascii="Arial" w:hAnsi="Arial" w:cs="Arial"/>
          <w:color w:val="7B7B7B" w:themeColor="accent3" w:themeShade="BF"/>
          <w:sz w:val="22"/>
          <w:szCs w:val="22"/>
          <w:lang w:val="en-GB"/>
        </w:rPr>
        <w:footnoteReference w:id="12"/>
      </w:r>
    </w:p>
    <w:p w14:paraId="619FA845" w14:textId="2BF4CA4C" w:rsidR="00E127FC" w:rsidRDefault="00E127FC" w:rsidP="00967C9D">
      <w:pPr>
        <w:jc w:val="both"/>
        <w:rPr>
          <w:rFonts w:ascii="Arial" w:hAnsi="Arial" w:cs="Arial"/>
          <w:color w:val="7B7B7B" w:themeColor="accent3" w:themeShade="BF"/>
          <w:sz w:val="22"/>
          <w:szCs w:val="22"/>
          <w:lang w:val="en-GB"/>
        </w:rPr>
      </w:pPr>
    </w:p>
    <w:p w14:paraId="0561A992" w14:textId="277CED3A" w:rsidR="00343A9F" w:rsidRDefault="00F36140" w:rsidP="00967C9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w:t>
      </w:r>
      <w:r w:rsidR="00343A9F">
        <w:rPr>
          <w:rFonts w:ascii="Arial" w:hAnsi="Arial" w:cs="Arial"/>
          <w:color w:val="7B7B7B" w:themeColor="accent3" w:themeShade="BF"/>
          <w:sz w:val="22"/>
          <w:szCs w:val="22"/>
          <w:lang w:val="en-GB"/>
        </w:rPr>
        <w:t>ubsequent to the report to Court recommending that a meeting of the debtor’s creditors be held, the nominee must summon that meeting.</w:t>
      </w:r>
      <w:r w:rsidR="00343A9F">
        <w:rPr>
          <w:rStyle w:val="FootnoteReference"/>
          <w:rFonts w:ascii="Arial" w:hAnsi="Arial" w:cs="Arial"/>
          <w:color w:val="7B7B7B" w:themeColor="accent3" w:themeShade="BF"/>
          <w:sz w:val="22"/>
          <w:szCs w:val="22"/>
          <w:lang w:val="en-GB"/>
        </w:rPr>
        <w:footnoteReference w:id="13"/>
      </w:r>
      <w:r w:rsidR="0093005C">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S</w:t>
      </w:r>
      <w:r w:rsidR="0093005C">
        <w:rPr>
          <w:rFonts w:ascii="Arial" w:hAnsi="Arial" w:cs="Arial"/>
          <w:color w:val="7B7B7B" w:themeColor="accent3" w:themeShade="BF"/>
          <w:sz w:val="22"/>
          <w:szCs w:val="22"/>
          <w:lang w:val="en-GB"/>
        </w:rPr>
        <w:t xml:space="preserve">uch a meeting, if the meeting thinks fit, by special resolution may resolve to approve the proposed voluntary arrangement, with or </w:t>
      </w:r>
      <w:r w:rsidR="0093005C">
        <w:rPr>
          <w:rFonts w:ascii="Arial" w:hAnsi="Arial" w:cs="Arial"/>
          <w:color w:val="7B7B7B" w:themeColor="accent3" w:themeShade="BF"/>
          <w:sz w:val="22"/>
          <w:szCs w:val="22"/>
          <w:lang w:val="en-GB"/>
        </w:rPr>
        <w:lastRenderedPageBreak/>
        <w:t>without modification</w:t>
      </w:r>
      <w:r w:rsidR="009B0E66">
        <w:rPr>
          <w:rFonts w:ascii="Arial" w:hAnsi="Arial" w:cs="Arial"/>
          <w:color w:val="7B7B7B" w:themeColor="accent3" w:themeShade="BF"/>
          <w:sz w:val="22"/>
          <w:szCs w:val="22"/>
          <w:lang w:val="en-GB"/>
        </w:rPr>
        <w:t>s</w:t>
      </w:r>
      <w:r w:rsidR="0093005C">
        <w:rPr>
          <w:rFonts w:ascii="Arial" w:hAnsi="Arial" w:cs="Arial"/>
          <w:color w:val="7B7B7B" w:themeColor="accent3" w:themeShade="BF"/>
          <w:sz w:val="22"/>
          <w:szCs w:val="22"/>
          <w:lang w:val="en-GB"/>
        </w:rPr>
        <w:t>.</w:t>
      </w:r>
      <w:r w:rsidR="0093005C">
        <w:rPr>
          <w:rStyle w:val="FootnoteReference"/>
          <w:rFonts w:ascii="Arial" w:hAnsi="Arial" w:cs="Arial"/>
          <w:color w:val="7B7B7B" w:themeColor="accent3" w:themeShade="BF"/>
          <w:sz w:val="22"/>
          <w:szCs w:val="22"/>
          <w:lang w:val="en-GB"/>
        </w:rPr>
        <w:footnoteReference w:id="14"/>
      </w:r>
      <w:r w:rsidR="002A23CE">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w:t>
      </w:r>
      <w:r w:rsidR="002A23CE">
        <w:rPr>
          <w:rFonts w:ascii="Arial" w:hAnsi="Arial" w:cs="Arial"/>
          <w:color w:val="7B7B7B" w:themeColor="accent3" w:themeShade="BF"/>
          <w:sz w:val="22"/>
          <w:szCs w:val="22"/>
          <w:lang w:val="en-GB"/>
        </w:rPr>
        <w:t>he nominee must report the result of the meeting to the Court and if the debtor’s proposal was not approved, the Court may discharge any interim order that is in force</w:t>
      </w:r>
      <w:r w:rsidR="00F075D0">
        <w:rPr>
          <w:rFonts w:ascii="Arial" w:hAnsi="Arial" w:cs="Arial"/>
          <w:color w:val="7B7B7B" w:themeColor="accent3" w:themeShade="BF"/>
          <w:sz w:val="22"/>
          <w:szCs w:val="22"/>
          <w:lang w:val="en-GB"/>
        </w:rPr>
        <w:t xml:space="preserve"> in relation to the debtor</w:t>
      </w:r>
      <w:r w:rsidR="002A23CE">
        <w:rPr>
          <w:rFonts w:ascii="Arial" w:hAnsi="Arial" w:cs="Arial"/>
          <w:color w:val="7B7B7B" w:themeColor="accent3" w:themeShade="BF"/>
          <w:sz w:val="22"/>
          <w:szCs w:val="22"/>
          <w:lang w:val="en-GB"/>
        </w:rPr>
        <w:t>.</w:t>
      </w:r>
      <w:r w:rsidR="002A23CE">
        <w:rPr>
          <w:rStyle w:val="FootnoteReference"/>
          <w:rFonts w:ascii="Arial" w:hAnsi="Arial" w:cs="Arial"/>
          <w:color w:val="7B7B7B" w:themeColor="accent3" w:themeShade="BF"/>
          <w:sz w:val="22"/>
          <w:szCs w:val="22"/>
          <w:lang w:val="en-GB"/>
        </w:rPr>
        <w:footnoteReference w:id="15"/>
      </w:r>
    </w:p>
    <w:p w14:paraId="644BC7BA" w14:textId="77777777" w:rsidR="008856E9" w:rsidRDefault="008856E9" w:rsidP="00967C9D">
      <w:pPr>
        <w:jc w:val="both"/>
        <w:rPr>
          <w:rFonts w:ascii="Arial" w:hAnsi="Arial" w:cs="Arial"/>
          <w:color w:val="7B7B7B" w:themeColor="accent3" w:themeShade="BF"/>
          <w:sz w:val="22"/>
          <w:szCs w:val="22"/>
          <w:lang w:val="en-GB"/>
        </w:rPr>
      </w:pPr>
    </w:p>
    <w:p w14:paraId="2F4C3BDE" w14:textId="65F9B997" w:rsidR="008856E9" w:rsidRDefault="00F36140" w:rsidP="00967C9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w:t>
      </w:r>
      <w:r w:rsidR="00F075D0">
        <w:rPr>
          <w:rFonts w:ascii="Arial" w:hAnsi="Arial" w:cs="Arial"/>
          <w:color w:val="7B7B7B" w:themeColor="accent3" w:themeShade="BF"/>
          <w:sz w:val="22"/>
          <w:szCs w:val="22"/>
          <w:lang w:val="en-GB"/>
        </w:rPr>
        <w:t>here the debtor’s proposal, with or without modifications, was approved by creditors, the approved arrangement takes effect as if made by the debtor at the meeting and binds every person who had notice of and was entitled to vote at the meeting.  In addition, the interim order in force in relation to the debtor ceases to have effect at the end of 28 days after the date the report of the meeting results was made to the Court.</w:t>
      </w:r>
      <w:r w:rsidR="00F075D0">
        <w:rPr>
          <w:rStyle w:val="FootnoteReference"/>
          <w:rFonts w:ascii="Arial" w:hAnsi="Arial" w:cs="Arial"/>
          <w:color w:val="7B7B7B" w:themeColor="accent3" w:themeShade="BF"/>
          <w:sz w:val="22"/>
          <w:szCs w:val="22"/>
          <w:lang w:val="en-GB"/>
        </w:rPr>
        <w:footnoteReference w:id="16"/>
      </w:r>
      <w:r w:rsidR="00732946">
        <w:rPr>
          <w:rFonts w:ascii="Arial" w:hAnsi="Arial" w:cs="Arial"/>
          <w:color w:val="7B7B7B" w:themeColor="accent3" w:themeShade="BF"/>
          <w:sz w:val="22"/>
          <w:szCs w:val="22"/>
          <w:lang w:val="en-GB"/>
        </w:rPr>
        <w:t xml:space="preserve">  </w:t>
      </w:r>
      <w:r w:rsidR="00CE638A">
        <w:rPr>
          <w:rFonts w:ascii="Arial" w:hAnsi="Arial" w:cs="Arial"/>
          <w:color w:val="7B7B7B" w:themeColor="accent3" w:themeShade="BF"/>
          <w:sz w:val="22"/>
          <w:szCs w:val="22"/>
          <w:lang w:val="en-GB"/>
        </w:rPr>
        <w:t>W</w:t>
      </w:r>
      <w:r w:rsidR="00732946">
        <w:rPr>
          <w:rFonts w:ascii="Arial" w:hAnsi="Arial" w:cs="Arial"/>
          <w:color w:val="7B7B7B" w:themeColor="accent3" w:themeShade="BF"/>
          <w:sz w:val="22"/>
          <w:szCs w:val="22"/>
          <w:lang w:val="en-GB"/>
        </w:rPr>
        <w:t>here a voluntary arrangement has been approved by creditors, the nominee must supervise its implementation.</w:t>
      </w:r>
      <w:r w:rsidR="00732946">
        <w:rPr>
          <w:rStyle w:val="FootnoteReference"/>
          <w:rFonts w:ascii="Arial" w:hAnsi="Arial" w:cs="Arial"/>
          <w:color w:val="7B7B7B" w:themeColor="accent3" w:themeShade="BF"/>
          <w:sz w:val="22"/>
          <w:szCs w:val="22"/>
          <w:lang w:val="en-GB"/>
        </w:rPr>
        <w:footnoteReference w:id="17"/>
      </w:r>
    </w:p>
    <w:p w14:paraId="3F16F99C" w14:textId="77777777" w:rsidR="00950FC7" w:rsidRDefault="00950FC7" w:rsidP="00967C9D">
      <w:pPr>
        <w:jc w:val="both"/>
        <w:rPr>
          <w:rFonts w:ascii="Arial" w:hAnsi="Arial" w:cs="Arial"/>
          <w:color w:val="7B7B7B" w:themeColor="accent3" w:themeShade="BF"/>
          <w:sz w:val="22"/>
          <w:szCs w:val="22"/>
          <w:lang w:val="en-GB"/>
        </w:rPr>
      </w:pPr>
    </w:p>
    <w:p w14:paraId="1F9B710E" w14:textId="3851CD84" w:rsidR="00950FC7" w:rsidRPr="00967C9D" w:rsidRDefault="00950FC7" w:rsidP="00967C9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should be noted that where a debtor fails to comply with any of its obligations under the voluntary arrangement, the nominee or any creditor bound by the voluntary arrangement may make a bankruptcy application against the debtor.</w:t>
      </w:r>
      <w:r>
        <w:rPr>
          <w:rStyle w:val="FootnoteReference"/>
          <w:rFonts w:ascii="Arial" w:hAnsi="Arial" w:cs="Arial"/>
          <w:color w:val="7B7B7B" w:themeColor="accent3" w:themeShade="BF"/>
          <w:sz w:val="22"/>
          <w:szCs w:val="22"/>
          <w:lang w:val="en-GB"/>
        </w:rPr>
        <w:footnoteReference w:id="18"/>
      </w:r>
    </w:p>
    <w:p w14:paraId="0F85A4BD" w14:textId="77777777" w:rsidR="0045683E" w:rsidRPr="002A37BB" w:rsidRDefault="0045683E" w:rsidP="002A37BB">
      <w:pPr>
        <w:jc w:val="both"/>
        <w:rPr>
          <w:rFonts w:ascii="Arial" w:hAnsi="Arial" w:cs="Arial"/>
          <w:bCs/>
          <w:sz w:val="22"/>
          <w:szCs w:val="22"/>
          <w:lang w:val="en-GB"/>
        </w:rPr>
      </w:pPr>
    </w:p>
    <w:p w14:paraId="4982587C"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28896DEE" w14:textId="77777777" w:rsidR="00962045" w:rsidRPr="002A37BB" w:rsidRDefault="00962045" w:rsidP="002A37BB">
      <w:pPr>
        <w:jc w:val="both"/>
        <w:rPr>
          <w:rFonts w:ascii="Arial" w:hAnsi="Arial" w:cs="Arial"/>
          <w:sz w:val="22"/>
          <w:szCs w:val="22"/>
          <w:lang w:val="en-GB"/>
        </w:rPr>
      </w:pPr>
    </w:p>
    <w:p w14:paraId="3B4B17FB" w14:textId="77777777" w:rsidR="00C550C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4AE3CDD4" w14:textId="77777777" w:rsidR="00C550C8" w:rsidRPr="002A37BB" w:rsidRDefault="00C550C8" w:rsidP="002A37BB">
      <w:pPr>
        <w:ind w:left="720" w:hanging="720"/>
        <w:jc w:val="both"/>
        <w:rPr>
          <w:rFonts w:ascii="Arial" w:hAnsi="Arial" w:cs="Arial"/>
          <w:sz w:val="22"/>
          <w:szCs w:val="22"/>
        </w:rPr>
      </w:pPr>
    </w:p>
    <w:p w14:paraId="205C0919" w14:textId="5E6B307B" w:rsidR="00C550C8" w:rsidRPr="002A37BB" w:rsidRDefault="0007291B" w:rsidP="002A37BB">
      <w:pPr>
        <w:jc w:val="both"/>
        <w:rPr>
          <w:rFonts w:ascii="Arial" w:hAnsi="Arial" w:cs="Arial"/>
          <w:sz w:val="22"/>
          <w:szCs w:val="22"/>
        </w:rPr>
      </w:pPr>
      <w:r>
        <w:rPr>
          <w:rFonts w:ascii="Arial" w:hAnsi="Arial" w:cs="Arial"/>
          <w:sz w:val="22"/>
          <w:szCs w:val="22"/>
          <w:lang w:val="en-GB"/>
        </w:rPr>
        <w:t>Write a</w:t>
      </w:r>
      <w:r w:rsidR="008277A3">
        <w:rPr>
          <w:rFonts w:ascii="Arial" w:hAnsi="Arial" w:cs="Arial"/>
          <w:sz w:val="22"/>
          <w:szCs w:val="22"/>
          <w:lang w:val="en-GB"/>
        </w:rPr>
        <w:t xml:space="preserve"> brief </w:t>
      </w:r>
      <w:r>
        <w:rPr>
          <w:rFonts w:ascii="Arial" w:hAnsi="Arial" w:cs="Arial"/>
          <w:sz w:val="22"/>
          <w:szCs w:val="22"/>
          <w:lang w:val="en-GB"/>
        </w:rPr>
        <w:t xml:space="preserve">essay </w:t>
      </w:r>
      <w:r w:rsidR="0055251A">
        <w:rPr>
          <w:rFonts w:ascii="Arial" w:hAnsi="Arial" w:cs="Arial"/>
          <w:sz w:val="22"/>
          <w:szCs w:val="22"/>
          <w:lang w:val="en-GB"/>
        </w:rPr>
        <w:t>in which you discuss some of the claims that a liquidator or judicial manager can bring and how the IRDA has enhanced their ability to do so</w:t>
      </w:r>
      <w:r w:rsidR="00170EF8">
        <w:rPr>
          <w:rFonts w:ascii="Arial" w:hAnsi="Arial" w:cs="Arial"/>
          <w:sz w:val="22"/>
          <w:szCs w:val="22"/>
          <w:lang w:val="en-GB"/>
        </w:rPr>
        <w:t>.</w:t>
      </w:r>
    </w:p>
    <w:p w14:paraId="05D5B7B6" w14:textId="77777777" w:rsidR="00241FA3" w:rsidRPr="002A37BB" w:rsidRDefault="00241FA3" w:rsidP="002A37BB">
      <w:pPr>
        <w:jc w:val="both"/>
        <w:rPr>
          <w:rFonts w:ascii="Arial" w:hAnsi="Arial" w:cs="Arial"/>
          <w:sz w:val="22"/>
          <w:szCs w:val="22"/>
        </w:rPr>
      </w:pPr>
    </w:p>
    <w:p w14:paraId="180092B4" w14:textId="583AC14D" w:rsidR="00241456" w:rsidRDefault="00FD6C3C" w:rsidP="0024145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Once a co</w:t>
      </w:r>
      <w:r w:rsidR="009413B2">
        <w:rPr>
          <w:rFonts w:ascii="Arial" w:hAnsi="Arial" w:cs="Arial"/>
          <w:color w:val="7B7B7B" w:themeColor="accent3" w:themeShade="BF"/>
          <w:sz w:val="22"/>
          <w:szCs w:val="22"/>
          <w:lang w:val="en-GB"/>
        </w:rPr>
        <w:t xml:space="preserve">mpany is placed into liquidation or judicial management, the liquidator or judicial manager, as the case may be, can apply to the Court </w:t>
      </w:r>
      <w:r w:rsidR="00857771">
        <w:rPr>
          <w:rFonts w:ascii="Arial" w:hAnsi="Arial" w:cs="Arial"/>
          <w:color w:val="7B7B7B" w:themeColor="accent3" w:themeShade="BF"/>
          <w:sz w:val="22"/>
          <w:szCs w:val="22"/>
          <w:lang w:val="en-GB"/>
        </w:rPr>
        <w:t xml:space="preserve">to commence </w:t>
      </w:r>
      <w:r w:rsidR="00951057">
        <w:rPr>
          <w:rFonts w:ascii="Arial" w:hAnsi="Arial" w:cs="Arial"/>
          <w:color w:val="7B7B7B" w:themeColor="accent3" w:themeShade="BF"/>
          <w:sz w:val="22"/>
          <w:szCs w:val="22"/>
          <w:lang w:val="en-GB"/>
        </w:rPr>
        <w:t xml:space="preserve">claw back </w:t>
      </w:r>
      <w:r w:rsidR="00857771">
        <w:rPr>
          <w:rFonts w:ascii="Arial" w:hAnsi="Arial" w:cs="Arial"/>
          <w:color w:val="7B7B7B" w:themeColor="accent3" w:themeShade="BF"/>
          <w:sz w:val="22"/>
          <w:szCs w:val="22"/>
          <w:lang w:val="en-GB"/>
        </w:rPr>
        <w:t xml:space="preserve">claims against </w:t>
      </w:r>
      <w:r w:rsidR="00951057">
        <w:rPr>
          <w:rFonts w:ascii="Arial" w:hAnsi="Arial" w:cs="Arial"/>
          <w:color w:val="7B7B7B" w:themeColor="accent3" w:themeShade="BF"/>
          <w:sz w:val="22"/>
          <w:szCs w:val="22"/>
          <w:lang w:val="en-GB"/>
        </w:rPr>
        <w:t>various parties including</w:t>
      </w:r>
      <w:r w:rsidR="005455C4">
        <w:rPr>
          <w:rFonts w:ascii="Arial" w:hAnsi="Arial" w:cs="Arial"/>
          <w:color w:val="7B7B7B" w:themeColor="accent3" w:themeShade="BF"/>
          <w:sz w:val="22"/>
          <w:szCs w:val="22"/>
          <w:lang w:val="en-GB"/>
        </w:rPr>
        <w:t xml:space="preserve"> directors, shadow directors,</w:t>
      </w:r>
      <w:r w:rsidR="00951057">
        <w:rPr>
          <w:rFonts w:ascii="Arial" w:hAnsi="Arial" w:cs="Arial"/>
          <w:color w:val="7B7B7B" w:themeColor="accent3" w:themeShade="BF"/>
          <w:sz w:val="22"/>
          <w:szCs w:val="22"/>
          <w:lang w:val="en-GB"/>
        </w:rPr>
        <w:t xml:space="preserve"> </w:t>
      </w:r>
      <w:r w:rsidR="00935C5B">
        <w:rPr>
          <w:rFonts w:ascii="Arial" w:hAnsi="Arial" w:cs="Arial"/>
          <w:color w:val="7B7B7B" w:themeColor="accent3" w:themeShade="BF"/>
          <w:sz w:val="22"/>
          <w:szCs w:val="22"/>
          <w:lang w:val="en-GB"/>
        </w:rPr>
        <w:t xml:space="preserve">creditors, sureties, </w:t>
      </w:r>
      <w:r w:rsidR="005455C4">
        <w:rPr>
          <w:rFonts w:ascii="Arial" w:hAnsi="Arial" w:cs="Arial"/>
          <w:color w:val="7B7B7B" w:themeColor="accent3" w:themeShade="BF"/>
          <w:sz w:val="22"/>
          <w:szCs w:val="22"/>
          <w:lang w:val="en-GB"/>
        </w:rPr>
        <w:t xml:space="preserve">or </w:t>
      </w:r>
      <w:r w:rsidR="00935C5B">
        <w:rPr>
          <w:rFonts w:ascii="Arial" w:hAnsi="Arial" w:cs="Arial"/>
          <w:color w:val="7B7B7B" w:themeColor="accent3" w:themeShade="BF"/>
          <w:sz w:val="22"/>
          <w:szCs w:val="22"/>
          <w:lang w:val="en-GB"/>
        </w:rPr>
        <w:t>guarantors</w:t>
      </w:r>
      <w:r w:rsidR="00B417AB">
        <w:rPr>
          <w:rFonts w:ascii="Arial" w:hAnsi="Arial" w:cs="Arial"/>
          <w:color w:val="7B7B7B" w:themeColor="accent3" w:themeShade="BF"/>
          <w:sz w:val="22"/>
          <w:szCs w:val="22"/>
          <w:lang w:val="en-GB"/>
        </w:rPr>
        <w:t xml:space="preserve"> of the company</w:t>
      </w:r>
      <w:r w:rsidR="00241456">
        <w:rPr>
          <w:rFonts w:ascii="Arial" w:hAnsi="Arial" w:cs="Arial"/>
          <w:color w:val="7B7B7B" w:themeColor="accent3" w:themeShade="BF"/>
          <w:sz w:val="22"/>
          <w:szCs w:val="22"/>
          <w:lang w:val="en-GB"/>
        </w:rPr>
        <w:t xml:space="preserve"> where:</w:t>
      </w:r>
      <w:r w:rsidR="00241456">
        <w:rPr>
          <w:rStyle w:val="FootnoteReference"/>
          <w:rFonts w:ascii="Arial" w:hAnsi="Arial" w:cs="Arial"/>
          <w:color w:val="7B7B7B" w:themeColor="accent3" w:themeShade="BF"/>
          <w:sz w:val="22"/>
          <w:szCs w:val="22"/>
          <w:lang w:val="en-GB"/>
        </w:rPr>
        <w:footnoteReference w:id="19"/>
      </w:r>
    </w:p>
    <w:p w14:paraId="3372046A" w14:textId="68120879" w:rsidR="00241456" w:rsidRDefault="00241456" w:rsidP="00241456">
      <w:pPr>
        <w:jc w:val="both"/>
        <w:rPr>
          <w:rFonts w:ascii="Arial" w:hAnsi="Arial" w:cs="Arial"/>
          <w:color w:val="7B7B7B" w:themeColor="accent3" w:themeShade="BF"/>
          <w:sz w:val="22"/>
          <w:szCs w:val="22"/>
          <w:lang w:val="en-GB"/>
        </w:rPr>
      </w:pPr>
    </w:p>
    <w:p w14:paraId="41738B7A" w14:textId="43D8F2E5" w:rsidR="00241456" w:rsidRDefault="00241456" w:rsidP="00241456">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unfair or undue preference was given; or</w:t>
      </w:r>
    </w:p>
    <w:p w14:paraId="348BC861" w14:textId="77777777" w:rsidR="00241456" w:rsidRDefault="00241456" w:rsidP="00241456">
      <w:pPr>
        <w:pStyle w:val="ListParagraph"/>
        <w:jc w:val="both"/>
        <w:rPr>
          <w:rFonts w:ascii="Arial" w:hAnsi="Arial" w:cs="Arial"/>
          <w:color w:val="7B7B7B" w:themeColor="accent3" w:themeShade="BF"/>
          <w:sz w:val="22"/>
          <w:szCs w:val="22"/>
          <w:lang w:val="en-GB"/>
        </w:rPr>
      </w:pPr>
    </w:p>
    <w:p w14:paraId="79B52406" w14:textId="3E9E3AFA" w:rsidR="00241456" w:rsidRDefault="00241456" w:rsidP="00241456">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transaction was conducted at an undervalue.</w:t>
      </w:r>
    </w:p>
    <w:p w14:paraId="0E53471B" w14:textId="77777777" w:rsidR="00241456" w:rsidRPr="00241456" w:rsidRDefault="00241456" w:rsidP="00241456">
      <w:pPr>
        <w:pStyle w:val="ListParagraph"/>
        <w:rPr>
          <w:rFonts w:ascii="Arial" w:hAnsi="Arial" w:cs="Arial"/>
          <w:color w:val="7B7B7B" w:themeColor="accent3" w:themeShade="BF"/>
          <w:sz w:val="22"/>
          <w:szCs w:val="22"/>
          <w:lang w:val="en-GB"/>
        </w:rPr>
      </w:pPr>
    </w:p>
    <w:p w14:paraId="727EDDAF" w14:textId="35461DDD" w:rsidR="00B8501F" w:rsidRDefault="00B8501F" w:rsidP="0024145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respect of unfair preferences, </w:t>
      </w:r>
      <w:r w:rsidR="00782358">
        <w:rPr>
          <w:rFonts w:ascii="Arial" w:hAnsi="Arial" w:cs="Arial"/>
          <w:color w:val="7B7B7B" w:themeColor="accent3" w:themeShade="BF"/>
          <w:sz w:val="22"/>
          <w:szCs w:val="22"/>
          <w:lang w:val="en-GB"/>
        </w:rPr>
        <w:t xml:space="preserve">the Court may make such order as it thinks fit for restoring the position </w:t>
      </w:r>
      <w:r w:rsidR="00BA1466">
        <w:rPr>
          <w:rFonts w:ascii="Arial" w:hAnsi="Arial" w:cs="Arial"/>
          <w:color w:val="7B7B7B" w:themeColor="accent3" w:themeShade="BF"/>
          <w:sz w:val="22"/>
          <w:szCs w:val="22"/>
          <w:lang w:val="en-GB"/>
        </w:rPr>
        <w:t xml:space="preserve">of the company </w:t>
      </w:r>
      <w:r w:rsidR="00782358">
        <w:rPr>
          <w:rFonts w:ascii="Arial" w:hAnsi="Arial" w:cs="Arial"/>
          <w:color w:val="7B7B7B" w:themeColor="accent3" w:themeShade="BF"/>
          <w:sz w:val="22"/>
          <w:szCs w:val="22"/>
          <w:lang w:val="en-GB"/>
        </w:rPr>
        <w:t>to what it would have been if the company had not given that unfair preference.  A company gives an unfair preference to a person if:</w:t>
      </w:r>
      <w:r w:rsidR="00782358">
        <w:rPr>
          <w:rStyle w:val="FootnoteReference"/>
          <w:rFonts w:ascii="Arial" w:hAnsi="Arial" w:cs="Arial"/>
          <w:color w:val="7B7B7B" w:themeColor="accent3" w:themeShade="BF"/>
          <w:sz w:val="22"/>
          <w:szCs w:val="22"/>
          <w:lang w:val="en-GB"/>
        </w:rPr>
        <w:footnoteReference w:id="20"/>
      </w:r>
    </w:p>
    <w:p w14:paraId="440C3C2D" w14:textId="77777777" w:rsidR="00782358" w:rsidRDefault="00782358" w:rsidP="00241456">
      <w:pPr>
        <w:jc w:val="both"/>
        <w:rPr>
          <w:rFonts w:ascii="Arial" w:hAnsi="Arial" w:cs="Arial"/>
          <w:color w:val="7B7B7B" w:themeColor="accent3" w:themeShade="BF"/>
          <w:sz w:val="22"/>
          <w:szCs w:val="22"/>
          <w:lang w:val="en-GB"/>
        </w:rPr>
      </w:pPr>
    </w:p>
    <w:p w14:paraId="11986EE9" w14:textId="6514E9C2" w:rsidR="00782358" w:rsidRDefault="00782358" w:rsidP="00782358">
      <w:pPr>
        <w:pStyle w:val="ListParagraph"/>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that person is one of the company’s creditors or a surety or guarantor for any of the company’s debts or other liabilities; and</w:t>
      </w:r>
    </w:p>
    <w:p w14:paraId="04581975" w14:textId="77777777" w:rsidR="00782358" w:rsidRDefault="00782358" w:rsidP="00782358">
      <w:pPr>
        <w:pStyle w:val="ListParagraph"/>
        <w:jc w:val="both"/>
        <w:rPr>
          <w:rFonts w:ascii="Arial" w:hAnsi="Arial" w:cs="Arial"/>
          <w:color w:val="7B7B7B" w:themeColor="accent3" w:themeShade="BF"/>
          <w:sz w:val="22"/>
          <w:szCs w:val="22"/>
          <w:lang w:val="en-GB"/>
        </w:rPr>
      </w:pPr>
    </w:p>
    <w:p w14:paraId="59A00182" w14:textId="732220FE" w:rsidR="00782358" w:rsidRPr="00782358" w:rsidRDefault="00782358" w:rsidP="00782358">
      <w:pPr>
        <w:pStyle w:val="ListParagraph"/>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company does anything or suffers anything to be done which (in either case) has the effect of putting that person into a position which, in the event of the company’s winding up, will be better than the position that person would have been in if that thing had not been done.</w:t>
      </w:r>
    </w:p>
    <w:p w14:paraId="3BB928A5" w14:textId="77777777" w:rsidR="00B8501F" w:rsidRDefault="00B8501F" w:rsidP="00241456">
      <w:pPr>
        <w:jc w:val="both"/>
        <w:rPr>
          <w:rFonts w:ascii="Arial" w:hAnsi="Arial" w:cs="Arial"/>
          <w:color w:val="7B7B7B" w:themeColor="accent3" w:themeShade="BF"/>
          <w:sz w:val="22"/>
          <w:szCs w:val="22"/>
          <w:lang w:val="en-GB"/>
        </w:rPr>
      </w:pPr>
    </w:p>
    <w:p w14:paraId="545ED0A6" w14:textId="6CE468BD" w:rsidR="00B35F43" w:rsidRDefault="00B35F43" w:rsidP="0024145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should be noted that if the recipient of an unfair preference was connected with the company, </w:t>
      </w:r>
      <w:r w:rsidR="00BD56EC">
        <w:rPr>
          <w:rFonts w:ascii="Arial" w:hAnsi="Arial" w:cs="Arial"/>
          <w:color w:val="7B7B7B" w:themeColor="accent3" w:themeShade="BF"/>
          <w:sz w:val="22"/>
          <w:szCs w:val="22"/>
          <w:lang w:val="en-GB"/>
        </w:rPr>
        <w:t>the company is presumed (unless otherwise shown) to have been influenced in deciding to give the unfair preference by a desire to</w:t>
      </w:r>
      <w:r w:rsidR="007C3A7F">
        <w:rPr>
          <w:rFonts w:ascii="Arial" w:hAnsi="Arial" w:cs="Arial"/>
          <w:color w:val="7B7B7B" w:themeColor="accent3" w:themeShade="BF"/>
          <w:sz w:val="22"/>
          <w:szCs w:val="22"/>
          <w:lang w:val="en-GB"/>
        </w:rPr>
        <w:t xml:space="preserve"> put that person in a better position than </w:t>
      </w:r>
      <w:r w:rsidR="007C3A7F">
        <w:rPr>
          <w:rFonts w:ascii="Arial" w:hAnsi="Arial" w:cs="Arial"/>
          <w:color w:val="7B7B7B" w:themeColor="accent3" w:themeShade="BF"/>
          <w:sz w:val="22"/>
          <w:szCs w:val="22"/>
          <w:lang w:val="en-GB"/>
        </w:rPr>
        <w:lastRenderedPageBreak/>
        <w:t>they otherwise would have been.  Such desire</w:t>
      </w:r>
      <w:r w:rsidR="00240455">
        <w:rPr>
          <w:rFonts w:ascii="Arial" w:hAnsi="Arial" w:cs="Arial"/>
          <w:color w:val="7B7B7B" w:themeColor="accent3" w:themeShade="BF"/>
          <w:sz w:val="22"/>
          <w:szCs w:val="22"/>
          <w:lang w:val="en-GB"/>
        </w:rPr>
        <w:t xml:space="preserve"> </w:t>
      </w:r>
      <w:r w:rsidR="007C3A7F">
        <w:rPr>
          <w:rFonts w:ascii="Arial" w:hAnsi="Arial" w:cs="Arial"/>
          <w:color w:val="7B7B7B" w:themeColor="accent3" w:themeShade="BF"/>
          <w:sz w:val="22"/>
          <w:szCs w:val="22"/>
          <w:lang w:val="en-GB"/>
        </w:rPr>
        <w:t>is required to be shown to the Court prior to any order being made against the recipient.</w:t>
      </w:r>
      <w:r w:rsidR="007C3A7F">
        <w:rPr>
          <w:rStyle w:val="FootnoteReference"/>
          <w:rFonts w:ascii="Arial" w:hAnsi="Arial" w:cs="Arial"/>
          <w:color w:val="7B7B7B" w:themeColor="accent3" w:themeShade="BF"/>
          <w:sz w:val="22"/>
          <w:szCs w:val="22"/>
          <w:lang w:val="en-GB"/>
        </w:rPr>
        <w:footnoteReference w:id="21"/>
      </w:r>
    </w:p>
    <w:p w14:paraId="03946EE1" w14:textId="77777777" w:rsidR="00B35F43" w:rsidRDefault="00B35F43" w:rsidP="00241456">
      <w:pPr>
        <w:jc w:val="both"/>
        <w:rPr>
          <w:rFonts w:ascii="Arial" w:hAnsi="Arial" w:cs="Arial"/>
          <w:color w:val="7B7B7B" w:themeColor="accent3" w:themeShade="BF"/>
          <w:sz w:val="22"/>
          <w:szCs w:val="22"/>
          <w:lang w:val="en-GB"/>
        </w:rPr>
      </w:pPr>
    </w:p>
    <w:p w14:paraId="52832D27" w14:textId="0E480EB8" w:rsidR="00240455" w:rsidRDefault="00240455" w:rsidP="0024145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respect of transactions at undervalue</w:t>
      </w:r>
      <w:r w:rsidR="00DD2B92">
        <w:rPr>
          <w:rFonts w:ascii="Arial" w:hAnsi="Arial" w:cs="Arial"/>
          <w:color w:val="7B7B7B" w:themeColor="accent3" w:themeShade="BF"/>
          <w:sz w:val="22"/>
          <w:szCs w:val="22"/>
          <w:lang w:val="en-GB"/>
        </w:rPr>
        <w:t>,</w:t>
      </w:r>
      <w:r w:rsidR="0059675B">
        <w:rPr>
          <w:rFonts w:ascii="Arial" w:hAnsi="Arial" w:cs="Arial"/>
          <w:color w:val="7B7B7B" w:themeColor="accent3" w:themeShade="BF"/>
          <w:sz w:val="22"/>
          <w:szCs w:val="22"/>
          <w:lang w:val="en-GB"/>
        </w:rPr>
        <w:t xml:space="preserve"> </w:t>
      </w:r>
      <w:r w:rsidR="00E70CF4">
        <w:rPr>
          <w:rFonts w:ascii="Arial" w:hAnsi="Arial" w:cs="Arial"/>
          <w:color w:val="7B7B7B" w:themeColor="accent3" w:themeShade="BF"/>
          <w:sz w:val="22"/>
          <w:szCs w:val="22"/>
          <w:lang w:val="en-GB"/>
        </w:rPr>
        <w:t>the Court may make such order as it thinks fit for restoring the position to what it would have been if the company had not entered into that transaction.  A company enters into a transaction with a person at an undervalue if:</w:t>
      </w:r>
      <w:r w:rsidR="00E70CF4">
        <w:rPr>
          <w:rStyle w:val="FootnoteReference"/>
          <w:rFonts w:ascii="Arial" w:hAnsi="Arial" w:cs="Arial"/>
          <w:color w:val="7B7B7B" w:themeColor="accent3" w:themeShade="BF"/>
          <w:sz w:val="22"/>
          <w:szCs w:val="22"/>
          <w:lang w:val="en-GB"/>
        </w:rPr>
        <w:footnoteReference w:id="22"/>
      </w:r>
    </w:p>
    <w:p w14:paraId="6A78B1FD" w14:textId="77777777" w:rsidR="00E70CF4" w:rsidRDefault="00E70CF4" w:rsidP="00241456">
      <w:pPr>
        <w:jc w:val="both"/>
        <w:rPr>
          <w:rFonts w:ascii="Arial" w:hAnsi="Arial" w:cs="Arial"/>
          <w:color w:val="7B7B7B" w:themeColor="accent3" w:themeShade="BF"/>
          <w:sz w:val="22"/>
          <w:szCs w:val="22"/>
          <w:lang w:val="en-GB"/>
        </w:rPr>
      </w:pPr>
    </w:p>
    <w:p w14:paraId="4D7CE80D" w14:textId="6CCC135D" w:rsidR="00E70CF4" w:rsidRDefault="00E70CF4" w:rsidP="00E70CF4">
      <w:pPr>
        <w:pStyle w:val="ListParagraph"/>
        <w:numPr>
          <w:ilvl w:val="0"/>
          <w:numId w:val="2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company </w:t>
      </w:r>
      <w:r w:rsidR="00B65E73">
        <w:rPr>
          <w:rFonts w:ascii="Arial" w:hAnsi="Arial" w:cs="Arial"/>
          <w:color w:val="7B7B7B" w:themeColor="accent3" w:themeShade="BF"/>
          <w:sz w:val="22"/>
          <w:szCs w:val="22"/>
          <w:lang w:val="en-GB"/>
        </w:rPr>
        <w:t>makes a gift to that person or otherwise enters into a transaction with that person on terms that provide for the company to receive no consideration; or</w:t>
      </w:r>
    </w:p>
    <w:p w14:paraId="21413621" w14:textId="77777777" w:rsidR="00B65E73" w:rsidRDefault="00B65E73" w:rsidP="00B65E73">
      <w:pPr>
        <w:pStyle w:val="ListParagraph"/>
        <w:jc w:val="both"/>
        <w:rPr>
          <w:rFonts w:ascii="Arial" w:hAnsi="Arial" w:cs="Arial"/>
          <w:color w:val="7B7B7B" w:themeColor="accent3" w:themeShade="BF"/>
          <w:sz w:val="22"/>
          <w:szCs w:val="22"/>
          <w:lang w:val="en-GB"/>
        </w:rPr>
      </w:pPr>
    </w:p>
    <w:p w14:paraId="3461948F" w14:textId="2D7C0C16" w:rsidR="00B65E73" w:rsidRPr="00E70CF4" w:rsidRDefault="00B65E73" w:rsidP="00E70CF4">
      <w:pPr>
        <w:pStyle w:val="ListParagraph"/>
        <w:numPr>
          <w:ilvl w:val="0"/>
          <w:numId w:val="2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company enters into a transaction with that person for a consideration the value of which, in money or money’s worth, is significantly less than the value, in money or money’s worth, of the consideration provided by the company.</w:t>
      </w:r>
    </w:p>
    <w:p w14:paraId="6DD3E25E" w14:textId="77777777" w:rsidR="00240455" w:rsidRDefault="00240455" w:rsidP="00241456">
      <w:pPr>
        <w:jc w:val="both"/>
        <w:rPr>
          <w:rFonts w:ascii="Arial" w:hAnsi="Arial" w:cs="Arial"/>
          <w:color w:val="7B7B7B" w:themeColor="accent3" w:themeShade="BF"/>
          <w:sz w:val="22"/>
          <w:szCs w:val="22"/>
          <w:lang w:val="en-GB"/>
        </w:rPr>
      </w:pPr>
    </w:p>
    <w:p w14:paraId="2F84A24E" w14:textId="1B47EA8C" w:rsidR="00241456" w:rsidRDefault="008D2BE3" w:rsidP="0024145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addition, </w:t>
      </w:r>
      <w:r w:rsidR="00BC4024">
        <w:rPr>
          <w:rFonts w:ascii="Arial" w:hAnsi="Arial" w:cs="Arial"/>
          <w:color w:val="7B7B7B" w:themeColor="accent3" w:themeShade="BF"/>
          <w:sz w:val="22"/>
          <w:szCs w:val="22"/>
          <w:lang w:val="en-GB"/>
        </w:rPr>
        <w:t xml:space="preserve">if it appears that the company in liquidation or judicial management has traded wrongfully, </w:t>
      </w:r>
      <w:r w:rsidR="00190A1D">
        <w:rPr>
          <w:rFonts w:ascii="Arial" w:hAnsi="Arial" w:cs="Arial"/>
          <w:color w:val="7B7B7B" w:themeColor="accent3" w:themeShade="BF"/>
          <w:sz w:val="22"/>
          <w:szCs w:val="22"/>
          <w:lang w:val="en-GB"/>
        </w:rPr>
        <w:t xml:space="preserve">a liquidator or judicial manager can apply to Court </w:t>
      </w:r>
      <w:r w:rsidR="00BC4024">
        <w:rPr>
          <w:rFonts w:ascii="Arial" w:hAnsi="Arial" w:cs="Arial"/>
          <w:color w:val="7B7B7B" w:themeColor="accent3" w:themeShade="BF"/>
          <w:sz w:val="22"/>
          <w:szCs w:val="22"/>
          <w:lang w:val="en-GB"/>
        </w:rPr>
        <w:t>for a declaration that any person who was a party to the company trading in that manner is personally responsible, without any limitation of liability, for all or any of the debts or other liabilities of the company as the Court directs, if that person:</w:t>
      </w:r>
      <w:r w:rsidR="006233BF">
        <w:rPr>
          <w:rStyle w:val="FootnoteReference"/>
          <w:rFonts w:ascii="Arial" w:hAnsi="Arial" w:cs="Arial"/>
          <w:color w:val="7B7B7B" w:themeColor="accent3" w:themeShade="BF"/>
          <w:sz w:val="22"/>
          <w:szCs w:val="22"/>
          <w:lang w:val="en-GB"/>
        </w:rPr>
        <w:footnoteReference w:id="23"/>
      </w:r>
    </w:p>
    <w:p w14:paraId="49ADFE77" w14:textId="77777777" w:rsidR="00BC4024" w:rsidRDefault="00BC4024" w:rsidP="00241456">
      <w:pPr>
        <w:jc w:val="both"/>
        <w:rPr>
          <w:rFonts w:ascii="Arial" w:hAnsi="Arial" w:cs="Arial"/>
          <w:color w:val="7B7B7B" w:themeColor="accent3" w:themeShade="BF"/>
          <w:sz w:val="22"/>
          <w:szCs w:val="22"/>
          <w:lang w:val="en-GB"/>
        </w:rPr>
      </w:pPr>
    </w:p>
    <w:p w14:paraId="536B7B0D" w14:textId="3EFB9D83" w:rsidR="00BC4024" w:rsidRDefault="00BC4024" w:rsidP="00BC4024">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knew that the company was trading wrongfully; or</w:t>
      </w:r>
    </w:p>
    <w:p w14:paraId="002A5A2D" w14:textId="77777777" w:rsidR="00BC4024" w:rsidRDefault="00BC4024" w:rsidP="00BC4024">
      <w:pPr>
        <w:pStyle w:val="ListParagraph"/>
        <w:jc w:val="both"/>
        <w:rPr>
          <w:rFonts w:ascii="Arial" w:hAnsi="Arial" w:cs="Arial"/>
          <w:color w:val="7B7B7B" w:themeColor="accent3" w:themeShade="BF"/>
          <w:sz w:val="22"/>
          <w:szCs w:val="22"/>
          <w:lang w:val="en-GB"/>
        </w:rPr>
      </w:pPr>
    </w:p>
    <w:p w14:paraId="22F9523F" w14:textId="484052EA" w:rsidR="00BC4024" w:rsidRDefault="00BC4024" w:rsidP="00BC4024">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an officer of the company, ought, in all the circumstances, to have known that the company was trading wrongfully.</w:t>
      </w:r>
    </w:p>
    <w:p w14:paraId="3DB6D894" w14:textId="77777777" w:rsidR="002655AB" w:rsidRPr="002655AB" w:rsidRDefault="002655AB" w:rsidP="002655AB">
      <w:pPr>
        <w:pStyle w:val="ListParagraph"/>
        <w:rPr>
          <w:rFonts w:ascii="Arial" w:hAnsi="Arial" w:cs="Arial"/>
          <w:color w:val="7B7B7B" w:themeColor="accent3" w:themeShade="BF"/>
          <w:sz w:val="22"/>
          <w:szCs w:val="22"/>
          <w:lang w:val="en-GB"/>
        </w:rPr>
      </w:pPr>
    </w:p>
    <w:p w14:paraId="4333477B" w14:textId="79DDD324" w:rsidR="002655AB" w:rsidRPr="002655AB" w:rsidRDefault="002655AB" w:rsidP="002655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should be noted that the provision </w:t>
      </w:r>
      <w:r w:rsidR="009A187B">
        <w:rPr>
          <w:rFonts w:ascii="Arial" w:hAnsi="Arial" w:cs="Arial"/>
          <w:color w:val="7B7B7B" w:themeColor="accent3" w:themeShade="BF"/>
          <w:sz w:val="22"/>
          <w:szCs w:val="22"/>
          <w:lang w:val="en-GB"/>
        </w:rPr>
        <w:t xml:space="preserve">on wrongful trading was introduced by the IRDA </w:t>
      </w:r>
      <w:r w:rsidR="002B3227">
        <w:rPr>
          <w:rFonts w:ascii="Arial" w:hAnsi="Arial" w:cs="Arial"/>
          <w:color w:val="7B7B7B" w:themeColor="accent3" w:themeShade="BF"/>
          <w:sz w:val="22"/>
          <w:szCs w:val="22"/>
          <w:lang w:val="en-GB"/>
        </w:rPr>
        <w:t>and provides an additional avenue of recoveries for liquidators and judicial managers.</w:t>
      </w:r>
      <w:r w:rsidR="002B3227">
        <w:rPr>
          <w:rStyle w:val="FootnoteReference"/>
          <w:rFonts w:ascii="Arial" w:hAnsi="Arial" w:cs="Arial"/>
          <w:color w:val="7B7B7B" w:themeColor="accent3" w:themeShade="BF"/>
          <w:sz w:val="22"/>
          <w:szCs w:val="22"/>
          <w:lang w:val="en-GB"/>
        </w:rPr>
        <w:footnoteReference w:id="24"/>
      </w:r>
    </w:p>
    <w:p w14:paraId="703729DF" w14:textId="77777777" w:rsidR="007E40F0" w:rsidRPr="00323BF3" w:rsidRDefault="007E40F0" w:rsidP="002A37BB">
      <w:pPr>
        <w:ind w:left="720" w:hanging="720"/>
        <w:jc w:val="both"/>
        <w:rPr>
          <w:rFonts w:ascii="Arial" w:hAnsi="Arial" w:cs="Arial"/>
          <w:sz w:val="22"/>
          <w:szCs w:val="22"/>
        </w:rPr>
      </w:pPr>
    </w:p>
    <w:p w14:paraId="21E8E558" w14:textId="77777777" w:rsidR="00C550C8" w:rsidRPr="002A37BB" w:rsidRDefault="0007291B" w:rsidP="00C5332A">
      <w:pPr>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7EB3363C" w14:textId="77777777" w:rsidR="00C550C8" w:rsidRPr="002A37BB" w:rsidRDefault="00C550C8" w:rsidP="002A37BB">
      <w:pPr>
        <w:ind w:left="720" w:hanging="720"/>
        <w:jc w:val="both"/>
        <w:rPr>
          <w:rFonts w:ascii="Arial" w:hAnsi="Arial" w:cs="Arial"/>
          <w:sz w:val="22"/>
          <w:szCs w:val="22"/>
        </w:rPr>
      </w:pPr>
    </w:p>
    <w:p w14:paraId="3C3490C3" w14:textId="1B98C70D" w:rsidR="00807119" w:rsidRPr="002A37BB" w:rsidRDefault="0007291B" w:rsidP="002A37BB">
      <w:pPr>
        <w:jc w:val="both"/>
        <w:rPr>
          <w:rFonts w:ascii="Arial" w:hAnsi="Arial" w:cs="Arial"/>
          <w:sz w:val="22"/>
          <w:szCs w:val="22"/>
        </w:rPr>
      </w:pPr>
      <w:r>
        <w:rPr>
          <w:rFonts w:ascii="Arial" w:hAnsi="Arial" w:cs="Arial"/>
          <w:sz w:val="22"/>
          <w:szCs w:val="22"/>
          <w:lang w:val="en-GB"/>
        </w:rPr>
        <w:t>Write a</w:t>
      </w:r>
      <w:r w:rsidR="00C5332A">
        <w:rPr>
          <w:rFonts w:ascii="Arial" w:hAnsi="Arial" w:cs="Arial"/>
          <w:sz w:val="22"/>
          <w:szCs w:val="22"/>
          <w:lang w:val="en-GB"/>
        </w:rPr>
        <w:t xml:space="preserve"> brief</w:t>
      </w:r>
      <w:r>
        <w:rPr>
          <w:rFonts w:ascii="Arial" w:hAnsi="Arial" w:cs="Arial"/>
          <w:sz w:val="22"/>
          <w:szCs w:val="22"/>
          <w:lang w:val="en-GB"/>
        </w:rPr>
        <w:t xml:space="preserve"> essay in which you discus</w:t>
      </w:r>
      <w:r w:rsidR="00170EF8">
        <w:rPr>
          <w:rFonts w:ascii="Arial" w:hAnsi="Arial" w:cs="Arial"/>
          <w:sz w:val="22"/>
          <w:szCs w:val="22"/>
          <w:lang w:val="en-GB"/>
        </w:rPr>
        <w:t xml:space="preserve">s </w:t>
      </w:r>
      <w:r w:rsidR="00170EF8" w:rsidRPr="00170EF8">
        <w:rPr>
          <w:rFonts w:ascii="Arial" w:hAnsi="Arial" w:cs="Arial"/>
          <w:sz w:val="22"/>
          <w:szCs w:val="22"/>
          <w:lang w:val="en-GB"/>
        </w:rPr>
        <w:t>the process of commencing a voluntary judicial management application</w:t>
      </w:r>
      <w:r w:rsidR="00384F62">
        <w:rPr>
          <w:rFonts w:ascii="Arial" w:hAnsi="Arial" w:cs="Arial"/>
          <w:sz w:val="22"/>
          <w:szCs w:val="22"/>
          <w:lang w:val="en-GB"/>
        </w:rPr>
        <w:t xml:space="preserve">. In your answer you should also discuss </w:t>
      </w:r>
      <w:r w:rsidR="00170EF8" w:rsidRPr="00170EF8">
        <w:rPr>
          <w:rFonts w:ascii="Arial" w:hAnsi="Arial" w:cs="Arial"/>
          <w:sz w:val="22"/>
          <w:szCs w:val="22"/>
          <w:lang w:val="en-GB"/>
        </w:rPr>
        <w:t>how this differ</w:t>
      </w:r>
      <w:r w:rsidR="00384F62">
        <w:rPr>
          <w:rFonts w:ascii="Arial" w:hAnsi="Arial" w:cs="Arial"/>
          <w:sz w:val="22"/>
          <w:szCs w:val="22"/>
          <w:lang w:val="en-GB"/>
        </w:rPr>
        <w:t>s</w:t>
      </w:r>
      <w:r w:rsidR="00170EF8" w:rsidRPr="00170EF8">
        <w:rPr>
          <w:rFonts w:ascii="Arial" w:hAnsi="Arial" w:cs="Arial"/>
          <w:sz w:val="22"/>
          <w:szCs w:val="22"/>
          <w:lang w:val="en-GB"/>
        </w:rPr>
        <w:t xml:space="preserve"> from </w:t>
      </w:r>
      <w:r w:rsidR="00170EF8">
        <w:rPr>
          <w:rFonts w:ascii="Arial" w:hAnsi="Arial" w:cs="Arial"/>
          <w:sz w:val="22"/>
          <w:szCs w:val="22"/>
          <w:lang w:val="en-GB"/>
        </w:rPr>
        <w:t xml:space="preserve">a judicial management application that is filed in </w:t>
      </w:r>
      <w:r w:rsidR="00384F62">
        <w:rPr>
          <w:rFonts w:ascii="Arial" w:hAnsi="Arial" w:cs="Arial"/>
          <w:sz w:val="22"/>
          <w:szCs w:val="22"/>
          <w:lang w:val="en-GB"/>
        </w:rPr>
        <w:t>c</w:t>
      </w:r>
      <w:r w:rsidR="00170EF8">
        <w:rPr>
          <w:rFonts w:ascii="Arial" w:hAnsi="Arial" w:cs="Arial"/>
          <w:sz w:val="22"/>
          <w:szCs w:val="22"/>
          <w:lang w:val="en-GB"/>
        </w:rPr>
        <w:t xml:space="preserve">ourt. </w:t>
      </w:r>
    </w:p>
    <w:p w14:paraId="47A25125" w14:textId="77777777" w:rsidR="00DF75F8" w:rsidRPr="002A37BB" w:rsidRDefault="00DF75F8" w:rsidP="002A37BB">
      <w:pPr>
        <w:jc w:val="both"/>
        <w:rPr>
          <w:rFonts w:ascii="Arial" w:hAnsi="Arial" w:cs="Arial"/>
          <w:sz w:val="22"/>
          <w:szCs w:val="22"/>
        </w:rPr>
      </w:pPr>
    </w:p>
    <w:p w14:paraId="30A3B314" w14:textId="63391721" w:rsidR="007E40F0" w:rsidRDefault="00A04FE7" w:rsidP="00087F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w:t>
      </w:r>
      <w:r w:rsidR="00724843">
        <w:rPr>
          <w:rFonts w:ascii="Arial" w:hAnsi="Arial" w:cs="Arial"/>
          <w:color w:val="7B7B7B" w:themeColor="accent3" w:themeShade="BF"/>
          <w:sz w:val="22"/>
          <w:szCs w:val="22"/>
          <w:lang w:val="en-GB"/>
        </w:rPr>
        <w:t xml:space="preserve"> a company considers that it is, or is likely to become, unable to pay its debts and there is a reasonable probability of achieving one or more of the purposes of judicial management, </w:t>
      </w:r>
      <w:r w:rsidR="000E25BA">
        <w:rPr>
          <w:rFonts w:ascii="Arial" w:hAnsi="Arial" w:cs="Arial"/>
          <w:color w:val="7B7B7B" w:themeColor="accent3" w:themeShade="BF"/>
          <w:sz w:val="22"/>
          <w:szCs w:val="22"/>
          <w:lang w:val="en-GB"/>
        </w:rPr>
        <w:t>the company may, instead of applying to the Court for a judicial management order, obtain a resolution of the company’s creditors for the company to be placed under the judicial management of a judicial manager.</w:t>
      </w:r>
      <w:r w:rsidR="00DF5FD6">
        <w:rPr>
          <w:rStyle w:val="FootnoteReference"/>
          <w:rFonts w:ascii="Arial" w:hAnsi="Arial" w:cs="Arial"/>
          <w:color w:val="7B7B7B" w:themeColor="accent3" w:themeShade="BF"/>
          <w:sz w:val="22"/>
          <w:szCs w:val="22"/>
          <w:lang w:val="en-GB"/>
        </w:rPr>
        <w:footnoteReference w:id="25"/>
      </w:r>
    </w:p>
    <w:p w14:paraId="005397FF" w14:textId="77777777" w:rsidR="00044264" w:rsidRDefault="00044264" w:rsidP="00087F21">
      <w:pPr>
        <w:jc w:val="both"/>
        <w:rPr>
          <w:rFonts w:ascii="Arial" w:hAnsi="Arial" w:cs="Arial"/>
          <w:color w:val="7B7B7B" w:themeColor="accent3" w:themeShade="BF"/>
          <w:sz w:val="22"/>
          <w:szCs w:val="22"/>
          <w:lang w:val="en-GB"/>
        </w:rPr>
      </w:pPr>
    </w:p>
    <w:p w14:paraId="2E73E3AC" w14:textId="6A97A6EB" w:rsidR="00044264" w:rsidRDefault="00A04FE7" w:rsidP="00087F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9A197D">
        <w:rPr>
          <w:rFonts w:ascii="Arial" w:hAnsi="Arial" w:cs="Arial"/>
          <w:color w:val="7B7B7B" w:themeColor="accent3" w:themeShade="BF"/>
          <w:sz w:val="22"/>
          <w:szCs w:val="22"/>
          <w:lang w:val="en-GB"/>
        </w:rPr>
        <w:t xml:space="preserve"> company that proposes to obtain such a resolution of creditors must give at least 7 days’ written notice of its intention to appoint an interim judicial manager to the proposed interim judicial manager and any person who has appointed, or is or may be entitled to appoint, a receiver and manager of the whole (or substantially the whole) of the company’s property.</w:t>
      </w:r>
      <w:r w:rsidR="009A197D">
        <w:rPr>
          <w:rStyle w:val="FootnoteReference"/>
          <w:rFonts w:ascii="Arial" w:hAnsi="Arial" w:cs="Arial"/>
          <w:color w:val="7B7B7B" w:themeColor="accent3" w:themeShade="BF"/>
          <w:sz w:val="22"/>
          <w:szCs w:val="22"/>
          <w:lang w:val="en-GB"/>
        </w:rPr>
        <w:footnoteReference w:id="26"/>
      </w:r>
    </w:p>
    <w:p w14:paraId="1B2D027C" w14:textId="77777777" w:rsidR="00662E12" w:rsidRDefault="00662E12" w:rsidP="00087F21">
      <w:pPr>
        <w:jc w:val="both"/>
        <w:rPr>
          <w:rFonts w:ascii="Arial" w:hAnsi="Arial" w:cs="Arial"/>
          <w:color w:val="7B7B7B" w:themeColor="accent3" w:themeShade="BF"/>
          <w:sz w:val="22"/>
          <w:szCs w:val="22"/>
          <w:lang w:val="en-GB"/>
        </w:rPr>
      </w:pPr>
    </w:p>
    <w:p w14:paraId="22E49AA6" w14:textId="23EECFE5" w:rsidR="005B12E1" w:rsidRDefault="00A04FE7" w:rsidP="00A04FE7">
      <w:pPr>
        <w:keepNext/>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A</w:t>
      </w:r>
      <w:r w:rsidR="005B12E1">
        <w:rPr>
          <w:rFonts w:ascii="Arial" w:hAnsi="Arial" w:cs="Arial"/>
          <w:color w:val="7B7B7B" w:themeColor="accent3" w:themeShade="BF"/>
          <w:sz w:val="22"/>
          <w:szCs w:val="22"/>
          <w:lang w:val="en-GB"/>
        </w:rPr>
        <w:t xml:space="preserve"> company may appoint an interim judicial manager in respect of a voluntary judicial management only if all the following conditions are met:</w:t>
      </w:r>
      <w:r w:rsidR="005B12E1">
        <w:rPr>
          <w:rStyle w:val="FootnoteReference"/>
          <w:rFonts w:ascii="Arial" w:hAnsi="Arial" w:cs="Arial"/>
          <w:color w:val="7B7B7B" w:themeColor="accent3" w:themeShade="BF"/>
          <w:sz w:val="22"/>
          <w:szCs w:val="22"/>
          <w:lang w:val="en-GB"/>
        </w:rPr>
        <w:footnoteReference w:id="27"/>
      </w:r>
    </w:p>
    <w:p w14:paraId="06DF18FA" w14:textId="77777777" w:rsidR="005B12E1" w:rsidRDefault="005B12E1" w:rsidP="00A04FE7">
      <w:pPr>
        <w:keepNext/>
        <w:jc w:val="both"/>
        <w:rPr>
          <w:rFonts w:ascii="Arial" w:hAnsi="Arial" w:cs="Arial"/>
          <w:color w:val="7B7B7B" w:themeColor="accent3" w:themeShade="BF"/>
          <w:sz w:val="22"/>
          <w:szCs w:val="22"/>
          <w:lang w:val="en-GB"/>
        </w:rPr>
      </w:pPr>
    </w:p>
    <w:p w14:paraId="6F7DDA24" w14:textId="7F2E1086" w:rsidR="005B12E1" w:rsidRDefault="005B12E1" w:rsidP="00A04FE7">
      <w:pPr>
        <w:pStyle w:val="ListParagraph"/>
        <w:keepNext/>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appointment is authorized by way of a resolution of the members of the company or board of directors</w:t>
      </w:r>
      <w:r w:rsidR="00BA65E0">
        <w:rPr>
          <w:rFonts w:ascii="Arial" w:hAnsi="Arial" w:cs="Arial"/>
          <w:color w:val="7B7B7B" w:themeColor="accent3" w:themeShade="BF"/>
          <w:sz w:val="22"/>
          <w:szCs w:val="22"/>
          <w:lang w:val="en-GB"/>
        </w:rPr>
        <w:t>, where applicable;</w:t>
      </w:r>
    </w:p>
    <w:p w14:paraId="28DE299D" w14:textId="22453340" w:rsidR="00BA65E0" w:rsidRDefault="00BA65E0" w:rsidP="005B12E1">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7 days’ notice period pursuant to section 94(2) </w:t>
      </w:r>
      <w:r w:rsidR="00A43664">
        <w:rPr>
          <w:rFonts w:ascii="Arial" w:hAnsi="Arial" w:cs="Arial"/>
          <w:color w:val="7B7B7B" w:themeColor="accent3" w:themeShade="BF"/>
          <w:sz w:val="22"/>
          <w:szCs w:val="22"/>
          <w:lang w:val="en-GB"/>
        </w:rPr>
        <w:t xml:space="preserve">of the IRDA </w:t>
      </w:r>
      <w:r>
        <w:rPr>
          <w:rFonts w:ascii="Arial" w:hAnsi="Arial" w:cs="Arial"/>
          <w:color w:val="7B7B7B" w:themeColor="accent3" w:themeShade="BF"/>
          <w:sz w:val="22"/>
          <w:szCs w:val="22"/>
          <w:lang w:val="en-GB"/>
        </w:rPr>
        <w:t>(mentioned above) has expired;</w:t>
      </w:r>
    </w:p>
    <w:p w14:paraId="2D6A5B35" w14:textId="33CC74BB" w:rsidR="00BA65E0" w:rsidRDefault="00BA65E0" w:rsidP="005B12E1">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not more than 21 days have elapsed after the date of the notice </w:t>
      </w:r>
      <w:r w:rsidR="00A43664">
        <w:rPr>
          <w:rFonts w:ascii="Arial" w:hAnsi="Arial" w:cs="Arial"/>
          <w:color w:val="7B7B7B" w:themeColor="accent3" w:themeShade="BF"/>
          <w:sz w:val="22"/>
          <w:szCs w:val="22"/>
          <w:lang w:val="en-GB"/>
        </w:rPr>
        <w:t>of intention to appoint an interim judicial manager pursuant to section 94(2) of the IRDA (mentioned above);</w:t>
      </w:r>
    </w:p>
    <w:p w14:paraId="518C4C73" w14:textId="3B4D0414" w:rsidR="00A43664" w:rsidRDefault="00AE7F0C" w:rsidP="005B12E1">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each person to whom notice was given pursuant to section 94(2) of the IRDA (mentioned above) consented to the appointment;</w:t>
      </w:r>
    </w:p>
    <w:p w14:paraId="316C36DF" w14:textId="1E45D485" w:rsidR="00AE7F0C" w:rsidRDefault="00AE7F0C" w:rsidP="005B12E1">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proposed interim judicial manager </w:t>
      </w:r>
      <w:r w:rsidR="00CA73CA">
        <w:rPr>
          <w:rFonts w:ascii="Arial" w:hAnsi="Arial" w:cs="Arial"/>
          <w:color w:val="7B7B7B" w:themeColor="accent3" w:themeShade="BF"/>
          <w:sz w:val="22"/>
          <w:szCs w:val="22"/>
          <w:lang w:val="en-GB"/>
        </w:rPr>
        <w:t>has lodged, with the Official Receiver and the Registrar of Companies, a statutory declaration stating that:</w:t>
      </w:r>
    </w:p>
    <w:p w14:paraId="10E6B195" w14:textId="77777777" w:rsidR="00CA73CA" w:rsidRDefault="00CA73CA" w:rsidP="00CA73CA">
      <w:pPr>
        <w:pStyle w:val="ListParagraph"/>
        <w:ind w:left="1440"/>
        <w:jc w:val="both"/>
        <w:rPr>
          <w:rFonts w:ascii="Arial" w:hAnsi="Arial" w:cs="Arial"/>
          <w:color w:val="7B7B7B" w:themeColor="accent3" w:themeShade="BF"/>
          <w:sz w:val="22"/>
          <w:szCs w:val="22"/>
          <w:lang w:val="en-GB"/>
        </w:rPr>
      </w:pPr>
    </w:p>
    <w:p w14:paraId="50B85B13" w14:textId="4A7BF805" w:rsidR="00CA73CA" w:rsidRDefault="00CA73CA" w:rsidP="00CA73CA">
      <w:pPr>
        <w:pStyle w:val="ListParagraph"/>
        <w:numPr>
          <w:ilvl w:val="1"/>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he/she is not in a position of conflict of interest;</w:t>
      </w:r>
    </w:p>
    <w:p w14:paraId="21A5F0A2" w14:textId="18853CD8" w:rsidR="00CA73CA" w:rsidRDefault="00CA73CA" w:rsidP="00CA73CA">
      <w:pPr>
        <w:pStyle w:val="ListParagraph"/>
        <w:numPr>
          <w:ilvl w:val="1"/>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one or more purposes of judicial management can be achieved; and,</w:t>
      </w:r>
    </w:p>
    <w:p w14:paraId="5230A7E3" w14:textId="51BC2F81" w:rsidR="00CA73CA" w:rsidRDefault="00CA73CA" w:rsidP="00CA73CA">
      <w:pPr>
        <w:pStyle w:val="ListParagraph"/>
        <w:numPr>
          <w:ilvl w:val="1"/>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he/she consents to be appointed as interim judicial manager.</w:t>
      </w:r>
    </w:p>
    <w:p w14:paraId="31B4931A" w14:textId="77777777" w:rsidR="00CA73CA" w:rsidRDefault="00CA73CA" w:rsidP="00CA73CA">
      <w:pPr>
        <w:pStyle w:val="ListParagraph"/>
        <w:ind w:left="1440"/>
        <w:jc w:val="both"/>
        <w:rPr>
          <w:rFonts w:ascii="Arial" w:hAnsi="Arial" w:cs="Arial"/>
          <w:color w:val="7B7B7B" w:themeColor="accent3" w:themeShade="BF"/>
          <w:sz w:val="22"/>
          <w:szCs w:val="22"/>
          <w:lang w:val="en-GB"/>
        </w:rPr>
      </w:pPr>
    </w:p>
    <w:p w14:paraId="691208B5" w14:textId="044B1A90" w:rsidR="00CA73CA" w:rsidRDefault="00CA73CA" w:rsidP="00CA73CA">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company’s directors have lodged with the Registrar of Companies a statutory declaration stating that:</w:t>
      </w:r>
    </w:p>
    <w:p w14:paraId="56766F48" w14:textId="77777777" w:rsidR="00CA73CA" w:rsidRDefault="00CA73CA" w:rsidP="00CA73CA">
      <w:pPr>
        <w:pStyle w:val="ListParagraph"/>
        <w:ind w:left="1440"/>
        <w:jc w:val="both"/>
        <w:rPr>
          <w:rFonts w:ascii="Arial" w:hAnsi="Arial" w:cs="Arial"/>
          <w:color w:val="7B7B7B" w:themeColor="accent3" w:themeShade="BF"/>
          <w:sz w:val="22"/>
          <w:szCs w:val="22"/>
          <w:lang w:val="en-GB"/>
        </w:rPr>
      </w:pPr>
    </w:p>
    <w:p w14:paraId="44CDE67E" w14:textId="06F3EA76" w:rsidR="00CA73CA" w:rsidRDefault="00CA73CA" w:rsidP="00CA73CA">
      <w:pPr>
        <w:pStyle w:val="ListParagraph"/>
        <w:numPr>
          <w:ilvl w:val="1"/>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company is or is likely to become unable to pay its debts;</w:t>
      </w:r>
    </w:p>
    <w:p w14:paraId="3D985B3E" w14:textId="6E9A2515" w:rsidR="00CA73CA" w:rsidRDefault="00CA73CA" w:rsidP="00CA73CA">
      <w:pPr>
        <w:pStyle w:val="ListParagraph"/>
        <w:numPr>
          <w:ilvl w:val="1"/>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company will summon a meeting of the company’s creditors to be held on a date not later than 30 days after the date of lodgement of the proposed </w:t>
      </w:r>
      <w:r w:rsidR="007F3D86">
        <w:rPr>
          <w:rFonts w:ascii="Arial" w:hAnsi="Arial" w:cs="Arial"/>
          <w:color w:val="7B7B7B" w:themeColor="accent3" w:themeShade="BF"/>
          <w:sz w:val="22"/>
          <w:szCs w:val="22"/>
          <w:lang w:val="en-GB"/>
        </w:rPr>
        <w:t xml:space="preserve">interim </w:t>
      </w:r>
      <w:r>
        <w:rPr>
          <w:rFonts w:ascii="Arial" w:hAnsi="Arial" w:cs="Arial"/>
          <w:color w:val="7B7B7B" w:themeColor="accent3" w:themeShade="BF"/>
          <w:sz w:val="22"/>
          <w:szCs w:val="22"/>
          <w:lang w:val="en-GB"/>
        </w:rPr>
        <w:t>judicial manager’s statutory declaration (mentioned above); and,</w:t>
      </w:r>
    </w:p>
    <w:p w14:paraId="2E82BCE1" w14:textId="27F9085B" w:rsidR="00CA73CA" w:rsidRDefault="00CA73CA" w:rsidP="00CA73CA">
      <w:pPr>
        <w:pStyle w:val="ListParagraph"/>
        <w:numPr>
          <w:ilvl w:val="1"/>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directors believe that one or more of the purposes of judicial management is likely to be achieved.</w:t>
      </w:r>
    </w:p>
    <w:p w14:paraId="75F65A52" w14:textId="77777777" w:rsidR="00CA73CA" w:rsidRDefault="00CA73CA" w:rsidP="00CA73CA">
      <w:pPr>
        <w:pStyle w:val="ListParagraph"/>
        <w:ind w:left="1440"/>
        <w:jc w:val="both"/>
        <w:rPr>
          <w:rFonts w:ascii="Arial" w:hAnsi="Arial" w:cs="Arial"/>
          <w:color w:val="7B7B7B" w:themeColor="accent3" w:themeShade="BF"/>
          <w:sz w:val="22"/>
          <w:szCs w:val="22"/>
          <w:lang w:val="en-GB"/>
        </w:rPr>
      </w:pPr>
    </w:p>
    <w:p w14:paraId="155577DF" w14:textId="061748B6" w:rsidR="00CA73CA" w:rsidRDefault="00CA73CA" w:rsidP="00CA73CA">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proposed interim judicial manager is a licensed insolvency practitioner, and is not the auditor of the company.</w:t>
      </w:r>
    </w:p>
    <w:p w14:paraId="188A3055" w14:textId="14D1B463" w:rsidR="00CA73CA" w:rsidRDefault="00CA73CA" w:rsidP="00CA73CA">
      <w:pPr>
        <w:jc w:val="both"/>
        <w:rPr>
          <w:rFonts w:ascii="Arial" w:hAnsi="Arial" w:cs="Arial"/>
          <w:color w:val="7B7B7B" w:themeColor="accent3" w:themeShade="BF"/>
          <w:sz w:val="22"/>
          <w:szCs w:val="22"/>
          <w:lang w:val="en-GB"/>
        </w:rPr>
      </w:pPr>
    </w:p>
    <w:p w14:paraId="30B62342" w14:textId="5A168E31" w:rsidR="00792A0A" w:rsidRPr="009901D5" w:rsidRDefault="00792A0A" w:rsidP="00CA73C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w:t>
      </w:r>
      <w:r w:rsidR="009901D5">
        <w:rPr>
          <w:rFonts w:ascii="Arial" w:hAnsi="Arial" w:cs="Arial"/>
          <w:color w:val="7B7B7B" w:themeColor="accent3" w:themeShade="BF"/>
          <w:sz w:val="22"/>
          <w:szCs w:val="22"/>
          <w:lang w:val="en-GB"/>
        </w:rPr>
        <w:t xml:space="preserve">ursuant to section 94(5) of the IRDA, upon the appointment of the interim judicial manager, the company must, within 3 days after the appointment, cause a written notice to be lodged with the Official Receiver and the Registrar of Companies and, within 7 days after the lodgement of such notice, cause a notice of appointment to be published in the </w:t>
      </w:r>
      <w:r w:rsidR="009901D5">
        <w:rPr>
          <w:rFonts w:ascii="Arial" w:hAnsi="Arial" w:cs="Arial"/>
          <w:i/>
          <w:iCs/>
          <w:color w:val="7B7B7B" w:themeColor="accent3" w:themeShade="BF"/>
          <w:sz w:val="22"/>
          <w:szCs w:val="22"/>
          <w:lang w:val="en-GB"/>
        </w:rPr>
        <w:t xml:space="preserve">Gazette </w:t>
      </w:r>
      <w:r w:rsidR="009901D5">
        <w:rPr>
          <w:rFonts w:ascii="Arial" w:hAnsi="Arial" w:cs="Arial"/>
          <w:color w:val="7B7B7B" w:themeColor="accent3" w:themeShade="BF"/>
          <w:sz w:val="22"/>
          <w:szCs w:val="22"/>
          <w:lang w:val="en-GB"/>
        </w:rPr>
        <w:t>and in an English local daily newspaper.</w:t>
      </w:r>
      <w:r w:rsidR="009901D5">
        <w:rPr>
          <w:rStyle w:val="FootnoteReference"/>
          <w:rFonts w:ascii="Arial" w:hAnsi="Arial" w:cs="Arial"/>
          <w:color w:val="7B7B7B" w:themeColor="accent3" w:themeShade="BF"/>
          <w:sz w:val="22"/>
          <w:szCs w:val="22"/>
          <w:lang w:val="en-GB"/>
        </w:rPr>
        <w:footnoteReference w:id="28"/>
      </w:r>
    </w:p>
    <w:p w14:paraId="26FC0019" w14:textId="77777777" w:rsidR="00792A0A" w:rsidRDefault="00792A0A" w:rsidP="00CA73CA">
      <w:pPr>
        <w:jc w:val="both"/>
        <w:rPr>
          <w:rFonts w:ascii="Arial" w:hAnsi="Arial" w:cs="Arial"/>
          <w:color w:val="7B7B7B" w:themeColor="accent3" w:themeShade="BF"/>
          <w:sz w:val="22"/>
          <w:szCs w:val="22"/>
          <w:lang w:val="en-GB"/>
        </w:rPr>
      </w:pPr>
    </w:p>
    <w:p w14:paraId="02EA639D" w14:textId="57C0915C" w:rsidR="00E5460D" w:rsidRDefault="00A04FE7" w:rsidP="00CA73C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E5460D">
        <w:rPr>
          <w:rFonts w:ascii="Arial" w:hAnsi="Arial" w:cs="Arial"/>
          <w:color w:val="7B7B7B" w:themeColor="accent3" w:themeShade="BF"/>
          <w:sz w:val="22"/>
          <w:szCs w:val="22"/>
          <w:lang w:val="en-GB"/>
        </w:rPr>
        <w:t>he term of the appointment of the interim judicial manager ends upon the expiry of 30 days after the date of the appointment, or such extension as the Official Receiver may allow, and the appointment of a judicial manager, or rejection of the resolution to place the company under judicial management.</w:t>
      </w:r>
      <w:r w:rsidR="00E5460D">
        <w:rPr>
          <w:rStyle w:val="FootnoteReference"/>
          <w:rFonts w:ascii="Arial" w:hAnsi="Arial" w:cs="Arial"/>
          <w:color w:val="7B7B7B" w:themeColor="accent3" w:themeShade="BF"/>
          <w:sz w:val="22"/>
          <w:szCs w:val="22"/>
          <w:lang w:val="en-GB"/>
        </w:rPr>
        <w:footnoteReference w:id="29"/>
      </w:r>
    </w:p>
    <w:p w14:paraId="35E95B04" w14:textId="77777777" w:rsidR="005007EA" w:rsidRDefault="005007EA" w:rsidP="00CA73CA">
      <w:pPr>
        <w:jc w:val="both"/>
        <w:rPr>
          <w:rFonts w:ascii="Arial" w:hAnsi="Arial" w:cs="Arial"/>
          <w:color w:val="7B7B7B" w:themeColor="accent3" w:themeShade="BF"/>
          <w:sz w:val="22"/>
          <w:szCs w:val="22"/>
          <w:lang w:val="en-GB"/>
        </w:rPr>
      </w:pPr>
    </w:p>
    <w:p w14:paraId="6B4CB8C4" w14:textId="2B934537" w:rsidR="005007EA" w:rsidRDefault="00A04FE7" w:rsidP="00CA73C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6B78C3">
        <w:rPr>
          <w:rFonts w:ascii="Arial" w:hAnsi="Arial" w:cs="Arial"/>
          <w:color w:val="7B7B7B" w:themeColor="accent3" w:themeShade="BF"/>
          <w:sz w:val="22"/>
          <w:szCs w:val="22"/>
          <w:lang w:val="en-GB"/>
        </w:rPr>
        <w:t>fter the lodgement of the proposed interim judicial manager’s statutory declaration (mentioned above), the company must convene a meeting of its creditors to be held not later than 30 days after the lodgement of such statutory declaration.</w:t>
      </w:r>
      <w:r w:rsidR="006B78C3">
        <w:rPr>
          <w:rStyle w:val="FootnoteReference"/>
          <w:rFonts w:ascii="Arial" w:hAnsi="Arial" w:cs="Arial"/>
          <w:color w:val="7B7B7B" w:themeColor="accent3" w:themeShade="BF"/>
          <w:sz w:val="22"/>
          <w:szCs w:val="22"/>
          <w:lang w:val="en-GB"/>
        </w:rPr>
        <w:footnoteReference w:id="30"/>
      </w:r>
      <w:r w:rsidR="006B78C3">
        <w:rPr>
          <w:rFonts w:ascii="Arial" w:hAnsi="Arial" w:cs="Arial"/>
          <w:color w:val="7B7B7B" w:themeColor="accent3" w:themeShade="BF"/>
          <w:sz w:val="22"/>
          <w:szCs w:val="22"/>
          <w:lang w:val="en-GB"/>
        </w:rPr>
        <w:t xml:space="preserve">  </w:t>
      </w:r>
      <w:r w:rsidR="00BF793A">
        <w:rPr>
          <w:rFonts w:ascii="Arial" w:hAnsi="Arial" w:cs="Arial"/>
          <w:color w:val="7B7B7B" w:themeColor="accent3" w:themeShade="BF"/>
          <w:sz w:val="22"/>
          <w:szCs w:val="22"/>
          <w:lang w:val="en-GB"/>
        </w:rPr>
        <w:t>The notice requirements pursuant to section 94(8) of the IRDA must be met.</w:t>
      </w:r>
      <w:r w:rsidR="00BF793A">
        <w:rPr>
          <w:rStyle w:val="FootnoteReference"/>
          <w:rFonts w:ascii="Arial" w:hAnsi="Arial" w:cs="Arial"/>
          <w:color w:val="7B7B7B" w:themeColor="accent3" w:themeShade="BF"/>
          <w:sz w:val="22"/>
          <w:szCs w:val="22"/>
          <w:lang w:val="en-GB"/>
        </w:rPr>
        <w:footnoteReference w:id="31"/>
      </w:r>
    </w:p>
    <w:p w14:paraId="08DFC3C3" w14:textId="77777777" w:rsidR="00F4422A" w:rsidRDefault="00F4422A" w:rsidP="00CA73CA">
      <w:pPr>
        <w:jc w:val="both"/>
        <w:rPr>
          <w:rFonts w:ascii="Arial" w:hAnsi="Arial" w:cs="Arial"/>
          <w:color w:val="7B7B7B" w:themeColor="accent3" w:themeShade="BF"/>
          <w:sz w:val="22"/>
          <w:szCs w:val="22"/>
          <w:lang w:val="en-GB"/>
        </w:rPr>
      </w:pPr>
    </w:p>
    <w:p w14:paraId="5A7E6689" w14:textId="54A56DB6" w:rsidR="00F4422A" w:rsidRDefault="00CA5CDA" w:rsidP="00CA73C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A</w:t>
      </w:r>
      <w:r w:rsidR="00F4422A">
        <w:rPr>
          <w:rFonts w:ascii="Arial" w:hAnsi="Arial" w:cs="Arial"/>
          <w:color w:val="7B7B7B" w:themeColor="accent3" w:themeShade="BF"/>
          <w:sz w:val="22"/>
          <w:szCs w:val="22"/>
          <w:lang w:val="en-GB"/>
        </w:rPr>
        <w:t xml:space="preserve">t the meeting of creditors, </w:t>
      </w:r>
      <w:r w:rsidR="00BD3EA8">
        <w:rPr>
          <w:rFonts w:ascii="Arial" w:hAnsi="Arial" w:cs="Arial"/>
          <w:color w:val="7B7B7B" w:themeColor="accent3" w:themeShade="BF"/>
          <w:sz w:val="22"/>
          <w:szCs w:val="22"/>
          <w:lang w:val="en-GB"/>
        </w:rPr>
        <w:t xml:space="preserve">if a majority in number and value of the creditors present and voting resolve to do so, </w:t>
      </w:r>
      <w:r w:rsidR="00E65F05">
        <w:rPr>
          <w:rFonts w:ascii="Arial" w:hAnsi="Arial" w:cs="Arial"/>
          <w:color w:val="7B7B7B" w:themeColor="accent3" w:themeShade="BF"/>
          <w:sz w:val="22"/>
          <w:szCs w:val="22"/>
          <w:lang w:val="en-GB"/>
        </w:rPr>
        <w:t xml:space="preserve">the company is placed under the judicial management of a judicial manager </w:t>
      </w:r>
      <w:r w:rsidR="00BD3EA8">
        <w:rPr>
          <w:rFonts w:ascii="Arial" w:hAnsi="Arial" w:cs="Arial"/>
          <w:color w:val="7B7B7B" w:themeColor="accent3" w:themeShade="BF"/>
          <w:sz w:val="22"/>
          <w:szCs w:val="22"/>
          <w:lang w:val="en-GB"/>
        </w:rPr>
        <w:t>so appointed.</w:t>
      </w:r>
      <w:r w:rsidR="00BD3EA8">
        <w:rPr>
          <w:rStyle w:val="FootnoteReference"/>
          <w:rFonts w:ascii="Arial" w:hAnsi="Arial" w:cs="Arial"/>
          <w:color w:val="7B7B7B" w:themeColor="accent3" w:themeShade="BF"/>
          <w:sz w:val="22"/>
          <w:szCs w:val="22"/>
          <w:lang w:val="en-GB"/>
        </w:rPr>
        <w:footnoteReference w:id="32"/>
      </w:r>
    </w:p>
    <w:p w14:paraId="08E458D1" w14:textId="77777777" w:rsidR="0079792C" w:rsidRDefault="0079792C" w:rsidP="00CA73CA">
      <w:pPr>
        <w:jc w:val="both"/>
        <w:rPr>
          <w:rFonts w:ascii="Arial" w:hAnsi="Arial" w:cs="Arial"/>
          <w:color w:val="7B7B7B" w:themeColor="accent3" w:themeShade="BF"/>
          <w:sz w:val="22"/>
          <w:szCs w:val="22"/>
          <w:lang w:val="en-GB"/>
        </w:rPr>
      </w:pPr>
    </w:p>
    <w:p w14:paraId="39D73893" w14:textId="696EBAD4" w:rsidR="0079792C" w:rsidRDefault="000C287C" w:rsidP="00CA73C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respect of judicial management applications filed with Court, in addition to a company or its directors</w:t>
      </w:r>
      <w:r w:rsidR="000B7DA7">
        <w:rPr>
          <w:rFonts w:ascii="Arial" w:hAnsi="Arial" w:cs="Arial"/>
          <w:color w:val="7B7B7B" w:themeColor="accent3" w:themeShade="BF"/>
          <w:sz w:val="22"/>
          <w:szCs w:val="22"/>
          <w:lang w:val="en-GB"/>
        </w:rPr>
        <w:t xml:space="preserve"> (via its members or board of directors)</w:t>
      </w:r>
      <w:r>
        <w:rPr>
          <w:rFonts w:ascii="Arial" w:hAnsi="Arial" w:cs="Arial"/>
          <w:color w:val="7B7B7B" w:themeColor="accent3" w:themeShade="BF"/>
          <w:sz w:val="22"/>
          <w:szCs w:val="22"/>
          <w:lang w:val="en-GB"/>
        </w:rPr>
        <w:t>, any creditor may make an application for an order that the company be placed under the judicial management of a judicial manager</w:t>
      </w:r>
      <w:r w:rsidR="00B01D1E">
        <w:rPr>
          <w:rFonts w:ascii="Arial" w:hAnsi="Arial" w:cs="Arial"/>
          <w:color w:val="7B7B7B" w:themeColor="accent3" w:themeShade="BF"/>
          <w:sz w:val="22"/>
          <w:szCs w:val="22"/>
          <w:lang w:val="en-GB"/>
        </w:rPr>
        <w:t>.  The grounds to be met for a judicial management order are the same as those under section 94(1) for voluntary judicial management (mentioned above).</w:t>
      </w:r>
      <w:r w:rsidR="00B01D1E">
        <w:rPr>
          <w:rStyle w:val="FootnoteReference"/>
          <w:rFonts w:ascii="Arial" w:hAnsi="Arial" w:cs="Arial"/>
          <w:color w:val="7B7B7B" w:themeColor="accent3" w:themeShade="BF"/>
          <w:sz w:val="22"/>
          <w:szCs w:val="22"/>
          <w:lang w:val="en-GB"/>
        </w:rPr>
        <w:footnoteReference w:id="33"/>
      </w:r>
      <w:r w:rsidR="00667646">
        <w:rPr>
          <w:rFonts w:ascii="Arial" w:hAnsi="Arial" w:cs="Arial"/>
          <w:color w:val="7B7B7B" w:themeColor="accent3" w:themeShade="BF"/>
          <w:sz w:val="22"/>
          <w:szCs w:val="22"/>
          <w:lang w:val="en-GB"/>
        </w:rPr>
        <w:t xml:space="preserve">  In addition, the independent and qualification requirements of the proposed judicial manager</w:t>
      </w:r>
      <w:r w:rsidR="004D2281">
        <w:rPr>
          <w:rFonts w:ascii="Arial" w:hAnsi="Arial" w:cs="Arial"/>
          <w:color w:val="7B7B7B" w:themeColor="accent3" w:themeShade="BF"/>
          <w:sz w:val="22"/>
          <w:szCs w:val="22"/>
          <w:lang w:val="en-GB"/>
        </w:rPr>
        <w:t xml:space="preserve"> and</w:t>
      </w:r>
      <w:r w:rsidR="00667646">
        <w:rPr>
          <w:rFonts w:ascii="Arial" w:hAnsi="Arial" w:cs="Arial"/>
          <w:color w:val="7B7B7B" w:themeColor="accent3" w:themeShade="BF"/>
          <w:sz w:val="22"/>
          <w:szCs w:val="22"/>
          <w:lang w:val="en-GB"/>
        </w:rPr>
        <w:t xml:space="preserve"> the statutory declaration </w:t>
      </w:r>
      <w:r w:rsidR="00F00B13">
        <w:rPr>
          <w:rFonts w:ascii="Arial" w:hAnsi="Arial" w:cs="Arial"/>
          <w:color w:val="7B7B7B" w:themeColor="accent3" w:themeShade="BF"/>
          <w:sz w:val="22"/>
          <w:szCs w:val="22"/>
          <w:lang w:val="en-GB"/>
        </w:rPr>
        <w:t xml:space="preserve">requirements </w:t>
      </w:r>
      <w:r w:rsidR="00667646">
        <w:rPr>
          <w:rFonts w:ascii="Arial" w:hAnsi="Arial" w:cs="Arial"/>
          <w:color w:val="7B7B7B" w:themeColor="accent3" w:themeShade="BF"/>
          <w:sz w:val="22"/>
          <w:szCs w:val="22"/>
          <w:lang w:val="en-GB"/>
        </w:rPr>
        <w:t>of the proposed judicial manager</w:t>
      </w:r>
      <w:r w:rsidR="004D2281">
        <w:rPr>
          <w:rFonts w:ascii="Arial" w:hAnsi="Arial" w:cs="Arial"/>
          <w:color w:val="7B7B7B" w:themeColor="accent3" w:themeShade="BF"/>
          <w:sz w:val="22"/>
          <w:szCs w:val="22"/>
          <w:lang w:val="en-GB"/>
        </w:rPr>
        <w:t xml:space="preserve"> must be met.</w:t>
      </w:r>
      <w:r w:rsidR="004D2281">
        <w:rPr>
          <w:rStyle w:val="FootnoteReference"/>
          <w:rFonts w:ascii="Arial" w:hAnsi="Arial" w:cs="Arial"/>
          <w:color w:val="7B7B7B" w:themeColor="accent3" w:themeShade="BF"/>
          <w:sz w:val="22"/>
          <w:szCs w:val="22"/>
          <w:lang w:val="en-GB"/>
        </w:rPr>
        <w:footnoteReference w:id="34"/>
      </w:r>
      <w:r w:rsidR="004D2281">
        <w:rPr>
          <w:rFonts w:ascii="Arial" w:hAnsi="Arial" w:cs="Arial"/>
          <w:color w:val="7B7B7B" w:themeColor="accent3" w:themeShade="BF"/>
          <w:sz w:val="22"/>
          <w:szCs w:val="22"/>
          <w:lang w:val="en-GB"/>
        </w:rPr>
        <w:t xml:space="preserve">  </w:t>
      </w:r>
    </w:p>
    <w:p w14:paraId="6D6A3093" w14:textId="77777777" w:rsidR="00BF25EB" w:rsidRDefault="00BF25EB" w:rsidP="00CA73CA">
      <w:pPr>
        <w:jc w:val="both"/>
        <w:rPr>
          <w:rFonts w:ascii="Arial" w:hAnsi="Arial" w:cs="Arial"/>
          <w:color w:val="7B7B7B" w:themeColor="accent3" w:themeShade="BF"/>
          <w:sz w:val="22"/>
          <w:szCs w:val="22"/>
          <w:lang w:val="en-GB"/>
        </w:rPr>
      </w:pPr>
    </w:p>
    <w:p w14:paraId="4763EAE1" w14:textId="4C32B0C9" w:rsidR="00BF25EB" w:rsidRDefault="00DD2A5D" w:rsidP="00CA73C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008045BF">
        <w:rPr>
          <w:rFonts w:ascii="Arial" w:hAnsi="Arial" w:cs="Arial"/>
          <w:color w:val="7B7B7B" w:themeColor="accent3" w:themeShade="BF"/>
          <w:sz w:val="22"/>
          <w:szCs w:val="22"/>
          <w:lang w:val="en-GB"/>
        </w:rPr>
        <w:t xml:space="preserve">n the case where a company makes an application for a judicial management order or lodges a written notice of appointment of an interim judicial manager (in respect of a voluntary judicial management), </w:t>
      </w:r>
      <w:r w:rsidR="008F3A9E">
        <w:rPr>
          <w:rFonts w:ascii="Arial" w:hAnsi="Arial" w:cs="Arial"/>
          <w:color w:val="7B7B7B" w:themeColor="accent3" w:themeShade="BF"/>
          <w:sz w:val="22"/>
          <w:szCs w:val="22"/>
          <w:lang w:val="en-GB"/>
        </w:rPr>
        <w:t>an automatic moratorium takes effect</w:t>
      </w:r>
      <w:r w:rsidR="00EB0D8F">
        <w:rPr>
          <w:rFonts w:ascii="Arial" w:hAnsi="Arial" w:cs="Arial"/>
          <w:color w:val="7B7B7B" w:themeColor="accent3" w:themeShade="BF"/>
          <w:sz w:val="22"/>
          <w:szCs w:val="22"/>
          <w:lang w:val="en-GB"/>
        </w:rPr>
        <w:t>.</w:t>
      </w:r>
      <w:r w:rsidR="00EB0D8F">
        <w:rPr>
          <w:rStyle w:val="FootnoteReference"/>
          <w:rFonts w:ascii="Arial" w:hAnsi="Arial" w:cs="Arial"/>
          <w:color w:val="7B7B7B" w:themeColor="accent3" w:themeShade="BF"/>
          <w:sz w:val="22"/>
          <w:szCs w:val="22"/>
          <w:lang w:val="en-GB"/>
        </w:rPr>
        <w:footnoteReference w:id="35"/>
      </w:r>
    </w:p>
    <w:p w14:paraId="1319C98E" w14:textId="77777777" w:rsidR="007E40F0" w:rsidRPr="007E40F0" w:rsidRDefault="007E40F0" w:rsidP="00087F21">
      <w:pPr>
        <w:jc w:val="both"/>
        <w:rPr>
          <w:rFonts w:ascii="Arial" w:hAnsi="Arial" w:cs="Arial"/>
          <w:bCs/>
          <w:sz w:val="22"/>
          <w:szCs w:val="22"/>
          <w:lang w:val="en-GB"/>
        </w:rPr>
      </w:pPr>
    </w:p>
    <w:p w14:paraId="5F560468" w14:textId="77777777" w:rsidR="009B0723" w:rsidRPr="002A37BB" w:rsidRDefault="0007291B"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1F3EFFD" w14:textId="77777777" w:rsidR="009B0723" w:rsidRPr="002A37BB" w:rsidRDefault="009B0723" w:rsidP="00087F21">
      <w:pPr>
        <w:jc w:val="both"/>
        <w:rPr>
          <w:rFonts w:ascii="Arial" w:hAnsi="Arial" w:cs="Arial"/>
          <w:sz w:val="22"/>
          <w:szCs w:val="22"/>
          <w:lang w:val="en-GB"/>
        </w:rPr>
      </w:pPr>
    </w:p>
    <w:p w14:paraId="5438C829" w14:textId="77777777" w:rsidR="00384F62" w:rsidRDefault="00384F62" w:rsidP="00384F62">
      <w:pPr>
        <w:jc w:val="both"/>
        <w:rPr>
          <w:rFonts w:ascii="Arial" w:hAnsi="Arial" w:cs="Arial"/>
          <w:sz w:val="22"/>
          <w:szCs w:val="22"/>
          <w:lang w:val="en-GB"/>
        </w:rPr>
      </w:pPr>
      <w:bookmarkStart w:id="0" w:name="_Hlk17745211"/>
      <w:r>
        <w:rPr>
          <w:rFonts w:ascii="Arial" w:hAnsi="Arial" w:cs="Arial"/>
          <w:sz w:val="22"/>
          <w:szCs w:val="22"/>
          <w:lang w:val="en-GB"/>
        </w:rPr>
        <w:t xml:space="preserve">PT Angostura Textiles </w:t>
      </w:r>
      <w:proofErr w:type="spellStart"/>
      <w:r>
        <w:rPr>
          <w:rFonts w:ascii="Arial" w:hAnsi="Arial" w:cs="Arial"/>
          <w:sz w:val="22"/>
          <w:szCs w:val="22"/>
          <w:lang w:val="en-GB"/>
        </w:rPr>
        <w:t>Tbk</w:t>
      </w:r>
      <w:proofErr w:type="spellEnd"/>
      <w:r>
        <w:rPr>
          <w:rFonts w:ascii="Arial" w:hAnsi="Arial" w:cs="Arial"/>
          <w:sz w:val="22"/>
          <w:szCs w:val="22"/>
          <w:lang w:val="en-GB"/>
        </w:rPr>
        <w:t xml:space="preserve"> (Angostura, and together with its subsidiaries, the Angostura Group) is an Indonesia-incorporated company listed on the Indonesia stock exchange. Angostura is a substantial market player in textile production in South East Asia and China. Its primary lines of business are:</w:t>
      </w:r>
    </w:p>
    <w:p w14:paraId="2163A324" w14:textId="77777777" w:rsidR="00384F62" w:rsidRDefault="00384F62" w:rsidP="00384F62">
      <w:pPr>
        <w:jc w:val="both"/>
        <w:rPr>
          <w:rFonts w:ascii="Arial" w:hAnsi="Arial" w:cs="Arial"/>
          <w:sz w:val="22"/>
          <w:szCs w:val="22"/>
          <w:lang w:val="en-GB"/>
        </w:rPr>
      </w:pPr>
    </w:p>
    <w:p w14:paraId="0676522E" w14:textId="77777777" w:rsidR="00384F62"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fibre production with assets and factories in Malaysia, Thailand and Cambodia;</w:t>
      </w:r>
    </w:p>
    <w:p w14:paraId="043B67BC" w14:textId="77777777" w:rsidR="00384F62" w:rsidRPr="005A6ED5" w:rsidRDefault="00384F62" w:rsidP="00384F62">
      <w:pPr>
        <w:jc w:val="both"/>
        <w:rPr>
          <w:rFonts w:ascii="Arial" w:hAnsi="Arial" w:cs="Arial"/>
          <w:sz w:val="22"/>
          <w:szCs w:val="22"/>
          <w:lang w:val="en-GB"/>
        </w:rPr>
      </w:pPr>
    </w:p>
    <w:p w14:paraId="76075389" w14:textId="77777777" w:rsidR="00384F62"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textile manufacturing with assets and factories in Indonesia, Vietnam and China; and</w:t>
      </w:r>
    </w:p>
    <w:p w14:paraId="121CB079" w14:textId="77777777" w:rsidR="00384F62" w:rsidRPr="005A6ED5" w:rsidRDefault="00384F62" w:rsidP="00384F62">
      <w:pPr>
        <w:jc w:val="both"/>
        <w:rPr>
          <w:rFonts w:ascii="Arial" w:hAnsi="Arial" w:cs="Arial"/>
          <w:sz w:val="22"/>
          <w:szCs w:val="22"/>
          <w:lang w:val="en-GB"/>
        </w:rPr>
      </w:pPr>
    </w:p>
    <w:p w14:paraId="71AAD59D" w14:textId="77777777" w:rsidR="00384F62" w:rsidRPr="003D70A7"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garment manufacturing and distribution facilities with assets and factories in Indonesia, Vietnam and the United States.</w:t>
      </w:r>
    </w:p>
    <w:p w14:paraId="41D1E910" w14:textId="77777777" w:rsidR="00384F62" w:rsidRDefault="00384F62" w:rsidP="00384F62">
      <w:pPr>
        <w:jc w:val="both"/>
        <w:rPr>
          <w:rFonts w:ascii="Arial" w:hAnsi="Arial" w:cs="Arial"/>
          <w:sz w:val="22"/>
          <w:szCs w:val="22"/>
          <w:lang w:val="en-GB"/>
        </w:rPr>
      </w:pPr>
    </w:p>
    <w:p w14:paraId="2CE6DC90" w14:textId="77777777" w:rsidR="00384F62" w:rsidRDefault="00384F62" w:rsidP="00384F62">
      <w:pPr>
        <w:jc w:val="both"/>
        <w:rPr>
          <w:rFonts w:ascii="Arial" w:hAnsi="Arial" w:cs="Arial"/>
          <w:sz w:val="22"/>
          <w:szCs w:val="22"/>
          <w:lang w:val="en-GB"/>
        </w:rPr>
      </w:pPr>
      <w:r>
        <w:rPr>
          <w:rFonts w:ascii="Arial" w:hAnsi="Arial" w:cs="Arial"/>
          <w:sz w:val="22"/>
          <w:szCs w:val="22"/>
          <w:lang w:val="en-GB"/>
        </w:rPr>
        <w:t>The Angostura Group has two key Singapore incorporated subsidiaries:</w:t>
      </w:r>
    </w:p>
    <w:p w14:paraId="2FA83A4F" w14:textId="77777777" w:rsidR="00384F62" w:rsidRDefault="00384F62" w:rsidP="00384F62">
      <w:pPr>
        <w:jc w:val="both"/>
        <w:rPr>
          <w:rFonts w:ascii="Arial" w:hAnsi="Arial" w:cs="Arial"/>
          <w:sz w:val="22"/>
          <w:szCs w:val="22"/>
          <w:lang w:val="en-GB"/>
        </w:rPr>
      </w:pPr>
    </w:p>
    <w:p w14:paraId="63D1B2CD" w14:textId="08C2FB34" w:rsidR="00384F62" w:rsidRDefault="00384F62" w:rsidP="00384F62">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 xml:space="preserve">Juniperus Textiles Pte Ltd. (Juniperus) which is wholly owned by Angostura; and </w:t>
      </w:r>
    </w:p>
    <w:p w14:paraId="7EC554F6" w14:textId="77777777" w:rsidR="00384F62" w:rsidRPr="005A6ED5" w:rsidRDefault="00384F62" w:rsidP="00384F62">
      <w:pPr>
        <w:jc w:val="both"/>
        <w:rPr>
          <w:rFonts w:ascii="Arial" w:hAnsi="Arial" w:cs="Arial"/>
          <w:sz w:val="22"/>
          <w:szCs w:val="22"/>
          <w:lang w:val="en-GB"/>
        </w:rPr>
      </w:pPr>
    </w:p>
    <w:p w14:paraId="7359502F" w14:textId="3B2BB17D" w:rsidR="00384F62" w:rsidRDefault="00384F62" w:rsidP="00384F62">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Casuarina Garments Pte Ltd (Casuarina) which is wholly owned by Juniperus.</w:t>
      </w:r>
    </w:p>
    <w:p w14:paraId="44660DCA" w14:textId="77777777" w:rsidR="00384F62" w:rsidRPr="005A6ED5" w:rsidRDefault="00384F62" w:rsidP="00384F62">
      <w:pPr>
        <w:pStyle w:val="ListParagraph"/>
        <w:rPr>
          <w:rFonts w:ascii="Arial" w:hAnsi="Arial" w:cs="Arial"/>
          <w:sz w:val="22"/>
          <w:szCs w:val="22"/>
          <w:lang w:val="en-GB"/>
        </w:rPr>
      </w:pPr>
    </w:p>
    <w:p w14:paraId="1F9CCE2C" w14:textId="77777777" w:rsidR="00384F62" w:rsidRPr="00B81AE8" w:rsidRDefault="00384F62" w:rsidP="00384F62">
      <w:pPr>
        <w:jc w:val="both"/>
        <w:rPr>
          <w:rFonts w:ascii="Arial" w:hAnsi="Arial" w:cs="Arial"/>
          <w:sz w:val="22"/>
          <w:szCs w:val="22"/>
          <w:lang w:val="en-GB"/>
        </w:rPr>
      </w:pPr>
      <w:r w:rsidRPr="00B81AE8">
        <w:rPr>
          <w:rFonts w:ascii="Arial" w:hAnsi="Arial" w:cs="Arial"/>
          <w:sz w:val="22"/>
          <w:szCs w:val="22"/>
          <w:lang w:val="en-GB"/>
        </w:rPr>
        <w:t xml:space="preserve">Each entity in turn owns all, or substantially all, of the shares in </w:t>
      </w:r>
      <w:r>
        <w:rPr>
          <w:rFonts w:ascii="Arial" w:hAnsi="Arial" w:cs="Arial"/>
          <w:sz w:val="22"/>
          <w:szCs w:val="22"/>
          <w:lang w:val="en-GB"/>
        </w:rPr>
        <w:t xml:space="preserve">the relevant entities incorporated in the local </w:t>
      </w:r>
      <w:r w:rsidRPr="00B81AE8">
        <w:rPr>
          <w:rFonts w:ascii="Arial" w:hAnsi="Arial" w:cs="Arial"/>
          <w:sz w:val="22"/>
          <w:szCs w:val="22"/>
          <w:lang w:val="en-GB"/>
        </w:rPr>
        <w:t>relevant overseas jurisdiction.</w:t>
      </w:r>
    </w:p>
    <w:p w14:paraId="5D9E4161" w14:textId="77777777" w:rsidR="00384F62" w:rsidRDefault="00384F62" w:rsidP="00384F62">
      <w:pPr>
        <w:jc w:val="both"/>
        <w:rPr>
          <w:rFonts w:ascii="Arial" w:hAnsi="Arial" w:cs="Arial"/>
          <w:sz w:val="22"/>
          <w:szCs w:val="22"/>
          <w:lang w:val="en-GB"/>
        </w:rPr>
      </w:pPr>
    </w:p>
    <w:p w14:paraId="1B3F0673" w14:textId="77777777"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Angostura Group had traditionally </w:t>
      </w:r>
      <w:r w:rsidRPr="004076F1">
        <w:rPr>
          <w:rFonts w:ascii="Arial" w:hAnsi="Arial" w:cs="Arial"/>
          <w:sz w:val="22"/>
          <w:szCs w:val="22"/>
          <w:lang w:val="en-GB"/>
        </w:rPr>
        <w:t>funded its business via bank lending,</w:t>
      </w:r>
      <w:r>
        <w:rPr>
          <w:rFonts w:ascii="Arial" w:hAnsi="Arial" w:cs="Arial"/>
          <w:sz w:val="22"/>
          <w:szCs w:val="22"/>
          <w:lang w:val="en-GB"/>
        </w:rPr>
        <w:t xml:space="preserve"> with a combination of bilateral and syndicated loan facilities advanced directly to Angostura. As at 2019, the group had raised SGD 2 billion in bank lending, all of which was guaranteed by Angostura Indonesian subsidiaries. </w:t>
      </w:r>
    </w:p>
    <w:p w14:paraId="5BE725F2" w14:textId="77777777" w:rsidR="00384F62" w:rsidRDefault="00384F62" w:rsidP="00384F62">
      <w:pPr>
        <w:jc w:val="both"/>
        <w:rPr>
          <w:rFonts w:ascii="Arial" w:hAnsi="Arial" w:cs="Arial"/>
          <w:sz w:val="22"/>
          <w:szCs w:val="22"/>
          <w:lang w:val="en-GB"/>
        </w:rPr>
      </w:pPr>
    </w:p>
    <w:p w14:paraId="4DA78948" w14:textId="0D7675D4" w:rsidR="00384F62" w:rsidRDefault="0091109D" w:rsidP="00384F62">
      <w:pPr>
        <w:jc w:val="both"/>
        <w:rPr>
          <w:rFonts w:ascii="Arial" w:hAnsi="Arial" w:cs="Arial"/>
          <w:sz w:val="22"/>
          <w:szCs w:val="22"/>
          <w:lang w:val="en-GB"/>
        </w:rPr>
      </w:pPr>
      <w:r>
        <w:rPr>
          <w:rFonts w:ascii="Arial" w:hAnsi="Arial" w:cs="Arial"/>
          <w:sz w:val="22"/>
          <w:szCs w:val="22"/>
          <w:lang w:val="en-GB"/>
        </w:rPr>
        <w:t xml:space="preserve"> </w:t>
      </w:r>
      <w:r w:rsidR="00384F62">
        <w:rPr>
          <w:rFonts w:ascii="Arial" w:hAnsi="Arial" w:cs="Arial"/>
          <w:sz w:val="22"/>
          <w:szCs w:val="22"/>
          <w:lang w:val="en-GB"/>
        </w:rPr>
        <w:t xml:space="preserve">In late 2019, as COVID-19 started to spread around the world, the Angostura Group sought to take advantage of the situation by expanding its garment manufacturing business into personal protective equipment. To fund this expansion, Juniperus issued SGD 200 million in retail bonds (the Juniperus SG Bonds) on the Singapore Stock Exchange (SGX) which were guaranteed by Angostura. The proceeds of the Juniperus Bonds were on-lent to Casuarina who lent them via an offshore intercompany loan to Angostura (the Casuarina Intra-Group </w:t>
      </w:r>
      <w:r w:rsidR="00384F62">
        <w:rPr>
          <w:rFonts w:ascii="Arial" w:hAnsi="Arial" w:cs="Arial"/>
          <w:sz w:val="22"/>
          <w:szCs w:val="22"/>
          <w:lang w:val="en-GB"/>
        </w:rPr>
        <w:lastRenderedPageBreak/>
        <w:t xml:space="preserve">Loan). To ensure bondholders had rights in connection with the Casuarina Intra-Group Loan, holders of the Angostura Bonds are given security over the shares of each of Juniperus and Casuarina. The Juniperus Bonds are governed by a New York law. </w:t>
      </w:r>
    </w:p>
    <w:p w14:paraId="2F4A7D3A" w14:textId="77777777" w:rsidR="00384F62" w:rsidRDefault="00384F62" w:rsidP="00384F62">
      <w:pPr>
        <w:jc w:val="both"/>
        <w:rPr>
          <w:rFonts w:ascii="Arial" w:hAnsi="Arial" w:cs="Arial"/>
          <w:sz w:val="22"/>
          <w:szCs w:val="22"/>
          <w:lang w:val="en-GB"/>
        </w:rPr>
      </w:pPr>
    </w:p>
    <w:p w14:paraId="57B2ED64" w14:textId="626D7B6C" w:rsidR="00384F62" w:rsidRDefault="00384F62" w:rsidP="00384F62">
      <w:pPr>
        <w:jc w:val="both"/>
        <w:rPr>
          <w:rFonts w:ascii="Arial" w:hAnsi="Arial" w:cs="Arial"/>
          <w:sz w:val="22"/>
          <w:szCs w:val="22"/>
          <w:lang w:val="en-GB"/>
        </w:rPr>
      </w:pPr>
      <w:r>
        <w:rPr>
          <w:rFonts w:ascii="Arial" w:hAnsi="Arial" w:cs="Arial"/>
          <w:sz w:val="22"/>
          <w:szCs w:val="22"/>
          <w:lang w:val="en-GB"/>
        </w:rPr>
        <w:t xml:space="preserve">In late 2020, Angostura's business experienced significant supply-chain disruptions as a result of the COVID-19 pandemic. During this time, Angostura started informing some of its bank lenders that they may require waivers on certain terms in their loans and potentially further time to repay certain amounts owing. In early 2021, Angostura appointed legal and financial advisors to provide it with advice as to the best steps to take. Shortly thereafter, a trade creditor filed a PKPU petition in Indonesia against Angostura and its Indonesian subsidiaries. Further to this, Juniperus and Casuarina filed for protection, under sections 64(1) and 65(1) respectively, of the Insolvency Restructuring and Dissolution Act (Act No 40 of 2018) (the IRDA). Angostura then announced that Juniperus will launch a separate Singapore Scheme of Arrangement under section 210 of the </w:t>
      </w:r>
      <w:r w:rsidRPr="00F15BB8">
        <w:rPr>
          <w:rFonts w:ascii="Arial" w:hAnsi="Arial" w:cs="Arial"/>
          <w:sz w:val="22"/>
          <w:szCs w:val="22"/>
          <w:lang w:val="en-GB"/>
        </w:rPr>
        <w:t xml:space="preserve">Companies Act (Cap 50) </w:t>
      </w:r>
      <w:r>
        <w:rPr>
          <w:rFonts w:ascii="Arial" w:hAnsi="Arial" w:cs="Arial"/>
          <w:sz w:val="22"/>
          <w:szCs w:val="22"/>
          <w:lang w:val="en-GB"/>
        </w:rPr>
        <w:t>to restructure the Juniperus Bonds after the conclusion of the Indonesian PKPU, which will largely mirror the terms in the PKPU.</w:t>
      </w:r>
    </w:p>
    <w:p w14:paraId="0649EE92" w14:textId="77777777" w:rsidR="00384F62" w:rsidRDefault="00384F62" w:rsidP="00384F62">
      <w:pPr>
        <w:jc w:val="both"/>
        <w:rPr>
          <w:rFonts w:ascii="Arial" w:hAnsi="Arial" w:cs="Arial"/>
          <w:sz w:val="22"/>
          <w:szCs w:val="22"/>
          <w:lang w:val="en-GB"/>
        </w:rPr>
      </w:pPr>
    </w:p>
    <w:p w14:paraId="5D521753" w14:textId="4C794FF1"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bondholders of the Juniperus Bonds are concerned the moratoria being sought will prevent them from participating in the PKPU proceedings in Indonesia and enforcing their security over the shares in Juniperus and Casuarina, respectively. They have therefore decided to object to the Singapore moratorium applications. </w:t>
      </w:r>
    </w:p>
    <w:p w14:paraId="3155C583" w14:textId="77777777" w:rsidR="00384F62" w:rsidRDefault="00384F62" w:rsidP="00384F62">
      <w:pPr>
        <w:jc w:val="both"/>
        <w:rPr>
          <w:rFonts w:ascii="Arial" w:hAnsi="Arial" w:cs="Arial"/>
          <w:sz w:val="22"/>
          <w:szCs w:val="22"/>
          <w:lang w:val="en-GB"/>
        </w:rPr>
      </w:pPr>
    </w:p>
    <w:p w14:paraId="4286FDD1" w14:textId="77777777" w:rsidR="00384F62" w:rsidRDefault="00384F62" w:rsidP="00384F62">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4FC422DA" w14:textId="77777777" w:rsidR="00384F62" w:rsidRPr="00F130CF" w:rsidRDefault="00384F62" w:rsidP="00384F62">
      <w:pPr>
        <w:jc w:val="both"/>
        <w:rPr>
          <w:rFonts w:ascii="Arial" w:hAnsi="Arial" w:cs="Arial"/>
          <w:sz w:val="22"/>
          <w:szCs w:val="22"/>
          <w:lang w:val="en-GB"/>
        </w:rPr>
      </w:pPr>
    </w:p>
    <w:p w14:paraId="3279DC90" w14:textId="77777777" w:rsidR="00384F62" w:rsidRPr="002A37BB" w:rsidRDefault="00384F62" w:rsidP="00384F62">
      <w:pPr>
        <w:jc w:val="both"/>
        <w:rPr>
          <w:rFonts w:ascii="Arial" w:hAnsi="Arial" w:cs="Arial"/>
          <w:b/>
          <w:bCs/>
          <w:sz w:val="22"/>
          <w:szCs w:val="22"/>
          <w:lang w:val="en-GB"/>
        </w:rPr>
      </w:pPr>
      <w:r w:rsidRPr="002A37BB">
        <w:rPr>
          <w:rFonts w:ascii="Arial" w:hAnsi="Arial" w:cs="Arial"/>
          <w:b/>
          <w:bCs/>
          <w:sz w:val="22"/>
          <w:szCs w:val="22"/>
          <w:lang w:val="en-GB"/>
        </w:rPr>
        <w:t>Question 4.</w:t>
      </w:r>
      <w:r>
        <w:rPr>
          <w:rFonts w:ascii="Arial" w:hAnsi="Arial" w:cs="Arial"/>
          <w:b/>
          <w:bCs/>
          <w:sz w:val="22"/>
          <w:szCs w:val="22"/>
          <w:lang w:val="en-GB"/>
        </w:rPr>
        <w:t>1 [maximum 6 marks]</w:t>
      </w:r>
    </w:p>
    <w:p w14:paraId="080F5236" w14:textId="77777777" w:rsidR="00384F62" w:rsidRPr="002A37BB" w:rsidRDefault="00384F62" w:rsidP="00384F62">
      <w:pPr>
        <w:jc w:val="both"/>
        <w:rPr>
          <w:rFonts w:ascii="Arial" w:hAnsi="Arial" w:cs="Arial"/>
          <w:b/>
          <w:bCs/>
          <w:sz w:val="22"/>
          <w:szCs w:val="22"/>
          <w:lang w:val="en-GB"/>
        </w:rPr>
      </w:pPr>
    </w:p>
    <w:p w14:paraId="4ED1A98C" w14:textId="5BB8ADFD"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working group of the </w:t>
      </w:r>
      <w:r w:rsidR="00A94591">
        <w:rPr>
          <w:rFonts w:ascii="Arial" w:hAnsi="Arial" w:cs="Arial"/>
          <w:sz w:val="22"/>
          <w:szCs w:val="22"/>
          <w:lang w:val="en-GB"/>
        </w:rPr>
        <w:t>b</w:t>
      </w:r>
      <w:r>
        <w:rPr>
          <w:rFonts w:ascii="Arial" w:hAnsi="Arial" w:cs="Arial"/>
          <w:sz w:val="22"/>
          <w:szCs w:val="22"/>
          <w:lang w:val="en-GB"/>
        </w:rPr>
        <w:t xml:space="preserve">ondholders has asked its advisors to provide it with a written analysis covering the following critical </w:t>
      </w:r>
      <w:r w:rsidRPr="004076F1">
        <w:rPr>
          <w:rFonts w:ascii="Arial" w:hAnsi="Arial" w:cs="Arial"/>
          <w:sz w:val="22"/>
          <w:szCs w:val="22"/>
          <w:lang w:val="en-GB"/>
        </w:rPr>
        <w:t>issues for the Angostura Group. Please provide analysis on the following issues:</w:t>
      </w:r>
    </w:p>
    <w:p w14:paraId="149E1536" w14:textId="0FA069B3" w:rsidR="00384F62" w:rsidRDefault="00384F62" w:rsidP="00384F62">
      <w:pPr>
        <w:jc w:val="both"/>
        <w:rPr>
          <w:rFonts w:ascii="Arial" w:hAnsi="Arial" w:cs="Arial"/>
          <w:sz w:val="22"/>
          <w:szCs w:val="22"/>
          <w:lang w:val="en-GB"/>
        </w:rPr>
      </w:pPr>
    </w:p>
    <w:p w14:paraId="0CBB85AA" w14:textId="1C27955F"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4.1.1 (2 marks)</w:t>
      </w:r>
    </w:p>
    <w:p w14:paraId="4FB24296" w14:textId="77777777" w:rsidR="00384F62" w:rsidRDefault="00384F62" w:rsidP="00384F62">
      <w:pPr>
        <w:jc w:val="both"/>
        <w:rPr>
          <w:rFonts w:ascii="Arial" w:hAnsi="Arial" w:cs="Arial"/>
          <w:sz w:val="22"/>
          <w:szCs w:val="22"/>
          <w:lang w:val="en-GB"/>
        </w:rPr>
      </w:pPr>
    </w:p>
    <w:p w14:paraId="417440DE" w14:textId="06CAF4BC" w:rsidR="00384F62" w:rsidRDefault="00384F62" w:rsidP="00384F62">
      <w:pPr>
        <w:jc w:val="both"/>
        <w:rPr>
          <w:rFonts w:ascii="Arial" w:hAnsi="Arial" w:cs="Arial"/>
          <w:sz w:val="22"/>
          <w:szCs w:val="22"/>
          <w:lang w:val="en-GB"/>
        </w:rPr>
      </w:pPr>
      <w:r>
        <w:rPr>
          <w:rFonts w:ascii="Arial" w:hAnsi="Arial" w:cs="Arial"/>
          <w:sz w:val="22"/>
          <w:szCs w:val="22"/>
          <w:lang w:val="en-GB"/>
        </w:rPr>
        <w:t>W</w:t>
      </w:r>
      <w:r w:rsidRPr="004076F1">
        <w:rPr>
          <w:rFonts w:ascii="Arial" w:hAnsi="Arial" w:cs="Arial"/>
          <w:sz w:val="22"/>
          <w:szCs w:val="22"/>
          <w:lang w:val="en-GB"/>
        </w:rPr>
        <w:t>hat must be presented to the court in order to obtain moratorium protection order</w:t>
      </w:r>
      <w:r>
        <w:rPr>
          <w:rFonts w:ascii="Arial" w:hAnsi="Arial" w:cs="Arial"/>
          <w:sz w:val="22"/>
          <w:szCs w:val="22"/>
          <w:lang w:val="en-GB"/>
        </w:rPr>
        <w:t xml:space="preserve"> under section 64(1) IRDA?</w:t>
      </w:r>
    </w:p>
    <w:p w14:paraId="331B7D68" w14:textId="67361D90" w:rsidR="00384F62" w:rsidRDefault="00384F62" w:rsidP="00384F62">
      <w:pPr>
        <w:jc w:val="both"/>
        <w:rPr>
          <w:rFonts w:ascii="Arial" w:hAnsi="Arial" w:cs="Arial"/>
          <w:sz w:val="22"/>
          <w:szCs w:val="22"/>
          <w:lang w:val="en-GB"/>
        </w:rPr>
      </w:pPr>
    </w:p>
    <w:p w14:paraId="1E4B6126" w14:textId="6BAC2234" w:rsidR="007C2FF0" w:rsidRDefault="00DD2A5D" w:rsidP="007C2FF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w:t>
      </w:r>
      <w:r w:rsidR="007C2FF0">
        <w:rPr>
          <w:rFonts w:ascii="Arial" w:hAnsi="Arial" w:cs="Arial"/>
          <w:color w:val="7B7B7B" w:themeColor="accent3" w:themeShade="BF"/>
          <w:sz w:val="22"/>
          <w:szCs w:val="22"/>
        </w:rPr>
        <w:t xml:space="preserve">n order to obtain a moratorium protection order under section 64(1) of the IRDA, </w:t>
      </w:r>
      <w:r w:rsidR="00F84D0B">
        <w:rPr>
          <w:rFonts w:ascii="Arial" w:hAnsi="Arial" w:cs="Arial"/>
          <w:color w:val="7B7B7B" w:themeColor="accent3" w:themeShade="BF"/>
          <w:sz w:val="22"/>
          <w:szCs w:val="22"/>
        </w:rPr>
        <w:t>the company must file the following with the Court together with the relevant application</w:t>
      </w:r>
      <w:r w:rsidR="007C2FF0">
        <w:rPr>
          <w:rFonts w:ascii="Arial" w:hAnsi="Arial" w:cs="Arial"/>
          <w:color w:val="7B7B7B" w:themeColor="accent3" w:themeShade="BF"/>
          <w:sz w:val="22"/>
          <w:szCs w:val="22"/>
        </w:rPr>
        <w:t>:</w:t>
      </w:r>
      <w:r w:rsidR="007C2FF0">
        <w:rPr>
          <w:rStyle w:val="FootnoteReference"/>
          <w:rFonts w:ascii="Arial" w:hAnsi="Arial" w:cs="Arial"/>
          <w:color w:val="7B7B7B" w:themeColor="accent3" w:themeShade="BF"/>
          <w:sz w:val="22"/>
          <w:szCs w:val="22"/>
        </w:rPr>
        <w:footnoteReference w:id="36"/>
      </w:r>
    </w:p>
    <w:p w14:paraId="620607AF" w14:textId="77777777" w:rsidR="00F84D0B" w:rsidRDefault="00F84D0B" w:rsidP="007C2FF0">
      <w:pPr>
        <w:jc w:val="both"/>
        <w:rPr>
          <w:rFonts w:ascii="Arial" w:hAnsi="Arial" w:cs="Arial"/>
          <w:color w:val="7B7B7B" w:themeColor="accent3" w:themeShade="BF"/>
          <w:sz w:val="22"/>
          <w:szCs w:val="22"/>
        </w:rPr>
      </w:pPr>
    </w:p>
    <w:p w14:paraId="6AD899B7" w14:textId="64281BFA" w:rsidR="00F84D0B" w:rsidRDefault="00F84D0B" w:rsidP="00F84D0B">
      <w:pPr>
        <w:pStyle w:val="ListParagraph"/>
        <w:numPr>
          <w:ilvl w:val="0"/>
          <w:numId w:val="32"/>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evidence of support from the company’s creditors for the intended or proposed compromise or arrangement, together with an explanation of how such support would be important for the success of the intended or proposed compromise or arrangement;</w:t>
      </w:r>
    </w:p>
    <w:p w14:paraId="59E73A7C" w14:textId="1A0D4C34" w:rsidR="00F84D0B" w:rsidRDefault="00F84D0B" w:rsidP="00F84D0B">
      <w:pPr>
        <w:pStyle w:val="ListParagraph"/>
        <w:numPr>
          <w:ilvl w:val="0"/>
          <w:numId w:val="32"/>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in a case where the company has not proposed the compromise or arrangement to the creditors or class of creditors yet, a brief description of the intended compromise or arrangement</w:t>
      </w:r>
      <w:r w:rsidR="00BC3A18">
        <w:rPr>
          <w:rFonts w:ascii="Arial" w:hAnsi="Arial" w:cs="Arial"/>
          <w:color w:val="7B7B7B" w:themeColor="accent3" w:themeShade="BF"/>
          <w:sz w:val="22"/>
          <w:szCs w:val="22"/>
        </w:rPr>
        <w:t>, containing sufficient particulars to enable the Court to assess whether the intended compromise or arrangement is feasible and merits consideration by the company’s creditors;</w:t>
      </w:r>
    </w:p>
    <w:p w14:paraId="078A84AB" w14:textId="71A0CA35" w:rsidR="00F84D0B" w:rsidRDefault="00F84D0B" w:rsidP="00F84D0B">
      <w:pPr>
        <w:pStyle w:val="ListParagraph"/>
        <w:numPr>
          <w:ilvl w:val="0"/>
          <w:numId w:val="32"/>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a list of every secured creditor of the company; and,</w:t>
      </w:r>
    </w:p>
    <w:p w14:paraId="2C3D2B27" w14:textId="47B28490" w:rsidR="00F84D0B" w:rsidRDefault="00F84D0B" w:rsidP="00F84D0B">
      <w:pPr>
        <w:pStyle w:val="ListParagraph"/>
        <w:numPr>
          <w:ilvl w:val="0"/>
          <w:numId w:val="32"/>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a list of all unsecured creditors who are not related to the company or, if there are more than 20 such unsecured creditors, a list of the 20 such unsecured creditors whose claims against the company are the largest among all such unsecured creditors.</w:t>
      </w:r>
    </w:p>
    <w:p w14:paraId="1D2B8E3C" w14:textId="77777777" w:rsidR="003D5146" w:rsidRDefault="003D5146" w:rsidP="003D5146">
      <w:pPr>
        <w:jc w:val="both"/>
        <w:rPr>
          <w:rFonts w:ascii="Arial" w:hAnsi="Arial" w:cs="Arial"/>
          <w:color w:val="7B7B7B" w:themeColor="accent3" w:themeShade="BF"/>
          <w:sz w:val="22"/>
          <w:szCs w:val="22"/>
        </w:rPr>
      </w:pPr>
    </w:p>
    <w:p w14:paraId="419F4D80" w14:textId="1BCF0BD5" w:rsidR="003D5146" w:rsidRPr="003D5146" w:rsidRDefault="003D5146" w:rsidP="003D5146">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It should be noted that there is an automatic moratorium period of 30 days upon the filing of an application under section 64(1) of the IRDA.</w:t>
      </w:r>
      <w:r w:rsidR="00EF1E50">
        <w:rPr>
          <w:rStyle w:val="FootnoteReference"/>
          <w:rFonts w:ascii="Arial" w:hAnsi="Arial" w:cs="Arial"/>
          <w:color w:val="7B7B7B" w:themeColor="accent3" w:themeShade="BF"/>
          <w:sz w:val="22"/>
          <w:szCs w:val="22"/>
        </w:rPr>
        <w:footnoteReference w:id="37"/>
      </w:r>
    </w:p>
    <w:p w14:paraId="01814E31" w14:textId="77777777" w:rsidR="00384F62" w:rsidRDefault="00384F62" w:rsidP="00384F62">
      <w:pPr>
        <w:jc w:val="both"/>
        <w:rPr>
          <w:rFonts w:ascii="Arial" w:hAnsi="Arial" w:cs="Arial"/>
          <w:sz w:val="22"/>
          <w:szCs w:val="22"/>
          <w:lang w:val="en-GB"/>
        </w:rPr>
      </w:pPr>
    </w:p>
    <w:p w14:paraId="581108A1" w14:textId="0F140BD0"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4.1.2 (2 marks)</w:t>
      </w:r>
    </w:p>
    <w:p w14:paraId="1889B5D4" w14:textId="76114F84" w:rsidR="00384F62" w:rsidRDefault="00384F62" w:rsidP="00384F62">
      <w:pPr>
        <w:jc w:val="both"/>
        <w:rPr>
          <w:rFonts w:ascii="Arial" w:hAnsi="Arial" w:cs="Arial"/>
          <w:sz w:val="22"/>
          <w:szCs w:val="22"/>
          <w:lang w:val="en-GB"/>
        </w:rPr>
      </w:pPr>
    </w:p>
    <w:p w14:paraId="4CF15B07" w14:textId="73AC5109" w:rsidR="00384F62" w:rsidRDefault="00384F62" w:rsidP="00384F62">
      <w:pPr>
        <w:jc w:val="both"/>
        <w:rPr>
          <w:rFonts w:ascii="Arial" w:hAnsi="Arial" w:cs="Arial"/>
          <w:sz w:val="22"/>
          <w:szCs w:val="22"/>
          <w:lang w:val="en-GB"/>
        </w:rPr>
      </w:pPr>
      <w:r w:rsidRPr="00384F62">
        <w:rPr>
          <w:rFonts w:ascii="Arial" w:hAnsi="Arial" w:cs="Arial"/>
          <w:sz w:val="22"/>
          <w:szCs w:val="22"/>
          <w:lang w:val="en-GB"/>
        </w:rPr>
        <w:t>What must be presented to the court in order to obtain moratorium protection order under section 65(1) IRDA?</w:t>
      </w:r>
    </w:p>
    <w:p w14:paraId="34ADB145" w14:textId="0676663B" w:rsidR="00384F62" w:rsidRDefault="00384F62" w:rsidP="00384F62">
      <w:pPr>
        <w:jc w:val="both"/>
        <w:rPr>
          <w:rFonts w:ascii="Arial" w:hAnsi="Arial" w:cs="Arial"/>
          <w:sz w:val="22"/>
          <w:szCs w:val="22"/>
          <w:lang w:val="en-GB"/>
        </w:rPr>
      </w:pPr>
    </w:p>
    <w:p w14:paraId="52ADB36E" w14:textId="2E9FF014" w:rsidR="008D366E" w:rsidRDefault="008D366E" w:rsidP="008D129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Section 65 of the IRDA relates to applications made by a company that is a subsidiary, a holding company or an ultimate holding company </w:t>
      </w:r>
      <w:r w:rsidR="00BE684F">
        <w:rPr>
          <w:rFonts w:ascii="Arial" w:hAnsi="Arial" w:cs="Arial"/>
          <w:color w:val="7B7B7B" w:themeColor="accent3" w:themeShade="BF"/>
          <w:sz w:val="22"/>
          <w:szCs w:val="22"/>
        </w:rPr>
        <w:t>(</w:t>
      </w:r>
      <w:r w:rsidR="00BE684F">
        <w:rPr>
          <w:rFonts w:ascii="Arial" w:hAnsi="Arial" w:cs="Arial"/>
          <w:b/>
          <w:bCs/>
          <w:color w:val="7B7B7B" w:themeColor="accent3" w:themeShade="BF"/>
          <w:sz w:val="22"/>
          <w:szCs w:val="22"/>
        </w:rPr>
        <w:t>“Related Company”</w:t>
      </w:r>
      <w:r w:rsidR="00BE684F">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of the company who obtained an order under section 64(1) of the IRDA </w:t>
      </w:r>
      <w:r w:rsidR="006D4A9A">
        <w:rPr>
          <w:rFonts w:ascii="Arial" w:hAnsi="Arial" w:cs="Arial"/>
          <w:color w:val="7B7B7B" w:themeColor="accent3" w:themeShade="BF"/>
          <w:sz w:val="22"/>
          <w:szCs w:val="22"/>
        </w:rPr>
        <w:t>(</w:t>
      </w:r>
      <w:r w:rsidR="006D4A9A">
        <w:rPr>
          <w:rFonts w:ascii="Arial" w:hAnsi="Arial" w:cs="Arial"/>
          <w:b/>
          <w:bCs/>
          <w:color w:val="7B7B7B" w:themeColor="accent3" w:themeShade="BF"/>
          <w:sz w:val="22"/>
          <w:szCs w:val="22"/>
        </w:rPr>
        <w:t>“Subject Company”</w:t>
      </w:r>
      <w:r w:rsidR="006D4A9A">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(discussed above).</w:t>
      </w:r>
      <w:r w:rsidR="00BE684F">
        <w:rPr>
          <w:rStyle w:val="FootnoteReference"/>
          <w:rFonts w:ascii="Arial" w:hAnsi="Arial" w:cs="Arial"/>
          <w:color w:val="7B7B7B" w:themeColor="accent3" w:themeShade="BF"/>
          <w:sz w:val="22"/>
          <w:szCs w:val="22"/>
        </w:rPr>
        <w:footnoteReference w:id="38"/>
      </w:r>
    </w:p>
    <w:p w14:paraId="039DFA49" w14:textId="77777777" w:rsidR="008D366E" w:rsidRDefault="008D366E" w:rsidP="008D1295">
      <w:pPr>
        <w:jc w:val="both"/>
        <w:rPr>
          <w:rFonts w:ascii="Arial" w:hAnsi="Arial" w:cs="Arial"/>
          <w:color w:val="7B7B7B" w:themeColor="accent3" w:themeShade="BF"/>
          <w:sz w:val="22"/>
          <w:szCs w:val="22"/>
        </w:rPr>
      </w:pPr>
    </w:p>
    <w:p w14:paraId="63D84AE9" w14:textId="7975B676" w:rsidR="008D1295" w:rsidRDefault="00FA4E58" w:rsidP="008D129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S</w:t>
      </w:r>
      <w:r w:rsidR="008D1295">
        <w:rPr>
          <w:rFonts w:ascii="Arial" w:hAnsi="Arial" w:cs="Arial"/>
          <w:color w:val="7B7B7B" w:themeColor="accent3" w:themeShade="BF"/>
          <w:sz w:val="22"/>
          <w:szCs w:val="22"/>
        </w:rPr>
        <w:t xml:space="preserve">ufficient evidence must be presented to the court </w:t>
      </w:r>
      <w:r w:rsidR="007B3D0D">
        <w:rPr>
          <w:rFonts w:ascii="Arial" w:hAnsi="Arial" w:cs="Arial"/>
          <w:color w:val="7B7B7B" w:themeColor="accent3" w:themeShade="BF"/>
          <w:sz w:val="22"/>
          <w:szCs w:val="22"/>
        </w:rPr>
        <w:t>as proof</w:t>
      </w:r>
      <w:r w:rsidR="008D1295">
        <w:rPr>
          <w:rFonts w:ascii="Arial" w:hAnsi="Arial" w:cs="Arial"/>
          <w:color w:val="7B7B7B" w:themeColor="accent3" w:themeShade="BF"/>
          <w:sz w:val="22"/>
          <w:szCs w:val="22"/>
        </w:rPr>
        <w:t xml:space="preserve"> that the following conditions are satisfied:</w:t>
      </w:r>
      <w:r w:rsidR="008D1295">
        <w:rPr>
          <w:rStyle w:val="FootnoteReference"/>
          <w:rFonts w:ascii="Arial" w:hAnsi="Arial" w:cs="Arial"/>
          <w:color w:val="7B7B7B" w:themeColor="accent3" w:themeShade="BF"/>
          <w:sz w:val="22"/>
          <w:szCs w:val="22"/>
        </w:rPr>
        <w:footnoteReference w:id="39"/>
      </w:r>
    </w:p>
    <w:p w14:paraId="4E8301C2" w14:textId="77777777" w:rsidR="008D1295" w:rsidRDefault="008D1295" w:rsidP="008D1295">
      <w:pPr>
        <w:jc w:val="both"/>
        <w:rPr>
          <w:rFonts w:ascii="Arial" w:hAnsi="Arial" w:cs="Arial"/>
          <w:color w:val="7B7B7B" w:themeColor="accent3" w:themeShade="BF"/>
          <w:sz w:val="22"/>
          <w:szCs w:val="22"/>
        </w:rPr>
      </w:pPr>
    </w:p>
    <w:p w14:paraId="4CBE0810" w14:textId="4B8AA413" w:rsidR="008D1295" w:rsidRDefault="008D1295" w:rsidP="008D1295">
      <w:pPr>
        <w:pStyle w:val="ListParagraph"/>
        <w:numPr>
          <w:ilvl w:val="0"/>
          <w:numId w:val="34"/>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no order has been made and no resolution has been passed for the winding up </w:t>
      </w:r>
      <w:r w:rsidR="00BE684F">
        <w:rPr>
          <w:rFonts w:ascii="Arial" w:hAnsi="Arial" w:cs="Arial"/>
          <w:color w:val="7B7B7B" w:themeColor="accent3" w:themeShade="BF"/>
          <w:sz w:val="22"/>
          <w:szCs w:val="22"/>
        </w:rPr>
        <w:t>of the Related Company;</w:t>
      </w:r>
    </w:p>
    <w:p w14:paraId="4A9C7FAE" w14:textId="64B1156C" w:rsidR="00BE684F" w:rsidRDefault="00BE684F" w:rsidP="008D1295">
      <w:pPr>
        <w:pStyle w:val="ListParagraph"/>
        <w:numPr>
          <w:ilvl w:val="0"/>
          <w:numId w:val="34"/>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order under section 64(1) of the IRDA </w:t>
      </w:r>
      <w:r w:rsidR="006D4A9A">
        <w:rPr>
          <w:rFonts w:ascii="Arial" w:hAnsi="Arial" w:cs="Arial"/>
          <w:color w:val="7B7B7B" w:themeColor="accent3" w:themeShade="BF"/>
          <w:sz w:val="22"/>
          <w:szCs w:val="22"/>
        </w:rPr>
        <w:t>made in relation to the Subject Company is in force;</w:t>
      </w:r>
    </w:p>
    <w:p w14:paraId="448C42F5" w14:textId="4ED208FF" w:rsidR="00BE684F" w:rsidRDefault="006D4A9A" w:rsidP="008D1295">
      <w:pPr>
        <w:pStyle w:val="ListParagraph"/>
        <w:numPr>
          <w:ilvl w:val="0"/>
          <w:numId w:val="34"/>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Related Company plays a necessary and integral role in the compromise or arrangement relied on by the Subject Company to make the application for the order under section 64(1) of the IRDA;</w:t>
      </w:r>
    </w:p>
    <w:p w14:paraId="7BB113EE" w14:textId="7F6D9F6D" w:rsidR="006D4A9A" w:rsidRDefault="006D4A9A" w:rsidP="008D1295">
      <w:pPr>
        <w:pStyle w:val="ListParagraph"/>
        <w:numPr>
          <w:ilvl w:val="0"/>
          <w:numId w:val="34"/>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compromise or arrangement will be frustrated if one or more of the actions that may be restrained by the moratorium order are taken against the Related Company; and,</w:t>
      </w:r>
    </w:p>
    <w:p w14:paraId="3E45406C" w14:textId="4D1EF1B0" w:rsidR="006D4A9A" w:rsidRPr="008D1295" w:rsidRDefault="006D4A9A" w:rsidP="008D1295">
      <w:pPr>
        <w:pStyle w:val="ListParagraph"/>
        <w:numPr>
          <w:ilvl w:val="0"/>
          <w:numId w:val="34"/>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Court is satisfied that the creditors of the related company will not be unfairly prejudiced by the making of a moratorium order.</w:t>
      </w:r>
    </w:p>
    <w:p w14:paraId="073CA7D3" w14:textId="77777777" w:rsidR="00384F62" w:rsidRDefault="00384F62" w:rsidP="00384F62">
      <w:pPr>
        <w:jc w:val="both"/>
        <w:rPr>
          <w:rFonts w:ascii="Arial" w:hAnsi="Arial" w:cs="Arial"/>
          <w:sz w:val="22"/>
          <w:szCs w:val="22"/>
          <w:lang w:val="en-GB"/>
        </w:rPr>
      </w:pPr>
    </w:p>
    <w:p w14:paraId="37723BEE" w14:textId="70B52F50"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4.1.3 (2 marks)</w:t>
      </w:r>
    </w:p>
    <w:p w14:paraId="623DF5AE" w14:textId="77777777" w:rsidR="00384F62" w:rsidRDefault="00384F62" w:rsidP="00384F62">
      <w:pPr>
        <w:pStyle w:val="ListParagraph"/>
        <w:ind w:left="426"/>
        <w:jc w:val="both"/>
        <w:rPr>
          <w:rFonts w:ascii="Arial" w:hAnsi="Arial" w:cs="Arial"/>
          <w:sz w:val="22"/>
          <w:szCs w:val="22"/>
          <w:lang w:val="en-GB"/>
        </w:rPr>
      </w:pPr>
    </w:p>
    <w:p w14:paraId="7E0701C1" w14:textId="096BB2CD" w:rsidR="00384F62" w:rsidRDefault="00384F62" w:rsidP="00384F62">
      <w:pPr>
        <w:jc w:val="both"/>
        <w:rPr>
          <w:rFonts w:ascii="Arial" w:hAnsi="Arial" w:cs="Arial"/>
          <w:sz w:val="22"/>
          <w:szCs w:val="22"/>
          <w:lang w:val="en-GB"/>
        </w:rPr>
      </w:pPr>
      <w:r w:rsidRPr="00384F62">
        <w:rPr>
          <w:rFonts w:ascii="Arial" w:hAnsi="Arial" w:cs="Arial"/>
          <w:sz w:val="22"/>
          <w:szCs w:val="22"/>
          <w:lang w:val="en-GB"/>
        </w:rPr>
        <w:t>Can the moratoria sought by Juniperus and Casuarina be ordered to have extra-territorial effect? If so, what acts and / or creditors will the moratori</w:t>
      </w:r>
      <w:r>
        <w:rPr>
          <w:rFonts w:ascii="Arial" w:hAnsi="Arial" w:cs="Arial"/>
          <w:sz w:val="22"/>
          <w:szCs w:val="22"/>
          <w:lang w:val="en-GB"/>
        </w:rPr>
        <w:t>a</w:t>
      </w:r>
      <w:r w:rsidRPr="00384F62">
        <w:rPr>
          <w:rFonts w:ascii="Arial" w:hAnsi="Arial" w:cs="Arial"/>
          <w:sz w:val="22"/>
          <w:szCs w:val="22"/>
          <w:lang w:val="en-GB"/>
        </w:rPr>
        <w:t xml:space="preserve"> apply to?</w:t>
      </w:r>
    </w:p>
    <w:p w14:paraId="562F9880" w14:textId="7AFA4E59" w:rsidR="00384F62" w:rsidRDefault="00384F62" w:rsidP="00384F62">
      <w:pPr>
        <w:jc w:val="both"/>
        <w:rPr>
          <w:rFonts w:ascii="Arial" w:hAnsi="Arial" w:cs="Arial"/>
          <w:sz w:val="22"/>
          <w:szCs w:val="22"/>
          <w:lang w:val="en-GB"/>
        </w:rPr>
      </w:pPr>
    </w:p>
    <w:p w14:paraId="6729A5CF" w14:textId="3969B2E2" w:rsidR="00384F62" w:rsidRPr="002A37BB" w:rsidRDefault="0077009F" w:rsidP="00792001">
      <w:pPr>
        <w:jc w:val="both"/>
        <w:rPr>
          <w:rFonts w:ascii="Arial" w:hAnsi="Arial" w:cs="Arial"/>
          <w:sz w:val="22"/>
          <w:szCs w:val="22"/>
        </w:rPr>
      </w:pPr>
      <w:r>
        <w:rPr>
          <w:rFonts w:ascii="Arial" w:hAnsi="Arial" w:cs="Arial"/>
          <w:color w:val="7B7B7B" w:themeColor="accent3" w:themeShade="BF"/>
          <w:sz w:val="22"/>
          <w:szCs w:val="22"/>
        </w:rPr>
        <w:t>A</w:t>
      </w:r>
      <w:r w:rsidR="00560600">
        <w:rPr>
          <w:rFonts w:ascii="Arial" w:hAnsi="Arial" w:cs="Arial"/>
          <w:color w:val="7B7B7B" w:themeColor="accent3" w:themeShade="BF"/>
          <w:sz w:val="22"/>
          <w:szCs w:val="22"/>
        </w:rPr>
        <w:t xml:space="preserve"> moratorium order may be expressed to apply to any act of any person in Singapore or within the jurisdiction of the Court, whether the act takes place in Singapore or elsewhere</w:t>
      </w:r>
      <w:r w:rsidR="009A7393">
        <w:rPr>
          <w:rFonts w:ascii="Arial" w:hAnsi="Arial" w:cs="Arial"/>
          <w:color w:val="7B7B7B" w:themeColor="accent3" w:themeShade="BF"/>
          <w:sz w:val="22"/>
          <w:szCs w:val="22"/>
        </w:rPr>
        <w:t>.</w:t>
      </w:r>
      <w:r w:rsidR="009A7393">
        <w:rPr>
          <w:rStyle w:val="FootnoteReference"/>
          <w:rFonts w:ascii="Arial" w:hAnsi="Arial" w:cs="Arial"/>
          <w:color w:val="7B7B7B" w:themeColor="accent3" w:themeShade="BF"/>
          <w:sz w:val="22"/>
          <w:szCs w:val="22"/>
        </w:rPr>
        <w:footnoteReference w:id="40"/>
      </w:r>
      <w:r w:rsidR="009B3F37">
        <w:rPr>
          <w:rFonts w:ascii="Arial" w:hAnsi="Arial" w:cs="Arial"/>
          <w:color w:val="7B7B7B" w:themeColor="accent3" w:themeShade="BF"/>
          <w:sz w:val="22"/>
          <w:szCs w:val="22"/>
        </w:rPr>
        <w:t xml:space="preserve">  Therefore, such orders do have extra-territorial effect and may apply to any act of any </w:t>
      </w:r>
      <w:r w:rsidR="0004200C">
        <w:rPr>
          <w:rFonts w:ascii="Arial" w:hAnsi="Arial" w:cs="Arial"/>
          <w:color w:val="7B7B7B" w:themeColor="accent3" w:themeShade="BF"/>
          <w:sz w:val="22"/>
          <w:szCs w:val="22"/>
        </w:rPr>
        <w:t>creditor.</w:t>
      </w:r>
    </w:p>
    <w:p w14:paraId="6DDB3861" w14:textId="77777777" w:rsidR="00384F62" w:rsidRPr="004076F1" w:rsidRDefault="00384F62" w:rsidP="00384F62">
      <w:pPr>
        <w:pStyle w:val="ListParagraph"/>
        <w:ind w:left="426"/>
        <w:jc w:val="both"/>
        <w:rPr>
          <w:rFonts w:ascii="Arial" w:hAnsi="Arial" w:cs="Arial"/>
          <w:sz w:val="22"/>
          <w:szCs w:val="22"/>
          <w:lang w:val="en-GB"/>
        </w:rPr>
      </w:pPr>
    </w:p>
    <w:p w14:paraId="0E0ED767" w14:textId="77777777" w:rsidR="00384F62" w:rsidRPr="004076F1" w:rsidRDefault="00384F62" w:rsidP="00384F62">
      <w:pPr>
        <w:jc w:val="both"/>
        <w:rPr>
          <w:rFonts w:ascii="Arial" w:hAnsi="Arial" w:cs="Arial"/>
          <w:b/>
          <w:bCs/>
          <w:sz w:val="22"/>
          <w:szCs w:val="22"/>
          <w:lang w:val="en-GB"/>
        </w:rPr>
      </w:pPr>
      <w:r w:rsidRPr="004076F1">
        <w:rPr>
          <w:rFonts w:ascii="Arial" w:hAnsi="Arial" w:cs="Arial"/>
          <w:b/>
          <w:bCs/>
          <w:sz w:val="22"/>
          <w:szCs w:val="22"/>
          <w:lang w:val="en-GB"/>
        </w:rPr>
        <w:t xml:space="preserve">Question 4.2 [maximum </w:t>
      </w:r>
      <w:r>
        <w:rPr>
          <w:rFonts w:ascii="Arial" w:hAnsi="Arial" w:cs="Arial"/>
          <w:b/>
          <w:bCs/>
          <w:sz w:val="22"/>
          <w:szCs w:val="22"/>
          <w:lang w:val="en-GB"/>
        </w:rPr>
        <w:t>9</w:t>
      </w:r>
      <w:r w:rsidRPr="004076F1">
        <w:rPr>
          <w:rFonts w:ascii="Arial" w:hAnsi="Arial" w:cs="Arial"/>
          <w:b/>
          <w:bCs/>
          <w:sz w:val="22"/>
          <w:szCs w:val="22"/>
          <w:lang w:val="en-GB"/>
        </w:rPr>
        <w:t xml:space="preserve"> marks in total]</w:t>
      </w:r>
    </w:p>
    <w:p w14:paraId="6A6A4F20" w14:textId="77777777" w:rsidR="00384F62" w:rsidRPr="004076F1" w:rsidRDefault="00384F62" w:rsidP="00384F62">
      <w:pPr>
        <w:jc w:val="both"/>
        <w:rPr>
          <w:rFonts w:ascii="Arial" w:hAnsi="Arial" w:cs="Arial"/>
          <w:sz w:val="22"/>
          <w:szCs w:val="22"/>
          <w:lang w:val="en-GB"/>
        </w:rPr>
      </w:pPr>
    </w:p>
    <w:p w14:paraId="0B6A6E1F" w14:textId="6CD99A66"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As things transpired, Juniperus and Casuarina were granted moratorium protection for a period of three (3) months and are expected to apply for an extension to this moratorium period for an additional six (6) months upon expiry of the original three</w:t>
      </w:r>
      <w:r>
        <w:rPr>
          <w:rFonts w:ascii="Arial" w:hAnsi="Arial" w:cs="Arial"/>
          <w:sz w:val="22"/>
          <w:szCs w:val="22"/>
          <w:lang w:val="en-GB"/>
        </w:rPr>
        <w:t>-</w:t>
      </w:r>
      <w:r w:rsidRPr="004076F1">
        <w:rPr>
          <w:rFonts w:ascii="Arial" w:hAnsi="Arial" w:cs="Arial"/>
          <w:sz w:val="22"/>
          <w:szCs w:val="22"/>
          <w:lang w:val="en-GB"/>
        </w:rPr>
        <w:t xml:space="preserve"> (3) month period. The working group of </w:t>
      </w:r>
      <w:r>
        <w:rPr>
          <w:rFonts w:ascii="Arial" w:hAnsi="Arial" w:cs="Arial"/>
          <w:sz w:val="22"/>
          <w:szCs w:val="22"/>
          <w:lang w:val="en-GB"/>
        </w:rPr>
        <w:t>b</w:t>
      </w:r>
      <w:r w:rsidRPr="004076F1">
        <w:rPr>
          <w:rFonts w:ascii="Arial" w:hAnsi="Arial" w:cs="Arial"/>
          <w:sz w:val="22"/>
          <w:szCs w:val="22"/>
          <w:lang w:val="en-GB"/>
        </w:rPr>
        <w:t>ondholders intends to oppose any extension application.</w:t>
      </w:r>
    </w:p>
    <w:p w14:paraId="0D0F5988" w14:textId="77777777" w:rsidR="00384F62" w:rsidRPr="004076F1" w:rsidRDefault="00384F62" w:rsidP="00384F62">
      <w:pPr>
        <w:jc w:val="both"/>
        <w:rPr>
          <w:rFonts w:ascii="Arial" w:hAnsi="Arial" w:cs="Arial"/>
          <w:sz w:val="22"/>
          <w:szCs w:val="22"/>
          <w:lang w:val="en-GB"/>
        </w:rPr>
      </w:pPr>
    </w:p>
    <w:p w14:paraId="20EA67B6" w14:textId="77777777"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The </w:t>
      </w:r>
      <w:r>
        <w:rPr>
          <w:rFonts w:ascii="Arial" w:hAnsi="Arial" w:cs="Arial"/>
          <w:sz w:val="22"/>
          <w:szCs w:val="22"/>
          <w:lang w:val="en-GB"/>
        </w:rPr>
        <w:t>b</w:t>
      </w:r>
      <w:r w:rsidRPr="004076F1">
        <w:rPr>
          <w:rFonts w:ascii="Arial" w:hAnsi="Arial" w:cs="Arial"/>
          <w:sz w:val="22"/>
          <w:szCs w:val="22"/>
          <w:lang w:val="en-GB"/>
        </w:rPr>
        <w:t xml:space="preserve">ondholders have instructed the </w:t>
      </w:r>
      <w:r w:rsidRPr="000E38B9">
        <w:rPr>
          <w:rFonts w:ascii="Arial" w:hAnsi="Arial" w:cs="Arial"/>
          <w:sz w:val="22"/>
          <w:szCs w:val="22"/>
          <w:lang w:val="en-GB"/>
        </w:rPr>
        <w:t xml:space="preserve">Juniperus </w:t>
      </w:r>
      <w:r w:rsidRPr="004076F1">
        <w:rPr>
          <w:rFonts w:ascii="Arial" w:hAnsi="Arial" w:cs="Arial"/>
          <w:sz w:val="22"/>
          <w:szCs w:val="22"/>
          <w:lang w:val="en-GB"/>
        </w:rPr>
        <w:t xml:space="preserve">Bonds' trustee under the relevant indenture to be ready to enforce their security over the shares in Casuarina as soon as practicable. The </w:t>
      </w:r>
      <w:r w:rsidRPr="00F15BB8">
        <w:rPr>
          <w:rFonts w:ascii="Arial" w:hAnsi="Arial" w:cs="Arial"/>
          <w:sz w:val="22"/>
          <w:szCs w:val="22"/>
          <w:lang w:val="en-GB"/>
        </w:rPr>
        <w:t xml:space="preserve">Juniperus </w:t>
      </w:r>
      <w:r w:rsidRPr="004076F1">
        <w:rPr>
          <w:rFonts w:ascii="Arial" w:hAnsi="Arial" w:cs="Arial"/>
          <w:sz w:val="22"/>
          <w:szCs w:val="22"/>
          <w:lang w:val="en-GB"/>
        </w:rPr>
        <w:t xml:space="preserve">Bonds appear to be traded heavily in the market, with private equity funds looking to buy up significant stakes in order to enforce the security over shares in Casuarina.  </w:t>
      </w:r>
    </w:p>
    <w:p w14:paraId="5B997886" w14:textId="77777777" w:rsidR="00384F62" w:rsidRPr="004076F1" w:rsidRDefault="00384F62" w:rsidP="00384F62">
      <w:pPr>
        <w:jc w:val="both"/>
        <w:rPr>
          <w:rFonts w:ascii="Arial" w:hAnsi="Arial" w:cs="Arial"/>
          <w:sz w:val="22"/>
          <w:szCs w:val="22"/>
          <w:lang w:val="en-GB"/>
        </w:rPr>
      </w:pPr>
    </w:p>
    <w:p w14:paraId="29B18A7E" w14:textId="77777777"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To try and protect against this risk, Angostura </w:t>
      </w:r>
      <w:r>
        <w:rPr>
          <w:rFonts w:ascii="Arial" w:hAnsi="Arial" w:cs="Arial"/>
          <w:sz w:val="22"/>
          <w:szCs w:val="22"/>
          <w:lang w:val="en-GB"/>
        </w:rPr>
        <w:t>also</w:t>
      </w:r>
      <w:r w:rsidRPr="004076F1">
        <w:rPr>
          <w:rFonts w:ascii="Arial" w:hAnsi="Arial" w:cs="Arial"/>
          <w:sz w:val="22"/>
          <w:szCs w:val="22"/>
          <w:lang w:val="en-GB"/>
        </w:rPr>
        <w:t xml:space="preserve"> commenced local insolvency proceedings and emergency recognition proceedings in the United States. </w:t>
      </w:r>
    </w:p>
    <w:p w14:paraId="1B1AC723" w14:textId="77777777" w:rsidR="00384F62" w:rsidRPr="004076F1" w:rsidRDefault="00384F62" w:rsidP="00384F62">
      <w:pPr>
        <w:jc w:val="both"/>
        <w:rPr>
          <w:rFonts w:ascii="Arial" w:hAnsi="Arial" w:cs="Arial"/>
          <w:sz w:val="22"/>
          <w:szCs w:val="22"/>
          <w:lang w:val="en-GB"/>
        </w:rPr>
      </w:pPr>
    </w:p>
    <w:p w14:paraId="6D564881" w14:textId="77777777" w:rsidR="00384F62" w:rsidRPr="004076F1" w:rsidRDefault="00384F62" w:rsidP="00384F62">
      <w:pPr>
        <w:jc w:val="both"/>
        <w:rPr>
          <w:rFonts w:ascii="Arial" w:hAnsi="Arial" w:cs="Arial"/>
          <w:b/>
          <w:bCs/>
          <w:sz w:val="22"/>
          <w:szCs w:val="22"/>
          <w:lang w:val="en-GB"/>
        </w:rPr>
      </w:pPr>
      <w:r w:rsidRPr="004076F1">
        <w:rPr>
          <w:rFonts w:ascii="Arial" w:hAnsi="Arial" w:cs="Arial"/>
          <w:b/>
          <w:bCs/>
          <w:sz w:val="22"/>
          <w:szCs w:val="22"/>
          <w:u w:val="single"/>
          <w:lang w:val="en-GB"/>
        </w:rPr>
        <w:t>Taking these additional facts above into consideration, answer the questions below</w:t>
      </w:r>
      <w:r w:rsidRPr="004076F1">
        <w:rPr>
          <w:rFonts w:ascii="Arial" w:hAnsi="Arial" w:cs="Arial"/>
          <w:b/>
          <w:bCs/>
          <w:sz w:val="22"/>
          <w:szCs w:val="22"/>
          <w:lang w:val="en-GB"/>
        </w:rPr>
        <w:t>.</w:t>
      </w:r>
    </w:p>
    <w:p w14:paraId="22285EF2" w14:textId="77777777" w:rsidR="00384F62" w:rsidRDefault="00384F62" w:rsidP="00384F62">
      <w:pPr>
        <w:jc w:val="both"/>
        <w:rPr>
          <w:rFonts w:ascii="Arial" w:hAnsi="Arial" w:cs="Arial"/>
          <w:sz w:val="22"/>
          <w:szCs w:val="22"/>
          <w:lang w:val="en-GB"/>
        </w:rPr>
      </w:pPr>
    </w:p>
    <w:p w14:paraId="01CF3AEA" w14:textId="77777777" w:rsidR="00384F62" w:rsidRDefault="00384F62" w:rsidP="00384F62">
      <w:pPr>
        <w:jc w:val="both"/>
        <w:rPr>
          <w:rFonts w:ascii="Arial" w:hAnsi="Arial" w:cs="Arial"/>
          <w:b/>
          <w:bCs/>
          <w:sz w:val="22"/>
          <w:szCs w:val="22"/>
          <w:lang w:val="en-GB"/>
        </w:rPr>
      </w:pPr>
      <w:r w:rsidRPr="004076F1">
        <w:rPr>
          <w:rFonts w:ascii="Arial" w:hAnsi="Arial" w:cs="Arial"/>
          <w:b/>
          <w:bCs/>
          <w:sz w:val="22"/>
          <w:szCs w:val="22"/>
          <w:lang w:val="en-GB"/>
        </w:rPr>
        <w:t>Question 4.2.</w:t>
      </w:r>
      <w:r>
        <w:rPr>
          <w:rFonts w:ascii="Arial" w:hAnsi="Arial" w:cs="Arial"/>
          <w:b/>
          <w:bCs/>
          <w:sz w:val="22"/>
          <w:szCs w:val="22"/>
          <w:lang w:val="en-GB"/>
        </w:rPr>
        <w:t>1</w:t>
      </w:r>
      <w:r w:rsidRPr="004076F1">
        <w:rPr>
          <w:rFonts w:ascii="Arial" w:hAnsi="Arial" w:cs="Arial"/>
          <w:b/>
          <w:bCs/>
          <w:sz w:val="22"/>
          <w:szCs w:val="22"/>
          <w:lang w:val="en-GB"/>
        </w:rPr>
        <w:t xml:space="preserve"> [maximum</w:t>
      </w:r>
      <w:r>
        <w:rPr>
          <w:rFonts w:ascii="Arial" w:hAnsi="Arial" w:cs="Arial"/>
          <w:b/>
          <w:bCs/>
          <w:sz w:val="22"/>
          <w:szCs w:val="22"/>
          <w:lang w:val="en-GB"/>
        </w:rPr>
        <w:t xml:space="preserve"> 5</w:t>
      </w:r>
      <w:r w:rsidRPr="004076F1">
        <w:rPr>
          <w:rFonts w:ascii="Arial" w:hAnsi="Arial" w:cs="Arial"/>
          <w:b/>
          <w:bCs/>
          <w:sz w:val="22"/>
          <w:szCs w:val="22"/>
          <w:lang w:val="en-GB"/>
        </w:rPr>
        <w:t xml:space="preserve"> marks]</w:t>
      </w:r>
    </w:p>
    <w:p w14:paraId="0613E40D" w14:textId="77777777" w:rsidR="00384F62" w:rsidRDefault="00384F62" w:rsidP="00384F62">
      <w:pPr>
        <w:jc w:val="both"/>
        <w:rPr>
          <w:rFonts w:ascii="Arial" w:hAnsi="Arial" w:cs="Arial"/>
          <w:sz w:val="22"/>
          <w:szCs w:val="22"/>
          <w:lang w:val="en-GB"/>
        </w:rPr>
      </w:pPr>
    </w:p>
    <w:p w14:paraId="44206D50" w14:textId="2CB6B82D" w:rsidR="00384F62" w:rsidRPr="00732B9F" w:rsidRDefault="00384F62" w:rsidP="00384F62">
      <w:pPr>
        <w:jc w:val="both"/>
        <w:rPr>
          <w:lang w:val="en-GB"/>
        </w:rPr>
      </w:pPr>
      <w:r w:rsidRPr="00621D8F">
        <w:rPr>
          <w:rFonts w:ascii="Arial" w:hAnsi="Arial" w:cs="Arial"/>
          <w:sz w:val="22"/>
          <w:szCs w:val="22"/>
          <w:lang w:val="en-GB"/>
        </w:rPr>
        <w:t>What are the steps that need to be taken in order to launch a subsequent scheme of arrangement</w:t>
      </w:r>
      <w:r>
        <w:rPr>
          <w:rFonts w:ascii="Arial" w:hAnsi="Arial" w:cs="Arial"/>
          <w:sz w:val="22"/>
          <w:szCs w:val="22"/>
          <w:lang w:val="en-GB"/>
        </w:rPr>
        <w:t xml:space="preserve"> under section 210 of the Companies Act? How does the process for a scheme proposed under section 210 of the Companies Act differ from a prepack scheme proposed under section 71(1) of the IRDA</w:t>
      </w:r>
      <w:r w:rsidRPr="00621D8F">
        <w:rPr>
          <w:rFonts w:ascii="Arial" w:hAnsi="Arial" w:cs="Arial"/>
          <w:sz w:val="22"/>
          <w:szCs w:val="22"/>
          <w:lang w:val="en-GB"/>
        </w:rPr>
        <w:t xml:space="preserve">? </w:t>
      </w:r>
    </w:p>
    <w:p w14:paraId="2B0E7570" w14:textId="78C46E29" w:rsidR="00384F62" w:rsidRDefault="00384F62" w:rsidP="00384F62">
      <w:pPr>
        <w:jc w:val="both"/>
        <w:rPr>
          <w:rFonts w:ascii="Arial" w:hAnsi="Arial" w:cs="Arial"/>
          <w:b/>
          <w:bCs/>
          <w:sz w:val="22"/>
          <w:szCs w:val="22"/>
          <w:lang w:val="en-GB"/>
        </w:rPr>
      </w:pPr>
    </w:p>
    <w:p w14:paraId="5E84DD5F" w14:textId="559D4201" w:rsidR="00BE75FA" w:rsidRDefault="0077009F" w:rsidP="00BE75FA">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W</w:t>
      </w:r>
      <w:r w:rsidR="00923031">
        <w:rPr>
          <w:rFonts w:ascii="Arial" w:hAnsi="Arial" w:cs="Arial"/>
          <w:color w:val="7B7B7B" w:themeColor="accent3" w:themeShade="BF"/>
          <w:sz w:val="22"/>
          <w:szCs w:val="22"/>
        </w:rPr>
        <w:t>here</w:t>
      </w:r>
      <w:r w:rsidR="00106791">
        <w:rPr>
          <w:rFonts w:ascii="Arial" w:hAnsi="Arial" w:cs="Arial"/>
          <w:color w:val="7B7B7B" w:themeColor="accent3" w:themeShade="BF"/>
          <w:sz w:val="22"/>
          <w:szCs w:val="22"/>
        </w:rPr>
        <w:t xml:space="preserve"> </w:t>
      </w:r>
      <w:r w:rsidR="006D2309">
        <w:rPr>
          <w:rFonts w:ascii="Arial" w:hAnsi="Arial" w:cs="Arial"/>
          <w:color w:val="7B7B7B" w:themeColor="accent3" w:themeShade="BF"/>
          <w:sz w:val="22"/>
          <w:szCs w:val="22"/>
        </w:rPr>
        <w:t xml:space="preserve">a scheme of arrangement </w:t>
      </w:r>
      <w:r w:rsidR="00923031">
        <w:rPr>
          <w:rFonts w:ascii="Arial" w:hAnsi="Arial" w:cs="Arial"/>
          <w:color w:val="7B7B7B" w:themeColor="accent3" w:themeShade="BF"/>
          <w:sz w:val="22"/>
          <w:szCs w:val="22"/>
        </w:rPr>
        <w:t>is</w:t>
      </w:r>
      <w:r w:rsidR="006D2309">
        <w:rPr>
          <w:rFonts w:ascii="Arial" w:hAnsi="Arial" w:cs="Arial"/>
          <w:color w:val="7B7B7B" w:themeColor="accent3" w:themeShade="BF"/>
          <w:sz w:val="22"/>
          <w:szCs w:val="22"/>
        </w:rPr>
        <w:t xml:space="preserve"> proposed between a company and its creditors, members, or holders of units of share</w:t>
      </w:r>
      <w:r w:rsidR="00DC5271">
        <w:rPr>
          <w:rFonts w:ascii="Arial" w:hAnsi="Arial" w:cs="Arial"/>
          <w:color w:val="7B7B7B" w:themeColor="accent3" w:themeShade="BF"/>
          <w:sz w:val="22"/>
          <w:szCs w:val="22"/>
        </w:rPr>
        <w:t>s</w:t>
      </w:r>
      <w:r w:rsidR="006D2309">
        <w:rPr>
          <w:rFonts w:ascii="Arial" w:hAnsi="Arial" w:cs="Arial"/>
          <w:color w:val="7B7B7B" w:themeColor="accent3" w:themeShade="BF"/>
          <w:sz w:val="22"/>
          <w:szCs w:val="22"/>
        </w:rPr>
        <w:t>, or any class of them</w:t>
      </w:r>
      <w:r w:rsidR="00DC5271">
        <w:rPr>
          <w:rFonts w:ascii="Arial" w:hAnsi="Arial" w:cs="Arial"/>
          <w:color w:val="7B7B7B" w:themeColor="accent3" w:themeShade="BF"/>
          <w:sz w:val="22"/>
          <w:szCs w:val="22"/>
        </w:rPr>
        <w:t xml:space="preserve">, one of the following may make a court application </w:t>
      </w:r>
      <w:r w:rsidR="00BE75FA">
        <w:rPr>
          <w:rFonts w:ascii="Arial" w:hAnsi="Arial" w:cs="Arial"/>
          <w:color w:val="7B7B7B" w:themeColor="accent3" w:themeShade="BF"/>
          <w:sz w:val="22"/>
          <w:szCs w:val="22"/>
        </w:rPr>
        <w:t xml:space="preserve">to order </w:t>
      </w:r>
      <w:r w:rsidR="00880845">
        <w:rPr>
          <w:rFonts w:ascii="Arial" w:hAnsi="Arial" w:cs="Arial"/>
          <w:color w:val="7B7B7B" w:themeColor="accent3" w:themeShade="BF"/>
          <w:sz w:val="22"/>
          <w:szCs w:val="22"/>
        </w:rPr>
        <w:t xml:space="preserve">a </w:t>
      </w:r>
      <w:r w:rsidR="00BE75FA">
        <w:rPr>
          <w:rFonts w:ascii="Arial" w:hAnsi="Arial" w:cs="Arial"/>
          <w:color w:val="7B7B7B" w:themeColor="accent3" w:themeShade="BF"/>
          <w:sz w:val="22"/>
          <w:szCs w:val="22"/>
        </w:rPr>
        <w:t>meeting of creditors, members, holders of units of shares, or any class of them</w:t>
      </w:r>
      <w:r w:rsidR="00880845">
        <w:rPr>
          <w:rFonts w:ascii="Arial" w:hAnsi="Arial" w:cs="Arial"/>
          <w:color w:val="7B7B7B" w:themeColor="accent3" w:themeShade="BF"/>
          <w:sz w:val="22"/>
          <w:szCs w:val="22"/>
        </w:rPr>
        <w:t>, to consider such proposal</w:t>
      </w:r>
      <w:r w:rsidR="00BE75FA">
        <w:rPr>
          <w:rFonts w:ascii="Arial" w:hAnsi="Arial" w:cs="Arial"/>
          <w:color w:val="7B7B7B" w:themeColor="accent3" w:themeShade="BF"/>
          <w:sz w:val="22"/>
          <w:szCs w:val="22"/>
        </w:rPr>
        <w:t>:</w:t>
      </w:r>
      <w:r w:rsidR="001C59F9">
        <w:rPr>
          <w:rStyle w:val="FootnoteReference"/>
          <w:rFonts w:ascii="Arial" w:hAnsi="Arial" w:cs="Arial"/>
          <w:color w:val="7B7B7B" w:themeColor="accent3" w:themeShade="BF"/>
          <w:sz w:val="22"/>
          <w:szCs w:val="22"/>
        </w:rPr>
        <w:footnoteReference w:id="41"/>
      </w:r>
    </w:p>
    <w:p w14:paraId="395D61EA" w14:textId="77777777" w:rsidR="00BE75FA" w:rsidRDefault="00BE75FA" w:rsidP="00BE75FA">
      <w:pPr>
        <w:jc w:val="both"/>
        <w:rPr>
          <w:rFonts w:ascii="Arial" w:hAnsi="Arial" w:cs="Arial"/>
          <w:color w:val="7B7B7B" w:themeColor="accent3" w:themeShade="BF"/>
          <w:sz w:val="22"/>
          <w:szCs w:val="22"/>
        </w:rPr>
      </w:pPr>
    </w:p>
    <w:p w14:paraId="723CA1A1" w14:textId="01C1EAD4" w:rsidR="00BE75FA" w:rsidRDefault="00BE75FA" w:rsidP="00BE75FA">
      <w:pPr>
        <w:pStyle w:val="ListParagraph"/>
        <w:numPr>
          <w:ilvl w:val="0"/>
          <w:numId w:val="3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in the case of a company being wound up – the liquidator; and,</w:t>
      </w:r>
    </w:p>
    <w:p w14:paraId="372AEDA7" w14:textId="4767E172" w:rsidR="00BE75FA" w:rsidRDefault="00BE75FA" w:rsidP="00BE75FA">
      <w:pPr>
        <w:pStyle w:val="ListParagraph"/>
        <w:numPr>
          <w:ilvl w:val="0"/>
          <w:numId w:val="3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in any other case</w:t>
      </w:r>
      <w:r w:rsidR="001C59F9">
        <w:rPr>
          <w:rFonts w:ascii="Arial" w:hAnsi="Arial" w:cs="Arial"/>
          <w:color w:val="7B7B7B" w:themeColor="accent3" w:themeShade="BF"/>
          <w:sz w:val="22"/>
          <w:szCs w:val="22"/>
        </w:rPr>
        <w:t xml:space="preserve"> – </w:t>
      </w:r>
    </w:p>
    <w:p w14:paraId="0497B088" w14:textId="7F2980D6" w:rsidR="001C59F9" w:rsidRDefault="001C59F9" w:rsidP="001C59F9">
      <w:pPr>
        <w:pStyle w:val="ListParagraph"/>
        <w:numPr>
          <w:ilvl w:val="1"/>
          <w:numId w:val="3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company; or,</w:t>
      </w:r>
    </w:p>
    <w:p w14:paraId="26767F4D" w14:textId="1CA21A54" w:rsidR="001C59F9" w:rsidRDefault="001C59F9" w:rsidP="001C59F9">
      <w:pPr>
        <w:pStyle w:val="ListParagraph"/>
        <w:numPr>
          <w:ilvl w:val="1"/>
          <w:numId w:val="3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any creditor, member or holder of units of shares.</w:t>
      </w:r>
    </w:p>
    <w:p w14:paraId="41F2ED53" w14:textId="77777777" w:rsidR="00880845" w:rsidRDefault="00880845" w:rsidP="00880845">
      <w:pPr>
        <w:jc w:val="both"/>
        <w:rPr>
          <w:rFonts w:ascii="Arial" w:hAnsi="Arial" w:cs="Arial"/>
          <w:color w:val="7B7B7B" w:themeColor="accent3" w:themeShade="BF"/>
          <w:sz w:val="22"/>
          <w:szCs w:val="22"/>
        </w:rPr>
      </w:pPr>
    </w:p>
    <w:p w14:paraId="2A1D1295" w14:textId="794EB199" w:rsidR="00880845" w:rsidRDefault="0077009F" w:rsidP="0088084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G</w:t>
      </w:r>
      <w:r w:rsidR="0038240C">
        <w:rPr>
          <w:rFonts w:ascii="Arial" w:hAnsi="Arial" w:cs="Arial"/>
          <w:color w:val="7B7B7B" w:themeColor="accent3" w:themeShade="BF"/>
          <w:sz w:val="22"/>
          <w:szCs w:val="22"/>
        </w:rPr>
        <w:t xml:space="preserve">enerally a majority in number (i.e. </w:t>
      </w:r>
      <w:r w:rsidR="00DB7222">
        <w:rPr>
          <w:rFonts w:ascii="Arial" w:hAnsi="Arial" w:cs="Arial"/>
          <w:color w:val="7B7B7B" w:themeColor="accent3" w:themeShade="BF"/>
          <w:sz w:val="22"/>
          <w:szCs w:val="22"/>
        </w:rPr>
        <w:t>more than 50%</w:t>
      </w:r>
      <w:r w:rsidR="0038240C">
        <w:rPr>
          <w:rFonts w:ascii="Arial" w:hAnsi="Arial" w:cs="Arial"/>
          <w:color w:val="7B7B7B" w:themeColor="accent3" w:themeShade="BF"/>
          <w:sz w:val="22"/>
          <w:szCs w:val="22"/>
        </w:rPr>
        <w:t>) of creditors, members, or holders of units of shares or class of them, as the case may be, present and voting either in person or by proxy at the meeting must agree to the proposal.</w:t>
      </w:r>
      <w:r w:rsidR="00191A78">
        <w:rPr>
          <w:rFonts w:ascii="Arial" w:hAnsi="Arial" w:cs="Arial"/>
          <w:color w:val="7B7B7B" w:themeColor="accent3" w:themeShade="BF"/>
          <w:sz w:val="22"/>
          <w:szCs w:val="22"/>
        </w:rPr>
        <w:t xml:space="preserve">  </w:t>
      </w:r>
      <w:r w:rsidR="00464ED2">
        <w:rPr>
          <w:rFonts w:ascii="Arial" w:hAnsi="Arial" w:cs="Arial"/>
          <w:color w:val="7B7B7B" w:themeColor="accent3" w:themeShade="BF"/>
          <w:sz w:val="22"/>
          <w:szCs w:val="22"/>
        </w:rPr>
        <w:t>In addition, such majority must represent at least 75% in value of creditors, members, or holders of units of shares or class of them, as the case may be</w:t>
      </w:r>
      <w:r w:rsidR="00EE7CC6">
        <w:rPr>
          <w:rFonts w:ascii="Arial" w:hAnsi="Arial" w:cs="Arial"/>
          <w:color w:val="7B7B7B" w:themeColor="accent3" w:themeShade="BF"/>
          <w:sz w:val="22"/>
          <w:szCs w:val="22"/>
        </w:rPr>
        <w:t>.</w:t>
      </w:r>
      <w:r w:rsidR="00AB05C9">
        <w:rPr>
          <w:rFonts w:ascii="Arial" w:hAnsi="Arial" w:cs="Arial"/>
          <w:color w:val="7B7B7B" w:themeColor="accent3" w:themeShade="BF"/>
          <w:sz w:val="22"/>
          <w:szCs w:val="22"/>
        </w:rPr>
        <w:t xml:space="preserve">  Court approval of the scheme of arrangement is also then required.</w:t>
      </w:r>
      <w:r w:rsidR="00EE7CC6">
        <w:rPr>
          <w:rStyle w:val="FootnoteReference"/>
          <w:rFonts w:ascii="Arial" w:hAnsi="Arial" w:cs="Arial"/>
          <w:color w:val="7B7B7B" w:themeColor="accent3" w:themeShade="BF"/>
          <w:sz w:val="22"/>
          <w:szCs w:val="22"/>
        </w:rPr>
        <w:footnoteReference w:id="42"/>
      </w:r>
    </w:p>
    <w:p w14:paraId="51CA5C0A" w14:textId="77777777" w:rsidR="00A84724" w:rsidRDefault="00A84724" w:rsidP="00880845">
      <w:pPr>
        <w:jc w:val="both"/>
        <w:rPr>
          <w:rFonts w:ascii="Arial" w:hAnsi="Arial" w:cs="Arial"/>
          <w:color w:val="7B7B7B" w:themeColor="accent3" w:themeShade="BF"/>
          <w:sz w:val="22"/>
          <w:szCs w:val="22"/>
        </w:rPr>
      </w:pPr>
    </w:p>
    <w:p w14:paraId="5522648E" w14:textId="69276543" w:rsidR="00A84724" w:rsidRDefault="00A84724" w:rsidP="0088084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Assuming the required approval threshold is reached </w:t>
      </w:r>
      <w:r w:rsidR="009F6791">
        <w:rPr>
          <w:rFonts w:ascii="Arial" w:hAnsi="Arial" w:cs="Arial"/>
          <w:color w:val="7B7B7B" w:themeColor="accent3" w:themeShade="BF"/>
          <w:sz w:val="22"/>
          <w:szCs w:val="22"/>
        </w:rPr>
        <w:t>for each</w:t>
      </w:r>
      <w:r>
        <w:rPr>
          <w:rFonts w:ascii="Arial" w:hAnsi="Arial" w:cs="Arial"/>
          <w:color w:val="7B7B7B" w:themeColor="accent3" w:themeShade="BF"/>
          <w:sz w:val="22"/>
          <w:szCs w:val="22"/>
        </w:rPr>
        <w:t xml:space="preserve"> meeting held</w:t>
      </w:r>
      <w:r w:rsidR="00AB05C9">
        <w:rPr>
          <w:rFonts w:ascii="Arial" w:hAnsi="Arial" w:cs="Arial"/>
          <w:color w:val="7B7B7B" w:themeColor="accent3" w:themeShade="BF"/>
          <w:sz w:val="22"/>
          <w:szCs w:val="22"/>
        </w:rPr>
        <w:t xml:space="preserve"> and court approval is obtained</w:t>
      </w:r>
      <w:r>
        <w:rPr>
          <w:rFonts w:ascii="Arial" w:hAnsi="Arial" w:cs="Arial"/>
          <w:color w:val="7B7B7B" w:themeColor="accent3" w:themeShade="BF"/>
          <w:sz w:val="22"/>
          <w:szCs w:val="22"/>
        </w:rPr>
        <w:t xml:space="preserve">, the scheme of arrangement </w:t>
      </w:r>
      <w:r w:rsidR="00AB05C9">
        <w:rPr>
          <w:rFonts w:ascii="Arial" w:hAnsi="Arial" w:cs="Arial"/>
          <w:color w:val="7B7B7B" w:themeColor="accent3" w:themeShade="BF"/>
          <w:sz w:val="22"/>
          <w:szCs w:val="22"/>
        </w:rPr>
        <w:t>becomes</w:t>
      </w:r>
      <w:r>
        <w:rPr>
          <w:rFonts w:ascii="Arial" w:hAnsi="Arial" w:cs="Arial"/>
          <w:color w:val="7B7B7B" w:themeColor="accent3" w:themeShade="BF"/>
          <w:sz w:val="22"/>
          <w:szCs w:val="22"/>
        </w:rPr>
        <w:t xml:space="preserve"> binding </w:t>
      </w:r>
      <w:r w:rsidR="00FD413C">
        <w:rPr>
          <w:rFonts w:ascii="Arial" w:hAnsi="Arial" w:cs="Arial"/>
          <w:color w:val="7B7B7B" w:themeColor="accent3" w:themeShade="BF"/>
          <w:sz w:val="22"/>
          <w:szCs w:val="22"/>
        </w:rPr>
        <w:t>on all creditors, members, or holders of units of shares or class of them, as the case may be.</w:t>
      </w:r>
      <w:r w:rsidR="00EE5284">
        <w:rPr>
          <w:rFonts w:ascii="Arial" w:hAnsi="Arial" w:cs="Arial"/>
          <w:color w:val="7B7B7B" w:themeColor="accent3" w:themeShade="BF"/>
          <w:sz w:val="22"/>
          <w:szCs w:val="22"/>
        </w:rPr>
        <w:t xml:space="preserve">  In the case of a company in the course of being wound up, the scheme of arrangement is also binding on the liquidator and contributories of the company, otherwise it is binding on the company.</w:t>
      </w:r>
      <w:r w:rsidR="00EE5284">
        <w:rPr>
          <w:rStyle w:val="FootnoteReference"/>
          <w:rFonts w:ascii="Arial" w:hAnsi="Arial" w:cs="Arial"/>
          <w:color w:val="7B7B7B" w:themeColor="accent3" w:themeShade="BF"/>
          <w:sz w:val="22"/>
          <w:szCs w:val="22"/>
        </w:rPr>
        <w:footnoteReference w:id="43"/>
      </w:r>
    </w:p>
    <w:p w14:paraId="6D51443F" w14:textId="77777777" w:rsidR="00FB29B0" w:rsidRDefault="00FB29B0" w:rsidP="00880845">
      <w:pPr>
        <w:jc w:val="both"/>
        <w:rPr>
          <w:rFonts w:ascii="Arial" w:hAnsi="Arial" w:cs="Arial"/>
          <w:color w:val="7B7B7B" w:themeColor="accent3" w:themeShade="BF"/>
          <w:sz w:val="22"/>
          <w:szCs w:val="22"/>
        </w:rPr>
      </w:pPr>
    </w:p>
    <w:p w14:paraId="5789AEE5" w14:textId="144A3691" w:rsidR="00FB29B0" w:rsidRPr="00880845" w:rsidRDefault="00A868FA" w:rsidP="0088084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W</w:t>
      </w:r>
      <w:r w:rsidR="00FB29B0">
        <w:rPr>
          <w:rFonts w:ascii="Arial" w:hAnsi="Arial" w:cs="Arial"/>
          <w:color w:val="7B7B7B" w:themeColor="accent3" w:themeShade="BF"/>
          <w:sz w:val="22"/>
          <w:szCs w:val="22"/>
        </w:rPr>
        <w:t xml:space="preserve">here a scheme of arrangement is proposed between a company and its creditors or any class of them, </w:t>
      </w:r>
      <w:r w:rsidR="004C24D2">
        <w:rPr>
          <w:rFonts w:ascii="Arial" w:hAnsi="Arial" w:cs="Arial"/>
          <w:color w:val="7B7B7B" w:themeColor="accent3" w:themeShade="BF"/>
          <w:sz w:val="22"/>
          <w:szCs w:val="22"/>
        </w:rPr>
        <w:t>a court application may be made by the company for the approval of such proposal without requiring a meeting of creditors or class of creditors to be held as required by section 210 of the Act (as discussed above).</w:t>
      </w:r>
      <w:r w:rsidR="004C24D2">
        <w:rPr>
          <w:rStyle w:val="FootnoteReference"/>
          <w:rFonts w:ascii="Arial" w:hAnsi="Arial" w:cs="Arial"/>
          <w:color w:val="7B7B7B" w:themeColor="accent3" w:themeShade="BF"/>
          <w:sz w:val="22"/>
          <w:szCs w:val="22"/>
        </w:rPr>
        <w:footnoteReference w:id="44"/>
      </w:r>
      <w:r w:rsidR="00247AFA">
        <w:rPr>
          <w:rFonts w:ascii="Arial" w:hAnsi="Arial" w:cs="Arial"/>
          <w:color w:val="7B7B7B" w:themeColor="accent3" w:themeShade="BF"/>
          <w:sz w:val="22"/>
          <w:szCs w:val="22"/>
        </w:rPr>
        <w:t xml:space="preserve">  </w:t>
      </w:r>
      <w:r w:rsidR="009B5A92">
        <w:rPr>
          <w:rFonts w:ascii="Arial" w:hAnsi="Arial" w:cs="Arial"/>
          <w:color w:val="7B7B7B" w:themeColor="accent3" w:themeShade="BF"/>
          <w:sz w:val="22"/>
          <w:szCs w:val="22"/>
        </w:rPr>
        <w:t>Upon court approval, the scheme of arrangement is binding on the company and the creditors or class of creditors.</w:t>
      </w:r>
      <w:r w:rsidR="009B5A92">
        <w:rPr>
          <w:rStyle w:val="FootnoteReference"/>
          <w:rFonts w:ascii="Arial" w:hAnsi="Arial" w:cs="Arial"/>
          <w:color w:val="7B7B7B" w:themeColor="accent3" w:themeShade="BF"/>
          <w:sz w:val="22"/>
          <w:szCs w:val="22"/>
        </w:rPr>
        <w:footnoteReference w:id="45"/>
      </w:r>
    </w:p>
    <w:p w14:paraId="64BC1D01" w14:textId="77777777" w:rsidR="00384F62" w:rsidRPr="004076F1" w:rsidRDefault="00384F62" w:rsidP="00384F62">
      <w:pPr>
        <w:jc w:val="both"/>
        <w:rPr>
          <w:rFonts w:ascii="Arial" w:hAnsi="Arial" w:cs="Arial"/>
          <w:sz w:val="22"/>
          <w:szCs w:val="22"/>
          <w:lang w:val="en-GB"/>
        </w:rPr>
      </w:pPr>
    </w:p>
    <w:p w14:paraId="1FB1AEF8" w14:textId="77777777" w:rsidR="00384F62" w:rsidRDefault="00384F62" w:rsidP="00384F62">
      <w:pPr>
        <w:jc w:val="both"/>
        <w:rPr>
          <w:rFonts w:ascii="Arial" w:hAnsi="Arial" w:cs="Arial"/>
          <w:b/>
          <w:bCs/>
          <w:sz w:val="22"/>
          <w:szCs w:val="22"/>
          <w:lang w:val="en-GB"/>
        </w:rPr>
      </w:pPr>
      <w:r w:rsidRPr="004076F1">
        <w:rPr>
          <w:rFonts w:ascii="Arial" w:hAnsi="Arial" w:cs="Arial"/>
          <w:b/>
          <w:bCs/>
          <w:sz w:val="22"/>
          <w:szCs w:val="22"/>
          <w:lang w:val="en-GB"/>
        </w:rPr>
        <w:t>Question 4.2.</w:t>
      </w:r>
      <w:r>
        <w:rPr>
          <w:rFonts w:ascii="Arial" w:hAnsi="Arial" w:cs="Arial"/>
          <w:b/>
          <w:bCs/>
          <w:sz w:val="22"/>
          <w:szCs w:val="22"/>
          <w:lang w:val="en-GB"/>
        </w:rPr>
        <w:t>2</w:t>
      </w:r>
      <w:r w:rsidRPr="004076F1">
        <w:rPr>
          <w:rFonts w:ascii="Arial" w:hAnsi="Arial" w:cs="Arial"/>
          <w:b/>
          <w:bCs/>
          <w:sz w:val="22"/>
          <w:szCs w:val="22"/>
          <w:lang w:val="en-GB"/>
        </w:rPr>
        <w:t xml:space="preserve"> [maximum </w:t>
      </w:r>
      <w:r>
        <w:rPr>
          <w:rFonts w:ascii="Arial" w:hAnsi="Arial" w:cs="Arial"/>
          <w:b/>
          <w:bCs/>
          <w:sz w:val="22"/>
          <w:szCs w:val="22"/>
          <w:lang w:val="en-GB"/>
        </w:rPr>
        <w:t>2</w:t>
      </w:r>
      <w:r w:rsidRPr="004076F1">
        <w:rPr>
          <w:rFonts w:ascii="Arial" w:hAnsi="Arial" w:cs="Arial"/>
          <w:b/>
          <w:bCs/>
          <w:sz w:val="22"/>
          <w:szCs w:val="22"/>
          <w:lang w:val="en-GB"/>
        </w:rPr>
        <w:t xml:space="preserve"> marks]</w:t>
      </w:r>
    </w:p>
    <w:p w14:paraId="7E922061" w14:textId="77777777" w:rsidR="00384F62" w:rsidRDefault="00384F62" w:rsidP="00384F62">
      <w:pPr>
        <w:jc w:val="both"/>
        <w:rPr>
          <w:rFonts w:ascii="Arial" w:hAnsi="Arial" w:cs="Arial"/>
          <w:sz w:val="22"/>
          <w:szCs w:val="22"/>
          <w:lang w:val="en-GB"/>
        </w:rPr>
      </w:pPr>
    </w:p>
    <w:p w14:paraId="46F12399" w14:textId="082F56F0" w:rsidR="00384F62" w:rsidRDefault="00384F62" w:rsidP="00384F62">
      <w:pPr>
        <w:jc w:val="both"/>
        <w:rPr>
          <w:rFonts w:ascii="Arial" w:hAnsi="Arial" w:cs="Arial"/>
          <w:sz w:val="22"/>
          <w:szCs w:val="22"/>
          <w:lang w:val="en-GB"/>
        </w:rPr>
      </w:pPr>
      <w:r w:rsidRPr="006A1313">
        <w:rPr>
          <w:rFonts w:ascii="Arial" w:hAnsi="Arial" w:cs="Arial"/>
          <w:sz w:val="22"/>
          <w:szCs w:val="22"/>
          <w:lang w:val="en-GB"/>
        </w:rPr>
        <w:t>What requirements must be satisfied in order for the Angostura Group to be able to access rescue financing under the IRDA</w:t>
      </w:r>
      <w:r w:rsidRPr="00621D8F">
        <w:rPr>
          <w:rFonts w:ascii="Arial" w:hAnsi="Arial" w:cs="Arial"/>
          <w:sz w:val="22"/>
          <w:szCs w:val="22"/>
          <w:lang w:val="en-GB"/>
        </w:rPr>
        <w:t>?</w:t>
      </w:r>
    </w:p>
    <w:p w14:paraId="1B26E8D1" w14:textId="3EBE532C" w:rsidR="00384F62" w:rsidRDefault="00384F62" w:rsidP="00384F62">
      <w:pPr>
        <w:jc w:val="both"/>
        <w:rPr>
          <w:rFonts w:ascii="Arial" w:hAnsi="Arial" w:cs="Arial"/>
          <w:sz w:val="22"/>
          <w:szCs w:val="22"/>
          <w:lang w:val="en-GB"/>
        </w:rPr>
      </w:pPr>
    </w:p>
    <w:p w14:paraId="3C0DB02A" w14:textId="059814E6" w:rsidR="000949C4" w:rsidRDefault="00A868FA" w:rsidP="000949C4">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Re</w:t>
      </w:r>
      <w:r w:rsidR="000949C4">
        <w:rPr>
          <w:rFonts w:ascii="Arial" w:hAnsi="Arial" w:cs="Arial"/>
          <w:color w:val="7B7B7B" w:themeColor="accent3" w:themeShade="BF"/>
          <w:sz w:val="22"/>
          <w:szCs w:val="22"/>
        </w:rPr>
        <w:t>scue financing means any financing that satisfies either or both of the following conditions:</w:t>
      </w:r>
      <w:r w:rsidR="000949C4">
        <w:rPr>
          <w:rStyle w:val="FootnoteReference"/>
          <w:rFonts w:ascii="Arial" w:hAnsi="Arial" w:cs="Arial"/>
          <w:color w:val="7B7B7B" w:themeColor="accent3" w:themeShade="BF"/>
          <w:sz w:val="22"/>
          <w:szCs w:val="22"/>
        </w:rPr>
        <w:footnoteReference w:id="46"/>
      </w:r>
    </w:p>
    <w:p w14:paraId="4ACF4B2E" w14:textId="77777777" w:rsidR="000949C4" w:rsidRDefault="000949C4" w:rsidP="000949C4">
      <w:pPr>
        <w:jc w:val="both"/>
        <w:rPr>
          <w:rFonts w:ascii="Arial" w:hAnsi="Arial" w:cs="Arial"/>
          <w:color w:val="7B7B7B" w:themeColor="accent3" w:themeShade="BF"/>
          <w:sz w:val="22"/>
          <w:szCs w:val="22"/>
        </w:rPr>
      </w:pPr>
    </w:p>
    <w:p w14:paraId="1D9145A7" w14:textId="69AE93D9" w:rsidR="000949C4" w:rsidRDefault="000949C4" w:rsidP="000949C4">
      <w:pPr>
        <w:pStyle w:val="ListParagraph"/>
        <w:numPr>
          <w:ilvl w:val="0"/>
          <w:numId w:val="3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financing is necessary for the survival of a company that obtains the financing, or of the whole or any part of the undertaking of that company, as a going concern; </w:t>
      </w:r>
      <w:r w:rsidR="00F76495">
        <w:rPr>
          <w:rFonts w:ascii="Arial" w:hAnsi="Arial" w:cs="Arial"/>
          <w:color w:val="7B7B7B" w:themeColor="accent3" w:themeShade="BF"/>
          <w:sz w:val="22"/>
          <w:szCs w:val="22"/>
        </w:rPr>
        <w:t>and/or,</w:t>
      </w:r>
    </w:p>
    <w:p w14:paraId="3A907679" w14:textId="3E16DDC5" w:rsidR="00F76495" w:rsidRPr="000949C4" w:rsidRDefault="00F76495" w:rsidP="000949C4">
      <w:pPr>
        <w:pStyle w:val="ListParagraph"/>
        <w:numPr>
          <w:ilvl w:val="0"/>
          <w:numId w:val="3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financing is necessary to achieve a more advantageous realization of the assets of a company that obtains the financing, than on a winding up of that company.</w:t>
      </w:r>
    </w:p>
    <w:p w14:paraId="26899022" w14:textId="5A365639" w:rsidR="00384F62" w:rsidRDefault="00384F62" w:rsidP="00384F62">
      <w:pPr>
        <w:jc w:val="both"/>
        <w:rPr>
          <w:rFonts w:ascii="Arial" w:hAnsi="Arial" w:cs="Arial"/>
          <w:sz w:val="22"/>
          <w:szCs w:val="22"/>
          <w:lang w:val="en-GB"/>
        </w:rPr>
      </w:pPr>
    </w:p>
    <w:p w14:paraId="1BA41FFF" w14:textId="77777777" w:rsidR="00384F62" w:rsidRPr="005C529D" w:rsidRDefault="00384F62" w:rsidP="00384F62">
      <w:pPr>
        <w:jc w:val="both"/>
        <w:rPr>
          <w:rFonts w:ascii="Arial" w:hAnsi="Arial" w:cs="Arial"/>
          <w:b/>
          <w:bCs/>
          <w:sz w:val="22"/>
          <w:szCs w:val="22"/>
          <w:lang w:val="en-GB"/>
        </w:rPr>
      </w:pPr>
      <w:r w:rsidRPr="007C23F2">
        <w:rPr>
          <w:rFonts w:ascii="Arial" w:hAnsi="Arial" w:cs="Arial"/>
          <w:b/>
          <w:bCs/>
          <w:sz w:val="22"/>
          <w:szCs w:val="22"/>
          <w:lang w:val="en-GB"/>
        </w:rPr>
        <w:t>Question 4.2.</w:t>
      </w:r>
      <w:r>
        <w:rPr>
          <w:rFonts w:ascii="Arial" w:hAnsi="Arial" w:cs="Arial"/>
          <w:b/>
          <w:bCs/>
          <w:sz w:val="22"/>
          <w:szCs w:val="22"/>
          <w:lang w:val="en-GB"/>
        </w:rPr>
        <w:t>3</w:t>
      </w:r>
      <w:r w:rsidRPr="007C23F2">
        <w:rPr>
          <w:rFonts w:ascii="Arial" w:hAnsi="Arial" w:cs="Arial"/>
          <w:b/>
          <w:bCs/>
          <w:sz w:val="22"/>
          <w:szCs w:val="22"/>
          <w:lang w:val="en-GB"/>
        </w:rPr>
        <w:t xml:space="preserve"> [maximum </w:t>
      </w:r>
      <w:r>
        <w:rPr>
          <w:rFonts w:ascii="Arial" w:hAnsi="Arial" w:cs="Arial"/>
          <w:b/>
          <w:bCs/>
          <w:sz w:val="22"/>
          <w:szCs w:val="22"/>
          <w:lang w:val="en-GB"/>
        </w:rPr>
        <w:t xml:space="preserve">2 </w:t>
      </w:r>
      <w:r w:rsidRPr="007C23F2">
        <w:rPr>
          <w:rFonts w:ascii="Arial" w:hAnsi="Arial" w:cs="Arial"/>
          <w:b/>
          <w:bCs/>
          <w:sz w:val="22"/>
          <w:szCs w:val="22"/>
          <w:lang w:val="en-GB"/>
        </w:rPr>
        <w:t>marks]</w:t>
      </w:r>
    </w:p>
    <w:p w14:paraId="026C4CE3" w14:textId="77777777" w:rsidR="00384F62" w:rsidRDefault="00384F62" w:rsidP="00384F62">
      <w:pPr>
        <w:jc w:val="both"/>
        <w:rPr>
          <w:rFonts w:ascii="Arial" w:hAnsi="Arial" w:cs="Arial"/>
          <w:sz w:val="22"/>
          <w:szCs w:val="22"/>
          <w:lang w:val="en-GB"/>
        </w:rPr>
      </w:pPr>
    </w:p>
    <w:p w14:paraId="0FCE4C60" w14:textId="77777777" w:rsidR="00384F62" w:rsidRPr="00DC5178" w:rsidRDefault="00384F62" w:rsidP="00384F62">
      <w:pPr>
        <w:jc w:val="both"/>
        <w:rPr>
          <w:rFonts w:ascii="Arial" w:hAnsi="Arial" w:cs="Arial"/>
          <w:sz w:val="22"/>
          <w:szCs w:val="22"/>
          <w:lang w:val="en-GB"/>
        </w:rPr>
      </w:pPr>
      <w:r w:rsidRPr="00621D8F">
        <w:rPr>
          <w:rFonts w:ascii="Arial" w:hAnsi="Arial" w:cs="Arial"/>
          <w:sz w:val="22"/>
          <w:szCs w:val="22"/>
          <w:lang w:val="en-GB"/>
        </w:rPr>
        <w:t>Explain the key</w:t>
      </w:r>
      <w:r w:rsidRPr="00DC5178">
        <w:rPr>
          <w:rFonts w:ascii="Arial" w:hAnsi="Arial" w:cs="Arial"/>
          <w:sz w:val="22"/>
          <w:szCs w:val="22"/>
          <w:lang w:val="en-GB"/>
        </w:rPr>
        <w:t xml:space="preserve"> requirements in order for a Singapore court to recognise a foreign insolvency proceeding and what the effect will be if the court were to do so.</w:t>
      </w:r>
    </w:p>
    <w:p w14:paraId="7854C349" w14:textId="77777777" w:rsidR="00384F62" w:rsidRDefault="00384F62" w:rsidP="00384F62">
      <w:pPr>
        <w:pStyle w:val="BodyText"/>
        <w:rPr>
          <w:lang w:val="en-GB"/>
        </w:rPr>
      </w:pPr>
    </w:p>
    <w:p w14:paraId="2B0BF91F" w14:textId="76898CA7" w:rsidR="004B7DD8" w:rsidRDefault="005B2F13" w:rsidP="004B7DD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w:t>
      </w:r>
      <w:r w:rsidR="004B7DD8">
        <w:rPr>
          <w:rFonts w:ascii="Arial" w:hAnsi="Arial" w:cs="Arial"/>
          <w:color w:val="7B7B7B" w:themeColor="accent3" w:themeShade="BF"/>
          <w:sz w:val="22"/>
          <w:szCs w:val="22"/>
        </w:rPr>
        <w:t xml:space="preserve"> Singapore court must recognize a foreign insolvency proceeding if:</w:t>
      </w:r>
      <w:r w:rsidR="001E4B23">
        <w:rPr>
          <w:rStyle w:val="FootnoteReference"/>
          <w:rFonts w:ascii="Arial" w:hAnsi="Arial" w:cs="Arial"/>
          <w:color w:val="7B7B7B" w:themeColor="accent3" w:themeShade="BF"/>
          <w:sz w:val="22"/>
          <w:szCs w:val="22"/>
        </w:rPr>
        <w:footnoteReference w:id="47"/>
      </w:r>
    </w:p>
    <w:p w14:paraId="25A613A1" w14:textId="77777777" w:rsidR="004B7DD8" w:rsidRDefault="004B7DD8" w:rsidP="004B7DD8">
      <w:pPr>
        <w:jc w:val="both"/>
        <w:rPr>
          <w:rFonts w:ascii="Arial" w:hAnsi="Arial" w:cs="Arial"/>
          <w:color w:val="7B7B7B" w:themeColor="accent3" w:themeShade="BF"/>
          <w:sz w:val="22"/>
          <w:szCs w:val="22"/>
        </w:rPr>
      </w:pPr>
    </w:p>
    <w:p w14:paraId="4ADCBE89" w14:textId="582C98A4" w:rsidR="004B7DD8" w:rsidRDefault="004B7DD8" w:rsidP="004B7DD8">
      <w:pPr>
        <w:pStyle w:val="ListParagraph"/>
        <w:numPr>
          <w:ilvl w:val="0"/>
          <w:numId w:val="40"/>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it is a foreign proceeding</w:t>
      </w:r>
      <w:r w:rsidR="001E4B23">
        <w:rPr>
          <w:rFonts w:ascii="Arial" w:hAnsi="Arial" w:cs="Arial"/>
          <w:color w:val="7B7B7B" w:themeColor="accent3" w:themeShade="BF"/>
          <w:sz w:val="22"/>
          <w:szCs w:val="22"/>
        </w:rPr>
        <w:t xml:space="preserve"> which, in the context of insolvency, </w:t>
      </w:r>
      <w:r w:rsidR="00755FDB">
        <w:rPr>
          <w:rFonts w:ascii="Arial" w:hAnsi="Arial" w:cs="Arial"/>
          <w:color w:val="7B7B7B" w:themeColor="accent3" w:themeShade="BF"/>
          <w:sz w:val="22"/>
          <w:szCs w:val="22"/>
        </w:rPr>
        <w:t>is defined as a collective judicial or administrative proceeding in a foreign State</w:t>
      </w:r>
      <w:r w:rsidR="00293860">
        <w:rPr>
          <w:rFonts w:ascii="Arial" w:hAnsi="Arial" w:cs="Arial"/>
          <w:color w:val="7B7B7B" w:themeColor="accent3" w:themeShade="BF"/>
          <w:sz w:val="22"/>
          <w:szCs w:val="22"/>
        </w:rPr>
        <w:t xml:space="preserve"> under a law relating to insolvency in which proceeding the property and affairs of the debtor are subject to control or supervision by a foreign court, for the purpose of liquidation.</w:t>
      </w:r>
      <w:r w:rsidR="00EB5A92">
        <w:rPr>
          <w:rStyle w:val="FootnoteReference"/>
          <w:rFonts w:ascii="Arial" w:hAnsi="Arial" w:cs="Arial"/>
          <w:color w:val="7B7B7B" w:themeColor="accent3" w:themeShade="BF"/>
          <w:sz w:val="22"/>
          <w:szCs w:val="22"/>
        </w:rPr>
        <w:footnoteReference w:id="48"/>
      </w:r>
    </w:p>
    <w:p w14:paraId="56614EA4" w14:textId="38934B14" w:rsidR="004B7DD8" w:rsidRDefault="004B7DD8" w:rsidP="004B7DD8">
      <w:pPr>
        <w:pStyle w:val="ListParagraph"/>
        <w:numPr>
          <w:ilvl w:val="0"/>
          <w:numId w:val="40"/>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person or body applying for recognition is a foreign representative</w:t>
      </w:r>
      <w:r w:rsidR="00B32E4D">
        <w:rPr>
          <w:rFonts w:ascii="Arial" w:hAnsi="Arial" w:cs="Arial"/>
          <w:color w:val="7B7B7B" w:themeColor="accent3" w:themeShade="BF"/>
          <w:sz w:val="22"/>
          <w:szCs w:val="22"/>
        </w:rPr>
        <w:t xml:space="preserve"> which, in the context of insolvency, is defined as one who is authorized in a foreign proceeding to administer the liquidation of the debtor’s property or affairs or to act as a representative of the foreign proceeding.</w:t>
      </w:r>
    </w:p>
    <w:p w14:paraId="48E6E45F" w14:textId="6D4C0156" w:rsidR="004B7DD8" w:rsidRDefault="004B7DD8" w:rsidP="004B7DD8">
      <w:pPr>
        <w:pStyle w:val="ListParagraph"/>
        <w:numPr>
          <w:ilvl w:val="0"/>
          <w:numId w:val="40"/>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application meets the requirements </w:t>
      </w:r>
      <w:r w:rsidR="001D270B">
        <w:rPr>
          <w:rFonts w:ascii="Arial" w:hAnsi="Arial" w:cs="Arial"/>
          <w:color w:val="7B7B7B" w:themeColor="accent3" w:themeShade="BF"/>
          <w:sz w:val="22"/>
          <w:szCs w:val="22"/>
        </w:rPr>
        <w:t xml:space="preserve">as set out in </w:t>
      </w:r>
      <w:r>
        <w:rPr>
          <w:rFonts w:ascii="Arial" w:hAnsi="Arial" w:cs="Arial"/>
          <w:color w:val="7B7B7B" w:themeColor="accent3" w:themeShade="BF"/>
          <w:sz w:val="22"/>
          <w:szCs w:val="22"/>
        </w:rPr>
        <w:t>Article</w:t>
      </w:r>
      <w:r w:rsidR="001D270B">
        <w:rPr>
          <w:rFonts w:ascii="Arial" w:hAnsi="Arial" w:cs="Arial"/>
          <w:color w:val="7B7B7B" w:themeColor="accent3" w:themeShade="BF"/>
          <w:sz w:val="22"/>
          <w:szCs w:val="22"/>
        </w:rPr>
        <w:t>s 1</w:t>
      </w:r>
      <w:r>
        <w:rPr>
          <w:rFonts w:ascii="Arial" w:hAnsi="Arial" w:cs="Arial"/>
          <w:color w:val="7B7B7B" w:themeColor="accent3" w:themeShade="BF"/>
          <w:sz w:val="22"/>
          <w:szCs w:val="22"/>
        </w:rPr>
        <w:t>5(2) and (3)</w:t>
      </w:r>
      <w:r w:rsidR="001D270B">
        <w:rPr>
          <w:rFonts w:ascii="Arial" w:hAnsi="Arial" w:cs="Arial"/>
          <w:color w:val="7B7B7B" w:themeColor="accent3" w:themeShade="BF"/>
          <w:sz w:val="22"/>
          <w:szCs w:val="22"/>
        </w:rPr>
        <w:t xml:space="preserve"> of the Third Schedule of the IRDA</w:t>
      </w:r>
      <w:r>
        <w:rPr>
          <w:rFonts w:ascii="Arial" w:hAnsi="Arial" w:cs="Arial"/>
          <w:color w:val="7B7B7B" w:themeColor="accent3" w:themeShade="BF"/>
          <w:sz w:val="22"/>
          <w:szCs w:val="22"/>
        </w:rPr>
        <w:t>; and,</w:t>
      </w:r>
    </w:p>
    <w:p w14:paraId="64AF2C54" w14:textId="6A64FBE6" w:rsidR="004B7DD8" w:rsidRDefault="004B7DD8" w:rsidP="004B7DD8">
      <w:pPr>
        <w:pStyle w:val="ListParagraph"/>
        <w:numPr>
          <w:ilvl w:val="0"/>
          <w:numId w:val="40"/>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application has been submitted to the </w:t>
      </w:r>
      <w:r w:rsidR="00F973D0">
        <w:rPr>
          <w:rFonts w:ascii="Arial" w:hAnsi="Arial" w:cs="Arial"/>
          <w:color w:val="7B7B7B" w:themeColor="accent3" w:themeShade="BF"/>
          <w:sz w:val="22"/>
          <w:szCs w:val="22"/>
        </w:rPr>
        <w:t xml:space="preserve">General Division of the High </w:t>
      </w:r>
      <w:r>
        <w:rPr>
          <w:rFonts w:ascii="Arial" w:hAnsi="Arial" w:cs="Arial"/>
          <w:color w:val="7B7B7B" w:themeColor="accent3" w:themeShade="BF"/>
          <w:sz w:val="22"/>
          <w:szCs w:val="22"/>
        </w:rPr>
        <w:t>Court</w:t>
      </w:r>
      <w:r w:rsidR="00F973D0">
        <w:rPr>
          <w:rFonts w:ascii="Arial" w:hAnsi="Arial" w:cs="Arial"/>
          <w:color w:val="7B7B7B" w:themeColor="accent3" w:themeShade="BF"/>
          <w:sz w:val="22"/>
          <w:szCs w:val="22"/>
        </w:rPr>
        <w:t xml:space="preserve"> in Singapore</w:t>
      </w:r>
      <w:r>
        <w:rPr>
          <w:rFonts w:ascii="Arial" w:hAnsi="Arial" w:cs="Arial"/>
          <w:color w:val="7B7B7B" w:themeColor="accent3" w:themeShade="BF"/>
          <w:sz w:val="22"/>
          <w:szCs w:val="22"/>
        </w:rPr>
        <w:t>.</w:t>
      </w:r>
      <w:r w:rsidR="00F973D0">
        <w:rPr>
          <w:rStyle w:val="FootnoteReference"/>
          <w:rFonts w:ascii="Arial" w:hAnsi="Arial" w:cs="Arial"/>
          <w:color w:val="7B7B7B" w:themeColor="accent3" w:themeShade="BF"/>
          <w:sz w:val="22"/>
          <w:szCs w:val="22"/>
        </w:rPr>
        <w:footnoteReference w:id="49"/>
      </w:r>
    </w:p>
    <w:p w14:paraId="1ACC854C" w14:textId="77777777" w:rsidR="00C47993" w:rsidRDefault="00C47993" w:rsidP="00C47993">
      <w:pPr>
        <w:jc w:val="both"/>
        <w:rPr>
          <w:rFonts w:ascii="Arial" w:hAnsi="Arial" w:cs="Arial"/>
          <w:color w:val="7B7B7B" w:themeColor="accent3" w:themeShade="BF"/>
          <w:sz w:val="22"/>
          <w:szCs w:val="22"/>
        </w:rPr>
      </w:pPr>
    </w:p>
    <w:p w14:paraId="5AB1410E" w14:textId="2F2EF77B" w:rsidR="00465E1C" w:rsidRDefault="005B2F13" w:rsidP="00465E1C">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U</w:t>
      </w:r>
      <w:r w:rsidR="00C47993">
        <w:rPr>
          <w:rFonts w:ascii="Arial" w:hAnsi="Arial" w:cs="Arial"/>
          <w:color w:val="7B7B7B" w:themeColor="accent3" w:themeShade="BF"/>
          <w:sz w:val="22"/>
          <w:szCs w:val="22"/>
        </w:rPr>
        <w:t xml:space="preserve">pon recognition of a foreign insolvency proceeding </w:t>
      </w:r>
      <w:r w:rsidR="00465E1C">
        <w:rPr>
          <w:rFonts w:ascii="Arial" w:hAnsi="Arial" w:cs="Arial"/>
          <w:color w:val="7B7B7B" w:themeColor="accent3" w:themeShade="BF"/>
          <w:sz w:val="22"/>
          <w:szCs w:val="22"/>
        </w:rPr>
        <w:t>that is a foreign main proceeding</w:t>
      </w:r>
      <w:r w:rsidR="00B33906">
        <w:rPr>
          <w:rFonts w:ascii="Arial" w:hAnsi="Arial" w:cs="Arial"/>
          <w:color w:val="7B7B7B" w:themeColor="accent3" w:themeShade="BF"/>
          <w:sz w:val="22"/>
          <w:szCs w:val="22"/>
        </w:rPr>
        <w:t xml:space="preserve"> (a foreign proceeding taking place in the State where the debtor has its </w:t>
      </w:r>
      <w:proofErr w:type="spellStart"/>
      <w:r w:rsidR="00B33906">
        <w:rPr>
          <w:rFonts w:ascii="Arial" w:hAnsi="Arial" w:cs="Arial"/>
          <w:color w:val="7B7B7B" w:themeColor="accent3" w:themeShade="BF"/>
          <w:sz w:val="22"/>
          <w:szCs w:val="22"/>
        </w:rPr>
        <w:t>centre</w:t>
      </w:r>
      <w:proofErr w:type="spellEnd"/>
      <w:r w:rsidR="00B33906">
        <w:rPr>
          <w:rFonts w:ascii="Arial" w:hAnsi="Arial" w:cs="Arial"/>
          <w:color w:val="7B7B7B" w:themeColor="accent3" w:themeShade="BF"/>
          <w:sz w:val="22"/>
          <w:szCs w:val="22"/>
        </w:rPr>
        <w:t xml:space="preserve"> of main interests</w:t>
      </w:r>
      <w:r w:rsidR="00B33906">
        <w:rPr>
          <w:rStyle w:val="FootnoteReference"/>
          <w:rFonts w:ascii="Arial" w:hAnsi="Arial" w:cs="Arial"/>
          <w:color w:val="7B7B7B" w:themeColor="accent3" w:themeShade="BF"/>
          <w:sz w:val="22"/>
          <w:szCs w:val="22"/>
        </w:rPr>
        <w:footnoteReference w:id="50"/>
      </w:r>
      <w:r w:rsidR="00B33906">
        <w:rPr>
          <w:rFonts w:ascii="Arial" w:hAnsi="Arial" w:cs="Arial"/>
          <w:color w:val="7B7B7B" w:themeColor="accent3" w:themeShade="BF"/>
          <w:sz w:val="22"/>
          <w:szCs w:val="22"/>
        </w:rPr>
        <w:t>)</w:t>
      </w:r>
      <w:r w:rsidR="00465E1C">
        <w:rPr>
          <w:rFonts w:ascii="Arial" w:hAnsi="Arial" w:cs="Arial"/>
          <w:color w:val="7B7B7B" w:themeColor="accent3" w:themeShade="BF"/>
          <w:sz w:val="22"/>
          <w:szCs w:val="22"/>
        </w:rPr>
        <w:t>:</w:t>
      </w:r>
      <w:r w:rsidR="00465E1C">
        <w:rPr>
          <w:rStyle w:val="FootnoteReference"/>
          <w:rFonts w:ascii="Arial" w:hAnsi="Arial" w:cs="Arial"/>
          <w:color w:val="7B7B7B" w:themeColor="accent3" w:themeShade="BF"/>
          <w:sz w:val="22"/>
          <w:szCs w:val="22"/>
        </w:rPr>
        <w:footnoteReference w:id="51"/>
      </w:r>
    </w:p>
    <w:p w14:paraId="5A092296" w14:textId="77777777" w:rsidR="00465E1C" w:rsidRDefault="00465E1C" w:rsidP="00465E1C">
      <w:pPr>
        <w:jc w:val="both"/>
        <w:rPr>
          <w:rFonts w:ascii="Arial" w:hAnsi="Arial" w:cs="Arial"/>
          <w:color w:val="7B7B7B" w:themeColor="accent3" w:themeShade="BF"/>
          <w:sz w:val="22"/>
          <w:szCs w:val="22"/>
        </w:rPr>
      </w:pPr>
    </w:p>
    <w:p w14:paraId="18E56EEE" w14:textId="65A5197A" w:rsidR="00465E1C" w:rsidRDefault="00465E1C" w:rsidP="00465E1C">
      <w:pPr>
        <w:pStyle w:val="ListParagraph"/>
        <w:numPr>
          <w:ilvl w:val="0"/>
          <w:numId w:val="4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commencement or continuation of individual actions or individual proceedings concerning the debtor’s property, rights, obligations or liabilities is stayed;</w:t>
      </w:r>
    </w:p>
    <w:p w14:paraId="05FC7431" w14:textId="5EB76EE0" w:rsidR="00465E1C" w:rsidRDefault="00465E1C" w:rsidP="00465E1C">
      <w:pPr>
        <w:pStyle w:val="ListParagraph"/>
        <w:numPr>
          <w:ilvl w:val="0"/>
          <w:numId w:val="4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execution against the debtor’s property is stayed; and,</w:t>
      </w:r>
    </w:p>
    <w:p w14:paraId="3D4E32CA" w14:textId="21C38A80" w:rsidR="00465E1C" w:rsidRPr="00465E1C" w:rsidRDefault="00465E1C" w:rsidP="00465E1C">
      <w:pPr>
        <w:pStyle w:val="ListParagraph"/>
        <w:numPr>
          <w:ilvl w:val="0"/>
          <w:numId w:val="4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right to transfer, encumber or otherwise dispose of any property of the debtor is suspended.</w:t>
      </w:r>
    </w:p>
    <w:p w14:paraId="416AD2B4" w14:textId="43A3C63C" w:rsidR="00465E1C" w:rsidRDefault="00465E1C" w:rsidP="00465E1C">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 </w:t>
      </w:r>
    </w:p>
    <w:p w14:paraId="18A1CBD4" w14:textId="086E7885" w:rsidR="00DD1272" w:rsidRPr="00465E1C" w:rsidRDefault="00593C67" w:rsidP="00465E1C">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For completeness, </w:t>
      </w:r>
      <w:r w:rsidR="00176785">
        <w:rPr>
          <w:rFonts w:ascii="Arial" w:hAnsi="Arial" w:cs="Arial"/>
          <w:color w:val="7B7B7B" w:themeColor="accent3" w:themeShade="BF"/>
          <w:sz w:val="22"/>
          <w:szCs w:val="22"/>
        </w:rPr>
        <w:t xml:space="preserve">upon the </w:t>
      </w:r>
      <w:r>
        <w:rPr>
          <w:rFonts w:ascii="Arial" w:hAnsi="Arial" w:cs="Arial"/>
          <w:color w:val="7B7B7B" w:themeColor="accent3" w:themeShade="BF"/>
          <w:sz w:val="22"/>
          <w:szCs w:val="22"/>
        </w:rPr>
        <w:t xml:space="preserve">recognition of </w:t>
      </w:r>
      <w:r w:rsidR="00176785">
        <w:rPr>
          <w:rFonts w:ascii="Arial" w:hAnsi="Arial" w:cs="Arial"/>
          <w:color w:val="7B7B7B" w:themeColor="accent3" w:themeShade="BF"/>
          <w:sz w:val="22"/>
          <w:szCs w:val="22"/>
        </w:rPr>
        <w:t xml:space="preserve">a </w:t>
      </w:r>
      <w:r>
        <w:rPr>
          <w:rFonts w:ascii="Arial" w:hAnsi="Arial" w:cs="Arial"/>
          <w:color w:val="7B7B7B" w:themeColor="accent3" w:themeShade="BF"/>
          <w:sz w:val="22"/>
          <w:szCs w:val="22"/>
        </w:rPr>
        <w:t>foreign non-main proceedings (</w:t>
      </w:r>
      <w:r w:rsidR="006606A0">
        <w:rPr>
          <w:rFonts w:ascii="Arial" w:hAnsi="Arial" w:cs="Arial"/>
          <w:color w:val="7B7B7B" w:themeColor="accent3" w:themeShade="BF"/>
          <w:sz w:val="22"/>
          <w:szCs w:val="22"/>
        </w:rPr>
        <w:t>a foreign proceeding</w:t>
      </w:r>
      <w:r w:rsidR="00124340">
        <w:rPr>
          <w:rFonts w:ascii="Arial" w:hAnsi="Arial" w:cs="Arial"/>
          <w:color w:val="7B7B7B" w:themeColor="accent3" w:themeShade="BF"/>
          <w:sz w:val="22"/>
          <w:szCs w:val="22"/>
        </w:rPr>
        <w:t>,</w:t>
      </w:r>
      <w:r w:rsidR="006606A0">
        <w:rPr>
          <w:rFonts w:ascii="Arial" w:hAnsi="Arial" w:cs="Arial"/>
          <w:color w:val="7B7B7B" w:themeColor="accent3" w:themeShade="BF"/>
          <w:sz w:val="22"/>
          <w:szCs w:val="22"/>
        </w:rPr>
        <w:t xml:space="preserve"> other than a foreign main proceeding</w:t>
      </w:r>
      <w:r w:rsidR="00124340">
        <w:rPr>
          <w:rFonts w:ascii="Arial" w:hAnsi="Arial" w:cs="Arial"/>
          <w:color w:val="7B7B7B" w:themeColor="accent3" w:themeShade="BF"/>
          <w:sz w:val="22"/>
          <w:szCs w:val="22"/>
        </w:rPr>
        <w:t>,</w:t>
      </w:r>
      <w:r w:rsidR="006606A0">
        <w:rPr>
          <w:rFonts w:ascii="Arial" w:hAnsi="Arial" w:cs="Arial"/>
          <w:color w:val="7B7B7B" w:themeColor="accent3" w:themeShade="BF"/>
          <w:sz w:val="22"/>
          <w:szCs w:val="22"/>
        </w:rPr>
        <w:t xml:space="preserve"> taking place in a State where the debtor has an “establishment”</w:t>
      </w:r>
      <w:r w:rsidR="006606A0">
        <w:rPr>
          <w:rStyle w:val="FootnoteReference"/>
          <w:rFonts w:ascii="Arial" w:hAnsi="Arial" w:cs="Arial"/>
          <w:color w:val="7B7B7B" w:themeColor="accent3" w:themeShade="BF"/>
          <w:sz w:val="22"/>
          <w:szCs w:val="22"/>
        </w:rPr>
        <w:footnoteReference w:id="52"/>
      </w:r>
      <w:r w:rsidR="00176785">
        <w:rPr>
          <w:rFonts w:ascii="Arial" w:hAnsi="Arial" w:cs="Arial"/>
          <w:color w:val="7B7B7B" w:themeColor="accent3" w:themeShade="BF"/>
          <w:sz w:val="22"/>
          <w:szCs w:val="22"/>
        </w:rPr>
        <w:t xml:space="preserve">), </w:t>
      </w:r>
      <w:r w:rsidR="00DD1272">
        <w:rPr>
          <w:rFonts w:ascii="Arial" w:hAnsi="Arial" w:cs="Arial"/>
          <w:color w:val="7B7B7B" w:themeColor="accent3" w:themeShade="BF"/>
          <w:sz w:val="22"/>
          <w:szCs w:val="22"/>
        </w:rPr>
        <w:t>where necessary to protect the property of the debtor or the interests of the creditors, the Court may, at the request of the foreign representative, grant any appropriate relief including those automatically provided to foreign main proceedings mentioned above.</w:t>
      </w:r>
      <w:r w:rsidR="00DD1272">
        <w:rPr>
          <w:rStyle w:val="FootnoteReference"/>
          <w:rFonts w:ascii="Arial" w:hAnsi="Arial" w:cs="Arial"/>
          <w:color w:val="7B7B7B" w:themeColor="accent3" w:themeShade="BF"/>
          <w:sz w:val="22"/>
          <w:szCs w:val="22"/>
        </w:rPr>
        <w:footnoteReference w:id="53"/>
      </w:r>
    </w:p>
    <w:bookmarkEnd w:id="0"/>
    <w:p w14:paraId="2AF045F1" w14:textId="77777777" w:rsidR="00B77F46" w:rsidRPr="004E3A6B" w:rsidRDefault="0007291B"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85A77" w14:textId="77777777" w:rsidR="00B17582" w:rsidRDefault="00B17582">
      <w:r>
        <w:separator/>
      </w:r>
    </w:p>
  </w:endnote>
  <w:endnote w:type="continuationSeparator" w:id="0">
    <w:p w14:paraId="0C6FD1C5" w14:textId="77777777" w:rsidR="00B17582" w:rsidRDefault="00B1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8569B9" w:rsidRPr="00FC7B47" w:rsidRDefault="008569B9"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77777777" w:rsidR="008569B9" w:rsidRPr="00FC7B47" w:rsidRDefault="008569B9"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6DF9108" w14:textId="07899691" w:rsidR="008569B9" w:rsidRPr="009B4976" w:rsidRDefault="008569B9"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C2645B">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09CBBDDF" w14:textId="34FA00FA" w:rsidR="008569B9" w:rsidRPr="009B4976" w:rsidRDefault="005E5B67" w:rsidP="009B4976">
    <w:pPr>
      <w:pStyle w:val="Footer"/>
      <w:ind w:right="360"/>
      <w:rPr>
        <w:rFonts w:ascii="Arial" w:hAnsi="Arial" w:cs="Arial"/>
        <w:sz w:val="18"/>
        <w:szCs w:val="18"/>
        <w:lang w:val="en-GB"/>
      </w:rPr>
    </w:pPr>
    <w:r w:rsidRPr="005E5B67">
      <w:rPr>
        <w:rFonts w:ascii="Arial" w:hAnsi="Arial" w:cs="Arial"/>
        <w:sz w:val="18"/>
        <w:szCs w:val="18"/>
        <w:lang w:val="en-GB"/>
      </w:rPr>
      <w:t>202122-518</w:t>
    </w:r>
    <w:r w:rsidR="008569B9" w:rsidRPr="009B4976">
      <w:rPr>
        <w:rFonts w:ascii="Arial" w:hAnsi="Arial" w:cs="Arial"/>
        <w:sz w:val="18"/>
        <w:szCs w:val="18"/>
        <w:lang w:val="en-GB"/>
      </w:rPr>
      <w:t>.assessment</w:t>
    </w:r>
    <w:r w:rsidR="008569B9">
      <w:rPr>
        <w:rFonts w:ascii="Arial" w:hAnsi="Arial" w:cs="Arial"/>
        <w:sz w:val="18"/>
        <w:szCs w:val="18"/>
        <w:lang w:val="en-GB"/>
      </w:rPr>
      <w:t>8</w:t>
    </w:r>
    <w:r w:rsidR="00384F62">
      <w:rPr>
        <w:rFonts w:ascii="Arial" w:hAnsi="Arial"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8230D" w14:textId="77777777" w:rsidR="00B17582" w:rsidRDefault="00B17582">
      <w:r>
        <w:separator/>
      </w:r>
    </w:p>
  </w:footnote>
  <w:footnote w:type="continuationSeparator" w:id="0">
    <w:p w14:paraId="1D894BD8" w14:textId="77777777" w:rsidR="00B17582" w:rsidRDefault="00B17582">
      <w:r>
        <w:continuationSeparator/>
      </w:r>
    </w:p>
  </w:footnote>
  <w:footnote w:id="1">
    <w:p w14:paraId="1BD7E6D8" w14:textId="30C898D6" w:rsidR="00B75BA4" w:rsidRPr="003B10A7" w:rsidRDefault="00B75BA4">
      <w:pPr>
        <w:pStyle w:val="FootnoteText"/>
      </w:pPr>
      <w:r>
        <w:rPr>
          <w:rStyle w:val="FootnoteReference"/>
        </w:rPr>
        <w:footnoteRef/>
      </w:r>
      <w:r>
        <w:t xml:space="preserve"> </w:t>
      </w:r>
      <w:r w:rsidR="001E3B0B">
        <w:t xml:space="preserve">Chan, Andrew et al., </w:t>
      </w:r>
      <w:r w:rsidR="003B10A7">
        <w:t>“</w:t>
      </w:r>
      <w:r w:rsidR="003B10A7">
        <w:rPr>
          <w:i/>
          <w:iCs/>
        </w:rPr>
        <w:t>Singapore Court of Appeal clarifies test for inability to pay debts in winding up proceedings</w:t>
      </w:r>
      <w:r w:rsidR="003B10A7">
        <w:t xml:space="preserve">,” </w:t>
      </w:r>
      <w:r w:rsidR="00054C29">
        <w:t xml:space="preserve">at </w:t>
      </w:r>
      <w:hyperlink r:id="rId1" w:history="1">
        <w:r w:rsidR="00E93622" w:rsidRPr="001258F9">
          <w:rPr>
            <w:rStyle w:val="Hyperlink"/>
          </w:rPr>
          <w:t>https://www.allenandgledhill.com/perspectives/articles/18849/sgkh-court-of-appeal-clarifies-test-for-inability-to-pay-debts-in-winding-up-proceedings?agreed=cookiepolicy</w:t>
        </w:r>
      </w:hyperlink>
      <w:r w:rsidR="00E93622">
        <w:t>, accessed 19 July 2022.</w:t>
      </w:r>
    </w:p>
  </w:footnote>
  <w:footnote w:id="2">
    <w:p w14:paraId="47F06F46" w14:textId="1D2942E9" w:rsidR="00637AE7" w:rsidRPr="00735658" w:rsidRDefault="00637AE7">
      <w:pPr>
        <w:pStyle w:val="FootnoteText"/>
      </w:pPr>
      <w:r>
        <w:rPr>
          <w:rStyle w:val="FootnoteReference"/>
        </w:rPr>
        <w:footnoteRef/>
      </w:r>
      <w:r>
        <w:t xml:space="preserve"> </w:t>
      </w:r>
      <w:r w:rsidR="00735658">
        <w:rPr>
          <w:i/>
          <w:iCs/>
        </w:rPr>
        <w:t>Ibid</w:t>
      </w:r>
      <w:r w:rsidR="00735658">
        <w:t>.</w:t>
      </w:r>
    </w:p>
  </w:footnote>
  <w:footnote w:id="3">
    <w:p w14:paraId="5BBDA0FB" w14:textId="10670362" w:rsidR="008C072D" w:rsidRDefault="008C072D">
      <w:pPr>
        <w:pStyle w:val="FootnoteText"/>
      </w:pPr>
      <w:r>
        <w:rPr>
          <w:rStyle w:val="FootnoteReference"/>
        </w:rPr>
        <w:footnoteRef/>
      </w:r>
      <w:r>
        <w:t xml:space="preserve"> </w:t>
      </w:r>
      <w:r w:rsidR="003A0700">
        <w:t>Langhorne, Shaun &amp; Lim, Debby</w:t>
      </w:r>
      <w:r w:rsidRPr="008C072D">
        <w:t xml:space="preserve">, Module </w:t>
      </w:r>
      <w:r w:rsidR="003A0700">
        <w:t>8E</w:t>
      </w:r>
      <w:r w:rsidRPr="008C072D">
        <w:t xml:space="preserve"> Guidance Text: </w:t>
      </w:r>
      <w:r w:rsidR="0079123E">
        <w:t>Singapore</w:t>
      </w:r>
      <w:r w:rsidRPr="008C072D">
        <w:t xml:space="preserve">, INSOL International (2021), p. </w:t>
      </w:r>
      <w:r w:rsidR="002E11A2">
        <w:t>36</w:t>
      </w:r>
      <w:r w:rsidRPr="008C072D">
        <w:t>.</w:t>
      </w:r>
    </w:p>
  </w:footnote>
  <w:footnote w:id="4">
    <w:p w14:paraId="5C57B115" w14:textId="4081D4BD" w:rsidR="00973967" w:rsidRPr="00973967" w:rsidRDefault="00973967">
      <w:pPr>
        <w:pStyle w:val="FootnoteText"/>
      </w:pPr>
      <w:r>
        <w:rPr>
          <w:rStyle w:val="FootnoteReference"/>
        </w:rPr>
        <w:footnoteRef/>
      </w:r>
      <w:r>
        <w:t xml:space="preserve"> </w:t>
      </w:r>
      <w:r w:rsidR="00CD3226">
        <w:rPr>
          <w:i/>
          <w:iCs/>
        </w:rPr>
        <w:t>Idem</w:t>
      </w:r>
      <w:r>
        <w:t xml:space="preserve">, p. </w:t>
      </w:r>
      <w:r w:rsidR="001558C7">
        <w:t>63.</w:t>
      </w:r>
    </w:p>
  </w:footnote>
  <w:footnote w:id="5">
    <w:p w14:paraId="4C3C2F7E" w14:textId="5472857B" w:rsidR="001558C7" w:rsidRPr="0069133D" w:rsidRDefault="001558C7">
      <w:pPr>
        <w:pStyle w:val="FootnoteText"/>
      </w:pPr>
      <w:r>
        <w:rPr>
          <w:rStyle w:val="FootnoteReference"/>
        </w:rPr>
        <w:footnoteRef/>
      </w:r>
      <w:r>
        <w:t xml:space="preserve"> </w:t>
      </w:r>
      <w:r w:rsidR="0069133D">
        <w:rPr>
          <w:i/>
          <w:iCs/>
        </w:rPr>
        <w:t>I</w:t>
      </w:r>
      <w:r w:rsidR="00CD3226">
        <w:rPr>
          <w:i/>
          <w:iCs/>
        </w:rPr>
        <w:t>dem</w:t>
      </w:r>
      <w:r w:rsidR="0069133D">
        <w:t>, p. 41.</w:t>
      </w:r>
    </w:p>
  </w:footnote>
  <w:footnote w:id="6">
    <w:p w14:paraId="1D834A12" w14:textId="15EDD546" w:rsidR="0069133D" w:rsidRPr="0069133D" w:rsidRDefault="0069133D">
      <w:pPr>
        <w:pStyle w:val="FootnoteText"/>
      </w:pPr>
      <w:r>
        <w:rPr>
          <w:rStyle w:val="FootnoteReference"/>
        </w:rPr>
        <w:footnoteRef/>
      </w:r>
      <w:r>
        <w:t xml:space="preserve"> </w:t>
      </w:r>
      <w:r>
        <w:rPr>
          <w:i/>
          <w:iCs/>
        </w:rPr>
        <w:t>I</w:t>
      </w:r>
      <w:r w:rsidR="00CD3226">
        <w:rPr>
          <w:i/>
          <w:iCs/>
        </w:rPr>
        <w:t>dem</w:t>
      </w:r>
      <w:r>
        <w:t xml:space="preserve">, p. </w:t>
      </w:r>
      <w:r w:rsidR="00304B7F">
        <w:t>62.</w:t>
      </w:r>
    </w:p>
  </w:footnote>
  <w:footnote w:id="7">
    <w:p w14:paraId="49E7F782" w14:textId="20A532B4" w:rsidR="00F6424B" w:rsidRDefault="00F6424B">
      <w:pPr>
        <w:pStyle w:val="FootnoteText"/>
      </w:pPr>
      <w:r>
        <w:rPr>
          <w:rStyle w:val="FootnoteReference"/>
        </w:rPr>
        <w:footnoteRef/>
      </w:r>
      <w:r>
        <w:t xml:space="preserve"> </w:t>
      </w:r>
      <w:r w:rsidR="00026D6A">
        <w:t>Insolvency, Restructuring and Dissolution</w:t>
      </w:r>
      <w:r w:rsidR="00EE18D4">
        <w:t xml:space="preserve"> Act</w:t>
      </w:r>
      <w:r w:rsidR="00026D6A">
        <w:t xml:space="preserve"> 2018</w:t>
      </w:r>
      <w:r w:rsidR="00EE18D4">
        <w:t>, s 276(1).</w:t>
      </w:r>
    </w:p>
  </w:footnote>
  <w:footnote w:id="8">
    <w:p w14:paraId="74DF4742" w14:textId="6B2D1874" w:rsidR="001861F9" w:rsidRPr="001861F9" w:rsidRDefault="001861F9">
      <w:pPr>
        <w:pStyle w:val="FootnoteText"/>
      </w:pPr>
      <w:r>
        <w:rPr>
          <w:rStyle w:val="FootnoteReference"/>
        </w:rPr>
        <w:footnoteRef/>
      </w:r>
      <w:r>
        <w:t xml:space="preserve"> </w:t>
      </w:r>
      <w:r>
        <w:rPr>
          <w:i/>
          <w:iCs/>
        </w:rPr>
        <w:t>Idem</w:t>
      </w:r>
      <w:r>
        <w:t>, s 276(3).</w:t>
      </w:r>
    </w:p>
  </w:footnote>
  <w:footnote w:id="9">
    <w:p w14:paraId="44BC1085" w14:textId="2862DC10" w:rsidR="00EE4651" w:rsidRPr="00EE4651" w:rsidRDefault="00EE4651">
      <w:pPr>
        <w:pStyle w:val="FootnoteText"/>
      </w:pPr>
      <w:r>
        <w:rPr>
          <w:rStyle w:val="FootnoteReference"/>
        </w:rPr>
        <w:footnoteRef/>
      </w:r>
      <w:r>
        <w:t xml:space="preserve"> </w:t>
      </w:r>
      <w:r>
        <w:rPr>
          <w:i/>
          <w:iCs/>
        </w:rPr>
        <w:t>Idem</w:t>
      </w:r>
      <w:r>
        <w:t>, s 277.</w:t>
      </w:r>
    </w:p>
  </w:footnote>
  <w:footnote w:id="10">
    <w:p w14:paraId="0474EB80" w14:textId="6069F1C2" w:rsidR="002B2885" w:rsidRPr="002B2885" w:rsidRDefault="002B2885">
      <w:pPr>
        <w:pStyle w:val="FootnoteText"/>
      </w:pPr>
      <w:r>
        <w:rPr>
          <w:rStyle w:val="FootnoteReference"/>
        </w:rPr>
        <w:footnoteRef/>
      </w:r>
      <w:r>
        <w:t xml:space="preserve"> </w:t>
      </w:r>
      <w:r>
        <w:rPr>
          <w:i/>
          <w:iCs/>
        </w:rPr>
        <w:t>Idem</w:t>
      </w:r>
      <w:r>
        <w:t>, s 279(2).</w:t>
      </w:r>
    </w:p>
  </w:footnote>
  <w:footnote w:id="11">
    <w:p w14:paraId="405A57F5" w14:textId="39E4DA16" w:rsidR="007A053A" w:rsidRPr="007A053A" w:rsidRDefault="007A053A">
      <w:pPr>
        <w:pStyle w:val="FootnoteText"/>
      </w:pPr>
      <w:r>
        <w:rPr>
          <w:rStyle w:val="FootnoteReference"/>
        </w:rPr>
        <w:footnoteRef/>
      </w:r>
      <w:r>
        <w:t xml:space="preserve"> </w:t>
      </w:r>
      <w:r>
        <w:rPr>
          <w:i/>
          <w:iCs/>
        </w:rPr>
        <w:t>Idem</w:t>
      </w:r>
      <w:r>
        <w:t>, s 276(4).</w:t>
      </w:r>
    </w:p>
  </w:footnote>
  <w:footnote w:id="12">
    <w:p w14:paraId="09E659EC" w14:textId="51D0A3E5" w:rsidR="00030273" w:rsidRPr="00030273" w:rsidRDefault="00030273">
      <w:pPr>
        <w:pStyle w:val="FootnoteText"/>
      </w:pPr>
      <w:r>
        <w:rPr>
          <w:rStyle w:val="FootnoteReference"/>
        </w:rPr>
        <w:footnoteRef/>
      </w:r>
      <w:r>
        <w:t xml:space="preserve"> </w:t>
      </w:r>
      <w:r>
        <w:rPr>
          <w:i/>
          <w:iCs/>
        </w:rPr>
        <w:t>Idem</w:t>
      </w:r>
      <w:r>
        <w:t>, s 280</w:t>
      </w:r>
      <w:r w:rsidR="008C4C76">
        <w:t>.</w:t>
      </w:r>
    </w:p>
  </w:footnote>
  <w:footnote w:id="13">
    <w:p w14:paraId="1E20F44F" w14:textId="1D410EA8" w:rsidR="00343A9F" w:rsidRPr="00343A9F" w:rsidRDefault="00343A9F">
      <w:pPr>
        <w:pStyle w:val="FootnoteText"/>
      </w:pPr>
      <w:r>
        <w:rPr>
          <w:rStyle w:val="FootnoteReference"/>
        </w:rPr>
        <w:footnoteRef/>
      </w:r>
      <w:r>
        <w:t xml:space="preserve"> </w:t>
      </w:r>
      <w:r>
        <w:rPr>
          <w:i/>
          <w:iCs/>
        </w:rPr>
        <w:t>Idem</w:t>
      </w:r>
      <w:r>
        <w:t>, s 281.</w:t>
      </w:r>
    </w:p>
  </w:footnote>
  <w:footnote w:id="14">
    <w:p w14:paraId="0BB0CE61" w14:textId="78D16B93" w:rsidR="0093005C" w:rsidRPr="0093005C" w:rsidRDefault="0093005C">
      <w:pPr>
        <w:pStyle w:val="FootnoteText"/>
      </w:pPr>
      <w:r>
        <w:rPr>
          <w:rStyle w:val="FootnoteReference"/>
        </w:rPr>
        <w:footnoteRef/>
      </w:r>
      <w:r>
        <w:t xml:space="preserve"> </w:t>
      </w:r>
      <w:r>
        <w:rPr>
          <w:i/>
          <w:iCs/>
        </w:rPr>
        <w:t>Idem</w:t>
      </w:r>
      <w:r>
        <w:t>, s 282(1).</w:t>
      </w:r>
    </w:p>
  </w:footnote>
  <w:footnote w:id="15">
    <w:p w14:paraId="064D6729" w14:textId="699CF22E" w:rsidR="002A23CE" w:rsidRPr="002A23CE" w:rsidRDefault="002A23CE">
      <w:pPr>
        <w:pStyle w:val="FootnoteText"/>
      </w:pPr>
      <w:r>
        <w:rPr>
          <w:rStyle w:val="FootnoteReference"/>
        </w:rPr>
        <w:footnoteRef/>
      </w:r>
      <w:r>
        <w:t xml:space="preserve"> </w:t>
      </w:r>
      <w:r>
        <w:rPr>
          <w:i/>
          <w:iCs/>
        </w:rPr>
        <w:t>Idem</w:t>
      </w:r>
      <w:r>
        <w:t>, s 283.</w:t>
      </w:r>
    </w:p>
  </w:footnote>
  <w:footnote w:id="16">
    <w:p w14:paraId="55EB529E" w14:textId="0BBEDBDE" w:rsidR="00F075D0" w:rsidRPr="00F075D0" w:rsidRDefault="00F075D0">
      <w:pPr>
        <w:pStyle w:val="FootnoteText"/>
      </w:pPr>
      <w:r>
        <w:rPr>
          <w:rStyle w:val="FootnoteReference"/>
        </w:rPr>
        <w:footnoteRef/>
      </w:r>
      <w:r>
        <w:t xml:space="preserve"> </w:t>
      </w:r>
      <w:r>
        <w:rPr>
          <w:i/>
          <w:iCs/>
        </w:rPr>
        <w:t>Idem</w:t>
      </w:r>
      <w:r>
        <w:t>, s 284.</w:t>
      </w:r>
    </w:p>
  </w:footnote>
  <w:footnote w:id="17">
    <w:p w14:paraId="4E99439B" w14:textId="2C590FC3" w:rsidR="00732946" w:rsidRPr="00732946" w:rsidRDefault="00732946">
      <w:pPr>
        <w:pStyle w:val="FootnoteText"/>
      </w:pPr>
      <w:r>
        <w:rPr>
          <w:rStyle w:val="FootnoteReference"/>
        </w:rPr>
        <w:footnoteRef/>
      </w:r>
      <w:r>
        <w:t xml:space="preserve"> </w:t>
      </w:r>
      <w:r>
        <w:rPr>
          <w:i/>
          <w:iCs/>
        </w:rPr>
        <w:t>Idem</w:t>
      </w:r>
      <w:r>
        <w:t>, s 286(1).</w:t>
      </w:r>
    </w:p>
  </w:footnote>
  <w:footnote w:id="18">
    <w:p w14:paraId="628F17B5" w14:textId="1C5E5103" w:rsidR="00950FC7" w:rsidRPr="00950FC7" w:rsidRDefault="00950FC7">
      <w:pPr>
        <w:pStyle w:val="FootnoteText"/>
      </w:pPr>
      <w:r>
        <w:rPr>
          <w:rStyle w:val="FootnoteReference"/>
        </w:rPr>
        <w:footnoteRef/>
      </w:r>
      <w:r>
        <w:t xml:space="preserve"> </w:t>
      </w:r>
      <w:r>
        <w:rPr>
          <w:i/>
          <w:iCs/>
        </w:rPr>
        <w:t>Idem</w:t>
      </w:r>
      <w:r>
        <w:t>, s 287.</w:t>
      </w:r>
    </w:p>
  </w:footnote>
  <w:footnote w:id="19">
    <w:p w14:paraId="5E211E92" w14:textId="6CBE72AE" w:rsidR="00241456" w:rsidRDefault="00241456">
      <w:pPr>
        <w:pStyle w:val="FootnoteText"/>
      </w:pPr>
      <w:r>
        <w:rPr>
          <w:rStyle w:val="FootnoteReference"/>
        </w:rPr>
        <w:footnoteRef/>
      </w:r>
      <w:r>
        <w:t xml:space="preserve"> Langhorne, Shaun &amp; Lim, Debby</w:t>
      </w:r>
      <w:r w:rsidRPr="008C072D">
        <w:t xml:space="preserve">, Module </w:t>
      </w:r>
      <w:r>
        <w:t>8E</w:t>
      </w:r>
      <w:r w:rsidRPr="008C072D">
        <w:t xml:space="preserve"> Guidance Text: </w:t>
      </w:r>
      <w:r>
        <w:t>Singapore</w:t>
      </w:r>
      <w:r w:rsidRPr="008C072D">
        <w:t xml:space="preserve">, INSOL International (2021), p. </w:t>
      </w:r>
      <w:r>
        <w:t>37</w:t>
      </w:r>
      <w:r w:rsidRPr="008C072D">
        <w:t>.</w:t>
      </w:r>
    </w:p>
  </w:footnote>
  <w:footnote w:id="20">
    <w:p w14:paraId="09AF537E" w14:textId="4D18432C" w:rsidR="00782358" w:rsidRDefault="00782358">
      <w:pPr>
        <w:pStyle w:val="FootnoteText"/>
      </w:pPr>
      <w:r>
        <w:rPr>
          <w:rStyle w:val="FootnoteReference"/>
        </w:rPr>
        <w:footnoteRef/>
      </w:r>
      <w:r>
        <w:t xml:space="preserve"> Insolvency, Restructuring and Dissolution Act 2018, s 225.</w:t>
      </w:r>
    </w:p>
  </w:footnote>
  <w:footnote w:id="21">
    <w:p w14:paraId="004558B5" w14:textId="64F06A5E" w:rsidR="007C3A7F" w:rsidRPr="007C3A7F" w:rsidRDefault="007C3A7F">
      <w:pPr>
        <w:pStyle w:val="FootnoteText"/>
      </w:pPr>
      <w:r>
        <w:rPr>
          <w:rStyle w:val="FootnoteReference"/>
        </w:rPr>
        <w:footnoteRef/>
      </w:r>
      <w:r>
        <w:t xml:space="preserve"> </w:t>
      </w:r>
      <w:r>
        <w:rPr>
          <w:i/>
          <w:iCs/>
        </w:rPr>
        <w:t>Ibid.</w:t>
      </w:r>
    </w:p>
  </w:footnote>
  <w:footnote w:id="22">
    <w:p w14:paraId="649E7AFE" w14:textId="5691B19B" w:rsidR="00E70CF4" w:rsidRPr="00E70CF4" w:rsidRDefault="00E70CF4">
      <w:pPr>
        <w:pStyle w:val="FootnoteText"/>
      </w:pPr>
      <w:r>
        <w:rPr>
          <w:rStyle w:val="FootnoteReference"/>
        </w:rPr>
        <w:footnoteRef/>
      </w:r>
      <w:r>
        <w:t xml:space="preserve"> </w:t>
      </w:r>
      <w:r>
        <w:rPr>
          <w:i/>
          <w:iCs/>
        </w:rPr>
        <w:t>Idem</w:t>
      </w:r>
      <w:r>
        <w:t>, s 224.</w:t>
      </w:r>
    </w:p>
  </w:footnote>
  <w:footnote w:id="23">
    <w:p w14:paraId="29561B48" w14:textId="54150633" w:rsidR="006233BF" w:rsidRPr="006233BF" w:rsidRDefault="006233BF">
      <w:pPr>
        <w:pStyle w:val="FootnoteText"/>
      </w:pPr>
      <w:r>
        <w:rPr>
          <w:rStyle w:val="FootnoteReference"/>
        </w:rPr>
        <w:footnoteRef/>
      </w:r>
      <w:r>
        <w:t xml:space="preserve"> </w:t>
      </w:r>
      <w:r>
        <w:rPr>
          <w:i/>
          <w:iCs/>
        </w:rPr>
        <w:t xml:space="preserve">Idem, </w:t>
      </w:r>
      <w:r>
        <w:t>s 239.</w:t>
      </w:r>
    </w:p>
  </w:footnote>
  <w:footnote w:id="24">
    <w:p w14:paraId="4DF9F56D" w14:textId="1BF6C985" w:rsidR="002B3227" w:rsidRDefault="002B3227">
      <w:pPr>
        <w:pStyle w:val="FootnoteText"/>
      </w:pPr>
      <w:r>
        <w:rPr>
          <w:rStyle w:val="FootnoteReference"/>
        </w:rPr>
        <w:footnoteRef/>
      </w:r>
      <w:r>
        <w:t xml:space="preserve"> </w:t>
      </w:r>
      <w:r w:rsidR="00431180">
        <w:t>Langhorne, Shaun &amp; Lim, Debby</w:t>
      </w:r>
      <w:r w:rsidR="00431180" w:rsidRPr="008C072D">
        <w:t xml:space="preserve">, Module </w:t>
      </w:r>
      <w:r w:rsidR="00431180">
        <w:t>8E</w:t>
      </w:r>
      <w:r w:rsidR="00431180" w:rsidRPr="008C072D">
        <w:t xml:space="preserve"> Guidance Text: </w:t>
      </w:r>
      <w:r w:rsidR="00431180">
        <w:t>Singapore</w:t>
      </w:r>
      <w:r w:rsidR="00431180" w:rsidRPr="008C072D">
        <w:t xml:space="preserve">, INSOL International (2021), p. </w:t>
      </w:r>
      <w:r w:rsidR="00431180">
        <w:t>63</w:t>
      </w:r>
      <w:r w:rsidR="00431180" w:rsidRPr="008C072D">
        <w:t>.</w:t>
      </w:r>
    </w:p>
  </w:footnote>
  <w:footnote w:id="25">
    <w:p w14:paraId="4BB84C0B" w14:textId="1FFD9613" w:rsidR="00DF5FD6" w:rsidRDefault="00DF5FD6">
      <w:pPr>
        <w:pStyle w:val="FootnoteText"/>
      </w:pPr>
      <w:r>
        <w:rPr>
          <w:rStyle w:val="FootnoteReference"/>
        </w:rPr>
        <w:footnoteRef/>
      </w:r>
      <w:r>
        <w:t xml:space="preserve"> Insolvency, Restructuring and Dissolution Act 2018, s 94(1).</w:t>
      </w:r>
    </w:p>
  </w:footnote>
  <w:footnote w:id="26">
    <w:p w14:paraId="03B4459A" w14:textId="3486CCB3" w:rsidR="009A197D" w:rsidRPr="009A197D" w:rsidRDefault="009A197D">
      <w:pPr>
        <w:pStyle w:val="FootnoteText"/>
      </w:pPr>
      <w:r>
        <w:rPr>
          <w:rStyle w:val="FootnoteReference"/>
        </w:rPr>
        <w:footnoteRef/>
      </w:r>
      <w:r>
        <w:t xml:space="preserve"> </w:t>
      </w:r>
      <w:r>
        <w:rPr>
          <w:i/>
          <w:iCs/>
        </w:rPr>
        <w:t>Idem</w:t>
      </w:r>
      <w:r>
        <w:t>, s 94(2).</w:t>
      </w:r>
    </w:p>
  </w:footnote>
  <w:footnote w:id="27">
    <w:p w14:paraId="11F90D84" w14:textId="3BE5F225" w:rsidR="005B12E1" w:rsidRPr="005B12E1" w:rsidRDefault="005B12E1">
      <w:pPr>
        <w:pStyle w:val="FootnoteText"/>
      </w:pPr>
      <w:r>
        <w:rPr>
          <w:rStyle w:val="FootnoteReference"/>
        </w:rPr>
        <w:footnoteRef/>
      </w:r>
      <w:r>
        <w:t xml:space="preserve"> </w:t>
      </w:r>
      <w:r>
        <w:rPr>
          <w:i/>
          <w:iCs/>
        </w:rPr>
        <w:t>Idem</w:t>
      </w:r>
      <w:r>
        <w:t>, s 94(3).</w:t>
      </w:r>
    </w:p>
  </w:footnote>
  <w:footnote w:id="28">
    <w:p w14:paraId="2E59CDDC" w14:textId="40F7060F" w:rsidR="009901D5" w:rsidRPr="009901D5" w:rsidRDefault="009901D5">
      <w:pPr>
        <w:pStyle w:val="FootnoteText"/>
      </w:pPr>
      <w:r>
        <w:rPr>
          <w:rStyle w:val="FootnoteReference"/>
        </w:rPr>
        <w:footnoteRef/>
      </w:r>
      <w:r>
        <w:t xml:space="preserve"> </w:t>
      </w:r>
      <w:r>
        <w:rPr>
          <w:i/>
          <w:iCs/>
        </w:rPr>
        <w:t xml:space="preserve">Idem¸ </w:t>
      </w:r>
      <w:r>
        <w:t>s 94(5).</w:t>
      </w:r>
    </w:p>
  </w:footnote>
  <w:footnote w:id="29">
    <w:p w14:paraId="415ED4A5" w14:textId="2692955E" w:rsidR="00E5460D" w:rsidRPr="00E5460D" w:rsidRDefault="00E5460D">
      <w:pPr>
        <w:pStyle w:val="FootnoteText"/>
      </w:pPr>
      <w:r>
        <w:rPr>
          <w:rStyle w:val="FootnoteReference"/>
        </w:rPr>
        <w:footnoteRef/>
      </w:r>
      <w:r>
        <w:t xml:space="preserve"> </w:t>
      </w:r>
      <w:r>
        <w:rPr>
          <w:i/>
          <w:iCs/>
        </w:rPr>
        <w:t>Idem</w:t>
      </w:r>
      <w:r>
        <w:t>, s 94(6).</w:t>
      </w:r>
    </w:p>
  </w:footnote>
  <w:footnote w:id="30">
    <w:p w14:paraId="2C8048C5" w14:textId="2ACDD42E" w:rsidR="006B78C3" w:rsidRPr="006B78C3" w:rsidRDefault="006B78C3">
      <w:pPr>
        <w:pStyle w:val="FootnoteText"/>
      </w:pPr>
      <w:r>
        <w:rPr>
          <w:rStyle w:val="FootnoteReference"/>
        </w:rPr>
        <w:footnoteRef/>
      </w:r>
      <w:r>
        <w:t xml:space="preserve"> </w:t>
      </w:r>
      <w:r>
        <w:rPr>
          <w:i/>
          <w:iCs/>
        </w:rPr>
        <w:t>Idem</w:t>
      </w:r>
      <w:r>
        <w:t>, s. 94(7).</w:t>
      </w:r>
    </w:p>
  </w:footnote>
  <w:footnote w:id="31">
    <w:p w14:paraId="182673FF" w14:textId="0A00D7C4" w:rsidR="00BF793A" w:rsidRPr="00BF793A" w:rsidRDefault="00BF793A">
      <w:pPr>
        <w:pStyle w:val="FootnoteText"/>
      </w:pPr>
      <w:r>
        <w:rPr>
          <w:rStyle w:val="FootnoteReference"/>
        </w:rPr>
        <w:footnoteRef/>
      </w:r>
      <w:r>
        <w:t xml:space="preserve"> </w:t>
      </w:r>
      <w:r>
        <w:rPr>
          <w:i/>
          <w:iCs/>
        </w:rPr>
        <w:t>Idem</w:t>
      </w:r>
      <w:r>
        <w:t>, s. 94(8).</w:t>
      </w:r>
    </w:p>
  </w:footnote>
  <w:footnote w:id="32">
    <w:p w14:paraId="73679151" w14:textId="18BA7D94" w:rsidR="00BD3EA8" w:rsidRPr="00BD3EA8" w:rsidRDefault="00BD3EA8">
      <w:pPr>
        <w:pStyle w:val="FootnoteText"/>
      </w:pPr>
      <w:r>
        <w:rPr>
          <w:rStyle w:val="FootnoteReference"/>
        </w:rPr>
        <w:footnoteRef/>
      </w:r>
      <w:r>
        <w:t xml:space="preserve"> </w:t>
      </w:r>
      <w:r>
        <w:rPr>
          <w:i/>
          <w:iCs/>
        </w:rPr>
        <w:t>Idem</w:t>
      </w:r>
      <w:r>
        <w:t>, s. 94(11).</w:t>
      </w:r>
    </w:p>
  </w:footnote>
  <w:footnote w:id="33">
    <w:p w14:paraId="2F453E37" w14:textId="2337997A" w:rsidR="00B01D1E" w:rsidRPr="00B01D1E" w:rsidRDefault="00B01D1E">
      <w:pPr>
        <w:pStyle w:val="FootnoteText"/>
      </w:pPr>
      <w:r>
        <w:rPr>
          <w:rStyle w:val="FootnoteReference"/>
        </w:rPr>
        <w:footnoteRef/>
      </w:r>
      <w:r>
        <w:t xml:space="preserve"> </w:t>
      </w:r>
      <w:r>
        <w:rPr>
          <w:i/>
          <w:iCs/>
        </w:rPr>
        <w:t>Idem</w:t>
      </w:r>
      <w:r>
        <w:t>, s. 91(1).</w:t>
      </w:r>
    </w:p>
  </w:footnote>
  <w:footnote w:id="34">
    <w:p w14:paraId="43F36D83" w14:textId="256CA99D" w:rsidR="004D2281" w:rsidRPr="004D2281" w:rsidRDefault="004D2281">
      <w:pPr>
        <w:pStyle w:val="FootnoteText"/>
      </w:pPr>
      <w:r>
        <w:rPr>
          <w:rStyle w:val="FootnoteReference"/>
        </w:rPr>
        <w:footnoteRef/>
      </w:r>
      <w:r>
        <w:t xml:space="preserve"> </w:t>
      </w:r>
      <w:r>
        <w:rPr>
          <w:i/>
          <w:iCs/>
        </w:rPr>
        <w:t>Idem</w:t>
      </w:r>
      <w:r>
        <w:t>, s. 91(3).</w:t>
      </w:r>
    </w:p>
  </w:footnote>
  <w:footnote w:id="35">
    <w:p w14:paraId="21569E46" w14:textId="20807303" w:rsidR="00EB0D8F" w:rsidRPr="00EB0D8F" w:rsidRDefault="00EB0D8F">
      <w:pPr>
        <w:pStyle w:val="FootnoteText"/>
      </w:pPr>
      <w:r>
        <w:rPr>
          <w:rStyle w:val="FootnoteReference"/>
        </w:rPr>
        <w:footnoteRef/>
      </w:r>
      <w:r>
        <w:t xml:space="preserve"> </w:t>
      </w:r>
      <w:r>
        <w:rPr>
          <w:i/>
          <w:iCs/>
        </w:rPr>
        <w:t>Idem</w:t>
      </w:r>
      <w:r>
        <w:t>, s. 95(1).</w:t>
      </w:r>
    </w:p>
  </w:footnote>
  <w:footnote w:id="36">
    <w:p w14:paraId="78EB4FCA" w14:textId="3DB1AB93" w:rsidR="007C2FF0" w:rsidRPr="007C2FF0" w:rsidRDefault="007C2FF0">
      <w:pPr>
        <w:pStyle w:val="FootnoteText"/>
      </w:pPr>
      <w:r>
        <w:rPr>
          <w:rStyle w:val="FootnoteReference"/>
        </w:rPr>
        <w:footnoteRef/>
      </w:r>
      <w:r>
        <w:t xml:space="preserve"> </w:t>
      </w:r>
      <w:r>
        <w:rPr>
          <w:i/>
          <w:iCs/>
        </w:rPr>
        <w:t>Idem</w:t>
      </w:r>
      <w:r>
        <w:t>, s 64(</w:t>
      </w:r>
      <w:r w:rsidR="00F84D0B">
        <w:t>4</w:t>
      </w:r>
      <w:r>
        <w:t>).</w:t>
      </w:r>
    </w:p>
  </w:footnote>
  <w:footnote w:id="37">
    <w:p w14:paraId="7105A44C" w14:textId="43C290E7" w:rsidR="00EF1E50" w:rsidRPr="00EF1E50" w:rsidRDefault="00EF1E50">
      <w:pPr>
        <w:pStyle w:val="FootnoteText"/>
      </w:pPr>
      <w:r>
        <w:rPr>
          <w:rStyle w:val="FootnoteReference"/>
        </w:rPr>
        <w:footnoteRef/>
      </w:r>
      <w:r>
        <w:t xml:space="preserve"> </w:t>
      </w:r>
      <w:r>
        <w:rPr>
          <w:i/>
          <w:iCs/>
        </w:rPr>
        <w:t>Idem</w:t>
      </w:r>
      <w:r>
        <w:t>, s 64(</w:t>
      </w:r>
      <w:r w:rsidR="0058460F">
        <w:t>14</w:t>
      </w:r>
      <w:r>
        <w:t>).</w:t>
      </w:r>
    </w:p>
  </w:footnote>
  <w:footnote w:id="38">
    <w:p w14:paraId="1261C1E8" w14:textId="04A172DB" w:rsidR="00BE684F" w:rsidRPr="00BE684F" w:rsidRDefault="00BE684F">
      <w:pPr>
        <w:pStyle w:val="FootnoteText"/>
      </w:pPr>
      <w:r>
        <w:rPr>
          <w:rStyle w:val="FootnoteReference"/>
        </w:rPr>
        <w:footnoteRef/>
      </w:r>
      <w:r>
        <w:t xml:space="preserve"> </w:t>
      </w:r>
      <w:r>
        <w:rPr>
          <w:i/>
          <w:iCs/>
        </w:rPr>
        <w:t xml:space="preserve">Idem, </w:t>
      </w:r>
      <w:r>
        <w:t>s 65(1).</w:t>
      </w:r>
    </w:p>
  </w:footnote>
  <w:footnote w:id="39">
    <w:p w14:paraId="61169CDD" w14:textId="0C028604" w:rsidR="008D1295" w:rsidRPr="008D1295" w:rsidRDefault="008D1295">
      <w:pPr>
        <w:pStyle w:val="FootnoteText"/>
      </w:pPr>
      <w:r>
        <w:rPr>
          <w:rStyle w:val="FootnoteReference"/>
        </w:rPr>
        <w:footnoteRef/>
      </w:r>
      <w:r>
        <w:t xml:space="preserve"> </w:t>
      </w:r>
      <w:r>
        <w:rPr>
          <w:i/>
          <w:iCs/>
        </w:rPr>
        <w:t>Idem</w:t>
      </w:r>
      <w:r>
        <w:t>, s 65(2).</w:t>
      </w:r>
    </w:p>
  </w:footnote>
  <w:footnote w:id="40">
    <w:p w14:paraId="4FF51A62" w14:textId="57DEDDD3" w:rsidR="009A7393" w:rsidRPr="009A7393" w:rsidRDefault="009A7393">
      <w:pPr>
        <w:pStyle w:val="FootnoteText"/>
      </w:pPr>
      <w:r>
        <w:rPr>
          <w:rStyle w:val="FootnoteReference"/>
        </w:rPr>
        <w:footnoteRef/>
      </w:r>
      <w:r>
        <w:t xml:space="preserve"> </w:t>
      </w:r>
      <w:r>
        <w:rPr>
          <w:i/>
          <w:iCs/>
        </w:rPr>
        <w:t>Idem</w:t>
      </w:r>
      <w:r>
        <w:t>, ss 64(5)(b) and 65(4)(b).</w:t>
      </w:r>
    </w:p>
  </w:footnote>
  <w:footnote w:id="41">
    <w:p w14:paraId="445D1DAD" w14:textId="232791F0" w:rsidR="001C59F9" w:rsidRDefault="001C59F9">
      <w:pPr>
        <w:pStyle w:val="FootnoteText"/>
      </w:pPr>
      <w:r>
        <w:rPr>
          <w:rStyle w:val="FootnoteReference"/>
        </w:rPr>
        <w:footnoteRef/>
      </w:r>
      <w:r>
        <w:t xml:space="preserve"> Companies Act 1967, s 210.</w:t>
      </w:r>
    </w:p>
  </w:footnote>
  <w:footnote w:id="42">
    <w:p w14:paraId="653C7872" w14:textId="75A22098" w:rsidR="00EE7CC6" w:rsidRPr="00EE7CC6" w:rsidRDefault="00EE7CC6">
      <w:pPr>
        <w:pStyle w:val="FootnoteText"/>
      </w:pPr>
      <w:r>
        <w:rPr>
          <w:rStyle w:val="FootnoteReference"/>
        </w:rPr>
        <w:footnoteRef/>
      </w:r>
      <w:r>
        <w:t xml:space="preserve"> </w:t>
      </w:r>
      <w:r>
        <w:rPr>
          <w:i/>
          <w:iCs/>
        </w:rPr>
        <w:t>Idem</w:t>
      </w:r>
      <w:r>
        <w:t>, s 210(3AB).</w:t>
      </w:r>
    </w:p>
  </w:footnote>
  <w:footnote w:id="43">
    <w:p w14:paraId="69D9B9C7" w14:textId="7AF90624" w:rsidR="00EE5284" w:rsidRPr="00EE5284" w:rsidRDefault="00EE5284">
      <w:pPr>
        <w:pStyle w:val="FootnoteText"/>
      </w:pPr>
      <w:r>
        <w:rPr>
          <w:rStyle w:val="FootnoteReference"/>
        </w:rPr>
        <w:footnoteRef/>
      </w:r>
      <w:r>
        <w:t xml:space="preserve"> </w:t>
      </w:r>
      <w:r>
        <w:rPr>
          <w:i/>
          <w:iCs/>
        </w:rPr>
        <w:t>Idem</w:t>
      </w:r>
      <w:r>
        <w:t>, s 210 (3AA).</w:t>
      </w:r>
    </w:p>
  </w:footnote>
  <w:footnote w:id="44">
    <w:p w14:paraId="495B33A6" w14:textId="27717ADB" w:rsidR="004C24D2" w:rsidRDefault="004C24D2">
      <w:pPr>
        <w:pStyle w:val="FootnoteText"/>
      </w:pPr>
      <w:r>
        <w:rPr>
          <w:rStyle w:val="FootnoteReference"/>
        </w:rPr>
        <w:footnoteRef/>
      </w:r>
      <w:r>
        <w:t xml:space="preserve"> Insolvency, Restructuring and Dissolution Act 2018, s 71(1).</w:t>
      </w:r>
    </w:p>
  </w:footnote>
  <w:footnote w:id="45">
    <w:p w14:paraId="0C2E13CA" w14:textId="2BA6D738" w:rsidR="009B5A92" w:rsidRPr="009B5A92" w:rsidRDefault="009B5A92">
      <w:pPr>
        <w:pStyle w:val="FootnoteText"/>
      </w:pPr>
      <w:r>
        <w:rPr>
          <w:rStyle w:val="FootnoteReference"/>
        </w:rPr>
        <w:footnoteRef/>
      </w:r>
      <w:r>
        <w:t xml:space="preserve"> </w:t>
      </w:r>
      <w:r>
        <w:rPr>
          <w:i/>
          <w:iCs/>
        </w:rPr>
        <w:t>Idem</w:t>
      </w:r>
      <w:r>
        <w:t>, s 71(2).</w:t>
      </w:r>
    </w:p>
  </w:footnote>
  <w:footnote w:id="46">
    <w:p w14:paraId="78A9F106" w14:textId="008AD31F" w:rsidR="000949C4" w:rsidRPr="000949C4" w:rsidRDefault="000949C4">
      <w:pPr>
        <w:pStyle w:val="FootnoteText"/>
      </w:pPr>
      <w:r>
        <w:rPr>
          <w:rStyle w:val="FootnoteReference"/>
        </w:rPr>
        <w:footnoteRef/>
      </w:r>
      <w:r>
        <w:t xml:space="preserve"> </w:t>
      </w:r>
      <w:r>
        <w:rPr>
          <w:i/>
          <w:iCs/>
        </w:rPr>
        <w:t xml:space="preserve">Idem, </w:t>
      </w:r>
      <w:r>
        <w:t>s 67(9).</w:t>
      </w:r>
    </w:p>
  </w:footnote>
  <w:footnote w:id="47">
    <w:p w14:paraId="6DE379F5" w14:textId="51CC4D8D" w:rsidR="001E4B23" w:rsidRPr="001E4B23" w:rsidRDefault="001E4B23">
      <w:pPr>
        <w:pStyle w:val="FootnoteText"/>
      </w:pPr>
      <w:r>
        <w:rPr>
          <w:rStyle w:val="FootnoteReference"/>
        </w:rPr>
        <w:footnoteRef/>
      </w:r>
      <w:r>
        <w:t xml:space="preserve"> </w:t>
      </w:r>
      <w:r>
        <w:rPr>
          <w:i/>
          <w:iCs/>
        </w:rPr>
        <w:t>Idem</w:t>
      </w:r>
      <w:r>
        <w:t>, Third Schedule Article 17</w:t>
      </w:r>
      <w:r w:rsidR="004C03FF">
        <w:t>(1)</w:t>
      </w:r>
      <w:r>
        <w:t>.</w:t>
      </w:r>
    </w:p>
  </w:footnote>
  <w:footnote w:id="48">
    <w:p w14:paraId="41E8AFAF" w14:textId="715AA6F9" w:rsidR="00EB5A92" w:rsidRPr="00EB5A92" w:rsidRDefault="00EB5A92">
      <w:pPr>
        <w:pStyle w:val="FootnoteText"/>
      </w:pPr>
      <w:r>
        <w:rPr>
          <w:rStyle w:val="FootnoteReference"/>
        </w:rPr>
        <w:footnoteRef/>
      </w:r>
      <w:r>
        <w:t xml:space="preserve"> </w:t>
      </w:r>
      <w:r>
        <w:rPr>
          <w:i/>
          <w:iCs/>
        </w:rPr>
        <w:t xml:space="preserve">Idem, </w:t>
      </w:r>
      <w:r>
        <w:t>Third Schedule Article 2(h).</w:t>
      </w:r>
    </w:p>
  </w:footnote>
  <w:footnote w:id="49">
    <w:p w14:paraId="3F209A78" w14:textId="492141C4" w:rsidR="00F973D0" w:rsidRPr="00F973D0" w:rsidRDefault="00F973D0">
      <w:pPr>
        <w:pStyle w:val="FootnoteText"/>
      </w:pPr>
      <w:r>
        <w:rPr>
          <w:rStyle w:val="FootnoteReference"/>
        </w:rPr>
        <w:footnoteRef/>
      </w:r>
      <w:r>
        <w:t xml:space="preserve"> </w:t>
      </w:r>
      <w:r>
        <w:rPr>
          <w:i/>
          <w:iCs/>
        </w:rPr>
        <w:t>Idem</w:t>
      </w:r>
      <w:r>
        <w:t>, Third Schedule Article 4(1).</w:t>
      </w:r>
    </w:p>
  </w:footnote>
  <w:footnote w:id="50">
    <w:p w14:paraId="08929112" w14:textId="7E828899" w:rsidR="00B33906" w:rsidRPr="00B33906" w:rsidRDefault="00B33906">
      <w:pPr>
        <w:pStyle w:val="FootnoteText"/>
      </w:pPr>
      <w:r>
        <w:rPr>
          <w:rStyle w:val="FootnoteReference"/>
        </w:rPr>
        <w:footnoteRef/>
      </w:r>
      <w:r>
        <w:t xml:space="preserve"> </w:t>
      </w:r>
      <w:r>
        <w:rPr>
          <w:i/>
          <w:iCs/>
        </w:rPr>
        <w:t>Idem</w:t>
      </w:r>
      <w:r>
        <w:t>, Third Schedule Article 2(f).</w:t>
      </w:r>
    </w:p>
  </w:footnote>
  <w:footnote w:id="51">
    <w:p w14:paraId="4DA9AD46" w14:textId="4563F9DF" w:rsidR="00465E1C" w:rsidRPr="00465E1C" w:rsidRDefault="00465E1C">
      <w:pPr>
        <w:pStyle w:val="FootnoteText"/>
      </w:pPr>
      <w:r>
        <w:rPr>
          <w:rStyle w:val="FootnoteReference"/>
        </w:rPr>
        <w:footnoteRef/>
      </w:r>
      <w:r>
        <w:t xml:space="preserve"> </w:t>
      </w:r>
      <w:r>
        <w:rPr>
          <w:i/>
          <w:iCs/>
        </w:rPr>
        <w:t>Idem</w:t>
      </w:r>
      <w:r>
        <w:t>, Third Schedule Article 20</w:t>
      </w:r>
      <w:r w:rsidR="004C03FF">
        <w:t>(1)</w:t>
      </w:r>
      <w:r>
        <w:t>.</w:t>
      </w:r>
    </w:p>
  </w:footnote>
  <w:footnote w:id="52">
    <w:p w14:paraId="11C647E3" w14:textId="20ABBB56" w:rsidR="006606A0" w:rsidRPr="006606A0" w:rsidRDefault="006606A0">
      <w:pPr>
        <w:pStyle w:val="FootnoteText"/>
      </w:pPr>
      <w:r>
        <w:rPr>
          <w:rStyle w:val="FootnoteReference"/>
        </w:rPr>
        <w:footnoteRef/>
      </w:r>
      <w:r>
        <w:t xml:space="preserve"> </w:t>
      </w:r>
      <w:r>
        <w:rPr>
          <w:i/>
          <w:iCs/>
        </w:rPr>
        <w:t>Idem</w:t>
      </w:r>
      <w:r>
        <w:t>, Third Schedule Article 2(g).</w:t>
      </w:r>
    </w:p>
  </w:footnote>
  <w:footnote w:id="53">
    <w:p w14:paraId="53F0CAB2" w14:textId="1417F3E4" w:rsidR="00DD1272" w:rsidRPr="00DD1272" w:rsidRDefault="00DD1272">
      <w:pPr>
        <w:pStyle w:val="FootnoteText"/>
      </w:pPr>
      <w:r>
        <w:rPr>
          <w:rStyle w:val="FootnoteReference"/>
        </w:rPr>
        <w:footnoteRef/>
      </w:r>
      <w:r>
        <w:t xml:space="preserve"> </w:t>
      </w:r>
      <w:r>
        <w:rPr>
          <w:i/>
          <w:iCs/>
        </w:rPr>
        <w:t>Idem</w:t>
      </w:r>
      <w:r>
        <w:t>, Third Schedule Article 21(1).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2BCE"/>
    <w:multiLevelType w:val="hybridMultilevel"/>
    <w:tmpl w:val="D72E9692"/>
    <w:lvl w:ilvl="0" w:tplc="B4245FCE">
      <w:start w:val="1"/>
      <w:numFmt w:val="lowerLetter"/>
      <w:lvlText w:val="%1)"/>
      <w:lvlJc w:val="left"/>
      <w:pPr>
        <w:ind w:left="720" w:hanging="360"/>
      </w:pPr>
      <w:rPr>
        <w:rFonts w:hint="default"/>
        <w:color w:val="7B7B7B" w:themeColor="accent3" w:themeShade="BF"/>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747588A"/>
    <w:multiLevelType w:val="hybridMultilevel"/>
    <w:tmpl w:val="2C484F0E"/>
    <w:lvl w:ilvl="0" w:tplc="65201B7E">
      <w:start w:val="1"/>
      <w:numFmt w:val="lowerLetter"/>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05E205D"/>
    <w:multiLevelType w:val="hybridMultilevel"/>
    <w:tmpl w:val="D634030E"/>
    <w:lvl w:ilvl="0" w:tplc="0C54309A">
      <w:start w:val="1"/>
      <w:numFmt w:val="decimal"/>
      <w:lvlText w:val="%1."/>
      <w:lvlJc w:val="left"/>
      <w:pPr>
        <w:ind w:left="720" w:hanging="360"/>
      </w:pPr>
      <w:rPr>
        <w:rFonts w:hint="default"/>
        <w:color w:val="7B7B7B" w:themeColor="accent3" w:themeShade="BF"/>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3AD06A2"/>
    <w:multiLevelType w:val="hybridMultilevel"/>
    <w:tmpl w:val="0FC43CEE"/>
    <w:lvl w:ilvl="0" w:tplc="EDE62C40">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C15DE3"/>
    <w:multiLevelType w:val="hybridMultilevel"/>
    <w:tmpl w:val="1910F93A"/>
    <w:lvl w:ilvl="0" w:tplc="B82E6806">
      <w:start w:val="1"/>
      <w:numFmt w:val="decimal"/>
      <w:lvlText w:val="%1."/>
      <w:lvlJc w:val="left"/>
      <w:pPr>
        <w:ind w:left="720" w:hanging="360"/>
      </w:pPr>
      <w:rPr>
        <w:rFonts w:hint="default"/>
        <w:color w:val="7B7B7B" w:themeColor="accent3" w:themeShade="BF"/>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6767377"/>
    <w:multiLevelType w:val="hybridMultilevel"/>
    <w:tmpl w:val="760AFC20"/>
    <w:lvl w:ilvl="0" w:tplc="355C8B46">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8"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9" w15:restartNumberingAfterBreak="0">
    <w:nsid w:val="29167D35"/>
    <w:multiLevelType w:val="hybridMultilevel"/>
    <w:tmpl w:val="4928F9DC"/>
    <w:lvl w:ilvl="0" w:tplc="A94C349A">
      <w:start w:val="1"/>
      <w:numFmt w:val="lowerLetter"/>
      <w:lvlText w:val="%1)"/>
      <w:lvlJc w:val="left"/>
      <w:pPr>
        <w:ind w:left="720" w:hanging="360"/>
      </w:pPr>
      <w:rPr>
        <w:rFonts w:hint="default"/>
        <w:color w:val="7B7B7B" w:themeColor="accent3" w:themeShade="BF"/>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11" w15:restartNumberingAfterBreak="0">
    <w:nsid w:val="2D4B5170"/>
    <w:multiLevelType w:val="hybridMultilevel"/>
    <w:tmpl w:val="EEFCF6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FE3408"/>
    <w:multiLevelType w:val="hybridMultilevel"/>
    <w:tmpl w:val="96E66F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4205C8"/>
    <w:multiLevelType w:val="hybridMultilevel"/>
    <w:tmpl w:val="91EC6FE0"/>
    <w:lvl w:ilvl="0" w:tplc="B4CA61C0">
      <w:start w:val="1"/>
      <w:numFmt w:val="lowerLetter"/>
      <w:lvlText w:val="%1)"/>
      <w:lvlJc w:val="left"/>
      <w:pPr>
        <w:ind w:left="720" w:hanging="360"/>
      </w:pPr>
      <w:rPr>
        <w:rFonts w:hint="default"/>
        <w:color w:val="7B7B7B" w:themeColor="accent3" w:themeShade="BF"/>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32D777C"/>
    <w:multiLevelType w:val="hybridMultilevel"/>
    <w:tmpl w:val="8CB2F2B8"/>
    <w:lvl w:ilvl="0" w:tplc="089E0E8C">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429426A"/>
    <w:multiLevelType w:val="hybridMultilevel"/>
    <w:tmpl w:val="496C21A8"/>
    <w:lvl w:ilvl="0" w:tplc="49A0FFDC">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18"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1A77AA"/>
    <w:multiLevelType w:val="hybridMultilevel"/>
    <w:tmpl w:val="739EDD96"/>
    <w:lvl w:ilvl="0" w:tplc="C950975E">
      <w:start w:val="1"/>
      <w:numFmt w:val="lowerLetter"/>
      <w:lvlText w:val="%1)"/>
      <w:lvlJc w:val="left"/>
      <w:pPr>
        <w:ind w:left="720" w:hanging="360"/>
      </w:pPr>
      <w:rPr>
        <w:rFonts w:hint="default"/>
        <w:color w:val="7B7B7B" w:themeColor="accent3" w:themeShade="BF"/>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91E675A"/>
    <w:multiLevelType w:val="hybridMultilevel"/>
    <w:tmpl w:val="C0F2AF36"/>
    <w:lvl w:ilvl="0" w:tplc="462C92DE">
      <w:start w:val="1"/>
      <w:numFmt w:val="lowerLetter"/>
      <w:lvlText w:val="%1)"/>
      <w:lvlJc w:val="left"/>
      <w:pPr>
        <w:ind w:left="720" w:hanging="360"/>
      </w:pPr>
      <w:rPr>
        <w:rFonts w:hint="default"/>
        <w:color w:val="7B7B7B" w:themeColor="accent3" w:themeShade="BF"/>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7A4A86"/>
    <w:multiLevelType w:val="hybridMultilevel"/>
    <w:tmpl w:val="3EC8070A"/>
    <w:lvl w:ilvl="0" w:tplc="690203BA">
      <w:start w:val="1"/>
      <w:numFmt w:val="lowerLetter"/>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56967B6C"/>
    <w:multiLevelType w:val="hybridMultilevel"/>
    <w:tmpl w:val="2802379C"/>
    <w:lvl w:ilvl="0" w:tplc="DA86C326">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5850422F"/>
    <w:multiLevelType w:val="hybridMultilevel"/>
    <w:tmpl w:val="CFBA8CDA"/>
    <w:lvl w:ilvl="0" w:tplc="D3F4C624">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59776255"/>
    <w:multiLevelType w:val="hybridMultilevel"/>
    <w:tmpl w:val="53F6647E"/>
    <w:lvl w:ilvl="0" w:tplc="BD0CF14A">
      <w:start w:val="1"/>
      <w:numFmt w:val="lowerLetter"/>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63CE3182"/>
    <w:multiLevelType w:val="hybridMultilevel"/>
    <w:tmpl w:val="CF021BFA"/>
    <w:lvl w:ilvl="0" w:tplc="82E8653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3D4196"/>
    <w:multiLevelType w:val="hybridMultilevel"/>
    <w:tmpl w:val="148453DA"/>
    <w:lvl w:ilvl="0" w:tplc="341C9776">
      <w:start w:val="1"/>
      <w:numFmt w:val="decimal"/>
      <w:lvlText w:val="%1."/>
      <w:lvlJc w:val="left"/>
      <w:pPr>
        <w:ind w:left="720" w:hanging="360"/>
      </w:pPr>
      <w:rPr>
        <w:rFonts w:hint="default"/>
        <w:color w:val="7B7B7B" w:themeColor="accent3" w:themeShade="BF"/>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E340755"/>
    <w:multiLevelType w:val="hybridMultilevel"/>
    <w:tmpl w:val="12022C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1A7B84"/>
    <w:multiLevelType w:val="hybridMultilevel"/>
    <w:tmpl w:val="7E74AA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FC7B38"/>
    <w:multiLevelType w:val="hybridMultilevel"/>
    <w:tmpl w:val="2E8E5092"/>
    <w:lvl w:ilvl="0" w:tplc="05E21CC6">
      <w:start w:val="1"/>
      <w:numFmt w:val="lowerLetter"/>
      <w:lvlText w:val="%1)"/>
      <w:lvlJc w:val="left"/>
      <w:pPr>
        <w:ind w:left="720" w:hanging="360"/>
      </w:pPr>
      <w:rPr>
        <w:rFonts w:hint="default"/>
        <w:color w:val="7B7B7B" w:themeColor="accent3" w:themeShade="BF"/>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786F065D"/>
    <w:multiLevelType w:val="hybridMultilevel"/>
    <w:tmpl w:val="BC463C84"/>
    <w:lvl w:ilvl="0" w:tplc="383A979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78EF3428"/>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8D6CAD"/>
    <w:multiLevelType w:val="hybridMultilevel"/>
    <w:tmpl w:val="94C4CC94"/>
    <w:lvl w:ilvl="0" w:tplc="F500BEA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7A2830F3"/>
    <w:multiLevelType w:val="hybridMultilevel"/>
    <w:tmpl w:val="770A16CA"/>
    <w:lvl w:ilvl="0" w:tplc="51F81F6A">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7D02022F"/>
    <w:multiLevelType w:val="hybridMultilevel"/>
    <w:tmpl w:val="06C278B2"/>
    <w:lvl w:ilvl="0" w:tplc="54EEB27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16cid:durableId="1690523961">
    <w:abstractNumId w:val="10"/>
  </w:num>
  <w:num w:numId="2" w16cid:durableId="1622613236">
    <w:abstractNumId w:val="8"/>
  </w:num>
  <w:num w:numId="3" w16cid:durableId="1850874494">
    <w:abstractNumId w:val="17"/>
  </w:num>
  <w:num w:numId="4" w16cid:durableId="732889832">
    <w:abstractNumId w:val="4"/>
  </w:num>
  <w:num w:numId="5" w16cid:durableId="953051482">
    <w:abstractNumId w:val="18"/>
  </w:num>
  <w:num w:numId="6" w16cid:durableId="1914505339">
    <w:abstractNumId w:val="40"/>
  </w:num>
  <w:num w:numId="7" w16cid:durableId="2130511807">
    <w:abstractNumId w:val="7"/>
  </w:num>
  <w:num w:numId="8" w16cid:durableId="1263300738">
    <w:abstractNumId w:val="31"/>
  </w:num>
  <w:num w:numId="9" w16cid:durableId="398870775">
    <w:abstractNumId w:val="33"/>
  </w:num>
  <w:num w:numId="10" w16cid:durableId="1153793627">
    <w:abstractNumId w:val="16"/>
  </w:num>
  <w:num w:numId="11" w16cid:durableId="955527592">
    <w:abstractNumId w:val="28"/>
  </w:num>
  <w:num w:numId="12" w16cid:durableId="766929599">
    <w:abstractNumId w:val="19"/>
  </w:num>
  <w:num w:numId="13" w16cid:durableId="1565942745">
    <w:abstractNumId w:val="22"/>
  </w:num>
  <w:num w:numId="14" w16cid:durableId="1729836419">
    <w:abstractNumId w:val="36"/>
  </w:num>
  <w:num w:numId="15" w16cid:durableId="948855659">
    <w:abstractNumId w:val="12"/>
  </w:num>
  <w:num w:numId="16" w16cid:durableId="1503817666">
    <w:abstractNumId w:val="11"/>
  </w:num>
  <w:num w:numId="17" w16cid:durableId="1816868146">
    <w:abstractNumId w:val="30"/>
  </w:num>
  <w:num w:numId="18" w16cid:durableId="1505971601">
    <w:abstractNumId w:val="32"/>
  </w:num>
  <w:num w:numId="19" w16cid:durableId="639575982">
    <w:abstractNumId w:val="2"/>
  </w:num>
  <w:num w:numId="20" w16cid:durableId="475150704">
    <w:abstractNumId w:val="27"/>
  </w:num>
  <w:num w:numId="21" w16cid:durableId="625040976">
    <w:abstractNumId w:val="5"/>
  </w:num>
  <w:num w:numId="22" w16cid:durableId="604462513">
    <w:abstractNumId w:val="39"/>
  </w:num>
  <w:num w:numId="23" w16cid:durableId="1735620208">
    <w:abstractNumId w:val="34"/>
  </w:num>
  <w:num w:numId="24" w16cid:durableId="586769946">
    <w:abstractNumId w:val="23"/>
  </w:num>
  <w:num w:numId="25" w16cid:durableId="1739865932">
    <w:abstractNumId w:val="29"/>
  </w:num>
  <w:num w:numId="26" w16cid:durableId="1231506250">
    <w:abstractNumId w:val="35"/>
  </w:num>
  <w:num w:numId="27" w16cid:durableId="2008941931">
    <w:abstractNumId w:val="14"/>
  </w:num>
  <w:num w:numId="28" w16cid:durableId="932906208">
    <w:abstractNumId w:val="38"/>
  </w:num>
  <w:num w:numId="29" w16cid:durableId="1992514795">
    <w:abstractNumId w:val="24"/>
  </w:num>
  <w:num w:numId="30" w16cid:durableId="991254996">
    <w:abstractNumId w:val="9"/>
  </w:num>
  <w:num w:numId="31" w16cid:durableId="127212496">
    <w:abstractNumId w:val="1"/>
  </w:num>
  <w:num w:numId="32" w16cid:durableId="322661429">
    <w:abstractNumId w:val="25"/>
  </w:num>
  <w:num w:numId="33" w16cid:durableId="2077779241">
    <w:abstractNumId w:val="21"/>
  </w:num>
  <w:num w:numId="34" w16cid:durableId="1688366380">
    <w:abstractNumId w:val="3"/>
  </w:num>
  <w:num w:numId="35" w16cid:durableId="1747602916">
    <w:abstractNumId w:val="20"/>
  </w:num>
  <w:num w:numId="36" w16cid:durableId="1053040477">
    <w:abstractNumId w:val="26"/>
  </w:num>
  <w:num w:numId="37" w16cid:durableId="1211695159">
    <w:abstractNumId w:val="0"/>
  </w:num>
  <w:num w:numId="38" w16cid:durableId="1312559861">
    <w:abstractNumId w:val="37"/>
  </w:num>
  <w:num w:numId="39" w16cid:durableId="1587835560">
    <w:abstractNumId w:val="13"/>
  </w:num>
  <w:num w:numId="40" w16cid:durableId="682361382">
    <w:abstractNumId w:val="6"/>
  </w:num>
  <w:num w:numId="41" w16cid:durableId="88880185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774"/>
    <w:rsid w:val="000036E5"/>
    <w:rsid w:val="00010BA0"/>
    <w:rsid w:val="00012273"/>
    <w:rsid w:val="00015FF5"/>
    <w:rsid w:val="00020557"/>
    <w:rsid w:val="000214ED"/>
    <w:rsid w:val="00021FC2"/>
    <w:rsid w:val="000227B3"/>
    <w:rsid w:val="000232A1"/>
    <w:rsid w:val="000245B9"/>
    <w:rsid w:val="000250C7"/>
    <w:rsid w:val="00026D6A"/>
    <w:rsid w:val="00026F16"/>
    <w:rsid w:val="00030273"/>
    <w:rsid w:val="00033C8E"/>
    <w:rsid w:val="00037621"/>
    <w:rsid w:val="0004200C"/>
    <w:rsid w:val="00044264"/>
    <w:rsid w:val="00044D46"/>
    <w:rsid w:val="00045088"/>
    <w:rsid w:val="00045904"/>
    <w:rsid w:val="00046211"/>
    <w:rsid w:val="000502FD"/>
    <w:rsid w:val="00051719"/>
    <w:rsid w:val="00052B3C"/>
    <w:rsid w:val="00054C29"/>
    <w:rsid w:val="00062F53"/>
    <w:rsid w:val="00065166"/>
    <w:rsid w:val="00067A22"/>
    <w:rsid w:val="0007291B"/>
    <w:rsid w:val="00082609"/>
    <w:rsid w:val="000851CC"/>
    <w:rsid w:val="00087F21"/>
    <w:rsid w:val="00093BE8"/>
    <w:rsid w:val="000949C4"/>
    <w:rsid w:val="000A1EAE"/>
    <w:rsid w:val="000A407B"/>
    <w:rsid w:val="000A68ED"/>
    <w:rsid w:val="000B4074"/>
    <w:rsid w:val="000B5FF1"/>
    <w:rsid w:val="000B609F"/>
    <w:rsid w:val="000B7DA7"/>
    <w:rsid w:val="000C257D"/>
    <w:rsid w:val="000C287C"/>
    <w:rsid w:val="000D2BEC"/>
    <w:rsid w:val="000D55A8"/>
    <w:rsid w:val="000E0D36"/>
    <w:rsid w:val="000E1246"/>
    <w:rsid w:val="000E25BA"/>
    <w:rsid w:val="000E4841"/>
    <w:rsid w:val="000E5ABB"/>
    <w:rsid w:val="000E63B1"/>
    <w:rsid w:val="000F0B79"/>
    <w:rsid w:val="000F0CF2"/>
    <w:rsid w:val="000F1677"/>
    <w:rsid w:val="000F3D6C"/>
    <w:rsid w:val="000F3F11"/>
    <w:rsid w:val="00101707"/>
    <w:rsid w:val="00102CC9"/>
    <w:rsid w:val="0010593A"/>
    <w:rsid w:val="00106791"/>
    <w:rsid w:val="0011473D"/>
    <w:rsid w:val="00115C85"/>
    <w:rsid w:val="00121168"/>
    <w:rsid w:val="00121DF6"/>
    <w:rsid w:val="00123855"/>
    <w:rsid w:val="00124340"/>
    <w:rsid w:val="00124A1B"/>
    <w:rsid w:val="00126A4D"/>
    <w:rsid w:val="0013379E"/>
    <w:rsid w:val="0014171F"/>
    <w:rsid w:val="0014609B"/>
    <w:rsid w:val="0014622C"/>
    <w:rsid w:val="00151F58"/>
    <w:rsid w:val="00152348"/>
    <w:rsid w:val="00152FD4"/>
    <w:rsid w:val="0015456D"/>
    <w:rsid w:val="001558C7"/>
    <w:rsid w:val="00155FA2"/>
    <w:rsid w:val="001600E5"/>
    <w:rsid w:val="00161F1B"/>
    <w:rsid w:val="00162829"/>
    <w:rsid w:val="0016368E"/>
    <w:rsid w:val="00166A82"/>
    <w:rsid w:val="00170EF8"/>
    <w:rsid w:val="00176785"/>
    <w:rsid w:val="00180548"/>
    <w:rsid w:val="00180AC4"/>
    <w:rsid w:val="00180CCE"/>
    <w:rsid w:val="00181A91"/>
    <w:rsid w:val="0018267A"/>
    <w:rsid w:val="00182779"/>
    <w:rsid w:val="001830DF"/>
    <w:rsid w:val="00183ADA"/>
    <w:rsid w:val="001861F9"/>
    <w:rsid w:val="00190A1D"/>
    <w:rsid w:val="00191A78"/>
    <w:rsid w:val="001957E8"/>
    <w:rsid w:val="00195E02"/>
    <w:rsid w:val="001966D9"/>
    <w:rsid w:val="001A007A"/>
    <w:rsid w:val="001A4484"/>
    <w:rsid w:val="001A5AC2"/>
    <w:rsid w:val="001A718D"/>
    <w:rsid w:val="001A7E9A"/>
    <w:rsid w:val="001B0F70"/>
    <w:rsid w:val="001B5016"/>
    <w:rsid w:val="001B73FB"/>
    <w:rsid w:val="001C45FC"/>
    <w:rsid w:val="001C59F9"/>
    <w:rsid w:val="001D0469"/>
    <w:rsid w:val="001D270B"/>
    <w:rsid w:val="001D29C0"/>
    <w:rsid w:val="001D4862"/>
    <w:rsid w:val="001E25B9"/>
    <w:rsid w:val="001E3B0B"/>
    <w:rsid w:val="001E49E0"/>
    <w:rsid w:val="001E4B23"/>
    <w:rsid w:val="001E5DB8"/>
    <w:rsid w:val="001E7B5A"/>
    <w:rsid w:val="001E7E25"/>
    <w:rsid w:val="001F736D"/>
    <w:rsid w:val="001F7412"/>
    <w:rsid w:val="0020090A"/>
    <w:rsid w:val="00202DFE"/>
    <w:rsid w:val="0020725B"/>
    <w:rsid w:val="002110F1"/>
    <w:rsid w:val="002208D9"/>
    <w:rsid w:val="00223CAE"/>
    <w:rsid w:val="002311E3"/>
    <w:rsid w:val="002356EA"/>
    <w:rsid w:val="00235D7D"/>
    <w:rsid w:val="00240455"/>
    <w:rsid w:val="00240B0E"/>
    <w:rsid w:val="0024116D"/>
    <w:rsid w:val="00241456"/>
    <w:rsid w:val="00241B44"/>
    <w:rsid w:val="00241FA3"/>
    <w:rsid w:val="00245EFB"/>
    <w:rsid w:val="0024716F"/>
    <w:rsid w:val="00247AFA"/>
    <w:rsid w:val="00252DCF"/>
    <w:rsid w:val="0025386E"/>
    <w:rsid w:val="00255890"/>
    <w:rsid w:val="002559EB"/>
    <w:rsid w:val="00262940"/>
    <w:rsid w:val="002638B0"/>
    <w:rsid w:val="002655AB"/>
    <w:rsid w:val="0026647A"/>
    <w:rsid w:val="002668D3"/>
    <w:rsid w:val="0027299F"/>
    <w:rsid w:val="00284EBE"/>
    <w:rsid w:val="002903A7"/>
    <w:rsid w:val="00293860"/>
    <w:rsid w:val="0029433F"/>
    <w:rsid w:val="00294829"/>
    <w:rsid w:val="002956F7"/>
    <w:rsid w:val="0029690F"/>
    <w:rsid w:val="00297C8A"/>
    <w:rsid w:val="002A23CE"/>
    <w:rsid w:val="002A2A60"/>
    <w:rsid w:val="002A37BB"/>
    <w:rsid w:val="002B1C45"/>
    <w:rsid w:val="002B20CB"/>
    <w:rsid w:val="002B2885"/>
    <w:rsid w:val="002B2F9F"/>
    <w:rsid w:val="002B3227"/>
    <w:rsid w:val="002C13C8"/>
    <w:rsid w:val="002C3547"/>
    <w:rsid w:val="002C72F3"/>
    <w:rsid w:val="002D0021"/>
    <w:rsid w:val="002D0C55"/>
    <w:rsid w:val="002D299D"/>
    <w:rsid w:val="002D3473"/>
    <w:rsid w:val="002E11A2"/>
    <w:rsid w:val="002E38E2"/>
    <w:rsid w:val="002F1956"/>
    <w:rsid w:val="002F3440"/>
    <w:rsid w:val="002F75A3"/>
    <w:rsid w:val="002F7D0F"/>
    <w:rsid w:val="00303C2F"/>
    <w:rsid w:val="00304B7F"/>
    <w:rsid w:val="003144EF"/>
    <w:rsid w:val="00323BF3"/>
    <w:rsid w:val="00326292"/>
    <w:rsid w:val="00326415"/>
    <w:rsid w:val="00330937"/>
    <w:rsid w:val="00330F31"/>
    <w:rsid w:val="00334648"/>
    <w:rsid w:val="0033768C"/>
    <w:rsid w:val="00337938"/>
    <w:rsid w:val="00340769"/>
    <w:rsid w:val="00341AA6"/>
    <w:rsid w:val="00342A74"/>
    <w:rsid w:val="00343A9F"/>
    <w:rsid w:val="003541EB"/>
    <w:rsid w:val="00361A0A"/>
    <w:rsid w:val="00361BAA"/>
    <w:rsid w:val="00364836"/>
    <w:rsid w:val="0036565C"/>
    <w:rsid w:val="0036625E"/>
    <w:rsid w:val="0037465A"/>
    <w:rsid w:val="00376303"/>
    <w:rsid w:val="00380BAB"/>
    <w:rsid w:val="0038240C"/>
    <w:rsid w:val="00382C98"/>
    <w:rsid w:val="00384F62"/>
    <w:rsid w:val="0038533C"/>
    <w:rsid w:val="00386568"/>
    <w:rsid w:val="00390B57"/>
    <w:rsid w:val="00391426"/>
    <w:rsid w:val="003948D5"/>
    <w:rsid w:val="00396821"/>
    <w:rsid w:val="00397D3A"/>
    <w:rsid w:val="003A051E"/>
    <w:rsid w:val="003A0700"/>
    <w:rsid w:val="003B10A7"/>
    <w:rsid w:val="003B170F"/>
    <w:rsid w:val="003B3C5F"/>
    <w:rsid w:val="003B6014"/>
    <w:rsid w:val="003C4471"/>
    <w:rsid w:val="003D0295"/>
    <w:rsid w:val="003D0A6D"/>
    <w:rsid w:val="003D1EF3"/>
    <w:rsid w:val="003D5146"/>
    <w:rsid w:val="003D6D38"/>
    <w:rsid w:val="003D70A7"/>
    <w:rsid w:val="003E0B16"/>
    <w:rsid w:val="003E22E2"/>
    <w:rsid w:val="003E67D1"/>
    <w:rsid w:val="003F6783"/>
    <w:rsid w:val="00404329"/>
    <w:rsid w:val="00405DC1"/>
    <w:rsid w:val="00406AE7"/>
    <w:rsid w:val="00412784"/>
    <w:rsid w:val="00415F1F"/>
    <w:rsid w:val="00416B96"/>
    <w:rsid w:val="0042108F"/>
    <w:rsid w:val="00430C5C"/>
    <w:rsid w:val="00430FED"/>
    <w:rsid w:val="00431180"/>
    <w:rsid w:val="00434A8C"/>
    <w:rsid w:val="00437297"/>
    <w:rsid w:val="00441715"/>
    <w:rsid w:val="00444284"/>
    <w:rsid w:val="00445CE6"/>
    <w:rsid w:val="004534C2"/>
    <w:rsid w:val="0045446F"/>
    <w:rsid w:val="0045683E"/>
    <w:rsid w:val="00464ED2"/>
    <w:rsid w:val="00465497"/>
    <w:rsid w:val="0046555A"/>
    <w:rsid w:val="00465E1C"/>
    <w:rsid w:val="00476830"/>
    <w:rsid w:val="00477C72"/>
    <w:rsid w:val="00483BC6"/>
    <w:rsid w:val="00487277"/>
    <w:rsid w:val="00491675"/>
    <w:rsid w:val="00493855"/>
    <w:rsid w:val="00494E28"/>
    <w:rsid w:val="00495E79"/>
    <w:rsid w:val="004A2D83"/>
    <w:rsid w:val="004A57DD"/>
    <w:rsid w:val="004A7B51"/>
    <w:rsid w:val="004A7D71"/>
    <w:rsid w:val="004A7EF3"/>
    <w:rsid w:val="004B11FD"/>
    <w:rsid w:val="004B23A2"/>
    <w:rsid w:val="004B7DD8"/>
    <w:rsid w:val="004C03FF"/>
    <w:rsid w:val="004C24D2"/>
    <w:rsid w:val="004C294D"/>
    <w:rsid w:val="004D0D8B"/>
    <w:rsid w:val="004D1A5A"/>
    <w:rsid w:val="004D2281"/>
    <w:rsid w:val="004D2FFF"/>
    <w:rsid w:val="004D363D"/>
    <w:rsid w:val="004D3721"/>
    <w:rsid w:val="004D64F9"/>
    <w:rsid w:val="004D7749"/>
    <w:rsid w:val="004E2E8E"/>
    <w:rsid w:val="004E30B0"/>
    <w:rsid w:val="004E3A6B"/>
    <w:rsid w:val="004E622C"/>
    <w:rsid w:val="004E6D1C"/>
    <w:rsid w:val="004E7D70"/>
    <w:rsid w:val="004F36F3"/>
    <w:rsid w:val="004F4BB4"/>
    <w:rsid w:val="004F5DE9"/>
    <w:rsid w:val="004F5FDF"/>
    <w:rsid w:val="004F716A"/>
    <w:rsid w:val="005007EA"/>
    <w:rsid w:val="00510B34"/>
    <w:rsid w:val="00513A41"/>
    <w:rsid w:val="005177FE"/>
    <w:rsid w:val="0052263B"/>
    <w:rsid w:val="00524728"/>
    <w:rsid w:val="005312B3"/>
    <w:rsid w:val="00531721"/>
    <w:rsid w:val="005331CA"/>
    <w:rsid w:val="00537970"/>
    <w:rsid w:val="00540E3A"/>
    <w:rsid w:val="00544127"/>
    <w:rsid w:val="005455C4"/>
    <w:rsid w:val="005463A9"/>
    <w:rsid w:val="00546D65"/>
    <w:rsid w:val="0055251A"/>
    <w:rsid w:val="00553EB2"/>
    <w:rsid w:val="00560534"/>
    <w:rsid w:val="00560600"/>
    <w:rsid w:val="0056391B"/>
    <w:rsid w:val="005650E2"/>
    <w:rsid w:val="00567AD7"/>
    <w:rsid w:val="005758A7"/>
    <w:rsid w:val="00575B2D"/>
    <w:rsid w:val="005771EA"/>
    <w:rsid w:val="0058230B"/>
    <w:rsid w:val="005833D0"/>
    <w:rsid w:val="00583FDF"/>
    <w:rsid w:val="0058460F"/>
    <w:rsid w:val="005846F3"/>
    <w:rsid w:val="0058622F"/>
    <w:rsid w:val="0059295A"/>
    <w:rsid w:val="00592F82"/>
    <w:rsid w:val="00593C67"/>
    <w:rsid w:val="0059675B"/>
    <w:rsid w:val="005A0CCA"/>
    <w:rsid w:val="005A6ED5"/>
    <w:rsid w:val="005A6FF2"/>
    <w:rsid w:val="005A726D"/>
    <w:rsid w:val="005B12E1"/>
    <w:rsid w:val="005B2F13"/>
    <w:rsid w:val="005B5514"/>
    <w:rsid w:val="005B67AC"/>
    <w:rsid w:val="005B79F4"/>
    <w:rsid w:val="005C300A"/>
    <w:rsid w:val="005C523F"/>
    <w:rsid w:val="005C529D"/>
    <w:rsid w:val="005C5B99"/>
    <w:rsid w:val="005C61BB"/>
    <w:rsid w:val="005D16DD"/>
    <w:rsid w:val="005D2D13"/>
    <w:rsid w:val="005D43E0"/>
    <w:rsid w:val="005D58A3"/>
    <w:rsid w:val="005E1B79"/>
    <w:rsid w:val="005E32B3"/>
    <w:rsid w:val="005E5B67"/>
    <w:rsid w:val="005E6076"/>
    <w:rsid w:val="005E7008"/>
    <w:rsid w:val="005E7EC1"/>
    <w:rsid w:val="005F0229"/>
    <w:rsid w:val="005F026D"/>
    <w:rsid w:val="005F2AEA"/>
    <w:rsid w:val="005F2D0B"/>
    <w:rsid w:val="005F4B31"/>
    <w:rsid w:val="006064DB"/>
    <w:rsid w:val="00610388"/>
    <w:rsid w:val="00610AC7"/>
    <w:rsid w:val="00612CA5"/>
    <w:rsid w:val="006153EC"/>
    <w:rsid w:val="006155A9"/>
    <w:rsid w:val="00621A17"/>
    <w:rsid w:val="00622586"/>
    <w:rsid w:val="006233BF"/>
    <w:rsid w:val="00627CC9"/>
    <w:rsid w:val="00627E7B"/>
    <w:rsid w:val="00630176"/>
    <w:rsid w:val="006302A0"/>
    <w:rsid w:val="00630542"/>
    <w:rsid w:val="00631DDB"/>
    <w:rsid w:val="00632E44"/>
    <w:rsid w:val="00634622"/>
    <w:rsid w:val="006358BA"/>
    <w:rsid w:val="00636808"/>
    <w:rsid w:val="00637AE7"/>
    <w:rsid w:val="00641515"/>
    <w:rsid w:val="006452E6"/>
    <w:rsid w:val="00645F3A"/>
    <w:rsid w:val="006532AA"/>
    <w:rsid w:val="00653444"/>
    <w:rsid w:val="00654AF0"/>
    <w:rsid w:val="00654C2F"/>
    <w:rsid w:val="00654C95"/>
    <w:rsid w:val="00657087"/>
    <w:rsid w:val="006606A0"/>
    <w:rsid w:val="00661BA6"/>
    <w:rsid w:val="00661D51"/>
    <w:rsid w:val="00662E12"/>
    <w:rsid w:val="006639DB"/>
    <w:rsid w:val="006661EF"/>
    <w:rsid w:val="00667646"/>
    <w:rsid w:val="00670CB1"/>
    <w:rsid w:val="00677AEB"/>
    <w:rsid w:val="00680EF2"/>
    <w:rsid w:val="00684441"/>
    <w:rsid w:val="00687A1D"/>
    <w:rsid w:val="0069133D"/>
    <w:rsid w:val="00697EA1"/>
    <w:rsid w:val="006A2646"/>
    <w:rsid w:val="006A6530"/>
    <w:rsid w:val="006B435A"/>
    <w:rsid w:val="006B4C64"/>
    <w:rsid w:val="006B78C3"/>
    <w:rsid w:val="006C03D4"/>
    <w:rsid w:val="006D2309"/>
    <w:rsid w:val="006D2BBF"/>
    <w:rsid w:val="006D4A9A"/>
    <w:rsid w:val="006D6BD5"/>
    <w:rsid w:val="006E4183"/>
    <w:rsid w:val="006E481A"/>
    <w:rsid w:val="006E5298"/>
    <w:rsid w:val="006F2457"/>
    <w:rsid w:val="006F4A78"/>
    <w:rsid w:val="006F734A"/>
    <w:rsid w:val="00700D83"/>
    <w:rsid w:val="00704852"/>
    <w:rsid w:val="007074E9"/>
    <w:rsid w:val="00713DA4"/>
    <w:rsid w:val="00714BF1"/>
    <w:rsid w:val="00721383"/>
    <w:rsid w:val="00723343"/>
    <w:rsid w:val="007237A9"/>
    <w:rsid w:val="00724843"/>
    <w:rsid w:val="00726B93"/>
    <w:rsid w:val="00730E8C"/>
    <w:rsid w:val="0073158B"/>
    <w:rsid w:val="00732946"/>
    <w:rsid w:val="007333CC"/>
    <w:rsid w:val="0073399A"/>
    <w:rsid w:val="00735658"/>
    <w:rsid w:val="00737587"/>
    <w:rsid w:val="00740DAD"/>
    <w:rsid w:val="00755FDB"/>
    <w:rsid w:val="007603F5"/>
    <w:rsid w:val="00764DB0"/>
    <w:rsid w:val="0076764D"/>
    <w:rsid w:val="0077009F"/>
    <w:rsid w:val="0077498C"/>
    <w:rsid w:val="007809BC"/>
    <w:rsid w:val="00781734"/>
    <w:rsid w:val="007818AF"/>
    <w:rsid w:val="00782358"/>
    <w:rsid w:val="00784128"/>
    <w:rsid w:val="00784A74"/>
    <w:rsid w:val="00784E9B"/>
    <w:rsid w:val="00787521"/>
    <w:rsid w:val="00787BCC"/>
    <w:rsid w:val="0079123E"/>
    <w:rsid w:val="00792001"/>
    <w:rsid w:val="00792A0A"/>
    <w:rsid w:val="00793173"/>
    <w:rsid w:val="00796810"/>
    <w:rsid w:val="0079792C"/>
    <w:rsid w:val="007A053A"/>
    <w:rsid w:val="007A0F86"/>
    <w:rsid w:val="007A2A33"/>
    <w:rsid w:val="007A50B0"/>
    <w:rsid w:val="007B3D0D"/>
    <w:rsid w:val="007B5C89"/>
    <w:rsid w:val="007C1FCC"/>
    <w:rsid w:val="007C23F2"/>
    <w:rsid w:val="007C2FF0"/>
    <w:rsid w:val="007C3A7F"/>
    <w:rsid w:val="007C6201"/>
    <w:rsid w:val="007C6CC7"/>
    <w:rsid w:val="007C7036"/>
    <w:rsid w:val="007D3C92"/>
    <w:rsid w:val="007D7C92"/>
    <w:rsid w:val="007E1154"/>
    <w:rsid w:val="007E40F0"/>
    <w:rsid w:val="007E694B"/>
    <w:rsid w:val="007E6BA4"/>
    <w:rsid w:val="007E7678"/>
    <w:rsid w:val="007F3D86"/>
    <w:rsid w:val="007F41F8"/>
    <w:rsid w:val="007F659B"/>
    <w:rsid w:val="0080454E"/>
    <w:rsid w:val="008045BF"/>
    <w:rsid w:val="00804C32"/>
    <w:rsid w:val="00806302"/>
    <w:rsid w:val="00807119"/>
    <w:rsid w:val="00811B9D"/>
    <w:rsid w:val="0082483F"/>
    <w:rsid w:val="0082694D"/>
    <w:rsid w:val="008277A3"/>
    <w:rsid w:val="008279C0"/>
    <w:rsid w:val="00831582"/>
    <w:rsid w:val="0084683C"/>
    <w:rsid w:val="00846B6C"/>
    <w:rsid w:val="00851178"/>
    <w:rsid w:val="00853901"/>
    <w:rsid w:val="008569B9"/>
    <w:rsid w:val="00856BD4"/>
    <w:rsid w:val="00857771"/>
    <w:rsid w:val="00867701"/>
    <w:rsid w:val="008723F3"/>
    <w:rsid w:val="00876F56"/>
    <w:rsid w:val="00880845"/>
    <w:rsid w:val="00881DE6"/>
    <w:rsid w:val="008837A6"/>
    <w:rsid w:val="008856E9"/>
    <w:rsid w:val="0089145D"/>
    <w:rsid w:val="008A4DF2"/>
    <w:rsid w:val="008A6CFE"/>
    <w:rsid w:val="008B0F78"/>
    <w:rsid w:val="008B155E"/>
    <w:rsid w:val="008B16E7"/>
    <w:rsid w:val="008B5333"/>
    <w:rsid w:val="008B6223"/>
    <w:rsid w:val="008B779D"/>
    <w:rsid w:val="008C072D"/>
    <w:rsid w:val="008C4C76"/>
    <w:rsid w:val="008C66E0"/>
    <w:rsid w:val="008D1295"/>
    <w:rsid w:val="008D2BE3"/>
    <w:rsid w:val="008D366E"/>
    <w:rsid w:val="008D5D84"/>
    <w:rsid w:val="008E21EB"/>
    <w:rsid w:val="008E3339"/>
    <w:rsid w:val="008F20FC"/>
    <w:rsid w:val="008F3A9E"/>
    <w:rsid w:val="008F5FFE"/>
    <w:rsid w:val="00905A43"/>
    <w:rsid w:val="0091109D"/>
    <w:rsid w:val="00912C79"/>
    <w:rsid w:val="00921B8C"/>
    <w:rsid w:val="00923031"/>
    <w:rsid w:val="0093005C"/>
    <w:rsid w:val="00935C5B"/>
    <w:rsid w:val="009413B2"/>
    <w:rsid w:val="00942123"/>
    <w:rsid w:val="00950FC7"/>
    <w:rsid w:val="00951057"/>
    <w:rsid w:val="0095207B"/>
    <w:rsid w:val="00954F89"/>
    <w:rsid w:val="00962045"/>
    <w:rsid w:val="00967C9D"/>
    <w:rsid w:val="00973967"/>
    <w:rsid w:val="0097719C"/>
    <w:rsid w:val="00980E61"/>
    <w:rsid w:val="00982D07"/>
    <w:rsid w:val="009852F2"/>
    <w:rsid w:val="00987CB1"/>
    <w:rsid w:val="009901D5"/>
    <w:rsid w:val="00991428"/>
    <w:rsid w:val="00992676"/>
    <w:rsid w:val="00994947"/>
    <w:rsid w:val="009954B2"/>
    <w:rsid w:val="00995576"/>
    <w:rsid w:val="00996691"/>
    <w:rsid w:val="009A05AA"/>
    <w:rsid w:val="009A187B"/>
    <w:rsid w:val="009A197D"/>
    <w:rsid w:val="009A3AB7"/>
    <w:rsid w:val="009A7393"/>
    <w:rsid w:val="009B0723"/>
    <w:rsid w:val="009B07AD"/>
    <w:rsid w:val="009B0883"/>
    <w:rsid w:val="009B0E66"/>
    <w:rsid w:val="009B15E2"/>
    <w:rsid w:val="009B3F37"/>
    <w:rsid w:val="009B4976"/>
    <w:rsid w:val="009B5A92"/>
    <w:rsid w:val="009C0B8E"/>
    <w:rsid w:val="009C1BC8"/>
    <w:rsid w:val="009C2442"/>
    <w:rsid w:val="009C5286"/>
    <w:rsid w:val="009C616E"/>
    <w:rsid w:val="009D0811"/>
    <w:rsid w:val="009D0EE1"/>
    <w:rsid w:val="009D23C6"/>
    <w:rsid w:val="009D62BD"/>
    <w:rsid w:val="009E2A56"/>
    <w:rsid w:val="009E2AEB"/>
    <w:rsid w:val="009E2E27"/>
    <w:rsid w:val="009E3DF6"/>
    <w:rsid w:val="009E45DF"/>
    <w:rsid w:val="009E4DE3"/>
    <w:rsid w:val="009E717E"/>
    <w:rsid w:val="009F1595"/>
    <w:rsid w:val="009F206F"/>
    <w:rsid w:val="009F275E"/>
    <w:rsid w:val="009F6791"/>
    <w:rsid w:val="00A01DDA"/>
    <w:rsid w:val="00A047EE"/>
    <w:rsid w:val="00A04FE7"/>
    <w:rsid w:val="00A2075F"/>
    <w:rsid w:val="00A2274A"/>
    <w:rsid w:val="00A235B7"/>
    <w:rsid w:val="00A27A7A"/>
    <w:rsid w:val="00A34488"/>
    <w:rsid w:val="00A34ABE"/>
    <w:rsid w:val="00A407EF"/>
    <w:rsid w:val="00A42EEB"/>
    <w:rsid w:val="00A43664"/>
    <w:rsid w:val="00A46B4C"/>
    <w:rsid w:val="00A5117B"/>
    <w:rsid w:val="00A568A0"/>
    <w:rsid w:val="00A56D34"/>
    <w:rsid w:val="00A57528"/>
    <w:rsid w:val="00A60074"/>
    <w:rsid w:val="00A64900"/>
    <w:rsid w:val="00A6627C"/>
    <w:rsid w:val="00A71019"/>
    <w:rsid w:val="00A81029"/>
    <w:rsid w:val="00A83871"/>
    <w:rsid w:val="00A845F5"/>
    <w:rsid w:val="00A84724"/>
    <w:rsid w:val="00A868FA"/>
    <w:rsid w:val="00A915E4"/>
    <w:rsid w:val="00A92054"/>
    <w:rsid w:val="00A94591"/>
    <w:rsid w:val="00A94F39"/>
    <w:rsid w:val="00A96489"/>
    <w:rsid w:val="00AB05C9"/>
    <w:rsid w:val="00AB124F"/>
    <w:rsid w:val="00AB2425"/>
    <w:rsid w:val="00AB4451"/>
    <w:rsid w:val="00AB6201"/>
    <w:rsid w:val="00AB685C"/>
    <w:rsid w:val="00AB6C2D"/>
    <w:rsid w:val="00AC08F7"/>
    <w:rsid w:val="00AC3839"/>
    <w:rsid w:val="00AC4A3A"/>
    <w:rsid w:val="00AC6A21"/>
    <w:rsid w:val="00AC7082"/>
    <w:rsid w:val="00AD474A"/>
    <w:rsid w:val="00AD4BE8"/>
    <w:rsid w:val="00AE07B7"/>
    <w:rsid w:val="00AE2020"/>
    <w:rsid w:val="00AE43E0"/>
    <w:rsid w:val="00AE7F0C"/>
    <w:rsid w:val="00AF228E"/>
    <w:rsid w:val="00AF44E3"/>
    <w:rsid w:val="00AF5D9C"/>
    <w:rsid w:val="00B00EB2"/>
    <w:rsid w:val="00B016A8"/>
    <w:rsid w:val="00B01D1E"/>
    <w:rsid w:val="00B14819"/>
    <w:rsid w:val="00B15E2F"/>
    <w:rsid w:val="00B17582"/>
    <w:rsid w:val="00B17AA9"/>
    <w:rsid w:val="00B32DE4"/>
    <w:rsid w:val="00B32E4D"/>
    <w:rsid w:val="00B336A9"/>
    <w:rsid w:val="00B33906"/>
    <w:rsid w:val="00B35F43"/>
    <w:rsid w:val="00B40EA4"/>
    <w:rsid w:val="00B417AB"/>
    <w:rsid w:val="00B43ECC"/>
    <w:rsid w:val="00B44713"/>
    <w:rsid w:val="00B44D9A"/>
    <w:rsid w:val="00B50EA0"/>
    <w:rsid w:val="00B51B95"/>
    <w:rsid w:val="00B54D7D"/>
    <w:rsid w:val="00B56103"/>
    <w:rsid w:val="00B64929"/>
    <w:rsid w:val="00B65E73"/>
    <w:rsid w:val="00B71F52"/>
    <w:rsid w:val="00B736DF"/>
    <w:rsid w:val="00B743D6"/>
    <w:rsid w:val="00B74FBD"/>
    <w:rsid w:val="00B75BA4"/>
    <w:rsid w:val="00B77F46"/>
    <w:rsid w:val="00B81AE8"/>
    <w:rsid w:val="00B82586"/>
    <w:rsid w:val="00B829A3"/>
    <w:rsid w:val="00B8501F"/>
    <w:rsid w:val="00B86DB1"/>
    <w:rsid w:val="00B87869"/>
    <w:rsid w:val="00B9639B"/>
    <w:rsid w:val="00BA1466"/>
    <w:rsid w:val="00BA65E0"/>
    <w:rsid w:val="00BB0F2B"/>
    <w:rsid w:val="00BC2272"/>
    <w:rsid w:val="00BC3A18"/>
    <w:rsid w:val="00BC4024"/>
    <w:rsid w:val="00BD3EA8"/>
    <w:rsid w:val="00BD56EC"/>
    <w:rsid w:val="00BE4FF3"/>
    <w:rsid w:val="00BE5B8E"/>
    <w:rsid w:val="00BE65AA"/>
    <w:rsid w:val="00BE684F"/>
    <w:rsid w:val="00BE75FA"/>
    <w:rsid w:val="00BF25EB"/>
    <w:rsid w:val="00BF3C71"/>
    <w:rsid w:val="00BF42A8"/>
    <w:rsid w:val="00BF50F7"/>
    <w:rsid w:val="00BF793A"/>
    <w:rsid w:val="00C02F29"/>
    <w:rsid w:val="00C041E8"/>
    <w:rsid w:val="00C0731E"/>
    <w:rsid w:val="00C17718"/>
    <w:rsid w:val="00C20AFE"/>
    <w:rsid w:val="00C21EB5"/>
    <w:rsid w:val="00C22A25"/>
    <w:rsid w:val="00C2645B"/>
    <w:rsid w:val="00C35671"/>
    <w:rsid w:val="00C35B77"/>
    <w:rsid w:val="00C376EB"/>
    <w:rsid w:val="00C46A92"/>
    <w:rsid w:val="00C46B2D"/>
    <w:rsid w:val="00C46EC1"/>
    <w:rsid w:val="00C47993"/>
    <w:rsid w:val="00C515BA"/>
    <w:rsid w:val="00C52796"/>
    <w:rsid w:val="00C5332A"/>
    <w:rsid w:val="00C53E2C"/>
    <w:rsid w:val="00C550C8"/>
    <w:rsid w:val="00C55824"/>
    <w:rsid w:val="00C56B61"/>
    <w:rsid w:val="00C606C3"/>
    <w:rsid w:val="00C620F4"/>
    <w:rsid w:val="00C66D43"/>
    <w:rsid w:val="00C72848"/>
    <w:rsid w:val="00C7736C"/>
    <w:rsid w:val="00C82D87"/>
    <w:rsid w:val="00C8712A"/>
    <w:rsid w:val="00C87FF9"/>
    <w:rsid w:val="00C902C8"/>
    <w:rsid w:val="00C919D1"/>
    <w:rsid w:val="00C960CA"/>
    <w:rsid w:val="00C963D3"/>
    <w:rsid w:val="00CA00B6"/>
    <w:rsid w:val="00CA29EA"/>
    <w:rsid w:val="00CA5CDA"/>
    <w:rsid w:val="00CA73CA"/>
    <w:rsid w:val="00CB1983"/>
    <w:rsid w:val="00CB2480"/>
    <w:rsid w:val="00CB2CBB"/>
    <w:rsid w:val="00CB5FD0"/>
    <w:rsid w:val="00CB7CAC"/>
    <w:rsid w:val="00CC158E"/>
    <w:rsid w:val="00CC17AA"/>
    <w:rsid w:val="00CC5335"/>
    <w:rsid w:val="00CC5BA4"/>
    <w:rsid w:val="00CD3226"/>
    <w:rsid w:val="00CD3725"/>
    <w:rsid w:val="00CD4998"/>
    <w:rsid w:val="00CE1035"/>
    <w:rsid w:val="00CE638A"/>
    <w:rsid w:val="00CE6E50"/>
    <w:rsid w:val="00CF14BE"/>
    <w:rsid w:val="00CF2819"/>
    <w:rsid w:val="00CF3A5A"/>
    <w:rsid w:val="00CF4F9D"/>
    <w:rsid w:val="00CF6E14"/>
    <w:rsid w:val="00CF70DC"/>
    <w:rsid w:val="00D0080B"/>
    <w:rsid w:val="00D00DD4"/>
    <w:rsid w:val="00D11302"/>
    <w:rsid w:val="00D148DC"/>
    <w:rsid w:val="00D17FDC"/>
    <w:rsid w:val="00D21D8C"/>
    <w:rsid w:val="00D21F25"/>
    <w:rsid w:val="00D307FA"/>
    <w:rsid w:val="00D42B4F"/>
    <w:rsid w:val="00D42F55"/>
    <w:rsid w:val="00D53719"/>
    <w:rsid w:val="00D63EFD"/>
    <w:rsid w:val="00D65741"/>
    <w:rsid w:val="00D77884"/>
    <w:rsid w:val="00D80DC2"/>
    <w:rsid w:val="00D84752"/>
    <w:rsid w:val="00D86B3B"/>
    <w:rsid w:val="00D8748A"/>
    <w:rsid w:val="00D93196"/>
    <w:rsid w:val="00D96891"/>
    <w:rsid w:val="00DA0DC0"/>
    <w:rsid w:val="00DA124D"/>
    <w:rsid w:val="00DB243C"/>
    <w:rsid w:val="00DB482A"/>
    <w:rsid w:val="00DB50FB"/>
    <w:rsid w:val="00DB56F2"/>
    <w:rsid w:val="00DB6EEB"/>
    <w:rsid w:val="00DB6EF5"/>
    <w:rsid w:val="00DB7222"/>
    <w:rsid w:val="00DC3089"/>
    <w:rsid w:val="00DC4420"/>
    <w:rsid w:val="00DC5271"/>
    <w:rsid w:val="00DC7761"/>
    <w:rsid w:val="00DD0802"/>
    <w:rsid w:val="00DD1272"/>
    <w:rsid w:val="00DD2A5D"/>
    <w:rsid w:val="00DD2B92"/>
    <w:rsid w:val="00DD2E11"/>
    <w:rsid w:val="00DD7F33"/>
    <w:rsid w:val="00DE03AF"/>
    <w:rsid w:val="00DE0963"/>
    <w:rsid w:val="00DE121C"/>
    <w:rsid w:val="00DE28CA"/>
    <w:rsid w:val="00DE2CD9"/>
    <w:rsid w:val="00DE6633"/>
    <w:rsid w:val="00DF1EF9"/>
    <w:rsid w:val="00DF5FD6"/>
    <w:rsid w:val="00DF75F8"/>
    <w:rsid w:val="00DF7A3A"/>
    <w:rsid w:val="00E00C00"/>
    <w:rsid w:val="00E07C5A"/>
    <w:rsid w:val="00E127FC"/>
    <w:rsid w:val="00E15BA9"/>
    <w:rsid w:val="00E15D6D"/>
    <w:rsid w:val="00E23A7A"/>
    <w:rsid w:val="00E26E19"/>
    <w:rsid w:val="00E3041B"/>
    <w:rsid w:val="00E30CC7"/>
    <w:rsid w:val="00E31DF3"/>
    <w:rsid w:val="00E40797"/>
    <w:rsid w:val="00E450A4"/>
    <w:rsid w:val="00E45264"/>
    <w:rsid w:val="00E45B05"/>
    <w:rsid w:val="00E506BE"/>
    <w:rsid w:val="00E522E3"/>
    <w:rsid w:val="00E534E3"/>
    <w:rsid w:val="00E5460D"/>
    <w:rsid w:val="00E55547"/>
    <w:rsid w:val="00E57702"/>
    <w:rsid w:val="00E6302B"/>
    <w:rsid w:val="00E6452F"/>
    <w:rsid w:val="00E64F45"/>
    <w:rsid w:val="00E65F05"/>
    <w:rsid w:val="00E6742D"/>
    <w:rsid w:val="00E700E4"/>
    <w:rsid w:val="00E70CF4"/>
    <w:rsid w:val="00E71CB0"/>
    <w:rsid w:val="00E73133"/>
    <w:rsid w:val="00E73C3B"/>
    <w:rsid w:val="00E77C3D"/>
    <w:rsid w:val="00E90991"/>
    <w:rsid w:val="00E909F0"/>
    <w:rsid w:val="00E90D47"/>
    <w:rsid w:val="00E91E1D"/>
    <w:rsid w:val="00E93622"/>
    <w:rsid w:val="00E93993"/>
    <w:rsid w:val="00E9597C"/>
    <w:rsid w:val="00E95C42"/>
    <w:rsid w:val="00E966D9"/>
    <w:rsid w:val="00E96FB1"/>
    <w:rsid w:val="00EA0913"/>
    <w:rsid w:val="00EA5B00"/>
    <w:rsid w:val="00EA6F96"/>
    <w:rsid w:val="00EB0D8F"/>
    <w:rsid w:val="00EB146B"/>
    <w:rsid w:val="00EB45AC"/>
    <w:rsid w:val="00EB5A92"/>
    <w:rsid w:val="00EB7B75"/>
    <w:rsid w:val="00EC1A1D"/>
    <w:rsid w:val="00EC441F"/>
    <w:rsid w:val="00EC4755"/>
    <w:rsid w:val="00EC6A65"/>
    <w:rsid w:val="00ED082E"/>
    <w:rsid w:val="00ED0BC4"/>
    <w:rsid w:val="00ED21C1"/>
    <w:rsid w:val="00ED29B3"/>
    <w:rsid w:val="00ED447D"/>
    <w:rsid w:val="00EE030D"/>
    <w:rsid w:val="00EE18D4"/>
    <w:rsid w:val="00EE4651"/>
    <w:rsid w:val="00EE4971"/>
    <w:rsid w:val="00EE5284"/>
    <w:rsid w:val="00EE6CB0"/>
    <w:rsid w:val="00EE7CC6"/>
    <w:rsid w:val="00EF090E"/>
    <w:rsid w:val="00EF1E50"/>
    <w:rsid w:val="00EF4D30"/>
    <w:rsid w:val="00EF4EE8"/>
    <w:rsid w:val="00EF5572"/>
    <w:rsid w:val="00F00B13"/>
    <w:rsid w:val="00F033DA"/>
    <w:rsid w:val="00F0392F"/>
    <w:rsid w:val="00F075D0"/>
    <w:rsid w:val="00F130CF"/>
    <w:rsid w:val="00F13691"/>
    <w:rsid w:val="00F13984"/>
    <w:rsid w:val="00F13FB1"/>
    <w:rsid w:val="00F13FB9"/>
    <w:rsid w:val="00F1481C"/>
    <w:rsid w:val="00F22C53"/>
    <w:rsid w:val="00F27CD8"/>
    <w:rsid w:val="00F30351"/>
    <w:rsid w:val="00F3323E"/>
    <w:rsid w:val="00F341F4"/>
    <w:rsid w:val="00F34F9D"/>
    <w:rsid w:val="00F35CCE"/>
    <w:rsid w:val="00F36140"/>
    <w:rsid w:val="00F4422A"/>
    <w:rsid w:val="00F50041"/>
    <w:rsid w:val="00F5524B"/>
    <w:rsid w:val="00F5647E"/>
    <w:rsid w:val="00F5682A"/>
    <w:rsid w:val="00F60538"/>
    <w:rsid w:val="00F61DD2"/>
    <w:rsid w:val="00F6424B"/>
    <w:rsid w:val="00F66AFF"/>
    <w:rsid w:val="00F674C7"/>
    <w:rsid w:val="00F71433"/>
    <w:rsid w:val="00F7197D"/>
    <w:rsid w:val="00F74EAE"/>
    <w:rsid w:val="00F76495"/>
    <w:rsid w:val="00F83F59"/>
    <w:rsid w:val="00F84D0B"/>
    <w:rsid w:val="00F860C9"/>
    <w:rsid w:val="00F927F0"/>
    <w:rsid w:val="00F973D0"/>
    <w:rsid w:val="00F97C5B"/>
    <w:rsid w:val="00FA3D50"/>
    <w:rsid w:val="00FA4DD1"/>
    <w:rsid w:val="00FA4E58"/>
    <w:rsid w:val="00FA721C"/>
    <w:rsid w:val="00FB29B0"/>
    <w:rsid w:val="00FB7FBD"/>
    <w:rsid w:val="00FC221A"/>
    <w:rsid w:val="00FC32B6"/>
    <w:rsid w:val="00FC374A"/>
    <w:rsid w:val="00FC74C8"/>
    <w:rsid w:val="00FC7B47"/>
    <w:rsid w:val="00FD035C"/>
    <w:rsid w:val="00FD1A35"/>
    <w:rsid w:val="00FD2EA4"/>
    <w:rsid w:val="00FD36C5"/>
    <w:rsid w:val="00FD413C"/>
    <w:rsid w:val="00FD6310"/>
    <w:rsid w:val="00FD6C3C"/>
    <w:rsid w:val="00FD7C7B"/>
    <w:rsid w:val="00FE1D12"/>
    <w:rsid w:val="00FE2122"/>
    <w:rsid w:val="00FE26F6"/>
    <w:rsid w:val="00FE2A86"/>
    <w:rsid w:val="00FE2DE2"/>
    <w:rsid w:val="00FE7444"/>
    <w:rsid w:val="00FF045E"/>
    <w:rsid w:val="00FF296F"/>
    <w:rsid w:val="00FF5E23"/>
    <w:rsid w:val="00FF6AE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BC4B"/>
  <w15:docId w15:val="{CC9F5DA0-D587-7B4E-A8BF-D390C49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BodyText">
    <w:name w:val="Body Text"/>
    <w:basedOn w:val="Normal"/>
    <w:link w:val="BodyTextChar"/>
    <w:rsid w:val="00384F62"/>
    <w:rPr>
      <w:lang w:eastAsia="en-GB"/>
    </w:rPr>
  </w:style>
  <w:style w:type="character" w:customStyle="1" w:styleId="BodyTextChar">
    <w:name w:val="Body Text Char"/>
    <w:basedOn w:val="DefaultParagraphFont"/>
    <w:link w:val="BodyText"/>
    <w:rsid w:val="00384F62"/>
    <w:rPr>
      <w:rFonts w:eastAsia="Times New Roman"/>
      <w:sz w:val="20"/>
      <w:lang w:eastAsia="en-GB"/>
    </w:rPr>
  </w:style>
  <w:style w:type="character" w:styleId="UnresolvedMention">
    <w:name w:val="Unresolved Mention"/>
    <w:basedOn w:val="DefaultParagraphFont"/>
    <w:uiPriority w:val="99"/>
    <w:semiHidden/>
    <w:unhideWhenUsed/>
    <w:rsid w:val="00E93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allenandgledhill.com/perspectives/articles/18849/sgkh-court-of-appeal-clarifies-test-for-inability-to-pay-debts-in-winding-up-proceedings?agreed=cooki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Props1.xml><?xml version="1.0" encoding="utf-8"?>
<ds:datastoreItem xmlns:ds="http://schemas.openxmlformats.org/officeDocument/2006/customXml" ds:itemID="{3DBB2932-1B35-4AA5-82AC-060EB09BA32B}">
  <ds:schemaRefs>
    <ds:schemaRef ds:uri="http://schemas.openxmlformats.org/officeDocument/2006/bibliography"/>
  </ds:schemaRefs>
</ds:datastoreItem>
</file>

<file path=customXml/itemProps2.xml><?xml version="1.0" encoding="utf-8"?>
<ds:datastoreItem xmlns:ds="http://schemas.openxmlformats.org/officeDocument/2006/customXml" ds:itemID="{7C452ADE-064E-4737-A46F-1B2D5DB905DB}">
  <ds:schemaRefs>
    <ds:schemaRef ds:uri="http://hoganlovells.com/word2010/custom"/>
  </ds:schemaRefs>
</ds:datastoreItem>
</file>

<file path=docProps/app.xml><?xml version="1.0" encoding="utf-8"?>
<Properties xmlns="http://schemas.openxmlformats.org/officeDocument/2006/extended-properties" xmlns:vt="http://schemas.openxmlformats.org/officeDocument/2006/docPropsVTypes">
  <Template>Normal</Template>
  <TotalTime>11372</TotalTime>
  <Pages>15</Pages>
  <Words>5004</Words>
  <Characters>28524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Phillip Pierson</cp:lastModifiedBy>
  <cp:revision>254</cp:revision>
  <dcterms:created xsi:type="dcterms:W3CDTF">2022-02-07T12:35:00Z</dcterms:created>
  <dcterms:modified xsi:type="dcterms:W3CDTF">2022-07-31T20:26:00Z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ies>
</file>