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EF6A4B"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EF6A4B">
        <w:rPr>
          <w:rFonts w:ascii="Arial" w:eastAsia="MS Mincho" w:hAnsi="Arial" w:cs="Arial"/>
          <w:sz w:val="22"/>
          <w:szCs w:val="22"/>
          <w:highlight w:val="yellow"/>
          <w:lang w:val="en-GB"/>
        </w:rPr>
        <w:t xml:space="preserve">On the </w:t>
      </w:r>
      <w:r w:rsidR="009C2D45" w:rsidRPr="00EF6A4B">
        <w:rPr>
          <w:rFonts w:ascii="Arial" w:eastAsia="MS Mincho" w:hAnsi="Arial" w:cs="Arial"/>
          <w:sz w:val="22"/>
          <w:szCs w:val="22"/>
          <w:highlight w:val="yellow"/>
          <w:lang w:val="en-GB"/>
        </w:rPr>
        <w:t>date the qualifying resolution is passed</w:t>
      </w:r>
      <w:r w:rsidRPr="00EF6A4B">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BB6284" w:rsidRDefault="00516777" w:rsidP="00E87B1B">
      <w:pPr>
        <w:pStyle w:val="ListParagraph"/>
        <w:numPr>
          <w:ilvl w:val="0"/>
          <w:numId w:val="14"/>
        </w:numPr>
        <w:ind w:left="426"/>
        <w:jc w:val="both"/>
        <w:rPr>
          <w:rFonts w:ascii="Arial" w:hAnsi="Arial" w:cs="Arial"/>
          <w:sz w:val="22"/>
          <w:szCs w:val="22"/>
          <w:highlight w:val="yellow"/>
          <w:lang w:val="en-GB"/>
        </w:rPr>
      </w:pPr>
      <w:r w:rsidRPr="00BB6284">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DC37BB" w:rsidRDefault="00617A39" w:rsidP="001B77C3">
      <w:pPr>
        <w:pStyle w:val="ListParagraph"/>
        <w:numPr>
          <w:ilvl w:val="0"/>
          <w:numId w:val="15"/>
        </w:numPr>
        <w:ind w:left="426"/>
        <w:jc w:val="both"/>
        <w:rPr>
          <w:rFonts w:ascii="Arial" w:hAnsi="Arial" w:cs="Arial"/>
          <w:sz w:val="22"/>
          <w:szCs w:val="22"/>
          <w:highlight w:val="yellow"/>
          <w:lang w:val="en-GB"/>
        </w:rPr>
      </w:pPr>
      <w:r w:rsidRPr="00DC37BB">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DB7C51" w:rsidRDefault="00802DB8" w:rsidP="00966035">
      <w:pPr>
        <w:pStyle w:val="ListParagraph"/>
        <w:numPr>
          <w:ilvl w:val="0"/>
          <w:numId w:val="16"/>
        </w:numPr>
        <w:ind w:left="426"/>
        <w:jc w:val="both"/>
        <w:rPr>
          <w:rFonts w:ascii="Arial" w:hAnsi="Arial" w:cs="Arial"/>
          <w:sz w:val="22"/>
          <w:szCs w:val="22"/>
          <w:highlight w:val="yellow"/>
          <w:lang w:val="en-GB"/>
        </w:rPr>
      </w:pPr>
      <w:r w:rsidRPr="00DB7C51">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DB7C51"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DB7C51">
        <w:rPr>
          <w:rFonts w:ascii="Arial" w:hAnsi="Arial" w:cs="Arial"/>
          <w:sz w:val="22"/>
          <w:szCs w:val="22"/>
          <w:highlight w:val="yellow"/>
          <w:lang w:val="en-GB"/>
        </w:rPr>
        <w:t>He</w:t>
      </w:r>
      <w:r w:rsidR="00903504" w:rsidRPr="00DB7C51">
        <w:rPr>
          <w:rFonts w:ascii="Arial" w:hAnsi="Arial" w:cs="Arial"/>
          <w:sz w:val="22"/>
          <w:szCs w:val="22"/>
          <w:highlight w:val="yellow"/>
          <w:lang w:val="en-GB"/>
        </w:rPr>
        <w:t xml:space="preserve"> or she</w:t>
      </w:r>
      <w:r w:rsidRPr="00DB7C51">
        <w:rPr>
          <w:rFonts w:ascii="Arial" w:hAnsi="Arial" w:cs="Arial"/>
          <w:sz w:val="22"/>
          <w:szCs w:val="22"/>
          <w:highlight w:val="yellow"/>
          <w:lang w:val="en-GB"/>
        </w:rPr>
        <w:t xml:space="preserve"> is a licenced insolvency practitioner; has given written consent to act; </w:t>
      </w:r>
      <w:r w:rsidR="00903504" w:rsidRPr="00DB7C51">
        <w:rPr>
          <w:rFonts w:ascii="Arial" w:hAnsi="Arial" w:cs="Arial"/>
          <w:sz w:val="22"/>
          <w:szCs w:val="22"/>
          <w:highlight w:val="yellow"/>
          <w:lang w:val="en-GB"/>
        </w:rPr>
        <w:t xml:space="preserve">is </w:t>
      </w:r>
      <w:r w:rsidRPr="00DB7C51">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DB7C51">
        <w:rPr>
          <w:rFonts w:ascii="Arial" w:hAnsi="Arial" w:cs="Arial"/>
          <w:sz w:val="22"/>
          <w:szCs w:val="22"/>
          <w:highlight w:val="yellow"/>
          <w:lang w:val="en-GB"/>
        </w:rPr>
        <w:t xml:space="preserve"> or her</w:t>
      </w:r>
      <w:r w:rsidRPr="00DB7C51">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3727D8"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3727D8">
        <w:rPr>
          <w:rFonts w:ascii="Arial" w:hAnsi="Arial" w:cs="Arial"/>
          <w:sz w:val="22"/>
          <w:szCs w:val="22"/>
          <w:highlight w:val="yellow"/>
          <w:lang w:val="en-GB"/>
        </w:rPr>
        <w:t>Within 12 months of the date of judgment</w:t>
      </w:r>
      <w:r w:rsidR="0027374E" w:rsidRPr="003727D8">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58C4EA8E" w:rsidR="00802DB8" w:rsidRPr="003727D8" w:rsidRDefault="00BC1E40" w:rsidP="0027374E">
      <w:pPr>
        <w:pStyle w:val="ListParagraph"/>
        <w:numPr>
          <w:ilvl w:val="0"/>
          <w:numId w:val="19"/>
        </w:numPr>
        <w:ind w:left="426"/>
        <w:jc w:val="both"/>
        <w:rPr>
          <w:rFonts w:ascii="Arial" w:hAnsi="Arial" w:cs="Arial"/>
          <w:sz w:val="22"/>
          <w:szCs w:val="22"/>
          <w:highlight w:val="yellow"/>
          <w:lang w:val="en-GB"/>
        </w:rPr>
      </w:pPr>
      <w:r>
        <w:rPr>
          <w:rFonts w:ascii="Arial" w:hAnsi="Arial" w:cs="Arial"/>
          <w:sz w:val="22"/>
          <w:szCs w:val="22"/>
          <w:highlight w:val="yellow"/>
          <w:lang w:val="en-GB"/>
        </w:rPr>
        <w:t>.</w:t>
      </w:r>
      <w:r w:rsidR="00665098" w:rsidRPr="003727D8">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BC1E40" w:rsidRDefault="00B54DB9" w:rsidP="002649C2">
      <w:pPr>
        <w:pStyle w:val="ListParagraph"/>
        <w:numPr>
          <w:ilvl w:val="0"/>
          <w:numId w:val="20"/>
        </w:numPr>
        <w:ind w:left="426"/>
        <w:jc w:val="both"/>
        <w:rPr>
          <w:rFonts w:ascii="Arial" w:hAnsi="Arial" w:cs="Arial"/>
          <w:sz w:val="22"/>
          <w:szCs w:val="22"/>
          <w:highlight w:val="yellow"/>
          <w:lang w:val="en-GB"/>
        </w:rPr>
      </w:pPr>
      <w:r w:rsidRPr="00BC1E40">
        <w:rPr>
          <w:rFonts w:ascii="Arial" w:hAnsi="Arial" w:cs="Arial"/>
          <w:sz w:val="22"/>
          <w:szCs w:val="22"/>
          <w:highlight w:val="yellow"/>
          <w:lang w:val="en-GB"/>
        </w:rPr>
        <w:t>Two (</w:t>
      </w:r>
      <w:r w:rsidR="00802DB8" w:rsidRPr="00BC1E40">
        <w:rPr>
          <w:rFonts w:ascii="Arial" w:hAnsi="Arial" w:cs="Arial"/>
          <w:sz w:val="22"/>
          <w:szCs w:val="22"/>
          <w:highlight w:val="yellow"/>
          <w:lang w:val="en-GB"/>
        </w:rPr>
        <w:t>2</w:t>
      </w:r>
      <w:r w:rsidRPr="00BC1E40">
        <w:rPr>
          <w:rFonts w:ascii="Arial" w:hAnsi="Arial" w:cs="Arial"/>
          <w:sz w:val="22"/>
          <w:szCs w:val="22"/>
          <w:highlight w:val="yellow"/>
          <w:lang w:val="en-GB"/>
        </w:rPr>
        <w:t>)</w:t>
      </w:r>
      <w:r w:rsidR="00802DB8" w:rsidRPr="00BC1E40">
        <w:rPr>
          <w:rFonts w:ascii="Arial" w:hAnsi="Arial" w:cs="Arial"/>
          <w:sz w:val="22"/>
          <w:szCs w:val="22"/>
          <w:highlight w:val="yellow"/>
          <w:lang w:val="en-GB"/>
        </w:rPr>
        <w:t xml:space="preserve"> years prior to the onset of insolvency</w:t>
      </w:r>
      <w:r w:rsidR="00CE62E7" w:rsidRPr="00BC1E40">
        <w:rPr>
          <w:rFonts w:ascii="Arial" w:hAnsi="Arial" w:cs="Arial"/>
          <w:sz w:val="22"/>
          <w:szCs w:val="22"/>
          <w:highlight w:val="yellow"/>
          <w:lang w:val="en-GB"/>
        </w:rPr>
        <w:t xml:space="preserve"> and ending on the appointment of the liquidator</w:t>
      </w:r>
      <w:r w:rsidR="009859BA" w:rsidRPr="00BC1E40">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9E7000" w:rsidRDefault="00936614" w:rsidP="002649C2">
      <w:pPr>
        <w:pStyle w:val="ListParagraph"/>
        <w:numPr>
          <w:ilvl w:val="0"/>
          <w:numId w:val="21"/>
        </w:numPr>
        <w:ind w:left="426"/>
        <w:jc w:val="both"/>
        <w:rPr>
          <w:rFonts w:ascii="Arial" w:hAnsi="Arial" w:cs="Arial"/>
          <w:sz w:val="22"/>
          <w:szCs w:val="22"/>
          <w:highlight w:val="yellow"/>
          <w:lang w:val="en-GB"/>
        </w:rPr>
      </w:pPr>
      <w:r w:rsidRPr="009E7000">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01400E" w:rsidRDefault="00A52262" w:rsidP="002649C2">
      <w:pPr>
        <w:pStyle w:val="ListParagraph"/>
        <w:numPr>
          <w:ilvl w:val="0"/>
          <w:numId w:val="22"/>
        </w:numPr>
        <w:ind w:left="426"/>
        <w:jc w:val="both"/>
        <w:rPr>
          <w:rFonts w:ascii="Arial" w:hAnsi="Arial" w:cs="Arial"/>
          <w:sz w:val="22"/>
          <w:szCs w:val="22"/>
          <w:highlight w:val="yellow"/>
          <w:lang w:val="en-GB"/>
        </w:rPr>
      </w:pPr>
      <w:r w:rsidRPr="0001400E">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34517E8E" w14:textId="3025F6FE" w:rsidR="00CC4BED" w:rsidRDefault="003701F1" w:rsidP="00CC4B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D524B1">
        <w:rPr>
          <w:rFonts w:ascii="Arial" w:hAnsi="Arial" w:cs="Arial"/>
          <w:color w:val="7B7B7B" w:themeColor="accent3" w:themeShade="BF"/>
          <w:sz w:val="22"/>
          <w:szCs w:val="22"/>
          <w:lang w:val="en-GB"/>
        </w:rPr>
        <w:t xml:space="preserve"> company may only be liquidated under Part XII</w:t>
      </w:r>
      <w:r w:rsidR="00D130C3">
        <w:rPr>
          <w:rFonts w:ascii="Arial" w:hAnsi="Arial" w:cs="Arial"/>
          <w:color w:val="7B7B7B" w:themeColor="accent3" w:themeShade="BF"/>
          <w:sz w:val="22"/>
          <w:szCs w:val="22"/>
          <w:lang w:val="en-GB"/>
        </w:rPr>
        <w:t xml:space="preserve"> of the Business Companies Act 2004</w:t>
      </w:r>
      <w:r w:rsidR="00D524B1">
        <w:rPr>
          <w:rFonts w:ascii="Arial" w:hAnsi="Arial" w:cs="Arial"/>
          <w:color w:val="7B7B7B" w:themeColor="accent3" w:themeShade="BF"/>
          <w:sz w:val="22"/>
          <w:szCs w:val="22"/>
          <w:lang w:val="en-GB"/>
        </w:rPr>
        <w:t xml:space="preserve"> if:</w:t>
      </w:r>
      <w:r w:rsidR="00D524B1">
        <w:rPr>
          <w:rStyle w:val="FootnoteReference"/>
          <w:rFonts w:ascii="Arial" w:hAnsi="Arial" w:cs="Arial"/>
          <w:color w:val="7B7B7B" w:themeColor="accent3" w:themeShade="BF"/>
          <w:sz w:val="22"/>
          <w:szCs w:val="22"/>
          <w:lang w:val="en-GB"/>
        </w:rPr>
        <w:footnoteReference w:id="1"/>
      </w:r>
    </w:p>
    <w:p w14:paraId="59FC3B90" w14:textId="77777777" w:rsidR="00D524B1" w:rsidRDefault="00D524B1" w:rsidP="00D524B1">
      <w:pPr>
        <w:pStyle w:val="ListParagraph"/>
        <w:jc w:val="both"/>
        <w:rPr>
          <w:rFonts w:ascii="Arial" w:hAnsi="Arial" w:cs="Arial"/>
          <w:color w:val="7B7B7B" w:themeColor="accent3" w:themeShade="BF"/>
          <w:sz w:val="22"/>
          <w:szCs w:val="22"/>
          <w:lang w:val="en-GB"/>
        </w:rPr>
      </w:pPr>
    </w:p>
    <w:p w14:paraId="68FA31BF" w14:textId="39A3BFA7" w:rsidR="00D524B1" w:rsidRDefault="00D524B1" w:rsidP="00D524B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has no liabilities; or,</w:t>
      </w:r>
    </w:p>
    <w:p w14:paraId="7992AF88" w14:textId="77777777" w:rsidR="00D524B1" w:rsidRDefault="00D524B1" w:rsidP="00D524B1">
      <w:pPr>
        <w:pStyle w:val="ListParagraph"/>
        <w:jc w:val="both"/>
        <w:rPr>
          <w:rFonts w:ascii="Arial" w:hAnsi="Arial" w:cs="Arial"/>
          <w:color w:val="7B7B7B" w:themeColor="accent3" w:themeShade="BF"/>
          <w:sz w:val="22"/>
          <w:szCs w:val="22"/>
          <w:lang w:val="en-GB"/>
        </w:rPr>
      </w:pPr>
    </w:p>
    <w:p w14:paraId="288A02C0" w14:textId="3C85F19C" w:rsidR="00D524B1" w:rsidRPr="00D524B1" w:rsidRDefault="00D524B1" w:rsidP="00D524B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able to pay its debts as they fall due and the value of its assets equals or exceeds its liabilities.</w:t>
      </w:r>
    </w:p>
    <w:p w14:paraId="39178CDE" w14:textId="77777777" w:rsidR="00D524B1" w:rsidRDefault="00D524B1" w:rsidP="008065CE">
      <w:pPr>
        <w:ind w:left="720" w:hanging="720"/>
        <w:jc w:val="both"/>
        <w:rPr>
          <w:rFonts w:ascii="Arial" w:hAnsi="Arial" w:cs="Arial"/>
          <w:color w:val="7B7B7B" w:themeColor="accent3" w:themeShade="BF"/>
          <w:sz w:val="22"/>
          <w:szCs w:val="22"/>
          <w:lang w:val="en-GB"/>
        </w:rPr>
      </w:pPr>
    </w:p>
    <w:p w14:paraId="01F0371D" w14:textId="0B64E7A6"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360D2004" w14:textId="14C0AE4C" w:rsidR="004371CC" w:rsidRDefault="00D130C3" w:rsidP="004371C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136A5A">
        <w:rPr>
          <w:rFonts w:ascii="Arial" w:hAnsi="Arial" w:cs="Arial"/>
          <w:color w:val="7B7B7B" w:themeColor="accent3" w:themeShade="BF"/>
          <w:sz w:val="22"/>
          <w:szCs w:val="22"/>
          <w:lang w:val="en-GB"/>
        </w:rPr>
        <w:t xml:space="preserve">here a liquidator is appointed to a BVI incorporated company by the Court, </w:t>
      </w:r>
      <w:r w:rsidR="003E60A6">
        <w:rPr>
          <w:rFonts w:ascii="Arial" w:hAnsi="Arial" w:cs="Arial"/>
          <w:color w:val="7B7B7B" w:themeColor="accent3" w:themeShade="BF"/>
          <w:sz w:val="22"/>
          <w:szCs w:val="22"/>
          <w:lang w:val="en-GB"/>
        </w:rPr>
        <w:t>a person who is or has been an officer of the company is deemed to have committed an offence if, at any time whilst an officer or during the period of 12 months preceding the commencement of the liquidation, he has:</w:t>
      </w:r>
      <w:r w:rsidR="003E60A6">
        <w:rPr>
          <w:rStyle w:val="FootnoteReference"/>
          <w:rFonts w:ascii="Arial" w:hAnsi="Arial" w:cs="Arial"/>
          <w:color w:val="7B7B7B" w:themeColor="accent3" w:themeShade="BF"/>
          <w:sz w:val="22"/>
          <w:szCs w:val="22"/>
          <w:lang w:val="en-GB"/>
        </w:rPr>
        <w:footnoteReference w:id="2"/>
      </w:r>
      <w:r w:rsidR="003E60A6">
        <w:rPr>
          <w:rFonts w:ascii="Arial" w:hAnsi="Arial" w:cs="Arial"/>
          <w:color w:val="7B7B7B" w:themeColor="accent3" w:themeShade="BF"/>
          <w:sz w:val="22"/>
          <w:szCs w:val="22"/>
          <w:lang w:val="en-GB"/>
        </w:rPr>
        <w:t xml:space="preserve"> </w:t>
      </w:r>
    </w:p>
    <w:p w14:paraId="0F4997C0" w14:textId="77777777" w:rsidR="004371CC" w:rsidRDefault="004371CC" w:rsidP="004371CC">
      <w:pPr>
        <w:pStyle w:val="ListParagraph"/>
        <w:jc w:val="both"/>
        <w:rPr>
          <w:rFonts w:ascii="Arial" w:hAnsi="Arial" w:cs="Arial"/>
          <w:color w:val="7B7B7B" w:themeColor="accent3" w:themeShade="BF"/>
          <w:sz w:val="22"/>
          <w:szCs w:val="22"/>
          <w:lang w:val="en-GB"/>
        </w:rPr>
      </w:pPr>
    </w:p>
    <w:p w14:paraId="7E3B43B6" w14:textId="1DB6F7B5" w:rsidR="004371CC" w:rsidRDefault="004371CC" w:rsidP="004371CC">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Made or caused to be made any gift or transfer of, or charge on, or has caused, permitted or acquiesced in the levying of any execution against the company’s assets; or,</w:t>
      </w:r>
    </w:p>
    <w:p w14:paraId="397D79D0" w14:textId="77777777" w:rsidR="004371CC" w:rsidRDefault="004371CC" w:rsidP="004371CC">
      <w:pPr>
        <w:pStyle w:val="ListParagraph"/>
        <w:jc w:val="both"/>
        <w:rPr>
          <w:rFonts w:ascii="Arial" w:hAnsi="Arial" w:cs="Arial"/>
          <w:color w:val="7B7B7B" w:themeColor="accent3" w:themeShade="BF"/>
          <w:sz w:val="22"/>
          <w:szCs w:val="22"/>
          <w:lang w:val="en-GB"/>
        </w:rPr>
      </w:pPr>
    </w:p>
    <w:p w14:paraId="496B9A0F" w14:textId="1B24E47A" w:rsidR="00FE2DE2" w:rsidRPr="004371CC" w:rsidRDefault="004371CC" w:rsidP="004371CC">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Concealed or removed any of the company’s assets since, or within, sixty days of the date of any unsatisfied judgment or order for the payment of money obtained against the company.</w:t>
      </w: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51E1E45A" w14:textId="1602F245" w:rsidR="00A4697B" w:rsidRDefault="00D130C3" w:rsidP="00A4697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A4697B">
        <w:rPr>
          <w:rFonts w:ascii="Arial" w:hAnsi="Arial" w:cs="Arial"/>
          <w:color w:val="7B7B7B" w:themeColor="accent3" w:themeShade="BF"/>
          <w:sz w:val="22"/>
          <w:szCs w:val="22"/>
          <w:lang w:val="en-GB"/>
        </w:rPr>
        <w:t>he BVI Court has the following powers in relation to the orders the Court can make in support of foreign insolvency proceedings:</w:t>
      </w:r>
      <w:r w:rsidR="00C36767">
        <w:rPr>
          <w:rStyle w:val="FootnoteReference"/>
          <w:rFonts w:ascii="Arial" w:hAnsi="Arial" w:cs="Arial"/>
          <w:color w:val="7B7B7B" w:themeColor="accent3" w:themeShade="BF"/>
          <w:sz w:val="22"/>
          <w:szCs w:val="22"/>
          <w:lang w:val="en-GB"/>
        </w:rPr>
        <w:footnoteReference w:id="3"/>
      </w:r>
    </w:p>
    <w:p w14:paraId="133EC45D" w14:textId="77777777" w:rsidR="00C36767" w:rsidRDefault="00C36767" w:rsidP="00C36767">
      <w:pPr>
        <w:pStyle w:val="ListParagraph"/>
        <w:jc w:val="both"/>
        <w:rPr>
          <w:rFonts w:ascii="Arial" w:hAnsi="Arial" w:cs="Arial"/>
          <w:color w:val="7B7B7B" w:themeColor="accent3" w:themeShade="BF"/>
          <w:sz w:val="22"/>
          <w:szCs w:val="22"/>
          <w:lang w:val="en-GB"/>
        </w:rPr>
      </w:pPr>
    </w:p>
    <w:p w14:paraId="55C4F656" w14:textId="059DD69C" w:rsidR="00A4697B" w:rsidRDefault="00A4697B" w:rsidP="00A4697B">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Restrain the commencement or continuation of any proceedings, execution or other legal process or the levying of any distress against a debtor or in relation to any of the debtor’s property;</w:t>
      </w:r>
    </w:p>
    <w:p w14:paraId="1688518A" w14:textId="77777777" w:rsidR="00C36767" w:rsidRDefault="00C36767" w:rsidP="00C36767">
      <w:pPr>
        <w:pStyle w:val="ListParagraph"/>
        <w:jc w:val="both"/>
        <w:rPr>
          <w:rFonts w:ascii="Arial" w:hAnsi="Arial" w:cs="Arial"/>
          <w:color w:val="7B7B7B" w:themeColor="accent3" w:themeShade="BF"/>
          <w:sz w:val="22"/>
          <w:szCs w:val="22"/>
          <w:lang w:val="en-GB"/>
        </w:rPr>
      </w:pPr>
    </w:p>
    <w:p w14:paraId="448472E1" w14:textId="432C5366" w:rsidR="00A4697B" w:rsidRDefault="00A4697B" w:rsidP="00A4697B">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Restrain the creation, exercise or enforcement of any right or remedy over or against any of the debtor’s property;</w:t>
      </w:r>
    </w:p>
    <w:p w14:paraId="304DD386" w14:textId="77777777" w:rsidR="00C36767" w:rsidRDefault="00C36767" w:rsidP="00C36767">
      <w:pPr>
        <w:pStyle w:val="ListParagraph"/>
        <w:jc w:val="both"/>
        <w:rPr>
          <w:rFonts w:ascii="Arial" w:hAnsi="Arial" w:cs="Arial"/>
          <w:color w:val="7B7B7B" w:themeColor="accent3" w:themeShade="BF"/>
          <w:sz w:val="22"/>
          <w:szCs w:val="22"/>
          <w:lang w:val="en-GB"/>
        </w:rPr>
      </w:pPr>
    </w:p>
    <w:p w14:paraId="3E915B47" w14:textId="06ACDAAD" w:rsidR="00A4697B" w:rsidRDefault="00A4697B" w:rsidP="00A4697B">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Require any person to deliver up to the foreign representative any property of the debtor or the proceeds of such property;</w:t>
      </w:r>
    </w:p>
    <w:p w14:paraId="2689954B" w14:textId="77777777" w:rsidR="00C36767" w:rsidRDefault="00C36767" w:rsidP="00C36767">
      <w:pPr>
        <w:pStyle w:val="ListParagraph"/>
        <w:jc w:val="both"/>
        <w:rPr>
          <w:rFonts w:ascii="Arial" w:hAnsi="Arial" w:cs="Arial"/>
          <w:color w:val="7B7B7B" w:themeColor="accent3" w:themeShade="BF"/>
          <w:sz w:val="22"/>
          <w:szCs w:val="22"/>
          <w:lang w:val="en-GB"/>
        </w:rPr>
      </w:pPr>
    </w:p>
    <w:p w14:paraId="09AF35DD" w14:textId="34B889C2" w:rsidR="00A4697B" w:rsidRDefault="00A4697B" w:rsidP="00A4697B">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Make such order or grant such relief as it considers appropriate to facilitate, approve or implement arrangements that will result in a co-ordination of a Virgin Islands insolvency proceeding with a foreign proceeding;</w:t>
      </w:r>
    </w:p>
    <w:p w14:paraId="0569DF5E" w14:textId="77777777" w:rsidR="00C36767" w:rsidRDefault="00C36767" w:rsidP="00C36767">
      <w:pPr>
        <w:pStyle w:val="ListParagraph"/>
        <w:jc w:val="both"/>
        <w:rPr>
          <w:rFonts w:ascii="Arial" w:hAnsi="Arial" w:cs="Arial"/>
          <w:color w:val="7B7B7B" w:themeColor="accent3" w:themeShade="BF"/>
          <w:sz w:val="22"/>
          <w:szCs w:val="22"/>
          <w:lang w:val="en-GB"/>
        </w:rPr>
      </w:pPr>
    </w:p>
    <w:p w14:paraId="672CCFBD" w14:textId="07313278" w:rsidR="00A4697B" w:rsidRDefault="00A4697B" w:rsidP="00A4697B">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Appoint an interim receiver of any property of the debtor for such term and subject to such conditions as it considers appropriate;</w:t>
      </w:r>
    </w:p>
    <w:p w14:paraId="38BB04D3" w14:textId="77777777" w:rsidR="00C36767" w:rsidRDefault="00C36767" w:rsidP="00C36767">
      <w:pPr>
        <w:pStyle w:val="ListParagraph"/>
        <w:jc w:val="both"/>
        <w:rPr>
          <w:rFonts w:ascii="Arial" w:hAnsi="Arial" w:cs="Arial"/>
          <w:color w:val="7B7B7B" w:themeColor="accent3" w:themeShade="BF"/>
          <w:sz w:val="22"/>
          <w:szCs w:val="22"/>
          <w:lang w:val="en-GB"/>
        </w:rPr>
      </w:pPr>
    </w:p>
    <w:p w14:paraId="2B78D1D5" w14:textId="49AACE59" w:rsidR="00A4697B" w:rsidRDefault="00A4697B" w:rsidP="00A4697B">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Authorize the examination by the foreign representative of the debtor or of any person who could be examined in a Virgin Islands insolvency proceeding in respect of a debtor;</w:t>
      </w:r>
    </w:p>
    <w:p w14:paraId="2A1B6F64" w14:textId="77777777" w:rsidR="00C36767" w:rsidRDefault="00C36767" w:rsidP="00C36767">
      <w:pPr>
        <w:pStyle w:val="ListParagraph"/>
        <w:jc w:val="both"/>
        <w:rPr>
          <w:rFonts w:ascii="Arial" w:hAnsi="Arial" w:cs="Arial"/>
          <w:color w:val="7B7B7B" w:themeColor="accent3" w:themeShade="BF"/>
          <w:sz w:val="22"/>
          <w:szCs w:val="22"/>
          <w:lang w:val="en-GB"/>
        </w:rPr>
      </w:pPr>
    </w:p>
    <w:p w14:paraId="65F6CD3E" w14:textId="79B4D9FB" w:rsidR="00A4697B" w:rsidRDefault="00A4697B" w:rsidP="00A4697B">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 or terminate or make any other order it consider</w:t>
      </w:r>
      <w:r w:rsidR="00C36767">
        <w:rPr>
          <w:rFonts w:ascii="Arial" w:hAnsi="Arial" w:cs="Arial"/>
          <w:color w:val="7B7B7B" w:themeColor="accent3" w:themeShade="BF"/>
          <w:sz w:val="22"/>
          <w:szCs w:val="22"/>
          <w:lang w:val="en-GB"/>
        </w:rPr>
        <w:t>s appropriate in relation to a Virgin Islands insolvency proceeding; or</w:t>
      </w:r>
    </w:p>
    <w:p w14:paraId="34B3C7D9" w14:textId="77777777" w:rsidR="00C36767" w:rsidRDefault="00C36767" w:rsidP="00C36767">
      <w:pPr>
        <w:pStyle w:val="ListParagraph"/>
        <w:jc w:val="both"/>
        <w:rPr>
          <w:rFonts w:ascii="Arial" w:hAnsi="Arial" w:cs="Arial"/>
          <w:color w:val="7B7B7B" w:themeColor="accent3" w:themeShade="BF"/>
          <w:sz w:val="22"/>
          <w:szCs w:val="22"/>
          <w:lang w:val="en-GB"/>
        </w:rPr>
      </w:pPr>
    </w:p>
    <w:p w14:paraId="5430F5F9" w14:textId="4BD2EFB5" w:rsidR="00C36767" w:rsidRPr="00A4697B" w:rsidRDefault="00C36767" w:rsidP="00A4697B">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Make such other or grant such other relief as it considers appropriate.</w:t>
      </w: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7F95D219" w14:textId="64B37F1A" w:rsidR="00802DB8" w:rsidRDefault="00D130C3" w:rsidP="00C16AD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C16AD1">
        <w:rPr>
          <w:rFonts w:ascii="Arial" w:hAnsi="Arial" w:cs="Arial"/>
          <w:color w:val="7B7B7B" w:themeColor="accent3" w:themeShade="BF"/>
          <w:sz w:val="22"/>
          <w:szCs w:val="22"/>
          <w:lang w:val="en-GB"/>
        </w:rPr>
        <w:t xml:space="preserve"> company will be considered insolvent in the BVI if:</w:t>
      </w:r>
      <w:r w:rsidR="00C16AD1">
        <w:rPr>
          <w:rStyle w:val="FootnoteReference"/>
          <w:rFonts w:ascii="Arial" w:hAnsi="Arial" w:cs="Arial"/>
          <w:color w:val="7B7B7B" w:themeColor="accent3" w:themeShade="BF"/>
          <w:sz w:val="22"/>
          <w:szCs w:val="22"/>
          <w:lang w:val="en-GB"/>
        </w:rPr>
        <w:footnoteReference w:id="4"/>
      </w:r>
    </w:p>
    <w:p w14:paraId="7B081A47" w14:textId="00E51D7E" w:rsidR="00C16AD1" w:rsidRDefault="00C16AD1" w:rsidP="00C16AD1">
      <w:pPr>
        <w:jc w:val="both"/>
        <w:rPr>
          <w:rFonts w:ascii="Arial" w:hAnsi="Arial" w:cs="Arial"/>
          <w:color w:val="7B7B7B" w:themeColor="accent3" w:themeShade="BF"/>
          <w:sz w:val="22"/>
          <w:szCs w:val="22"/>
          <w:lang w:val="en-GB"/>
        </w:rPr>
      </w:pPr>
    </w:p>
    <w:p w14:paraId="70A91C73" w14:textId="7B7B5D76" w:rsidR="00C16AD1" w:rsidRDefault="00C16AD1" w:rsidP="00C16AD1">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fails to comply with the requirements of a statutory demand that has not been set aside under section 157 of the Insolvency Act;</w:t>
      </w:r>
    </w:p>
    <w:p w14:paraId="46BD620A" w14:textId="77777777" w:rsidR="00C16AD1" w:rsidRDefault="00C16AD1" w:rsidP="00C16AD1">
      <w:pPr>
        <w:pStyle w:val="ListParagraph"/>
        <w:jc w:val="both"/>
        <w:rPr>
          <w:rFonts w:ascii="Arial" w:hAnsi="Arial" w:cs="Arial"/>
          <w:color w:val="7B7B7B" w:themeColor="accent3" w:themeShade="BF"/>
          <w:sz w:val="22"/>
          <w:szCs w:val="22"/>
          <w:lang w:val="en-GB"/>
        </w:rPr>
      </w:pPr>
    </w:p>
    <w:p w14:paraId="19B72F22" w14:textId="4385240F" w:rsidR="00C16AD1" w:rsidRDefault="00C16AD1" w:rsidP="00C16AD1">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Execution or other process issued on a judgment, decree or order of a Virgin Islands court in favour of a creditor of the company is returned wholly or partly unsatisfied; or,</w:t>
      </w:r>
    </w:p>
    <w:p w14:paraId="0CD06107" w14:textId="77777777" w:rsidR="00C16AD1" w:rsidRDefault="00C16AD1" w:rsidP="00C16AD1">
      <w:pPr>
        <w:pStyle w:val="ListParagraph"/>
        <w:jc w:val="both"/>
        <w:rPr>
          <w:rFonts w:ascii="Arial" w:hAnsi="Arial" w:cs="Arial"/>
          <w:color w:val="7B7B7B" w:themeColor="accent3" w:themeShade="BF"/>
          <w:sz w:val="22"/>
          <w:szCs w:val="22"/>
          <w:lang w:val="en-GB"/>
        </w:rPr>
      </w:pPr>
    </w:p>
    <w:p w14:paraId="65C52891" w14:textId="29F260BC" w:rsidR="00C16AD1" w:rsidRDefault="00C16AD1" w:rsidP="00C16AD1">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Either:</w:t>
      </w:r>
    </w:p>
    <w:p w14:paraId="236F910F" w14:textId="2CCBDFFA" w:rsidR="00C16AD1" w:rsidRDefault="00C16AD1" w:rsidP="00C16AD1">
      <w:pPr>
        <w:pStyle w:val="ListParagraph"/>
        <w:numPr>
          <w:ilvl w:val="1"/>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value of the company’s liabilities exceeds its assets; or,</w:t>
      </w:r>
    </w:p>
    <w:p w14:paraId="6BFB7281" w14:textId="54F3D772" w:rsidR="00C16AD1" w:rsidRPr="000E478C" w:rsidRDefault="00C16AD1" w:rsidP="00C16AD1">
      <w:pPr>
        <w:pStyle w:val="ListParagraph"/>
        <w:numPr>
          <w:ilvl w:val="1"/>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is unable to pay its debts as they fall due.</w:t>
      </w: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1E033D79" w14:textId="47EC070E" w:rsidR="00EA37D9" w:rsidRDefault="00D130C3" w:rsidP="00EE32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E82CEE">
        <w:rPr>
          <w:rFonts w:ascii="Arial" w:hAnsi="Arial" w:cs="Arial"/>
          <w:color w:val="7B7B7B" w:themeColor="accent3" w:themeShade="BF"/>
          <w:sz w:val="22"/>
          <w:szCs w:val="22"/>
          <w:lang w:val="en-GB"/>
        </w:rPr>
        <w:t>he liquidation of a company terminates</w:t>
      </w:r>
      <w:r w:rsidR="0054088D">
        <w:rPr>
          <w:rFonts w:ascii="Arial" w:hAnsi="Arial" w:cs="Arial"/>
          <w:color w:val="7B7B7B" w:themeColor="accent3" w:themeShade="BF"/>
          <w:sz w:val="22"/>
          <w:szCs w:val="22"/>
          <w:lang w:val="en-GB"/>
        </w:rPr>
        <w:t xml:space="preserve"> on the first occurring of:</w:t>
      </w:r>
      <w:r w:rsidR="00E82CEE">
        <w:rPr>
          <w:rStyle w:val="FootnoteReference"/>
          <w:rFonts w:ascii="Arial" w:hAnsi="Arial" w:cs="Arial"/>
          <w:color w:val="7B7B7B" w:themeColor="accent3" w:themeShade="BF"/>
          <w:sz w:val="22"/>
          <w:szCs w:val="22"/>
          <w:lang w:val="en-GB"/>
        </w:rPr>
        <w:footnoteReference w:id="5"/>
      </w:r>
    </w:p>
    <w:p w14:paraId="0411F101" w14:textId="58C01C11" w:rsidR="00EA37D9" w:rsidRDefault="00EA37D9" w:rsidP="00EE32C8">
      <w:pPr>
        <w:jc w:val="both"/>
        <w:rPr>
          <w:rFonts w:ascii="Arial" w:hAnsi="Arial" w:cs="Arial"/>
          <w:color w:val="7B7B7B" w:themeColor="accent3" w:themeShade="BF"/>
          <w:sz w:val="22"/>
          <w:szCs w:val="22"/>
          <w:lang w:val="en-GB"/>
        </w:rPr>
      </w:pPr>
    </w:p>
    <w:p w14:paraId="5D01966F" w14:textId="082BB0EA" w:rsidR="0054088D" w:rsidRDefault="0054088D" w:rsidP="0054088D">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making by the Court of an order terminating the liquidation;</w:t>
      </w:r>
    </w:p>
    <w:p w14:paraId="0F2EBD67" w14:textId="3713EFEC" w:rsidR="0054088D" w:rsidRDefault="0054088D" w:rsidP="0054088D">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filing by the liquidator of a certificate of compliance; or,</w:t>
      </w:r>
    </w:p>
    <w:p w14:paraId="12E8087A" w14:textId="4A6187CA" w:rsidR="0054088D" w:rsidRPr="0054088D" w:rsidRDefault="0054088D" w:rsidP="0054088D">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making by the Court of an order exempting the liquidator</w:t>
      </w:r>
      <w:r w:rsidR="00D820F6">
        <w:rPr>
          <w:rFonts w:ascii="Arial" w:hAnsi="Arial" w:cs="Arial"/>
          <w:color w:val="7B7B7B" w:themeColor="accent3" w:themeShade="BF"/>
          <w:sz w:val="22"/>
          <w:szCs w:val="22"/>
          <w:lang w:val="en-GB"/>
        </w:rPr>
        <w:t xml:space="preserve"> from the filing of a certificate of compliance.</w:t>
      </w:r>
    </w:p>
    <w:p w14:paraId="31AB6021" w14:textId="77777777" w:rsidR="00D820F6" w:rsidRDefault="00D820F6" w:rsidP="00EE32C8">
      <w:pPr>
        <w:jc w:val="both"/>
        <w:rPr>
          <w:rFonts w:ascii="Arial" w:hAnsi="Arial" w:cs="Arial"/>
          <w:color w:val="7B7B7B" w:themeColor="accent3" w:themeShade="BF"/>
          <w:sz w:val="22"/>
          <w:szCs w:val="22"/>
          <w:lang w:val="en-GB"/>
        </w:rPr>
      </w:pPr>
    </w:p>
    <w:p w14:paraId="4E7AC525" w14:textId="58BAE242" w:rsidR="00703057" w:rsidRPr="00703057" w:rsidRDefault="00703057" w:rsidP="00047272">
      <w:pPr>
        <w:keepNext/>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lastRenderedPageBreak/>
        <w:t>Court Application</w:t>
      </w:r>
    </w:p>
    <w:p w14:paraId="6BB63601" w14:textId="77777777" w:rsidR="00703057" w:rsidRDefault="00703057" w:rsidP="00047272">
      <w:pPr>
        <w:keepNext/>
        <w:jc w:val="both"/>
        <w:rPr>
          <w:rFonts w:ascii="Arial" w:hAnsi="Arial" w:cs="Arial"/>
          <w:color w:val="7B7B7B" w:themeColor="accent3" w:themeShade="BF"/>
          <w:sz w:val="22"/>
          <w:szCs w:val="22"/>
          <w:lang w:val="en-GB"/>
        </w:rPr>
      </w:pPr>
    </w:p>
    <w:p w14:paraId="38848916" w14:textId="68605003" w:rsidR="00D820F6" w:rsidRDefault="00D130C3" w:rsidP="00047272">
      <w:pPr>
        <w:keepNext/>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D820F6">
        <w:rPr>
          <w:rFonts w:ascii="Arial" w:hAnsi="Arial" w:cs="Arial"/>
          <w:color w:val="7B7B7B" w:themeColor="accent3" w:themeShade="BF"/>
          <w:sz w:val="22"/>
          <w:szCs w:val="22"/>
          <w:lang w:val="en-GB"/>
        </w:rPr>
        <w:t xml:space="preserve"> liquidator can make an application to the Court for an order terminating the liquidation if it is satisfied that it is just and equitable to do so.</w:t>
      </w:r>
      <w:r w:rsidR="006E656F">
        <w:rPr>
          <w:rFonts w:ascii="Arial" w:hAnsi="Arial" w:cs="Arial"/>
          <w:color w:val="7B7B7B" w:themeColor="accent3" w:themeShade="BF"/>
          <w:sz w:val="22"/>
          <w:szCs w:val="22"/>
          <w:lang w:val="en-GB"/>
        </w:rPr>
        <w:t xml:space="preserve">  </w:t>
      </w:r>
      <w:r w:rsidR="00047272">
        <w:rPr>
          <w:rFonts w:ascii="Arial" w:hAnsi="Arial" w:cs="Arial"/>
          <w:color w:val="7B7B7B" w:themeColor="accent3" w:themeShade="BF"/>
          <w:sz w:val="22"/>
          <w:szCs w:val="22"/>
          <w:lang w:val="en-GB"/>
        </w:rPr>
        <w:t>T</w:t>
      </w:r>
      <w:r w:rsidR="006E656F">
        <w:rPr>
          <w:rFonts w:ascii="Arial" w:hAnsi="Arial" w:cs="Arial"/>
          <w:color w:val="7B7B7B" w:themeColor="accent3" w:themeShade="BF"/>
          <w:sz w:val="22"/>
          <w:szCs w:val="22"/>
          <w:lang w:val="en-GB"/>
        </w:rPr>
        <w:t>he Court may require the liquidator to file a report with respect to any matters relevant to the application.</w:t>
      </w:r>
      <w:r w:rsidR="00D820F6">
        <w:rPr>
          <w:rStyle w:val="FootnoteReference"/>
          <w:rFonts w:ascii="Arial" w:hAnsi="Arial" w:cs="Arial"/>
          <w:color w:val="7B7B7B" w:themeColor="accent3" w:themeShade="BF"/>
          <w:sz w:val="22"/>
          <w:szCs w:val="22"/>
          <w:lang w:val="en-GB"/>
        </w:rPr>
        <w:footnoteReference w:id="6"/>
      </w:r>
    </w:p>
    <w:p w14:paraId="46523853" w14:textId="1486E9F4" w:rsidR="00D820F6" w:rsidRDefault="00D820F6" w:rsidP="00EE32C8">
      <w:pPr>
        <w:jc w:val="both"/>
        <w:rPr>
          <w:rFonts w:ascii="Arial" w:hAnsi="Arial" w:cs="Arial"/>
          <w:color w:val="7B7B7B" w:themeColor="accent3" w:themeShade="BF"/>
          <w:sz w:val="22"/>
          <w:szCs w:val="22"/>
          <w:lang w:val="en-GB"/>
        </w:rPr>
      </w:pPr>
    </w:p>
    <w:p w14:paraId="16C9DF4E" w14:textId="3B828135" w:rsidR="00703057" w:rsidRPr="00703057" w:rsidRDefault="00703057" w:rsidP="00EE32C8">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Final Report</w:t>
      </w:r>
    </w:p>
    <w:p w14:paraId="60D18BC0" w14:textId="77777777" w:rsidR="00703057" w:rsidRDefault="00703057" w:rsidP="00EE32C8">
      <w:pPr>
        <w:jc w:val="both"/>
        <w:rPr>
          <w:rFonts w:ascii="Arial" w:hAnsi="Arial" w:cs="Arial"/>
          <w:color w:val="7B7B7B" w:themeColor="accent3" w:themeShade="BF"/>
          <w:sz w:val="22"/>
          <w:szCs w:val="22"/>
          <w:lang w:val="en-GB"/>
        </w:rPr>
      </w:pPr>
    </w:p>
    <w:p w14:paraId="3FC859FF" w14:textId="560B896D" w:rsidR="00EE32C8" w:rsidRDefault="00047272" w:rsidP="00EE32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0F6B43">
        <w:rPr>
          <w:rFonts w:ascii="Arial" w:hAnsi="Arial" w:cs="Arial"/>
          <w:color w:val="7B7B7B" w:themeColor="accent3" w:themeShade="BF"/>
          <w:sz w:val="22"/>
          <w:szCs w:val="22"/>
          <w:lang w:val="en-GB"/>
        </w:rPr>
        <w:t>s soon as practicable after completing his duties in relation to the liquidation of a company, the liquidator shall</w:t>
      </w:r>
      <w:r w:rsidR="00EE32C8">
        <w:rPr>
          <w:rFonts w:ascii="Arial" w:hAnsi="Arial" w:cs="Arial"/>
          <w:color w:val="7B7B7B" w:themeColor="accent3" w:themeShade="BF"/>
          <w:sz w:val="22"/>
          <w:szCs w:val="22"/>
          <w:lang w:val="en-GB"/>
        </w:rPr>
        <w:t>:</w:t>
      </w:r>
      <w:r w:rsidR="00E82CEE">
        <w:rPr>
          <w:rStyle w:val="FootnoteReference"/>
          <w:rFonts w:ascii="Arial" w:hAnsi="Arial" w:cs="Arial"/>
          <w:color w:val="7B7B7B" w:themeColor="accent3" w:themeShade="BF"/>
          <w:sz w:val="22"/>
          <w:szCs w:val="22"/>
          <w:lang w:val="en-GB"/>
        </w:rPr>
        <w:footnoteReference w:id="7"/>
      </w:r>
    </w:p>
    <w:p w14:paraId="609BAA5F" w14:textId="4EE3F3FC" w:rsidR="00EE32C8" w:rsidRDefault="00EE32C8" w:rsidP="00EE32C8">
      <w:pPr>
        <w:jc w:val="both"/>
        <w:rPr>
          <w:rFonts w:ascii="Arial" w:hAnsi="Arial" w:cs="Arial"/>
          <w:color w:val="7B7B7B" w:themeColor="accent3" w:themeShade="BF"/>
          <w:sz w:val="22"/>
          <w:szCs w:val="22"/>
          <w:lang w:val="en-GB"/>
        </w:rPr>
      </w:pPr>
    </w:p>
    <w:p w14:paraId="1A13ECB5" w14:textId="11281E56" w:rsidR="00EE32C8" w:rsidRDefault="00EE32C8" w:rsidP="00EE32C8">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Prepare and send to every creditor of the company whose claim has been admitted and to every member of the company:</w:t>
      </w:r>
    </w:p>
    <w:p w14:paraId="4B207CF2" w14:textId="51AF6F01" w:rsidR="00EE32C8" w:rsidRDefault="00EE32C8" w:rsidP="00EE32C8">
      <w:pPr>
        <w:pStyle w:val="ListParagraph"/>
        <w:numPr>
          <w:ilvl w:val="1"/>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His final report and a statement of realizations and distributions in respect of the liquidation, and,</w:t>
      </w:r>
    </w:p>
    <w:p w14:paraId="68D12EC2" w14:textId="743E6329" w:rsidR="00EE32C8" w:rsidRDefault="00EE32C8" w:rsidP="00EE32C8">
      <w:pPr>
        <w:pStyle w:val="ListParagraph"/>
        <w:numPr>
          <w:ilvl w:val="1"/>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summary of the grounds upon which a creditor or member may object to the striking of the company from the Register; and,</w:t>
      </w:r>
    </w:p>
    <w:p w14:paraId="46AE105C" w14:textId="77777777" w:rsidR="00EE32C8" w:rsidRDefault="00EE32C8" w:rsidP="00EE32C8">
      <w:pPr>
        <w:pStyle w:val="ListParagraph"/>
        <w:jc w:val="both"/>
        <w:rPr>
          <w:rFonts w:ascii="Arial" w:hAnsi="Arial" w:cs="Arial"/>
          <w:color w:val="7B7B7B" w:themeColor="accent3" w:themeShade="BF"/>
          <w:sz w:val="22"/>
          <w:szCs w:val="22"/>
          <w:lang w:val="en-GB"/>
        </w:rPr>
      </w:pPr>
    </w:p>
    <w:p w14:paraId="186EFFA1" w14:textId="5F47EBA3" w:rsidR="00EE32C8" w:rsidRDefault="00EE32C8" w:rsidP="00EE32C8">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File with the Registrar a copy of the final report and the statement of realizations and distributions sent to the creditors and members of the company.</w:t>
      </w:r>
    </w:p>
    <w:p w14:paraId="6527AEAB" w14:textId="7B35F15F" w:rsidR="00B057E3" w:rsidRDefault="00B057E3" w:rsidP="00B057E3">
      <w:pPr>
        <w:jc w:val="both"/>
        <w:rPr>
          <w:rFonts w:ascii="Arial" w:hAnsi="Arial" w:cs="Arial"/>
          <w:color w:val="7B7B7B" w:themeColor="accent3" w:themeShade="BF"/>
          <w:sz w:val="22"/>
          <w:szCs w:val="22"/>
          <w:lang w:val="en-GB"/>
        </w:rPr>
      </w:pPr>
    </w:p>
    <w:p w14:paraId="5F79CCB6" w14:textId="1C8EB14F" w:rsidR="00B057E3" w:rsidRDefault="00B057E3" w:rsidP="00B057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be noted that on the application of the liquidator, the Court may on such terms and conditions as it considers just:</w:t>
      </w:r>
      <w:r w:rsidR="00154533">
        <w:rPr>
          <w:rStyle w:val="FootnoteReference"/>
          <w:rFonts w:ascii="Arial" w:hAnsi="Arial" w:cs="Arial"/>
          <w:color w:val="7B7B7B" w:themeColor="accent3" w:themeShade="BF"/>
          <w:sz w:val="22"/>
          <w:szCs w:val="22"/>
          <w:lang w:val="en-GB"/>
        </w:rPr>
        <w:footnoteReference w:id="8"/>
      </w:r>
    </w:p>
    <w:p w14:paraId="1CD922EC" w14:textId="511D6D15" w:rsidR="00B057E3" w:rsidRDefault="00B057E3" w:rsidP="00B057E3">
      <w:pPr>
        <w:jc w:val="both"/>
        <w:rPr>
          <w:rFonts w:ascii="Arial" w:hAnsi="Arial" w:cs="Arial"/>
          <w:color w:val="7B7B7B" w:themeColor="accent3" w:themeShade="BF"/>
          <w:sz w:val="22"/>
          <w:szCs w:val="22"/>
          <w:lang w:val="en-GB"/>
        </w:rPr>
      </w:pPr>
    </w:p>
    <w:p w14:paraId="70EEA50E" w14:textId="7104E22A" w:rsidR="00B057E3" w:rsidRDefault="00B057E3" w:rsidP="00B057E3">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Exempt the liquidator from the requirement to send a final report, statement of realizations and distributions in respect of the liquidation, and summary of grounds upon which a creditor or member may object to the striking of the company from the Register; or,</w:t>
      </w:r>
    </w:p>
    <w:p w14:paraId="63655E0A" w14:textId="4EC50DAF" w:rsidR="00B057E3" w:rsidRDefault="00B057E3" w:rsidP="00B057E3">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Modify the application of the relevant provisions as it relates to the final report to the liquidator.</w:t>
      </w:r>
    </w:p>
    <w:p w14:paraId="78AADF11" w14:textId="18A39F7B" w:rsidR="008C4989" w:rsidRDefault="008C4989" w:rsidP="008C4989">
      <w:pPr>
        <w:jc w:val="both"/>
        <w:rPr>
          <w:rFonts w:ascii="Arial" w:hAnsi="Arial" w:cs="Arial"/>
          <w:color w:val="7B7B7B" w:themeColor="accent3" w:themeShade="BF"/>
          <w:sz w:val="22"/>
          <w:szCs w:val="22"/>
          <w:lang w:val="en-GB"/>
        </w:rPr>
      </w:pPr>
    </w:p>
    <w:p w14:paraId="5829E143" w14:textId="0033CE68" w:rsidR="00703057" w:rsidRPr="00703057" w:rsidRDefault="00703057" w:rsidP="008C4989">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Release</w:t>
      </w:r>
      <w:r w:rsidR="00252E30">
        <w:rPr>
          <w:rFonts w:ascii="Arial" w:hAnsi="Arial" w:cs="Arial"/>
          <w:b/>
          <w:bCs/>
          <w:color w:val="7B7B7B" w:themeColor="accent3" w:themeShade="BF"/>
          <w:sz w:val="22"/>
          <w:szCs w:val="22"/>
          <w:lang w:val="en-GB"/>
        </w:rPr>
        <w:t xml:space="preserve"> of Liquidator</w:t>
      </w:r>
    </w:p>
    <w:p w14:paraId="5D323CC0" w14:textId="77777777" w:rsidR="00703057" w:rsidRDefault="00703057" w:rsidP="008C4989">
      <w:pPr>
        <w:jc w:val="both"/>
        <w:rPr>
          <w:rFonts w:ascii="Arial" w:hAnsi="Arial" w:cs="Arial"/>
          <w:color w:val="7B7B7B" w:themeColor="accent3" w:themeShade="BF"/>
          <w:sz w:val="22"/>
          <w:szCs w:val="22"/>
          <w:lang w:val="en-GB"/>
        </w:rPr>
      </w:pPr>
    </w:p>
    <w:p w14:paraId="6EAD1CDC" w14:textId="3EE55AE5" w:rsidR="008C4989" w:rsidRDefault="00154533" w:rsidP="008C49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w:t>
      </w:r>
      <w:r w:rsidR="008C4989">
        <w:rPr>
          <w:rFonts w:ascii="Arial" w:hAnsi="Arial" w:cs="Arial"/>
          <w:color w:val="7B7B7B" w:themeColor="accent3" w:themeShade="BF"/>
          <w:sz w:val="22"/>
          <w:szCs w:val="22"/>
          <w:lang w:val="en-GB"/>
        </w:rPr>
        <w:t>pon termination of the liquidation, the former liquidator may apply to the Court for his release the effect of which would be to discharge him from all liability in respect of any act or default of his in relation to the administration of the company.</w:t>
      </w:r>
      <w:r w:rsidR="008C4989">
        <w:rPr>
          <w:rStyle w:val="FootnoteReference"/>
          <w:rFonts w:ascii="Arial" w:hAnsi="Arial" w:cs="Arial"/>
          <w:color w:val="7B7B7B" w:themeColor="accent3" w:themeShade="BF"/>
          <w:sz w:val="22"/>
          <w:szCs w:val="22"/>
          <w:lang w:val="en-GB"/>
        </w:rPr>
        <w:footnoteReference w:id="9"/>
      </w:r>
      <w:r w:rsidR="008C4989">
        <w:rPr>
          <w:rFonts w:ascii="Arial" w:hAnsi="Arial" w:cs="Arial"/>
          <w:color w:val="7B7B7B" w:themeColor="accent3" w:themeShade="BF"/>
          <w:sz w:val="22"/>
          <w:szCs w:val="22"/>
          <w:lang w:val="en-GB"/>
        </w:rPr>
        <w:t xml:space="preserve">  </w:t>
      </w:r>
      <w:r w:rsidR="00C76464">
        <w:rPr>
          <w:rFonts w:ascii="Arial" w:hAnsi="Arial" w:cs="Arial"/>
          <w:color w:val="7B7B7B" w:themeColor="accent3" w:themeShade="BF"/>
          <w:sz w:val="22"/>
          <w:szCs w:val="22"/>
          <w:lang w:val="en-GB"/>
        </w:rPr>
        <w:t xml:space="preserve">However, </w:t>
      </w:r>
      <w:r w:rsidR="00703057">
        <w:rPr>
          <w:rFonts w:ascii="Arial" w:hAnsi="Arial" w:cs="Arial"/>
          <w:color w:val="7B7B7B" w:themeColor="accent3" w:themeShade="BF"/>
          <w:sz w:val="22"/>
          <w:szCs w:val="22"/>
          <w:lang w:val="en-GB"/>
        </w:rPr>
        <w:t>with leave of the Court, the Court may make an order for a remedy (or remedies) against the former liquidator despite such release.</w:t>
      </w:r>
      <w:r w:rsidR="00703057">
        <w:rPr>
          <w:rStyle w:val="FootnoteReference"/>
          <w:rFonts w:ascii="Arial" w:hAnsi="Arial" w:cs="Arial"/>
          <w:color w:val="7B7B7B" w:themeColor="accent3" w:themeShade="BF"/>
          <w:sz w:val="22"/>
          <w:szCs w:val="22"/>
          <w:lang w:val="en-GB"/>
        </w:rPr>
        <w:footnoteReference w:id="10"/>
      </w:r>
    </w:p>
    <w:p w14:paraId="3EF08FEE" w14:textId="2DCE6BC3" w:rsidR="00252E30" w:rsidRDefault="00252E30" w:rsidP="008C4989">
      <w:pPr>
        <w:jc w:val="both"/>
        <w:rPr>
          <w:rFonts w:ascii="Arial" w:hAnsi="Arial" w:cs="Arial"/>
          <w:color w:val="7B7B7B" w:themeColor="accent3" w:themeShade="BF"/>
          <w:sz w:val="22"/>
          <w:szCs w:val="22"/>
          <w:lang w:val="en-GB"/>
        </w:rPr>
      </w:pPr>
    </w:p>
    <w:p w14:paraId="6308EA8F" w14:textId="39240512" w:rsidR="00252E30" w:rsidRDefault="00252E30" w:rsidP="008C4989">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Dissolution</w:t>
      </w:r>
    </w:p>
    <w:p w14:paraId="6E4E9A4A" w14:textId="5881EF4F" w:rsidR="00252E30" w:rsidRDefault="00252E30" w:rsidP="008C4989">
      <w:pPr>
        <w:jc w:val="both"/>
        <w:rPr>
          <w:rFonts w:ascii="Arial" w:hAnsi="Arial" w:cs="Arial"/>
          <w:b/>
          <w:bCs/>
          <w:color w:val="7B7B7B" w:themeColor="accent3" w:themeShade="BF"/>
          <w:sz w:val="22"/>
          <w:szCs w:val="22"/>
          <w:lang w:val="en-GB"/>
        </w:rPr>
      </w:pPr>
    </w:p>
    <w:p w14:paraId="6909B5A2" w14:textId="106048E2" w:rsidR="00544127" w:rsidRDefault="00816B2A" w:rsidP="000F4B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practice, upon termination and completion of the liquidation and release of the liquidator, the fo</w:t>
      </w:r>
      <w:r w:rsidR="000F4B4B">
        <w:rPr>
          <w:rFonts w:ascii="Arial" w:hAnsi="Arial" w:cs="Arial"/>
          <w:color w:val="7B7B7B" w:themeColor="accent3" w:themeShade="BF"/>
          <w:sz w:val="22"/>
          <w:szCs w:val="22"/>
          <w:lang w:val="en-GB"/>
        </w:rPr>
        <w:t xml:space="preserve">rmer liquidator </w:t>
      </w:r>
      <w:r w:rsidR="00C76464">
        <w:rPr>
          <w:rFonts w:ascii="Arial" w:hAnsi="Arial" w:cs="Arial"/>
          <w:color w:val="7B7B7B" w:themeColor="accent3" w:themeShade="BF"/>
          <w:sz w:val="22"/>
          <w:szCs w:val="22"/>
          <w:lang w:val="en-GB"/>
        </w:rPr>
        <w:t>would</w:t>
      </w:r>
      <w:r>
        <w:rPr>
          <w:rFonts w:ascii="Arial" w:hAnsi="Arial" w:cs="Arial"/>
          <w:color w:val="7B7B7B" w:themeColor="accent3" w:themeShade="BF"/>
          <w:sz w:val="22"/>
          <w:szCs w:val="22"/>
          <w:lang w:val="en-GB"/>
        </w:rPr>
        <w:t xml:space="preserve"> request the dissolution of the company from the Registrar.  However, </w:t>
      </w:r>
      <w:r w:rsidR="000F4B4B">
        <w:rPr>
          <w:rFonts w:ascii="Arial" w:hAnsi="Arial" w:cs="Arial"/>
          <w:color w:val="7B7B7B" w:themeColor="accent3" w:themeShade="BF"/>
          <w:sz w:val="22"/>
          <w:szCs w:val="22"/>
          <w:lang w:val="en-GB"/>
        </w:rPr>
        <w:t>there is the possibility of the company continuing in business following the termination of the liquidation (such as where the liabilities upon which the liquidation was based were fully satisfied during the liquidation).</w:t>
      </w:r>
    </w:p>
    <w:p w14:paraId="5AA0200A" w14:textId="77777777" w:rsidR="000F4B4B" w:rsidRPr="008065CE" w:rsidRDefault="000F4B4B" w:rsidP="000F4B4B">
      <w:pPr>
        <w:jc w:val="both"/>
        <w:rPr>
          <w:rFonts w:ascii="Arial" w:hAnsi="Arial" w:cs="Arial"/>
          <w:sz w:val="22"/>
          <w:szCs w:val="22"/>
          <w:lang w:val="en-GB"/>
        </w:rPr>
      </w:pPr>
    </w:p>
    <w:p w14:paraId="2D9D7BAF" w14:textId="77777777" w:rsidR="00C550C8" w:rsidRPr="008065CE" w:rsidRDefault="00C550C8" w:rsidP="00C76464">
      <w:pPr>
        <w:keepNext/>
        <w:ind w:left="720" w:hanging="720"/>
        <w:jc w:val="both"/>
        <w:rPr>
          <w:rFonts w:ascii="Arial" w:hAnsi="Arial" w:cs="Arial"/>
          <w:b/>
          <w:bCs/>
          <w:sz w:val="22"/>
          <w:szCs w:val="22"/>
          <w:lang w:val="en-GB"/>
        </w:rPr>
      </w:pPr>
      <w:r w:rsidRPr="008065CE">
        <w:rPr>
          <w:rFonts w:ascii="Arial" w:hAnsi="Arial" w:cs="Arial"/>
          <w:b/>
          <w:bCs/>
          <w:sz w:val="22"/>
          <w:szCs w:val="22"/>
          <w:lang w:val="en-GB"/>
        </w:rPr>
        <w:lastRenderedPageBreak/>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C76464">
      <w:pPr>
        <w:keepNext/>
        <w:ind w:left="720" w:hanging="720"/>
        <w:jc w:val="both"/>
        <w:rPr>
          <w:rFonts w:ascii="Arial" w:hAnsi="Arial" w:cs="Arial"/>
          <w:sz w:val="22"/>
          <w:szCs w:val="22"/>
          <w:lang w:val="en-GB"/>
        </w:rPr>
      </w:pPr>
    </w:p>
    <w:p w14:paraId="5A4FA01D" w14:textId="1E9CA734" w:rsidR="00AF69E4" w:rsidRPr="008065CE" w:rsidRDefault="005563EB" w:rsidP="00C76464">
      <w:pPr>
        <w:keepNext/>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323A2B89" w:rsidR="00DF75F8" w:rsidRDefault="00DB57F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A0660D">
        <w:rPr>
          <w:rFonts w:ascii="Arial" w:hAnsi="Arial" w:cs="Arial"/>
          <w:color w:val="7B7B7B" w:themeColor="accent3" w:themeShade="BF"/>
          <w:sz w:val="22"/>
          <w:szCs w:val="22"/>
          <w:lang w:val="en-GB"/>
        </w:rPr>
        <w:t>n overseas insolvency practitioner may be appointed in relation to a BVI company jointly with a licensee or the Official Receiver.</w:t>
      </w:r>
      <w:r w:rsidR="00A0660D">
        <w:rPr>
          <w:rStyle w:val="FootnoteReference"/>
          <w:rFonts w:ascii="Arial" w:hAnsi="Arial" w:cs="Arial"/>
          <w:color w:val="7B7B7B" w:themeColor="accent3" w:themeShade="BF"/>
          <w:sz w:val="22"/>
          <w:szCs w:val="22"/>
          <w:lang w:val="en-GB"/>
        </w:rPr>
        <w:footnoteReference w:id="11"/>
      </w:r>
    </w:p>
    <w:p w14:paraId="522052F5" w14:textId="230699EB" w:rsidR="00116B8D" w:rsidRDefault="00116B8D" w:rsidP="008065CE">
      <w:pPr>
        <w:jc w:val="both"/>
        <w:rPr>
          <w:rFonts w:ascii="Arial" w:hAnsi="Arial" w:cs="Arial"/>
          <w:color w:val="7B7B7B" w:themeColor="accent3" w:themeShade="BF"/>
          <w:sz w:val="22"/>
          <w:szCs w:val="22"/>
          <w:lang w:val="en-GB"/>
        </w:rPr>
      </w:pPr>
    </w:p>
    <w:p w14:paraId="4F4B91C1" w14:textId="470AA09E" w:rsidR="00116B8D" w:rsidRPr="00116B8D" w:rsidRDefault="00116B8D" w:rsidP="008065CE">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Creditor</w:t>
      </w:r>
      <w:r w:rsidR="008D13AA">
        <w:rPr>
          <w:rFonts w:ascii="Arial" w:hAnsi="Arial" w:cs="Arial"/>
          <w:b/>
          <w:bCs/>
          <w:color w:val="7B7B7B" w:themeColor="accent3" w:themeShade="BF"/>
          <w:sz w:val="22"/>
          <w:szCs w:val="22"/>
          <w:lang w:val="en-GB"/>
        </w:rPr>
        <w:t xml:space="preserve"> Considerations</w:t>
      </w:r>
    </w:p>
    <w:p w14:paraId="32F28375" w14:textId="4C2EBAB4" w:rsidR="00116B8D" w:rsidRDefault="00116B8D" w:rsidP="00116B8D">
      <w:pPr>
        <w:jc w:val="both"/>
        <w:rPr>
          <w:rFonts w:ascii="Arial" w:hAnsi="Arial" w:cs="Arial"/>
          <w:color w:val="7B7B7B" w:themeColor="accent3" w:themeShade="BF"/>
          <w:sz w:val="22"/>
          <w:szCs w:val="22"/>
          <w:lang w:val="en-GB"/>
        </w:rPr>
      </w:pPr>
    </w:p>
    <w:p w14:paraId="2FF36C43" w14:textId="61D9EC78" w:rsidR="00116B8D" w:rsidRDefault="008D13AA" w:rsidP="0063778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116B8D">
        <w:rPr>
          <w:rFonts w:ascii="Arial" w:hAnsi="Arial" w:cs="Arial"/>
          <w:color w:val="7B7B7B" w:themeColor="accent3" w:themeShade="BF"/>
          <w:sz w:val="22"/>
          <w:szCs w:val="22"/>
          <w:lang w:val="en-GB"/>
        </w:rPr>
        <w:t xml:space="preserve">hen considering the appointment of an </w:t>
      </w:r>
      <w:r w:rsidR="00637783">
        <w:rPr>
          <w:rFonts w:ascii="Arial" w:hAnsi="Arial" w:cs="Arial"/>
          <w:color w:val="7B7B7B" w:themeColor="accent3" w:themeShade="BF"/>
          <w:sz w:val="22"/>
          <w:szCs w:val="22"/>
          <w:lang w:val="en-GB"/>
        </w:rPr>
        <w:t>overseas insolvency practitioner, the creditor can take into consideration the worldwide location of the company’s assets</w:t>
      </w:r>
      <w:r w:rsidR="00AB2BBF">
        <w:rPr>
          <w:rFonts w:ascii="Arial" w:hAnsi="Arial" w:cs="Arial"/>
          <w:color w:val="7B7B7B" w:themeColor="accent3" w:themeShade="BF"/>
          <w:sz w:val="22"/>
          <w:szCs w:val="22"/>
          <w:lang w:val="en-GB"/>
        </w:rPr>
        <w:t xml:space="preserve"> or potential assets</w:t>
      </w:r>
      <w:r w:rsidR="00637783">
        <w:rPr>
          <w:rFonts w:ascii="Arial" w:hAnsi="Arial" w:cs="Arial"/>
          <w:color w:val="7B7B7B" w:themeColor="accent3" w:themeShade="BF"/>
          <w:sz w:val="22"/>
          <w:szCs w:val="22"/>
          <w:lang w:val="en-GB"/>
        </w:rPr>
        <w:t xml:space="preserve">.  Having an experienced insolvency practitioner in the jurisdiction(s) of the assets can assist in saving the liquidation estate costs </w:t>
      </w:r>
      <w:r w:rsidR="00AB2BBF">
        <w:rPr>
          <w:rFonts w:ascii="Arial" w:hAnsi="Arial" w:cs="Arial"/>
          <w:color w:val="7B7B7B" w:themeColor="accent3" w:themeShade="BF"/>
          <w:sz w:val="22"/>
          <w:szCs w:val="22"/>
          <w:lang w:val="en-GB"/>
        </w:rPr>
        <w:t xml:space="preserve">(including travel and accommodation, for example) </w:t>
      </w:r>
      <w:r w:rsidR="00637783">
        <w:rPr>
          <w:rFonts w:ascii="Arial" w:hAnsi="Arial" w:cs="Arial"/>
          <w:color w:val="7B7B7B" w:themeColor="accent3" w:themeShade="BF"/>
          <w:sz w:val="22"/>
          <w:szCs w:val="22"/>
          <w:lang w:val="en-GB"/>
        </w:rPr>
        <w:t xml:space="preserve">as well as increase the </w:t>
      </w:r>
      <w:r w:rsidR="00AB2BBF">
        <w:rPr>
          <w:rFonts w:ascii="Arial" w:hAnsi="Arial" w:cs="Arial"/>
          <w:color w:val="7B7B7B" w:themeColor="accent3" w:themeShade="BF"/>
          <w:sz w:val="22"/>
          <w:szCs w:val="22"/>
          <w:lang w:val="en-GB"/>
        </w:rPr>
        <w:t>ease</w:t>
      </w:r>
      <w:r w:rsidR="00637783">
        <w:rPr>
          <w:rFonts w:ascii="Arial" w:hAnsi="Arial" w:cs="Arial"/>
          <w:color w:val="7B7B7B" w:themeColor="accent3" w:themeShade="BF"/>
          <w:sz w:val="22"/>
          <w:szCs w:val="22"/>
          <w:lang w:val="en-GB"/>
        </w:rPr>
        <w:t xml:space="preserve"> of taking control of and realizing the assets whether it be physical tangible assets </w:t>
      </w:r>
      <w:r w:rsidR="00AB2BBF">
        <w:rPr>
          <w:rFonts w:ascii="Arial" w:hAnsi="Arial" w:cs="Arial"/>
          <w:color w:val="7B7B7B" w:themeColor="accent3" w:themeShade="BF"/>
          <w:sz w:val="22"/>
          <w:szCs w:val="22"/>
          <w:lang w:val="en-GB"/>
        </w:rPr>
        <w:t>and</w:t>
      </w:r>
      <w:r w:rsidR="00637783">
        <w:rPr>
          <w:rFonts w:ascii="Arial" w:hAnsi="Arial" w:cs="Arial"/>
          <w:color w:val="7B7B7B" w:themeColor="accent3" w:themeShade="BF"/>
          <w:sz w:val="22"/>
          <w:szCs w:val="22"/>
          <w:lang w:val="en-GB"/>
        </w:rPr>
        <w:t xml:space="preserve"> foreign claims</w:t>
      </w:r>
      <w:r w:rsidR="00AB2BBF">
        <w:rPr>
          <w:rFonts w:ascii="Arial" w:hAnsi="Arial" w:cs="Arial"/>
          <w:color w:val="7B7B7B" w:themeColor="accent3" w:themeShade="BF"/>
          <w:sz w:val="22"/>
          <w:szCs w:val="22"/>
          <w:lang w:val="en-GB"/>
        </w:rPr>
        <w:t xml:space="preserve"> including those</w:t>
      </w:r>
      <w:r w:rsidR="00637783">
        <w:rPr>
          <w:rFonts w:ascii="Arial" w:hAnsi="Arial" w:cs="Arial"/>
          <w:color w:val="7B7B7B" w:themeColor="accent3" w:themeShade="BF"/>
          <w:sz w:val="22"/>
          <w:szCs w:val="22"/>
          <w:lang w:val="en-GB"/>
        </w:rPr>
        <w:t xml:space="preserve"> subject to litigation.</w:t>
      </w:r>
    </w:p>
    <w:p w14:paraId="43494491" w14:textId="6CD83B06" w:rsidR="00AB2BBF" w:rsidRDefault="00AB2BBF" w:rsidP="00637783">
      <w:pPr>
        <w:jc w:val="both"/>
        <w:rPr>
          <w:rFonts w:ascii="Arial" w:hAnsi="Arial" w:cs="Arial"/>
          <w:color w:val="7B7B7B" w:themeColor="accent3" w:themeShade="BF"/>
          <w:sz w:val="22"/>
          <w:szCs w:val="22"/>
          <w:lang w:val="en-GB"/>
        </w:rPr>
      </w:pPr>
    </w:p>
    <w:p w14:paraId="3E5D58E7" w14:textId="434C4646" w:rsidR="00AB2BBF" w:rsidRDefault="00AB2BBF" w:rsidP="00637783">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Procedure</w:t>
      </w:r>
    </w:p>
    <w:p w14:paraId="6030C771" w14:textId="4A6015FD" w:rsidR="00AB2BBF" w:rsidRDefault="00AB2BBF" w:rsidP="00637783">
      <w:pPr>
        <w:jc w:val="both"/>
        <w:rPr>
          <w:rFonts w:ascii="Arial" w:hAnsi="Arial" w:cs="Arial"/>
          <w:b/>
          <w:bCs/>
          <w:color w:val="7B7B7B" w:themeColor="accent3" w:themeShade="BF"/>
          <w:sz w:val="22"/>
          <w:szCs w:val="22"/>
          <w:lang w:val="en-GB"/>
        </w:rPr>
      </w:pPr>
    </w:p>
    <w:p w14:paraId="091B1787" w14:textId="5D04A129" w:rsidR="008D13AA" w:rsidRDefault="00DB57F4" w:rsidP="008D13A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8D13AA">
        <w:rPr>
          <w:rFonts w:ascii="Arial" w:hAnsi="Arial" w:cs="Arial"/>
          <w:color w:val="7B7B7B" w:themeColor="accent3" w:themeShade="BF"/>
          <w:sz w:val="22"/>
          <w:szCs w:val="22"/>
          <w:lang w:val="en-GB"/>
        </w:rPr>
        <w:t>he appointor of an overseas insolvency practitioner must be satisfied that:</w:t>
      </w:r>
      <w:r w:rsidR="008D13AA">
        <w:rPr>
          <w:rStyle w:val="FootnoteReference"/>
          <w:rFonts w:ascii="Arial" w:hAnsi="Arial" w:cs="Arial"/>
          <w:color w:val="7B7B7B" w:themeColor="accent3" w:themeShade="BF"/>
          <w:sz w:val="22"/>
          <w:szCs w:val="22"/>
          <w:lang w:val="en-GB"/>
        </w:rPr>
        <w:footnoteReference w:id="12"/>
      </w:r>
    </w:p>
    <w:p w14:paraId="5C2F9657" w14:textId="77777777" w:rsidR="006951FB" w:rsidRDefault="006951FB" w:rsidP="008D13AA">
      <w:pPr>
        <w:jc w:val="both"/>
        <w:rPr>
          <w:rFonts w:ascii="Arial" w:hAnsi="Arial" w:cs="Arial"/>
          <w:color w:val="7B7B7B" w:themeColor="accent3" w:themeShade="BF"/>
          <w:sz w:val="22"/>
          <w:szCs w:val="22"/>
          <w:lang w:val="en-GB"/>
        </w:rPr>
      </w:pPr>
    </w:p>
    <w:p w14:paraId="6F625248" w14:textId="77777777" w:rsidR="008D13AA" w:rsidRDefault="008D13AA" w:rsidP="008D13AA">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 has sufficient qualifications and experience to act in the insolvency proceeding in respect of which the appointment is made,</w:t>
      </w:r>
    </w:p>
    <w:p w14:paraId="3C2657FD" w14:textId="77777777" w:rsidR="006951FB" w:rsidRDefault="006951FB" w:rsidP="006951FB">
      <w:pPr>
        <w:pStyle w:val="ListParagraph"/>
        <w:jc w:val="both"/>
        <w:rPr>
          <w:rFonts w:ascii="Arial" w:hAnsi="Arial" w:cs="Arial"/>
          <w:color w:val="7B7B7B" w:themeColor="accent3" w:themeShade="BF"/>
          <w:sz w:val="22"/>
          <w:szCs w:val="22"/>
          <w:lang w:val="en-GB"/>
        </w:rPr>
      </w:pPr>
    </w:p>
    <w:p w14:paraId="29FB95DC" w14:textId="28A77AFF" w:rsidR="008D13AA" w:rsidRDefault="008D13AA" w:rsidP="008D13AA">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 has given his written consent to act in the prescribed form,</w:t>
      </w:r>
    </w:p>
    <w:p w14:paraId="733007F8" w14:textId="77777777" w:rsidR="006951FB" w:rsidRDefault="006951FB" w:rsidP="006951FB">
      <w:pPr>
        <w:pStyle w:val="ListParagraph"/>
        <w:jc w:val="both"/>
        <w:rPr>
          <w:rFonts w:ascii="Arial" w:hAnsi="Arial" w:cs="Arial"/>
          <w:color w:val="7B7B7B" w:themeColor="accent3" w:themeShade="BF"/>
          <w:sz w:val="22"/>
          <w:szCs w:val="22"/>
          <w:lang w:val="en-GB"/>
        </w:rPr>
      </w:pPr>
    </w:p>
    <w:p w14:paraId="33B0DC95" w14:textId="260A461A" w:rsidR="008D13AA" w:rsidRDefault="008D13AA" w:rsidP="008D13AA">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 is not disqualified from holding a licence,</w:t>
      </w:r>
    </w:p>
    <w:p w14:paraId="099402A5" w14:textId="77777777" w:rsidR="006951FB" w:rsidRDefault="006951FB" w:rsidP="006951FB">
      <w:pPr>
        <w:pStyle w:val="ListParagraph"/>
        <w:jc w:val="both"/>
        <w:rPr>
          <w:rFonts w:ascii="Arial" w:hAnsi="Arial" w:cs="Arial"/>
          <w:color w:val="7B7B7B" w:themeColor="accent3" w:themeShade="BF"/>
          <w:sz w:val="22"/>
          <w:szCs w:val="22"/>
          <w:lang w:val="en-GB"/>
        </w:rPr>
      </w:pPr>
    </w:p>
    <w:p w14:paraId="230B1ACB" w14:textId="14AE9B99" w:rsidR="008D13AA" w:rsidRDefault="008D13AA" w:rsidP="008D13AA">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 Is not disqualified from acting in the case of a company or a foreign company,</w:t>
      </w:r>
    </w:p>
    <w:p w14:paraId="4D9EB089" w14:textId="77777777" w:rsidR="006951FB" w:rsidRDefault="006951FB" w:rsidP="006951FB">
      <w:pPr>
        <w:pStyle w:val="ListParagraph"/>
        <w:jc w:val="both"/>
        <w:rPr>
          <w:rFonts w:ascii="Arial" w:hAnsi="Arial" w:cs="Arial"/>
          <w:color w:val="7B7B7B" w:themeColor="accent3" w:themeShade="BF"/>
          <w:sz w:val="22"/>
          <w:szCs w:val="22"/>
          <w:lang w:val="en-GB"/>
        </w:rPr>
      </w:pPr>
    </w:p>
    <w:p w14:paraId="7C0FAF57" w14:textId="0E36210D" w:rsidR="008D13AA" w:rsidRDefault="008D13AA" w:rsidP="008D13AA">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in force such security for the proper performance of his functions, and,</w:t>
      </w:r>
    </w:p>
    <w:p w14:paraId="54E1F774" w14:textId="77777777" w:rsidR="006951FB" w:rsidRDefault="006951FB" w:rsidP="006951FB">
      <w:pPr>
        <w:pStyle w:val="ListParagraph"/>
        <w:jc w:val="both"/>
        <w:rPr>
          <w:rFonts w:ascii="Arial" w:hAnsi="Arial" w:cs="Arial"/>
          <w:color w:val="7B7B7B" w:themeColor="accent3" w:themeShade="BF"/>
          <w:sz w:val="22"/>
          <w:szCs w:val="22"/>
          <w:lang w:val="en-GB"/>
        </w:rPr>
      </w:pPr>
    </w:p>
    <w:p w14:paraId="00C69565" w14:textId="5BE7562E" w:rsidR="008D13AA" w:rsidRDefault="008D13AA" w:rsidP="008D13AA">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written notice of his appointment have been given to the Commission.</w:t>
      </w:r>
    </w:p>
    <w:p w14:paraId="18E6EA12" w14:textId="54BAAE4F" w:rsidR="008D13AA" w:rsidRDefault="008D13AA" w:rsidP="008D13AA">
      <w:pPr>
        <w:jc w:val="both"/>
        <w:rPr>
          <w:rFonts w:ascii="Arial" w:hAnsi="Arial" w:cs="Arial"/>
          <w:color w:val="7B7B7B" w:themeColor="accent3" w:themeShade="BF"/>
          <w:sz w:val="22"/>
          <w:szCs w:val="22"/>
          <w:lang w:val="en-GB"/>
        </w:rPr>
      </w:pPr>
    </w:p>
    <w:p w14:paraId="18BDFD65" w14:textId="13FD794C" w:rsidR="008D13AA" w:rsidRDefault="008D13AA" w:rsidP="008D13A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 Commission may:</w:t>
      </w:r>
      <w:r w:rsidR="006951FB">
        <w:rPr>
          <w:rStyle w:val="FootnoteReference"/>
          <w:rFonts w:ascii="Arial" w:hAnsi="Arial" w:cs="Arial"/>
          <w:color w:val="7B7B7B" w:themeColor="accent3" w:themeShade="BF"/>
          <w:sz w:val="22"/>
          <w:szCs w:val="22"/>
          <w:lang w:val="en-GB"/>
        </w:rPr>
        <w:footnoteReference w:id="13"/>
      </w:r>
    </w:p>
    <w:p w14:paraId="2329AEA9" w14:textId="111E52E7" w:rsidR="008D13AA" w:rsidRDefault="008D13AA" w:rsidP="008D13AA">
      <w:pPr>
        <w:jc w:val="both"/>
        <w:rPr>
          <w:rFonts w:ascii="Arial" w:hAnsi="Arial" w:cs="Arial"/>
          <w:color w:val="7B7B7B" w:themeColor="accent3" w:themeShade="BF"/>
          <w:sz w:val="22"/>
          <w:szCs w:val="22"/>
          <w:lang w:val="en-GB"/>
        </w:rPr>
      </w:pPr>
    </w:p>
    <w:p w14:paraId="535F22A9" w14:textId="0F72BEF3" w:rsidR="008D13AA" w:rsidRDefault="008D13AA" w:rsidP="008D13AA">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Appear and be heard at the hearing of a Court application for the purpose of objecting to the appointment, or</w:t>
      </w:r>
    </w:p>
    <w:p w14:paraId="3636D004" w14:textId="77777777" w:rsidR="006951FB" w:rsidRDefault="006951FB" w:rsidP="006951FB">
      <w:pPr>
        <w:pStyle w:val="ListParagraph"/>
        <w:jc w:val="both"/>
        <w:rPr>
          <w:rFonts w:ascii="Arial" w:hAnsi="Arial" w:cs="Arial"/>
          <w:color w:val="7B7B7B" w:themeColor="accent3" w:themeShade="BF"/>
          <w:sz w:val="22"/>
          <w:szCs w:val="22"/>
          <w:lang w:val="en-GB"/>
        </w:rPr>
      </w:pPr>
    </w:p>
    <w:p w14:paraId="40141AB0" w14:textId="6FD704A3" w:rsidR="008D13AA" w:rsidRDefault="008D13AA" w:rsidP="008D13AA">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 the appointor notice that it intends to apply to the Court for an order that the overseas insolvency practitioner concerned should not be appointed.</w:t>
      </w:r>
    </w:p>
    <w:p w14:paraId="0FFCF3CC" w14:textId="77777777" w:rsidR="006951FB" w:rsidRPr="006951FB" w:rsidRDefault="006951FB" w:rsidP="006951FB">
      <w:pPr>
        <w:pStyle w:val="ListParagraph"/>
        <w:rPr>
          <w:rFonts w:ascii="Arial" w:hAnsi="Arial" w:cs="Arial"/>
          <w:color w:val="7B7B7B" w:themeColor="accent3" w:themeShade="BF"/>
          <w:sz w:val="22"/>
          <w:szCs w:val="22"/>
          <w:lang w:val="en-GB"/>
        </w:rPr>
      </w:pPr>
    </w:p>
    <w:p w14:paraId="26D9E398" w14:textId="2F3D73B6" w:rsidR="006951FB" w:rsidRPr="006951FB" w:rsidRDefault="006951FB" w:rsidP="006951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 a letter is written to the Commission (either by the foreign insolvency practitioner or by the BVI insolvency practitioner) seeking approval of the appointment of the overseas insolvency practitioner.  Such approval is usually received prior to the Court hearing and is included in the application in support of the appointment.</w:t>
      </w:r>
    </w:p>
    <w:p w14:paraId="1E8766F5" w14:textId="48D6E2B3" w:rsidR="00962045" w:rsidRDefault="00962045" w:rsidP="008065CE">
      <w:pPr>
        <w:jc w:val="both"/>
        <w:rPr>
          <w:rFonts w:ascii="Arial" w:hAnsi="Arial" w:cs="Arial"/>
          <w:sz w:val="22"/>
          <w:szCs w:val="22"/>
          <w:shd w:val="clear" w:color="auto" w:fill="FFFFFF"/>
          <w:lang w:val="en-GB"/>
        </w:rPr>
      </w:pPr>
    </w:p>
    <w:p w14:paraId="5D79B52D" w14:textId="77777777" w:rsidR="00802DB8" w:rsidRPr="008065CE" w:rsidRDefault="00802DB8" w:rsidP="006951FB">
      <w:pPr>
        <w:keepNext/>
        <w:ind w:left="720" w:hanging="720"/>
        <w:jc w:val="both"/>
        <w:rPr>
          <w:rFonts w:ascii="Arial" w:hAnsi="Arial" w:cs="Arial"/>
          <w:b/>
          <w:bCs/>
          <w:sz w:val="22"/>
          <w:szCs w:val="22"/>
          <w:lang w:val="en-GB"/>
        </w:rPr>
      </w:pPr>
      <w:r w:rsidRPr="008065CE">
        <w:rPr>
          <w:rFonts w:ascii="Arial" w:hAnsi="Arial" w:cs="Arial"/>
          <w:b/>
          <w:bCs/>
          <w:sz w:val="22"/>
          <w:szCs w:val="22"/>
          <w:lang w:val="en-GB"/>
        </w:rPr>
        <w:lastRenderedPageBreak/>
        <w:t>Question 3.3 [maximum 5 marks]</w:t>
      </w:r>
    </w:p>
    <w:p w14:paraId="212876B6" w14:textId="77777777" w:rsidR="00802DB8" w:rsidRPr="008065CE" w:rsidRDefault="00802DB8" w:rsidP="006951FB">
      <w:pPr>
        <w:keepNext/>
        <w:ind w:left="720" w:hanging="720"/>
        <w:jc w:val="both"/>
        <w:rPr>
          <w:rFonts w:ascii="Arial" w:hAnsi="Arial" w:cs="Arial"/>
          <w:b/>
          <w:bCs/>
          <w:sz w:val="22"/>
          <w:szCs w:val="22"/>
          <w:lang w:val="en-GB"/>
        </w:rPr>
      </w:pPr>
    </w:p>
    <w:p w14:paraId="6F0301F8" w14:textId="08254074" w:rsidR="003125FB" w:rsidRPr="008065CE" w:rsidRDefault="005563EB" w:rsidP="006951FB">
      <w:pPr>
        <w:keepNext/>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247ED80B" w:rsidR="00802DB8" w:rsidRDefault="00DB57F4" w:rsidP="006951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76660A">
        <w:rPr>
          <w:rFonts w:ascii="Arial" w:hAnsi="Arial" w:cs="Arial"/>
          <w:color w:val="7B7B7B" w:themeColor="accent3" w:themeShade="BF"/>
          <w:sz w:val="22"/>
          <w:szCs w:val="22"/>
          <w:lang w:val="en-GB"/>
        </w:rPr>
        <w:t>he commencement of the liquidation of a company does not affect the right of a secured creditor to take possession of and realize or otherwise deal with assets of the company over which that creditor has a security interest.</w:t>
      </w:r>
      <w:r w:rsidR="0076660A">
        <w:rPr>
          <w:rStyle w:val="FootnoteReference"/>
          <w:rFonts w:ascii="Arial" w:hAnsi="Arial" w:cs="Arial"/>
          <w:color w:val="7B7B7B" w:themeColor="accent3" w:themeShade="BF"/>
          <w:sz w:val="22"/>
          <w:szCs w:val="22"/>
          <w:lang w:val="en-GB"/>
        </w:rPr>
        <w:footnoteReference w:id="14"/>
      </w:r>
    </w:p>
    <w:p w14:paraId="1C18DCD2" w14:textId="38B05E6D" w:rsidR="00126D9E" w:rsidRDefault="00126D9E" w:rsidP="006951FB">
      <w:pPr>
        <w:jc w:val="both"/>
        <w:rPr>
          <w:rFonts w:ascii="Arial" w:hAnsi="Arial" w:cs="Arial"/>
          <w:color w:val="7B7B7B" w:themeColor="accent3" w:themeShade="BF"/>
          <w:sz w:val="22"/>
          <w:szCs w:val="22"/>
          <w:lang w:val="en-GB"/>
        </w:rPr>
      </w:pPr>
    </w:p>
    <w:p w14:paraId="61234EFE" w14:textId="41B7CB7B" w:rsidR="00C5772E" w:rsidRDefault="00C5772E" w:rsidP="006951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options available to the secured creditor under the BVI insolvency framework include</w:t>
      </w:r>
      <w:r w:rsidR="006822F4">
        <w:rPr>
          <w:rFonts w:ascii="Arial" w:hAnsi="Arial" w:cs="Arial"/>
          <w:color w:val="7B7B7B" w:themeColor="accent3" w:themeShade="BF"/>
          <w:sz w:val="22"/>
          <w:szCs w:val="22"/>
          <w:lang w:val="en-GB"/>
        </w:rPr>
        <w:t xml:space="preserve"> the following which are discussed in further detail below:</w:t>
      </w:r>
    </w:p>
    <w:p w14:paraId="7A8BA7E9" w14:textId="77777777" w:rsidR="00C5772E" w:rsidRDefault="00C5772E" w:rsidP="00C5772E">
      <w:pPr>
        <w:pStyle w:val="ListParagraph"/>
        <w:jc w:val="both"/>
        <w:rPr>
          <w:rFonts w:ascii="Arial" w:hAnsi="Arial" w:cs="Arial"/>
          <w:color w:val="7B7B7B" w:themeColor="accent3" w:themeShade="BF"/>
          <w:sz w:val="22"/>
          <w:szCs w:val="22"/>
          <w:lang w:val="en-GB"/>
        </w:rPr>
      </w:pPr>
    </w:p>
    <w:p w14:paraId="525C9152" w14:textId="25D9DAF9" w:rsidR="00C5772E" w:rsidRDefault="00C5772E" w:rsidP="00C5772E">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Valuation of secured asset and claim in the liquidation for</w:t>
      </w:r>
      <w:r w:rsidR="006822F4">
        <w:rPr>
          <w:rFonts w:ascii="Arial" w:hAnsi="Arial" w:cs="Arial"/>
          <w:color w:val="7B7B7B" w:themeColor="accent3" w:themeShade="BF"/>
          <w:sz w:val="22"/>
          <w:szCs w:val="22"/>
          <w:lang w:val="en-GB"/>
        </w:rPr>
        <w:t xml:space="preserve"> any</w:t>
      </w:r>
      <w:r>
        <w:rPr>
          <w:rFonts w:ascii="Arial" w:hAnsi="Arial" w:cs="Arial"/>
          <w:color w:val="7B7B7B" w:themeColor="accent3" w:themeShade="BF"/>
          <w:sz w:val="22"/>
          <w:szCs w:val="22"/>
          <w:lang w:val="en-GB"/>
        </w:rPr>
        <w:t xml:space="preserve"> shortfall</w:t>
      </w:r>
    </w:p>
    <w:p w14:paraId="1266D062" w14:textId="77777777" w:rsidR="00C5772E" w:rsidRDefault="00C5772E" w:rsidP="00C5772E">
      <w:pPr>
        <w:pStyle w:val="ListParagraph"/>
        <w:jc w:val="both"/>
        <w:rPr>
          <w:rFonts w:ascii="Arial" w:hAnsi="Arial" w:cs="Arial"/>
          <w:color w:val="7B7B7B" w:themeColor="accent3" w:themeShade="BF"/>
          <w:sz w:val="22"/>
          <w:szCs w:val="22"/>
          <w:lang w:val="en-GB"/>
        </w:rPr>
      </w:pPr>
    </w:p>
    <w:p w14:paraId="7817C86A" w14:textId="0D54EE2C" w:rsidR="00C5772E" w:rsidRDefault="00C5772E" w:rsidP="00C5772E">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Surrender of secured asset and claim in the liquidation for entire liability</w:t>
      </w:r>
    </w:p>
    <w:p w14:paraId="0E41D069" w14:textId="77777777" w:rsidR="00C5772E" w:rsidRPr="00C5772E" w:rsidRDefault="00C5772E" w:rsidP="00C5772E">
      <w:pPr>
        <w:jc w:val="both"/>
        <w:rPr>
          <w:rFonts w:ascii="Arial" w:hAnsi="Arial" w:cs="Arial"/>
          <w:color w:val="7B7B7B" w:themeColor="accent3" w:themeShade="BF"/>
          <w:sz w:val="22"/>
          <w:szCs w:val="22"/>
          <w:lang w:val="en-GB"/>
        </w:rPr>
      </w:pPr>
    </w:p>
    <w:p w14:paraId="2BD294EE" w14:textId="2E178640" w:rsidR="00C5772E" w:rsidRDefault="00C5772E" w:rsidP="00C5772E">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Sale of secured asset by liquidator</w:t>
      </w:r>
    </w:p>
    <w:p w14:paraId="4C166D0C" w14:textId="77777777" w:rsidR="00C5772E" w:rsidRPr="00C5772E" w:rsidRDefault="00C5772E" w:rsidP="00C5772E">
      <w:pPr>
        <w:pStyle w:val="ListParagraph"/>
        <w:rPr>
          <w:rFonts w:ascii="Arial" w:hAnsi="Arial" w:cs="Arial"/>
          <w:color w:val="7B7B7B" w:themeColor="accent3" w:themeShade="BF"/>
          <w:sz w:val="22"/>
          <w:szCs w:val="22"/>
          <w:lang w:val="en-GB"/>
        </w:rPr>
      </w:pPr>
    </w:p>
    <w:p w14:paraId="5786090F" w14:textId="6ED3C088" w:rsidR="00C5772E" w:rsidRDefault="00C5772E" w:rsidP="00C5772E">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Redemption of security interest by liquidator at valuation of secured asset</w:t>
      </w:r>
    </w:p>
    <w:p w14:paraId="01000E34" w14:textId="77777777" w:rsidR="00C5772E" w:rsidRPr="00C5772E" w:rsidRDefault="00C5772E" w:rsidP="00C5772E">
      <w:pPr>
        <w:pStyle w:val="ListParagraph"/>
        <w:rPr>
          <w:rFonts w:ascii="Arial" w:hAnsi="Arial" w:cs="Arial"/>
          <w:color w:val="7B7B7B" w:themeColor="accent3" w:themeShade="BF"/>
          <w:sz w:val="22"/>
          <w:szCs w:val="22"/>
          <w:lang w:val="en-GB"/>
        </w:rPr>
      </w:pPr>
    </w:p>
    <w:p w14:paraId="4C8E0FC6" w14:textId="268F52E8" w:rsidR="00C5772E" w:rsidRPr="00C5772E" w:rsidRDefault="00C5772E" w:rsidP="00C5772E">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Realization of secured asset </w:t>
      </w:r>
      <w:r w:rsidR="006822F4">
        <w:rPr>
          <w:rFonts w:ascii="Arial" w:hAnsi="Arial" w:cs="Arial"/>
          <w:color w:val="7B7B7B" w:themeColor="accent3" w:themeShade="BF"/>
          <w:sz w:val="22"/>
          <w:szCs w:val="22"/>
          <w:lang w:val="en-GB"/>
        </w:rPr>
        <w:t>and claim in the liquidator for any shortfall</w:t>
      </w:r>
    </w:p>
    <w:p w14:paraId="138EBF38" w14:textId="77777777" w:rsidR="00C5772E" w:rsidRDefault="00C5772E" w:rsidP="006951FB">
      <w:pPr>
        <w:jc w:val="both"/>
        <w:rPr>
          <w:rFonts w:ascii="Arial" w:hAnsi="Arial" w:cs="Arial"/>
          <w:color w:val="7B7B7B" w:themeColor="accent3" w:themeShade="BF"/>
          <w:sz w:val="22"/>
          <w:szCs w:val="22"/>
          <w:lang w:val="en-GB"/>
        </w:rPr>
      </w:pPr>
    </w:p>
    <w:p w14:paraId="3D2653B9" w14:textId="72D85877" w:rsidR="00126D9E" w:rsidRDefault="00126D9E" w:rsidP="006951F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Valuation and Surrender</w:t>
      </w:r>
      <w:r w:rsidR="0035063A">
        <w:rPr>
          <w:rFonts w:ascii="Arial" w:hAnsi="Arial" w:cs="Arial"/>
          <w:b/>
          <w:bCs/>
          <w:color w:val="7B7B7B" w:themeColor="accent3" w:themeShade="BF"/>
          <w:sz w:val="22"/>
          <w:szCs w:val="22"/>
          <w:lang w:val="en-GB"/>
        </w:rPr>
        <w:t xml:space="preserve"> by Secured Creditor</w:t>
      </w:r>
    </w:p>
    <w:p w14:paraId="657BEFFC" w14:textId="77777777" w:rsidR="00126D9E" w:rsidRPr="00126D9E" w:rsidRDefault="00126D9E" w:rsidP="006951FB">
      <w:pPr>
        <w:jc w:val="both"/>
        <w:rPr>
          <w:rFonts w:ascii="Arial" w:hAnsi="Arial" w:cs="Arial"/>
          <w:b/>
          <w:bCs/>
          <w:color w:val="7B7B7B" w:themeColor="accent3" w:themeShade="BF"/>
          <w:sz w:val="22"/>
          <w:szCs w:val="22"/>
          <w:lang w:val="en-GB"/>
        </w:rPr>
      </w:pPr>
    </w:p>
    <w:p w14:paraId="19430C74" w14:textId="6A759660" w:rsidR="00126D9E" w:rsidRDefault="00DB57F4" w:rsidP="006951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126D9E">
        <w:rPr>
          <w:rFonts w:ascii="Arial" w:hAnsi="Arial" w:cs="Arial"/>
          <w:color w:val="7B7B7B" w:themeColor="accent3" w:themeShade="BF"/>
          <w:sz w:val="22"/>
          <w:szCs w:val="22"/>
          <w:lang w:val="en-GB"/>
        </w:rPr>
        <w:t xml:space="preserve"> secured creditor may, but is not obliged to:</w:t>
      </w:r>
      <w:r w:rsidR="00126D9E">
        <w:rPr>
          <w:rStyle w:val="FootnoteReference"/>
          <w:rFonts w:ascii="Arial" w:hAnsi="Arial" w:cs="Arial"/>
          <w:color w:val="7B7B7B" w:themeColor="accent3" w:themeShade="BF"/>
          <w:sz w:val="22"/>
          <w:szCs w:val="22"/>
          <w:lang w:val="en-GB"/>
        </w:rPr>
        <w:footnoteReference w:id="15"/>
      </w:r>
    </w:p>
    <w:p w14:paraId="57D3401A" w14:textId="5E4F0C2C" w:rsidR="00126D9E" w:rsidRDefault="00126D9E" w:rsidP="006951FB">
      <w:pPr>
        <w:jc w:val="both"/>
        <w:rPr>
          <w:rFonts w:ascii="Arial" w:hAnsi="Arial" w:cs="Arial"/>
          <w:color w:val="7B7B7B" w:themeColor="accent3" w:themeShade="BF"/>
          <w:sz w:val="22"/>
          <w:szCs w:val="22"/>
          <w:lang w:val="en-GB"/>
        </w:rPr>
      </w:pPr>
    </w:p>
    <w:p w14:paraId="1992CEF3" w14:textId="2F332E52" w:rsidR="00126D9E" w:rsidRDefault="00126D9E" w:rsidP="00126D9E">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Value the assets subject to security interest and claim in the liquidation of a company as an unsecured creditor for the balance of his debt; or</w:t>
      </w:r>
    </w:p>
    <w:p w14:paraId="5984CA7E" w14:textId="77777777" w:rsidR="00126D9E" w:rsidRDefault="00126D9E" w:rsidP="00126D9E">
      <w:pPr>
        <w:pStyle w:val="ListParagraph"/>
        <w:jc w:val="both"/>
        <w:rPr>
          <w:rFonts w:ascii="Arial" w:hAnsi="Arial" w:cs="Arial"/>
          <w:color w:val="7B7B7B" w:themeColor="accent3" w:themeShade="BF"/>
          <w:sz w:val="22"/>
          <w:szCs w:val="22"/>
          <w:lang w:val="en-GB"/>
        </w:rPr>
      </w:pPr>
    </w:p>
    <w:p w14:paraId="2C139001" w14:textId="50DB8894" w:rsidR="00126D9E" w:rsidRDefault="00126D9E" w:rsidP="00126D9E">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Surrender his security interest to the liquidator for the general benefit of creditors and claim in the liquidation as an unsecured creditor for the whole of his debt.</w:t>
      </w:r>
    </w:p>
    <w:p w14:paraId="34C3DB6B" w14:textId="77777777" w:rsidR="00126D9E" w:rsidRPr="00126D9E" w:rsidRDefault="00126D9E" w:rsidP="00126D9E">
      <w:pPr>
        <w:pStyle w:val="ListParagraph"/>
        <w:rPr>
          <w:rFonts w:ascii="Arial" w:hAnsi="Arial" w:cs="Arial"/>
          <w:color w:val="7B7B7B" w:themeColor="accent3" w:themeShade="BF"/>
          <w:sz w:val="22"/>
          <w:szCs w:val="22"/>
          <w:lang w:val="en-GB"/>
        </w:rPr>
      </w:pPr>
    </w:p>
    <w:p w14:paraId="047FADDD" w14:textId="3C16E174" w:rsidR="00126D9E" w:rsidRDefault="00126D9E" w:rsidP="00126D9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be noted that a secured creditor may subsequently apply to the liquidator to amend the value placed on the security in his claim.</w:t>
      </w:r>
      <w:r>
        <w:rPr>
          <w:rStyle w:val="FootnoteReference"/>
          <w:rFonts w:ascii="Arial" w:hAnsi="Arial" w:cs="Arial"/>
          <w:color w:val="7B7B7B" w:themeColor="accent3" w:themeShade="BF"/>
          <w:sz w:val="22"/>
          <w:szCs w:val="22"/>
          <w:lang w:val="en-GB"/>
        </w:rPr>
        <w:footnoteReference w:id="16"/>
      </w:r>
    </w:p>
    <w:p w14:paraId="47A11573" w14:textId="09C0C30F" w:rsidR="00F11056" w:rsidRDefault="00F11056" w:rsidP="00126D9E">
      <w:pPr>
        <w:jc w:val="both"/>
        <w:rPr>
          <w:rFonts w:ascii="Arial" w:hAnsi="Arial" w:cs="Arial"/>
          <w:color w:val="7B7B7B" w:themeColor="accent3" w:themeShade="BF"/>
          <w:sz w:val="22"/>
          <w:szCs w:val="22"/>
          <w:lang w:val="en-GB"/>
        </w:rPr>
      </w:pPr>
    </w:p>
    <w:p w14:paraId="4307C79A" w14:textId="49808343" w:rsidR="00F11056" w:rsidRDefault="00F11056" w:rsidP="00126D9E">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Sale</w:t>
      </w:r>
      <w:r w:rsidR="00C5772E">
        <w:rPr>
          <w:rFonts w:ascii="Arial" w:hAnsi="Arial" w:cs="Arial"/>
          <w:b/>
          <w:bCs/>
          <w:color w:val="7B7B7B" w:themeColor="accent3" w:themeShade="BF"/>
          <w:sz w:val="22"/>
          <w:szCs w:val="22"/>
          <w:lang w:val="en-GB"/>
        </w:rPr>
        <w:t xml:space="preserve"> by Liquidator</w:t>
      </w:r>
    </w:p>
    <w:p w14:paraId="38D1CCC9" w14:textId="63A9FEFA" w:rsidR="00F11056" w:rsidRDefault="00F11056" w:rsidP="00126D9E">
      <w:pPr>
        <w:jc w:val="both"/>
        <w:rPr>
          <w:rFonts w:ascii="Arial" w:hAnsi="Arial" w:cs="Arial"/>
          <w:b/>
          <w:bCs/>
          <w:color w:val="7B7B7B" w:themeColor="accent3" w:themeShade="BF"/>
          <w:sz w:val="22"/>
          <w:szCs w:val="22"/>
          <w:lang w:val="en-GB"/>
        </w:rPr>
      </w:pPr>
    </w:p>
    <w:p w14:paraId="0BA7B35C" w14:textId="5123B599" w:rsidR="00F11056" w:rsidRDefault="00DB57F4" w:rsidP="00126D9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F11056">
        <w:rPr>
          <w:rFonts w:ascii="Arial" w:hAnsi="Arial" w:cs="Arial"/>
          <w:color w:val="7B7B7B" w:themeColor="accent3" w:themeShade="BF"/>
          <w:sz w:val="22"/>
          <w:szCs w:val="22"/>
          <w:lang w:val="en-GB"/>
        </w:rPr>
        <w:t>f the liquidator of a company is dissatisfied with the value placed on a security interest by a secured creditor, he may require the secured asset to be offered for sale.</w:t>
      </w:r>
      <w:r w:rsidR="00F11056">
        <w:rPr>
          <w:rStyle w:val="FootnoteReference"/>
          <w:rFonts w:ascii="Arial" w:hAnsi="Arial" w:cs="Arial"/>
          <w:color w:val="7B7B7B" w:themeColor="accent3" w:themeShade="BF"/>
          <w:sz w:val="22"/>
          <w:szCs w:val="22"/>
          <w:lang w:val="en-GB"/>
        </w:rPr>
        <w:footnoteReference w:id="17"/>
      </w:r>
      <w:r w:rsidR="00F11056">
        <w:rPr>
          <w:rFonts w:ascii="Arial" w:hAnsi="Arial" w:cs="Arial"/>
          <w:color w:val="7B7B7B" w:themeColor="accent3" w:themeShade="BF"/>
          <w:sz w:val="22"/>
          <w:szCs w:val="22"/>
          <w:lang w:val="en-GB"/>
        </w:rPr>
        <w:t xml:space="preserve">  </w:t>
      </w:r>
      <w:r w:rsidR="00B13612">
        <w:rPr>
          <w:rFonts w:ascii="Arial" w:hAnsi="Arial" w:cs="Arial"/>
          <w:color w:val="7B7B7B" w:themeColor="accent3" w:themeShade="BF"/>
          <w:sz w:val="22"/>
          <w:szCs w:val="22"/>
          <w:lang w:val="en-GB"/>
        </w:rPr>
        <w:t>I</w:t>
      </w:r>
      <w:r w:rsidR="00F11056">
        <w:rPr>
          <w:rFonts w:ascii="Arial" w:hAnsi="Arial" w:cs="Arial"/>
          <w:color w:val="7B7B7B" w:themeColor="accent3" w:themeShade="BF"/>
          <w:sz w:val="22"/>
          <w:szCs w:val="22"/>
          <w:lang w:val="en-GB"/>
        </w:rPr>
        <w:t>f the secured assets are offered for sale by public auction, the secured creditor is entitled to bid for and purchase it.</w:t>
      </w:r>
      <w:r w:rsidR="00F11056">
        <w:rPr>
          <w:rStyle w:val="FootnoteReference"/>
          <w:rFonts w:ascii="Arial" w:hAnsi="Arial" w:cs="Arial"/>
          <w:color w:val="7B7B7B" w:themeColor="accent3" w:themeShade="BF"/>
          <w:sz w:val="22"/>
          <w:szCs w:val="22"/>
          <w:lang w:val="en-GB"/>
        </w:rPr>
        <w:footnoteReference w:id="18"/>
      </w:r>
    </w:p>
    <w:p w14:paraId="1ECB82B2" w14:textId="0061AA07" w:rsidR="00160C48" w:rsidRDefault="00160C48" w:rsidP="00126D9E">
      <w:pPr>
        <w:jc w:val="both"/>
        <w:rPr>
          <w:rFonts w:ascii="Arial" w:hAnsi="Arial" w:cs="Arial"/>
          <w:color w:val="7B7B7B" w:themeColor="accent3" w:themeShade="BF"/>
          <w:sz w:val="22"/>
          <w:szCs w:val="22"/>
          <w:lang w:val="en-GB"/>
        </w:rPr>
      </w:pPr>
    </w:p>
    <w:p w14:paraId="3DC48D55" w14:textId="527D1AFC" w:rsidR="00160C48" w:rsidRDefault="00160C48" w:rsidP="00126D9E">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Redemption</w:t>
      </w:r>
      <w:r w:rsidR="0035063A">
        <w:rPr>
          <w:rFonts w:ascii="Arial" w:hAnsi="Arial" w:cs="Arial"/>
          <w:b/>
          <w:bCs/>
          <w:color w:val="7B7B7B" w:themeColor="accent3" w:themeShade="BF"/>
          <w:sz w:val="22"/>
          <w:szCs w:val="22"/>
          <w:lang w:val="en-GB"/>
        </w:rPr>
        <w:t xml:space="preserve"> by Liquidator</w:t>
      </w:r>
    </w:p>
    <w:p w14:paraId="1E0AFBC4" w14:textId="26694281" w:rsidR="00160C48" w:rsidRDefault="00160C48" w:rsidP="00126D9E">
      <w:pPr>
        <w:jc w:val="both"/>
        <w:rPr>
          <w:rFonts w:ascii="Arial" w:hAnsi="Arial" w:cs="Arial"/>
          <w:b/>
          <w:bCs/>
          <w:color w:val="7B7B7B" w:themeColor="accent3" w:themeShade="BF"/>
          <w:sz w:val="22"/>
          <w:szCs w:val="22"/>
          <w:lang w:val="en-GB"/>
        </w:rPr>
      </w:pPr>
    </w:p>
    <w:p w14:paraId="2F292076" w14:textId="7F10E478" w:rsidR="00160C48" w:rsidRDefault="00B13612" w:rsidP="00126D9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160C48">
        <w:rPr>
          <w:rFonts w:ascii="Arial" w:hAnsi="Arial" w:cs="Arial"/>
          <w:color w:val="7B7B7B" w:themeColor="accent3" w:themeShade="BF"/>
          <w:sz w:val="22"/>
          <w:szCs w:val="22"/>
          <w:lang w:val="en-GB"/>
        </w:rPr>
        <w:t>here a secured creditor has valued the secured asset and claimed as an unsecured creditor for the shortfall, the liquidator may give notice to the creditor that he proposes to redeem the security interest at the value placed on it by the creditor.</w:t>
      </w:r>
      <w:r w:rsidR="00160C48">
        <w:rPr>
          <w:rStyle w:val="FootnoteReference"/>
          <w:rFonts w:ascii="Arial" w:hAnsi="Arial" w:cs="Arial"/>
          <w:color w:val="7B7B7B" w:themeColor="accent3" w:themeShade="BF"/>
          <w:sz w:val="22"/>
          <w:szCs w:val="22"/>
          <w:lang w:val="en-GB"/>
        </w:rPr>
        <w:footnoteReference w:id="19"/>
      </w:r>
      <w:r w:rsidR="00F87BE3">
        <w:rPr>
          <w:rFonts w:ascii="Arial" w:hAnsi="Arial" w:cs="Arial"/>
          <w:color w:val="7B7B7B" w:themeColor="accent3" w:themeShade="BF"/>
          <w:sz w:val="22"/>
          <w:szCs w:val="22"/>
          <w:lang w:val="en-GB"/>
        </w:rPr>
        <w:t xml:space="preserve">  As mentioned above, </w:t>
      </w:r>
      <w:r w:rsidR="00F87BE3">
        <w:rPr>
          <w:rFonts w:ascii="Arial" w:hAnsi="Arial" w:cs="Arial"/>
          <w:color w:val="7B7B7B" w:themeColor="accent3" w:themeShade="BF"/>
          <w:sz w:val="22"/>
          <w:szCs w:val="22"/>
          <w:lang w:val="en-GB"/>
        </w:rPr>
        <w:lastRenderedPageBreak/>
        <w:t>the secured creditor has the option to amend the valuation of the secured asset subject to liquidator or court approval.</w:t>
      </w:r>
    </w:p>
    <w:p w14:paraId="1630E07D" w14:textId="6C20DF11" w:rsidR="005522D5" w:rsidRDefault="005522D5" w:rsidP="00126D9E">
      <w:pPr>
        <w:jc w:val="both"/>
        <w:rPr>
          <w:rFonts w:ascii="Arial" w:hAnsi="Arial" w:cs="Arial"/>
          <w:color w:val="7B7B7B" w:themeColor="accent3" w:themeShade="BF"/>
          <w:sz w:val="22"/>
          <w:szCs w:val="22"/>
          <w:lang w:val="en-GB"/>
        </w:rPr>
      </w:pPr>
    </w:p>
    <w:p w14:paraId="441A9034" w14:textId="7037C28E" w:rsidR="005522D5" w:rsidRDefault="005522D5" w:rsidP="00126D9E">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Realization by Secured Creditor</w:t>
      </w:r>
    </w:p>
    <w:p w14:paraId="262FAB16" w14:textId="0DC33B3E" w:rsidR="005522D5" w:rsidRDefault="005522D5" w:rsidP="00126D9E">
      <w:pPr>
        <w:jc w:val="both"/>
        <w:rPr>
          <w:rFonts w:ascii="Arial" w:hAnsi="Arial" w:cs="Arial"/>
          <w:b/>
          <w:bCs/>
          <w:color w:val="7B7B7B" w:themeColor="accent3" w:themeShade="BF"/>
          <w:sz w:val="22"/>
          <w:szCs w:val="22"/>
          <w:lang w:val="en-GB"/>
        </w:rPr>
      </w:pPr>
    </w:p>
    <w:p w14:paraId="15C4819B" w14:textId="6796133C" w:rsidR="005522D5" w:rsidRPr="005522D5" w:rsidRDefault="00B13612" w:rsidP="00126D9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5522D5">
        <w:rPr>
          <w:rFonts w:ascii="Arial" w:hAnsi="Arial" w:cs="Arial"/>
          <w:color w:val="7B7B7B" w:themeColor="accent3" w:themeShade="BF"/>
          <w:sz w:val="22"/>
          <w:szCs w:val="22"/>
          <w:lang w:val="en-GB"/>
        </w:rPr>
        <w:t xml:space="preserve">here a secured creditor realizes his security interest and there is a surplus remaining from the net amount realized after satisfaction of the debt secured, </w:t>
      </w:r>
      <w:r w:rsidR="005E573C">
        <w:rPr>
          <w:rFonts w:ascii="Arial" w:hAnsi="Arial" w:cs="Arial"/>
          <w:color w:val="7B7B7B" w:themeColor="accent3" w:themeShade="BF"/>
          <w:sz w:val="22"/>
          <w:szCs w:val="22"/>
          <w:lang w:val="en-GB"/>
        </w:rPr>
        <w:t xml:space="preserve">the surplus should be returned to the liquidator.  In the event there is a shortfall, the secured creditor may claim in the liquidation as an unsecured creditor for </w:t>
      </w:r>
      <w:r w:rsidR="00C5772E">
        <w:rPr>
          <w:rFonts w:ascii="Arial" w:hAnsi="Arial" w:cs="Arial"/>
          <w:color w:val="7B7B7B" w:themeColor="accent3" w:themeShade="BF"/>
          <w:sz w:val="22"/>
          <w:szCs w:val="22"/>
          <w:lang w:val="en-GB"/>
        </w:rPr>
        <w:t>such</w:t>
      </w:r>
      <w:r w:rsidR="005E573C">
        <w:rPr>
          <w:rFonts w:ascii="Arial" w:hAnsi="Arial" w:cs="Arial"/>
          <w:color w:val="7B7B7B" w:themeColor="accent3" w:themeShade="BF"/>
          <w:sz w:val="22"/>
          <w:szCs w:val="22"/>
          <w:lang w:val="en-GB"/>
        </w:rPr>
        <w:t xml:space="preserve"> balance of the secured liability.</w:t>
      </w:r>
      <w:r w:rsidR="005E573C">
        <w:rPr>
          <w:rStyle w:val="FootnoteReference"/>
          <w:rFonts w:ascii="Arial" w:hAnsi="Arial" w:cs="Arial"/>
          <w:color w:val="7B7B7B" w:themeColor="accent3" w:themeShade="BF"/>
          <w:sz w:val="22"/>
          <w:szCs w:val="22"/>
          <w:lang w:val="en-GB"/>
        </w:rPr>
        <w:footnoteReference w:id="20"/>
      </w:r>
    </w:p>
    <w:p w14:paraId="103BE2BC" w14:textId="77777777" w:rsidR="00126D9E" w:rsidRPr="008065CE" w:rsidRDefault="00126D9E" w:rsidP="006951FB">
      <w:pPr>
        <w:jc w:val="both"/>
        <w:rPr>
          <w:rFonts w:ascii="Arial" w:hAnsi="Arial" w:cs="Arial"/>
          <w:sz w:val="22"/>
          <w:szCs w:val="22"/>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6CA4E24A" w14:textId="724E600F" w:rsidR="00DB1A76" w:rsidRDefault="00DB1A76" w:rsidP="008065CE">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Registration Process</w:t>
      </w:r>
    </w:p>
    <w:p w14:paraId="428935B3" w14:textId="43C80547" w:rsidR="00DB1A76" w:rsidRDefault="00DB1A76" w:rsidP="008065CE">
      <w:pPr>
        <w:autoSpaceDE w:val="0"/>
        <w:autoSpaceDN w:val="0"/>
        <w:adjustRightInd w:val="0"/>
        <w:jc w:val="both"/>
        <w:rPr>
          <w:rFonts w:ascii="Arial" w:hAnsi="Arial" w:cs="Arial"/>
          <w:b/>
          <w:bCs/>
          <w:color w:val="7B7B7B" w:themeColor="accent3" w:themeShade="BF"/>
          <w:sz w:val="22"/>
          <w:szCs w:val="22"/>
          <w:lang w:val="en-GB"/>
        </w:rPr>
      </w:pPr>
    </w:p>
    <w:p w14:paraId="6B7F48EF" w14:textId="3CFA8469" w:rsidR="00DB1A76" w:rsidRDefault="00DB1A7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the Reciprocal Enforcement of Judgments Act 1922 (</w:t>
      </w:r>
      <w:r>
        <w:rPr>
          <w:rFonts w:ascii="Arial" w:hAnsi="Arial" w:cs="Arial"/>
          <w:b/>
          <w:bCs/>
          <w:color w:val="7B7B7B" w:themeColor="accent3" w:themeShade="BF"/>
          <w:sz w:val="22"/>
          <w:szCs w:val="22"/>
          <w:lang w:val="en-GB"/>
        </w:rPr>
        <w:t>“the 1922 Act”</w:t>
      </w:r>
      <w:r>
        <w:rPr>
          <w:rFonts w:ascii="Arial" w:hAnsi="Arial" w:cs="Arial"/>
          <w:color w:val="7B7B7B" w:themeColor="accent3" w:themeShade="BF"/>
          <w:sz w:val="22"/>
          <w:szCs w:val="22"/>
          <w:lang w:val="en-GB"/>
        </w:rPr>
        <w:t>), judgments of the English High Court are registerable in the BVI assuming the following requirements are met:</w:t>
      </w:r>
      <w:r w:rsidR="00562216">
        <w:rPr>
          <w:rStyle w:val="FootnoteReference"/>
          <w:rFonts w:ascii="Arial" w:hAnsi="Arial" w:cs="Arial"/>
          <w:color w:val="7B7B7B" w:themeColor="accent3" w:themeShade="BF"/>
          <w:sz w:val="22"/>
          <w:szCs w:val="22"/>
          <w:lang w:val="en-GB"/>
        </w:rPr>
        <w:footnoteReference w:id="21"/>
      </w:r>
    </w:p>
    <w:p w14:paraId="0450A240" w14:textId="246D18BD" w:rsidR="00DB1A76" w:rsidRDefault="00DB1A76" w:rsidP="008065CE">
      <w:pPr>
        <w:autoSpaceDE w:val="0"/>
        <w:autoSpaceDN w:val="0"/>
        <w:adjustRightInd w:val="0"/>
        <w:jc w:val="both"/>
        <w:rPr>
          <w:rFonts w:ascii="Arial" w:hAnsi="Arial" w:cs="Arial"/>
          <w:color w:val="7B7B7B" w:themeColor="accent3" w:themeShade="BF"/>
          <w:sz w:val="22"/>
          <w:szCs w:val="22"/>
          <w:lang w:val="en-GB"/>
        </w:rPr>
      </w:pPr>
    </w:p>
    <w:p w14:paraId="085AD9F0" w14:textId="2A624A52" w:rsidR="00DB1A76" w:rsidRDefault="00F04FF1" w:rsidP="00DB1A76">
      <w:pPr>
        <w:pStyle w:val="ListParagraph"/>
        <w:numPr>
          <w:ilvl w:val="0"/>
          <w:numId w:val="4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and conclusive for a fixed judgment sum in civil proceedings</w:t>
      </w:r>
    </w:p>
    <w:p w14:paraId="17C9F0B0" w14:textId="77777777" w:rsidR="00A61936" w:rsidRDefault="00A61936" w:rsidP="00A61936">
      <w:pPr>
        <w:pStyle w:val="ListParagraph"/>
        <w:autoSpaceDE w:val="0"/>
        <w:autoSpaceDN w:val="0"/>
        <w:adjustRightInd w:val="0"/>
        <w:jc w:val="both"/>
        <w:rPr>
          <w:rFonts w:ascii="Arial" w:hAnsi="Arial" w:cs="Arial"/>
          <w:color w:val="7B7B7B" w:themeColor="accent3" w:themeShade="BF"/>
          <w:sz w:val="22"/>
          <w:szCs w:val="22"/>
          <w:lang w:val="en-GB"/>
        </w:rPr>
      </w:pPr>
    </w:p>
    <w:p w14:paraId="54E85FBA" w14:textId="3923574F" w:rsidR="00A61936" w:rsidRDefault="00A61936" w:rsidP="00DB1A76">
      <w:pPr>
        <w:pStyle w:val="ListParagraph"/>
        <w:numPr>
          <w:ilvl w:val="0"/>
          <w:numId w:val="4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Registration application made within 12 months of the judgment</w:t>
      </w:r>
    </w:p>
    <w:p w14:paraId="77668F08" w14:textId="77777777" w:rsidR="00A61936" w:rsidRPr="00A61936" w:rsidRDefault="00A61936" w:rsidP="00A61936">
      <w:pPr>
        <w:pStyle w:val="ListParagraph"/>
        <w:rPr>
          <w:rFonts w:ascii="Arial" w:hAnsi="Arial" w:cs="Arial"/>
          <w:color w:val="7B7B7B" w:themeColor="accent3" w:themeShade="BF"/>
          <w:sz w:val="22"/>
          <w:szCs w:val="22"/>
          <w:lang w:val="en-GB"/>
        </w:rPr>
      </w:pPr>
    </w:p>
    <w:p w14:paraId="1BD938D9" w14:textId="784A4697" w:rsidR="00A61936" w:rsidRDefault="00A61936" w:rsidP="00DB1A76">
      <w:pPr>
        <w:pStyle w:val="ListParagraph"/>
        <w:numPr>
          <w:ilvl w:val="0"/>
          <w:numId w:val="4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appeal, right to appeal, or intention to appeal</w:t>
      </w:r>
    </w:p>
    <w:p w14:paraId="43ABDB33" w14:textId="77777777" w:rsidR="00A61936" w:rsidRPr="00A61936" w:rsidRDefault="00A61936" w:rsidP="00A61936">
      <w:pPr>
        <w:pStyle w:val="ListParagraph"/>
        <w:rPr>
          <w:rFonts w:ascii="Arial" w:hAnsi="Arial" w:cs="Arial"/>
          <w:color w:val="7B7B7B" w:themeColor="accent3" w:themeShade="BF"/>
          <w:sz w:val="22"/>
          <w:szCs w:val="22"/>
          <w:lang w:val="en-GB"/>
        </w:rPr>
      </w:pPr>
    </w:p>
    <w:p w14:paraId="67676148" w14:textId="630B5D3D" w:rsidR="0090265B" w:rsidRDefault="0090265B" w:rsidP="00DB1A76">
      <w:pPr>
        <w:pStyle w:val="ListParagraph"/>
        <w:numPr>
          <w:ilvl w:val="0"/>
          <w:numId w:val="4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Just and convenient</w:t>
      </w:r>
    </w:p>
    <w:p w14:paraId="040BFED2" w14:textId="77777777" w:rsidR="0090265B" w:rsidRPr="0090265B" w:rsidRDefault="0090265B" w:rsidP="0090265B">
      <w:pPr>
        <w:pStyle w:val="ListParagraph"/>
        <w:rPr>
          <w:rFonts w:ascii="Arial" w:hAnsi="Arial" w:cs="Arial"/>
          <w:color w:val="7B7B7B" w:themeColor="accent3" w:themeShade="BF"/>
          <w:sz w:val="22"/>
          <w:szCs w:val="22"/>
          <w:lang w:val="en-GB"/>
        </w:rPr>
      </w:pPr>
    </w:p>
    <w:p w14:paraId="5483143A" w14:textId="0AF15570" w:rsidR="00A61936" w:rsidRDefault="002577C3" w:rsidP="00DB1A76">
      <w:pPr>
        <w:pStyle w:val="ListParagraph"/>
        <w:numPr>
          <w:ilvl w:val="0"/>
          <w:numId w:val="4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Jurisdiction</w:t>
      </w:r>
    </w:p>
    <w:p w14:paraId="7AB52DC1" w14:textId="77777777" w:rsidR="0083500D" w:rsidRPr="0083500D" w:rsidRDefault="0083500D" w:rsidP="0083500D">
      <w:pPr>
        <w:pStyle w:val="ListParagraph"/>
        <w:rPr>
          <w:rFonts w:ascii="Arial" w:hAnsi="Arial" w:cs="Arial"/>
          <w:color w:val="7B7B7B" w:themeColor="accent3" w:themeShade="BF"/>
          <w:sz w:val="22"/>
          <w:szCs w:val="22"/>
          <w:lang w:val="en-GB"/>
        </w:rPr>
      </w:pPr>
    </w:p>
    <w:p w14:paraId="0087F456" w14:textId="27C64A67" w:rsidR="0083500D" w:rsidRPr="00DB1A76" w:rsidRDefault="0083500D" w:rsidP="00DB1A76">
      <w:pPr>
        <w:pStyle w:val="ListParagraph"/>
        <w:numPr>
          <w:ilvl w:val="0"/>
          <w:numId w:val="43"/>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 for penalties, fines or taxes</w:t>
      </w:r>
    </w:p>
    <w:p w14:paraId="28C41632" w14:textId="77777777" w:rsidR="00DB1A76" w:rsidRDefault="00DB1A76" w:rsidP="008065CE">
      <w:pPr>
        <w:autoSpaceDE w:val="0"/>
        <w:autoSpaceDN w:val="0"/>
        <w:adjustRightInd w:val="0"/>
        <w:jc w:val="both"/>
        <w:rPr>
          <w:rFonts w:ascii="Arial" w:hAnsi="Arial" w:cs="Arial"/>
          <w:b/>
          <w:bCs/>
          <w:color w:val="7B7B7B" w:themeColor="accent3" w:themeShade="BF"/>
          <w:sz w:val="22"/>
          <w:szCs w:val="22"/>
          <w:lang w:val="en-GB"/>
        </w:rPr>
      </w:pPr>
    </w:p>
    <w:p w14:paraId="4BEF2929" w14:textId="79D82B38" w:rsidR="001A007A" w:rsidRDefault="00F04FF1" w:rsidP="008065CE">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Final and Conclusive</w:t>
      </w:r>
    </w:p>
    <w:p w14:paraId="417B6382" w14:textId="35A547A6" w:rsidR="00081483" w:rsidRDefault="00081483" w:rsidP="008065CE">
      <w:pPr>
        <w:autoSpaceDE w:val="0"/>
        <w:autoSpaceDN w:val="0"/>
        <w:adjustRightInd w:val="0"/>
        <w:jc w:val="both"/>
        <w:rPr>
          <w:rFonts w:ascii="Arial" w:hAnsi="Arial" w:cs="Arial"/>
          <w:b/>
          <w:bCs/>
          <w:color w:val="7B7B7B" w:themeColor="accent3" w:themeShade="BF"/>
          <w:sz w:val="22"/>
          <w:szCs w:val="22"/>
          <w:lang w:val="en-GB"/>
        </w:rPr>
      </w:pPr>
    </w:p>
    <w:p w14:paraId="3777CE62" w14:textId="474320C6" w:rsidR="00081483" w:rsidRDefault="00F04FF1" w:rsidP="00A6193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the 1922 Act, the judgment must have been given by a Court in civil proceedings, must be final and conclusive and must be for a fixed judgment sum.</w:t>
      </w:r>
      <w:r>
        <w:rPr>
          <w:rStyle w:val="FootnoteReference"/>
          <w:rFonts w:ascii="Arial" w:hAnsi="Arial" w:cs="Arial"/>
          <w:color w:val="7B7B7B" w:themeColor="accent3" w:themeShade="BF"/>
          <w:sz w:val="22"/>
          <w:szCs w:val="22"/>
          <w:lang w:val="en-GB"/>
        </w:rPr>
        <w:footnoteReference w:id="22"/>
      </w:r>
      <w:r>
        <w:rPr>
          <w:rFonts w:ascii="Arial" w:hAnsi="Arial" w:cs="Arial"/>
          <w:color w:val="7B7B7B" w:themeColor="accent3" w:themeShade="BF"/>
          <w:sz w:val="22"/>
          <w:szCs w:val="22"/>
          <w:lang w:val="en-GB"/>
        </w:rPr>
        <w:t xml:space="preserve">  Based on the facts of the case, the judgment appears to be final and conclusive and</w:t>
      </w:r>
      <w:r w:rsidR="00421CCD">
        <w:rPr>
          <w:rFonts w:ascii="Arial" w:hAnsi="Arial" w:cs="Arial"/>
          <w:color w:val="7B7B7B" w:themeColor="accent3" w:themeShade="BF"/>
          <w:sz w:val="22"/>
          <w:szCs w:val="22"/>
          <w:lang w:val="en-GB"/>
        </w:rPr>
        <w:t xml:space="preserve"> is</w:t>
      </w:r>
      <w:r>
        <w:rPr>
          <w:rFonts w:ascii="Arial" w:hAnsi="Arial" w:cs="Arial"/>
          <w:color w:val="7B7B7B" w:themeColor="accent3" w:themeShade="BF"/>
          <w:sz w:val="22"/>
          <w:szCs w:val="22"/>
          <w:lang w:val="en-GB"/>
        </w:rPr>
        <w:t xml:space="preserve"> for a fixed judgment sum.  </w:t>
      </w:r>
      <w:r w:rsidR="00A61936">
        <w:rPr>
          <w:rFonts w:ascii="Arial" w:hAnsi="Arial" w:cs="Arial"/>
          <w:color w:val="7B7B7B" w:themeColor="accent3" w:themeShade="BF"/>
          <w:sz w:val="22"/>
          <w:szCs w:val="22"/>
          <w:lang w:val="en-GB"/>
        </w:rPr>
        <w:t>Assuming the judgment was given in civil proceedings, this requirement appears to have been met.</w:t>
      </w:r>
    </w:p>
    <w:p w14:paraId="521B7462" w14:textId="77777777" w:rsidR="00A61936" w:rsidRDefault="00A61936" w:rsidP="00A61936">
      <w:pPr>
        <w:autoSpaceDE w:val="0"/>
        <w:autoSpaceDN w:val="0"/>
        <w:adjustRightInd w:val="0"/>
        <w:jc w:val="both"/>
        <w:rPr>
          <w:rFonts w:ascii="Arial" w:hAnsi="Arial" w:cs="Arial"/>
          <w:color w:val="7B7B7B" w:themeColor="accent3" w:themeShade="BF"/>
          <w:sz w:val="22"/>
          <w:szCs w:val="22"/>
          <w:lang w:val="en-GB"/>
        </w:rPr>
      </w:pPr>
    </w:p>
    <w:p w14:paraId="7939D573" w14:textId="61002399" w:rsidR="00081483" w:rsidRPr="00081483" w:rsidRDefault="00081483" w:rsidP="00081483">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lastRenderedPageBreak/>
        <w:t>Timing</w:t>
      </w:r>
    </w:p>
    <w:p w14:paraId="3BFA4AF7" w14:textId="77777777" w:rsidR="00081483" w:rsidRDefault="00081483" w:rsidP="00081483">
      <w:pPr>
        <w:autoSpaceDE w:val="0"/>
        <w:autoSpaceDN w:val="0"/>
        <w:adjustRightInd w:val="0"/>
        <w:jc w:val="both"/>
        <w:rPr>
          <w:rFonts w:ascii="Arial" w:hAnsi="Arial" w:cs="Arial"/>
          <w:color w:val="7B7B7B" w:themeColor="accent3" w:themeShade="BF"/>
          <w:sz w:val="22"/>
          <w:szCs w:val="22"/>
          <w:lang w:val="en-GB"/>
        </w:rPr>
      </w:pPr>
    </w:p>
    <w:p w14:paraId="0676BC1E" w14:textId="5A8A3211" w:rsidR="00081483" w:rsidRDefault="00081483" w:rsidP="0008148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the 1922 Act, t</w:t>
      </w:r>
      <w:r w:rsidRPr="00081483">
        <w:rPr>
          <w:rFonts w:ascii="Arial" w:hAnsi="Arial" w:cs="Arial"/>
          <w:color w:val="7B7B7B" w:themeColor="accent3" w:themeShade="BF"/>
          <w:sz w:val="22"/>
          <w:szCs w:val="22"/>
          <w:lang w:val="en-GB"/>
        </w:rPr>
        <w:t xml:space="preserve">he application must be </w:t>
      </w:r>
      <w:r>
        <w:rPr>
          <w:rFonts w:ascii="Arial" w:hAnsi="Arial" w:cs="Arial"/>
          <w:color w:val="7B7B7B" w:themeColor="accent3" w:themeShade="BF"/>
          <w:sz w:val="22"/>
          <w:szCs w:val="22"/>
          <w:lang w:val="en-GB"/>
        </w:rPr>
        <w:t xml:space="preserve">made within 12 months of the judgment being handed down subject to an extension being received from the </w:t>
      </w:r>
      <w:r w:rsidR="00446104">
        <w:rPr>
          <w:rFonts w:ascii="Arial" w:hAnsi="Arial" w:cs="Arial"/>
          <w:color w:val="7B7B7B" w:themeColor="accent3" w:themeShade="BF"/>
          <w:sz w:val="22"/>
          <w:szCs w:val="22"/>
          <w:lang w:val="en-GB"/>
        </w:rPr>
        <w:t xml:space="preserve">BVI </w:t>
      </w:r>
      <w:r>
        <w:rPr>
          <w:rFonts w:ascii="Arial" w:hAnsi="Arial" w:cs="Arial"/>
          <w:color w:val="7B7B7B" w:themeColor="accent3" w:themeShade="BF"/>
          <w:sz w:val="22"/>
          <w:szCs w:val="22"/>
          <w:lang w:val="en-GB"/>
        </w:rPr>
        <w:t>Court.</w:t>
      </w:r>
      <w:r w:rsidR="00A61936">
        <w:rPr>
          <w:rStyle w:val="FootnoteReference"/>
          <w:rFonts w:ascii="Arial" w:hAnsi="Arial" w:cs="Arial"/>
          <w:color w:val="7B7B7B" w:themeColor="accent3" w:themeShade="BF"/>
          <w:sz w:val="22"/>
          <w:szCs w:val="22"/>
          <w:lang w:val="en-GB"/>
        </w:rPr>
        <w:footnoteReference w:id="23"/>
      </w:r>
      <w:r w:rsidR="00A61936">
        <w:rPr>
          <w:rFonts w:ascii="Arial" w:hAnsi="Arial" w:cs="Arial"/>
          <w:color w:val="7B7B7B" w:themeColor="accent3" w:themeShade="BF"/>
          <w:sz w:val="22"/>
          <w:szCs w:val="22"/>
          <w:lang w:val="en-GB"/>
        </w:rPr>
        <w:t xml:space="preserve">  </w:t>
      </w:r>
      <w:r w:rsidR="00446104">
        <w:rPr>
          <w:rFonts w:ascii="Arial" w:hAnsi="Arial" w:cs="Arial"/>
          <w:color w:val="7B7B7B" w:themeColor="accent3" w:themeShade="BF"/>
          <w:sz w:val="22"/>
          <w:szCs w:val="22"/>
          <w:lang w:val="en-GB"/>
        </w:rPr>
        <w:t xml:space="preserve">Based on the facts of the case, Expat Properties would be out of time given that we are now in 2022.  Expat Properties will therefore have to apply to the BVI Court and seek </w:t>
      </w:r>
      <w:r w:rsidR="00DB1A76">
        <w:rPr>
          <w:rFonts w:ascii="Arial" w:hAnsi="Arial" w:cs="Arial"/>
          <w:color w:val="7B7B7B" w:themeColor="accent3" w:themeShade="BF"/>
          <w:sz w:val="22"/>
          <w:szCs w:val="22"/>
          <w:lang w:val="en-GB"/>
        </w:rPr>
        <w:t>approval of an extension of the 12-month deadline.</w:t>
      </w:r>
    </w:p>
    <w:p w14:paraId="69135A1C" w14:textId="2674DA30" w:rsidR="00DB1A76" w:rsidRDefault="00DB1A76" w:rsidP="00081483">
      <w:pPr>
        <w:autoSpaceDE w:val="0"/>
        <w:autoSpaceDN w:val="0"/>
        <w:adjustRightInd w:val="0"/>
        <w:jc w:val="both"/>
        <w:rPr>
          <w:rFonts w:ascii="Arial" w:hAnsi="Arial" w:cs="Arial"/>
          <w:color w:val="7B7B7B" w:themeColor="accent3" w:themeShade="BF"/>
          <w:sz w:val="22"/>
          <w:szCs w:val="22"/>
          <w:lang w:val="en-GB"/>
        </w:rPr>
      </w:pPr>
    </w:p>
    <w:p w14:paraId="2E734779" w14:textId="3653B0D1" w:rsidR="00A61936" w:rsidRDefault="00A61936" w:rsidP="00081483">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Right to Appeal</w:t>
      </w:r>
    </w:p>
    <w:p w14:paraId="43B310C0" w14:textId="479672E3" w:rsidR="00A61936" w:rsidRDefault="00A61936" w:rsidP="00081483">
      <w:pPr>
        <w:autoSpaceDE w:val="0"/>
        <w:autoSpaceDN w:val="0"/>
        <w:adjustRightInd w:val="0"/>
        <w:jc w:val="both"/>
        <w:rPr>
          <w:rFonts w:ascii="Arial" w:hAnsi="Arial" w:cs="Arial"/>
          <w:b/>
          <w:bCs/>
          <w:color w:val="7B7B7B" w:themeColor="accent3" w:themeShade="BF"/>
          <w:sz w:val="22"/>
          <w:szCs w:val="22"/>
          <w:lang w:val="en-GB"/>
        </w:rPr>
      </w:pPr>
    </w:p>
    <w:p w14:paraId="71C23FD6" w14:textId="43BF733F" w:rsidR="00A61936" w:rsidRPr="00A61936" w:rsidRDefault="00A61936" w:rsidP="0008148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the 1922 Act, should the judgment debtor have appealed the judgment, have the right to appeal or expressed an intention to appeal, the judgment c</w:t>
      </w:r>
      <w:r w:rsidR="00421CCD">
        <w:rPr>
          <w:rFonts w:ascii="Arial" w:hAnsi="Arial" w:cs="Arial"/>
          <w:color w:val="7B7B7B" w:themeColor="accent3" w:themeShade="BF"/>
          <w:sz w:val="22"/>
          <w:szCs w:val="22"/>
          <w:lang w:val="en-GB"/>
        </w:rPr>
        <w:t>ould</w:t>
      </w:r>
      <w:r>
        <w:rPr>
          <w:rFonts w:ascii="Arial" w:hAnsi="Arial" w:cs="Arial"/>
          <w:color w:val="7B7B7B" w:themeColor="accent3" w:themeShade="BF"/>
          <w:sz w:val="22"/>
          <w:szCs w:val="22"/>
          <w:lang w:val="en-GB"/>
        </w:rPr>
        <w:t xml:space="preserve"> be registered.</w:t>
      </w:r>
      <w:r>
        <w:rPr>
          <w:rStyle w:val="FootnoteReference"/>
          <w:rFonts w:ascii="Arial" w:hAnsi="Arial" w:cs="Arial"/>
          <w:color w:val="7B7B7B" w:themeColor="accent3" w:themeShade="BF"/>
          <w:sz w:val="22"/>
          <w:szCs w:val="22"/>
          <w:lang w:val="en-GB"/>
        </w:rPr>
        <w:footnoteReference w:id="24"/>
      </w:r>
      <w:r>
        <w:rPr>
          <w:rFonts w:ascii="Arial" w:hAnsi="Arial" w:cs="Arial"/>
          <w:color w:val="7B7B7B" w:themeColor="accent3" w:themeShade="BF"/>
          <w:sz w:val="22"/>
          <w:szCs w:val="22"/>
          <w:lang w:val="en-GB"/>
        </w:rPr>
        <w:t xml:space="preserve">  The facts of the case do not clarify this point and confirmation from Expat Properties would be required in this regard.</w:t>
      </w:r>
    </w:p>
    <w:p w14:paraId="174103F6" w14:textId="77777777" w:rsidR="00A61936" w:rsidRDefault="00A61936" w:rsidP="00081483">
      <w:pPr>
        <w:autoSpaceDE w:val="0"/>
        <w:autoSpaceDN w:val="0"/>
        <w:adjustRightInd w:val="0"/>
        <w:jc w:val="both"/>
        <w:rPr>
          <w:rFonts w:ascii="Arial" w:hAnsi="Arial" w:cs="Arial"/>
          <w:b/>
          <w:bCs/>
          <w:color w:val="7B7B7B" w:themeColor="accent3" w:themeShade="BF"/>
          <w:sz w:val="22"/>
          <w:szCs w:val="22"/>
          <w:lang w:val="en-GB"/>
        </w:rPr>
      </w:pPr>
    </w:p>
    <w:p w14:paraId="41E58A91" w14:textId="37816A73" w:rsidR="0090265B" w:rsidRDefault="0090265B" w:rsidP="00081483">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Just and Convenient</w:t>
      </w:r>
    </w:p>
    <w:p w14:paraId="7ADD8D59" w14:textId="20848BCA" w:rsidR="0090265B" w:rsidRDefault="0090265B" w:rsidP="00081483">
      <w:pPr>
        <w:autoSpaceDE w:val="0"/>
        <w:autoSpaceDN w:val="0"/>
        <w:adjustRightInd w:val="0"/>
        <w:jc w:val="both"/>
        <w:rPr>
          <w:rFonts w:ascii="Arial" w:hAnsi="Arial" w:cs="Arial"/>
          <w:b/>
          <w:bCs/>
          <w:color w:val="7B7B7B" w:themeColor="accent3" w:themeShade="BF"/>
          <w:sz w:val="22"/>
          <w:szCs w:val="22"/>
          <w:lang w:val="en-GB"/>
        </w:rPr>
      </w:pPr>
    </w:p>
    <w:p w14:paraId="17F392FC" w14:textId="0C0D69A1" w:rsidR="0090265B" w:rsidRPr="0090265B" w:rsidRDefault="0090265B" w:rsidP="0008148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the 1922 Act, registration and enforcement of the judgment in the BVI must be just and convenient.</w:t>
      </w:r>
      <w:r>
        <w:rPr>
          <w:rStyle w:val="FootnoteReference"/>
          <w:rFonts w:ascii="Arial" w:hAnsi="Arial" w:cs="Arial"/>
          <w:color w:val="7B7B7B" w:themeColor="accent3" w:themeShade="BF"/>
          <w:sz w:val="22"/>
          <w:szCs w:val="22"/>
          <w:lang w:val="en-GB"/>
        </w:rPr>
        <w:footnoteReference w:id="25"/>
      </w:r>
      <w:r>
        <w:rPr>
          <w:rFonts w:ascii="Arial" w:hAnsi="Arial" w:cs="Arial"/>
          <w:color w:val="7B7B7B" w:themeColor="accent3" w:themeShade="BF"/>
          <w:sz w:val="22"/>
          <w:szCs w:val="22"/>
          <w:lang w:val="en-GB"/>
        </w:rPr>
        <w:t xml:space="preserve">  Based on the facts of the case, Expat Properties has significant assets in the BVI presumably upon which the </w:t>
      </w:r>
      <w:r w:rsidR="003D7036">
        <w:rPr>
          <w:rFonts w:ascii="Arial" w:hAnsi="Arial" w:cs="Arial"/>
          <w:color w:val="7B7B7B" w:themeColor="accent3" w:themeShade="BF"/>
          <w:sz w:val="22"/>
          <w:szCs w:val="22"/>
          <w:lang w:val="en-GB"/>
        </w:rPr>
        <w:t>judgment could be enforced.  Therefore, on the face of it, it appears that the BVI Court would agree that this requirement has been met.</w:t>
      </w:r>
    </w:p>
    <w:p w14:paraId="4278FAFD" w14:textId="77777777" w:rsidR="0090265B" w:rsidRDefault="0090265B" w:rsidP="00081483">
      <w:pPr>
        <w:autoSpaceDE w:val="0"/>
        <w:autoSpaceDN w:val="0"/>
        <w:adjustRightInd w:val="0"/>
        <w:jc w:val="both"/>
        <w:rPr>
          <w:rFonts w:ascii="Arial" w:hAnsi="Arial" w:cs="Arial"/>
          <w:b/>
          <w:bCs/>
          <w:color w:val="7B7B7B" w:themeColor="accent3" w:themeShade="BF"/>
          <w:sz w:val="22"/>
          <w:szCs w:val="22"/>
          <w:lang w:val="en-GB"/>
        </w:rPr>
      </w:pPr>
    </w:p>
    <w:p w14:paraId="179CF881" w14:textId="1E01B492" w:rsidR="002577C3" w:rsidRDefault="002577C3" w:rsidP="00081483">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Jurisdiction</w:t>
      </w:r>
    </w:p>
    <w:p w14:paraId="5E966ABB" w14:textId="4B897661" w:rsidR="002577C3" w:rsidRDefault="002577C3" w:rsidP="00081483">
      <w:pPr>
        <w:autoSpaceDE w:val="0"/>
        <w:autoSpaceDN w:val="0"/>
        <w:adjustRightInd w:val="0"/>
        <w:jc w:val="both"/>
        <w:rPr>
          <w:rFonts w:ascii="Arial" w:hAnsi="Arial" w:cs="Arial"/>
          <w:b/>
          <w:bCs/>
          <w:color w:val="7B7B7B" w:themeColor="accent3" w:themeShade="BF"/>
          <w:sz w:val="22"/>
          <w:szCs w:val="22"/>
          <w:lang w:val="en-GB"/>
        </w:rPr>
      </w:pPr>
    </w:p>
    <w:p w14:paraId="738F3709" w14:textId="5C7641D9" w:rsidR="002577C3" w:rsidRDefault="002577C3" w:rsidP="0008148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the 1922 Act, </w:t>
      </w:r>
      <w:r w:rsidR="00EB7171">
        <w:rPr>
          <w:rFonts w:ascii="Arial" w:hAnsi="Arial" w:cs="Arial"/>
          <w:color w:val="7B7B7B" w:themeColor="accent3" w:themeShade="BF"/>
          <w:sz w:val="22"/>
          <w:szCs w:val="22"/>
          <w:lang w:val="en-GB"/>
        </w:rPr>
        <w:t>the following jurisdictional requirements must have been met</w:t>
      </w:r>
      <w:r>
        <w:rPr>
          <w:rFonts w:ascii="Arial" w:hAnsi="Arial" w:cs="Arial"/>
          <w:color w:val="7B7B7B" w:themeColor="accent3" w:themeShade="BF"/>
          <w:sz w:val="22"/>
          <w:szCs w:val="22"/>
          <w:lang w:val="en-GB"/>
        </w:rPr>
        <w:t xml:space="preserve"> in respect of the judgment:</w:t>
      </w:r>
      <w:r>
        <w:rPr>
          <w:rStyle w:val="FootnoteReference"/>
          <w:rFonts w:ascii="Arial" w:hAnsi="Arial" w:cs="Arial"/>
          <w:color w:val="7B7B7B" w:themeColor="accent3" w:themeShade="BF"/>
          <w:sz w:val="22"/>
          <w:szCs w:val="22"/>
          <w:lang w:val="en-GB"/>
        </w:rPr>
        <w:footnoteReference w:id="26"/>
      </w:r>
    </w:p>
    <w:p w14:paraId="52FCE4EA" w14:textId="4AE6CA89" w:rsidR="002577C3" w:rsidRDefault="002577C3" w:rsidP="00081483">
      <w:pPr>
        <w:autoSpaceDE w:val="0"/>
        <w:autoSpaceDN w:val="0"/>
        <w:adjustRightInd w:val="0"/>
        <w:jc w:val="both"/>
        <w:rPr>
          <w:rFonts w:ascii="Arial" w:hAnsi="Arial" w:cs="Arial"/>
          <w:color w:val="7B7B7B" w:themeColor="accent3" w:themeShade="BF"/>
          <w:sz w:val="22"/>
          <w:szCs w:val="22"/>
          <w:lang w:val="en-GB"/>
        </w:rPr>
      </w:pPr>
    </w:p>
    <w:p w14:paraId="12F4C855" w14:textId="7E5864B8" w:rsidR="002577C3" w:rsidRDefault="002577C3" w:rsidP="002577C3">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High Court had jurisdiction;</w:t>
      </w:r>
      <w:r w:rsidR="00EB7171">
        <w:rPr>
          <w:rFonts w:ascii="Arial" w:hAnsi="Arial" w:cs="Arial"/>
          <w:color w:val="7B7B7B" w:themeColor="accent3" w:themeShade="BF"/>
          <w:sz w:val="22"/>
          <w:szCs w:val="22"/>
          <w:lang w:val="en-GB"/>
        </w:rPr>
        <w:t xml:space="preserve"> and,</w:t>
      </w:r>
    </w:p>
    <w:p w14:paraId="6747C58A" w14:textId="77777777" w:rsidR="002577C3" w:rsidRDefault="002577C3" w:rsidP="002577C3">
      <w:pPr>
        <w:pStyle w:val="ListParagraph"/>
        <w:autoSpaceDE w:val="0"/>
        <w:autoSpaceDN w:val="0"/>
        <w:adjustRightInd w:val="0"/>
        <w:jc w:val="both"/>
        <w:rPr>
          <w:rFonts w:ascii="Arial" w:hAnsi="Arial" w:cs="Arial"/>
          <w:color w:val="7B7B7B" w:themeColor="accent3" w:themeShade="BF"/>
          <w:sz w:val="22"/>
          <w:szCs w:val="22"/>
          <w:lang w:val="en-GB"/>
        </w:rPr>
      </w:pPr>
    </w:p>
    <w:p w14:paraId="2D747F1C" w14:textId="106A2B1C" w:rsidR="002577C3" w:rsidRDefault="002577C3" w:rsidP="002577C3">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debtor </w:t>
      </w:r>
      <w:r w:rsidR="00EB7171">
        <w:rPr>
          <w:rFonts w:ascii="Arial" w:hAnsi="Arial" w:cs="Arial"/>
          <w:color w:val="7B7B7B" w:themeColor="accent3" w:themeShade="BF"/>
          <w:sz w:val="22"/>
          <w:szCs w:val="22"/>
          <w:lang w:val="en-GB"/>
        </w:rPr>
        <w:t>was properly served and appeared or submitted to the jurisdiction of the English High Court or carried on business or been ordinarily resident within the jurisdiction of the English High Court.</w:t>
      </w:r>
    </w:p>
    <w:p w14:paraId="02E58BB4" w14:textId="77777777" w:rsidR="00EB7171" w:rsidRPr="00EB7171" w:rsidRDefault="00EB7171" w:rsidP="00EB7171">
      <w:pPr>
        <w:ind w:left="360"/>
        <w:rPr>
          <w:rFonts w:ascii="Arial" w:hAnsi="Arial" w:cs="Arial"/>
          <w:color w:val="7B7B7B" w:themeColor="accent3" w:themeShade="BF"/>
          <w:sz w:val="22"/>
          <w:szCs w:val="22"/>
          <w:lang w:val="en-GB"/>
        </w:rPr>
      </w:pPr>
    </w:p>
    <w:p w14:paraId="13536F67" w14:textId="71973A43" w:rsidR="00EB7171" w:rsidRPr="00EB7171" w:rsidRDefault="00EB7171" w:rsidP="00EB717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of the case</w:t>
      </w:r>
      <w:r w:rsidR="0083500D">
        <w:rPr>
          <w:rFonts w:ascii="Arial" w:hAnsi="Arial" w:cs="Arial"/>
          <w:color w:val="7B7B7B" w:themeColor="accent3" w:themeShade="BF"/>
          <w:sz w:val="22"/>
          <w:szCs w:val="22"/>
          <w:lang w:val="en-GB"/>
        </w:rPr>
        <w:t xml:space="preserve"> confirm that </w:t>
      </w:r>
      <w:r w:rsidR="0090265B">
        <w:rPr>
          <w:rFonts w:ascii="Arial" w:hAnsi="Arial" w:cs="Arial"/>
          <w:color w:val="7B7B7B" w:themeColor="accent3" w:themeShade="BF"/>
          <w:sz w:val="22"/>
          <w:szCs w:val="22"/>
          <w:lang w:val="en-GB"/>
        </w:rPr>
        <w:t>Expat Properties</w:t>
      </w:r>
      <w:r w:rsidR="0083500D">
        <w:rPr>
          <w:rFonts w:ascii="Arial" w:hAnsi="Arial" w:cs="Arial"/>
          <w:color w:val="7B7B7B" w:themeColor="accent3" w:themeShade="BF"/>
          <w:sz w:val="22"/>
          <w:szCs w:val="22"/>
          <w:lang w:val="en-GB"/>
        </w:rPr>
        <w:t xml:space="preserve"> did not attend the hearing but it is not clear whether</w:t>
      </w:r>
      <w:r w:rsidR="0090265B">
        <w:rPr>
          <w:rFonts w:ascii="Arial" w:hAnsi="Arial" w:cs="Arial"/>
          <w:color w:val="7B7B7B" w:themeColor="accent3" w:themeShade="BF"/>
          <w:sz w:val="22"/>
          <w:szCs w:val="22"/>
          <w:lang w:val="en-GB"/>
        </w:rPr>
        <w:t xml:space="preserve"> it was properly served or submitted to the English High Court, for example.</w:t>
      </w:r>
      <w:r>
        <w:rPr>
          <w:rFonts w:ascii="Arial" w:hAnsi="Arial" w:cs="Arial"/>
          <w:color w:val="7B7B7B" w:themeColor="accent3" w:themeShade="BF"/>
          <w:sz w:val="22"/>
          <w:szCs w:val="22"/>
          <w:lang w:val="en-GB"/>
        </w:rPr>
        <w:t xml:space="preserve">  Confirmation from Expat Properties in this regard</w:t>
      </w:r>
      <w:r w:rsidR="00421CCD">
        <w:rPr>
          <w:rFonts w:ascii="Arial" w:hAnsi="Arial" w:cs="Arial"/>
          <w:color w:val="7B7B7B" w:themeColor="accent3" w:themeShade="BF"/>
          <w:sz w:val="22"/>
          <w:szCs w:val="22"/>
          <w:lang w:val="en-GB"/>
        </w:rPr>
        <w:t>, and on the remaining jurisdictional points,</w:t>
      </w:r>
      <w:r>
        <w:rPr>
          <w:rFonts w:ascii="Arial" w:hAnsi="Arial" w:cs="Arial"/>
          <w:color w:val="7B7B7B" w:themeColor="accent3" w:themeShade="BF"/>
          <w:sz w:val="22"/>
          <w:szCs w:val="22"/>
          <w:lang w:val="en-GB"/>
        </w:rPr>
        <w:t xml:space="preserve"> would be required. </w:t>
      </w:r>
    </w:p>
    <w:p w14:paraId="2E20A5D0" w14:textId="77777777" w:rsidR="002577C3" w:rsidRDefault="002577C3" w:rsidP="00081483">
      <w:pPr>
        <w:autoSpaceDE w:val="0"/>
        <w:autoSpaceDN w:val="0"/>
        <w:adjustRightInd w:val="0"/>
        <w:jc w:val="both"/>
        <w:rPr>
          <w:rFonts w:ascii="Arial" w:hAnsi="Arial" w:cs="Arial"/>
          <w:b/>
          <w:bCs/>
          <w:color w:val="7B7B7B" w:themeColor="accent3" w:themeShade="BF"/>
          <w:sz w:val="22"/>
          <w:szCs w:val="22"/>
          <w:lang w:val="en-GB"/>
        </w:rPr>
      </w:pPr>
    </w:p>
    <w:p w14:paraId="7A352F49" w14:textId="371A8537" w:rsidR="0083500D" w:rsidRDefault="0083500D" w:rsidP="00081483">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Fines, Penalties, or Taxes</w:t>
      </w:r>
    </w:p>
    <w:p w14:paraId="0F756BBF" w14:textId="26B32CEB" w:rsidR="0083500D" w:rsidRDefault="0083500D" w:rsidP="00081483">
      <w:pPr>
        <w:autoSpaceDE w:val="0"/>
        <w:autoSpaceDN w:val="0"/>
        <w:adjustRightInd w:val="0"/>
        <w:jc w:val="both"/>
        <w:rPr>
          <w:rFonts w:ascii="Arial" w:hAnsi="Arial" w:cs="Arial"/>
          <w:b/>
          <w:bCs/>
          <w:color w:val="7B7B7B" w:themeColor="accent3" w:themeShade="BF"/>
          <w:sz w:val="22"/>
          <w:szCs w:val="22"/>
          <w:lang w:val="en-GB"/>
        </w:rPr>
      </w:pPr>
    </w:p>
    <w:p w14:paraId="42CF057E" w14:textId="0B367AA9" w:rsidR="0083500D" w:rsidRPr="0083500D" w:rsidRDefault="0083500D" w:rsidP="0008148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the 1922 Act, the judgment must not be for penalties, fines or taxes or similar fiscal obligations.</w:t>
      </w:r>
      <w:r>
        <w:rPr>
          <w:rStyle w:val="FootnoteReference"/>
          <w:rFonts w:ascii="Arial" w:hAnsi="Arial" w:cs="Arial"/>
          <w:color w:val="7B7B7B" w:themeColor="accent3" w:themeShade="BF"/>
          <w:sz w:val="22"/>
          <w:szCs w:val="22"/>
          <w:lang w:val="en-GB"/>
        </w:rPr>
        <w:footnoteReference w:id="27"/>
      </w:r>
      <w:r>
        <w:rPr>
          <w:rFonts w:ascii="Arial" w:hAnsi="Arial" w:cs="Arial"/>
          <w:color w:val="7B7B7B" w:themeColor="accent3" w:themeShade="BF"/>
          <w:sz w:val="22"/>
          <w:szCs w:val="22"/>
          <w:lang w:val="en-GB"/>
        </w:rPr>
        <w:t xml:space="preserve">  The facts of the case do not confirm what the judgment of USD 4,500,000 relates to but assuming that it is not in respect of the aforementioned fiscal obligations, this requirement would have been met.</w:t>
      </w:r>
    </w:p>
    <w:p w14:paraId="499C1A32" w14:textId="598E2777" w:rsidR="0083500D" w:rsidRDefault="0083500D" w:rsidP="00081483">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 xml:space="preserve"> </w:t>
      </w:r>
    </w:p>
    <w:p w14:paraId="6BE33123" w14:textId="65640837" w:rsidR="00DB1A76" w:rsidRDefault="00DB1A76" w:rsidP="00421CCD">
      <w:pPr>
        <w:keepNext/>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lastRenderedPageBreak/>
        <w:t>Enforcement</w:t>
      </w:r>
    </w:p>
    <w:p w14:paraId="5E8B5BEA" w14:textId="2352083C" w:rsidR="00DB1A76" w:rsidRDefault="00DB1A76" w:rsidP="00421CCD">
      <w:pPr>
        <w:keepNext/>
        <w:autoSpaceDE w:val="0"/>
        <w:autoSpaceDN w:val="0"/>
        <w:adjustRightInd w:val="0"/>
        <w:jc w:val="both"/>
        <w:rPr>
          <w:rFonts w:ascii="Arial" w:hAnsi="Arial" w:cs="Arial"/>
          <w:b/>
          <w:bCs/>
          <w:color w:val="7B7B7B" w:themeColor="accent3" w:themeShade="BF"/>
          <w:sz w:val="22"/>
          <w:szCs w:val="22"/>
          <w:lang w:val="en-GB"/>
        </w:rPr>
      </w:pPr>
    </w:p>
    <w:p w14:paraId="1D12B2AD" w14:textId="29D9CED1" w:rsidR="00DB1A76" w:rsidRPr="00DB1A76" w:rsidRDefault="00DB1A76" w:rsidP="00421CCD">
      <w:pPr>
        <w:keepNext/>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registered in the BVI, the judgment will have the same force as if it was originally received in the BVI.</w:t>
      </w:r>
      <w:r w:rsidR="00DC295F">
        <w:rPr>
          <w:rStyle w:val="FootnoteReference"/>
          <w:rFonts w:ascii="Arial" w:hAnsi="Arial" w:cs="Arial"/>
          <w:color w:val="7B7B7B" w:themeColor="accent3" w:themeShade="BF"/>
          <w:sz w:val="22"/>
          <w:szCs w:val="22"/>
          <w:lang w:val="en-GB"/>
        </w:rPr>
        <w:footnoteReference w:id="28"/>
      </w:r>
      <w:r>
        <w:rPr>
          <w:rFonts w:ascii="Arial" w:hAnsi="Arial" w:cs="Arial"/>
          <w:color w:val="7B7B7B" w:themeColor="accent3" w:themeShade="BF"/>
          <w:sz w:val="22"/>
          <w:szCs w:val="22"/>
          <w:lang w:val="en-GB"/>
        </w:rPr>
        <w:t xml:space="preserve">  </w:t>
      </w:r>
      <w:r w:rsidR="00562216">
        <w:rPr>
          <w:rFonts w:ascii="Arial" w:hAnsi="Arial" w:cs="Arial"/>
          <w:color w:val="7B7B7B" w:themeColor="accent3" w:themeShade="BF"/>
          <w:sz w:val="22"/>
          <w:szCs w:val="22"/>
          <w:lang w:val="en-GB"/>
        </w:rPr>
        <w:t>As such, all of the relief available to BVI made judgments would be available to Expat Properties upon registration.</w:t>
      </w:r>
    </w:p>
    <w:p w14:paraId="5F78024A"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415930C3" w14:textId="46E19E31" w:rsidR="00A0217E" w:rsidRDefault="00A0217E" w:rsidP="008065CE">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Security Interest</w:t>
      </w:r>
    </w:p>
    <w:p w14:paraId="587E91CB" w14:textId="0AAC0A57" w:rsidR="00A0217E" w:rsidRDefault="00A0217E" w:rsidP="008065CE">
      <w:pPr>
        <w:autoSpaceDE w:val="0"/>
        <w:autoSpaceDN w:val="0"/>
        <w:adjustRightInd w:val="0"/>
        <w:jc w:val="both"/>
        <w:rPr>
          <w:rFonts w:ascii="Arial" w:hAnsi="Arial" w:cs="Arial"/>
          <w:b/>
          <w:bCs/>
          <w:color w:val="7B7B7B" w:themeColor="accent3" w:themeShade="BF"/>
          <w:sz w:val="22"/>
          <w:szCs w:val="22"/>
          <w:lang w:val="en-GB"/>
        </w:rPr>
      </w:pPr>
    </w:p>
    <w:p w14:paraId="05156D2C" w14:textId="15794BFA" w:rsidR="00A0217E" w:rsidRDefault="00111FCB"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of the case do not clarify whether the loan agreement created a security interest over the property on Necker Island (</w:t>
      </w:r>
      <w:r>
        <w:rPr>
          <w:rFonts w:ascii="Arial" w:hAnsi="Arial" w:cs="Arial"/>
          <w:b/>
          <w:bCs/>
          <w:color w:val="7B7B7B" w:themeColor="accent3" w:themeShade="BF"/>
          <w:sz w:val="22"/>
          <w:szCs w:val="22"/>
          <w:lang w:val="en-GB"/>
        </w:rPr>
        <w:t>“the Property”</w:t>
      </w:r>
      <w:r>
        <w:rPr>
          <w:rFonts w:ascii="Arial" w:hAnsi="Arial" w:cs="Arial"/>
          <w:color w:val="7B7B7B" w:themeColor="accent3" w:themeShade="BF"/>
          <w:sz w:val="22"/>
          <w:szCs w:val="22"/>
          <w:lang w:val="en-GB"/>
        </w:rPr>
        <w:t>) in favour of Abbeydale Limited.</w:t>
      </w:r>
      <w:r w:rsidR="00B75B58">
        <w:rPr>
          <w:rFonts w:ascii="Arial" w:hAnsi="Arial" w:cs="Arial"/>
          <w:color w:val="7B7B7B" w:themeColor="accent3" w:themeShade="BF"/>
          <w:sz w:val="22"/>
          <w:szCs w:val="22"/>
          <w:lang w:val="en-GB"/>
        </w:rPr>
        <w:t xml:space="preserve">  For the purposes of this </w:t>
      </w:r>
      <w:r w:rsidR="00E704C9">
        <w:rPr>
          <w:rFonts w:ascii="Arial" w:hAnsi="Arial" w:cs="Arial"/>
          <w:color w:val="7B7B7B" w:themeColor="accent3" w:themeShade="BF"/>
          <w:sz w:val="22"/>
          <w:szCs w:val="22"/>
          <w:lang w:val="en-GB"/>
        </w:rPr>
        <w:t>question</w:t>
      </w:r>
      <w:r w:rsidR="00B75B58">
        <w:rPr>
          <w:rFonts w:ascii="Arial" w:hAnsi="Arial" w:cs="Arial"/>
          <w:color w:val="7B7B7B" w:themeColor="accent3" w:themeShade="BF"/>
          <w:sz w:val="22"/>
          <w:szCs w:val="22"/>
          <w:lang w:val="en-GB"/>
        </w:rPr>
        <w:t xml:space="preserve">, </w:t>
      </w:r>
      <w:r w:rsidR="00E704C9">
        <w:rPr>
          <w:rFonts w:ascii="Arial" w:hAnsi="Arial" w:cs="Arial"/>
          <w:color w:val="7B7B7B" w:themeColor="accent3" w:themeShade="BF"/>
          <w:sz w:val="22"/>
          <w:szCs w:val="22"/>
          <w:lang w:val="en-GB"/>
        </w:rPr>
        <w:t>it is assumed that the loan is secured on the Property.</w:t>
      </w:r>
      <w:r w:rsidR="007B1FDF">
        <w:rPr>
          <w:rFonts w:ascii="Arial" w:hAnsi="Arial" w:cs="Arial"/>
          <w:color w:val="7B7B7B" w:themeColor="accent3" w:themeShade="BF"/>
          <w:sz w:val="22"/>
          <w:szCs w:val="22"/>
          <w:lang w:val="en-GB"/>
        </w:rPr>
        <w:t xml:space="preserve">  </w:t>
      </w:r>
    </w:p>
    <w:p w14:paraId="73EA945E" w14:textId="094AD928" w:rsidR="007B1FDF" w:rsidRDefault="007B1FDF" w:rsidP="008065CE">
      <w:pPr>
        <w:autoSpaceDE w:val="0"/>
        <w:autoSpaceDN w:val="0"/>
        <w:adjustRightInd w:val="0"/>
        <w:jc w:val="both"/>
        <w:rPr>
          <w:rFonts w:ascii="Arial" w:hAnsi="Arial" w:cs="Arial"/>
          <w:color w:val="7B7B7B" w:themeColor="accent3" w:themeShade="BF"/>
          <w:sz w:val="22"/>
          <w:szCs w:val="22"/>
          <w:lang w:val="en-GB"/>
        </w:rPr>
      </w:pPr>
    </w:p>
    <w:p w14:paraId="17798284" w14:textId="3204180C" w:rsidR="007B1FDF" w:rsidRDefault="007B1FD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BVI law, it is not necessary to register security interests to ensure the legality, validity, enforceability or admissibility in evidence of financing or security documents.</w:t>
      </w:r>
      <w:r>
        <w:rPr>
          <w:rStyle w:val="FootnoteReference"/>
          <w:rFonts w:ascii="Arial" w:hAnsi="Arial" w:cs="Arial"/>
          <w:color w:val="7B7B7B" w:themeColor="accent3" w:themeShade="BF"/>
          <w:sz w:val="22"/>
          <w:szCs w:val="22"/>
          <w:lang w:val="en-GB"/>
        </w:rPr>
        <w:footnoteReference w:id="29"/>
      </w:r>
      <w:r>
        <w:rPr>
          <w:rFonts w:ascii="Arial" w:hAnsi="Arial" w:cs="Arial"/>
          <w:color w:val="7B7B7B" w:themeColor="accent3" w:themeShade="BF"/>
          <w:sz w:val="22"/>
          <w:szCs w:val="22"/>
          <w:lang w:val="en-GB"/>
        </w:rPr>
        <w:t xml:space="preserve">  As such, the question of whether Abbeydale registered any security interests will not be addressed.</w:t>
      </w:r>
    </w:p>
    <w:p w14:paraId="621B45D8" w14:textId="4B53663B" w:rsidR="00A7751D" w:rsidRDefault="00A7751D" w:rsidP="008065CE">
      <w:pPr>
        <w:autoSpaceDE w:val="0"/>
        <w:autoSpaceDN w:val="0"/>
        <w:adjustRightInd w:val="0"/>
        <w:jc w:val="both"/>
        <w:rPr>
          <w:rFonts w:ascii="Arial" w:hAnsi="Arial" w:cs="Arial"/>
          <w:color w:val="7B7B7B" w:themeColor="accent3" w:themeShade="BF"/>
          <w:sz w:val="22"/>
          <w:szCs w:val="22"/>
          <w:lang w:val="en-GB"/>
        </w:rPr>
      </w:pPr>
    </w:p>
    <w:p w14:paraId="5985BB73" w14:textId="10AC07F2" w:rsidR="00A7751D" w:rsidRDefault="00692C6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Insolvency Act, Abbeydale has the option of placing Dendoncker Limited into receivership, into liquidation, or both.  Each scenario is discussed below and in particular, the effect of the liquidation on Abbeydale’s (or the receiver, if so appointed) right to deal with the Property is clarified.</w:t>
      </w:r>
    </w:p>
    <w:p w14:paraId="5639DA24" w14:textId="30E428B5" w:rsidR="00AB3249" w:rsidRDefault="00AB3249" w:rsidP="008065CE">
      <w:pPr>
        <w:autoSpaceDE w:val="0"/>
        <w:autoSpaceDN w:val="0"/>
        <w:adjustRightInd w:val="0"/>
        <w:jc w:val="both"/>
        <w:rPr>
          <w:rFonts w:ascii="Arial" w:hAnsi="Arial" w:cs="Arial"/>
          <w:color w:val="7B7B7B" w:themeColor="accent3" w:themeShade="BF"/>
          <w:sz w:val="22"/>
          <w:szCs w:val="22"/>
          <w:lang w:val="en-GB"/>
        </w:rPr>
      </w:pPr>
    </w:p>
    <w:p w14:paraId="3BFA6CB0" w14:textId="3C6EEA03" w:rsidR="00AB3249" w:rsidRDefault="00AB3249" w:rsidP="008065CE">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 xml:space="preserve">Receivership </w:t>
      </w:r>
    </w:p>
    <w:p w14:paraId="0614548D" w14:textId="54FC686F" w:rsidR="00AB3249" w:rsidRDefault="00AB3249" w:rsidP="008065CE">
      <w:pPr>
        <w:autoSpaceDE w:val="0"/>
        <w:autoSpaceDN w:val="0"/>
        <w:adjustRightInd w:val="0"/>
        <w:jc w:val="both"/>
        <w:rPr>
          <w:rFonts w:ascii="Arial" w:hAnsi="Arial" w:cs="Arial"/>
          <w:b/>
          <w:bCs/>
          <w:color w:val="7B7B7B" w:themeColor="accent3" w:themeShade="BF"/>
          <w:sz w:val="22"/>
          <w:szCs w:val="22"/>
          <w:lang w:val="en-GB"/>
        </w:rPr>
      </w:pPr>
    </w:p>
    <w:p w14:paraId="006E8A54" w14:textId="166A61F1" w:rsidR="006E78D5" w:rsidRPr="006E78D5" w:rsidRDefault="00AB324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of the case do not clarify whether the loan agreement gives Abbeydale the power to appoint a receiver due to failure to make any repayments in full or in part.  However, on the basis that it does, Abbeydale has the option of placing Dendoncker into receivership</w:t>
      </w:r>
      <w:r w:rsidR="006E78D5">
        <w:rPr>
          <w:rFonts w:ascii="Arial" w:hAnsi="Arial" w:cs="Arial"/>
          <w:color w:val="7B7B7B" w:themeColor="accent3" w:themeShade="BF"/>
          <w:sz w:val="22"/>
          <w:szCs w:val="22"/>
          <w:lang w:val="en-GB"/>
        </w:rPr>
        <w:t xml:space="preserve"> (out of court)</w:t>
      </w:r>
      <w:r>
        <w:rPr>
          <w:rFonts w:ascii="Arial" w:hAnsi="Arial" w:cs="Arial"/>
          <w:color w:val="7B7B7B" w:themeColor="accent3" w:themeShade="BF"/>
          <w:sz w:val="22"/>
          <w:szCs w:val="22"/>
          <w:lang w:val="en-GB"/>
        </w:rPr>
        <w:t xml:space="preserve"> pursuant to the terms of the loan agreement.  The receiver would be charged with taking control of the property and realizing it for the benefit of Abbeydale.</w:t>
      </w:r>
      <w:r w:rsidR="00A7751D">
        <w:rPr>
          <w:rFonts w:ascii="Arial" w:hAnsi="Arial" w:cs="Arial"/>
          <w:color w:val="7B7B7B" w:themeColor="accent3" w:themeShade="BF"/>
          <w:sz w:val="22"/>
          <w:szCs w:val="22"/>
          <w:lang w:val="en-GB"/>
        </w:rPr>
        <w:t xml:space="preserve">  The Insolvency Act would apply to a receiver appointed under a security document as in this scenario.</w:t>
      </w:r>
      <w:r w:rsidR="007E5F70">
        <w:rPr>
          <w:rStyle w:val="FootnoteReference"/>
          <w:rFonts w:ascii="Arial" w:hAnsi="Arial" w:cs="Arial"/>
          <w:color w:val="7B7B7B" w:themeColor="accent3" w:themeShade="BF"/>
          <w:sz w:val="22"/>
          <w:szCs w:val="22"/>
          <w:lang w:val="en-GB"/>
        </w:rPr>
        <w:footnoteReference w:id="30"/>
      </w:r>
    </w:p>
    <w:p w14:paraId="1A413F57" w14:textId="77777777" w:rsidR="006E78D5" w:rsidRDefault="006E78D5" w:rsidP="008065CE">
      <w:pPr>
        <w:autoSpaceDE w:val="0"/>
        <w:autoSpaceDN w:val="0"/>
        <w:adjustRightInd w:val="0"/>
        <w:jc w:val="both"/>
        <w:rPr>
          <w:rFonts w:ascii="Arial" w:hAnsi="Arial" w:cs="Arial"/>
          <w:b/>
          <w:bCs/>
          <w:color w:val="7B7B7B" w:themeColor="accent3" w:themeShade="BF"/>
          <w:sz w:val="22"/>
          <w:szCs w:val="22"/>
          <w:lang w:val="en-GB"/>
        </w:rPr>
      </w:pPr>
    </w:p>
    <w:p w14:paraId="785EA721" w14:textId="15B0800F" w:rsidR="00BD19EE" w:rsidRDefault="00BD19EE" w:rsidP="00692C65">
      <w:pPr>
        <w:keepNext/>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lastRenderedPageBreak/>
        <w:t>Insolvent</w:t>
      </w:r>
    </w:p>
    <w:p w14:paraId="6D87A7F3" w14:textId="2A5E8226" w:rsidR="00BD19EE" w:rsidRDefault="00BD19EE" w:rsidP="00692C65">
      <w:pPr>
        <w:keepNext/>
        <w:autoSpaceDE w:val="0"/>
        <w:autoSpaceDN w:val="0"/>
        <w:adjustRightInd w:val="0"/>
        <w:jc w:val="both"/>
        <w:rPr>
          <w:rFonts w:ascii="Arial" w:hAnsi="Arial" w:cs="Arial"/>
          <w:b/>
          <w:bCs/>
          <w:color w:val="7B7B7B" w:themeColor="accent3" w:themeShade="BF"/>
          <w:sz w:val="22"/>
          <w:szCs w:val="22"/>
          <w:lang w:val="en-GB"/>
        </w:rPr>
      </w:pPr>
    </w:p>
    <w:p w14:paraId="06B3B5C3" w14:textId="6CDDEC84" w:rsidR="00BD19EE" w:rsidRPr="00BD19EE" w:rsidRDefault="0059566B" w:rsidP="00692C65">
      <w:pPr>
        <w:keepNext/>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BD19EE">
        <w:rPr>
          <w:rFonts w:ascii="Arial" w:hAnsi="Arial" w:cs="Arial"/>
          <w:color w:val="7B7B7B" w:themeColor="accent3" w:themeShade="BF"/>
          <w:sz w:val="22"/>
          <w:szCs w:val="22"/>
          <w:lang w:val="en-GB"/>
        </w:rPr>
        <w:t xml:space="preserve"> company is insolvent if it fails to comply with the requirements of a statutory demand that has not otherwise been set aside.</w:t>
      </w:r>
      <w:r w:rsidR="00BD19EE">
        <w:rPr>
          <w:rStyle w:val="FootnoteReference"/>
          <w:rFonts w:ascii="Arial" w:hAnsi="Arial" w:cs="Arial"/>
          <w:color w:val="7B7B7B" w:themeColor="accent3" w:themeShade="BF"/>
          <w:sz w:val="22"/>
          <w:szCs w:val="22"/>
          <w:lang w:val="en-GB"/>
        </w:rPr>
        <w:footnoteReference w:id="31"/>
      </w:r>
    </w:p>
    <w:p w14:paraId="17D08A96" w14:textId="77777777" w:rsidR="00BD19EE" w:rsidRDefault="00BD19EE" w:rsidP="008065CE">
      <w:pPr>
        <w:autoSpaceDE w:val="0"/>
        <w:autoSpaceDN w:val="0"/>
        <w:adjustRightInd w:val="0"/>
        <w:jc w:val="both"/>
        <w:rPr>
          <w:rFonts w:ascii="Arial" w:hAnsi="Arial" w:cs="Arial"/>
          <w:b/>
          <w:bCs/>
          <w:color w:val="7B7B7B" w:themeColor="accent3" w:themeShade="BF"/>
          <w:sz w:val="22"/>
          <w:szCs w:val="22"/>
          <w:lang w:val="en-GB"/>
        </w:rPr>
      </w:pPr>
    </w:p>
    <w:p w14:paraId="16D63B30" w14:textId="3EE3EAC6" w:rsidR="00BD19EE" w:rsidRDefault="00BD19EE" w:rsidP="008065CE">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Statutory Demand</w:t>
      </w:r>
    </w:p>
    <w:p w14:paraId="48B28C0A" w14:textId="04B33ADF" w:rsidR="00BD19EE" w:rsidRDefault="00BD19EE" w:rsidP="008065CE">
      <w:pPr>
        <w:autoSpaceDE w:val="0"/>
        <w:autoSpaceDN w:val="0"/>
        <w:adjustRightInd w:val="0"/>
        <w:jc w:val="both"/>
        <w:rPr>
          <w:rFonts w:ascii="Arial" w:hAnsi="Arial" w:cs="Arial"/>
          <w:b/>
          <w:bCs/>
          <w:color w:val="7B7B7B" w:themeColor="accent3" w:themeShade="BF"/>
          <w:sz w:val="22"/>
          <w:szCs w:val="22"/>
          <w:lang w:val="en-GB"/>
        </w:rPr>
      </w:pPr>
    </w:p>
    <w:p w14:paraId="0A43B651" w14:textId="3AC1AAF0" w:rsidR="002F01B7" w:rsidRDefault="0088385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BD19EE">
        <w:rPr>
          <w:rFonts w:ascii="Arial" w:hAnsi="Arial" w:cs="Arial"/>
          <w:color w:val="7B7B7B" w:themeColor="accent3" w:themeShade="BF"/>
          <w:sz w:val="22"/>
          <w:szCs w:val="22"/>
          <w:lang w:val="en-GB"/>
        </w:rPr>
        <w:t xml:space="preserve"> creditor may make demand on a person for payment of a debt owed by that person to him.  In </w:t>
      </w:r>
      <w:r w:rsidR="007A12BA">
        <w:rPr>
          <w:rFonts w:ascii="Arial" w:hAnsi="Arial" w:cs="Arial"/>
          <w:color w:val="7B7B7B" w:themeColor="accent3" w:themeShade="BF"/>
          <w:sz w:val="22"/>
          <w:szCs w:val="22"/>
          <w:lang w:val="en-GB"/>
        </w:rPr>
        <w:t>respect of a secured debt, the full amount of the debt shall be specified in the demand.</w:t>
      </w:r>
      <w:r w:rsidR="00300001">
        <w:rPr>
          <w:rFonts w:ascii="Arial" w:hAnsi="Arial" w:cs="Arial"/>
          <w:color w:val="7B7B7B" w:themeColor="accent3" w:themeShade="BF"/>
          <w:sz w:val="22"/>
          <w:szCs w:val="22"/>
          <w:lang w:val="en-GB"/>
        </w:rPr>
        <w:t xml:space="preserve">  However, such </w:t>
      </w:r>
      <w:r w:rsidR="009A2041">
        <w:rPr>
          <w:rFonts w:ascii="Arial" w:hAnsi="Arial" w:cs="Arial"/>
          <w:color w:val="7B7B7B" w:themeColor="accent3" w:themeShade="BF"/>
          <w:sz w:val="22"/>
          <w:szCs w:val="22"/>
          <w:lang w:val="en-GB"/>
        </w:rPr>
        <w:t>demand must, amongst other things, give the person 21 days to pay the debt to the reasonable satisfaction of the creditor from the date of service of the demand.</w:t>
      </w:r>
      <w:r w:rsidR="002F01B7">
        <w:rPr>
          <w:rStyle w:val="FootnoteReference"/>
          <w:rFonts w:ascii="Arial" w:hAnsi="Arial" w:cs="Arial"/>
          <w:color w:val="7B7B7B" w:themeColor="accent3" w:themeShade="BF"/>
          <w:sz w:val="22"/>
          <w:szCs w:val="22"/>
          <w:lang w:val="en-GB"/>
        </w:rPr>
        <w:footnoteReference w:id="32"/>
      </w:r>
      <w:r w:rsidR="009A2041">
        <w:rPr>
          <w:rFonts w:ascii="Arial" w:hAnsi="Arial" w:cs="Arial"/>
          <w:color w:val="7B7B7B" w:themeColor="accent3" w:themeShade="BF"/>
          <w:sz w:val="22"/>
          <w:szCs w:val="22"/>
          <w:lang w:val="en-GB"/>
        </w:rPr>
        <w:t xml:space="preserve">  </w:t>
      </w:r>
    </w:p>
    <w:p w14:paraId="779B4971" w14:textId="77777777" w:rsidR="002F01B7" w:rsidRDefault="002F01B7" w:rsidP="008065CE">
      <w:pPr>
        <w:autoSpaceDE w:val="0"/>
        <w:autoSpaceDN w:val="0"/>
        <w:adjustRightInd w:val="0"/>
        <w:jc w:val="both"/>
        <w:rPr>
          <w:rFonts w:ascii="Arial" w:hAnsi="Arial" w:cs="Arial"/>
          <w:color w:val="7B7B7B" w:themeColor="accent3" w:themeShade="BF"/>
          <w:sz w:val="22"/>
          <w:szCs w:val="22"/>
          <w:lang w:val="en-GB"/>
        </w:rPr>
      </w:pPr>
    </w:p>
    <w:p w14:paraId="6AE62B51" w14:textId="31B0A0E1" w:rsidR="00BD19EE" w:rsidRPr="00BD19EE" w:rsidRDefault="009A204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facts of the case, Abbeydale made a demand for immediate repayment in full.  Abbeydale will have to resubmit the demand in compliance with s</w:t>
      </w:r>
      <w:r w:rsidR="00883856">
        <w:rPr>
          <w:rFonts w:ascii="Arial" w:hAnsi="Arial" w:cs="Arial"/>
          <w:color w:val="7B7B7B" w:themeColor="accent3" w:themeShade="BF"/>
          <w:sz w:val="22"/>
          <w:szCs w:val="22"/>
          <w:lang w:val="en-GB"/>
        </w:rPr>
        <w:t>ection</w:t>
      </w:r>
      <w:r>
        <w:rPr>
          <w:rFonts w:ascii="Arial" w:hAnsi="Arial" w:cs="Arial"/>
          <w:color w:val="7B7B7B" w:themeColor="accent3" w:themeShade="BF"/>
          <w:sz w:val="22"/>
          <w:szCs w:val="22"/>
          <w:lang w:val="en-GB"/>
        </w:rPr>
        <w:t xml:space="preserve"> 155 </w:t>
      </w:r>
      <w:r w:rsidR="00883856">
        <w:rPr>
          <w:rFonts w:ascii="Arial" w:hAnsi="Arial" w:cs="Arial"/>
          <w:color w:val="7B7B7B" w:themeColor="accent3" w:themeShade="BF"/>
          <w:sz w:val="22"/>
          <w:szCs w:val="22"/>
          <w:lang w:val="en-GB"/>
        </w:rPr>
        <w:t xml:space="preserve">of the Insolvency Act </w:t>
      </w:r>
      <w:r>
        <w:rPr>
          <w:rFonts w:ascii="Arial" w:hAnsi="Arial" w:cs="Arial"/>
          <w:color w:val="7B7B7B" w:themeColor="accent3" w:themeShade="BF"/>
          <w:sz w:val="22"/>
          <w:szCs w:val="22"/>
          <w:lang w:val="en-GB"/>
        </w:rPr>
        <w:t xml:space="preserve">for the purposes of proving the insolvency of Dendoncker. </w:t>
      </w:r>
    </w:p>
    <w:p w14:paraId="0D20DBB0" w14:textId="77777777" w:rsidR="006E78D5" w:rsidRDefault="006E78D5" w:rsidP="008065CE">
      <w:pPr>
        <w:autoSpaceDE w:val="0"/>
        <w:autoSpaceDN w:val="0"/>
        <w:adjustRightInd w:val="0"/>
        <w:jc w:val="both"/>
        <w:rPr>
          <w:rFonts w:ascii="Arial" w:hAnsi="Arial" w:cs="Arial"/>
          <w:b/>
          <w:bCs/>
          <w:color w:val="7B7B7B" w:themeColor="accent3" w:themeShade="BF"/>
          <w:sz w:val="22"/>
          <w:szCs w:val="22"/>
          <w:lang w:val="en-GB"/>
        </w:rPr>
      </w:pPr>
    </w:p>
    <w:p w14:paraId="7C677282" w14:textId="24CAA4CC" w:rsidR="00DB2479" w:rsidRPr="00DB2479" w:rsidRDefault="00DB2479" w:rsidP="008065CE">
      <w:pPr>
        <w:autoSpaceDE w:val="0"/>
        <w:autoSpaceDN w:val="0"/>
        <w:adjustRightInd w:val="0"/>
        <w:jc w:val="both"/>
        <w:rPr>
          <w:rFonts w:ascii="Arial" w:hAnsi="Arial" w:cs="Arial"/>
          <w:b/>
          <w:bCs/>
          <w:color w:val="7B7B7B" w:themeColor="accent3" w:themeShade="BF"/>
          <w:sz w:val="22"/>
          <w:szCs w:val="22"/>
          <w:lang w:val="en-GB"/>
        </w:rPr>
      </w:pPr>
      <w:r w:rsidRPr="00DB2479">
        <w:rPr>
          <w:rFonts w:ascii="Arial" w:hAnsi="Arial" w:cs="Arial"/>
          <w:b/>
          <w:bCs/>
          <w:color w:val="7B7B7B" w:themeColor="accent3" w:themeShade="BF"/>
          <w:sz w:val="22"/>
          <w:szCs w:val="22"/>
          <w:lang w:val="en-GB"/>
        </w:rPr>
        <w:t>Effect of liquidation</w:t>
      </w:r>
    </w:p>
    <w:p w14:paraId="646029C1" w14:textId="77777777" w:rsidR="00DB2479" w:rsidRDefault="00DB2479" w:rsidP="008065CE">
      <w:pPr>
        <w:autoSpaceDE w:val="0"/>
        <w:autoSpaceDN w:val="0"/>
        <w:adjustRightInd w:val="0"/>
        <w:jc w:val="both"/>
        <w:rPr>
          <w:rFonts w:ascii="Arial" w:hAnsi="Arial" w:cs="Arial"/>
          <w:color w:val="7B7B7B" w:themeColor="accent3" w:themeShade="BF"/>
          <w:sz w:val="22"/>
          <w:szCs w:val="22"/>
          <w:lang w:val="en-GB"/>
        </w:rPr>
      </w:pPr>
    </w:p>
    <w:p w14:paraId="156659E4" w14:textId="1AD75089" w:rsidR="002D3473" w:rsidRDefault="0042189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DB2479">
        <w:rPr>
          <w:rFonts w:ascii="Arial" w:hAnsi="Arial" w:cs="Arial"/>
          <w:color w:val="7B7B7B" w:themeColor="accent3" w:themeShade="BF"/>
          <w:sz w:val="22"/>
          <w:szCs w:val="22"/>
          <w:lang w:val="en-GB"/>
        </w:rPr>
        <w:t>t should be noted that the commencement of liquidation of Dendoncker does not affect the right of Abbeydale to take possession of and realize or otherwise deal with the property on Necker Island over which it has a security interest.</w:t>
      </w:r>
      <w:r w:rsidR="00DB2479">
        <w:rPr>
          <w:rStyle w:val="FootnoteReference"/>
          <w:rFonts w:ascii="Arial" w:hAnsi="Arial" w:cs="Arial"/>
          <w:color w:val="7B7B7B" w:themeColor="accent3" w:themeShade="BF"/>
          <w:sz w:val="22"/>
          <w:szCs w:val="22"/>
          <w:lang w:val="en-GB"/>
        </w:rPr>
        <w:footnoteReference w:id="33"/>
      </w:r>
    </w:p>
    <w:p w14:paraId="39E0B696" w14:textId="7CC97134" w:rsidR="006E78D5" w:rsidRDefault="006E78D5" w:rsidP="008065CE">
      <w:pPr>
        <w:autoSpaceDE w:val="0"/>
        <w:autoSpaceDN w:val="0"/>
        <w:adjustRightInd w:val="0"/>
        <w:jc w:val="both"/>
        <w:rPr>
          <w:rFonts w:ascii="Arial" w:hAnsi="Arial" w:cs="Arial"/>
          <w:color w:val="7B7B7B" w:themeColor="accent3" w:themeShade="BF"/>
          <w:sz w:val="22"/>
          <w:szCs w:val="22"/>
          <w:lang w:val="en-GB"/>
        </w:rPr>
      </w:pPr>
    </w:p>
    <w:p w14:paraId="5708DA7D" w14:textId="1FFBCA8A" w:rsidR="006E78D5" w:rsidRDefault="00F56AB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avoidance of doubt, it should be noted that the commencement of liquidation also does not affect the power of a receiver to deal with the property over which it is appointed.</w:t>
      </w:r>
      <w:r>
        <w:rPr>
          <w:rStyle w:val="FootnoteReference"/>
          <w:rFonts w:ascii="Arial" w:hAnsi="Arial" w:cs="Arial"/>
          <w:color w:val="7B7B7B" w:themeColor="accent3" w:themeShade="BF"/>
          <w:sz w:val="22"/>
          <w:szCs w:val="22"/>
          <w:lang w:val="en-GB"/>
        </w:rPr>
        <w:footnoteReference w:id="34"/>
      </w:r>
    </w:p>
    <w:p w14:paraId="4895DAC0" w14:textId="2B8EEEB5" w:rsidR="00CA6B35" w:rsidRDefault="00CA6B35" w:rsidP="008065CE">
      <w:pPr>
        <w:autoSpaceDE w:val="0"/>
        <w:autoSpaceDN w:val="0"/>
        <w:adjustRightInd w:val="0"/>
        <w:jc w:val="both"/>
        <w:rPr>
          <w:rFonts w:ascii="Arial" w:hAnsi="Arial" w:cs="Arial"/>
          <w:color w:val="7B7B7B" w:themeColor="accent3" w:themeShade="BF"/>
          <w:sz w:val="22"/>
          <w:szCs w:val="22"/>
          <w:lang w:val="en-GB"/>
        </w:rPr>
      </w:pPr>
    </w:p>
    <w:p w14:paraId="25684D5A" w14:textId="0E0A6D7D" w:rsidR="00CA6B35" w:rsidRDefault="00CA6B35" w:rsidP="008065CE">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Appointment of liquidator by Court</w:t>
      </w:r>
    </w:p>
    <w:p w14:paraId="41170EA1" w14:textId="2C991580" w:rsidR="00CA6B35" w:rsidRDefault="00CA6B35" w:rsidP="008065CE">
      <w:pPr>
        <w:autoSpaceDE w:val="0"/>
        <w:autoSpaceDN w:val="0"/>
        <w:adjustRightInd w:val="0"/>
        <w:jc w:val="both"/>
        <w:rPr>
          <w:rFonts w:ascii="Arial" w:hAnsi="Arial" w:cs="Arial"/>
          <w:b/>
          <w:bCs/>
          <w:color w:val="7B7B7B" w:themeColor="accent3" w:themeShade="BF"/>
          <w:sz w:val="22"/>
          <w:szCs w:val="22"/>
          <w:lang w:val="en-GB"/>
        </w:rPr>
      </w:pPr>
    </w:p>
    <w:p w14:paraId="79DE6644" w14:textId="75251B1B" w:rsidR="00597857" w:rsidRDefault="0042189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CA6B35">
        <w:rPr>
          <w:rFonts w:ascii="Arial" w:hAnsi="Arial" w:cs="Arial"/>
          <w:color w:val="7B7B7B" w:themeColor="accent3" w:themeShade="BF"/>
          <w:sz w:val="22"/>
          <w:szCs w:val="22"/>
          <w:lang w:val="en-GB"/>
        </w:rPr>
        <w:t>he Court may appoint a liquidator of a company if the company is insolvent.</w:t>
      </w:r>
      <w:r w:rsidR="00CA6B35">
        <w:rPr>
          <w:rStyle w:val="FootnoteReference"/>
          <w:rFonts w:ascii="Arial" w:hAnsi="Arial" w:cs="Arial"/>
          <w:color w:val="7B7B7B" w:themeColor="accent3" w:themeShade="BF"/>
          <w:sz w:val="22"/>
          <w:szCs w:val="22"/>
          <w:lang w:val="en-GB"/>
        </w:rPr>
        <w:footnoteReference w:id="35"/>
      </w:r>
      <w:r w:rsidR="00597857">
        <w:rPr>
          <w:rFonts w:ascii="Arial" w:hAnsi="Arial" w:cs="Arial"/>
          <w:color w:val="7B7B7B" w:themeColor="accent3" w:themeShade="BF"/>
          <w:sz w:val="22"/>
          <w:szCs w:val="22"/>
          <w:lang w:val="en-GB"/>
        </w:rPr>
        <w:t xml:space="preserve">  In respect of Dendoncker, Abbeydale </w:t>
      </w:r>
      <w:r w:rsidR="00A7751D">
        <w:rPr>
          <w:rFonts w:ascii="Arial" w:hAnsi="Arial" w:cs="Arial"/>
          <w:color w:val="7B7B7B" w:themeColor="accent3" w:themeShade="BF"/>
          <w:sz w:val="22"/>
          <w:szCs w:val="22"/>
          <w:lang w:val="en-GB"/>
        </w:rPr>
        <w:t>would</w:t>
      </w:r>
      <w:r w:rsidR="00597857">
        <w:rPr>
          <w:rFonts w:ascii="Arial" w:hAnsi="Arial" w:cs="Arial"/>
          <w:color w:val="7B7B7B" w:themeColor="accent3" w:themeShade="BF"/>
          <w:sz w:val="22"/>
          <w:szCs w:val="22"/>
          <w:lang w:val="en-GB"/>
        </w:rPr>
        <w:t xml:space="preserve"> be able to prove its insolvency if it fails to comply with the requirements of the statutory de</w:t>
      </w:r>
      <w:r w:rsidR="00A7751D">
        <w:rPr>
          <w:rFonts w:ascii="Arial" w:hAnsi="Arial" w:cs="Arial"/>
          <w:color w:val="7B7B7B" w:themeColor="accent3" w:themeShade="BF"/>
          <w:sz w:val="22"/>
          <w:szCs w:val="22"/>
          <w:lang w:val="en-GB"/>
        </w:rPr>
        <w:t>mand (</w:t>
      </w:r>
      <w:r w:rsidR="00597857">
        <w:rPr>
          <w:rFonts w:ascii="Arial" w:hAnsi="Arial" w:cs="Arial"/>
          <w:color w:val="7B7B7B" w:themeColor="accent3" w:themeShade="BF"/>
          <w:sz w:val="22"/>
          <w:szCs w:val="22"/>
          <w:lang w:val="en-GB"/>
        </w:rPr>
        <w:t>as mentioned above).</w:t>
      </w:r>
    </w:p>
    <w:p w14:paraId="5D520B57" w14:textId="77777777" w:rsidR="00597857" w:rsidRDefault="00597857" w:rsidP="008065CE">
      <w:pPr>
        <w:autoSpaceDE w:val="0"/>
        <w:autoSpaceDN w:val="0"/>
        <w:adjustRightInd w:val="0"/>
        <w:jc w:val="both"/>
        <w:rPr>
          <w:rFonts w:ascii="Arial" w:hAnsi="Arial" w:cs="Arial"/>
          <w:color w:val="7B7B7B" w:themeColor="accent3" w:themeShade="BF"/>
          <w:sz w:val="22"/>
          <w:szCs w:val="22"/>
          <w:lang w:val="en-GB"/>
        </w:rPr>
      </w:pPr>
    </w:p>
    <w:p w14:paraId="07DA8F45" w14:textId="7BDF136B" w:rsidR="00CA6B35" w:rsidRDefault="0059785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Abbeydale will be able to make the application to the BVI Court as creditor of Dendoncker.</w:t>
      </w:r>
      <w:r>
        <w:rPr>
          <w:rStyle w:val="FootnoteReference"/>
          <w:rFonts w:ascii="Arial" w:hAnsi="Arial" w:cs="Arial"/>
          <w:color w:val="7B7B7B" w:themeColor="accent3" w:themeShade="BF"/>
          <w:sz w:val="22"/>
          <w:szCs w:val="22"/>
          <w:lang w:val="en-GB"/>
        </w:rPr>
        <w:footnoteReference w:id="36"/>
      </w:r>
      <w:r>
        <w:rPr>
          <w:rFonts w:ascii="Arial" w:hAnsi="Arial" w:cs="Arial"/>
          <w:color w:val="7B7B7B" w:themeColor="accent3" w:themeShade="BF"/>
          <w:sz w:val="22"/>
          <w:szCs w:val="22"/>
          <w:lang w:val="en-GB"/>
        </w:rPr>
        <w:t xml:space="preserve"> </w:t>
      </w:r>
    </w:p>
    <w:p w14:paraId="4BD82C17" w14:textId="77777777" w:rsidR="0012124D" w:rsidRDefault="0012124D" w:rsidP="0012124D">
      <w:pPr>
        <w:jc w:val="both"/>
        <w:rPr>
          <w:rFonts w:ascii="Arial" w:hAnsi="Arial" w:cs="Arial"/>
          <w:color w:val="7B7B7B" w:themeColor="accent3" w:themeShade="BF"/>
          <w:sz w:val="22"/>
          <w:szCs w:val="22"/>
          <w:lang w:val="en-GB"/>
        </w:rPr>
      </w:pPr>
    </w:p>
    <w:p w14:paraId="3F2038D6" w14:textId="77777777" w:rsidR="0012124D" w:rsidRDefault="0012124D" w:rsidP="00692C65">
      <w:pPr>
        <w:keepNext/>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Valuation and Surrender by Secured Creditor</w:t>
      </w:r>
    </w:p>
    <w:p w14:paraId="52313259" w14:textId="77777777" w:rsidR="0012124D" w:rsidRPr="00126D9E" w:rsidRDefault="0012124D" w:rsidP="00692C65">
      <w:pPr>
        <w:keepNext/>
        <w:jc w:val="both"/>
        <w:rPr>
          <w:rFonts w:ascii="Arial" w:hAnsi="Arial" w:cs="Arial"/>
          <w:b/>
          <w:bCs/>
          <w:color w:val="7B7B7B" w:themeColor="accent3" w:themeShade="BF"/>
          <w:sz w:val="22"/>
          <w:szCs w:val="22"/>
          <w:lang w:val="en-GB"/>
        </w:rPr>
      </w:pPr>
    </w:p>
    <w:p w14:paraId="44655A8C" w14:textId="2A2E5770" w:rsidR="0012124D" w:rsidRDefault="00811A09" w:rsidP="00692C65">
      <w:pPr>
        <w:keepNext/>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12124D">
        <w:rPr>
          <w:rFonts w:ascii="Arial" w:hAnsi="Arial" w:cs="Arial"/>
          <w:color w:val="7B7B7B" w:themeColor="accent3" w:themeShade="BF"/>
          <w:sz w:val="22"/>
          <w:szCs w:val="22"/>
          <w:lang w:val="en-GB"/>
        </w:rPr>
        <w:t xml:space="preserve"> secured creditor may, but is not obliged to:</w:t>
      </w:r>
      <w:r w:rsidR="0012124D">
        <w:rPr>
          <w:rStyle w:val="FootnoteReference"/>
          <w:rFonts w:ascii="Arial" w:hAnsi="Arial" w:cs="Arial"/>
          <w:color w:val="7B7B7B" w:themeColor="accent3" w:themeShade="BF"/>
          <w:sz w:val="22"/>
          <w:szCs w:val="22"/>
          <w:lang w:val="en-GB"/>
        </w:rPr>
        <w:footnoteReference w:id="37"/>
      </w:r>
    </w:p>
    <w:p w14:paraId="7F4F7B02" w14:textId="77777777" w:rsidR="0012124D" w:rsidRDefault="0012124D" w:rsidP="00692C65">
      <w:pPr>
        <w:keepNext/>
        <w:jc w:val="both"/>
        <w:rPr>
          <w:rFonts w:ascii="Arial" w:hAnsi="Arial" w:cs="Arial"/>
          <w:color w:val="7B7B7B" w:themeColor="accent3" w:themeShade="BF"/>
          <w:sz w:val="22"/>
          <w:szCs w:val="22"/>
          <w:lang w:val="en-GB"/>
        </w:rPr>
      </w:pPr>
    </w:p>
    <w:p w14:paraId="272EE6E0" w14:textId="77777777" w:rsidR="0012124D" w:rsidRDefault="0012124D" w:rsidP="00692C65">
      <w:pPr>
        <w:pStyle w:val="ListParagraph"/>
        <w:keepNext/>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Value the assets subject to security interest and claim in the liquidation of a company as an unsecured creditor for the balance of his debt; or</w:t>
      </w:r>
    </w:p>
    <w:p w14:paraId="4D5BEF9F" w14:textId="77777777" w:rsidR="0012124D" w:rsidRDefault="0012124D" w:rsidP="0012124D">
      <w:pPr>
        <w:pStyle w:val="ListParagraph"/>
        <w:jc w:val="both"/>
        <w:rPr>
          <w:rFonts w:ascii="Arial" w:hAnsi="Arial" w:cs="Arial"/>
          <w:color w:val="7B7B7B" w:themeColor="accent3" w:themeShade="BF"/>
          <w:sz w:val="22"/>
          <w:szCs w:val="22"/>
          <w:lang w:val="en-GB"/>
        </w:rPr>
      </w:pPr>
    </w:p>
    <w:p w14:paraId="5B049534" w14:textId="77777777" w:rsidR="0012124D" w:rsidRDefault="0012124D" w:rsidP="0012124D">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Surrender his security interest to the liquidator for the general benefit of creditors and claim in the liquidation as an unsecured creditor for the whole of his debt.</w:t>
      </w:r>
    </w:p>
    <w:p w14:paraId="59DCE20D" w14:textId="77777777" w:rsidR="0012124D" w:rsidRPr="00126D9E" w:rsidRDefault="0012124D" w:rsidP="0012124D">
      <w:pPr>
        <w:pStyle w:val="ListParagraph"/>
        <w:rPr>
          <w:rFonts w:ascii="Arial" w:hAnsi="Arial" w:cs="Arial"/>
          <w:color w:val="7B7B7B" w:themeColor="accent3" w:themeShade="BF"/>
          <w:sz w:val="22"/>
          <w:szCs w:val="22"/>
          <w:lang w:val="en-GB"/>
        </w:rPr>
      </w:pPr>
    </w:p>
    <w:p w14:paraId="09D8F7B9" w14:textId="4EDD1DE8" w:rsidR="0012124D" w:rsidRDefault="0012124D" w:rsidP="0012124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be noted that a secured creditor may subsequently apply to the liquidator to amend the value placed on the security in his claim.</w:t>
      </w:r>
      <w:r>
        <w:rPr>
          <w:rStyle w:val="FootnoteReference"/>
          <w:rFonts w:ascii="Arial" w:hAnsi="Arial" w:cs="Arial"/>
          <w:color w:val="7B7B7B" w:themeColor="accent3" w:themeShade="BF"/>
          <w:sz w:val="22"/>
          <w:szCs w:val="22"/>
          <w:lang w:val="en-GB"/>
        </w:rPr>
        <w:footnoteReference w:id="38"/>
      </w:r>
    </w:p>
    <w:p w14:paraId="63A4365E" w14:textId="77777777" w:rsidR="0012124D" w:rsidRDefault="0012124D" w:rsidP="0012124D">
      <w:pPr>
        <w:jc w:val="center"/>
        <w:rPr>
          <w:rFonts w:ascii="Arial" w:hAnsi="Arial" w:cs="Arial"/>
          <w:color w:val="7B7B7B" w:themeColor="accent3" w:themeShade="BF"/>
          <w:sz w:val="22"/>
          <w:szCs w:val="22"/>
          <w:lang w:val="en-GB"/>
        </w:rPr>
      </w:pPr>
    </w:p>
    <w:p w14:paraId="2DC69CE6" w14:textId="77777777" w:rsidR="0012124D" w:rsidRDefault="0012124D" w:rsidP="0012124D">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Sale by Liquidator</w:t>
      </w:r>
    </w:p>
    <w:p w14:paraId="377DFAD9" w14:textId="77777777" w:rsidR="0012124D" w:rsidRDefault="0012124D" w:rsidP="0012124D">
      <w:pPr>
        <w:jc w:val="both"/>
        <w:rPr>
          <w:rFonts w:ascii="Arial" w:hAnsi="Arial" w:cs="Arial"/>
          <w:b/>
          <w:bCs/>
          <w:color w:val="7B7B7B" w:themeColor="accent3" w:themeShade="BF"/>
          <w:sz w:val="22"/>
          <w:szCs w:val="22"/>
          <w:lang w:val="en-GB"/>
        </w:rPr>
      </w:pPr>
    </w:p>
    <w:p w14:paraId="770D21C2" w14:textId="3F0FA6ED" w:rsidR="0012124D" w:rsidRDefault="00F3574E" w:rsidP="0012124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12124D">
        <w:rPr>
          <w:rFonts w:ascii="Arial" w:hAnsi="Arial" w:cs="Arial"/>
          <w:color w:val="7B7B7B" w:themeColor="accent3" w:themeShade="BF"/>
          <w:sz w:val="22"/>
          <w:szCs w:val="22"/>
          <w:lang w:val="en-GB"/>
        </w:rPr>
        <w:t>f the liquidator of a company is dissatisfied with the value placed on a security interest by a secured creditor, he may require the secured asset to be offered for sale.</w:t>
      </w:r>
      <w:r w:rsidR="0012124D">
        <w:rPr>
          <w:rStyle w:val="FootnoteReference"/>
          <w:rFonts w:ascii="Arial" w:hAnsi="Arial" w:cs="Arial"/>
          <w:color w:val="7B7B7B" w:themeColor="accent3" w:themeShade="BF"/>
          <w:sz w:val="22"/>
          <w:szCs w:val="22"/>
          <w:lang w:val="en-GB"/>
        </w:rPr>
        <w:footnoteReference w:id="39"/>
      </w:r>
      <w:r w:rsidR="0012124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w:t>
      </w:r>
      <w:r w:rsidR="0012124D">
        <w:rPr>
          <w:rFonts w:ascii="Arial" w:hAnsi="Arial" w:cs="Arial"/>
          <w:color w:val="7B7B7B" w:themeColor="accent3" w:themeShade="BF"/>
          <w:sz w:val="22"/>
          <w:szCs w:val="22"/>
          <w:lang w:val="en-GB"/>
        </w:rPr>
        <w:t xml:space="preserve">f the </w:t>
      </w:r>
      <w:r w:rsidR="00A7751D">
        <w:rPr>
          <w:rFonts w:ascii="Arial" w:hAnsi="Arial" w:cs="Arial"/>
          <w:color w:val="7B7B7B" w:themeColor="accent3" w:themeShade="BF"/>
          <w:sz w:val="22"/>
          <w:szCs w:val="22"/>
          <w:lang w:val="en-GB"/>
        </w:rPr>
        <w:t>Property is</w:t>
      </w:r>
      <w:r w:rsidR="0012124D">
        <w:rPr>
          <w:rFonts w:ascii="Arial" w:hAnsi="Arial" w:cs="Arial"/>
          <w:color w:val="7B7B7B" w:themeColor="accent3" w:themeShade="BF"/>
          <w:sz w:val="22"/>
          <w:szCs w:val="22"/>
          <w:lang w:val="en-GB"/>
        </w:rPr>
        <w:t xml:space="preserve"> offered for sale by public auction, </w:t>
      </w:r>
      <w:r w:rsidR="00A7751D">
        <w:rPr>
          <w:rFonts w:ascii="Arial" w:hAnsi="Arial" w:cs="Arial"/>
          <w:color w:val="7B7B7B" w:themeColor="accent3" w:themeShade="BF"/>
          <w:sz w:val="22"/>
          <w:szCs w:val="22"/>
          <w:lang w:val="en-GB"/>
        </w:rPr>
        <w:t>Abbeydale would be</w:t>
      </w:r>
      <w:r w:rsidR="0012124D">
        <w:rPr>
          <w:rFonts w:ascii="Arial" w:hAnsi="Arial" w:cs="Arial"/>
          <w:color w:val="7B7B7B" w:themeColor="accent3" w:themeShade="BF"/>
          <w:sz w:val="22"/>
          <w:szCs w:val="22"/>
          <w:lang w:val="en-GB"/>
        </w:rPr>
        <w:t xml:space="preserve"> entitled to bid for and purchase it.</w:t>
      </w:r>
      <w:r w:rsidR="0012124D">
        <w:rPr>
          <w:rStyle w:val="FootnoteReference"/>
          <w:rFonts w:ascii="Arial" w:hAnsi="Arial" w:cs="Arial"/>
          <w:color w:val="7B7B7B" w:themeColor="accent3" w:themeShade="BF"/>
          <w:sz w:val="22"/>
          <w:szCs w:val="22"/>
          <w:lang w:val="en-GB"/>
        </w:rPr>
        <w:footnoteReference w:id="40"/>
      </w:r>
    </w:p>
    <w:p w14:paraId="4DD501E4" w14:textId="77777777" w:rsidR="0012124D" w:rsidRDefault="0012124D" w:rsidP="0012124D">
      <w:pPr>
        <w:jc w:val="both"/>
        <w:rPr>
          <w:rFonts w:ascii="Arial" w:hAnsi="Arial" w:cs="Arial"/>
          <w:color w:val="7B7B7B" w:themeColor="accent3" w:themeShade="BF"/>
          <w:sz w:val="22"/>
          <w:szCs w:val="22"/>
          <w:lang w:val="en-GB"/>
        </w:rPr>
      </w:pPr>
    </w:p>
    <w:p w14:paraId="7FB66FC0" w14:textId="77777777" w:rsidR="0012124D" w:rsidRDefault="0012124D" w:rsidP="0012124D">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Redemption by Liquidator</w:t>
      </w:r>
    </w:p>
    <w:p w14:paraId="14EA167C" w14:textId="77777777" w:rsidR="0012124D" w:rsidRDefault="0012124D" w:rsidP="0012124D">
      <w:pPr>
        <w:jc w:val="both"/>
        <w:rPr>
          <w:rFonts w:ascii="Arial" w:hAnsi="Arial" w:cs="Arial"/>
          <w:b/>
          <w:bCs/>
          <w:color w:val="7B7B7B" w:themeColor="accent3" w:themeShade="BF"/>
          <w:sz w:val="22"/>
          <w:szCs w:val="22"/>
          <w:lang w:val="en-GB"/>
        </w:rPr>
      </w:pPr>
    </w:p>
    <w:p w14:paraId="736D3EBA" w14:textId="165091E0" w:rsidR="0012124D" w:rsidRDefault="00F3574E" w:rsidP="0012124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12124D">
        <w:rPr>
          <w:rFonts w:ascii="Arial" w:hAnsi="Arial" w:cs="Arial"/>
          <w:color w:val="7B7B7B" w:themeColor="accent3" w:themeShade="BF"/>
          <w:sz w:val="22"/>
          <w:szCs w:val="22"/>
          <w:lang w:val="en-GB"/>
        </w:rPr>
        <w:t>here a secured creditor has valued the secured asset and claimed as an unsecured creditor for the shortfall, the liquidator may give notice to the creditor that he proposes to redeem the security interest at the value placed on it by the creditor.</w:t>
      </w:r>
      <w:r w:rsidR="0012124D">
        <w:rPr>
          <w:rStyle w:val="FootnoteReference"/>
          <w:rFonts w:ascii="Arial" w:hAnsi="Arial" w:cs="Arial"/>
          <w:color w:val="7B7B7B" w:themeColor="accent3" w:themeShade="BF"/>
          <w:sz w:val="22"/>
          <w:szCs w:val="22"/>
          <w:lang w:val="en-GB"/>
        </w:rPr>
        <w:footnoteReference w:id="41"/>
      </w:r>
      <w:r w:rsidR="0012124D">
        <w:rPr>
          <w:rFonts w:ascii="Arial" w:hAnsi="Arial" w:cs="Arial"/>
          <w:color w:val="7B7B7B" w:themeColor="accent3" w:themeShade="BF"/>
          <w:sz w:val="22"/>
          <w:szCs w:val="22"/>
          <w:lang w:val="en-GB"/>
        </w:rPr>
        <w:t xml:space="preserve">  As mentioned above, the secured creditor has the option to amend the valuation of the secured asset subject to liquidator or court approval.</w:t>
      </w:r>
    </w:p>
    <w:p w14:paraId="410C61CD" w14:textId="77777777" w:rsidR="0012124D" w:rsidRDefault="0012124D" w:rsidP="0012124D">
      <w:pPr>
        <w:jc w:val="both"/>
        <w:rPr>
          <w:rFonts w:ascii="Arial" w:hAnsi="Arial" w:cs="Arial"/>
          <w:color w:val="7B7B7B" w:themeColor="accent3" w:themeShade="BF"/>
          <w:sz w:val="22"/>
          <w:szCs w:val="22"/>
          <w:lang w:val="en-GB"/>
        </w:rPr>
      </w:pPr>
    </w:p>
    <w:p w14:paraId="1310D59C" w14:textId="77777777" w:rsidR="0012124D" w:rsidRDefault="0012124D" w:rsidP="0012124D">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Realization by Secured Creditor</w:t>
      </w:r>
    </w:p>
    <w:p w14:paraId="07DF76E0" w14:textId="77777777" w:rsidR="0012124D" w:rsidRDefault="0012124D" w:rsidP="0012124D">
      <w:pPr>
        <w:jc w:val="both"/>
        <w:rPr>
          <w:rFonts w:ascii="Arial" w:hAnsi="Arial" w:cs="Arial"/>
          <w:b/>
          <w:bCs/>
          <w:color w:val="7B7B7B" w:themeColor="accent3" w:themeShade="BF"/>
          <w:sz w:val="22"/>
          <w:szCs w:val="22"/>
          <w:lang w:val="en-GB"/>
        </w:rPr>
      </w:pPr>
    </w:p>
    <w:p w14:paraId="5868B5E0" w14:textId="35115256" w:rsidR="00BD19EE" w:rsidRPr="00D2284C" w:rsidRDefault="00BA4AF1" w:rsidP="00D228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12124D">
        <w:rPr>
          <w:rFonts w:ascii="Arial" w:hAnsi="Arial" w:cs="Arial"/>
          <w:color w:val="7B7B7B" w:themeColor="accent3" w:themeShade="BF"/>
          <w:sz w:val="22"/>
          <w:szCs w:val="22"/>
          <w:lang w:val="en-GB"/>
        </w:rPr>
        <w:t>here a secured creditor realizes his security interest and there is a surplus remaining from the net amount realized after satisfaction of the debt secured, the surplus should be returned to the liquidator.  In the event there is a shortfall, the secured creditor may claim in the liquidation as an unsecured creditor for such balance of the secured liability.</w:t>
      </w:r>
      <w:r w:rsidR="0012124D">
        <w:rPr>
          <w:rStyle w:val="FootnoteReference"/>
          <w:rFonts w:ascii="Arial" w:hAnsi="Arial" w:cs="Arial"/>
          <w:color w:val="7B7B7B" w:themeColor="accent3" w:themeShade="BF"/>
          <w:sz w:val="22"/>
          <w:szCs w:val="22"/>
          <w:lang w:val="en-GB"/>
        </w:rPr>
        <w:footnoteReference w:id="42"/>
      </w:r>
    </w:p>
    <w:bookmarkEnd w:id="0"/>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C7DA" w14:textId="77777777" w:rsidR="005E18B1" w:rsidRDefault="005E18B1" w:rsidP="00241B44">
      <w:r>
        <w:separator/>
      </w:r>
    </w:p>
  </w:endnote>
  <w:endnote w:type="continuationSeparator" w:id="0">
    <w:p w14:paraId="1BCD59A7" w14:textId="77777777" w:rsidR="005E18B1" w:rsidRDefault="005E18B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3CF77173" w:rsidR="00241FA3" w:rsidRPr="009B4976" w:rsidRDefault="00EF6A4B" w:rsidP="009B4976">
    <w:pPr>
      <w:pStyle w:val="Footer"/>
      <w:ind w:right="360"/>
      <w:rPr>
        <w:rFonts w:ascii="Arial" w:hAnsi="Arial" w:cs="Arial"/>
        <w:sz w:val="18"/>
        <w:szCs w:val="18"/>
        <w:lang w:val="en-GB"/>
      </w:rPr>
    </w:pPr>
    <w:r w:rsidRPr="00EF6A4B">
      <w:rPr>
        <w:rFonts w:ascii="Arial" w:hAnsi="Arial" w:cs="Arial"/>
        <w:sz w:val="18"/>
        <w:szCs w:val="18"/>
        <w:lang w:val="en-GB"/>
      </w:rPr>
      <w:t>202122-518</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58C0" w14:textId="77777777" w:rsidR="005E18B1" w:rsidRDefault="005E18B1" w:rsidP="00241B44">
      <w:r>
        <w:separator/>
      </w:r>
    </w:p>
  </w:footnote>
  <w:footnote w:type="continuationSeparator" w:id="0">
    <w:p w14:paraId="2E608FEA" w14:textId="77777777" w:rsidR="005E18B1" w:rsidRDefault="005E18B1" w:rsidP="00241B44">
      <w:r>
        <w:continuationSeparator/>
      </w:r>
    </w:p>
  </w:footnote>
  <w:footnote w:id="1">
    <w:p w14:paraId="397DB27A" w14:textId="629D4650" w:rsidR="00D524B1" w:rsidRDefault="00D524B1">
      <w:pPr>
        <w:pStyle w:val="FootnoteText"/>
      </w:pPr>
      <w:r>
        <w:rPr>
          <w:rStyle w:val="FootnoteReference"/>
        </w:rPr>
        <w:footnoteRef/>
      </w:r>
      <w:r>
        <w:t xml:space="preserve"> Business Companies Act, s 197</w:t>
      </w:r>
      <w:r w:rsidR="003E60A6">
        <w:t>(1)</w:t>
      </w:r>
      <w:r>
        <w:t xml:space="preserve">. </w:t>
      </w:r>
    </w:p>
  </w:footnote>
  <w:footnote w:id="2">
    <w:p w14:paraId="439663F9" w14:textId="3EEB4405" w:rsidR="003E60A6" w:rsidRDefault="003E60A6">
      <w:pPr>
        <w:pStyle w:val="FootnoteText"/>
      </w:pPr>
      <w:r>
        <w:rPr>
          <w:rStyle w:val="FootnoteReference"/>
        </w:rPr>
        <w:footnoteRef/>
      </w:r>
      <w:r>
        <w:t xml:space="preserve"> Insolvency Act, s 289(1). </w:t>
      </w:r>
    </w:p>
  </w:footnote>
  <w:footnote w:id="3">
    <w:p w14:paraId="66C0BD92" w14:textId="0DF18591" w:rsidR="00C36767" w:rsidRPr="00C36767" w:rsidRDefault="00C36767">
      <w:pPr>
        <w:pStyle w:val="FootnoteText"/>
      </w:pPr>
      <w:r>
        <w:rPr>
          <w:rStyle w:val="FootnoteReference"/>
        </w:rPr>
        <w:footnoteRef/>
      </w:r>
      <w:r>
        <w:t xml:space="preserve"> </w:t>
      </w:r>
      <w:r>
        <w:rPr>
          <w:i/>
          <w:iCs/>
        </w:rPr>
        <w:t>Idem</w:t>
      </w:r>
      <w:r>
        <w:t>, s 467(3).</w:t>
      </w:r>
    </w:p>
  </w:footnote>
  <w:footnote w:id="4">
    <w:p w14:paraId="2DCDF780" w14:textId="371B35F9" w:rsidR="00C16AD1" w:rsidRPr="00C16AD1" w:rsidRDefault="00C16AD1">
      <w:pPr>
        <w:pStyle w:val="FootnoteText"/>
      </w:pPr>
      <w:r>
        <w:rPr>
          <w:rStyle w:val="FootnoteReference"/>
        </w:rPr>
        <w:footnoteRef/>
      </w:r>
      <w:r>
        <w:t xml:space="preserve"> </w:t>
      </w:r>
      <w:r>
        <w:rPr>
          <w:i/>
          <w:iCs/>
        </w:rPr>
        <w:t>Idem</w:t>
      </w:r>
      <w:r>
        <w:t>, s 8(1).</w:t>
      </w:r>
    </w:p>
  </w:footnote>
  <w:footnote w:id="5">
    <w:p w14:paraId="79419740" w14:textId="5C657343" w:rsidR="00E82CEE" w:rsidRPr="00E82CEE" w:rsidRDefault="00E82CEE">
      <w:pPr>
        <w:pStyle w:val="FootnoteText"/>
      </w:pPr>
      <w:r>
        <w:rPr>
          <w:rStyle w:val="FootnoteReference"/>
        </w:rPr>
        <w:footnoteRef/>
      </w:r>
      <w:r>
        <w:t xml:space="preserve"> </w:t>
      </w:r>
      <w:r>
        <w:rPr>
          <w:i/>
          <w:iCs/>
        </w:rPr>
        <w:t>Idem</w:t>
      </w:r>
      <w:r>
        <w:t>, s 232.</w:t>
      </w:r>
    </w:p>
  </w:footnote>
  <w:footnote w:id="6">
    <w:p w14:paraId="08EA54D5" w14:textId="5F89C786" w:rsidR="00D820F6" w:rsidRPr="00D820F6" w:rsidRDefault="00D820F6">
      <w:pPr>
        <w:pStyle w:val="FootnoteText"/>
      </w:pPr>
      <w:r>
        <w:rPr>
          <w:rStyle w:val="FootnoteReference"/>
        </w:rPr>
        <w:footnoteRef/>
      </w:r>
      <w:r>
        <w:t xml:space="preserve"> </w:t>
      </w:r>
      <w:r>
        <w:rPr>
          <w:i/>
          <w:iCs/>
        </w:rPr>
        <w:t>Idem</w:t>
      </w:r>
      <w:r>
        <w:t>, ss 233(1)</w:t>
      </w:r>
      <w:r w:rsidR="006E656F">
        <w:t>, (2)</w:t>
      </w:r>
      <w:r>
        <w:t xml:space="preserve"> and (</w:t>
      </w:r>
      <w:r w:rsidR="006E656F">
        <w:t>3</w:t>
      </w:r>
      <w:r>
        <w:t>).</w:t>
      </w:r>
    </w:p>
  </w:footnote>
  <w:footnote w:id="7">
    <w:p w14:paraId="60593374" w14:textId="34A33946" w:rsidR="00E82CEE" w:rsidRPr="00E82CEE" w:rsidRDefault="00E82CEE">
      <w:pPr>
        <w:pStyle w:val="FootnoteText"/>
      </w:pPr>
      <w:r>
        <w:rPr>
          <w:rStyle w:val="FootnoteReference"/>
        </w:rPr>
        <w:footnoteRef/>
      </w:r>
      <w:r>
        <w:t xml:space="preserve"> </w:t>
      </w:r>
      <w:r>
        <w:rPr>
          <w:i/>
          <w:iCs/>
        </w:rPr>
        <w:t>Idem</w:t>
      </w:r>
      <w:r>
        <w:t>, s 234(2).</w:t>
      </w:r>
    </w:p>
  </w:footnote>
  <w:footnote w:id="8">
    <w:p w14:paraId="4BC2CD40" w14:textId="34FE584F" w:rsidR="00154533" w:rsidRPr="00154533" w:rsidRDefault="00154533">
      <w:pPr>
        <w:pStyle w:val="FootnoteText"/>
      </w:pPr>
      <w:r>
        <w:rPr>
          <w:rStyle w:val="FootnoteReference"/>
        </w:rPr>
        <w:footnoteRef/>
      </w:r>
      <w:r>
        <w:t xml:space="preserve"> </w:t>
      </w:r>
      <w:r>
        <w:rPr>
          <w:i/>
          <w:iCs/>
        </w:rPr>
        <w:t>Idem</w:t>
      </w:r>
      <w:r>
        <w:t>, s 234(4).</w:t>
      </w:r>
    </w:p>
  </w:footnote>
  <w:footnote w:id="9">
    <w:p w14:paraId="78D1FF63" w14:textId="292363C7" w:rsidR="008C4989" w:rsidRPr="008C4989" w:rsidRDefault="008C4989">
      <w:pPr>
        <w:pStyle w:val="FootnoteText"/>
      </w:pPr>
      <w:r>
        <w:rPr>
          <w:rStyle w:val="FootnoteReference"/>
        </w:rPr>
        <w:footnoteRef/>
      </w:r>
      <w:r>
        <w:t xml:space="preserve"> </w:t>
      </w:r>
      <w:r>
        <w:rPr>
          <w:i/>
          <w:iCs/>
        </w:rPr>
        <w:t>Idem</w:t>
      </w:r>
      <w:r>
        <w:t>, s 235.</w:t>
      </w:r>
    </w:p>
  </w:footnote>
  <w:footnote w:id="10">
    <w:p w14:paraId="10D3F602" w14:textId="3C40FE05" w:rsidR="00703057" w:rsidRPr="00703057" w:rsidRDefault="00703057">
      <w:pPr>
        <w:pStyle w:val="FootnoteText"/>
      </w:pPr>
      <w:r>
        <w:rPr>
          <w:rStyle w:val="FootnoteReference"/>
        </w:rPr>
        <w:footnoteRef/>
      </w:r>
      <w:r w:rsidR="00154533">
        <w:t xml:space="preserve"> </w:t>
      </w:r>
      <w:r>
        <w:rPr>
          <w:i/>
          <w:iCs/>
        </w:rPr>
        <w:t>Idem</w:t>
      </w:r>
      <w:r>
        <w:t>, s 254(5).</w:t>
      </w:r>
    </w:p>
  </w:footnote>
  <w:footnote w:id="11">
    <w:p w14:paraId="03E148DC" w14:textId="5C3E1FBE" w:rsidR="00A0660D" w:rsidRPr="00A0660D" w:rsidRDefault="00A0660D">
      <w:pPr>
        <w:pStyle w:val="FootnoteText"/>
      </w:pPr>
      <w:r>
        <w:rPr>
          <w:rStyle w:val="FootnoteReference"/>
        </w:rPr>
        <w:footnoteRef/>
      </w:r>
      <w:r>
        <w:t xml:space="preserve"> </w:t>
      </w:r>
      <w:r>
        <w:rPr>
          <w:i/>
          <w:iCs/>
        </w:rPr>
        <w:t>Idem</w:t>
      </w:r>
      <w:r>
        <w:t>, s 483.</w:t>
      </w:r>
    </w:p>
  </w:footnote>
  <w:footnote w:id="12">
    <w:p w14:paraId="5D5DEFAC" w14:textId="77777777" w:rsidR="008D13AA" w:rsidRPr="00116B8D" w:rsidRDefault="008D13AA" w:rsidP="008D13AA">
      <w:pPr>
        <w:pStyle w:val="FootnoteText"/>
      </w:pPr>
      <w:r>
        <w:rPr>
          <w:rStyle w:val="FootnoteReference"/>
        </w:rPr>
        <w:footnoteRef/>
      </w:r>
      <w:r>
        <w:t xml:space="preserve"> </w:t>
      </w:r>
      <w:r>
        <w:rPr>
          <w:i/>
          <w:iCs/>
        </w:rPr>
        <w:t>Idem</w:t>
      </w:r>
      <w:r>
        <w:t>, s 483.</w:t>
      </w:r>
    </w:p>
  </w:footnote>
  <w:footnote w:id="13">
    <w:p w14:paraId="4AF19DD1" w14:textId="15D54CC7" w:rsidR="006951FB" w:rsidRPr="006951FB" w:rsidRDefault="006951FB">
      <w:pPr>
        <w:pStyle w:val="FootnoteText"/>
      </w:pPr>
      <w:r>
        <w:rPr>
          <w:rStyle w:val="FootnoteReference"/>
        </w:rPr>
        <w:footnoteRef/>
      </w:r>
      <w:r>
        <w:t xml:space="preserve"> </w:t>
      </w:r>
      <w:r>
        <w:rPr>
          <w:i/>
          <w:iCs/>
        </w:rPr>
        <w:t>Idem</w:t>
      </w:r>
      <w:r>
        <w:t>, ss 484(1) and (2).</w:t>
      </w:r>
    </w:p>
  </w:footnote>
  <w:footnote w:id="14">
    <w:p w14:paraId="317DBA11" w14:textId="707947B6" w:rsidR="0076660A" w:rsidRPr="0076660A" w:rsidRDefault="0076660A">
      <w:pPr>
        <w:pStyle w:val="FootnoteText"/>
      </w:pPr>
      <w:r>
        <w:rPr>
          <w:rStyle w:val="FootnoteReference"/>
        </w:rPr>
        <w:footnoteRef/>
      </w:r>
      <w:r>
        <w:t xml:space="preserve"> </w:t>
      </w:r>
      <w:r>
        <w:rPr>
          <w:i/>
          <w:iCs/>
        </w:rPr>
        <w:t>Idem</w:t>
      </w:r>
      <w:r>
        <w:t>, s 175(2).</w:t>
      </w:r>
    </w:p>
  </w:footnote>
  <w:footnote w:id="15">
    <w:p w14:paraId="3FEA6546" w14:textId="2BABEE8B" w:rsidR="00126D9E" w:rsidRPr="00126D9E" w:rsidRDefault="00126D9E">
      <w:pPr>
        <w:pStyle w:val="FootnoteText"/>
      </w:pPr>
      <w:r>
        <w:rPr>
          <w:rStyle w:val="FootnoteReference"/>
        </w:rPr>
        <w:footnoteRef/>
      </w:r>
      <w:r>
        <w:t xml:space="preserve"> </w:t>
      </w:r>
      <w:r>
        <w:rPr>
          <w:i/>
          <w:iCs/>
        </w:rPr>
        <w:t>Idem</w:t>
      </w:r>
      <w:r>
        <w:t>, s 211(1).</w:t>
      </w:r>
    </w:p>
  </w:footnote>
  <w:footnote w:id="16">
    <w:p w14:paraId="0C142484" w14:textId="5DE23A15" w:rsidR="00126D9E" w:rsidRPr="00126D9E" w:rsidRDefault="00126D9E">
      <w:pPr>
        <w:pStyle w:val="FootnoteText"/>
      </w:pPr>
      <w:r>
        <w:rPr>
          <w:rStyle w:val="FootnoteReference"/>
        </w:rPr>
        <w:footnoteRef/>
      </w:r>
      <w:r>
        <w:t xml:space="preserve"> </w:t>
      </w:r>
      <w:r>
        <w:rPr>
          <w:i/>
          <w:iCs/>
        </w:rPr>
        <w:t>Idem</w:t>
      </w:r>
      <w:r>
        <w:t>, s 211(2).</w:t>
      </w:r>
    </w:p>
  </w:footnote>
  <w:footnote w:id="17">
    <w:p w14:paraId="360777F8" w14:textId="36BCA3D1" w:rsidR="00F11056" w:rsidRPr="00F11056" w:rsidRDefault="00F11056">
      <w:pPr>
        <w:pStyle w:val="FootnoteText"/>
      </w:pPr>
      <w:r>
        <w:rPr>
          <w:rStyle w:val="FootnoteReference"/>
        </w:rPr>
        <w:footnoteRef/>
      </w:r>
      <w:r>
        <w:t xml:space="preserve"> </w:t>
      </w:r>
      <w:r>
        <w:rPr>
          <w:i/>
          <w:iCs/>
        </w:rPr>
        <w:t>Idem</w:t>
      </w:r>
      <w:r>
        <w:t>, s 211(4).</w:t>
      </w:r>
    </w:p>
  </w:footnote>
  <w:footnote w:id="18">
    <w:p w14:paraId="67FCDC1C" w14:textId="1CCDC7DB" w:rsidR="00F11056" w:rsidRPr="00F11056" w:rsidRDefault="00F11056">
      <w:pPr>
        <w:pStyle w:val="FootnoteText"/>
      </w:pPr>
      <w:r>
        <w:rPr>
          <w:rStyle w:val="FootnoteReference"/>
        </w:rPr>
        <w:footnoteRef/>
      </w:r>
      <w:r>
        <w:t xml:space="preserve"> </w:t>
      </w:r>
      <w:r>
        <w:rPr>
          <w:i/>
          <w:iCs/>
        </w:rPr>
        <w:t>Idem</w:t>
      </w:r>
      <w:r>
        <w:t>, s 211(5).</w:t>
      </w:r>
    </w:p>
  </w:footnote>
  <w:footnote w:id="19">
    <w:p w14:paraId="29CCFD43" w14:textId="3FC9687D" w:rsidR="00160C48" w:rsidRPr="00160C48" w:rsidRDefault="00160C48">
      <w:pPr>
        <w:pStyle w:val="FootnoteText"/>
      </w:pPr>
      <w:r>
        <w:rPr>
          <w:rStyle w:val="FootnoteReference"/>
        </w:rPr>
        <w:footnoteRef/>
      </w:r>
      <w:r>
        <w:t xml:space="preserve"> </w:t>
      </w:r>
      <w:r>
        <w:rPr>
          <w:i/>
          <w:iCs/>
        </w:rPr>
        <w:t>Idem</w:t>
      </w:r>
      <w:r>
        <w:t>, s 212(1).</w:t>
      </w:r>
    </w:p>
  </w:footnote>
  <w:footnote w:id="20">
    <w:p w14:paraId="1192D0F1" w14:textId="6E0CDF5B" w:rsidR="005E573C" w:rsidRPr="005E573C" w:rsidRDefault="005E573C">
      <w:pPr>
        <w:pStyle w:val="FootnoteText"/>
      </w:pPr>
      <w:r>
        <w:rPr>
          <w:rStyle w:val="FootnoteReference"/>
        </w:rPr>
        <w:footnoteRef/>
      </w:r>
      <w:r>
        <w:t xml:space="preserve"> </w:t>
      </w:r>
      <w:r>
        <w:rPr>
          <w:i/>
          <w:iCs/>
        </w:rPr>
        <w:t>Idem</w:t>
      </w:r>
      <w:r>
        <w:t>, s 213.</w:t>
      </w:r>
    </w:p>
  </w:footnote>
  <w:footnote w:id="21">
    <w:p w14:paraId="0CA99871" w14:textId="6FDCC302" w:rsidR="00562216" w:rsidRPr="00562216" w:rsidRDefault="00562216" w:rsidP="00562216">
      <w:pPr>
        <w:pStyle w:val="FootnoteText"/>
      </w:pPr>
      <w:r>
        <w:rPr>
          <w:rStyle w:val="FootnoteReference"/>
        </w:rPr>
        <w:footnoteRef/>
      </w:r>
      <w:r>
        <w:t xml:space="preserve"> Mourant, “</w:t>
      </w:r>
      <w:r>
        <w:rPr>
          <w:i/>
          <w:iCs/>
        </w:rPr>
        <w:t>R</w:t>
      </w:r>
      <w:r w:rsidRPr="00562216">
        <w:rPr>
          <w:i/>
          <w:iCs/>
        </w:rPr>
        <w:t>ecognition and Enforcement of Foreign Judgments and Arbitral awards</w:t>
      </w:r>
      <w:r>
        <w:t xml:space="preserve">”, at </w:t>
      </w:r>
      <w:hyperlink r:id="rId1" w:history="1">
        <w:r w:rsidRPr="001258F9">
          <w:rPr>
            <w:rStyle w:val="Hyperlink"/>
          </w:rPr>
          <w:t>https://www.mourant.com/2016-guides/recognition-and-enforcement-of-foreign-judgments-and-arbitral-awards-(updated).pdf</w:t>
        </w:r>
      </w:hyperlink>
      <w:r>
        <w:t>, accessed 6 July 2022.</w:t>
      </w:r>
    </w:p>
  </w:footnote>
  <w:footnote w:id="22">
    <w:p w14:paraId="27710D2C" w14:textId="60AFD5AA" w:rsidR="00F04FF1" w:rsidRPr="00F04FF1" w:rsidRDefault="00F04FF1">
      <w:pPr>
        <w:pStyle w:val="FootnoteText"/>
      </w:pPr>
      <w:r>
        <w:rPr>
          <w:rStyle w:val="FootnoteReference"/>
        </w:rPr>
        <w:footnoteRef/>
      </w:r>
      <w:r>
        <w:t xml:space="preserve"> </w:t>
      </w:r>
      <w:r>
        <w:rPr>
          <w:i/>
          <w:iCs/>
        </w:rPr>
        <w:t>Ibid.</w:t>
      </w:r>
    </w:p>
  </w:footnote>
  <w:footnote w:id="23">
    <w:p w14:paraId="66C3EBD7" w14:textId="63960362" w:rsidR="00A61936" w:rsidRPr="00A61936" w:rsidRDefault="00A61936">
      <w:pPr>
        <w:pStyle w:val="FootnoteText"/>
        <w:rPr>
          <w:i/>
          <w:iCs/>
        </w:rPr>
      </w:pPr>
      <w:r>
        <w:rPr>
          <w:rStyle w:val="FootnoteReference"/>
        </w:rPr>
        <w:footnoteRef/>
      </w:r>
      <w:r>
        <w:t xml:space="preserve"> </w:t>
      </w:r>
      <w:r>
        <w:rPr>
          <w:i/>
          <w:iCs/>
        </w:rPr>
        <w:t>Ibid.</w:t>
      </w:r>
    </w:p>
  </w:footnote>
  <w:footnote w:id="24">
    <w:p w14:paraId="411C56CE" w14:textId="7E9C2C26" w:rsidR="00A61936" w:rsidRPr="00A61936" w:rsidRDefault="00A61936">
      <w:pPr>
        <w:pStyle w:val="FootnoteText"/>
      </w:pPr>
      <w:r>
        <w:rPr>
          <w:rStyle w:val="FootnoteReference"/>
        </w:rPr>
        <w:footnoteRef/>
      </w:r>
      <w:r>
        <w:t xml:space="preserve"> </w:t>
      </w:r>
      <w:r>
        <w:rPr>
          <w:i/>
          <w:iCs/>
        </w:rPr>
        <w:t>Ibid</w:t>
      </w:r>
      <w:r>
        <w:t>.</w:t>
      </w:r>
    </w:p>
  </w:footnote>
  <w:footnote w:id="25">
    <w:p w14:paraId="24F7E244" w14:textId="63D369FD" w:rsidR="0090265B" w:rsidRPr="0090265B" w:rsidRDefault="0090265B">
      <w:pPr>
        <w:pStyle w:val="FootnoteText"/>
      </w:pPr>
      <w:r>
        <w:rPr>
          <w:rStyle w:val="FootnoteReference"/>
        </w:rPr>
        <w:footnoteRef/>
      </w:r>
      <w:r>
        <w:t xml:space="preserve"> </w:t>
      </w:r>
      <w:r>
        <w:rPr>
          <w:i/>
          <w:iCs/>
        </w:rPr>
        <w:t>Ibid</w:t>
      </w:r>
      <w:r>
        <w:t>.</w:t>
      </w:r>
    </w:p>
  </w:footnote>
  <w:footnote w:id="26">
    <w:p w14:paraId="093781AD" w14:textId="312FAF5E" w:rsidR="002577C3" w:rsidRPr="002577C3" w:rsidRDefault="002577C3">
      <w:pPr>
        <w:pStyle w:val="FootnoteText"/>
      </w:pPr>
      <w:r>
        <w:rPr>
          <w:rStyle w:val="FootnoteReference"/>
        </w:rPr>
        <w:footnoteRef/>
      </w:r>
      <w:r>
        <w:t xml:space="preserve"> </w:t>
      </w:r>
      <w:r>
        <w:rPr>
          <w:i/>
          <w:iCs/>
        </w:rPr>
        <w:t>Ibid</w:t>
      </w:r>
      <w:r>
        <w:t>.</w:t>
      </w:r>
    </w:p>
  </w:footnote>
  <w:footnote w:id="27">
    <w:p w14:paraId="60249C24" w14:textId="1FFD756A" w:rsidR="0083500D" w:rsidRPr="0083500D" w:rsidRDefault="0083500D">
      <w:pPr>
        <w:pStyle w:val="FootnoteText"/>
      </w:pPr>
      <w:r>
        <w:rPr>
          <w:rStyle w:val="FootnoteReference"/>
        </w:rPr>
        <w:footnoteRef/>
      </w:r>
      <w:r>
        <w:t xml:space="preserve"> </w:t>
      </w:r>
      <w:r>
        <w:rPr>
          <w:i/>
          <w:iCs/>
        </w:rPr>
        <w:t>Ibid</w:t>
      </w:r>
      <w:r>
        <w:t xml:space="preserve">. </w:t>
      </w:r>
    </w:p>
  </w:footnote>
  <w:footnote w:id="28">
    <w:p w14:paraId="23DFE704" w14:textId="04FFA8F1" w:rsidR="00DC295F" w:rsidRPr="00DC295F" w:rsidRDefault="00DC295F">
      <w:pPr>
        <w:pStyle w:val="FootnoteText"/>
      </w:pPr>
      <w:r>
        <w:rPr>
          <w:rStyle w:val="FootnoteReference"/>
        </w:rPr>
        <w:footnoteRef/>
      </w:r>
      <w:r>
        <w:t xml:space="preserve"> </w:t>
      </w:r>
      <w:r>
        <w:rPr>
          <w:i/>
          <w:iCs/>
        </w:rPr>
        <w:t>Ibid</w:t>
      </w:r>
      <w:r>
        <w:t>.</w:t>
      </w:r>
    </w:p>
  </w:footnote>
  <w:footnote w:id="29">
    <w:p w14:paraId="43E79BE5" w14:textId="0B3F3966" w:rsidR="007B1FDF" w:rsidRPr="007B1FDF" w:rsidRDefault="007B1FDF">
      <w:pPr>
        <w:pStyle w:val="FootnoteText"/>
      </w:pPr>
      <w:r>
        <w:rPr>
          <w:rStyle w:val="FootnoteReference"/>
        </w:rPr>
        <w:footnoteRef/>
      </w:r>
      <w:r>
        <w:t xml:space="preserve"> Williams, Mike, “</w:t>
      </w:r>
      <w:r>
        <w:rPr>
          <w:i/>
          <w:iCs/>
        </w:rPr>
        <w:t>LENDING TO BVI COMPANIES – TAKING SECURITY</w:t>
      </w:r>
      <w:r>
        <w:t xml:space="preserve">”, at </w:t>
      </w:r>
      <w:hyperlink r:id="rId2" w:history="1">
        <w:r w:rsidRPr="001258F9">
          <w:rPr>
            <w:rStyle w:val="Hyperlink"/>
          </w:rPr>
          <w:t>https://www.collascrill.com/knowledge-documents/guides/lending-to-bvi-companies-taking-security/</w:t>
        </w:r>
      </w:hyperlink>
      <w:r>
        <w:t>, accessed 7 July 2022.</w:t>
      </w:r>
    </w:p>
  </w:footnote>
  <w:footnote w:id="30">
    <w:p w14:paraId="10DBC638" w14:textId="7AC22805" w:rsidR="007E5F70" w:rsidRPr="007E5F70" w:rsidRDefault="007E5F70">
      <w:pPr>
        <w:pStyle w:val="FootnoteText"/>
      </w:pPr>
      <w:r>
        <w:rPr>
          <w:rStyle w:val="FootnoteReference"/>
        </w:rPr>
        <w:footnoteRef/>
      </w:r>
      <w:r>
        <w:t xml:space="preserve"> Mourant, “</w:t>
      </w:r>
      <w:r>
        <w:rPr>
          <w:i/>
          <w:iCs/>
        </w:rPr>
        <w:t xml:space="preserve">The things a security taker needs to know about receivership under BVI law”, </w:t>
      </w:r>
      <w:r>
        <w:t xml:space="preserve">at </w:t>
      </w:r>
      <w:hyperlink r:id="rId3" w:history="1">
        <w:r w:rsidRPr="001258F9">
          <w:rPr>
            <w:rStyle w:val="Hyperlink"/>
          </w:rPr>
          <w:t>https://www.mourant.com/2016-guides/the-things-a-security-taker-needs-to-know-about-receivership-under-bvi-law-(updated).pdf</w:t>
        </w:r>
      </w:hyperlink>
      <w:r>
        <w:t>, accessed 8 July 2022.</w:t>
      </w:r>
    </w:p>
  </w:footnote>
  <w:footnote w:id="31">
    <w:p w14:paraId="6F32D97D" w14:textId="13DC3C76" w:rsidR="00BD19EE" w:rsidRDefault="00BD19EE">
      <w:pPr>
        <w:pStyle w:val="FootnoteText"/>
      </w:pPr>
      <w:r>
        <w:rPr>
          <w:rStyle w:val="FootnoteReference"/>
        </w:rPr>
        <w:footnoteRef/>
      </w:r>
      <w:r>
        <w:t xml:space="preserve"> Insolvency Act, s 8(1)(a). </w:t>
      </w:r>
    </w:p>
  </w:footnote>
  <w:footnote w:id="32">
    <w:p w14:paraId="282941FF" w14:textId="32AC1979" w:rsidR="002F01B7" w:rsidRPr="002F01B7" w:rsidRDefault="002F01B7">
      <w:pPr>
        <w:pStyle w:val="FootnoteText"/>
      </w:pPr>
      <w:r>
        <w:rPr>
          <w:rStyle w:val="FootnoteReference"/>
        </w:rPr>
        <w:footnoteRef/>
      </w:r>
      <w:r>
        <w:t xml:space="preserve"> </w:t>
      </w:r>
      <w:r>
        <w:rPr>
          <w:i/>
          <w:iCs/>
        </w:rPr>
        <w:t>Idem</w:t>
      </w:r>
      <w:r>
        <w:t>, s 155.</w:t>
      </w:r>
    </w:p>
  </w:footnote>
  <w:footnote w:id="33">
    <w:p w14:paraId="35DA55C2" w14:textId="38859A50" w:rsidR="00DB2479" w:rsidRDefault="00DB2479">
      <w:pPr>
        <w:pStyle w:val="FootnoteText"/>
      </w:pPr>
      <w:r>
        <w:rPr>
          <w:rStyle w:val="FootnoteReference"/>
        </w:rPr>
        <w:footnoteRef/>
      </w:r>
      <w:r>
        <w:t xml:space="preserve"> </w:t>
      </w:r>
      <w:r w:rsidR="00BD19EE">
        <w:rPr>
          <w:i/>
          <w:iCs/>
        </w:rPr>
        <w:t>Idem</w:t>
      </w:r>
      <w:r>
        <w:t xml:space="preserve">, s </w:t>
      </w:r>
      <w:r w:rsidR="00317849">
        <w:t>175</w:t>
      </w:r>
      <w:r>
        <w:t>(</w:t>
      </w:r>
      <w:r w:rsidR="00317849">
        <w:t>2</w:t>
      </w:r>
      <w:r>
        <w:t>)</w:t>
      </w:r>
      <w:r w:rsidR="00BD19EE">
        <w:t xml:space="preserve"> </w:t>
      </w:r>
    </w:p>
  </w:footnote>
  <w:footnote w:id="34">
    <w:p w14:paraId="03C7DF68" w14:textId="3C0CBF32" w:rsidR="00F56AB9" w:rsidRDefault="00F56AB9">
      <w:pPr>
        <w:pStyle w:val="FootnoteText"/>
      </w:pPr>
      <w:r>
        <w:rPr>
          <w:rStyle w:val="FootnoteReference"/>
        </w:rPr>
        <w:footnoteRef/>
      </w:r>
      <w:r>
        <w:t xml:space="preserve"> Mourant, “</w:t>
      </w:r>
      <w:r>
        <w:rPr>
          <w:i/>
          <w:iCs/>
        </w:rPr>
        <w:t xml:space="preserve">The things a security taker needs to know about receivership under BVI law”, </w:t>
      </w:r>
      <w:r>
        <w:t xml:space="preserve">at </w:t>
      </w:r>
      <w:hyperlink r:id="rId4" w:history="1">
        <w:r w:rsidRPr="001258F9">
          <w:rPr>
            <w:rStyle w:val="Hyperlink"/>
          </w:rPr>
          <w:t>https://www.mourant.com/2016-guides/the-things-a-security-taker-needs-to-know-about-receivership-under-bvi-law-(updated).pdf</w:t>
        </w:r>
      </w:hyperlink>
      <w:r>
        <w:t>, accessed 8 July 2022.</w:t>
      </w:r>
    </w:p>
  </w:footnote>
  <w:footnote w:id="35">
    <w:p w14:paraId="6DC9E023" w14:textId="20A6436E" w:rsidR="00CA6B35" w:rsidRPr="00CA6B35" w:rsidRDefault="00CA6B35">
      <w:pPr>
        <w:pStyle w:val="FootnoteText"/>
      </w:pPr>
      <w:r>
        <w:rPr>
          <w:rStyle w:val="FootnoteReference"/>
        </w:rPr>
        <w:footnoteRef/>
      </w:r>
      <w:r>
        <w:t xml:space="preserve"> </w:t>
      </w:r>
      <w:r w:rsidR="00F56AB9">
        <w:t xml:space="preserve">Insolvency Act, s 162(1)(a). </w:t>
      </w:r>
    </w:p>
  </w:footnote>
  <w:footnote w:id="36">
    <w:p w14:paraId="4A7D7486" w14:textId="43BE7018" w:rsidR="00597857" w:rsidRPr="00597857" w:rsidRDefault="00597857">
      <w:pPr>
        <w:pStyle w:val="FootnoteText"/>
      </w:pPr>
      <w:r>
        <w:rPr>
          <w:rStyle w:val="FootnoteReference"/>
        </w:rPr>
        <w:footnoteRef/>
      </w:r>
      <w:r>
        <w:t xml:space="preserve"> </w:t>
      </w:r>
      <w:r>
        <w:rPr>
          <w:i/>
          <w:iCs/>
        </w:rPr>
        <w:t xml:space="preserve">Idem, </w:t>
      </w:r>
      <w:r>
        <w:t>s 162(2)(</w:t>
      </w:r>
      <w:r w:rsidR="00811A09">
        <w:t>b</w:t>
      </w:r>
      <w:r>
        <w:t>)</w:t>
      </w:r>
    </w:p>
  </w:footnote>
  <w:footnote w:id="37">
    <w:p w14:paraId="333D6A02" w14:textId="77777777" w:rsidR="0012124D" w:rsidRPr="00126D9E" w:rsidRDefault="0012124D" w:rsidP="0012124D">
      <w:pPr>
        <w:pStyle w:val="FootnoteText"/>
      </w:pPr>
      <w:r>
        <w:rPr>
          <w:rStyle w:val="FootnoteReference"/>
        </w:rPr>
        <w:footnoteRef/>
      </w:r>
      <w:r>
        <w:t xml:space="preserve"> </w:t>
      </w:r>
      <w:r>
        <w:rPr>
          <w:i/>
          <w:iCs/>
        </w:rPr>
        <w:t>Idem</w:t>
      </w:r>
      <w:r>
        <w:t>, s 211(1).</w:t>
      </w:r>
    </w:p>
  </w:footnote>
  <w:footnote w:id="38">
    <w:p w14:paraId="56189635" w14:textId="77777777" w:rsidR="0012124D" w:rsidRPr="00126D9E" w:rsidRDefault="0012124D" w:rsidP="0012124D">
      <w:pPr>
        <w:pStyle w:val="FootnoteText"/>
      </w:pPr>
      <w:r>
        <w:rPr>
          <w:rStyle w:val="FootnoteReference"/>
        </w:rPr>
        <w:footnoteRef/>
      </w:r>
      <w:r>
        <w:t xml:space="preserve"> </w:t>
      </w:r>
      <w:r>
        <w:rPr>
          <w:i/>
          <w:iCs/>
        </w:rPr>
        <w:t>Idem</w:t>
      </w:r>
      <w:r>
        <w:t>, s 211(2).</w:t>
      </w:r>
    </w:p>
  </w:footnote>
  <w:footnote w:id="39">
    <w:p w14:paraId="08475409" w14:textId="77777777" w:rsidR="0012124D" w:rsidRPr="00F11056" w:rsidRDefault="0012124D" w:rsidP="0012124D">
      <w:pPr>
        <w:pStyle w:val="FootnoteText"/>
      </w:pPr>
      <w:r>
        <w:rPr>
          <w:rStyle w:val="FootnoteReference"/>
        </w:rPr>
        <w:footnoteRef/>
      </w:r>
      <w:r>
        <w:t xml:space="preserve"> </w:t>
      </w:r>
      <w:r>
        <w:rPr>
          <w:i/>
          <w:iCs/>
        </w:rPr>
        <w:t>Idem</w:t>
      </w:r>
      <w:r>
        <w:t>, s 211(4).</w:t>
      </w:r>
    </w:p>
  </w:footnote>
  <w:footnote w:id="40">
    <w:p w14:paraId="336F9C83" w14:textId="77777777" w:rsidR="0012124D" w:rsidRPr="00F11056" w:rsidRDefault="0012124D" w:rsidP="0012124D">
      <w:pPr>
        <w:pStyle w:val="FootnoteText"/>
      </w:pPr>
      <w:r>
        <w:rPr>
          <w:rStyle w:val="FootnoteReference"/>
        </w:rPr>
        <w:footnoteRef/>
      </w:r>
      <w:r>
        <w:t xml:space="preserve"> </w:t>
      </w:r>
      <w:r>
        <w:rPr>
          <w:i/>
          <w:iCs/>
        </w:rPr>
        <w:t>Idem</w:t>
      </w:r>
      <w:r>
        <w:t>, s 211(5).</w:t>
      </w:r>
    </w:p>
  </w:footnote>
  <w:footnote w:id="41">
    <w:p w14:paraId="5BD40CC1" w14:textId="77777777" w:rsidR="0012124D" w:rsidRPr="00160C48" w:rsidRDefault="0012124D" w:rsidP="0012124D">
      <w:pPr>
        <w:pStyle w:val="FootnoteText"/>
      </w:pPr>
      <w:r>
        <w:rPr>
          <w:rStyle w:val="FootnoteReference"/>
        </w:rPr>
        <w:footnoteRef/>
      </w:r>
      <w:r>
        <w:t xml:space="preserve"> </w:t>
      </w:r>
      <w:r>
        <w:rPr>
          <w:i/>
          <w:iCs/>
        </w:rPr>
        <w:t>Idem</w:t>
      </w:r>
      <w:r>
        <w:t>, s 212(1).</w:t>
      </w:r>
    </w:p>
  </w:footnote>
  <w:footnote w:id="42">
    <w:p w14:paraId="70FA26AC" w14:textId="77777777" w:rsidR="0012124D" w:rsidRPr="005E573C" w:rsidRDefault="0012124D" w:rsidP="0012124D">
      <w:pPr>
        <w:pStyle w:val="FootnoteText"/>
      </w:pPr>
      <w:r>
        <w:rPr>
          <w:rStyle w:val="FootnoteReference"/>
        </w:rPr>
        <w:footnoteRef/>
      </w:r>
      <w:r>
        <w:t xml:space="preserve"> </w:t>
      </w:r>
      <w:r>
        <w:rPr>
          <w:i/>
          <w:iCs/>
        </w:rPr>
        <w:t>Idem</w:t>
      </w:r>
      <w:r>
        <w:t>, s 213.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E0EAB"/>
    <w:multiLevelType w:val="hybridMultilevel"/>
    <w:tmpl w:val="2976EDE4"/>
    <w:lvl w:ilvl="0" w:tplc="C6985A5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174E5"/>
    <w:multiLevelType w:val="hybridMultilevel"/>
    <w:tmpl w:val="0A0CEB88"/>
    <w:lvl w:ilvl="0" w:tplc="608424D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8024CF4"/>
    <w:multiLevelType w:val="hybridMultilevel"/>
    <w:tmpl w:val="ABA6A002"/>
    <w:lvl w:ilvl="0" w:tplc="C18A71D6">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8B55B8"/>
    <w:multiLevelType w:val="hybridMultilevel"/>
    <w:tmpl w:val="9198F330"/>
    <w:lvl w:ilvl="0" w:tplc="2B5266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0062A2"/>
    <w:multiLevelType w:val="hybridMultilevel"/>
    <w:tmpl w:val="8CECD5A8"/>
    <w:lvl w:ilvl="0" w:tplc="233C2A98">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647002"/>
    <w:multiLevelType w:val="hybridMultilevel"/>
    <w:tmpl w:val="783E4080"/>
    <w:lvl w:ilvl="0" w:tplc="B57613F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CA396A"/>
    <w:multiLevelType w:val="hybridMultilevel"/>
    <w:tmpl w:val="9E1AB1A8"/>
    <w:lvl w:ilvl="0" w:tplc="51B64DF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CAF4FD1"/>
    <w:multiLevelType w:val="hybridMultilevel"/>
    <w:tmpl w:val="C76C27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E70ED2"/>
    <w:multiLevelType w:val="hybridMultilevel"/>
    <w:tmpl w:val="9A2CF3D8"/>
    <w:lvl w:ilvl="0" w:tplc="A99EAD5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F5433DD"/>
    <w:multiLevelType w:val="hybridMultilevel"/>
    <w:tmpl w:val="C76C27AE"/>
    <w:lvl w:ilvl="0" w:tplc="03BE029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C57D0E"/>
    <w:multiLevelType w:val="hybridMultilevel"/>
    <w:tmpl w:val="64EE8036"/>
    <w:lvl w:ilvl="0" w:tplc="6232B3B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0D2A04"/>
    <w:multiLevelType w:val="hybridMultilevel"/>
    <w:tmpl w:val="94A883BC"/>
    <w:lvl w:ilvl="0" w:tplc="788632C2">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0F6742"/>
    <w:multiLevelType w:val="hybridMultilevel"/>
    <w:tmpl w:val="0D3C1864"/>
    <w:lvl w:ilvl="0" w:tplc="57E41FA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5A67B1"/>
    <w:multiLevelType w:val="hybridMultilevel"/>
    <w:tmpl w:val="3B522AF6"/>
    <w:lvl w:ilvl="0" w:tplc="AAF04AC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ADB5955"/>
    <w:multiLevelType w:val="hybridMultilevel"/>
    <w:tmpl w:val="0054E71A"/>
    <w:lvl w:ilvl="0" w:tplc="074E7ABC">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5C1A0D"/>
    <w:multiLevelType w:val="hybridMultilevel"/>
    <w:tmpl w:val="BF3AA450"/>
    <w:lvl w:ilvl="0" w:tplc="1664735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A37E5F"/>
    <w:multiLevelType w:val="hybridMultilevel"/>
    <w:tmpl w:val="AA8435C8"/>
    <w:lvl w:ilvl="0" w:tplc="96AE3DB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5610483"/>
    <w:multiLevelType w:val="hybridMultilevel"/>
    <w:tmpl w:val="F14C7F5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5D213E"/>
    <w:multiLevelType w:val="hybridMultilevel"/>
    <w:tmpl w:val="F3189D06"/>
    <w:lvl w:ilvl="0" w:tplc="966426AC">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1F52543"/>
    <w:multiLevelType w:val="hybridMultilevel"/>
    <w:tmpl w:val="1E0AE498"/>
    <w:lvl w:ilvl="0" w:tplc="0BFE59D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3E612BF"/>
    <w:multiLevelType w:val="hybridMultilevel"/>
    <w:tmpl w:val="1994AD7E"/>
    <w:lvl w:ilvl="0" w:tplc="5BC878EA">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4651242"/>
    <w:multiLevelType w:val="hybridMultilevel"/>
    <w:tmpl w:val="4E08ECE0"/>
    <w:lvl w:ilvl="0" w:tplc="B760749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4E369CE"/>
    <w:multiLevelType w:val="hybridMultilevel"/>
    <w:tmpl w:val="E684E0DA"/>
    <w:lvl w:ilvl="0" w:tplc="10AAB518">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72703939">
    <w:abstractNumId w:val="28"/>
  </w:num>
  <w:num w:numId="2" w16cid:durableId="1493521247">
    <w:abstractNumId w:val="39"/>
  </w:num>
  <w:num w:numId="3" w16cid:durableId="593366316">
    <w:abstractNumId w:val="12"/>
  </w:num>
  <w:num w:numId="4" w16cid:durableId="1829207250">
    <w:abstractNumId w:val="21"/>
  </w:num>
  <w:num w:numId="5" w16cid:durableId="417094494">
    <w:abstractNumId w:val="3"/>
  </w:num>
  <w:num w:numId="6" w16cid:durableId="95905392">
    <w:abstractNumId w:val="14"/>
  </w:num>
  <w:num w:numId="7" w16cid:durableId="103965543">
    <w:abstractNumId w:val="23"/>
  </w:num>
  <w:num w:numId="8" w16cid:durableId="127014934">
    <w:abstractNumId w:val="33"/>
  </w:num>
  <w:num w:numId="9" w16cid:durableId="464855992">
    <w:abstractNumId w:val="20"/>
  </w:num>
  <w:num w:numId="10" w16cid:durableId="1721977092">
    <w:abstractNumId w:val="15"/>
  </w:num>
  <w:num w:numId="11" w16cid:durableId="212038997">
    <w:abstractNumId w:val="0"/>
  </w:num>
  <w:num w:numId="12" w16cid:durableId="914557992">
    <w:abstractNumId w:val="29"/>
  </w:num>
  <w:num w:numId="13" w16cid:durableId="1367364915">
    <w:abstractNumId w:val="35"/>
  </w:num>
  <w:num w:numId="14" w16cid:durableId="478687988">
    <w:abstractNumId w:val="8"/>
  </w:num>
  <w:num w:numId="15" w16cid:durableId="1787043131">
    <w:abstractNumId w:val="27"/>
  </w:num>
  <w:num w:numId="16" w16cid:durableId="1789854468">
    <w:abstractNumId w:val="4"/>
  </w:num>
  <w:num w:numId="17" w16cid:durableId="963117517">
    <w:abstractNumId w:val="10"/>
  </w:num>
  <w:num w:numId="18" w16cid:durableId="721364870">
    <w:abstractNumId w:val="30"/>
  </w:num>
  <w:num w:numId="19" w16cid:durableId="1640185205">
    <w:abstractNumId w:val="11"/>
  </w:num>
  <w:num w:numId="20" w16cid:durableId="195851622">
    <w:abstractNumId w:val="25"/>
  </w:num>
  <w:num w:numId="21" w16cid:durableId="666635141">
    <w:abstractNumId w:val="36"/>
  </w:num>
  <w:num w:numId="22" w16cid:durableId="1270578257">
    <w:abstractNumId w:val="2"/>
  </w:num>
  <w:num w:numId="23" w16cid:durableId="935360633">
    <w:abstractNumId w:val="9"/>
  </w:num>
  <w:num w:numId="24" w16cid:durableId="516309056">
    <w:abstractNumId w:val="41"/>
  </w:num>
  <w:num w:numId="25" w16cid:durableId="950089701">
    <w:abstractNumId w:val="32"/>
  </w:num>
  <w:num w:numId="26" w16cid:durableId="1557858284">
    <w:abstractNumId w:val="7"/>
  </w:num>
  <w:num w:numId="27" w16cid:durableId="386608123">
    <w:abstractNumId w:val="44"/>
  </w:num>
  <w:num w:numId="28" w16cid:durableId="42797405">
    <w:abstractNumId w:val="13"/>
  </w:num>
  <w:num w:numId="29" w16cid:durableId="81268411">
    <w:abstractNumId w:val="40"/>
  </w:num>
  <w:num w:numId="30" w16cid:durableId="367535093">
    <w:abstractNumId w:val="26"/>
  </w:num>
  <w:num w:numId="31" w16cid:durableId="1864320370">
    <w:abstractNumId w:val="43"/>
  </w:num>
  <w:num w:numId="32" w16cid:durableId="379137995">
    <w:abstractNumId w:val="42"/>
  </w:num>
  <w:num w:numId="33" w16cid:durableId="1344554307">
    <w:abstractNumId w:val="6"/>
  </w:num>
  <w:num w:numId="34" w16cid:durableId="1614363967">
    <w:abstractNumId w:val="38"/>
  </w:num>
  <w:num w:numId="35" w16cid:durableId="1029062978">
    <w:abstractNumId w:val="37"/>
  </w:num>
  <w:num w:numId="36" w16cid:durableId="339044086">
    <w:abstractNumId w:val="24"/>
  </w:num>
  <w:num w:numId="37" w16cid:durableId="1757900917">
    <w:abstractNumId w:val="34"/>
  </w:num>
  <w:num w:numId="38" w16cid:durableId="1303778112">
    <w:abstractNumId w:val="22"/>
  </w:num>
  <w:num w:numId="39" w16cid:durableId="1357270840">
    <w:abstractNumId w:val="31"/>
  </w:num>
  <w:num w:numId="40" w16cid:durableId="1357197424">
    <w:abstractNumId w:val="19"/>
  </w:num>
  <w:num w:numId="41" w16cid:durableId="1324167138">
    <w:abstractNumId w:val="5"/>
  </w:num>
  <w:num w:numId="42" w16cid:durableId="1547525156">
    <w:abstractNumId w:val="16"/>
  </w:num>
  <w:num w:numId="43" w16cid:durableId="287929550">
    <w:abstractNumId w:val="18"/>
  </w:num>
  <w:num w:numId="44" w16cid:durableId="1972789253">
    <w:abstractNumId w:val="1"/>
  </w:num>
  <w:num w:numId="45" w16cid:durableId="124907329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400E"/>
    <w:rsid w:val="00016E59"/>
    <w:rsid w:val="00020557"/>
    <w:rsid w:val="00021FC2"/>
    <w:rsid w:val="000250C7"/>
    <w:rsid w:val="00026F16"/>
    <w:rsid w:val="00037621"/>
    <w:rsid w:val="00044D46"/>
    <w:rsid w:val="00045088"/>
    <w:rsid w:val="00045717"/>
    <w:rsid w:val="00045904"/>
    <w:rsid w:val="00047272"/>
    <w:rsid w:val="000502FD"/>
    <w:rsid w:val="00053BC1"/>
    <w:rsid w:val="00060B3E"/>
    <w:rsid w:val="00065166"/>
    <w:rsid w:val="000725C3"/>
    <w:rsid w:val="00074353"/>
    <w:rsid w:val="00081483"/>
    <w:rsid w:val="00082609"/>
    <w:rsid w:val="000851CC"/>
    <w:rsid w:val="000867D0"/>
    <w:rsid w:val="00087F21"/>
    <w:rsid w:val="00093BE8"/>
    <w:rsid w:val="000A407B"/>
    <w:rsid w:val="000A68ED"/>
    <w:rsid w:val="000B5FF1"/>
    <w:rsid w:val="000B609F"/>
    <w:rsid w:val="000C07F7"/>
    <w:rsid w:val="000D55A8"/>
    <w:rsid w:val="000E1E96"/>
    <w:rsid w:val="000E478C"/>
    <w:rsid w:val="000E4841"/>
    <w:rsid w:val="000F1677"/>
    <w:rsid w:val="000F3D6C"/>
    <w:rsid w:val="000F4B4B"/>
    <w:rsid w:val="000F6B43"/>
    <w:rsid w:val="00101707"/>
    <w:rsid w:val="00102CC9"/>
    <w:rsid w:val="0010593A"/>
    <w:rsid w:val="00111FCB"/>
    <w:rsid w:val="0011473D"/>
    <w:rsid w:val="00115C85"/>
    <w:rsid w:val="00116B8D"/>
    <w:rsid w:val="0012124D"/>
    <w:rsid w:val="00123855"/>
    <w:rsid w:val="00126A4D"/>
    <w:rsid w:val="00126D9E"/>
    <w:rsid w:val="00136A5A"/>
    <w:rsid w:val="0014171F"/>
    <w:rsid w:val="0014622C"/>
    <w:rsid w:val="00152348"/>
    <w:rsid w:val="0015289B"/>
    <w:rsid w:val="00154533"/>
    <w:rsid w:val="0015456D"/>
    <w:rsid w:val="00155FA2"/>
    <w:rsid w:val="00160C48"/>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2E30"/>
    <w:rsid w:val="0025386E"/>
    <w:rsid w:val="002577C3"/>
    <w:rsid w:val="0026301C"/>
    <w:rsid w:val="002638B0"/>
    <w:rsid w:val="002649C2"/>
    <w:rsid w:val="00265945"/>
    <w:rsid w:val="0026647A"/>
    <w:rsid w:val="002668D3"/>
    <w:rsid w:val="00267015"/>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0DCE"/>
    <w:rsid w:val="002C13C8"/>
    <w:rsid w:val="002C3547"/>
    <w:rsid w:val="002D0021"/>
    <w:rsid w:val="002D299D"/>
    <w:rsid w:val="002D3473"/>
    <w:rsid w:val="002D5E21"/>
    <w:rsid w:val="002E0EEE"/>
    <w:rsid w:val="002F01B7"/>
    <w:rsid w:val="002F1956"/>
    <w:rsid w:val="002F3440"/>
    <w:rsid w:val="002F75A3"/>
    <w:rsid w:val="00300001"/>
    <w:rsid w:val="00303C2F"/>
    <w:rsid w:val="00310D8E"/>
    <w:rsid w:val="003125FB"/>
    <w:rsid w:val="003144EF"/>
    <w:rsid w:val="00317849"/>
    <w:rsid w:val="00326292"/>
    <w:rsid w:val="00326415"/>
    <w:rsid w:val="00330937"/>
    <w:rsid w:val="00330F31"/>
    <w:rsid w:val="00334648"/>
    <w:rsid w:val="0033768C"/>
    <w:rsid w:val="00337938"/>
    <w:rsid w:val="00340769"/>
    <w:rsid w:val="00341AA6"/>
    <w:rsid w:val="0035063A"/>
    <w:rsid w:val="00361A0A"/>
    <w:rsid w:val="00364836"/>
    <w:rsid w:val="0036565C"/>
    <w:rsid w:val="0036625E"/>
    <w:rsid w:val="003701F1"/>
    <w:rsid w:val="003727D8"/>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D7036"/>
    <w:rsid w:val="003E0B16"/>
    <w:rsid w:val="003E60A6"/>
    <w:rsid w:val="003E67D1"/>
    <w:rsid w:val="00404329"/>
    <w:rsid w:val="00404E66"/>
    <w:rsid w:val="00405DC1"/>
    <w:rsid w:val="00415F1F"/>
    <w:rsid w:val="0041718C"/>
    <w:rsid w:val="0042108F"/>
    <w:rsid w:val="0042189F"/>
    <w:rsid w:val="00421CCD"/>
    <w:rsid w:val="00430FED"/>
    <w:rsid w:val="00434A8C"/>
    <w:rsid w:val="004371CC"/>
    <w:rsid w:val="00437297"/>
    <w:rsid w:val="00444284"/>
    <w:rsid w:val="00445CE6"/>
    <w:rsid w:val="00446104"/>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7504"/>
    <w:rsid w:val="00511CB4"/>
    <w:rsid w:val="00516777"/>
    <w:rsid w:val="005177FE"/>
    <w:rsid w:val="00521625"/>
    <w:rsid w:val="00522561"/>
    <w:rsid w:val="0052263B"/>
    <w:rsid w:val="00524728"/>
    <w:rsid w:val="005331CA"/>
    <w:rsid w:val="00537970"/>
    <w:rsid w:val="0054088D"/>
    <w:rsid w:val="00540E3A"/>
    <w:rsid w:val="00544127"/>
    <w:rsid w:val="005463A9"/>
    <w:rsid w:val="005522D5"/>
    <w:rsid w:val="00553EB2"/>
    <w:rsid w:val="005563EB"/>
    <w:rsid w:val="00560534"/>
    <w:rsid w:val="00562216"/>
    <w:rsid w:val="0056391B"/>
    <w:rsid w:val="005650E2"/>
    <w:rsid w:val="00567AD7"/>
    <w:rsid w:val="005707AC"/>
    <w:rsid w:val="00575B2D"/>
    <w:rsid w:val="005833D0"/>
    <w:rsid w:val="005846F3"/>
    <w:rsid w:val="0058622F"/>
    <w:rsid w:val="00592F82"/>
    <w:rsid w:val="0059566B"/>
    <w:rsid w:val="00597857"/>
    <w:rsid w:val="005A0CCA"/>
    <w:rsid w:val="005A6FF2"/>
    <w:rsid w:val="005A726D"/>
    <w:rsid w:val="005B2238"/>
    <w:rsid w:val="005B67AC"/>
    <w:rsid w:val="005B79F4"/>
    <w:rsid w:val="005D16DD"/>
    <w:rsid w:val="005D43E0"/>
    <w:rsid w:val="005D58A3"/>
    <w:rsid w:val="005E18B1"/>
    <w:rsid w:val="005E1B79"/>
    <w:rsid w:val="005E573C"/>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37783"/>
    <w:rsid w:val="00641515"/>
    <w:rsid w:val="00654C2F"/>
    <w:rsid w:val="00657087"/>
    <w:rsid w:val="006639DB"/>
    <w:rsid w:val="00665098"/>
    <w:rsid w:val="006661EF"/>
    <w:rsid w:val="00666DF9"/>
    <w:rsid w:val="00672CAB"/>
    <w:rsid w:val="00677AEB"/>
    <w:rsid w:val="00680EF2"/>
    <w:rsid w:val="006822F4"/>
    <w:rsid w:val="00687A1D"/>
    <w:rsid w:val="00690A51"/>
    <w:rsid w:val="00692C65"/>
    <w:rsid w:val="006951FB"/>
    <w:rsid w:val="00697EA1"/>
    <w:rsid w:val="006A2646"/>
    <w:rsid w:val="006A6530"/>
    <w:rsid w:val="006A6BCE"/>
    <w:rsid w:val="006B435A"/>
    <w:rsid w:val="006B4C64"/>
    <w:rsid w:val="006C36EC"/>
    <w:rsid w:val="006D20D5"/>
    <w:rsid w:val="006D6BD5"/>
    <w:rsid w:val="006E481A"/>
    <w:rsid w:val="006E5298"/>
    <w:rsid w:val="006E656F"/>
    <w:rsid w:val="006E78D5"/>
    <w:rsid w:val="006F4A78"/>
    <w:rsid w:val="006F734A"/>
    <w:rsid w:val="00700D83"/>
    <w:rsid w:val="00703057"/>
    <w:rsid w:val="00704852"/>
    <w:rsid w:val="007074E9"/>
    <w:rsid w:val="00713DA4"/>
    <w:rsid w:val="00714BF1"/>
    <w:rsid w:val="00721383"/>
    <w:rsid w:val="0073158B"/>
    <w:rsid w:val="007333CC"/>
    <w:rsid w:val="0073399A"/>
    <w:rsid w:val="00740DAD"/>
    <w:rsid w:val="00755234"/>
    <w:rsid w:val="007603F5"/>
    <w:rsid w:val="00764DB0"/>
    <w:rsid w:val="0076660A"/>
    <w:rsid w:val="00766F06"/>
    <w:rsid w:val="0076764D"/>
    <w:rsid w:val="0077498C"/>
    <w:rsid w:val="007809BC"/>
    <w:rsid w:val="00784128"/>
    <w:rsid w:val="00787BCC"/>
    <w:rsid w:val="00793173"/>
    <w:rsid w:val="007A12BA"/>
    <w:rsid w:val="007A2A33"/>
    <w:rsid w:val="007B1FDF"/>
    <w:rsid w:val="007B483F"/>
    <w:rsid w:val="007B5462"/>
    <w:rsid w:val="007B5C89"/>
    <w:rsid w:val="007C1FCC"/>
    <w:rsid w:val="007C25DF"/>
    <w:rsid w:val="007C6201"/>
    <w:rsid w:val="007D2A74"/>
    <w:rsid w:val="007D7C92"/>
    <w:rsid w:val="007E1154"/>
    <w:rsid w:val="007E5F70"/>
    <w:rsid w:val="007E6BA4"/>
    <w:rsid w:val="007F41F8"/>
    <w:rsid w:val="007F659B"/>
    <w:rsid w:val="00802DB8"/>
    <w:rsid w:val="0080454E"/>
    <w:rsid w:val="00804C32"/>
    <w:rsid w:val="00806302"/>
    <w:rsid w:val="008065CE"/>
    <w:rsid w:val="00806ABF"/>
    <w:rsid w:val="00807119"/>
    <w:rsid w:val="00811A09"/>
    <w:rsid w:val="00816B2A"/>
    <w:rsid w:val="0082483F"/>
    <w:rsid w:val="008279C0"/>
    <w:rsid w:val="0083500D"/>
    <w:rsid w:val="00843E87"/>
    <w:rsid w:val="00847A92"/>
    <w:rsid w:val="00867701"/>
    <w:rsid w:val="008723F3"/>
    <w:rsid w:val="00876F56"/>
    <w:rsid w:val="00881DE6"/>
    <w:rsid w:val="008837A6"/>
    <w:rsid w:val="00883856"/>
    <w:rsid w:val="0089145D"/>
    <w:rsid w:val="008A4DF2"/>
    <w:rsid w:val="008A6CFE"/>
    <w:rsid w:val="008B5333"/>
    <w:rsid w:val="008B6223"/>
    <w:rsid w:val="008C0297"/>
    <w:rsid w:val="008C4989"/>
    <w:rsid w:val="008C66E0"/>
    <w:rsid w:val="008D13AA"/>
    <w:rsid w:val="008D4C1A"/>
    <w:rsid w:val="008E0300"/>
    <w:rsid w:val="008E3339"/>
    <w:rsid w:val="008E3696"/>
    <w:rsid w:val="008E73F9"/>
    <w:rsid w:val="008F20FC"/>
    <w:rsid w:val="008F5FFE"/>
    <w:rsid w:val="0090265B"/>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204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E7000"/>
    <w:rsid w:val="009F275E"/>
    <w:rsid w:val="00A0217E"/>
    <w:rsid w:val="00A047EE"/>
    <w:rsid w:val="00A0660D"/>
    <w:rsid w:val="00A07CC0"/>
    <w:rsid w:val="00A10AFA"/>
    <w:rsid w:val="00A20FE8"/>
    <w:rsid w:val="00A2274A"/>
    <w:rsid w:val="00A235B7"/>
    <w:rsid w:val="00A27A7A"/>
    <w:rsid w:val="00A34ABE"/>
    <w:rsid w:val="00A407EF"/>
    <w:rsid w:val="00A4697B"/>
    <w:rsid w:val="00A46B4C"/>
    <w:rsid w:val="00A5117B"/>
    <w:rsid w:val="00A52262"/>
    <w:rsid w:val="00A56D34"/>
    <w:rsid w:val="00A60074"/>
    <w:rsid w:val="00A61936"/>
    <w:rsid w:val="00A6627C"/>
    <w:rsid w:val="00A71019"/>
    <w:rsid w:val="00A7751D"/>
    <w:rsid w:val="00A81029"/>
    <w:rsid w:val="00A845F5"/>
    <w:rsid w:val="00A96489"/>
    <w:rsid w:val="00AB2425"/>
    <w:rsid w:val="00AB2BBF"/>
    <w:rsid w:val="00AB3249"/>
    <w:rsid w:val="00AB685C"/>
    <w:rsid w:val="00AB6C2D"/>
    <w:rsid w:val="00AC08F7"/>
    <w:rsid w:val="00AC3839"/>
    <w:rsid w:val="00AC7082"/>
    <w:rsid w:val="00AD4BE8"/>
    <w:rsid w:val="00AD6B0B"/>
    <w:rsid w:val="00AF228E"/>
    <w:rsid w:val="00AF2D54"/>
    <w:rsid w:val="00AF69E4"/>
    <w:rsid w:val="00B016A8"/>
    <w:rsid w:val="00B057E3"/>
    <w:rsid w:val="00B13612"/>
    <w:rsid w:val="00B14819"/>
    <w:rsid w:val="00B15E2F"/>
    <w:rsid w:val="00B17AA9"/>
    <w:rsid w:val="00B22593"/>
    <w:rsid w:val="00B40A71"/>
    <w:rsid w:val="00B44713"/>
    <w:rsid w:val="00B50615"/>
    <w:rsid w:val="00B51B95"/>
    <w:rsid w:val="00B54DB9"/>
    <w:rsid w:val="00B56103"/>
    <w:rsid w:val="00B64929"/>
    <w:rsid w:val="00B736DF"/>
    <w:rsid w:val="00B743D6"/>
    <w:rsid w:val="00B74FBD"/>
    <w:rsid w:val="00B75B58"/>
    <w:rsid w:val="00B769EA"/>
    <w:rsid w:val="00B77F46"/>
    <w:rsid w:val="00B806A8"/>
    <w:rsid w:val="00B82586"/>
    <w:rsid w:val="00B829A3"/>
    <w:rsid w:val="00B86DB1"/>
    <w:rsid w:val="00B87869"/>
    <w:rsid w:val="00B9639B"/>
    <w:rsid w:val="00BA1DB6"/>
    <w:rsid w:val="00BA4849"/>
    <w:rsid w:val="00BA4AF1"/>
    <w:rsid w:val="00BB0F2B"/>
    <w:rsid w:val="00BB6284"/>
    <w:rsid w:val="00BC1E40"/>
    <w:rsid w:val="00BD19EE"/>
    <w:rsid w:val="00BE325E"/>
    <w:rsid w:val="00BE4FF3"/>
    <w:rsid w:val="00BF50F7"/>
    <w:rsid w:val="00BF53B1"/>
    <w:rsid w:val="00C02F29"/>
    <w:rsid w:val="00C16AD1"/>
    <w:rsid w:val="00C17718"/>
    <w:rsid w:val="00C20AFE"/>
    <w:rsid w:val="00C22A25"/>
    <w:rsid w:val="00C23529"/>
    <w:rsid w:val="00C26BB2"/>
    <w:rsid w:val="00C35671"/>
    <w:rsid w:val="00C35B77"/>
    <w:rsid w:val="00C36767"/>
    <w:rsid w:val="00C376EB"/>
    <w:rsid w:val="00C46A92"/>
    <w:rsid w:val="00C46EC1"/>
    <w:rsid w:val="00C523DF"/>
    <w:rsid w:val="00C52796"/>
    <w:rsid w:val="00C53E2C"/>
    <w:rsid w:val="00C550C8"/>
    <w:rsid w:val="00C55824"/>
    <w:rsid w:val="00C56B61"/>
    <w:rsid w:val="00C5772E"/>
    <w:rsid w:val="00C606C3"/>
    <w:rsid w:val="00C620F4"/>
    <w:rsid w:val="00C72848"/>
    <w:rsid w:val="00C76464"/>
    <w:rsid w:val="00C7736C"/>
    <w:rsid w:val="00C82D87"/>
    <w:rsid w:val="00C8712A"/>
    <w:rsid w:val="00C902C8"/>
    <w:rsid w:val="00C919D1"/>
    <w:rsid w:val="00C963D3"/>
    <w:rsid w:val="00CA6B35"/>
    <w:rsid w:val="00CA76DF"/>
    <w:rsid w:val="00CB1983"/>
    <w:rsid w:val="00CB2CBB"/>
    <w:rsid w:val="00CB7CAC"/>
    <w:rsid w:val="00CC4BED"/>
    <w:rsid w:val="00CC5335"/>
    <w:rsid w:val="00CC5BA4"/>
    <w:rsid w:val="00CD37F1"/>
    <w:rsid w:val="00CD4998"/>
    <w:rsid w:val="00CE1035"/>
    <w:rsid w:val="00CE5535"/>
    <w:rsid w:val="00CE62E7"/>
    <w:rsid w:val="00CE6E50"/>
    <w:rsid w:val="00CF2819"/>
    <w:rsid w:val="00CF4F9D"/>
    <w:rsid w:val="00CF70DC"/>
    <w:rsid w:val="00D008AF"/>
    <w:rsid w:val="00D048D5"/>
    <w:rsid w:val="00D130C3"/>
    <w:rsid w:val="00D148DC"/>
    <w:rsid w:val="00D17FDC"/>
    <w:rsid w:val="00D21D8C"/>
    <w:rsid w:val="00D2284C"/>
    <w:rsid w:val="00D52412"/>
    <w:rsid w:val="00D524B1"/>
    <w:rsid w:val="00D5259E"/>
    <w:rsid w:val="00D53719"/>
    <w:rsid w:val="00D61985"/>
    <w:rsid w:val="00D63EFD"/>
    <w:rsid w:val="00D657A7"/>
    <w:rsid w:val="00D7001E"/>
    <w:rsid w:val="00D820F6"/>
    <w:rsid w:val="00D84752"/>
    <w:rsid w:val="00D86B3B"/>
    <w:rsid w:val="00D8748A"/>
    <w:rsid w:val="00D93196"/>
    <w:rsid w:val="00DA0DC0"/>
    <w:rsid w:val="00DA1DCA"/>
    <w:rsid w:val="00DA41CD"/>
    <w:rsid w:val="00DA4487"/>
    <w:rsid w:val="00DA786B"/>
    <w:rsid w:val="00DB1A76"/>
    <w:rsid w:val="00DB243C"/>
    <w:rsid w:val="00DB2479"/>
    <w:rsid w:val="00DB482A"/>
    <w:rsid w:val="00DB50FB"/>
    <w:rsid w:val="00DB56F2"/>
    <w:rsid w:val="00DB57F4"/>
    <w:rsid w:val="00DB6EF5"/>
    <w:rsid w:val="00DB7C51"/>
    <w:rsid w:val="00DC295F"/>
    <w:rsid w:val="00DC3089"/>
    <w:rsid w:val="00DC37BB"/>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5547"/>
    <w:rsid w:val="00E6302B"/>
    <w:rsid w:val="00E6452F"/>
    <w:rsid w:val="00E64F45"/>
    <w:rsid w:val="00E6742D"/>
    <w:rsid w:val="00E704C9"/>
    <w:rsid w:val="00E71CB0"/>
    <w:rsid w:val="00E77C3D"/>
    <w:rsid w:val="00E82CEE"/>
    <w:rsid w:val="00E87B1B"/>
    <w:rsid w:val="00E90991"/>
    <w:rsid w:val="00E909F0"/>
    <w:rsid w:val="00E90D47"/>
    <w:rsid w:val="00E93993"/>
    <w:rsid w:val="00E9597C"/>
    <w:rsid w:val="00E95B23"/>
    <w:rsid w:val="00EA0913"/>
    <w:rsid w:val="00EA37D9"/>
    <w:rsid w:val="00EA5B00"/>
    <w:rsid w:val="00EB146B"/>
    <w:rsid w:val="00EB45AC"/>
    <w:rsid w:val="00EB7171"/>
    <w:rsid w:val="00EC441F"/>
    <w:rsid w:val="00EC4755"/>
    <w:rsid w:val="00ED0BC4"/>
    <w:rsid w:val="00ED447D"/>
    <w:rsid w:val="00EE32C8"/>
    <w:rsid w:val="00EE4971"/>
    <w:rsid w:val="00EE6CB0"/>
    <w:rsid w:val="00EF090E"/>
    <w:rsid w:val="00EF5572"/>
    <w:rsid w:val="00EF6A4B"/>
    <w:rsid w:val="00F033DA"/>
    <w:rsid w:val="00F04FF1"/>
    <w:rsid w:val="00F07A01"/>
    <w:rsid w:val="00F11056"/>
    <w:rsid w:val="00F13691"/>
    <w:rsid w:val="00F13FB1"/>
    <w:rsid w:val="00F2585D"/>
    <w:rsid w:val="00F27CD8"/>
    <w:rsid w:val="00F30351"/>
    <w:rsid w:val="00F3323E"/>
    <w:rsid w:val="00F341F4"/>
    <w:rsid w:val="00F34F9D"/>
    <w:rsid w:val="00F3574E"/>
    <w:rsid w:val="00F35CCE"/>
    <w:rsid w:val="00F5524B"/>
    <w:rsid w:val="00F56AB9"/>
    <w:rsid w:val="00F60538"/>
    <w:rsid w:val="00F61DD2"/>
    <w:rsid w:val="00F66AFF"/>
    <w:rsid w:val="00F670C0"/>
    <w:rsid w:val="00F71433"/>
    <w:rsid w:val="00F86D45"/>
    <w:rsid w:val="00F87BE3"/>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2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ourant.com/2016-guides/the-things-a-security-taker-needs-to-know-about-receivership-under-bvi-law-(updated).pdf" TargetMode="External"/><Relationship Id="rId2" Type="http://schemas.openxmlformats.org/officeDocument/2006/relationships/hyperlink" Target="https://www.collascrill.com/knowledge-documents/guides/lending-to-bvi-companies-taking-security/" TargetMode="External"/><Relationship Id="rId1" Type="http://schemas.openxmlformats.org/officeDocument/2006/relationships/hyperlink" Target="https://www.mourant.com/2016-guides/recognition-and-enforcement-of-foreign-judgments-and-arbitral-awards-(updated).pdf" TargetMode="External"/><Relationship Id="rId4" Type="http://schemas.openxmlformats.org/officeDocument/2006/relationships/hyperlink" Target="https://www.mourant.com/2016-guides/the-things-a-security-taker-needs-to-know-about-receivership-under-bvi-law-(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9319</TotalTime>
  <Pages>15</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Phillip Pierson</cp:lastModifiedBy>
  <cp:revision>39</cp:revision>
  <cp:lastPrinted>2019-08-27T07:42:00Z</cp:lastPrinted>
  <dcterms:created xsi:type="dcterms:W3CDTF">2022-05-09T15:58:00Z</dcterms:created>
  <dcterms:modified xsi:type="dcterms:W3CDTF">2022-07-31T20:14:00Z</dcterms:modified>
</cp:coreProperties>
</file>