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F966F2" w:rsidRDefault="007B0809" w:rsidP="004F49B5">
      <w:pPr>
        <w:pStyle w:val="AODocTxt"/>
        <w:numPr>
          <w:ilvl w:val="0"/>
          <w:numId w:val="2"/>
        </w:numPr>
        <w:spacing w:before="0" w:line="240" w:lineRule="auto"/>
        <w:ind w:left="426"/>
        <w:rPr>
          <w:rFonts w:ascii="Arial" w:hAnsi="Arial" w:cs="Arial"/>
          <w:highlight w:val="yellow"/>
        </w:rPr>
      </w:pPr>
      <w:r w:rsidRPr="00F966F2">
        <w:rPr>
          <w:rFonts w:ascii="Arial" w:hAnsi="Arial" w:cs="Arial"/>
          <w:highlight w:val="yellow"/>
        </w:rPr>
        <w:t xml:space="preserve">A local advocacy </w:t>
      </w:r>
      <w:proofErr w:type="gramStart"/>
      <w:r w:rsidRPr="00F966F2">
        <w:rPr>
          <w:rFonts w:ascii="Arial" w:hAnsi="Arial" w:cs="Arial"/>
          <w:highlight w:val="yellow"/>
        </w:rPr>
        <w:t>group</w:t>
      </w:r>
      <w:proofErr w:type="gramEnd"/>
      <w:r w:rsidRPr="00F966F2">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Pr="00F966F2" w:rsidRDefault="007B0809" w:rsidP="004F49B5">
      <w:pPr>
        <w:pStyle w:val="AODocTxt"/>
        <w:numPr>
          <w:ilvl w:val="0"/>
          <w:numId w:val="2"/>
        </w:numPr>
        <w:spacing w:before="0" w:line="240" w:lineRule="auto"/>
        <w:ind w:left="426"/>
        <w:rPr>
          <w:rFonts w:ascii="Arial" w:hAnsi="Arial" w:cs="Arial"/>
        </w:rPr>
      </w:pPr>
      <w:proofErr w:type="gramStart"/>
      <w:r w:rsidRPr="00F966F2">
        <w:rPr>
          <w:rFonts w:ascii="Arial" w:hAnsi="Arial" w:cs="Arial"/>
        </w:rPr>
        <w:t>All of</w:t>
      </w:r>
      <w:proofErr w:type="gramEnd"/>
      <w:r w:rsidRPr="00F966F2">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F966F2" w:rsidRDefault="007B0809" w:rsidP="004F49B5">
      <w:pPr>
        <w:pStyle w:val="AODocTxt"/>
        <w:numPr>
          <w:ilvl w:val="0"/>
          <w:numId w:val="3"/>
        </w:numPr>
        <w:spacing w:before="0" w:line="240" w:lineRule="auto"/>
        <w:ind w:left="426"/>
        <w:rPr>
          <w:rFonts w:ascii="Arial" w:hAnsi="Arial" w:cs="Arial"/>
          <w:highlight w:val="yellow"/>
        </w:rPr>
      </w:pPr>
      <w:r w:rsidRPr="00F966F2">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Pr="00F966F2" w:rsidRDefault="007B0809" w:rsidP="004F49B5">
      <w:pPr>
        <w:pStyle w:val="AODocTxt"/>
        <w:numPr>
          <w:ilvl w:val="0"/>
          <w:numId w:val="4"/>
        </w:numPr>
        <w:spacing w:before="0" w:line="240" w:lineRule="auto"/>
        <w:ind w:left="426"/>
        <w:rPr>
          <w:rFonts w:ascii="Arial" w:hAnsi="Arial" w:cs="Arial"/>
          <w:highlight w:val="yellow"/>
        </w:rPr>
      </w:pPr>
      <w:r w:rsidRPr="00F966F2">
        <w:rPr>
          <w:rFonts w:ascii="Arial" w:hAnsi="Arial" w:cs="Arial"/>
          <w:highlight w:val="yellow"/>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F220A5" w:rsidRDefault="007B0809" w:rsidP="004F49B5">
      <w:pPr>
        <w:pStyle w:val="AODocTxt"/>
        <w:numPr>
          <w:ilvl w:val="0"/>
          <w:numId w:val="5"/>
        </w:numPr>
        <w:spacing w:before="0" w:line="240" w:lineRule="auto"/>
        <w:ind w:left="426"/>
        <w:rPr>
          <w:rFonts w:ascii="Arial" w:hAnsi="Arial" w:cs="Arial"/>
          <w:highlight w:val="yellow"/>
        </w:rPr>
      </w:pPr>
      <w:r w:rsidRPr="00F220A5">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F220A5" w:rsidRDefault="007B0809" w:rsidP="004F49B5">
      <w:pPr>
        <w:pStyle w:val="AODocTxt"/>
        <w:numPr>
          <w:ilvl w:val="0"/>
          <w:numId w:val="6"/>
        </w:numPr>
        <w:spacing w:before="0" w:line="240" w:lineRule="auto"/>
        <w:ind w:left="426"/>
        <w:rPr>
          <w:rFonts w:ascii="Arial" w:hAnsi="Arial" w:cs="Arial"/>
          <w:highlight w:val="yellow"/>
        </w:rPr>
      </w:pPr>
      <w:r w:rsidRPr="00F220A5">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3F5675" w:rsidRDefault="007B0809" w:rsidP="004F49B5">
      <w:pPr>
        <w:pStyle w:val="AODocTxt"/>
        <w:numPr>
          <w:ilvl w:val="0"/>
          <w:numId w:val="7"/>
        </w:numPr>
        <w:spacing w:before="0" w:line="240" w:lineRule="auto"/>
        <w:ind w:left="426"/>
        <w:rPr>
          <w:rFonts w:ascii="Arial" w:hAnsi="Arial" w:cs="Arial"/>
          <w:highlight w:val="yellow"/>
        </w:rPr>
      </w:pPr>
      <w:r w:rsidRPr="003F5675">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3F5675" w:rsidRDefault="007B0809" w:rsidP="004F49B5">
      <w:pPr>
        <w:pStyle w:val="AODocTxt"/>
        <w:numPr>
          <w:ilvl w:val="0"/>
          <w:numId w:val="8"/>
        </w:numPr>
        <w:spacing w:before="0" w:line="240" w:lineRule="auto"/>
        <w:ind w:left="426"/>
        <w:rPr>
          <w:rFonts w:ascii="Arial" w:hAnsi="Arial" w:cs="Arial"/>
          <w:highlight w:val="yellow"/>
        </w:rPr>
      </w:pPr>
      <w:r w:rsidRPr="003F5675">
        <w:rPr>
          <w:rFonts w:ascii="Arial" w:hAnsi="Arial" w:cs="Arial"/>
          <w:highlight w:val="yellow"/>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Pr="00125A17" w:rsidRDefault="007B0809" w:rsidP="004F49B5">
      <w:pPr>
        <w:pStyle w:val="AODocTxt"/>
        <w:numPr>
          <w:ilvl w:val="0"/>
          <w:numId w:val="9"/>
        </w:numPr>
        <w:spacing w:before="0" w:line="240" w:lineRule="auto"/>
        <w:ind w:left="426"/>
        <w:rPr>
          <w:rFonts w:ascii="Arial" w:hAnsi="Arial" w:cs="Arial"/>
          <w:highlight w:val="yellow"/>
        </w:rPr>
      </w:pPr>
      <w:r w:rsidRPr="00125A17">
        <w:rPr>
          <w:rFonts w:ascii="Arial" w:hAnsi="Arial" w:cs="Arial"/>
          <w:highlight w:val="yellow"/>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1B0AE1" w:rsidRDefault="007B0809" w:rsidP="004F49B5">
      <w:pPr>
        <w:pStyle w:val="AODocTxt"/>
        <w:numPr>
          <w:ilvl w:val="0"/>
          <w:numId w:val="10"/>
        </w:numPr>
        <w:spacing w:before="0" w:line="240" w:lineRule="auto"/>
        <w:ind w:left="426"/>
        <w:rPr>
          <w:rFonts w:ascii="Arial" w:hAnsi="Arial" w:cs="Arial"/>
          <w:highlight w:val="yellow"/>
        </w:rPr>
      </w:pPr>
      <w:r w:rsidRPr="001B0AE1">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D85623" w:rsidRDefault="007B0809" w:rsidP="004F49B5">
      <w:pPr>
        <w:pStyle w:val="AODocTxt"/>
        <w:numPr>
          <w:ilvl w:val="0"/>
          <w:numId w:val="11"/>
        </w:numPr>
        <w:spacing w:before="0" w:line="240" w:lineRule="auto"/>
        <w:ind w:left="426"/>
        <w:rPr>
          <w:rFonts w:ascii="Arial" w:hAnsi="Arial" w:cs="Arial"/>
          <w:highlight w:val="yellow"/>
        </w:rPr>
      </w:pPr>
      <w:proofErr w:type="gramStart"/>
      <w:r w:rsidRPr="00D85623">
        <w:rPr>
          <w:rFonts w:ascii="Arial" w:hAnsi="Arial" w:cs="Arial"/>
          <w:highlight w:val="yellow"/>
        </w:rPr>
        <w:t>All of</w:t>
      </w:r>
      <w:proofErr w:type="gramEnd"/>
      <w:r w:rsidRPr="00D85623">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7007E808" w14:textId="77777777" w:rsidR="00D85623"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3FF73AB4" w14:textId="55309859" w:rsidR="00D85623" w:rsidRDefault="00D8562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on the commencement: voluntary petition (“VP”) the debtor may file the petition, whereas in the involuntary petition (“IP”), creditors usually file the </w:t>
      </w:r>
      <w:proofErr w:type="gramStart"/>
      <w:r>
        <w:rPr>
          <w:rFonts w:ascii="Arial" w:hAnsi="Arial" w:cs="Arial"/>
          <w:color w:val="7B7B7B" w:themeColor="accent3" w:themeShade="BF"/>
          <w:sz w:val="22"/>
          <w:szCs w:val="22"/>
          <w:lang w:val="en-GB"/>
        </w:rPr>
        <w:t>petition;</w:t>
      </w:r>
      <w:proofErr w:type="gramEnd"/>
    </w:p>
    <w:p w14:paraId="4D9284CC" w14:textId="77777777" w:rsidR="00D85623" w:rsidRDefault="00D8562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coverage under the Bankruptcy Code, creditors may commence IP against eligible creditors under chapter 7 or chapter 11 and it cannot be commenced under any other chapters or against a farmer, family farmer or non-for profit </w:t>
      </w:r>
      <w:proofErr w:type="gramStart"/>
      <w:r>
        <w:rPr>
          <w:rFonts w:ascii="Arial" w:hAnsi="Arial" w:cs="Arial"/>
          <w:color w:val="7B7B7B" w:themeColor="accent3" w:themeShade="BF"/>
          <w:sz w:val="22"/>
          <w:szCs w:val="22"/>
          <w:lang w:val="en-GB"/>
        </w:rPr>
        <w:t>corporation;</w:t>
      </w:r>
      <w:proofErr w:type="gramEnd"/>
    </w:p>
    <w:p w14:paraId="720317FD" w14:textId="77777777" w:rsidR="00D85623" w:rsidRDefault="00D8562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allegation of solvency: VP does not require allegation of solvency, while in IP the form requires the petitioning creditors to allege either that the debtor is generally not paying its debts as they become due, unless they are the subject of a bona fide disputes as to liability or amount of that “within 120 days before the filing of the petition, a custodian, other than a trustee, receiver, or an agent appointed or authorized to take charge of less than substantially all of the property of the debtor for the purpose of enforcing a lien against such property, was appointed or took possession;</w:t>
      </w:r>
    </w:p>
    <w:p w14:paraId="405B557D" w14:textId="77777777" w:rsidR="00D85623" w:rsidRDefault="00D8562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foreign representative: a foreign representative of an estate in a </w:t>
      </w:r>
      <w:proofErr w:type="spellStart"/>
      <w:r>
        <w:rPr>
          <w:rFonts w:ascii="Arial" w:hAnsi="Arial" w:cs="Arial"/>
          <w:color w:val="7B7B7B" w:themeColor="accent3" w:themeShade="BF"/>
          <w:sz w:val="22"/>
          <w:szCs w:val="22"/>
          <w:lang w:val="en-GB"/>
        </w:rPr>
        <w:t>foreing</w:t>
      </w:r>
      <w:proofErr w:type="spellEnd"/>
      <w:r>
        <w:rPr>
          <w:rFonts w:ascii="Arial" w:hAnsi="Arial" w:cs="Arial"/>
          <w:color w:val="7B7B7B" w:themeColor="accent3" w:themeShade="BF"/>
          <w:sz w:val="22"/>
          <w:szCs w:val="22"/>
          <w:lang w:val="en-GB"/>
        </w:rPr>
        <w:t xml:space="preserve"> proceeding may commence an IP pursuant to chapter 7 or 11 against the debtor even if the foreign proceeding has not been the subject of a petition for recognition under chapter </w:t>
      </w:r>
      <w:proofErr w:type="gramStart"/>
      <w:r>
        <w:rPr>
          <w:rFonts w:ascii="Arial" w:hAnsi="Arial" w:cs="Arial"/>
          <w:color w:val="7B7B7B" w:themeColor="accent3" w:themeShade="BF"/>
          <w:sz w:val="22"/>
          <w:szCs w:val="22"/>
          <w:lang w:val="en-GB"/>
        </w:rPr>
        <w:t>15;</w:t>
      </w:r>
      <w:proofErr w:type="gramEnd"/>
    </w:p>
    <w:p w14:paraId="164E4725" w14:textId="35077B46" w:rsidR="00E12EC4" w:rsidRPr="00FF5098" w:rsidRDefault="00D8562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 debtor in possession: in VP, the debtor is generally in possession, where in IP, the debtor may not be in possession if the purpose of the IP is to divest management of control over the business (the IP will be accompanied by a motion for the appointment of an interim trustee on an expedited basis</w:t>
      </w:r>
      <w:r w:rsidR="00E12EC4" w:rsidRPr="00FF5098">
        <w:rPr>
          <w:rFonts w:ascii="Arial" w:hAnsi="Arial" w:cs="Arial"/>
          <w:color w:val="7B7B7B" w:themeColor="accent3" w:themeShade="BF"/>
          <w:sz w:val="22"/>
          <w:szCs w:val="22"/>
          <w:lang w:val="en-GB"/>
        </w:rPr>
        <w:t>]</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56B19C2B" w14:textId="77777777" w:rsidR="00D85623"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B1FAA5" w14:textId="77777777" w:rsidR="00D85623" w:rsidRDefault="00D8562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contempt of court; and</w:t>
      </w:r>
    </w:p>
    <w:p w14:paraId="33FDE7BF" w14:textId="450518AB" w:rsidR="00E12EC4" w:rsidRPr="00FF5098" w:rsidRDefault="00D8562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the relevant act could be declared void or voidable</w:t>
      </w:r>
      <w:r w:rsidR="00E12EC4" w:rsidRPr="00FF5098">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9B4C71F" w14:textId="77777777" w:rsidR="001F2C94"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6F6F7AF" w14:textId="77777777" w:rsidR="001F2C94" w:rsidRDefault="001F2C9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101, Chapter 1, Title 11 Bankruptcy Code, claim means (a) right to payment, whether or not such right is reduced to judgment, liquidated, unliquidated, fixed, contingent, matured, unmatured, disputed, undisputed, legal, equitable, secured, or unsecured, or (b) right to an equitable remedy for breach of performance if such breach gives rise to a right to payment, whether or not such right to an equitable remedy is reduced to judgment, fixed, contingent, matured, unmatured, disputed, undisputed, secured or unsecured. </w:t>
      </w:r>
    </w:p>
    <w:p w14:paraId="68865FA5" w14:textId="77777777" w:rsidR="001F2C94" w:rsidRDefault="001F2C94" w:rsidP="00E12EC4">
      <w:pPr>
        <w:jc w:val="both"/>
        <w:rPr>
          <w:rFonts w:ascii="Arial" w:hAnsi="Arial" w:cs="Arial"/>
          <w:color w:val="7B7B7B" w:themeColor="accent3" w:themeShade="BF"/>
          <w:sz w:val="22"/>
          <w:szCs w:val="22"/>
          <w:lang w:val="en-GB"/>
        </w:rPr>
      </w:pPr>
    </w:p>
    <w:p w14:paraId="6BB9EEEB" w14:textId="77777777" w:rsidR="001F2C94" w:rsidRDefault="001F2C9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1124, Chapter 11, Title 11 Bankruptcy Code, impairment of claims or interests, a class of claims or interest is impaired under a plan unless, with respect to each claim or interest of such class, the plan:</w:t>
      </w:r>
    </w:p>
    <w:p w14:paraId="265C94A8" w14:textId="77777777" w:rsidR="001F2C94" w:rsidRDefault="001F2C9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leaves unaltered the legal, equitable, and contractual rights to which such claim or interest entitles the holder of such claim or interest; or </w:t>
      </w:r>
    </w:p>
    <w:p w14:paraId="454BC0D3" w14:textId="0CFECF1F" w:rsidR="001F2C94" w:rsidRDefault="001F2C9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notwithstanding any contractual provision or applicable law that entitles the holder of such claim or interest to demand or receive accelerated payment of such claim or interest after the occurrence of a default – </w:t>
      </w:r>
    </w:p>
    <w:p w14:paraId="40B7DF10" w14:textId="77777777" w:rsidR="001F2C94" w:rsidRDefault="001F2C94" w:rsidP="001F2C94">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cures any such default that occurred before or after the commencement of the case or those which does not require to be </w:t>
      </w:r>
      <w:proofErr w:type="gramStart"/>
      <w:r>
        <w:rPr>
          <w:rFonts w:ascii="Arial" w:hAnsi="Arial" w:cs="Arial"/>
          <w:color w:val="7B7B7B" w:themeColor="accent3" w:themeShade="BF"/>
          <w:sz w:val="22"/>
          <w:szCs w:val="22"/>
          <w:lang w:val="en-GB"/>
        </w:rPr>
        <w:t>cured;</w:t>
      </w:r>
      <w:proofErr w:type="gramEnd"/>
    </w:p>
    <w:p w14:paraId="55865F4E" w14:textId="77777777" w:rsidR="001F2C94" w:rsidRDefault="001F2C94" w:rsidP="001F2C94">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compensates the holder of such claim or interest for any damages incurred as a result of any reasonable reliance by such holder on such contractual provision or such applicable </w:t>
      </w:r>
      <w:proofErr w:type="gramStart"/>
      <w:r>
        <w:rPr>
          <w:rFonts w:ascii="Arial" w:hAnsi="Arial" w:cs="Arial"/>
          <w:color w:val="7B7B7B" w:themeColor="accent3" w:themeShade="BF"/>
          <w:sz w:val="22"/>
          <w:szCs w:val="22"/>
          <w:lang w:val="en-GB"/>
        </w:rPr>
        <w:t>law;</w:t>
      </w:r>
      <w:proofErr w:type="gramEnd"/>
    </w:p>
    <w:p w14:paraId="2C86352C" w14:textId="77777777" w:rsidR="001F2C94" w:rsidRDefault="001F2C94" w:rsidP="001F2C94">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reinstates the maturity of such claim or interest as such maturity existed before such </w:t>
      </w:r>
      <w:proofErr w:type="gramStart"/>
      <w:r>
        <w:rPr>
          <w:rFonts w:ascii="Arial" w:hAnsi="Arial" w:cs="Arial"/>
          <w:color w:val="7B7B7B" w:themeColor="accent3" w:themeShade="BF"/>
          <w:sz w:val="22"/>
          <w:szCs w:val="22"/>
          <w:lang w:val="en-GB"/>
        </w:rPr>
        <w:t>default;</w:t>
      </w:r>
      <w:proofErr w:type="gramEnd"/>
    </w:p>
    <w:p w14:paraId="68645A1A" w14:textId="77777777" w:rsidR="001F2C94" w:rsidRDefault="001F2C94" w:rsidP="001F2C94">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if such claim or such interest arises from any failure to perform a nonmonetary obligation, other than a default arising from failure to operate a non-residential real property lease, compensates the holder of such claim or such interest (other than the debtor or an insider) for any actual pecuniary loss incurred by such holder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such failure; and</w:t>
      </w:r>
    </w:p>
    <w:p w14:paraId="088A5AAA" w14:textId="77777777" w:rsidR="001F2C94" w:rsidRDefault="001F2C94" w:rsidP="001F2C94">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 does not otherwise alter the legal, equitable, or contractual rights to which such claim or interest entitles the holder of such claim or </w:t>
      </w:r>
      <w:proofErr w:type="gramStart"/>
      <w:r>
        <w:rPr>
          <w:rFonts w:ascii="Arial" w:hAnsi="Arial" w:cs="Arial"/>
          <w:color w:val="7B7B7B" w:themeColor="accent3" w:themeShade="BF"/>
          <w:sz w:val="22"/>
          <w:szCs w:val="22"/>
          <w:lang w:val="en-GB"/>
        </w:rPr>
        <w:t>interest .</w:t>
      </w:r>
      <w:proofErr w:type="gramEnd"/>
      <w:r>
        <w:rPr>
          <w:rFonts w:ascii="Arial" w:hAnsi="Arial" w:cs="Arial"/>
          <w:color w:val="7B7B7B" w:themeColor="accent3" w:themeShade="BF"/>
          <w:sz w:val="22"/>
          <w:szCs w:val="22"/>
          <w:lang w:val="en-GB"/>
        </w:rPr>
        <w:t xml:space="preserve"> </w:t>
      </w:r>
    </w:p>
    <w:p w14:paraId="22306CE9" w14:textId="77777777" w:rsidR="001F2C94" w:rsidRDefault="001F2C94" w:rsidP="001F2C94">
      <w:pPr>
        <w:jc w:val="both"/>
        <w:rPr>
          <w:rFonts w:ascii="Arial" w:hAnsi="Arial" w:cs="Arial"/>
          <w:color w:val="7B7B7B" w:themeColor="accent3" w:themeShade="BF"/>
          <w:sz w:val="22"/>
          <w:szCs w:val="22"/>
          <w:lang w:val="en-GB"/>
        </w:rPr>
      </w:pPr>
    </w:p>
    <w:p w14:paraId="5B917070" w14:textId="77777777" w:rsidR="001F2C94" w:rsidRDefault="001F2C94" w:rsidP="001F2C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holder of an impaired claim may not be entitled to </w:t>
      </w:r>
      <w:proofErr w:type="gramStart"/>
      <w:r>
        <w:rPr>
          <w:rFonts w:ascii="Arial" w:hAnsi="Arial" w:cs="Arial"/>
          <w:color w:val="7B7B7B" w:themeColor="accent3" w:themeShade="BF"/>
          <w:sz w:val="22"/>
          <w:szCs w:val="22"/>
          <w:lang w:val="en-GB"/>
        </w:rPr>
        <w:t>vote</w:t>
      </w:r>
      <w:proofErr w:type="gramEnd"/>
      <w:r>
        <w:rPr>
          <w:rFonts w:ascii="Arial" w:hAnsi="Arial" w:cs="Arial"/>
          <w:color w:val="7B7B7B" w:themeColor="accent3" w:themeShade="BF"/>
          <w:sz w:val="22"/>
          <w:szCs w:val="22"/>
          <w:lang w:val="en-GB"/>
        </w:rPr>
        <w:t xml:space="preserve"> or vote is disregarded when:</w:t>
      </w:r>
    </w:p>
    <w:p w14:paraId="0299ED79" w14:textId="4D55D872" w:rsidR="001F2C94" w:rsidRDefault="001F2C94" w:rsidP="001F2C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when the plan reverses contractual acceleration by curing monetary default and compensating the holder for any damages</w:t>
      </w:r>
    </w:p>
    <w:p w14:paraId="2B52236E" w14:textId="77777777" w:rsidR="001F2C94" w:rsidRDefault="001F2C94" w:rsidP="001F2C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the holder is an insider.</w:t>
      </w:r>
    </w:p>
    <w:p w14:paraId="1436011B" w14:textId="77777777" w:rsidR="001F2C94" w:rsidRDefault="001F2C94" w:rsidP="001F2C94">
      <w:pPr>
        <w:jc w:val="both"/>
        <w:rPr>
          <w:rFonts w:ascii="Arial" w:hAnsi="Arial" w:cs="Arial"/>
          <w:color w:val="7B7B7B" w:themeColor="accent3" w:themeShade="BF"/>
          <w:sz w:val="22"/>
          <w:szCs w:val="22"/>
          <w:lang w:val="en-GB"/>
        </w:rPr>
      </w:pPr>
    </w:p>
    <w:p w14:paraId="691BC76D" w14:textId="5D001405" w:rsidR="001F2C94" w:rsidRPr="001F2C94" w:rsidRDefault="001F2C94" w:rsidP="001F2C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unimpaired class or those mentioned above is deemed to accept the plan</w:t>
      </w:r>
      <w:proofErr w:type="gramStart"/>
      <w:r>
        <w:rPr>
          <w:rFonts w:ascii="Arial" w:hAnsi="Arial" w:cs="Arial"/>
          <w:color w:val="7B7B7B" w:themeColor="accent3" w:themeShade="BF"/>
          <w:sz w:val="22"/>
          <w:szCs w:val="22"/>
          <w:lang w:val="en-GB"/>
        </w:rPr>
        <w:t xml:space="preserve">. </w:t>
      </w:r>
      <w:r w:rsidR="00E12EC4" w:rsidRPr="00FF5098">
        <w:rPr>
          <w:rFonts w:ascii="Arial" w:hAnsi="Arial" w:cs="Arial"/>
          <w:color w:val="7B7B7B" w:themeColor="accent3" w:themeShade="BF"/>
          <w:sz w:val="22"/>
          <w:szCs w:val="22"/>
          <w:lang w:val="en-GB"/>
        </w:rPr>
        <w:t>]</w:t>
      </w:r>
      <w:proofErr w:type="gramEnd"/>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13919C7" w14:textId="77777777" w:rsidR="00AD5F6C"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[Type your answer here</w:t>
      </w:r>
    </w:p>
    <w:p w14:paraId="6F2B0B53" w14:textId="17445D40" w:rsidR="00E12EC4" w:rsidRDefault="00AD5F6C"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r w:rsidR="00E12EC4" w:rsidRPr="00E12EC4">
        <w:rPr>
          <w:rFonts w:ascii="Arial" w:hAnsi="Arial" w:cs="Arial"/>
          <w:color w:val="7B7B7B" w:themeColor="accent3" w:themeShade="BF"/>
          <w:sz w:val="22"/>
          <w:szCs w:val="22"/>
          <w:lang w:val="en-GB"/>
        </w:rPr>
        <w: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lastRenderedPageBreak/>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151C9369" w14:textId="77777777" w:rsidR="00AD5F6C"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67C8555" w14:textId="3D5ABD59" w:rsidR="005B2A9B" w:rsidRPr="00FF5098" w:rsidRDefault="00AD5F6C"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Constructive fraudulent conveyances</w:t>
      </w:r>
      <w:r w:rsidR="005B2A9B" w:rsidRPr="00FF5098">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00A13FA3" w14:textId="77777777" w:rsidR="00AD5F6C"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8F89BF6" w14:textId="6453D283" w:rsidR="005B2A9B" w:rsidRPr="00FF5098" w:rsidRDefault="00AD5F6C"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conveyances</w:t>
      </w:r>
      <w:r w:rsidR="005B2A9B"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19E4D7F4" w14:textId="77777777" w:rsidR="00E37681"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3F744442" w14:textId="197A509D"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the Stern v Marshall case, there were distinctions between “core” and non-core” matters and bankruptcy judges were allowed to hear and determine only core proceedings. On matters of “non-core” proceedings, the bankruptcy court may hear the “non-core” proceedings if they are sufficiently related to a bankruptcy </w:t>
      </w:r>
      <w:proofErr w:type="gramStart"/>
      <w:r>
        <w:rPr>
          <w:rFonts w:ascii="Arial" w:hAnsi="Arial" w:cs="Arial"/>
          <w:color w:val="7B7B7B" w:themeColor="accent3" w:themeShade="BF"/>
          <w:sz w:val="22"/>
          <w:szCs w:val="22"/>
          <w:lang w:val="en-GB"/>
        </w:rPr>
        <w:t>proceedings</w:t>
      </w:r>
      <w:proofErr w:type="gramEnd"/>
      <w:r>
        <w:rPr>
          <w:rFonts w:ascii="Arial" w:hAnsi="Arial" w:cs="Arial"/>
          <w:color w:val="7B7B7B" w:themeColor="accent3" w:themeShade="BF"/>
          <w:sz w:val="22"/>
          <w:szCs w:val="22"/>
          <w:lang w:val="en-GB"/>
        </w:rPr>
        <w:t xml:space="preserve">. If a matter is a non-core and not within “related to” jurisdiction, the proper forum for the matter will depend on whether there is another basis for federal court jurisdiction; if not, the matter will have to be resolved in state court. </w:t>
      </w:r>
    </w:p>
    <w:p w14:paraId="04734E1D" w14:textId="56884F0E" w:rsidR="00E37681" w:rsidRDefault="00E37681" w:rsidP="005B2A9B">
      <w:pPr>
        <w:jc w:val="both"/>
        <w:rPr>
          <w:rFonts w:ascii="Arial" w:hAnsi="Arial" w:cs="Arial"/>
          <w:color w:val="7B7B7B" w:themeColor="accent3" w:themeShade="BF"/>
          <w:sz w:val="22"/>
          <w:szCs w:val="22"/>
          <w:lang w:val="en-GB"/>
        </w:rPr>
      </w:pPr>
    </w:p>
    <w:p w14:paraId="3DDA6A84" w14:textId="2A74522F" w:rsidR="005B2A9B" w:rsidRPr="00FF5098"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Stern v Marshall case 564 US 462 (2011), the US Supreme Court ruled that even in core proceedings, a bankruptcy court cannot issue final order that invade Article III jurisdiction. Under Article of the US Constitution, it empowers the courts (Supreme Court as well lower courts created by Congress) to handle cases or controversies under federal law, as well as other enumerated cases</w:t>
      </w:r>
      <w:proofErr w:type="gramStart"/>
      <w:r>
        <w:rPr>
          <w:rFonts w:ascii="Arial" w:hAnsi="Arial" w:cs="Arial"/>
          <w:color w:val="7B7B7B" w:themeColor="accent3" w:themeShade="BF"/>
          <w:sz w:val="22"/>
          <w:szCs w:val="22"/>
          <w:lang w:val="en-GB"/>
        </w:rPr>
        <w:t xml:space="preserve">. </w:t>
      </w:r>
      <w:r w:rsidR="005B2A9B" w:rsidRPr="00FF5098">
        <w:rPr>
          <w:rFonts w:ascii="Arial" w:hAnsi="Arial" w:cs="Arial"/>
          <w:color w:val="7B7B7B" w:themeColor="accent3" w:themeShade="BF"/>
          <w:sz w:val="22"/>
          <w:szCs w:val="22"/>
          <w:lang w:val="en-GB"/>
        </w:rPr>
        <w:t>]</w:t>
      </w:r>
      <w:proofErr w:type="gramEnd"/>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71AAFF5" w14:textId="5A4049FD" w:rsidR="00E37681"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F6348F9" w14:textId="4EF35F09" w:rsidR="00E37681" w:rsidRDefault="00E37681" w:rsidP="005B2A9B">
      <w:pPr>
        <w:jc w:val="both"/>
        <w:rPr>
          <w:rFonts w:ascii="Arial" w:hAnsi="Arial" w:cs="Arial"/>
          <w:color w:val="7B7B7B" w:themeColor="accent3" w:themeShade="BF"/>
          <w:sz w:val="22"/>
          <w:szCs w:val="22"/>
          <w:lang w:val="en-GB"/>
        </w:rPr>
      </w:pPr>
    </w:p>
    <w:p w14:paraId="40D18A78" w14:textId="77777777"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1519, Chapter 15 of the Bankruptcy Code provides that:</w:t>
      </w:r>
    </w:p>
    <w:p w14:paraId="6991A95E" w14:textId="5A0ED082"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from the time of filing a petition for recognition until the court rules on the petition, the court may, at the request of the foreign representative, where relief is urgently needed to protect the assets of the debtor or the interests of the creditors, grant relief of a provisional nature, including:</w:t>
      </w:r>
    </w:p>
    <w:p w14:paraId="37965603" w14:textId="58B094E9"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staying execution against the debtor’s </w:t>
      </w:r>
      <w:proofErr w:type="gramStart"/>
      <w:r>
        <w:rPr>
          <w:rFonts w:ascii="Arial" w:hAnsi="Arial" w:cs="Arial"/>
          <w:color w:val="7B7B7B" w:themeColor="accent3" w:themeShade="BF"/>
          <w:sz w:val="22"/>
          <w:szCs w:val="22"/>
          <w:lang w:val="en-GB"/>
        </w:rPr>
        <w:t>estate;</w:t>
      </w:r>
      <w:proofErr w:type="gramEnd"/>
    </w:p>
    <w:p w14:paraId="094DA316" w14:textId="61AD732B"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entrusting the administration or realization of all or part of the debtor’s assets located in the US to the foreign </w:t>
      </w:r>
      <w:proofErr w:type="gramStart"/>
      <w:r>
        <w:rPr>
          <w:rFonts w:ascii="Arial" w:hAnsi="Arial" w:cs="Arial"/>
          <w:color w:val="7B7B7B" w:themeColor="accent3" w:themeShade="BF"/>
          <w:sz w:val="22"/>
          <w:szCs w:val="22"/>
          <w:lang w:val="en-GB"/>
        </w:rPr>
        <w:t>representative</w:t>
      </w:r>
      <w:proofErr w:type="gramEnd"/>
      <w:r>
        <w:rPr>
          <w:rFonts w:ascii="Arial" w:hAnsi="Arial" w:cs="Arial"/>
          <w:color w:val="7B7B7B" w:themeColor="accent3" w:themeShade="BF"/>
          <w:sz w:val="22"/>
          <w:szCs w:val="22"/>
          <w:lang w:val="en-GB"/>
        </w:rPr>
        <w:t xml:space="preserve"> or another person authorized by the court, including an examiner, in order to protect and preserve the value of assets that, by their nature or because of other circumstance, are perishable, susceptible to devaluation or otherwise in jeopardy; and</w:t>
      </w:r>
    </w:p>
    <w:p w14:paraId="56281575" w14:textId="582F3923"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(3) any relief referred to in paragraph (3), (4) or 7 of section 1521(a).</w:t>
      </w:r>
    </w:p>
    <w:p w14:paraId="26AFC982" w14:textId="40D2593E" w:rsidR="00E37681" w:rsidRDefault="00E37681" w:rsidP="005B2A9B">
      <w:pPr>
        <w:jc w:val="both"/>
        <w:rPr>
          <w:rFonts w:ascii="Arial" w:hAnsi="Arial" w:cs="Arial"/>
          <w:color w:val="7B7B7B" w:themeColor="accent3" w:themeShade="BF"/>
          <w:sz w:val="22"/>
          <w:szCs w:val="22"/>
          <w:lang w:val="en-GB"/>
        </w:rPr>
      </w:pPr>
    </w:p>
    <w:p w14:paraId="60B67145" w14:textId="0CFD339C"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 the court may not enjoin a police or regulatory act of a government unit, including a criminal action or proceeding, under the said section.</w:t>
      </w:r>
    </w:p>
    <w:p w14:paraId="0E8E7068" w14:textId="77777777" w:rsidR="00E37681" w:rsidRDefault="00E37681" w:rsidP="005B2A9B">
      <w:pPr>
        <w:jc w:val="both"/>
        <w:rPr>
          <w:rFonts w:ascii="Arial" w:hAnsi="Arial" w:cs="Arial"/>
          <w:color w:val="7B7B7B" w:themeColor="accent3" w:themeShade="BF"/>
          <w:sz w:val="22"/>
          <w:szCs w:val="22"/>
          <w:lang w:val="en-GB"/>
        </w:rPr>
      </w:pPr>
    </w:p>
    <w:p w14:paraId="53D8C2DD" w14:textId="37DF5A0D"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1521(7) , Chapter 15 of the Bankruptcy Code provides that upon recognition of a foreign proceedings, whether main or nonmain, where necessary to effectuate the purpose of Chapter 15 and to protect the assets of the debtor or the interest of the creditors, the court may, at the request of the foreign representative, grant any appropriate relief, including granting any additional relief that may be available to a trustee, except for relief available under sections 522, 544, 545, 547, 547, 550, and 724(a).</w:t>
      </w:r>
    </w:p>
    <w:p w14:paraId="670D9228" w14:textId="77777777" w:rsidR="00E37681" w:rsidRDefault="00E37681" w:rsidP="005B2A9B">
      <w:pPr>
        <w:jc w:val="both"/>
        <w:rPr>
          <w:rFonts w:ascii="Arial" w:hAnsi="Arial" w:cs="Arial"/>
          <w:color w:val="7B7B7B" w:themeColor="accent3" w:themeShade="BF"/>
          <w:sz w:val="22"/>
          <w:szCs w:val="22"/>
          <w:lang w:val="en-GB"/>
        </w:rPr>
      </w:pPr>
    </w:p>
    <w:p w14:paraId="3326962E" w14:textId="2AEABAFA"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23 of the Model Law granted a foreign representative upon recognition of a foreign proceeding with respect to “actions to avoid acts detrimental to creditors” or the avoidance actions. </w:t>
      </w:r>
    </w:p>
    <w:p w14:paraId="36A66DAE" w14:textId="77777777" w:rsidR="00E37681" w:rsidRDefault="00E37681" w:rsidP="005B2A9B">
      <w:pPr>
        <w:jc w:val="both"/>
        <w:rPr>
          <w:rFonts w:ascii="Arial" w:hAnsi="Arial" w:cs="Arial"/>
          <w:color w:val="7B7B7B" w:themeColor="accent3" w:themeShade="BF"/>
          <w:sz w:val="22"/>
          <w:szCs w:val="22"/>
          <w:lang w:val="en-GB"/>
        </w:rPr>
      </w:pPr>
    </w:p>
    <w:p w14:paraId="3EECEB78" w14:textId="31EA4BCF"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Chapter 15 is closely following the provisions of the Model Law, it excludes from the rights granted to foreign representative the use of avoidance powers provided by the Bankruptcy Code. It has been interpreted that the restriction applies onto to the use of the Bankruptcy Code’s powers of avoidance of preferences and fraudulent conveyances, and not to bar a foreign representative from seeking to avoid pre-petition transactions under other applicable US or foreign law. </w:t>
      </w:r>
    </w:p>
    <w:p w14:paraId="046B2396" w14:textId="1D40EDBD" w:rsidR="00E37681" w:rsidRDefault="00E37681" w:rsidP="005B2A9B">
      <w:pPr>
        <w:jc w:val="both"/>
        <w:rPr>
          <w:rFonts w:ascii="Arial" w:hAnsi="Arial" w:cs="Arial"/>
          <w:color w:val="7B7B7B" w:themeColor="accent3" w:themeShade="BF"/>
          <w:sz w:val="22"/>
          <w:szCs w:val="22"/>
          <w:lang w:val="en-GB"/>
        </w:rPr>
      </w:pPr>
    </w:p>
    <w:p w14:paraId="1343DEBB" w14:textId="77777777"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1523(a) of the Bankruptcy Code, a foreign representative can invoke avoidance powers in a </w:t>
      </w:r>
      <w:proofErr w:type="gramStart"/>
      <w:r>
        <w:rPr>
          <w:rFonts w:ascii="Arial" w:hAnsi="Arial" w:cs="Arial"/>
          <w:color w:val="7B7B7B" w:themeColor="accent3" w:themeShade="BF"/>
          <w:sz w:val="22"/>
          <w:szCs w:val="22"/>
          <w:lang w:val="en-GB"/>
        </w:rPr>
        <w:t>plenary proceedings</w:t>
      </w:r>
      <w:proofErr w:type="gramEnd"/>
      <w:r>
        <w:rPr>
          <w:rFonts w:ascii="Arial" w:hAnsi="Arial" w:cs="Arial"/>
          <w:color w:val="7B7B7B" w:themeColor="accent3" w:themeShade="BF"/>
          <w:sz w:val="22"/>
          <w:szCs w:val="22"/>
          <w:lang w:val="en-GB"/>
        </w:rPr>
        <w:t xml:space="preserve"> such as Chapter 7 or 11. </w:t>
      </w:r>
    </w:p>
    <w:p w14:paraId="62DA81D0" w14:textId="77777777" w:rsidR="00E37681" w:rsidRDefault="00E37681" w:rsidP="005B2A9B">
      <w:pPr>
        <w:jc w:val="both"/>
        <w:rPr>
          <w:rFonts w:ascii="Arial" w:hAnsi="Arial" w:cs="Arial"/>
          <w:color w:val="7B7B7B" w:themeColor="accent3" w:themeShade="BF"/>
          <w:sz w:val="22"/>
          <w:szCs w:val="22"/>
          <w:lang w:val="en-GB"/>
        </w:rPr>
      </w:pPr>
    </w:p>
    <w:p w14:paraId="4A255A50" w14:textId="2A0CC551"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may file first a recognition of the foreign proceeding under Chapter 15, and thereafter file for a plenary proceeding pursuant to either Chapter 7 or 11, which will give the foreign representative access to avoidance powers under the Bankruptcy Code. </w:t>
      </w:r>
    </w:p>
    <w:p w14:paraId="1185B133" w14:textId="77777777" w:rsidR="00E37681" w:rsidRDefault="00E37681" w:rsidP="005B2A9B">
      <w:pPr>
        <w:jc w:val="both"/>
        <w:rPr>
          <w:rFonts w:ascii="Arial" w:hAnsi="Arial" w:cs="Arial"/>
          <w:color w:val="7B7B7B" w:themeColor="accent3" w:themeShade="BF"/>
          <w:sz w:val="22"/>
          <w:szCs w:val="22"/>
          <w:lang w:val="en-GB"/>
        </w:rPr>
      </w:pPr>
    </w:p>
    <w:p w14:paraId="4268B1B6" w14:textId="78227622" w:rsidR="005B2A9B" w:rsidRPr="00FF5098"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Matter of: Condor Insurance Limited (in official liquidation), March 17, 2010, the Court of Appeal in reversing the judgment of the district court, ruled that while Section 1521(a) denied the liquidators the Bankruptcy Code’s avoidance powers absent a Chapter 7 or 11 filing, that did not mean Congress intended to deny them applicable foreign avoidance powers. Section 1521 (a)(7) did not exclude avoidance actions under foreign law. Chapter 15 did not constrain the federal court’s exercise of the powers of foreign law it was to apply. While concern over choice of law difficulties was not without some force, it did not counsel finding that foreign law was excluded. The liquidators were not seeking to mix and match foreign and US law – they only sought to apply foreign law. Congress did not intend to restrict the powers of the US court to apply the law of the country where the main proceeding was pending. Applying foreign law under Chapter 15 did not implicate the concerns driving reliance by US courts upon the law of foreign nations in defining domestic norms. It was a congressional implementation of efforts to achieve the cooperative relations with other countries essential to settled expectations. The court further added that Section 1521(a</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&amp;) gave the bankruptcy court authority to permit relief under foreign avoidance law.</w:t>
      </w:r>
      <w:r w:rsidR="005B2A9B" w:rsidRPr="00FF5098">
        <w:rPr>
          <w:rFonts w:ascii="Arial" w:hAnsi="Arial" w:cs="Arial"/>
          <w:color w:val="7B7B7B" w:themeColor="accent3" w:themeShade="BF"/>
          <w:sz w:val="22"/>
          <w:szCs w:val="22"/>
          <w:lang w:val="en-GB"/>
        </w:rPr>
        <w:t>]</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6ED052FD" w14:textId="77777777" w:rsidR="00E37681"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41932003" w14:textId="77777777"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Interlocutory orders:</w:t>
      </w:r>
    </w:p>
    <w:p w14:paraId="724A345B" w14:textId="77777777"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resolve only some issues or claims; and</w:t>
      </w:r>
    </w:p>
    <w:p w14:paraId="33FE39E8" w14:textId="77777777"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(b) cannot be appealed as a matter of right, except those orders extending the period of exclusivity to propose a plan, which can be appealed as of right.</w:t>
      </w:r>
    </w:p>
    <w:p w14:paraId="12A1EA8E" w14:textId="77777777" w:rsidR="00E37681" w:rsidRDefault="00E37681" w:rsidP="005B2A9B">
      <w:pPr>
        <w:jc w:val="both"/>
        <w:rPr>
          <w:rFonts w:ascii="Arial" w:hAnsi="Arial" w:cs="Arial"/>
          <w:color w:val="7B7B7B" w:themeColor="accent3" w:themeShade="BF"/>
          <w:sz w:val="22"/>
          <w:szCs w:val="22"/>
          <w:lang w:val="en-GB"/>
        </w:rPr>
      </w:pPr>
    </w:p>
    <w:p w14:paraId="4D92995C" w14:textId="77777777"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w:t>
      </w:r>
    </w:p>
    <w:p w14:paraId="52AE7A34" w14:textId="77777777"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those that dispose of all issues, leaving nothing further to be decided; and</w:t>
      </w:r>
    </w:p>
    <w:p w14:paraId="72895803" w14:textId="77777777" w:rsidR="00E37681"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may be appealed as of right.</w:t>
      </w:r>
    </w:p>
    <w:p w14:paraId="6A6207FD" w14:textId="77777777" w:rsidR="00E37681" w:rsidRDefault="00E37681" w:rsidP="005B2A9B">
      <w:pPr>
        <w:jc w:val="both"/>
        <w:rPr>
          <w:rFonts w:ascii="Arial" w:hAnsi="Arial" w:cs="Arial"/>
          <w:color w:val="7B7B7B" w:themeColor="accent3" w:themeShade="BF"/>
          <w:sz w:val="22"/>
          <w:szCs w:val="22"/>
          <w:lang w:val="en-GB"/>
        </w:rPr>
      </w:pPr>
    </w:p>
    <w:p w14:paraId="4B0336A1" w14:textId="55238197" w:rsidR="005B2A9B" w:rsidRPr="00FF5098" w:rsidRDefault="00E376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appeals from bankruptcy court decisions are heard by the district court for the district in which they sit. The first appeal from a bankruptcy case will go to a randomly assigned judge, who will then generally hear all future appeals from those bankruptcy proceedings. In certain circuits, bankruptcy appeals are heard by Bankruptcy Appellate Panel, which is convened from the judges of the bankruptcy courts within the circuit. If there is further appeal required, appeal to the circuit court of appeal, and in rare circumstances directly to the court of appeals where the bankruptcy court or district court certifies that either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appeal raises a question of law as to which there is no controlling decision of the circuit or the US Supreme Court, or requires resolving conflicting controlling decisions, or (ii) immediate appeal may materially advance the progress of the case, and in which case the court of appeal has the discretion whether to accept a case so certified. </w:t>
      </w:r>
      <w:r w:rsidR="005B2A9B" w:rsidRPr="00FF5098">
        <w:rPr>
          <w:rFonts w:ascii="Arial" w:hAnsi="Arial" w:cs="Arial"/>
          <w:color w:val="7B7B7B" w:themeColor="accent3" w:themeShade="BF"/>
          <w:sz w:val="22"/>
          <w:szCs w:val="22"/>
          <w:lang w:val="en-GB"/>
        </w:rPr>
        <w:t>]</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759642A1" w14:textId="77777777" w:rsidR="00926443"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52B9CA2C" w14:textId="77777777" w:rsidR="00926443" w:rsidRDefault="0092644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w:t>
      </w:r>
      <w:proofErr w:type="spellStart"/>
      <w:r>
        <w:rPr>
          <w:rFonts w:ascii="Arial" w:hAnsi="Arial" w:cs="Arial"/>
          <w:color w:val="7B7B7B" w:themeColor="accent3" w:themeShade="BF"/>
          <w:sz w:val="22"/>
          <w:szCs w:val="22"/>
          <w:lang w:val="en-GB"/>
        </w:rPr>
        <w:t>Trenwick</w:t>
      </w:r>
      <w:proofErr w:type="spellEnd"/>
      <w:r>
        <w:rPr>
          <w:rFonts w:ascii="Arial" w:hAnsi="Arial" w:cs="Arial"/>
          <w:color w:val="7B7B7B" w:themeColor="accent3" w:themeShade="BF"/>
          <w:sz w:val="22"/>
          <w:szCs w:val="22"/>
          <w:lang w:val="en-GB"/>
        </w:rPr>
        <w:t xml:space="preserve"> Am Litig Trust v Ernst &amp; </w:t>
      </w:r>
      <w:proofErr w:type="gramStart"/>
      <w:r>
        <w:rPr>
          <w:rFonts w:ascii="Arial" w:hAnsi="Arial" w:cs="Arial"/>
          <w:color w:val="7B7B7B" w:themeColor="accent3" w:themeShade="BF"/>
          <w:sz w:val="22"/>
          <w:szCs w:val="22"/>
          <w:lang w:val="en-GB"/>
        </w:rPr>
        <w:t>Young ,</w:t>
      </w:r>
      <w:proofErr w:type="gramEnd"/>
      <w:r>
        <w:rPr>
          <w:rFonts w:ascii="Arial" w:hAnsi="Arial" w:cs="Arial"/>
          <w:color w:val="7B7B7B" w:themeColor="accent3" w:themeShade="BF"/>
          <w:sz w:val="22"/>
          <w:szCs w:val="22"/>
          <w:lang w:val="en-GB"/>
        </w:rPr>
        <w:t xml:space="preserve"> LLP, 906 A.2d 168 (Del Ch 2006), it was ruled that it has been a settled rule that in a parent and wholly-owned subsidiary context, the directors of the subsidiary are obligated only to manage the affairs of the subsidiary in the best interests of the parent and its shareholders. </w:t>
      </w:r>
    </w:p>
    <w:p w14:paraId="29E9E178" w14:textId="77777777" w:rsidR="00926443" w:rsidRDefault="00926443" w:rsidP="005B2A9B">
      <w:pPr>
        <w:jc w:val="both"/>
        <w:rPr>
          <w:rFonts w:ascii="Arial" w:hAnsi="Arial" w:cs="Arial"/>
          <w:color w:val="7B7B7B" w:themeColor="accent3" w:themeShade="BF"/>
          <w:sz w:val="22"/>
          <w:szCs w:val="22"/>
          <w:lang w:val="en-GB"/>
        </w:rPr>
      </w:pPr>
    </w:p>
    <w:p w14:paraId="2EE8FA4E" w14:textId="77777777" w:rsidR="00926443" w:rsidRDefault="0092644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also ruled that the board of directors’ discretion in pursuing failed efforts to maximize corporate value was protected by the business judgment rule.</w:t>
      </w:r>
    </w:p>
    <w:p w14:paraId="70FE12C7" w14:textId="77777777" w:rsidR="00926443" w:rsidRDefault="00926443" w:rsidP="005B2A9B">
      <w:pPr>
        <w:jc w:val="both"/>
        <w:rPr>
          <w:rFonts w:ascii="Arial" w:hAnsi="Arial" w:cs="Arial"/>
          <w:color w:val="7B7B7B" w:themeColor="accent3" w:themeShade="BF"/>
          <w:sz w:val="22"/>
          <w:szCs w:val="22"/>
          <w:lang w:val="en-GB"/>
        </w:rPr>
      </w:pPr>
    </w:p>
    <w:p w14:paraId="19935379" w14:textId="61A26F28" w:rsidR="005B2A9B" w:rsidRPr="00FF5098" w:rsidRDefault="0092644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Delaware Supreme Court has settled that directors do not, generally, owe duties to creditors when a company is operating “in the zone of insolvency” or indeed is actually insolvent, thus there is no equivalent under the US law of the concept of wrongful trading or deepening insolvency</w:t>
      </w:r>
      <w:proofErr w:type="gramStart"/>
      <w:r>
        <w:rPr>
          <w:rFonts w:ascii="Arial" w:hAnsi="Arial" w:cs="Arial"/>
          <w:color w:val="7B7B7B" w:themeColor="accent3" w:themeShade="BF"/>
          <w:sz w:val="22"/>
          <w:szCs w:val="22"/>
          <w:lang w:val="en-GB"/>
        </w:rPr>
        <w:t xml:space="preserve">. </w:t>
      </w:r>
      <w:r w:rsidR="005B2A9B" w:rsidRPr="00FF5098">
        <w:rPr>
          <w:rFonts w:ascii="Arial" w:hAnsi="Arial" w:cs="Arial"/>
          <w:color w:val="7B7B7B" w:themeColor="accent3" w:themeShade="BF"/>
          <w:sz w:val="22"/>
          <w:szCs w:val="22"/>
          <w:lang w:val="en-GB"/>
        </w:rPr>
        <w:t>]</w:t>
      </w:r>
      <w:proofErr w:type="gramEnd"/>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6835E151" w14:textId="77777777" w:rsidR="002162C3"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41BF255" w14:textId="77777777" w:rsidR="002162C3"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Pursuant to Section 1515 of the Bankruptcy Code, a foreign representative may apply to the court for recognition of a foreign proceeding in which the foreign representative has been appointed by filing a petition for recognition. The petition for recognition shall be accompanied by (1) a certified copy of the decision commencing such foreign proceeding and appointing the foreign representative, (2) a certificate from the foreign court affirming the existence of such foreign proceeding and of the appointment of the foreign representative, or (3) in the absence of evidence referred to in items (1) and (2), any other evidence acceptable to the court of the existence of such foreign proceeding and of the appointment of the foreign representative. In addition, the petition for recognition shall also be accompanied by a statement identifying all foreign proceedings with respect to the debtor that are known to the foreign representative. </w:t>
      </w:r>
    </w:p>
    <w:p w14:paraId="0A4459A8" w14:textId="77777777" w:rsidR="002162C3" w:rsidRDefault="002162C3" w:rsidP="005B2A9B">
      <w:pPr>
        <w:jc w:val="both"/>
        <w:rPr>
          <w:rFonts w:ascii="Arial" w:hAnsi="Arial" w:cs="Arial"/>
          <w:color w:val="7B7B7B" w:themeColor="accent3" w:themeShade="BF"/>
          <w:sz w:val="22"/>
          <w:szCs w:val="22"/>
          <w:lang w:val="en-GB"/>
        </w:rPr>
      </w:pPr>
    </w:p>
    <w:p w14:paraId="795748D6" w14:textId="0DCDDC59" w:rsidR="002162C3"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1502 of the Bankruptcy Code defines “foreign main proceedings” as foreign proceeding pending in the country where the debtor has the centre of its main </w:t>
      </w:r>
      <w:proofErr w:type="gramStart"/>
      <w:r>
        <w:rPr>
          <w:rFonts w:ascii="Arial" w:hAnsi="Arial" w:cs="Arial"/>
          <w:color w:val="7B7B7B" w:themeColor="accent3" w:themeShade="BF"/>
          <w:sz w:val="22"/>
          <w:szCs w:val="22"/>
          <w:lang w:val="en-GB"/>
        </w:rPr>
        <w:t>interests;</w:t>
      </w:r>
      <w:proofErr w:type="gramEnd"/>
      <w:r>
        <w:rPr>
          <w:rFonts w:ascii="Arial" w:hAnsi="Arial" w:cs="Arial"/>
          <w:color w:val="7B7B7B" w:themeColor="accent3" w:themeShade="BF"/>
          <w:sz w:val="22"/>
          <w:szCs w:val="22"/>
          <w:lang w:val="en-GB"/>
        </w:rPr>
        <w:t xml:space="preserve"> which “foreign nonmain proceeding” means a foreign proceeding, other than a foreign main proceeding, pending in a country where the debtor has an establishment. A foreign proceeding is defined as a collective judicial or administrative proceeding in a foreign country. </w:t>
      </w:r>
    </w:p>
    <w:p w14:paraId="1686E487" w14:textId="77777777" w:rsidR="002162C3" w:rsidRDefault="002162C3" w:rsidP="005B2A9B">
      <w:pPr>
        <w:jc w:val="both"/>
        <w:rPr>
          <w:rFonts w:ascii="Arial" w:hAnsi="Arial" w:cs="Arial"/>
          <w:color w:val="7B7B7B" w:themeColor="accent3" w:themeShade="BF"/>
          <w:sz w:val="22"/>
          <w:szCs w:val="22"/>
          <w:lang w:val="en-GB"/>
        </w:rPr>
      </w:pPr>
    </w:p>
    <w:p w14:paraId="52EE4483" w14:textId="77777777" w:rsidR="002162C3"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centre of main interest (“COMI”), is presumed to be its place of incorporation. The presumption is </w:t>
      </w:r>
      <w:proofErr w:type="gramStart"/>
      <w:r>
        <w:rPr>
          <w:rFonts w:ascii="Arial" w:hAnsi="Arial" w:cs="Arial"/>
          <w:color w:val="7B7B7B" w:themeColor="accent3" w:themeShade="BF"/>
          <w:sz w:val="22"/>
          <w:szCs w:val="22"/>
          <w:lang w:val="en-GB"/>
        </w:rPr>
        <w:t>rebuttable</w:t>
      </w:r>
      <w:proofErr w:type="gramEnd"/>
      <w:r>
        <w:rPr>
          <w:rFonts w:ascii="Arial" w:hAnsi="Arial" w:cs="Arial"/>
          <w:color w:val="7B7B7B" w:themeColor="accent3" w:themeShade="BF"/>
          <w:sz w:val="22"/>
          <w:szCs w:val="22"/>
          <w:lang w:val="en-GB"/>
        </w:rPr>
        <w:t xml:space="preserve"> and the following factors can be considered to determine COMI: </w:t>
      </w:r>
    </w:p>
    <w:p w14:paraId="14C5B6BB" w14:textId="77777777" w:rsidR="002162C3"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location of headquarters,</w:t>
      </w:r>
    </w:p>
    <w:p w14:paraId="2EE09B58" w14:textId="77777777" w:rsidR="002162C3"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location of management,</w:t>
      </w:r>
    </w:p>
    <w:p w14:paraId="39D198BB" w14:textId="77777777" w:rsidR="002162C3"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location of primary assets,</w:t>
      </w:r>
    </w:p>
    <w:p w14:paraId="6A203578" w14:textId="77777777" w:rsidR="002162C3"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location of </w:t>
      </w:r>
      <w:proofErr w:type="gramStart"/>
      <w:r>
        <w:rPr>
          <w:rFonts w:ascii="Arial" w:hAnsi="Arial" w:cs="Arial"/>
          <w:color w:val="7B7B7B" w:themeColor="accent3" w:themeShade="BF"/>
          <w:sz w:val="22"/>
          <w:szCs w:val="22"/>
          <w:lang w:val="en-GB"/>
        </w:rPr>
        <w:t>a majority of</w:t>
      </w:r>
      <w:proofErr w:type="gramEnd"/>
      <w:r>
        <w:rPr>
          <w:rFonts w:ascii="Arial" w:hAnsi="Arial" w:cs="Arial"/>
          <w:color w:val="7B7B7B" w:themeColor="accent3" w:themeShade="BF"/>
          <w:sz w:val="22"/>
          <w:szCs w:val="22"/>
          <w:lang w:val="en-GB"/>
        </w:rPr>
        <w:t xml:space="preserve"> debtor’s creditors or a majority of the creditors that will be affected by the relief requested by the foreign representative, and</w:t>
      </w:r>
    </w:p>
    <w:p w14:paraId="3DF13F7C" w14:textId="1512FAD5" w:rsidR="002162C3"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 jurisdiction whose law will apply to most disputes. </w:t>
      </w:r>
    </w:p>
    <w:p w14:paraId="305A7BB2" w14:textId="77777777" w:rsidR="002162C3" w:rsidRDefault="002162C3" w:rsidP="005B2A9B">
      <w:pPr>
        <w:jc w:val="both"/>
        <w:rPr>
          <w:rFonts w:ascii="Arial" w:hAnsi="Arial" w:cs="Arial"/>
          <w:color w:val="7B7B7B" w:themeColor="accent3" w:themeShade="BF"/>
          <w:sz w:val="22"/>
          <w:szCs w:val="22"/>
          <w:lang w:val="en-GB"/>
        </w:rPr>
      </w:pPr>
    </w:p>
    <w:p w14:paraId="7DF6EA44" w14:textId="5681FCE5" w:rsidR="005B2A9B" w:rsidRDefault="00216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Premises considered, I submit that the COMI of Gambling Corp is Greece because it is the place of incorporation and the principal place of business, and therefore the scheme of arrangement in London when petition to be </w:t>
      </w:r>
      <w:proofErr w:type="gramStart"/>
      <w:r>
        <w:rPr>
          <w:rFonts w:ascii="Arial" w:hAnsi="Arial" w:cs="Arial"/>
          <w:color w:val="7B7B7B" w:themeColor="accent3" w:themeShade="BF"/>
          <w:sz w:val="22"/>
          <w:szCs w:val="22"/>
          <w:lang w:val="en-GB"/>
        </w:rPr>
        <w:t>recognized  in</w:t>
      </w:r>
      <w:proofErr w:type="gramEnd"/>
      <w:r>
        <w:rPr>
          <w:rFonts w:ascii="Arial" w:hAnsi="Arial" w:cs="Arial"/>
          <w:color w:val="7B7B7B" w:themeColor="accent3" w:themeShade="BF"/>
          <w:sz w:val="22"/>
          <w:szCs w:val="22"/>
          <w:lang w:val="en-GB"/>
        </w:rPr>
        <w:t xml:space="preserve"> the US will be considered as foreign nonmain proceeding.</w:t>
      </w:r>
    </w:p>
    <w:p w14:paraId="53CFCCC2" w14:textId="65EF1A12" w:rsidR="00166131" w:rsidRDefault="00166131" w:rsidP="005B2A9B">
      <w:pPr>
        <w:jc w:val="both"/>
        <w:rPr>
          <w:rFonts w:ascii="Arial" w:hAnsi="Arial" w:cs="Arial"/>
          <w:color w:val="7B7B7B" w:themeColor="accent3" w:themeShade="BF"/>
          <w:sz w:val="22"/>
          <w:szCs w:val="22"/>
          <w:lang w:val="en-GB"/>
        </w:rPr>
      </w:pPr>
    </w:p>
    <w:p w14:paraId="20C81E73" w14:textId="7727B242" w:rsidR="00166131" w:rsidRPr="00FF5098" w:rsidRDefault="0016613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it will be a foreign main proceeding by arguing that the COMI is London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the above-mentioned factors.]</w:t>
      </w:r>
    </w:p>
    <w:p w14:paraId="2AA1E732" w14:textId="683F02A8" w:rsidR="005B2A9B" w:rsidRDefault="005B2A9B" w:rsidP="00323167">
      <w:pPr>
        <w:pStyle w:val="AODocTxt"/>
        <w:spacing w:before="0" w:line="240" w:lineRule="auto"/>
        <w:rPr>
          <w:rFonts w:ascii="Arial" w:hAnsi="Arial" w:cs="Arial"/>
        </w:rPr>
      </w:pPr>
    </w:p>
    <w:p w14:paraId="5455E68F" w14:textId="2E0A26DF" w:rsidR="00166131" w:rsidRPr="00323167" w:rsidRDefault="00166131"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33240B01" w14:textId="77777777" w:rsidR="00155AB1"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ABACD71" w14:textId="77777777" w:rsidR="00155AB1" w:rsidRDefault="00155AB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on the breach of contract lawsuit in Texas, will be stayed on the basis of pre-petition </w:t>
      </w:r>
      <w:proofErr w:type="gramStart"/>
      <w:r>
        <w:rPr>
          <w:rFonts w:ascii="Arial" w:hAnsi="Arial" w:cs="Arial"/>
          <w:color w:val="7B7B7B" w:themeColor="accent3" w:themeShade="BF"/>
          <w:sz w:val="22"/>
          <w:szCs w:val="22"/>
          <w:lang w:val="en-GB"/>
        </w:rPr>
        <w:t>claims;</w:t>
      </w:r>
      <w:proofErr w:type="gramEnd"/>
      <w:r>
        <w:rPr>
          <w:rFonts w:ascii="Arial" w:hAnsi="Arial" w:cs="Arial"/>
          <w:color w:val="7B7B7B" w:themeColor="accent3" w:themeShade="BF"/>
          <w:sz w:val="22"/>
          <w:szCs w:val="22"/>
          <w:lang w:val="en-GB"/>
        </w:rPr>
        <w:t xml:space="preserve"> </w:t>
      </w:r>
    </w:p>
    <w:p w14:paraId="50D8C870" w14:textId="77777777" w:rsidR="00155AB1" w:rsidRDefault="00155AB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US DOJ’s investigation, will not be stayed because it is a statutory exception being a regulatory </w:t>
      </w:r>
      <w:proofErr w:type="gramStart"/>
      <w:r>
        <w:rPr>
          <w:rFonts w:ascii="Arial" w:hAnsi="Arial" w:cs="Arial"/>
          <w:color w:val="7B7B7B" w:themeColor="accent3" w:themeShade="BF"/>
          <w:sz w:val="22"/>
          <w:szCs w:val="22"/>
          <w:lang w:val="en-GB"/>
        </w:rPr>
        <w:t>investigation;</w:t>
      </w:r>
      <w:proofErr w:type="gramEnd"/>
    </w:p>
    <w:p w14:paraId="260025CD" w14:textId="77777777" w:rsidR="00155AB1" w:rsidRDefault="00155AB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on the USA Bank’s threats to foreclose on an oil refinery located in the Philippines, will be stayed being an act to obtain possession or control of the property of the estate; and</w:t>
      </w:r>
    </w:p>
    <w:p w14:paraId="6A802C40" w14:textId="49C6C42C" w:rsidR="005B2A9B" w:rsidRPr="00FF5098" w:rsidRDefault="00155AB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(d) threat of the landlord to evict from the office space, will generally be stayed unless the lease has expired, which is an exception to stay for non-residential property when the lease has expired</w:t>
      </w:r>
      <w:r w:rsidR="005B2A9B" w:rsidRPr="00FF5098">
        <w:rPr>
          <w:rFonts w:ascii="Arial" w:hAnsi="Arial" w:cs="Arial"/>
          <w:color w:val="7B7B7B" w:themeColor="accent3" w:themeShade="BF"/>
          <w:sz w:val="22"/>
          <w:szCs w:val="22"/>
          <w:lang w:val="en-GB"/>
        </w:rPr>
        <w:t>]</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3DE41485" w14:textId="6A736ED2" w:rsidR="00CE73ED"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6F668C" w14:textId="71BDF727" w:rsidR="00CE73ED" w:rsidRDefault="00CE73ED" w:rsidP="005B2A9B">
      <w:pPr>
        <w:jc w:val="both"/>
        <w:rPr>
          <w:rFonts w:ascii="Arial" w:hAnsi="Arial" w:cs="Arial"/>
          <w:color w:val="7B7B7B" w:themeColor="accent3" w:themeShade="BF"/>
          <w:sz w:val="22"/>
          <w:szCs w:val="22"/>
          <w:lang w:val="en-GB"/>
        </w:rPr>
      </w:pPr>
    </w:p>
    <w:p w14:paraId="1FBF7B65" w14:textId="3A405B8F" w:rsidR="00CE73ED" w:rsidRDefault="00CE73E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general rule is that a debtor in possession is free to use, sell or lease estate property in the ordinary course of business. Court decisions have developed to define a two-prong test on what “the ordinary course of business” mean. The tests are: (a) vertical dimension or the expectation of a hypothetical creditor of the debtor, and (b) horizontal dimension or how the business is conducted by other businesses </w:t>
      </w: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the debtor. </w:t>
      </w:r>
    </w:p>
    <w:p w14:paraId="520553B7" w14:textId="31697A5C" w:rsidR="00CE73ED" w:rsidRDefault="00CE73ED" w:rsidP="005B2A9B">
      <w:pPr>
        <w:jc w:val="both"/>
        <w:rPr>
          <w:rFonts w:ascii="Arial" w:hAnsi="Arial" w:cs="Arial"/>
          <w:color w:val="7B7B7B" w:themeColor="accent3" w:themeShade="BF"/>
          <w:sz w:val="22"/>
          <w:szCs w:val="22"/>
          <w:lang w:val="en-GB"/>
        </w:rPr>
      </w:pPr>
    </w:p>
    <w:p w14:paraId="3687DDF6" w14:textId="2B4C559F" w:rsidR="00CE73ED" w:rsidRDefault="00CE73E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363 sale, an asset may be sold free and clear with creditor consent, where the creditor interest is disputed or where the value of the property exceeds the value of the interest. In such circumstances, a creditor’s interest will attach to the proceeds of the </w:t>
      </w:r>
      <w:proofErr w:type="gramStart"/>
      <w:r>
        <w:rPr>
          <w:rFonts w:ascii="Arial" w:hAnsi="Arial" w:cs="Arial"/>
          <w:color w:val="7B7B7B" w:themeColor="accent3" w:themeShade="BF"/>
          <w:sz w:val="22"/>
          <w:szCs w:val="22"/>
          <w:lang w:val="en-GB"/>
        </w:rPr>
        <w:t>sale</w:t>
      </w:r>
      <w:proofErr w:type="gramEnd"/>
      <w:r>
        <w:rPr>
          <w:rFonts w:ascii="Arial" w:hAnsi="Arial" w:cs="Arial"/>
          <w:color w:val="7B7B7B" w:themeColor="accent3" w:themeShade="BF"/>
          <w:sz w:val="22"/>
          <w:szCs w:val="22"/>
          <w:lang w:val="en-GB"/>
        </w:rPr>
        <w:t xml:space="preserve"> and it will receive priority in the distribution of those proceeds. </w:t>
      </w:r>
    </w:p>
    <w:p w14:paraId="5483C3EB" w14:textId="77777777" w:rsidR="00CE73ED" w:rsidRDefault="00CE73ED" w:rsidP="005B2A9B">
      <w:pPr>
        <w:jc w:val="both"/>
        <w:rPr>
          <w:rFonts w:ascii="Arial" w:hAnsi="Arial" w:cs="Arial"/>
          <w:color w:val="7B7B7B" w:themeColor="accent3" w:themeShade="BF"/>
          <w:sz w:val="22"/>
          <w:szCs w:val="22"/>
          <w:lang w:val="en-GB"/>
        </w:rPr>
      </w:pPr>
    </w:p>
    <w:p w14:paraId="691B977A" w14:textId="5245E36B" w:rsidR="00455018" w:rsidRDefault="00CE73ED" w:rsidP="00CE73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for the trademark license, it requires the consent of the licensor (Plastic Corp) and the transferee will have to give the </w:t>
      </w:r>
      <w:proofErr w:type="gramStart"/>
      <w:r>
        <w:rPr>
          <w:rFonts w:ascii="Arial" w:hAnsi="Arial" w:cs="Arial"/>
          <w:color w:val="7B7B7B" w:themeColor="accent3" w:themeShade="BF"/>
          <w:sz w:val="22"/>
          <w:szCs w:val="22"/>
          <w:lang w:val="en-GB"/>
        </w:rPr>
        <w:t>counterparty  adequate</w:t>
      </w:r>
      <w:proofErr w:type="gramEnd"/>
      <w:r>
        <w:rPr>
          <w:rFonts w:ascii="Arial" w:hAnsi="Arial" w:cs="Arial"/>
          <w:color w:val="7B7B7B" w:themeColor="accent3" w:themeShade="BF"/>
          <w:sz w:val="22"/>
          <w:szCs w:val="22"/>
          <w:lang w:val="en-GB"/>
        </w:rPr>
        <w:t xml:space="preserve"> assurances of future performance. Plastic Corp cannot, however, be compelled to accept performance from a </w:t>
      </w:r>
      <w:proofErr w:type="gramStart"/>
      <w:r>
        <w:rPr>
          <w:rFonts w:ascii="Arial" w:hAnsi="Arial" w:cs="Arial"/>
          <w:color w:val="7B7B7B" w:themeColor="accent3" w:themeShade="BF"/>
          <w:sz w:val="22"/>
          <w:szCs w:val="22"/>
          <w:lang w:val="en-GB"/>
        </w:rPr>
        <w:t>transferee;</w:t>
      </w:r>
      <w:proofErr w:type="gramEnd"/>
      <w:r>
        <w:rPr>
          <w:rFonts w:ascii="Arial" w:hAnsi="Arial" w:cs="Arial"/>
          <w:color w:val="7B7B7B" w:themeColor="accent3" w:themeShade="BF"/>
          <w:sz w:val="22"/>
          <w:szCs w:val="22"/>
          <w:lang w:val="en-GB"/>
        </w:rPr>
        <w:t xml:space="preserve"> </w:t>
      </w:r>
    </w:p>
    <w:p w14:paraId="5E325297" w14:textId="30205905" w:rsidR="00CE73ED" w:rsidRDefault="00CE73ED" w:rsidP="00CE73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for the patent license, Plastic Corp’s consent is required pursuant to section 365(n) of the Bankruptcy Code; and</w:t>
      </w:r>
    </w:p>
    <w:p w14:paraId="6403E98F" w14:textId="4765996C" w:rsidR="00CE73ED" w:rsidRDefault="00CE73ED" w:rsidP="00CE73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for the manufacturing facility, the consent of USA Bank is required pursuant to Section 363 of the Bankruptcy Code. The USA Bank may, however, “credit bid” by offsetting a portion of the purchase price of such property against the amount of its claim secured by the property. </w:t>
      </w:r>
    </w:p>
    <w:p w14:paraId="6A3A1BB5" w14:textId="77777777" w:rsidR="00CE73ED" w:rsidRDefault="00CE73ED" w:rsidP="00CE73ED">
      <w:pPr>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A6E0" w14:textId="77777777" w:rsidR="00B6274A" w:rsidRDefault="00B6274A" w:rsidP="00241B44">
      <w:r>
        <w:separator/>
      </w:r>
    </w:p>
  </w:endnote>
  <w:endnote w:type="continuationSeparator" w:id="0">
    <w:p w14:paraId="66363E63" w14:textId="77777777" w:rsidR="00B6274A" w:rsidRDefault="00B627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392D866" w:rsidR="00241FA3" w:rsidRPr="009B4976" w:rsidRDefault="00867FA5" w:rsidP="009B4976">
    <w:pPr>
      <w:pStyle w:val="Footer"/>
      <w:ind w:right="360"/>
      <w:rPr>
        <w:rFonts w:ascii="Arial" w:hAnsi="Arial" w:cs="Arial"/>
        <w:sz w:val="18"/>
        <w:szCs w:val="18"/>
        <w:lang w:val="en-GB"/>
      </w:rPr>
    </w:pPr>
    <w:r>
      <w:rPr>
        <w:rFonts w:ascii="Arial" w:hAnsi="Arial" w:cs="Arial"/>
        <w:sz w:val="18"/>
        <w:szCs w:val="18"/>
        <w:lang w:val="en-GB"/>
      </w:rPr>
      <w:t>202122-556</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2486" w14:textId="77777777" w:rsidR="00B6274A" w:rsidRDefault="00B6274A" w:rsidP="00241B44">
      <w:r>
        <w:separator/>
      </w:r>
    </w:p>
  </w:footnote>
  <w:footnote w:type="continuationSeparator" w:id="0">
    <w:p w14:paraId="06E1F9AE" w14:textId="77777777" w:rsidR="00B6274A" w:rsidRDefault="00B6274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107667">
    <w:abstractNumId w:val="8"/>
  </w:num>
  <w:num w:numId="2" w16cid:durableId="1044406026">
    <w:abstractNumId w:val="10"/>
  </w:num>
  <w:num w:numId="3" w16cid:durableId="1853689954">
    <w:abstractNumId w:val="1"/>
  </w:num>
  <w:num w:numId="4" w16cid:durableId="1655139948">
    <w:abstractNumId w:val="3"/>
  </w:num>
  <w:num w:numId="5" w16cid:durableId="1823159961">
    <w:abstractNumId w:val="4"/>
  </w:num>
  <w:num w:numId="6" w16cid:durableId="684484419">
    <w:abstractNumId w:val="11"/>
  </w:num>
  <w:num w:numId="7" w16cid:durableId="1845708457">
    <w:abstractNumId w:val="2"/>
  </w:num>
  <w:num w:numId="8" w16cid:durableId="1545948836">
    <w:abstractNumId w:val="12"/>
  </w:num>
  <w:num w:numId="9" w16cid:durableId="384763358">
    <w:abstractNumId w:val="5"/>
  </w:num>
  <w:num w:numId="10" w16cid:durableId="429083938">
    <w:abstractNumId w:val="9"/>
  </w:num>
  <w:num w:numId="11" w16cid:durableId="1186602616">
    <w:abstractNumId w:val="6"/>
  </w:num>
  <w:num w:numId="12" w16cid:durableId="1662200456">
    <w:abstractNumId w:val="7"/>
  </w:num>
  <w:num w:numId="13" w16cid:durableId="177015206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5A17"/>
    <w:rsid w:val="00126A4D"/>
    <w:rsid w:val="0014171F"/>
    <w:rsid w:val="0014622C"/>
    <w:rsid w:val="00152348"/>
    <w:rsid w:val="0015456D"/>
    <w:rsid w:val="00155AB1"/>
    <w:rsid w:val="00155FA2"/>
    <w:rsid w:val="00160679"/>
    <w:rsid w:val="00161F1B"/>
    <w:rsid w:val="00162829"/>
    <w:rsid w:val="00166131"/>
    <w:rsid w:val="00180548"/>
    <w:rsid w:val="00180AC4"/>
    <w:rsid w:val="00180CCE"/>
    <w:rsid w:val="0018267A"/>
    <w:rsid w:val="00182779"/>
    <w:rsid w:val="001830DF"/>
    <w:rsid w:val="001966D9"/>
    <w:rsid w:val="001A7E9A"/>
    <w:rsid w:val="001B0AE1"/>
    <w:rsid w:val="001B0F70"/>
    <w:rsid w:val="001B5016"/>
    <w:rsid w:val="001C45FC"/>
    <w:rsid w:val="001D0469"/>
    <w:rsid w:val="001D4862"/>
    <w:rsid w:val="001E25B9"/>
    <w:rsid w:val="001E49E0"/>
    <w:rsid w:val="001E7B5A"/>
    <w:rsid w:val="001F2C94"/>
    <w:rsid w:val="001F7412"/>
    <w:rsid w:val="00202DFE"/>
    <w:rsid w:val="0020725B"/>
    <w:rsid w:val="002110F1"/>
    <w:rsid w:val="002162C3"/>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3F5675"/>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67FA5"/>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26443"/>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D5F6C"/>
    <w:rsid w:val="00AF228E"/>
    <w:rsid w:val="00B016A8"/>
    <w:rsid w:val="00B10961"/>
    <w:rsid w:val="00B14819"/>
    <w:rsid w:val="00B15E2F"/>
    <w:rsid w:val="00B17AA9"/>
    <w:rsid w:val="00B27E6E"/>
    <w:rsid w:val="00B44713"/>
    <w:rsid w:val="00B56103"/>
    <w:rsid w:val="00B6274A"/>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E73ED"/>
    <w:rsid w:val="00CF2819"/>
    <w:rsid w:val="00CF4F9D"/>
    <w:rsid w:val="00CF70DC"/>
    <w:rsid w:val="00D041E0"/>
    <w:rsid w:val="00D14336"/>
    <w:rsid w:val="00D148DC"/>
    <w:rsid w:val="00D17FDC"/>
    <w:rsid w:val="00D21021"/>
    <w:rsid w:val="00D21D8C"/>
    <w:rsid w:val="00D316F2"/>
    <w:rsid w:val="00D53719"/>
    <w:rsid w:val="00D63EFD"/>
    <w:rsid w:val="00D84752"/>
    <w:rsid w:val="00D85623"/>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7681"/>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20A5"/>
    <w:rsid w:val="00F27CD8"/>
    <w:rsid w:val="00F30351"/>
    <w:rsid w:val="00F3323E"/>
    <w:rsid w:val="00F341F4"/>
    <w:rsid w:val="00F34F9D"/>
    <w:rsid w:val="00F35CCE"/>
    <w:rsid w:val="00F5524B"/>
    <w:rsid w:val="00F60538"/>
    <w:rsid w:val="00F61DD2"/>
    <w:rsid w:val="00F66AFF"/>
    <w:rsid w:val="00F71433"/>
    <w:rsid w:val="00F92140"/>
    <w:rsid w:val="00F966F2"/>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12</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Marisol Caneja</cp:lastModifiedBy>
  <cp:revision>18</cp:revision>
  <cp:lastPrinted>2019-08-27T05:42:00Z</cp:lastPrinted>
  <dcterms:created xsi:type="dcterms:W3CDTF">2022-07-30T22:58:00Z</dcterms:created>
  <dcterms:modified xsi:type="dcterms:W3CDTF">2022-07-31T20:08:00Z</dcterms:modified>
</cp:coreProperties>
</file>