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C88F96B"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sidR="00286642">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56342D" w:rsidRDefault="00A6325B" w:rsidP="006F4751">
      <w:pPr>
        <w:pStyle w:val="ListParagraph"/>
        <w:numPr>
          <w:ilvl w:val="1"/>
          <w:numId w:val="5"/>
        </w:numPr>
        <w:ind w:left="426"/>
        <w:jc w:val="both"/>
        <w:rPr>
          <w:rFonts w:ascii="Arial" w:hAnsi="Arial" w:cs="Arial"/>
          <w:sz w:val="22"/>
          <w:szCs w:val="22"/>
          <w:highlight w:val="yellow"/>
          <w:lang w:val="en-GB"/>
        </w:rPr>
      </w:pPr>
      <w:r w:rsidRPr="0056342D">
        <w:rPr>
          <w:rFonts w:ascii="Arial" w:hAnsi="Arial" w:cs="Arial"/>
          <w:sz w:val="22"/>
          <w:szCs w:val="22"/>
          <w:highlight w:val="yellow"/>
          <w:lang w:val="en-GB"/>
        </w:rPr>
        <w:t>a</w:t>
      </w:r>
      <w:r w:rsidR="00286642" w:rsidRPr="0056342D">
        <w:rPr>
          <w:rFonts w:ascii="Arial" w:hAnsi="Arial" w:cs="Arial"/>
          <w:sz w:val="22"/>
          <w:szCs w:val="22"/>
          <w:highlight w:val="yellow"/>
          <w:lang w:val="en-GB"/>
        </w:rPr>
        <w:t>ny of the above</w:t>
      </w:r>
      <w:r w:rsidRPr="0056342D">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E76657" w:rsidRDefault="005D093D" w:rsidP="009578F6">
      <w:pPr>
        <w:pStyle w:val="ListParagraph"/>
        <w:numPr>
          <w:ilvl w:val="0"/>
          <w:numId w:val="6"/>
        </w:numPr>
        <w:ind w:left="426"/>
        <w:jc w:val="both"/>
        <w:rPr>
          <w:rFonts w:ascii="Arial" w:hAnsi="Arial" w:cs="Arial"/>
          <w:sz w:val="22"/>
          <w:szCs w:val="22"/>
          <w:lang w:val="en-GB"/>
        </w:rPr>
      </w:pPr>
      <w:r w:rsidRPr="00680E94">
        <w:rPr>
          <w:rFonts w:ascii="Arial" w:hAnsi="Arial" w:cs="Arial"/>
          <w:sz w:val="22"/>
          <w:szCs w:val="22"/>
          <w:highlight w:val="yellow"/>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9578F6">
      <w:pPr>
        <w:pStyle w:val="ListParagraph"/>
        <w:numPr>
          <w:ilvl w:val="0"/>
          <w:numId w:val="6"/>
        </w:numPr>
        <w:ind w:left="426"/>
        <w:jc w:val="both"/>
        <w:rPr>
          <w:rFonts w:ascii="Arial" w:hAnsi="Arial" w:cs="Arial"/>
          <w:sz w:val="22"/>
          <w:szCs w:val="22"/>
          <w:lang w:val="en-GB"/>
        </w:rPr>
      </w:pPr>
      <w:r w:rsidRPr="00680E94">
        <w:rPr>
          <w:rFonts w:ascii="Arial" w:hAnsi="Arial" w:cs="Arial"/>
          <w:sz w:val="22"/>
          <w:szCs w:val="22"/>
          <w:lang w:val="en-GB"/>
        </w:rPr>
        <w:t>Five (5) years before</w:t>
      </w:r>
      <w:r w:rsidRPr="009578F6">
        <w:rPr>
          <w:rFonts w:ascii="Arial" w:hAnsi="Arial" w:cs="Arial"/>
          <w:sz w:val="22"/>
          <w:szCs w:val="22"/>
          <w:lang w:val="en-GB"/>
        </w:rPr>
        <w:t xml:space="preserv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EF2CFC" w:rsidRDefault="00B81F6E" w:rsidP="006F4751">
      <w:pPr>
        <w:pStyle w:val="ListParagraph"/>
        <w:numPr>
          <w:ilvl w:val="1"/>
          <w:numId w:val="7"/>
        </w:numPr>
        <w:ind w:left="426"/>
        <w:jc w:val="both"/>
        <w:rPr>
          <w:rFonts w:ascii="Arial" w:hAnsi="Arial" w:cs="Arial"/>
          <w:sz w:val="22"/>
          <w:szCs w:val="22"/>
          <w:highlight w:val="yellow"/>
          <w:lang w:val="en-GB"/>
        </w:rPr>
      </w:pPr>
      <w:r w:rsidRPr="00EF2CFC">
        <w:rPr>
          <w:rFonts w:ascii="Arial" w:hAnsi="Arial" w:cs="Arial"/>
          <w:sz w:val="22"/>
          <w:szCs w:val="22"/>
          <w:highlight w:val="yellow"/>
          <w:lang w:val="en-GB"/>
        </w:rPr>
        <w:t xml:space="preserve">The Hong Kong court has a statutory jurisdiction to wind up such a </w:t>
      </w:r>
      <w:proofErr w:type="gramStart"/>
      <w:r w:rsidRPr="00EF2CFC">
        <w:rPr>
          <w:rFonts w:ascii="Arial" w:hAnsi="Arial" w:cs="Arial"/>
          <w:sz w:val="22"/>
          <w:szCs w:val="22"/>
          <w:highlight w:val="yellow"/>
          <w:lang w:val="en-GB"/>
        </w:rPr>
        <w:t>company, and</w:t>
      </w:r>
      <w:proofErr w:type="gramEnd"/>
      <w:r w:rsidRPr="00EF2CFC">
        <w:rPr>
          <w:rFonts w:ascii="Arial" w:hAnsi="Arial" w:cs="Arial"/>
          <w:sz w:val="22"/>
          <w:szCs w:val="22"/>
          <w:highlight w:val="yellow"/>
          <w:lang w:val="en-GB"/>
        </w:rPr>
        <w:t xml:space="preserve">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9C1550" w:rsidRDefault="00FE53A3" w:rsidP="009578F6">
      <w:pPr>
        <w:pStyle w:val="ListParagraph"/>
        <w:numPr>
          <w:ilvl w:val="0"/>
          <w:numId w:val="8"/>
        </w:numPr>
        <w:ind w:left="426"/>
        <w:jc w:val="both"/>
        <w:rPr>
          <w:rFonts w:ascii="Arial" w:hAnsi="Arial" w:cs="Arial"/>
          <w:sz w:val="22"/>
          <w:szCs w:val="22"/>
          <w:highlight w:val="yellow"/>
          <w:lang w:val="en-GB"/>
        </w:rPr>
      </w:pPr>
      <w:r w:rsidRPr="009C1550">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9C1550" w:rsidRDefault="0041438F" w:rsidP="009578F6">
      <w:pPr>
        <w:pStyle w:val="ListParagraph"/>
        <w:numPr>
          <w:ilvl w:val="0"/>
          <w:numId w:val="9"/>
        </w:numPr>
        <w:ind w:left="426"/>
        <w:jc w:val="both"/>
        <w:rPr>
          <w:rFonts w:ascii="Arial" w:hAnsi="Arial" w:cs="Arial"/>
          <w:sz w:val="22"/>
          <w:szCs w:val="22"/>
          <w:highlight w:val="yellow"/>
          <w:lang w:val="en-GB"/>
        </w:rPr>
      </w:pPr>
      <w:r w:rsidRPr="009C1550">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92720F" w:rsidRDefault="006F4751" w:rsidP="009578F6">
      <w:pPr>
        <w:pStyle w:val="ListParagraph"/>
        <w:numPr>
          <w:ilvl w:val="0"/>
          <w:numId w:val="10"/>
        </w:numPr>
        <w:ind w:left="426"/>
        <w:jc w:val="both"/>
        <w:rPr>
          <w:rFonts w:ascii="Arial" w:hAnsi="Arial" w:cs="Arial"/>
          <w:sz w:val="22"/>
          <w:szCs w:val="22"/>
          <w:highlight w:val="yellow"/>
          <w:lang w:val="en-GB"/>
        </w:rPr>
      </w:pPr>
      <w:r w:rsidRPr="0092720F">
        <w:rPr>
          <w:rFonts w:ascii="Arial" w:hAnsi="Arial" w:cs="Arial"/>
          <w:sz w:val="22"/>
          <w:szCs w:val="22"/>
          <w:highlight w:val="yellow"/>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lastRenderedPageBreak/>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BB550F"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BB550F">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7D169D" w:rsidRDefault="00B22016" w:rsidP="00B22016">
      <w:pPr>
        <w:pStyle w:val="ListParagraph"/>
        <w:numPr>
          <w:ilvl w:val="1"/>
          <w:numId w:val="14"/>
        </w:numPr>
        <w:ind w:left="426"/>
        <w:jc w:val="both"/>
        <w:rPr>
          <w:rFonts w:ascii="Arial" w:hAnsi="Arial" w:cs="Arial"/>
          <w:sz w:val="22"/>
          <w:szCs w:val="22"/>
          <w:highlight w:val="yellow"/>
          <w:lang w:val="en-GB"/>
        </w:rPr>
      </w:pPr>
      <w:r w:rsidRPr="007D169D">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810635" w:rsidRDefault="005D54B3" w:rsidP="005D54B3">
      <w:pPr>
        <w:pStyle w:val="ListParagraph"/>
        <w:numPr>
          <w:ilvl w:val="0"/>
          <w:numId w:val="15"/>
        </w:numPr>
        <w:ind w:left="426"/>
        <w:jc w:val="both"/>
        <w:rPr>
          <w:rFonts w:ascii="Arial" w:hAnsi="Arial" w:cs="Arial"/>
          <w:sz w:val="22"/>
          <w:szCs w:val="22"/>
          <w:highlight w:val="yellow"/>
          <w:lang w:val="en-GB"/>
        </w:rPr>
      </w:pPr>
      <w:r w:rsidRPr="00810635">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lastRenderedPageBreak/>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FA2EF6" w:rsidRDefault="009578F6" w:rsidP="009578F6">
      <w:pPr>
        <w:pStyle w:val="ListParagraph"/>
        <w:numPr>
          <w:ilvl w:val="0"/>
          <w:numId w:val="18"/>
        </w:numPr>
        <w:ind w:left="426"/>
        <w:jc w:val="both"/>
        <w:rPr>
          <w:rFonts w:ascii="Arial" w:hAnsi="Arial" w:cs="Arial"/>
          <w:sz w:val="22"/>
          <w:szCs w:val="22"/>
          <w:highlight w:val="yellow"/>
          <w:lang w:val="en-GB"/>
        </w:rPr>
      </w:pPr>
      <w:r w:rsidRPr="00FA2EF6">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 xml:space="preserve">What are the jurisdictional requirements as </w:t>
      </w:r>
      <w:proofErr w:type="gramStart"/>
      <w:r w:rsidRPr="00E15753">
        <w:rPr>
          <w:rFonts w:ascii="Arial" w:hAnsi="Arial" w:cs="Arial"/>
          <w:sz w:val="22"/>
          <w:szCs w:val="22"/>
        </w:rPr>
        <w:t>regards</w:t>
      </w:r>
      <w:proofErr w:type="gramEnd"/>
      <w:r w:rsidRPr="00E15753">
        <w:rPr>
          <w:rFonts w:ascii="Arial" w:hAnsi="Arial" w:cs="Arial"/>
          <w:sz w:val="22"/>
          <w:szCs w:val="22"/>
        </w:rPr>
        <w:t xml:space="preserve">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31246E41" w14:textId="0A1779F7" w:rsidR="003C10EB" w:rsidRPr="005D2CD6" w:rsidRDefault="0063094E" w:rsidP="008C5C97">
      <w:pPr>
        <w:jc w:val="both"/>
        <w:rPr>
          <w:rFonts w:ascii="Arial" w:hAnsi="Arial" w:cs="Arial"/>
          <w:sz w:val="22"/>
          <w:szCs w:val="22"/>
        </w:rPr>
      </w:pPr>
      <w:r>
        <w:rPr>
          <w:rFonts w:ascii="Arial" w:hAnsi="Arial" w:cs="Arial"/>
          <w:color w:val="7B7B7B" w:themeColor="accent3" w:themeShade="BF"/>
          <w:sz w:val="22"/>
          <w:szCs w:val="22"/>
        </w:rPr>
        <w:t>T</w:t>
      </w:r>
      <w:r w:rsidR="008C5C97">
        <w:rPr>
          <w:rFonts w:ascii="Arial" w:hAnsi="Arial" w:cs="Arial"/>
          <w:color w:val="7B7B7B" w:themeColor="accent3" w:themeShade="BF"/>
          <w:sz w:val="22"/>
          <w:szCs w:val="22"/>
        </w:rPr>
        <w:t>he jurisdictional requirements to be satisfied by a debtor prior to the presentation of a bankruptcy petition are</w:t>
      </w:r>
      <w:r w:rsidR="00FF1FDE">
        <w:rPr>
          <w:rFonts w:ascii="Arial" w:hAnsi="Arial" w:cs="Arial"/>
          <w:color w:val="7B7B7B" w:themeColor="accent3" w:themeShade="BF"/>
          <w:sz w:val="22"/>
          <w:szCs w:val="22"/>
        </w:rPr>
        <w:t xml:space="preserve"> for it to be</w:t>
      </w:r>
      <w:r w:rsidR="008C5C97">
        <w:rPr>
          <w:rFonts w:ascii="Arial" w:hAnsi="Arial" w:cs="Arial"/>
          <w:color w:val="7B7B7B" w:themeColor="accent3" w:themeShade="BF"/>
          <w:sz w:val="22"/>
          <w:szCs w:val="22"/>
        </w:rPr>
        <w:t>:</w:t>
      </w:r>
      <w:r w:rsidR="008C5C97">
        <w:rPr>
          <w:rStyle w:val="FootnoteReference"/>
          <w:rFonts w:ascii="Arial" w:hAnsi="Arial" w:cs="Arial"/>
          <w:color w:val="7B7B7B" w:themeColor="accent3" w:themeShade="BF"/>
          <w:sz w:val="22"/>
          <w:szCs w:val="22"/>
        </w:rPr>
        <w:footnoteReference w:id="1"/>
      </w:r>
    </w:p>
    <w:p w14:paraId="758F8102" w14:textId="77777777" w:rsidR="00325301" w:rsidRDefault="00325301" w:rsidP="00325301">
      <w:pPr>
        <w:pStyle w:val="ListParagraph"/>
        <w:jc w:val="both"/>
        <w:rPr>
          <w:rFonts w:ascii="Arial" w:hAnsi="Arial" w:cs="Arial"/>
          <w:color w:val="808080" w:themeColor="background1" w:themeShade="80"/>
          <w:sz w:val="22"/>
          <w:szCs w:val="22"/>
          <w:lang w:val="en-GB"/>
        </w:rPr>
      </w:pPr>
    </w:p>
    <w:p w14:paraId="47227CF3" w14:textId="62FBEBBC" w:rsidR="00E15753" w:rsidRDefault="00325301" w:rsidP="00325301">
      <w:pPr>
        <w:pStyle w:val="ListParagraph"/>
        <w:numPr>
          <w:ilvl w:val="0"/>
          <w:numId w:val="2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Domiciled in Hong </w:t>
      </w:r>
      <w:proofErr w:type="gramStart"/>
      <w:r>
        <w:rPr>
          <w:rFonts w:ascii="Arial" w:hAnsi="Arial" w:cs="Arial"/>
          <w:color w:val="808080" w:themeColor="background1" w:themeShade="80"/>
          <w:sz w:val="22"/>
          <w:szCs w:val="22"/>
          <w:lang w:val="en-GB"/>
        </w:rPr>
        <w:t>Kong;</w:t>
      </w:r>
      <w:proofErr w:type="gramEnd"/>
    </w:p>
    <w:p w14:paraId="7EFDA04F" w14:textId="35DE6312" w:rsidR="00325301" w:rsidRDefault="00325301" w:rsidP="00325301">
      <w:pPr>
        <w:pStyle w:val="ListParagraph"/>
        <w:numPr>
          <w:ilvl w:val="0"/>
          <w:numId w:val="2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Personally present in Hong Kong on the day on which the petition is presented; or,</w:t>
      </w:r>
    </w:p>
    <w:p w14:paraId="1D7BEA76" w14:textId="7AC6D681" w:rsidR="00325301" w:rsidRDefault="00325301" w:rsidP="00325301">
      <w:pPr>
        <w:pStyle w:val="ListParagraph"/>
        <w:numPr>
          <w:ilvl w:val="0"/>
          <w:numId w:val="2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At any time in the period of 3 years ending with that day:</w:t>
      </w:r>
    </w:p>
    <w:p w14:paraId="086B269E" w14:textId="1AE7CE9F" w:rsidR="00325301" w:rsidRDefault="00325301" w:rsidP="00325301">
      <w:pPr>
        <w:pStyle w:val="ListParagraph"/>
        <w:numPr>
          <w:ilvl w:val="1"/>
          <w:numId w:val="2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Been ordinarily resident, or has had a place of residence, in Hong Kong; or,</w:t>
      </w:r>
    </w:p>
    <w:p w14:paraId="498779D0" w14:textId="5C6CB170" w:rsidR="00325301" w:rsidRPr="00325301" w:rsidRDefault="00325301" w:rsidP="00325301">
      <w:pPr>
        <w:pStyle w:val="ListParagraph"/>
        <w:numPr>
          <w:ilvl w:val="1"/>
          <w:numId w:val="2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Carried on business in Hong Kong.</w:t>
      </w: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3E49AD6C" w14:textId="4FA36CAA" w:rsidR="008E7073" w:rsidRDefault="009A099A" w:rsidP="008E707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its decision of </w:t>
      </w:r>
      <w:r>
        <w:rPr>
          <w:rFonts w:ascii="Arial" w:hAnsi="Arial" w:cs="Arial"/>
          <w:i/>
          <w:iCs/>
          <w:color w:val="7B7B7B" w:themeColor="accent3" w:themeShade="BF"/>
          <w:sz w:val="22"/>
          <w:szCs w:val="22"/>
        </w:rPr>
        <w:t xml:space="preserve">Kam Leung Sui Kwan v Kam Kwan Lai &amp; </w:t>
      </w:r>
      <w:proofErr w:type="spellStart"/>
      <w:r>
        <w:rPr>
          <w:rFonts w:ascii="Arial" w:hAnsi="Arial" w:cs="Arial"/>
          <w:i/>
          <w:iCs/>
          <w:color w:val="7B7B7B" w:themeColor="accent3" w:themeShade="BF"/>
          <w:sz w:val="22"/>
          <w:szCs w:val="22"/>
        </w:rPr>
        <w:t>Ors</w:t>
      </w:r>
      <w:proofErr w:type="spellEnd"/>
      <w:r>
        <w:rPr>
          <w:rFonts w:ascii="Arial" w:hAnsi="Arial" w:cs="Arial"/>
          <w:i/>
          <w:iCs/>
          <w:color w:val="7B7B7B" w:themeColor="accent3" w:themeShade="BF"/>
          <w:sz w:val="22"/>
          <w:szCs w:val="22"/>
        </w:rPr>
        <w:t xml:space="preserve"> FACV 4/2015, </w:t>
      </w:r>
      <w:r>
        <w:rPr>
          <w:rFonts w:ascii="Arial" w:hAnsi="Arial" w:cs="Arial"/>
          <w:color w:val="7B7B7B" w:themeColor="accent3" w:themeShade="BF"/>
          <w:sz w:val="22"/>
          <w:szCs w:val="22"/>
        </w:rPr>
        <w:t>the Court of Final Appeal</w:t>
      </w:r>
      <w:r w:rsidR="00B027B4">
        <w:rPr>
          <w:rFonts w:ascii="Arial" w:hAnsi="Arial" w:cs="Arial"/>
          <w:color w:val="7B7B7B" w:themeColor="accent3" w:themeShade="BF"/>
          <w:sz w:val="22"/>
          <w:szCs w:val="22"/>
        </w:rPr>
        <w:t xml:space="preserve"> confirmed that the following three “core requirements” must be met to enable the Hong Kong court to exercise its jurisdiction to wind up a non-Hong Kong company:</w:t>
      </w:r>
      <w:r w:rsidR="00B027B4">
        <w:rPr>
          <w:rStyle w:val="FootnoteReference"/>
          <w:rFonts w:ascii="Arial" w:hAnsi="Arial" w:cs="Arial"/>
          <w:color w:val="7B7B7B" w:themeColor="accent3" w:themeShade="BF"/>
          <w:sz w:val="22"/>
          <w:szCs w:val="22"/>
        </w:rPr>
        <w:footnoteReference w:id="2"/>
      </w:r>
    </w:p>
    <w:p w14:paraId="4B8C8CAD" w14:textId="69FD974C" w:rsidR="008E7073" w:rsidRDefault="008E7073" w:rsidP="008E7073">
      <w:pPr>
        <w:jc w:val="both"/>
        <w:rPr>
          <w:rFonts w:ascii="Arial" w:hAnsi="Arial" w:cs="Arial"/>
          <w:color w:val="7B7B7B" w:themeColor="accent3" w:themeShade="BF"/>
          <w:sz w:val="22"/>
          <w:szCs w:val="22"/>
        </w:rPr>
      </w:pPr>
    </w:p>
    <w:p w14:paraId="40A21F44" w14:textId="1FC1142D" w:rsidR="008E7073" w:rsidRDefault="008E7073" w:rsidP="008E7073">
      <w:pPr>
        <w:pStyle w:val="ListParagraph"/>
        <w:numPr>
          <w:ilvl w:val="0"/>
          <w:numId w:val="3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There must be a sufficient connection with Hong </w:t>
      </w:r>
      <w:proofErr w:type="gramStart"/>
      <w:r>
        <w:rPr>
          <w:rFonts w:ascii="Arial" w:hAnsi="Arial" w:cs="Arial"/>
          <w:color w:val="7B7B7B" w:themeColor="accent3" w:themeShade="BF"/>
          <w:sz w:val="22"/>
          <w:szCs w:val="22"/>
        </w:rPr>
        <w:t>Kong;</w:t>
      </w:r>
      <w:proofErr w:type="gramEnd"/>
    </w:p>
    <w:p w14:paraId="4D2FB7EC" w14:textId="26B71495" w:rsidR="008E7073" w:rsidRDefault="008E7073" w:rsidP="008E7073">
      <w:pPr>
        <w:pStyle w:val="ListParagraph"/>
        <w:numPr>
          <w:ilvl w:val="0"/>
          <w:numId w:val="3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must be a reasonable possibility that a winding up order would benefit the applicants; and,</w:t>
      </w:r>
    </w:p>
    <w:p w14:paraId="589D5A5D" w14:textId="42547AA7" w:rsidR="008E7073" w:rsidRPr="008E7073" w:rsidRDefault="008E7073" w:rsidP="008E7073">
      <w:pPr>
        <w:pStyle w:val="ListParagraph"/>
        <w:numPr>
          <w:ilvl w:val="0"/>
          <w:numId w:val="3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Court must be able to exercise jurisdiction over one or more persons in the distribution of the relevant company’s assets.</w:t>
      </w: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44529CED" w14:textId="69E96FAB" w:rsidR="003C10EB" w:rsidRDefault="009B5D5A" w:rsidP="006835F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w:t>
      </w:r>
      <w:r w:rsidR="006835FF">
        <w:rPr>
          <w:rFonts w:ascii="Arial" w:hAnsi="Arial" w:cs="Arial"/>
          <w:color w:val="7B7B7B" w:themeColor="accent3" w:themeShade="BF"/>
          <w:sz w:val="22"/>
          <w:szCs w:val="22"/>
        </w:rPr>
        <w:t xml:space="preserve"> provisional liquidator may be appointed by the court at any time after the presentation of a winding-up petition and before the making of a winding-up order.</w:t>
      </w:r>
      <w:r w:rsidR="006835FF">
        <w:rPr>
          <w:rStyle w:val="FootnoteReference"/>
          <w:rFonts w:ascii="Arial" w:hAnsi="Arial" w:cs="Arial"/>
          <w:color w:val="7B7B7B" w:themeColor="accent3" w:themeShade="BF"/>
          <w:sz w:val="22"/>
          <w:szCs w:val="22"/>
        </w:rPr>
        <w:footnoteReference w:id="3"/>
      </w:r>
      <w:r w:rsidR="00F473E1">
        <w:rPr>
          <w:rFonts w:ascii="Arial" w:hAnsi="Arial" w:cs="Arial"/>
          <w:color w:val="7B7B7B" w:themeColor="accent3" w:themeShade="BF"/>
          <w:sz w:val="22"/>
          <w:szCs w:val="22"/>
        </w:rPr>
        <w:t xml:space="preserve">  In urgent cases, the application to appoint a provisional liquidator may be made at the same time as the winding-up petition.</w:t>
      </w:r>
    </w:p>
    <w:p w14:paraId="3DD12E42" w14:textId="17050B5F" w:rsidR="00CC5543" w:rsidRDefault="00CC5543" w:rsidP="006835FF">
      <w:pPr>
        <w:jc w:val="both"/>
        <w:rPr>
          <w:rFonts w:ascii="Arial" w:hAnsi="Arial" w:cs="Arial"/>
          <w:color w:val="7B7B7B" w:themeColor="accent3" w:themeShade="BF"/>
          <w:sz w:val="22"/>
          <w:szCs w:val="22"/>
        </w:rPr>
      </w:pPr>
    </w:p>
    <w:p w14:paraId="47D74A25" w14:textId="021C0F22" w:rsidR="00CC5543" w:rsidRDefault="00CC5543" w:rsidP="006835F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Prior to the appointment of a provisional liquidator, the court must be satisfied that:</w:t>
      </w:r>
      <w:r w:rsidR="00E449C0">
        <w:rPr>
          <w:rStyle w:val="FootnoteReference"/>
          <w:rFonts w:ascii="Arial" w:hAnsi="Arial" w:cs="Arial"/>
          <w:color w:val="7B7B7B" w:themeColor="accent3" w:themeShade="BF"/>
          <w:sz w:val="22"/>
          <w:szCs w:val="22"/>
        </w:rPr>
        <w:footnoteReference w:id="4"/>
      </w:r>
    </w:p>
    <w:p w14:paraId="3F3156F2" w14:textId="77777777" w:rsidR="00CC5543" w:rsidRDefault="00CC5543" w:rsidP="00CC5543">
      <w:pPr>
        <w:pStyle w:val="ListParagraph"/>
        <w:jc w:val="both"/>
        <w:rPr>
          <w:rFonts w:ascii="Arial" w:hAnsi="Arial" w:cs="Arial"/>
          <w:color w:val="7B7B7B" w:themeColor="accent3" w:themeShade="BF"/>
          <w:sz w:val="22"/>
          <w:szCs w:val="22"/>
        </w:rPr>
      </w:pPr>
    </w:p>
    <w:p w14:paraId="62484FE4" w14:textId="0357179B" w:rsidR="00CC5543" w:rsidRDefault="00CC5543" w:rsidP="00CC5543">
      <w:pPr>
        <w:pStyle w:val="ListParagraph"/>
        <w:numPr>
          <w:ilvl w:val="0"/>
          <w:numId w:val="3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There is a good </w:t>
      </w:r>
      <w:r>
        <w:rPr>
          <w:rFonts w:ascii="Arial" w:hAnsi="Arial" w:cs="Arial"/>
          <w:i/>
          <w:iCs/>
          <w:color w:val="7B7B7B" w:themeColor="accent3" w:themeShade="BF"/>
          <w:sz w:val="22"/>
          <w:szCs w:val="22"/>
        </w:rPr>
        <w:t xml:space="preserve">prima facie </w:t>
      </w:r>
      <w:r>
        <w:rPr>
          <w:rFonts w:ascii="Arial" w:hAnsi="Arial" w:cs="Arial"/>
          <w:color w:val="7B7B7B" w:themeColor="accent3" w:themeShade="BF"/>
          <w:sz w:val="22"/>
          <w:szCs w:val="22"/>
        </w:rPr>
        <w:t>case for the winding-up order; and,</w:t>
      </w:r>
    </w:p>
    <w:p w14:paraId="0C6B7645" w14:textId="5693E8CE" w:rsidR="00CC5543" w:rsidRPr="00CC5543" w:rsidRDefault="00CC5543" w:rsidP="00CC5543">
      <w:pPr>
        <w:pStyle w:val="ListParagraph"/>
        <w:numPr>
          <w:ilvl w:val="0"/>
          <w:numId w:val="3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company’s assets are in jeopardy.</w:t>
      </w:r>
    </w:p>
    <w:p w14:paraId="3E2FA725" w14:textId="77777777" w:rsidR="00CC5543" w:rsidRDefault="00CC5543" w:rsidP="006835FF">
      <w:pPr>
        <w:jc w:val="both"/>
        <w:rPr>
          <w:rFonts w:ascii="Arial" w:hAnsi="Arial" w:cs="Arial"/>
          <w:color w:val="7B7B7B" w:themeColor="accent3" w:themeShade="BF"/>
          <w:sz w:val="22"/>
          <w:szCs w:val="22"/>
        </w:rPr>
      </w:pPr>
    </w:p>
    <w:p w14:paraId="07F7FB23" w14:textId="15438526" w:rsidR="00CC5543" w:rsidRDefault="00CC5543" w:rsidP="0045721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provisional liquidator may be appointed for the following purposes:</w:t>
      </w:r>
    </w:p>
    <w:p w14:paraId="203BFBC5" w14:textId="77777777" w:rsidR="00457212" w:rsidRDefault="00457212" w:rsidP="00457212">
      <w:pPr>
        <w:pStyle w:val="ListParagraph"/>
        <w:jc w:val="both"/>
        <w:rPr>
          <w:rFonts w:ascii="Arial" w:hAnsi="Arial" w:cs="Arial"/>
          <w:color w:val="7B7B7B" w:themeColor="accent3" w:themeShade="BF"/>
          <w:sz w:val="22"/>
          <w:szCs w:val="22"/>
        </w:rPr>
      </w:pPr>
    </w:p>
    <w:p w14:paraId="12834F02" w14:textId="70BEA090" w:rsidR="00457212" w:rsidRDefault="00457212" w:rsidP="00457212">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To </w:t>
      </w:r>
      <w:r w:rsidR="002E46A1">
        <w:rPr>
          <w:rFonts w:ascii="Arial" w:hAnsi="Arial" w:cs="Arial"/>
          <w:color w:val="7B7B7B" w:themeColor="accent3" w:themeShade="BF"/>
          <w:sz w:val="22"/>
          <w:szCs w:val="22"/>
        </w:rPr>
        <w:t>preserve the company’s assets to ensure their availability for distribution should a winding-up order be made, but not to realize them</w:t>
      </w:r>
      <w:r>
        <w:rPr>
          <w:rFonts w:ascii="Arial" w:hAnsi="Arial" w:cs="Arial"/>
          <w:color w:val="7B7B7B" w:themeColor="accent3" w:themeShade="BF"/>
          <w:sz w:val="22"/>
          <w:szCs w:val="22"/>
        </w:rPr>
        <w:t>;</w:t>
      </w:r>
      <w:r w:rsidR="002E46A1">
        <w:rPr>
          <w:rStyle w:val="FootnoteReference"/>
          <w:rFonts w:ascii="Arial" w:hAnsi="Arial" w:cs="Arial"/>
          <w:color w:val="7B7B7B" w:themeColor="accent3" w:themeShade="BF"/>
          <w:sz w:val="22"/>
          <w:szCs w:val="22"/>
        </w:rPr>
        <w:footnoteReference w:id="5"/>
      </w:r>
      <w:r w:rsidR="00F0090A">
        <w:rPr>
          <w:rFonts w:ascii="Arial" w:hAnsi="Arial" w:cs="Arial"/>
          <w:color w:val="7B7B7B" w:themeColor="accent3" w:themeShade="BF"/>
          <w:sz w:val="22"/>
          <w:szCs w:val="22"/>
        </w:rPr>
        <w:t xml:space="preserve"> and,</w:t>
      </w:r>
    </w:p>
    <w:p w14:paraId="4D821C68" w14:textId="699CC1B4" w:rsidR="00457212" w:rsidRDefault="00457212" w:rsidP="00457212">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To explore a restructuring of the company although this cannot be the sole purpose</w:t>
      </w:r>
      <w:r w:rsidR="00F0090A">
        <w:rPr>
          <w:rFonts w:ascii="Arial" w:hAnsi="Arial" w:cs="Arial"/>
          <w:color w:val="7B7B7B" w:themeColor="accent3" w:themeShade="BF"/>
          <w:sz w:val="22"/>
          <w:szCs w:val="22"/>
        </w:rPr>
        <w:t>.</w:t>
      </w:r>
      <w:r w:rsidR="009E2E15">
        <w:rPr>
          <w:rStyle w:val="FootnoteReference"/>
          <w:rFonts w:ascii="Arial" w:hAnsi="Arial" w:cs="Arial"/>
          <w:color w:val="7B7B7B" w:themeColor="accent3" w:themeShade="BF"/>
          <w:sz w:val="22"/>
          <w:szCs w:val="22"/>
        </w:rPr>
        <w:footnoteReference w:id="6"/>
      </w:r>
    </w:p>
    <w:p w14:paraId="3DC012B2" w14:textId="22B1B50F" w:rsidR="009E2E15" w:rsidRDefault="009E2E15" w:rsidP="009E2E15">
      <w:pPr>
        <w:jc w:val="both"/>
        <w:rPr>
          <w:rFonts w:ascii="Arial" w:hAnsi="Arial" w:cs="Arial"/>
          <w:color w:val="7B7B7B" w:themeColor="accent3" w:themeShade="BF"/>
          <w:sz w:val="22"/>
          <w:szCs w:val="22"/>
        </w:rPr>
      </w:pPr>
    </w:p>
    <w:p w14:paraId="167BCFE0" w14:textId="7EC72640" w:rsidR="009E2E15" w:rsidRPr="009E2E15" w:rsidRDefault="009B5D5A" w:rsidP="009E2E1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w:t>
      </w:r>
      <w:r w:rsidR="00A54572">
        <w:rPr>
          <w:rFonts w:ascii="Arial" w:hAnsi="Arial" w:cs="Arial"/>
          <w:color w:val="7B7B7B" w:themeColor="accent3" w:themeShade="BF"/>
          <w:sz w:val="22"/>
          <w:szCs w:val="22"/>
        </w:rPr>
        <w:t>he court may limit and restrict the powers of a provisional</w:t>
      </w:r>
      <w:r w:rsidR="00D53430">
        <w:rPr>
          <w:rFonts w:ascii="Arial" w:hAnsi="Arial" w:cs="Arial"/>
          <w:color w:val="7B7B7B" w:themeColor="accent3" w:themeShade="BF"/>
          <w:sz w:val="22"/>
          <w:szCs w:val="22"/>
        </w:rPr>
        <w:t xml:space="preserve"> liquidator</w:t>
      </w:r>
      <w:r w:rsidR="00A54572">
        <w:rPr>
          <w:rFonts w:ascii="Arial" w:hAnsi="Arial" w:cs="Arial"/>
          <w:color w:val="7B7B7B" w:themeColor="accent3" w:themeShade="BF"/>
          <w:sz w:val="22"/>
          <w:szCs w:val="22"/>
        </w:rPr>
        <w:t>.</w:t>
      </w:r>
      <w:r w:rsidR="00A54572">
        <w:rPr>
          <w:rStyle w:val="FootnoteReference"/>
          <w:rFonts w:ascii="Arial" w:hAnsi="Arial" w:cs="Arial"/>
          <w:color w:val="7B7B7B" w:themeColor="accent3" w:themeShade="BF"/>
          <w:sz w:val="22"/>
          <w:szCs w:val="22"/>
        </w:rPr>
        <w:footnoteReference w:id="7"/>
      </w:r>
      <w:r w:rsidR="00A54572">
        <w:rPr>
          <w:rFonts w:ascii="Arial" w:hAnsi="Arial" w:cs="Arial"/>
          <w:color w:val="7B7B7B" w:themeColor="accent3" w:themeShade="BF"/>
          <w:sz w:val="22"/>
          <w:szCs w:val="22"/>
        </w:rPr>
        <w:t xml:space="preserve">  However, i</w:t>
      </w:r>
      <w:r w:rsidR="009E2E15">
        <w:rPr>
          <w:rFonts w:ascii="Arial" w:hAnsi="Arial" w:cs="Arial"/>
          <w:color w:val="7B7B7B" w:themeColor="accent3" w:themeShade="BF"/>
          <w:sz w:val="22"/>
          <w:szCs w:val="22"/>
        </w:rPr>
        <w:t xml:space="preserve">t should be noted that the provisional liquidator may apply to court for </w:t>
      </w:r>
      <w:r w:rsidR="00A54572">
        <w:rPr>
          <w:rFonts w:ascii="Arial" w:hAnsi="Arial" w:cs="Arial"/>
          <w:color w:val="7B7B7B" w:themeColor="accent3" w:themeShade="BF"/>
          <w:sz w:val="22"/>
          <w:szCs w:val="22"/>
        </w:rPr>
        <w:t xml:space="preserve">additional powers including </w:t>
      </w:r>
      <w:r w:rsidR="009E2E15">
        <w:rPr>
          <w:rFonts w:ascii="Arial" w:hAnsi="Arial" w:cs="Arial"/>
          <w:color w:val="7B7B7B" w:themeColor="accent3" w:themeShade="BF"/>
          <w:sz w:val="22"/>
          <w:szCs w:val="22"/>
        </w:rPr>
        <w:t>permission to sell the company’s assets should, for example, the sale be necessary to preserve the value of such assets.</w:t>
      </w:r>
    </w:p>
    <w:p w14:paraId="73BA0D33" w14:textId="43996406" w:rsidR="00893B7C" w:rsidRPr="00386801" w:rsidRDefault="00893B7C" w:rsidP="002A37BB">
      <w:pPr>
        <w:ind w:left="720" w:hanging="720"/>
        <w:jc w:val="both"/>
        <w:rPr>
          <w:rFonts w:ascii="Arial" w:hAnsi="Arial" w:cs="Arial"/>
          <w:color w:val="7B7B7B" w:themeColor="accent3" w:themeShade="BF"/>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6683FB68" w14:textId="642EF116" w:rsidR="00070322" w:rsidRDefault="004421FB" w:rsidP="009F71B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S</w:t>
      </w:r>
      <w:r w:rsidR="00070322">
        <w:rPr>
          <w:rFonts w:ascii="Arial" w:hAnsi="Arial" w:cs="Arial"/>
          <w:color w:val="7B7B7B" w:themeColor="accent3" w:themeShade="BF"/>
          <w:sz w:val="22"/>
          <w:szCs w:val="22"/>
        </w:rPr>
        <w:t>ection 266 of the Companies (Winding Up and Miscellaneous Provisions) Ordina</w:t>
      </w:r>
      <w:r w:rsidR="006F73CA">
        <w:rPr>
          <w:rFonts w:ascii="Arial" w:hAnsi="Arial" w:cs="Arial"/>
          <w:color w:val="7B7B7B" w:themeColor="accent3" w:themeShade="BF"/>
          <w:sz w:val="22"/>
          <w:szCs w:val="22"/>
        </w:rPr>
        <w:t>nce</w:t>
      </w:r>
      <w:r w:rsidR="00532D51">
        <w:rPr>
          <w:rFonts w:ascii="Arial" w:hAnsi="Arial" w:cs="Arial"/>
          <w:color w:val="7B7B7B" w:themeColor="accent3" w:themeShade="BF"/>
          <w:sz w:val="22"/>
          <w:szCs w:val="22"/>
        </w:rPr>
        <w:t xml:space="preserve"> explicitly states that the section applies in relation to a company if the company goes into liquidation and that if the company has given an unfair preference, the liquidator may apply to the court </w:t>
      </w:r>
      <w:r w:rsidR="00CF4F4A">
        <w:rPr>
          <w:rFonts w:ascii="Arial" w:hAnsi="Arial" w:cs="Arial"/>
          <w:color w:val="7B7B7B" w:themeColor="accent3" w:themeShade="BF"/>
          <w:sz w:val="22"/>
          <w:szCs w:val="22"/>
        </w:rPr>
        <w:t xml:space="preserve">to restore </w:t>
      </w:r>
      <w:r w:rsidR="004F7E2E">
        <w:rPr>
          <w:rFonts w:ascii="Arial" w:hAnsi="Arial" w:cs="Arial"/>
          <w:color w:val="7B7B7B" w:themeColor="accent3" w:themeShade="BF"/>
          <w:sz w:val="22"/>
          <w:szCs w:val="22"/>
        </w:rPr>
        <w:t>the position to what it would have been if the company had not given that unfair preference.</w:t>
      </w:r>
      <w:r w:rsidR="004F7E2E">
        <w:rPr>
          <w:rStyle w:val="FootnoteReference"/>
          <w:rFonts w:ascii="Arial" w:hAnsi="Arial" w:cs="Arial"/>
          <w:color w:val="7B7B7B" w:themeColor="accent3" w:themeShade="BF"/>
          <w:sz w:val="22"/>
          <w:szCs w:val="22"/>
        </w:rPr>
        <w:footnoteReference w:id="8"/>
      </w:r>
      <w:r w:rsidR="004F7E2E">
        <w:rPr>
          <w:rFonts w:ascii="Arial" w:hAnsi="Arial" w:cs="Arial"/>
          <w:color w:val="7B7B7B" w:themeColor="accent3" w:themeShade="BF"/>
          <w:sz w:val="22"/>
          <w:szCs w:val="22"/>
        </w:rPr>
        <w:t xml:space="preserve">  </w:t>
      </w:r>
      <w:r w:rsidR="00EE42B3">
        <w:rPr>
          <w:rFonts w:ascii="Arial" w:hAnsi="Arial" w:cs="Arial"/>
          <w:color w:val="7B7B7B" w:themeColor="accent3" w:themeShade="BF"/>
          <w:sz w:val="22"/>
          <w:szCs w:val="22"/>
        </w:rPr>
        <w:t>It is therefore through this section that a liquidator is able to take action to challenge an unfair preference.</w:t>
      </w:r>
    </w:p>
    <w:p w14:paraId="72D58A9E" w14:textId="77777777" w:rsidR="00BD3774" w:rsidRDefault="00BD3774" w:rsidP="009F71B1">
      <w:pPr>
        <w:jc w:val="both"/>
        <w:rPr>
          <w:rFonts w:ascii="Arial" w:hAnsi="Arial" w:cs="Arial"/>
          <w:color w:val="7B7B7B" w:themeColor="accent3" w:themeShade="BF"/>
          <w:sz w:val="22"/>
          <w:szCs w:val="22"/>
        </w:rPr>
      </w:pPr>
    </w:p>
    <w:p w14:paraId="57C9B072" w14:textId="5654529E" w:rsidR="00C84389" w:rsidRDefault="00423E1F" w:rsidP="009F71B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w:t>
      </w:r>
      <w:r w:rsidR="00C84389">
        <w:rPr>
          <w:rFonts w:ascii="Arial" w:hAnsi="Arial" w:cs="Arial"/>
          <w:color w:val="7B7B7B" w:themeColor="accent3" w:themeShade="BF"/>
          <w:sz w:val="22"/>
          <w:szCs w:val="22"/>
        </w:rPr>
        <w:t xml:space="preserve"> company gives an unfair preference to a person (being one of the company’s creditors or a surety / guarantor for any of the company’s debts or other liabilities) if the company does anything or suffers anything to be done which has the effect of putting that person into a position which, in the event of the company going into insolvent liquidation, will be better than the position that person would have been in if that thing had not been done.</w:t>
      </w:r>
      <w:r w:rsidR="00C84389">
        <w:rPr>
          <w:rStyle w:val="FootnoteReference"/>
          <w:rFonts w:ascii="Arial" w:hAnsi="Arial" w:cs="Arial"/>
          <w:color w:val="7B7B7B" w:themeColor="accent3" w:themeShade="BF"/>
          <w:sz w:val="22"/>
          <w:szCs w:val="22"/>
        </w:rPr>
        <w:footnoteReference w:id="9"/>
      </w:r>
    </w:p>
    <w:p w14:paraId="2B746986" w14:textId="77777777" w:rsidR="00BD3774" w:rsidRDefault="00BD3774" w:rsidP="009F71B1">
      <w:pPr>
        <w:jc w:val="both"/>
        <w:rPr>
          <w:rFonts w:ascii="Arial" w:hAnsi="Arial" w:cs="Arial"/>
          <w:color w:val="7B7B7B" w:themeColor="accent3" w:themeShade="BF"/>
          <w:sz w:val="22"/>
          <w:szCs w:val="22"/>
        </w:rPr>
      </w:pPr>
    </w:p>
    <w:p w14:paraId="1AB0F944" w14:textId="6579B4C8" w:rsidR="00532D51" w:rsidRDefault="007C30D5" w:rsidP="009F71B1">
      <w:pPr>
        <w:jc w:val="both"/>
        <w:rPr>
          <w:rFonts w:ascii="Arial" w:hAnsi="Arial" w:cs="Arial"/>
          <w:color w:val="7B7B7B" w:themeColor="accent3" w:themeShade="BF"/>
          <w:sz w:val="22"/>
          <w:szCs w:val="22"/>
        </w:rPr>
      </w:pPr>
      <w:proofErr w:type="gramStart"/>
      <w:r>
        <w:rPr>
          <w:rFonts w:ascii="Arial" w:hAnsi="Arial" w:cs="Arial"/>
          <w:color w:val="7B7B7B" w:themeColor="accent3" w:themeShade="BF"/>
          <w:sz w:val="22"/>
          <w:szCs w:val="22"/>
        </w:rPr>
        <w:t>I</w:t>
      </w:r>
      <w:r w:rsidR="00C2537F">
        <w:rPr>
          <w:rFonts w:ascii="Arial" w:hAnsi="Arial" w:cs="Arial"/>
          <w:color w:val="7B7B7B" w:themeColor="accent3" w:themeShade="BF"/>
          <w:sz w:val="22"/>
          <w:szCs w:val="22"/>
        </w:rPr>
        <w:t>n order for</w:t>
      </w:r>
      <w:proofErr w:type="gramEnd"/>
      <w:r w:rsidR="00C2537F">
        <w:rPr>
          <w:rFonts w:ascii="Arial" w:hAnsi="Arial" w:cs="Arial"/>
          <w:color w:val="7B7B7B" w:themeColor="accent3" w:themeShade="BF"/>
          <w:sz w:val="22"/>
          <w:szCs w:val="22"/>
        </w:rPr>
        <w:t xml:space="preserve"> an alleged unfair preference to be eligible for court application, the transaction must have been entered into at a time in the period of six months ending with the day on </w:t>
      </w:r>
      <w:r w:rsidR="00C2537F">
        <w:rPr>
          <w:rFonts w:ascii="Arial" w:hAnsi="Arial" w:cs="Arial"/>
          <w:color w:val="7B7B7B" w:themeColor="accent3" w:themeShade="BF"/>
          <w:sz w:val="22"/>
          <w:szCs w:val="22"/>
        </w:rPr>
        <w:lastRenderedPageBreak/>
        <w:t xml:space="preserve">which the winding up of the company commencement.  If the transaction was entered into with a person who </w:t>
      </w:r>
      <w:proofErr w:type="gramStart"/>
      <w:r w:rsidR="00C2537F">
        <w:rPr>
          <w:rFonts w:ascii="Arial" w:hAnsi="Arial" w:cs="Arial"/>
          <w:color w:val="7B7B7B" w:themeColor="accent3" w:themeShade="BF"/>
          <w:sz w:val="22"/>
          <w:szCs w:val="22"/>
        </w:rPr>
        <w:t>is connected with</w:t>
      </w:r>
      <w:proofErr w:type="gramEnd"/>
      <w:r w:rsidR="00C2537F">
        <w:rPr>
          <w:rFonts w:ascii="Arial" w:hAnsi="Arial" w:cs="Arial"/>
          <w:color w:val="7B7B7B" w:themeColor="accent3" w:themeShade="BF"/>
          <w:sz w:val="22"/>
          <w:szCs w:val="22"/>
        </w:rPr>
        <w:t xml:space="preserve"> the </w:t>
      </w:r>
      <w:r w:rsidR="00E24130">
        <w:rPr>
          <w:rFonts w:ascii="Arial" w:hAnsi="Arial" w:cs="Arial"/>
          <w:color w:val="7B7B7B" w:themeColor="accent3" w:themeShade="BF"/>
          <w:sz w:val="22"/>
          <w:szCs w:val="22"/>
        </w:rPr>
        <w:t>company, the time period increases to two years.</w:t>
      </w:r>
      <w:r w:rsidR="00364FC3">
        <w:rPr>
          <w:rStyle w:val="FootnoteReference"/>
          <w:rFonts w:ascii="Arial" w:hAnsi="Arial" w:cs="Arial"/>
          <w:color w:val="7B7B7B" w:themeColor="accent3" w:themeShade="BF"/>
          <w:sz w:val="22"/>
          <w:szCs w:val="22"/>
        </w:rPr>
        <w:footnoteReference w:id="10"/>
      </w:r>
    </w:p>
    <w:p w14:paraId="08C00BBB" w14:textId="77777777" w:rsidR="00D441F0" w:rsidRDefault="00D441F0" w:rsidP="009F71B1">
      <w:pPr>
        <w:jc w:val="both"/>
        <w:rPr>
          <w:rFonts w:ascii="Arial" w:hAnsi="Arial" w:cs="Arial"/>
          <w:color w:val="7B7B7B" w:themeColor="accent3" w:themeShade="BF"/>
          <w:sz w:val="22"/>
          <w:szCs w:val="22"/>
        </w:rPr>
      </w:pPr>
    </w:p>
    <w:p w14:paraId="6236AF71" w14:textId="34DF8AD5" w:rsidR="00D441F0" w:rsidRDefault="00D441F0" w:rsidP="009F71B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addition, the liquidator is required to show the following in the court application:</w:t>
      </w:r>
    </w:p>
    <w:p w14:paraId="211ECAFA" w14:textId="77777777" w:rsidR="00D441F0" w:rsidRDefault="00D441F0" w:rsidP="009F71B1">
      <w:pPr>
        <w:jc w:val="both"/>
        <w:rPr>
          <w:rFonts w:ascii="Arial" w:hAnsi="Arial" w:cs="Arial"/>
          <w:color w:val="7B7B7B" w:themeColor="accent3" w:themeShade="BF"/>
          <w:sz w:val="22"/>
          <w:szCs w:val="22"/>
        </w:rPr>
      </w:pPr>
    </w:p>
    <w:p w14:paraId="625D3FF3" w14:textId="3334A31C" w:rsidR="00D441F0" w:rsidRDefault="00D441F0" w:rsidP="00D441F0">
      <w:pPr>
        <w:pStyle w:val="ListParagraph"/>
        <w:numPr>
          <w:ilvl w:val="0"/>
          <w:numId w:val="4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company was unable to pay its debts or became unable to pay its debts in consequence of the unfair preference.</w:t>
      </w:r>
      <w:r>
        <w:rPr>
          <w:rStyle w:val="FootnoteReference"/>
          <w:rFonts w:ascii="Arial" w:hAnsi="Arial" w:cs="Arial"/>
          <w:color w:val="7B7B7B" w:themeColor="accent3" w:themeShade="BF"/>
          <w:sz w:val="22"/>
          <w:szCs w:val="22"/>
        </w:rPr>
        <w:footnoteReference w:id="11"/>
      </w:r>
    </w:p>
    <w:p w14:paraId="373C8AC0" w14:textId="46C92BDE" w:rsidR="00D441F0" w:rsidRPr="00D441F0" w:rsidRDefault="002837DA" w:rsidP="00D441F0">
      <w:pPr>
        <w:pStyle w:val="ListParagraph"/>
        <w:numPr>
          <w:ilvl w:val="0"/>
          <w:numId w:val="4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company was influenced, in deciding to give the unfair preference, by a desire to </w:t>
      </w:r>
      <w:r w:rsidR="003818B8">
        <w:rPr>
          <w:rFonts w:ascii="Arial" w:hAnsi="Arial" w:cs="Arial"/>
          <w:color w:val="7B7B7B" w:themeColor="accent3" w:themeShade="BF"/>
          <w:sz w:val="22"/>
          <w:szCs w:val="22"/>
        </w:rPr>
        <w:t>put the recipient into a better position than it otherwise would have been in an insolvent liquidation.</w:t>
      </w:r>
      <w:r w:rsidR="003818B8">
        <w:rPr>
          <w:rStyle w:val="FootnoteReference"/>
          <w:rFonts w:ascii="Arial" w:hAnsi="Arial" w:cs="Arial"/>
          <w:color w:val="7B7B7B" w:themeColor="accent3" w:themeShade="BF"/>
          <w:sz w:val="22"/>
          <w:szCs w:val="22"/>
        </w:rPr>
        <w:footnoteReference w:id="12"/>
      </w:r>
      <w:r w:rsidR="00324939">
        <w:rPr>
          <w:rFonts w:ascii="Arial" w:hAnsi="Arial" w:cs="Arial"/>
          <w:color w:val="7B7B7B" w:themeColor="accent3" w:themeShade="BF"/>
          <w:sz w:val="22"/>
          <w:szCs w:val="22"/>
        </w:rPr>
        <w:t xml:space="preserve">  If the recipient </w:t>
      </w:r>
      <w:proofErr w:type="gramStart"/>
      <w:r w:rsidR="00324939">
        <w:rPr>
          <w:rFonts w:ascii="Arial" w:hAnsi="Arial" w:cs="Arial"/>
          <w:color w:val="7B7B7B" w:themeColor="accent3" w:themeShade="BF"/>
          <w:sz w:val="22"/>
          <w:szCs w:val="22"/>
        </w:rPr>
        <w:t>is connected with</w:t>
      </w:r>
      <w:proofErr w:type="gramEnd"/>
      <w:r w:rsidR="00324939">
        <w:rPr>
          <w:rFonts w:ascii="Arial" w:hAnsi="Arial" w:cs="Arial"/>
          <w:color w:val="7B7B7B" w:themeColor="accent3" w:themeShade="BF"/>
          <w:sz w:val="22"/>
          <w:szCs w:val="22"/>
        </w:rPr>
        <w:t xml:space="preserve"> the company, such desire is presumed.</w:t>
      </w:r>
      <w:r w:rsidR="00324939">
        <w:rPr>
          <w:rStyle w:val="FootnoteReference"/>
          <w:rFonts w:ascii="Arial" w:hAnsi="Arial" w:cs="Arial"/>
          <w:color w:val="7B7B7B" w:themeColor="accent3" w:themeShade="BF"/>
          <w:sz w:val="22"/>
          <w:szCs w:val="22"/>
        </w:rPr>
        <w:footnoteReference w:id="13"/>
      </w:r>
    </w:p>
    <w:p w14:paraId="18A43450" w14:textId="77777777" w:rsidR="0001040C" w:rsidRDefault="0001040C" w:rsidP="007F67EC">
      <w:pPr>
        <w:jc w:val="both"/>
        <w:rPr>
          <w:rFonts w:ascii="Arial" w:hAnsi="Arial" w:cs="Arial"/>
          <w:color w:val="7B7B7B" w:themeColor="accent3" w:themeShade="BF"/>
          <w:sz w:val="22"/>
          <w:szCs w:val="22"/>
        </w:rPr>
      </w:pPr>
    </w:p>
    <w:p w14:paraId="150A4C76" w14:textId="67A9B0FA" w:rsidR="007F67EC" w:rsidRPr="00167DE5" w:rsidRDefault="007624C9" w:rsidP="007624C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It should be noted that in practice, it is difficult to demonstrate a company’s influence </w:t>
      </w:r>
      <w:proofErr w:type="gramStart"/>
      <w:r>
        <w:rPr>
          <w:rFonts w:ascii="Arial" w:hAnsi="Arial" w:cs="Arial"/>
          <w:color w:val="7B7B7B" w:themeColor="accent3" w:themeShade="BF"/>
          <w:sz w:val="22"/>
          <w:szCs w:val="22"/>
        </w:rPr>
        <w:t>to</w:t>
      </w:r>
      <w:proofErr w:type="gramEnd"/>
      <w:r>
        <w:rPr>
          <w:rFonts w:ascii="Arial" w:hAnsi="Arial" w:cs="Arial"/>
          <w:color w:val="7B7B7B" w:themeColor="accent3" w:themeShade="BF"/>
          <w:sz w:val="22"/>
          <w:szCs w:val="22"/>
        </w:rPr>
        <w:t xml:space="preserve"> desire.  However, the court has shown that it is prepared to consider whether such desire exists of which the onus is on the liquidator to show (as mentioned above).</w:t>
      </w: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 xml:space="preserve">Hong Kong has limited formal arrangements to deal with cross-border insolvency.  Given that Hong Kong and the Mainland are one country, does this statement stand correct for the </w:t>
      </w:r>
      <w:proofErr w:type="gramStart"/>
      <w:r w:rsidRPr="00DE2CA5">
        <w:rPr>
          <w:rFonts w:ascii="Arial" w:hAnsi="Arial" w:cs="Arial"/>
          <w:sz w:val="22"/>
          <w:szCs w:val="22"/>
        </w:rPr>
        <w:t>Mainland</w:t>
      </w:r>
      <w:proofErr w:type="gramEnd"/>
      <w:r w:rsidRPr="00DE2CA5">
        <w:rPr>
          <w:rFonts w:ascii="Arial" w:hAnsi="Arial" w:cs="Arial"/>
          <w:sz w:val="22"/>
          <w:szCs w:val="22"/>
        </w:rPr>
        <w:t>?  Discuss</w:t>
      </w:r>
      <w:r>
        <w:rPr>
          <w:rFonts w:ascii="Arial" w:hAnsi="Arial" w:cs="Arial"/>
          <w:sz w:val="22"/>
          <w:szCs w:val="22"/>
        </w:rPr>
        <w:t>.</w:t>
      </w:r>
    </w:p>
    <w:p w14:paraId="5C933A20" w14:textId="77777777" w:rsidR="003765EF" w:rsidRPr="00DE2CA5" w:rsidRDefault="003765EF" w:rsidP="00E14FA7">
      <w:pPr>
        <w:jc w:val="both"/>
        <w:rPr>
          <w:rFonts w:ascii="Arial" w:hAnsi="Arial" w:cs="Arial"/>
          <w:sz w:val="22"/>
          <w:szCs w:val="22"/>
        </w:rPr>
      </w:pPr>
    </w:p>
    <w:p w14:paraId="5F291623" w14:textId="0CB30BE9" w:rsidR="00EC22E7" w:rsidRDefault="00FF2421" w:rsidP="00671C3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May 2021, a new arrangement concerning mutual recognition and assistance between Hong Kong and certain courts of the </w:t>
      </w:r>
      <w:proofErr w:type="gramStart"/>
      <w:r>
        <w:rPr>
          <w:rFonts w:ascii="Arial" w:hAnsi="Arial" w:cs="Arial"/>
          <w:color w:val="7B7B7B" w:themeColor="accent3" w:themeShade="BF"/>
          <w:sz w:val="22"/>
          <w:szCs w:val="22"/>
        </w:rPr>
        <w:t>Mainland</w:t>
      </w:r>
      <w:proofErr w:type="gramEnd"/>
      <w:r>
        <w:rPr>
          <w:rFonts w:ascii="Arial" w:hAnsi="Arial" w:cs="Arial"/>
          <w:color w:val="7B7B7B" w:themeColor="accent3" w:themeShade="BF"/>
          <w:sz w:val="22"/>
          <w:szCs w:val="22"/>
        </w:rPr>
        <w:t xml:space="preserve"> was signed into being (</w:t>
      </w:r>
      <w:r>
        <w:rPr>
          <w:rFonts w:ascii="Arial" w:hAnsi="Arial" w:cs="Arial"/>
          <w:b/>
          <w:bCs/>
          <w:color w:val="7B7B7B" w:themeColor="accent3" w:themeShade="BF"/>
          <w:sz w:val="22"/>
          <w:szCs w:val="22"/>
        </w:rPr>
        <w:t>“the Cooperation Mechanism”</w:t>
      </w:r>
      <w:r>
        <w:rPr>
          <w:rFonts w:ascii="Arial" w:hAnsi="Arial" w:cs="Arial"/>
          <w:color w:val="7B7B7B" w:themeColor="accent3" w:themeShade="BF"/>
          <w:sz w:val="22"/>
          <w:szCs w:val="22"/>
        </w:rPr>
        <w:t>).  The Cooperation Mechanis</w:t>
      </w:r>
      <w:r w:rsidR="00427916">
        <w:rPr>
          <w:rFonts w:ascii="Arial" w:hAnsi="Arial" w:cs="Arial"/>
          <w:color w:val="7B7B7B" w:themeColor="accent3" w:themeShade="BF"/>
          <w:sz w:val="22"/>
          <w:szCs w:val="22"/>
        </w:rPr>
        <w:t xml:space="preserve">m provides the necessary procedures required by Hong Kong office holders </w:t>
      </w:r>
      <w:r w:rsidR="00977897">
        <w:rPr>
          <w:rFonts w:ascii="Arial" w:hAnsi="Arial" w:cs="Arial"/>
          <w:color w:val="7B7B7B" w:themeColor="accent3" w:themeShade="BF"/>
          <w:sz w:val="22"/>
          <w:szCs w:val="22"/>
        </w:rPr>
        <w:t>(liquidator</w:t>
      </w:r>
      <w:r w:rsidR="000736FD">
        <w:rPr>
          <w:rFonts w:ascii="Arial" w:hAnsi="Arial" w:cs="Arial"/>
          <w:color w:val="7B7B7B" w:themeColor="accent3" w:themeShade="BF"/>
          <w:sz w:val="22"/>
          <w:szCs w:val="22"/>
        </w:rPr>
        <w:t>s</w:t>
      </w:r>
      <w:r w:rsidR="00977897">
        <w:rPr>
          <w:rFonts w:ascii="Arial" w:hAnsi="Arial" w:cs="Arial"/>
          <w:color w:val="7B7B7B" w:themeColor="accent3" w:themeShade="BF"/>
          <w:sz w:val="22"/>
          <w:szCs w:val="22"/>
        </w:rPr>
        <w:t xml:space="preserve"> </w:t>
      </w:r>
      <w:r w:rsidR="000736FD">
        <w:rPr>
          <w:rFonts w:ascii="Arial" w:hAnsi="Arial" w:cs="Arial"/>
          <w:color w:val="7B7B7B" w:themeColor="accent3" w:themeShade="BF"/>
          <w:sz w:val="22"/>
          <w:szCs w:val="22"/>
        </w:rPr>
        <w:t>and</w:t>
      </w:r>
      <w:r w:rsidR="00977897">
        <w:rPr>
          <w:rFonts w:ascii="Arial" w:hAnsi="Arial" w:cs="Arial"/>
          <w:color w:val="7B7B7B" w:themeColor="accent3" w:themeShade="BF"/>
          <w:sz w:val="22"/>
          <w:szCs w:val="22"/>
        </w:rPr>
        <w:t xml:space="preserve"> provisional liquidator</w:t>
      </w:r>
      <w:r w:rsidR="000736FD">
        <w:rPr>
          <w:rFonts w:ascii="Arial" w:hAnsi="Arial" w:cs="Arial"/>
          <w:color w:val="7B7B7B" w:themeColor="accent3" w:themeShade="BF"/>
          <w:sz w:val="22"/>
          <w:szCs w:val="22"/>
        </w:rPr>
        <w:t>s</w:t>
      </w:r>
      <w:r w:rsidR="00977897">
        <w:rPr>
          <w:rFonts w:ascii="Arial" w:hAnsi="Arial" w:cs="Arial"/>
          <w:color w:val="7B7B7B" w:themeColor="accent3" w:themeShade="BF"/>
          <w:sz w:val="22"/>
          <w:szCs w:val="22"/>
        </w:rPr>
        <w:t xml:space="preserve">) </w:t>
      </w:r>
      <w:r w:rsidR="00427916">
        <w:rPr>
          <w:rFonts w:ascii="Arial" w:hAnsi="Arial" w:cs="Arial"/>
          <w:color w:val="7B7B7B" w:themeColor="accent3" w:themeShade="BF"/>
          <w:sz w:val="22"/>
          <w:szCs w:val="22"/>
        </w:rPr>
        <w:t xml:space="preserve">to obtain recognition and assistance by the Intermediate People’s Courts in the following three pilot cities in the </w:t>
      </w:r>
      <w:proofErr w:type="gramStart"/>
      <w:r w:rsidR="00427916">
        <w:rPr>
          <w:rFonts w:ascii="Arial" w:hAnsi="Arial" w:cs="Arial"/>
          <w:color w:val="7B7B7B" w:themeColor="accent3" w:themeShade="BF"/>
          <w:sz w:val="22"/>
          <w:szCs w:val="22"/>
        </w:rPr>
        <w:t>Mainland</w:t>
      </w:r>
      <w:proofErr w:type="gramEnd"/>
      <w:r w:rsidR="00427916">
        <w:rPr>
          <w:rFonts w:ascii="Arial" w:hAnsi="Arial" w:cs="Arial"/>
          <w:color w:val="7B7B7B" w:themeColor="accent3" w:themeShade="BF"/>
          <w:sz w:val="22"/>
          <w:szCs w:val="22"/>
        </w:rPr>
        <w:t>:</w:t>
      </w:r>
      <w:r w:rsidR="00427916">
        <w:rPr>
          <w:rStyle w:val="FootnoteReference"/>
          <w:rFonts w:ascii="Arial" w:hAnsi="Arial" w:cs="Arial"/>
          <w:color w:val="7B7B7B" w:themeColor="accent3" w:themeShade="BF"/>
          <w:sz w:val="22"/>
          <w:szCs w:val="22"/>
        </w:rPr>
        <w:footnoteReference w:id="14"/>
      </w:r>
    </w:p>
    <w:p w14:paraId="53EEEE05" w14:textId="77777777" w:rsidR="00427916" w:rsidRDefault="00427916" w:rsidP="00671C30">
      <w:pPr>
        <w:jc w:val="both"/>
        <w:rPr>
          <w:rFonts w:ascii="Arial" w:hAnsi="Arial" w:cs="Arial"/>
          <w:color w:val="7B7B7B" w:themeColor="accent3" w:themeShade="BF"/>
          <w:sz w:val="22"/>
          <w:szCs w:val="22"/>
        </w:rPr>
      </w:pPr>
    </w:p>
    <w:p w14:paraId="55688BAE" w14:textId="5BEECEA2" w:rsidR="00427916" w:rsidRDefault="00427916" w:rsidP="00427916">
      <w:pPr>
        <w:pStyle w:val="ListParagraph"/>
        <w:numPr>
          <w:ilvl w:val="0"/>
          <w:numId w:val="42"/>
        </w:numPr>
        <w:jc w:val="both"/>
        <w:rPr>
          <w:rFonts w:ascii="Arial" w:hAnsi="Arial" w:cs="Arial"/>
          <w:color w:val="7B7B7B" w:themeColor="accent3" w:themeShade="BF"/>
          <w:sz w:val="22"/>
          <w:szCs w:val="22"/>
        </w:rPr>
      </w:pPr>
      <w:proofErr w:type="gramStart"/>
      <w:r>
        <w:rPr>
          <w:rFonts w:ascii="Arial" w:hAnsi="Arial" w:cs="Arial"/>
          <w:color w:val="7B7B7B" w:themeColor="accent3" w:themeShade="BF"/>
          <w:sz w:val="22"/>
          <w:szCs w:val="22"/>
        </w:rPr>
        <w:t>Shenzhen;</w:t>
      </w:r>
      <w:proofErr w:type="gramEnd"/>
    </w:p>
    <w:p w14:paraId="2D0A4728" w14:textId="3D110210" w:rsidR="00427916" w:rsidRDefault="00427916" w:rsidP="00427916">
      <w:pPr>
        <w:pStyle w:val="ListParagraph"/>
        <w:numPr>
          <w:ilvl w:val="0"/>
          <w:numId w:val="4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Shanghai; and,</w:t>
      </w:r>
    </w:p>
    <w:p w14:paraId="3006E28D" w14:textId="6BED4B63" w:rsidR="00427916" w:rsidRPr="00427916" w:rsidRDefault="00427916" w:rsidP="00427916">
      <w:pPr>
        <w:pStyle w:val="ListParagraph"/>
        <w:numPr>
          <w:ilvl w:val="0"/>
          <w:numId w:val="4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Xiamen.</w:t>
      </w:r>
    </w:p>
    <w:p w14:paraId="18A80189" w14:textId="77777777" w:rsidR="00EC22E7" w:rsidRDefault="00EC22E7" w:rsidP="00671C30">
      <w:pPr>
        <w:jc w:val="both"/>
        <w:rPr>
          <w:rFonts w:ascii="Arial" w:hAnsi="Arial" w:cs="Arial"/>
          <w:color w:val="7B7B7B" w:themeColor="accent3" w:themeShade="BF"/>
          <w:sz w:val="22"/>
          <w:szCs w:val="22"/>
        </w:rPr>
      </w:pPr>
    </w:p>
    <w:p w14:paraId="6A205844" w14:textId="674A12B3" w:rsidR="00D84B4F" w:rsidRDefault="00D84B4F" w:rsidP="00671C3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Cooperation Mechanism also provides the procedures to Mainland officeholders</w:t>
      </w:r>
      <w:r w:rsidR="007034ED">
        <w:rPr>
          <w:rFonts w:ascii="Arial" w:hAnsi="Arial" w:cs="Arial"/>
          <w:color w:val="7B7B7B" w:themeColor="accent3" w:themeShade="BF"/>
          <w:sz w:val="22"/>
          <w:szCs w:val="22"/>
        </w:rPr>
        <w:t xml:space="preserve"> (administrators in Mainland bankruptcy proceedings)</w:t>
      </w:r>
      <w:r>
        <w:rPr>
          <w:rFonts w:ascii="Arial" w:hAnsi="Arial" w:cs="Arial"/>
          <w:color w:val="7B7B7B" w:themeColor="accent3" w:themeShade="BF"/>
          <w:sz w:val="22"/>
          <w:szCs w:val="22"/>
        </w:rPr>
        <w:t xml:space="preserve"> to obtain recognition and assistance in Hong Kong.</w:t>
      </w:r>
      <w:r w:rsidR="007034ED">
        <w:rPr>
          <w:rStyle w:val="FootnoteReference"/>
          <w:rFonts w:ascii="Arial" w:hAnsi="Arial" w:cs="Arial"/>
          <w:color w:val="7B7B7B" w:themeColor="accent3" w:themeShade="BF"/>
          <w:sz w:val="22"/>
          <w:szCs w:val="22"/>
        </w:rPr>
        <w:footnoteReference w:id="15"/>
      </w:r>
    </w:p>
    <w:p w14:paraId="21481B3E" w14:textId="77777777" w:rsidR="006B3BF7" w:rsidRDefault="006B3BF7" w:rsidP="00671C30">
      <w:pPr>
        <w:jc w:val="both"/>
        <w:rPr>
          <w:rFonts w:ascii="Arial" w:hAnsi="Arial" w:cs="Arial"/>
          <w:color w:val="7B7B7B" w:themeColor="accent3" w:themeShade="BF"/>
          <w:sz w:val="22"/>
          <w:szCs w:val="22"/>
        </w:rPr>
      </w:pPr>
    </w:p>
    <w:p w14:paraId="38B4A5E3" w14:textId="56B696ED" w:rsidR="006B3BF7" w:rsidRDefault="005410B2" w:rsidP="00671C3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Prior to the Cooperation Mechanism, the Hong Kong Courts were willing to recognize administrators appointed in the </w:t>
      </w:r>
      <w:proofErr w:type="gramStart"/>
      <w:r>
        <w:rPr>
          <w:rFonts w:ascii="Arial" w:hAnsi="Arial" w:cs="Arial"/>
          <w:color w:val="7B7B7B" w:themeColor="accent3" w:themeShade="BF"/>
          <w:sz w:val="22"/>
          <w:szCs w:val="22"/>
        </w:rPr>
        <w:t>Mainland</w:t>
      </w:r>
      <w:proofErr w:type="gramEnd"/>
      <w:r>
        <w:rPr>
          <w:rFonts w:ascii="Arial" w:hAnsi="Arial" w:cs="Arial"/>
          <w:color w:val="7B7B7B" w:themeColor="accent3" w:themeShade="BF"/>
          <w:sz w:val="22"/>
          <w:szCs w:val="22"/>
        </w:rPr>
        <w:t xml:space="preserve"> however, there were no reciprocal examples of the Mainland granting formal recognition of a foreign liquidator.  Therefore, despite Hong Kong and the Mainland being one country, the Cooperation Mechanism was an important development in the area of cross-border insolvency between them.</w:t>
      </w:r>
      <w:r>
        <w:rPr>
          <w:rStyle w:val="FootnoteReference"/>
          <w:rFonts w:ascii="Arial" w:hAnsi="Arial" w:cs="Arial"/>
          <w:color w:val="7B7B7B" w:themeColor="accent3" w:themeShade="BF"/>
          <w:sz w:val="22"/>
          <w:szCs w:val="22"/>
        </w:rPr>
        <w:footnoteReference w:id="16"/>
      </w:r>
    </w:p>
    <w:p w14:paraId="4A413C75" w14:textId="77777777" w:rsidR="00BF0907" w:rsidRDefault="00BF0907" w:rsidP="00671C30">
      <w:pPr>
        <w:jc w:val="both"/>
        <w:rPr>
          <w:rFonts w:ascii="Arial" w:hAnsi="Arial" w:cs="Arial"/>
          <w:color w:val="7B7B7B" w:themeColor="accent3" w:themeShade="BF"/>
          <w:sz w:val="22"/>
          <w:szCs w:val="22"/>
        </w:rPr>
      </w:pPr>
    </w:p>
    <w:p w14:paraId="147D36C9" w14:textId="1E45C9DA" w:rsidR="00A3682F" w:rsidRDefault="00A3682F" w:rsidP="00671C3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For completeness, </w:t>
      </w:r>
      <w:r w:rsidR="00BD155D">
        <w:rPr>
          <w:rFonts w:ascii="Arial" w:hAnsi="Arial" w:cs="Arial"/>
          <w:color w:val="7B7B7B" w:themeColor="accent3" w:themeShade="BF"/>
          <w:sz w:val="22"/>
          <w:szCs w:val="22"/>
        </w:rPr>
        <w:t xml:space="preserve">in respect of Hong Kong proceedings, the Hong Kong Court will require a letter of request and evidence of the officeholder’s claim against assets held in one of the three pilot areas mentioned above.  </w:t>
      </w:r>
      <w:r w:rsidR="005C0EC4">
        <w:rPr>
          <w:rFonts w:ascii="Arial" w:hAnsi="Arial" w:cs="Arial"/>
          <w:color w:val="7B7B7B" w:themeColor="accent3" w:themeShade="BF"/>
          <w:sz w:val="22"/>
          <w:szCs w:val="22"/>
        </w:rPr>
        <w:t>Should the Hong Kong Court agree that one of the three pilot areas is the appropriate jurisdiction to recover a company’s assets, the letter of request is likely to be granted.</w:t>
      </w:r>
      <w:r w:rsidR="00763DD7">
        <w:rPr>
          <w:rStyle w:val="FootnoteReference"/>
          <w:rFonts w:ascii="Arial" w:hAnsi="Arial" w:cs="Arial"/>
          <w:color w:val="7B7B7B" w:themeColor="accent3" w:themeShade="BF"/>
          <w:sz w:val="22"/>
          <w:szCs w:val="22"/>
        </w:rPr>
        <w:footnoteReference w:id="17"/>
      </w:r>
    </w:p>
    <w:p w14:paraId="56CDCA5D" w14:textId="62A0D831" w:rsidR="00F413A1" w:rsidRDefault="00F413A1" w:rsidP="00671C30">
      <w:pPr>
        <w:jc w:val="both"/>
        <w:rPr>
          <w:rFonts w:ascii="Arial" w:hAnsi="Arial" w:cs="Arial"/>
          <w:color w:val="7B7B7B" w:themeColor="accent3" w:themeShade="BF"/>
          <w:sz w:val="22"/>
          <w:szCs w:val="22"/>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0885782C" w14:textId="77777777" w:rsidR="00993D16" w:rsidRDefault="00993D16" w:rsidP="00E14FA7">
      <w:pPr>
        <w:jc w:val="both"/>
        <w:rPr>
          <w:rFonts w:ascii="Arial" w:hAnsi="Arial" w:cs="Arial"/>
          <w:sz w:val="22"/>
          <w:szCs w:val="22"/>
        </w:rPr>
      </w:pPr>
    </w:p>
    <w:p w14:paraId="79993161" w14:textId="17998CAF" w:rsidR="003B66CB" w:rsidRDefault="008D1D63" w:rsidP="003B657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S</w:t>
      </w:r>
      <w:r w:rsidR="003B66CB">
        <w:rPr>
          <w:rFonts w:ascii="Arial" w:hAnsi="Arial" w:cs="Arial"/>
          <w:color w:val="7B7B7B" w:themeColor="accent3" w:themeShade="BF"/>
          <w:sz w:val="22"/>
          <w:szCs w:val="22"/>
        </w:rPr>
        <w:t>ection 66</w:t>
      </w:r>
      <w:r w:rsidR="00402F6C">
        <w:rPr>
          <w:rFonts w:ascii="Arial" w:hAnsi="Arial" w:cs="Arial"/>
          <w:color w:val="7B7B7B" w:themeColor="accent3" w:themeShade="BF"/>
          <w:sz w:val="22"/>
          <w:szCs w:val="22"/>
        </w:rPr>
        <w:t>9</w:t>
      </w:r>
      <w:r w:rsidR="003B66CB">
        <w:rPr>
          <w:rFonts w:ascii="Arial" w:hAnsi="Arial" w:cs="Arial"/>
          <w:color w:val="7B7B7B" w:themeColor="accent3" w:themeShade="BF"/>
          <w:sz w:val="22"/>
          <w:szCs w:val="22"/>
        </w:rPr>
        <w:t xml:space="preserve"> of </w:t>
      </w:r>
      <w:r w:rsidR="0000437B">
        <w:rPr>
          <w:rFonts w:ascii="Arial" w:hAnsi="Arial" w:cs="Arial"/>
          <w:color w:val="7B7B7B" w:themeColor="accent3" w:themeShade="BF"/>
          <w:sz w:val="22"/>
          <w:szCs w:val="22"/>
        </w:rPr>
        <w:t>the</w:t>
      </w:r>
      <w:r w:rsidR="00F24EE2">
        <w:rPr>
          <w:rFonts w:ascii="Arial" w:hAnsi="Arial" w:cs="Arial"/>
          <w:color w:val="7B7B7B" w:themeColor="accent3" w:themeShade="BF"/>
          <w:sz w:val="22"/>
          <w:szCs w:val="22"/>
        </w:rPr>
        <w:t xml:space="preserve"> Companies Ordinance </w:t>
      </w:r>
      <w:r w:rsidR="00402F6C">
        <w:rPr>
          <w:rFonts w:ascii="Arial" w:hAnsi="Arial" w:cs="Arial"/>
          <w:color w:val="7B7B7B" w:themeColor="accent3" w:themeShade="BF"/>
          <w:sz w:val="22"/>
          <w:szCs w:val="22"/>
        </w:rPr>
        <w:t xml:space="preserve">provides that a scheme of arrangement can be proposed to be entered into by a company with its creditors or members or any class of </w:t>
      </w:r>
      <w:proofErr w:type="gramStart"/>
      <w:r w:rsidR="00402F6C">
        <w:rPr>
          <w:rFonts w:ascii="Arial" w:hAnsi="Arial" w:cs="Arial"/>
          <w:color w:val="7B7B7B" w:themeColor="accent3" w:themeShade="BF"/>
          <w:sz w:val="22"/>
          <w:szCs w:val="22"/>
        </w:rPr>
        <w:t>them, as the case may be</w:t>
      </w:r>
      <w:proofErr w:type="gramEnd"/>
      <w:r w:rsidR="00402F6C">
        <w:rPr>
          <w:rFonts w:ascii="Arial" w:hAnsi="Arial" w:cs="Arial"/>
          <w:color w:val="7B7B7B" w:themeColor="accent3" w:themeShade="BF"/>
          <w:sz w:val="22"/>
          <w:szCs w:val="22"/>
        </w:rPr>
        <w:t>.</w:t>
      </w:r>
      <w:r w:rsidR="008558D6">
        <w:rPr>
          <w:rStyle w:val="FootnoteReference"/>
          <w:rFonts w:ascii="Arial" w:hAnsi="Arial" w:cs="Arial"/>
          <w:color w:val="7B7B7B" w:themeColor="accent3" w:themeShade="BF"/>
          <w:sz w:val="22"/>
          <w:szCs w:val="22"/>
        </w:rPr>
        <w:footnoteReference w:id="18"/>
      </w:r>
      <w:r w:rsidR="00533A07">
        <w:rPr>
          <w:rFonts w:ascii="Arial" w:hAnsi="Arial" w:cs="Arial"/>
          <w:color w:val="7B7B7B" w:themeColor="accent3" w:themeShade="BF"/>
          <w:sz w:val="22"/>
          <w:szCs w:val="22"/>
        </w:rPr>
        <w:t xml:space="preserve">  </w:t>
      </w:r>
      <w:r w:rsidR="00711C71">
        <w:rPr>
          <w:rFonts w:ascii="Arial" w:hAnsi="Arial" w:cs="Arial"/>
          <w:color w:val="7B7B7B" w:themeColor="accent3" w:themeShade="BF"/>
          <w:sz w:val="22"/>
          <w:szCs w:val="22"/>
        </w:rPr>
        <w:t>For illustrative purposes, s</w:t>
      </w:r>
      <w:r w:rsidR="00533A07">
        <w:rPr>
          <w:rFonts w:ascii="Arial" w:hAnsi="Arial" w:cs="Arial"/>
          <w:color w:val="7B7B7B" w:themeColor="accent3" w:themeShade="BF"/>
          <w:sz w:val="22"/>
          <w:szCs w:val="22"/>
        </w:rPr>
        <w:t xml:space="preserve">chemes of arrangement </w:t>
      </w:r>
      <w:r w:rsidR="00711C71">
        <w:rPr>
          <w:rFonts w:ascii="Arial" w:hAnsi="Arial" w:cs="Arial"/>
          <w:color w:val="7B7B7B" w:themeColor="accent3" w:themeShade="BF"/>
          <w:sz w:val="22"/>
          <w:szCs w:val="22"/>
        </w:rPr>
        <w:t xml:space="preserve">can </w:t>
      </w:r>
      <w:r w:rsidR="00533A07">
        <w:rPr>
          <w:rFonts w:ascii="Arial" w:hAnsi="Arial" w:cs="Arial"/>
          <w:color w:val="7B7B7B" w:themeColor="accent3" w:themeShade="BF"/>
          <w:sz w:val="22"/>
          <w:szCs w:val="22"/>
        </w:rPr>
        <w:t xml:space="preserve">include the adjustment of debts owed to creditors </w:t>
      </w:r>
      <w:r w:rsidR="00711C71">
        <w:rPr>
          <w:rFonts w:ascii="Arial" w:hAnsi="Arial" w:cs="Arial"/>
          <w:color w:val="7B7B7B" w:themeColor="accent3" w:themeShade="BF"/>
          <w:sz w:val="22"/>
          <w:szCs w:val="22"/>
        </w:rPr>
        <w:t>or</w:t>
      </w:r>
      <w:r w:rsidR="00533A07">
        <w:rPr>
          <w:rFonts w:ascii="Arial" w:hAnsi="Arial" w:cs="Arial"/>
          <w:color w:val="7B7B7B" w:themeColor="accent3" w:themeShade="BF"/>
          <w:sz w:val="22"/>
          <w:szCs w:val="22"/>
        </w:rPr>
        <w:t xml:space="preserve"> </w:t>
      </w:r>
      <w:r w:rsidR="00711C71">
        <w:rPr>
          <w:rFonts w:ascii="Arial" w:hAnsi="Arial" w:cs="Arial"/>
          <w:color w:val="7B7B7B" w:themeColor="accent3" w:themeShade="BF"/>
          <w:sz w:val="22"/>
          <w:szCs w:val="22"/>
        </w:rPr>
        <w:t>the consolidation or division of shares of different classes, for example.</w:t>
      </w:r>
      <w:r w:rsidR="003636CF">
        <w:rPr>
          <w:rStyle w:val="FootnoteReference"/>
          <w:rFonts w:ascii="Arial" w:hAnsi="Arial" w:cs="Arial"/>
          <w:color w:val="7B7B7B" w:themeColor="accent3" w:themeShade="BF"/>
          <w:sz w:val="22"/>
          <w:szCs w:val="22"/>
        </w:rPr>
        <w:footnoteReference w:id="19"/>
      </w:r>
    </w:p>
    <w:p w14:paraId="75566898" w14:textId="77777777" w:rsidR="001B180D" w:rsidRDefault="001B180D" w:rsidP="003B6575">
      <w:pPr>
        <w:jc w:val="both"/>
        <w:rPr>
          <w:rFonts w:ascii="Arial" w:hAnsi="Arial" w:cs="Arial"/>
          <w:color w:val="7B7B7B" w:themeColor="accent3" w:themeShade="BF"/>
          <w:sz w:val="22"/>
          <w:szCs w:val="22"/>
        </w:rPr>
      </w:pPr>
    </w:p>
    <w:p w14:paraId="6178D72A" w14:textId="458908F9" w:rsidR="00D72189" w:rsidRDefault="00D72189" w:rsidP="003B657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Pros include:</w:t>
      </w:r>
    </w:p>
    <w:p w14:paraId="4B3D28DC" w14:textId="0DE66E24" w:rsidR="001B180D" w:rsidRDefault="00002387" w:rsidP="00E33C3D">
      <w:pPr>
        <w:pStyle w:val="ListParagraph"/>
        <w:numPr>
          <w:ilvl w:val="0"/>
          <w:numId w:val="3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w:t>
      </w:r>
      <w:r w:rsidR="00197DC4">
        <w:rPr>
          <w:rFonts w:ascii="Arial" w:hAnsi="Arial" w:cs="Arial"/>
          <w:color w:val="7B7B7B" w:themeColor="accent3" w:themeShade="BF"/>
          <w:sz w:val="22"/>
          <w:szCs w:val="22"/>
        </w:rPr>
        <w:t xml:space="preserve"> scheme of arrangement is approved at a meeting of creditors</w:t>
      </w:r>
      <w:r w:rsidR="00E90F6A">
        <w:rPr>
          <w:rFonts w:ascii="Arial" w:hAnsi="Arial" w:cs="Arial"/>
          <w:color w:val="7B7B7B" w:themeColor="accent3" w:themeShade="BF"/>
          <w:sz w:val="22"/>
          <w:szCs w:val="22"/>
        </w:rPr>
        <w:t xml:space="preserve"> or members, as the case may be,</w:t>
      </w:r>
      <w:r w:rsidR="00197DC4">
        <w:rPr>
          <w:rFonts w:ascii="Arial" w:hAnsi="Arial" w:cs="Arial"/>
          <w:color w:val="7B7B7B" w:themeColor="accent3" w:themeShade="BF"/>
          <w:sz w:val="22"/>
          <w:szCs w:val="22"/>
        </w:rPr>
        <w:t xml:space="preserve"> where the majority in number (i.e. more than 50%) representing at least 75% in value of the creditors</w:t>
      </w:r>
      <w:r w:rsidR="00E90F6A">
        <w:rPr>
          <w:rFonts w:ascii="Arial" w:hAnsi="Arial" w:cs="Arial"/>
          <w:color w:val="7B7B7B" w:themeColor="accent3" w:themeShade="BF"/>
          <w:sz w:val="22"/>
          <w:szCs w:val="22"/>
        </w:rPr>
        <w:t xml:space="preserve"> or members (again, as the case may be)</w:t>
      </w:r>
      <w:r w:rsidR="00197DC4">
        <w:rPr>
          <w:rFonts w:ascii="Arial" w:hAnsi="Arial" w:cs="Arial"/>
          <w:color w:val="7B7B7B" w:themeColor="accent3" w:themeShade="BF"/>
          <w:sz w:val="22"/>
          <w:szCs w:val="22"/>
        </w:rPr>
        <w:t xml:space="preserve"> present and voting, in person or by proxy, agree to the scheme.</w:t>
      </w:r>
      <w:r w:rsidR="00290F1A">
        <w:rPr>
          <w:rStyle w:val="FootnoteReference"/>
          <w:rFonts w:ascii="Arial" w:hAnsi="Arial" w:cs="Arial"/>
          <w:color w:val="7B7B7B" w:themeColor="accent3" w:themeShade="BF"/>
          <w:sz w:val="22"/>
          <w:szCs w:val="22"/>
        </w:rPr>
        <w:footnoteReference w:id="20"/>
      </w:r>
      <w:r w:rsidR="00290F1A">
        <w:rPr>
          <w:rFonts w:ascii="Arial" w:hAnsi="Arial" w:cs="Arial"/>
          <w:color w:val="7B7B7B" w:themeColor="accent3" w:themeShade="BF"/>
          <w:sz w:val="22"/>
          <w:szCs w:val="22"/>
        </w:rPr>
        <w:t xml:space="preserve">  Without access to the scheme of arrangement, </w:t>
      </w:r>
      <w:r w:rsidR="00FE7B31">
        <w:rPr>
          <w:rFonts w:ascii="Arial" w:hAnsi="Arial" w:cs="Arial"/>
          <w:color w:val="7B7B7B" w:themeColor="accent3" w:themeShade="BF"/>
          <w:sz w:val="22"/>
          <w:szCs w:val="22"/>
        </w:rPr>
        <w:t xml:space="preserve">the approval of </w:t>
      </w:r>
      <w:r w:rsidR="00290F1A">
        <w:rPr>
          <w:rFonts w:ascii="Arial" w:hAnsi="Arial" w:cs="Arial"/>
          <w:color w:val="7B7B7B" w:themeColor="accent3" w:themeShade="BF"/>
          <w:sz w:val="22"/>
          <w:szCs w:val="22"/>
        </w:rPr>
        <w:t xml:space="preserve">100% of the </w:t>
      </w:r>
      <w:r w:rsidR="00ED5445">
        <w:rPr>
          <w:rFonts w:ascii="Arial" w:hAnsi="Arial" w:cs="Arial"/>
          <w:color w:val="7B7B7B" w:themeColor="accent3" w:themeShade="BF"/>
          <w:sz w:val="22"/>
          <w:szCs w:val="22"/>
        </w:rPr>
        <w:t xml:space="preserve">creditors or members, as the case may be, would likely be required to </w:t>
      </w:r>
      <w:r w:rsidR="009B459D">
        <w:rPr>
          <w:rFonts w:ascii="Arial" w:hAnsi="Arial" w:cs="Arial"/>
          <w:color w:val="7B7B7B" w:themeColor="accent3" w:themeShade="BF"/>
          <w:sz w:val="22"/>
          <w:szCs w:val="22"/>
        </w:rPr>
        <w:t xml:space="preserve">implement a restructuring or reorganization.  </w:t>
      </w:r>
      <w:r w:rsidR="007D2BFE">
        <w:rPr>
          <w:rFonts w:ascii="Arial" w:hAnsi="Arial" w:cs="Arial"/>
          <w:color w:val="7B7B7B" w:themeColor="accent3" w:themeShade="BF"/>
          <w:sz w:val="22"/>
          <w:szCs w:val="22"/>
        </w:rPr>
        <w:t xml:space="preserve">In the scenario of a company with many creditors, it would be next to impossible to obtain unanimous approval from all such creditors, especially </w:t>
      </w:r>
      <w:r w:rsidR="00D61481">
        <w:rPr>
          <w:rFonts w:ascii="Arial" w:hAnsi="Arial" w:cs="Arial"/>
          <w:color w:val="7B7B7B" w:themeColor="accent3" w:themeShade="BF"/>
          <w:sz w:val="22"/>
          <w:szCs w:val="22"/>
        </w:rPr>
        <w:t xml:space="preserve">from </w:t>
      </w:r>
      <w:r w:rsidR="00AB3C89">
        <w:rPr>
          <w:rFonts w:ascii="Arial" w:hAnsi="Arial" w:cs="Arial"/>
          <w:color w:val="7B7B7B" w:themeColor="accent3" w:themeShade="BF"/>
          <w:sz w:val="22"/>
          <w:szCs w:val="22"/>
        </w:rPr>
        <w:t>those with minimal economic interest in a reorganization or restructuring.</w:t>
      </w:r>
    </w:p>
    <w:p w14:paraId="72F7EE34" w14:textId="48A3F8A6" w:rsidR="008D0378" w:rsidRDefault="003C4A9D" w:rsidP="00E33C3D">
      <w:pPr>
        <w:pStyle w:val="ListParagraph"/>
        <w:numPr>
          <w:ilvl w:val="0"/>
          <w:numId w:val="3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D</w:t>
      </w:r>
      <w:r w:rsidR="008D0378">
        <w:rPr>
          <w:rFonts w:ascii="Arial" w:hAnsi="Arial" w:cs="Arial"/>
          <w:color w:val="7B7B7B" w:themeColor="accent3" w:themeShade="BF"/>
          <w:sz w:val="22"/>
          <w:szCs w:val="22"/>
        </w:rPr>
        <w:t>issenting creditor</w:t>
      </w:r>
      <w:r w:rsidR="00EF6DD6">
        <w:rPr>
          <w:rFonts w:ascii="Arial" w:hAnsi="Arial" w:cs="Arial"/>
          <w:color w:val="7B7B7B" w:themeColor="accent3" w:themeShade="BF"/>
          <w:sz w:val="22"/>
          <w:szCs w:val="22"/>
        </w:rPr>
        <w:t>s or members</w:t>
      </w:r>
      <w:r w:rsidR="00021B9A">
        <w:rPr>
          <w:rFonts w:ascii="Arial" w:hAnsi="Arial" w:cs="Arial"/>
          <w:color w:val="7B7B7B" w:themeColor="accent3" w:themeShade="BF"/>
          <w:sz w:val="22"/>
          <w:szCs w:val="22"/>
        </w:rPr>
        <w:t xml:space="preserve"> can be bound </w:t>
      </w:r>
      <w:r w:rsidR="008B3F8F">
        <w:rPr>
          <w:rFonts w:ascii="Arial" w:hAnsi="Arial" w:cs="Arial"/>
          <w:color w:val="7B7B7B" w:themeColor="accent3" w:themeShade="BF"/>
          <w:sz w:val="22"/>
          <w:szCs w:val="22"/>
        </w:rPr>
        <w:t xml:space="preserve">by a scheme of arrangement assuming the requisite majorities (in number and value) vote in favor of the scheme.  Therefore, such dissenting creditors’ ability to block a scheme </w:t>
      </w:r>
      <w:r w:rsidR="008D1885">
        <w:rPr>
          <w:rFonts w:ascii="Arial" w:hAnsi="Arial" w:cs="Arial"/>
          <w:color w:val="7B7B7B" w:themeColor="accent3" w:themeShade="BF"/>
          <w:sz w:val="22"/>
          <w:szCs w:val="22"/>
        </w:rPr>
        <w:t>is limited.</w:t>
      </w:r>
      <w:r w:rsidR="00EF6DD6">
        <w:rPr>
          <w:rFonts w:ascii="Arial" w:hAnsi="Arial" w:cs="Arial"/>
          <w:color w:val="7B7B7B" w:themeColor="accent3" w:themeShade="BF"/>
          <w:sz w:val="22"/>
          <w:szCs w:val="22"/>
        </w:rPr>
        <w:t xml:space="preserve"> </w:t>
      </w:r>
    </w:p>
    <w:p w14:paraId="46D06343" w14:textId="16D36AA5" w:rsidR="00AC2213" w:rsidRPr="00AC2213" w:rsidRDefault="00002387" w:rsidP="00AC2213">
      <w:pPr>
        <w:pStyle w:val="ListParagraph"/>
        <w:numPr>
          <w:ilvl w:val="0"/>
          <w:numId w:val="3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w:t>
      </w:r>
      <w:r w:rsidR="00AC2213">
        <w:rPr>
          <w:rFonts w:ascii="Arial" w:hAnsi="Arial" w:cs="Arial"/>
          <w:color w:val="7B7B7B" w:themeColor="accent3" w:themeShade="BF"/>
          <w:sz w:val="22"/>
          <w:szCs w:val="22"/>
        </w:rPr>
        <w:t>ssuming the requisite approvals are received by the creditors or members or any class of them</w:t>
      </w:r>
      <w:proofErr w:type="gramStart"/>
      <w:r w:rsidR="00AC2213">
        <w:rPr>
          <w:rFonts w:ascii="Arial" w:hAnsi="Arial" w:cs="Arial"/>
          <w:color w:val="7B7B7B" w:themeColor="accent3" w:themeShade="BF"/>
          <w:sz w:val="22"/>
          <w:szCs w:val="22"/>
        </w:rPr>
        <w:t>, as the case may be</w:t>
      </w:r>
      <w:r w:rsidR="00AC2213" w:rsidRPr="00AC2213">
        <w:rPr>
          <w:rFonts w:ascii="Arial" w:hAnsi="Arial" w:cs="Arial"/>
          <w:color w:val="7B7B7B" w:themeColor="accent3" w:themeShade="BF"/>
          <w:sz w:val="22"/>
          <w:szCs w:val="22"/>
        </w:rPr>
        <w:t>, the</w:t>
      </w:r>
      <w:proofErr w:type="gramEnd"/>
      <w:r w:rsidR="00AC2213" w:rsidRPr="00AC2213">
        <w:rPr>
          <w:rFonts w:ascii="Arial" w:hAnsi="Arial" w:cs="Arial"/>
          <w:color w:val="7B7B7B" w:themeColor="accent3" w:themeShade="BF"/>
          <w:sz w:val="22"/>
          <w:szCs w:val="22"/>
        </w:rPr>
        <w:t xml:space="preserve"> Court may sanction </w:t>
      </w:r>
      <w:r w:rsidR="00F828ED">
        <w:rPr>
          <w:rFonts w:ascii="Arial" w:hAnsi="Arial" w:cs="Arial"/>
          <w:color w:val="7B7B7B" w:themeColor="accent3" w:themeShade="BF"/>
          <w:sz w:val="22"/>
          <w:szCs w:val="22"/>
        </w:rPr>
        <w:t>a</w:t>
      </w:r>
      <w:r w:rsidR="00AC2213" w:rsidRPr="00AC2213">
        <w:rPr>
          <w:rFonts w:ascii="Arial" w:hAnsi="Arial" w:cs="Arial"/>
          <w:color w:val="7B7B7B" w:themeColor="accent3" w:themeShade="BF"/>
          <w:sz w:val="22"/>
          <w:szCs w:val="22"/>
        </w:rPr>
        <w:t xml:space="preserve"> scheme</w:t>
      </w:r>
      <w:r w:rsidR="00F828ED">
        <w:rPr>
          <w:rFonts w:ascii="Arial" w:hAnsi="Arial" w:cs="Arial"/>
          <w:color w:val="7B7B7B" w:themeColor="accent3" w:themeShade="BF"/>
          <w:sz w:val="22"/>
          <w:szCs w:val="22"/>
        </w:rPr>
        <w:t xml:space="preserve"> of arrangement</w:t>
      </w:r>
      <w:r w:rsidR="00AC2213" w:rsidRPr="00AC2213">
        <w:rPr>
          <w:rFonts w:ascii="Arial" w:hAnsi="Arial" w:cs="Arial"/>
          <w:color w:val="7B7B7B" w:themeColor="accent3" w:themeShade="BF"/>
          <w:sz w:val="22"/>
          <w:szCs w:val="22"/>
        </w:rPr>
        <w:t xml:space="preserve">.  Upon sanction, the scheme of arrangement is binding on </w:t>
      </w:r>
      <w:r w:rsidR="008D14A0">
        <w:rPr>
          <w:rFonts w:ascii="Arial" w:hAnsi="Arial" w:cs="Arial"/>
          <w:color w:val="7B7B7B" w:themeColor="accent3" w:themeShade="BF"/>
          <w:sz w:val="22"/>
          <w:szCs w:val="22"/>
        </w:rPr>
        <w:t>all</w:t>
      </w:r>
      <w:r w:rsidR="00AC2213" w:rsidRPr="00AC2213">
        <w:rPr>
          <w:rFonts w:ascii="Arial" w:hAnsi="Arial" w:cs="Arial"/>
          <w:color w:val="7B7B7B" w:themeColor="accent3" w:themeShade="BF"/>
          <w:sz w:val="22"/>
          <w:szCs w:val="22"/>
        </w:rPr>
        <w:t xml:space="preserve"> creditors or members or any class of them, as the case may be,</w:t>
      </w:r>
      <w:r w:rsidR="008D14A0">
        <w:rPr>
          <w:rFonts w:ascii="Arial" w:hAnsi="Arial" w:cs="Arial"/>
          <w:color w:val="7B7B7B" w:themeColor="accent3" w:themeShade="BF"/>
          <w:sz w:val="22"/>
          <w:szCs w:val="22"/>
        </w:rPr>
        <w:t xml:space="preserve"> subject to the scheme even if a particular creditor</w:t>
      </w:r>
      <w:r w:rsidR="00727172">
        <w:rPr>
          <w:rFonts w:ascii="Arial" w:hAnsi="Arial" w:cs="Arial"/>
          <w:color w:val="7B7B7B" w:themeColor="accent3" w:themeShade="BF"/>
          <w:sz w:val="22"/>
          <w:szCs w:val="22"/>
        </w:rPr>
        <w:t>(s)</w:t>
      </w:r>
      <w:r w:rsidR="008D14A0">
        <w:rPr>
          <w:rFonts w:ascii="Arial" w:hAnsi="Arial" w:cs="Arial"/>
          <w:color w:val="7B7B7B" w:themeColor="accent3" w:themeShade="BF"/>
          <w:sz w:val="22"/>
          <w:szCs w:val="22"/>
        </w:rPr>
        <w:t xml:space="preserve"> or member</w:t>
      </w:r>
      <w:r w:rsidR="00727172">
        <w:rPr>
          <w:rFonts w:ascii="Arial" w:hAnsi="Arial" w:cs="Arial"/>
          <w:color w:val="7B7B7B" w:themeColor="accent3" w:themeShade="BF"/>
          <w:sz w:val="22"/>
          <w:szCs w:val="22"/>
        </w:rPr>
        <w:t>(s)</w:t>
      </w:r>
      <w:r w:rsidR="008D14A0">
        <w:rPr>
          <w:rFonts w:ascii="Arial" w:hAnsi="Arial" w:cs="Arial"/>
          <w:color w:val="7B7B7B" w:themeColor="accent3" w:themeShade="BF"/>
          <w:sz w:val="22"/>
          <w:szCs w:val="22"/>
        </w:rPr>
        <w:t xml:space="preserve"> did not attend </w:t>
      </w:r>
      <w:r w:rsidR="00BC52C2">
        <w:rPr>
          <w:rFonts w:ascii="Arial" w:hAnsi="Arial" w:cs="Arial"/>
          <w:color w:val="7B7B7B" w:themeColor="accent3" w:themeShade="BF"/>
          <w:sz w:val="22"/>
          <w:szCs w:val="22"/>
        </w:rPr>
        <w:t>and vote at the meeting</w:t>
      </w:r>
      <w:r w:rsidR="00727172">
        <w:rPr>
          <w:rFonts w:ascii="Arial" w:hAnsi="Arial" w:cs="Arial"/>
          <w:color w:val="7B7B7B" w:themeColor="accent3" w:themeShade="BF"/>
          <w:sz w:val="22"/>
          <w:szCs w:val="22"/>
        </w:rPr>
        <w:t>(s)</w:t>
      </w:r>
      <w:r w:rsidR="00AC2213" w:rsidRPr="00AC2213">
        <w:rPr>
          <w:rFonts w:ascii="Arial" w:hAnsi="Arial" w:cs="Arial"/>
          <w:color w:val="7B7B7B" w:themeColor="accent3" w:themeShade="BF"/>
          <w:sz w:val="22"/>
          <w:szCs w:val="22"/>
        </w:rPr>
        <w:t>.</w:t>
      </w:r>
      <w:r w:rsidR="00AC2213">
        <w:rPr>
          <w:rStyle w:val="FootnoteReference"/>
          <w:rFonts w:ascii="Arial" w:hAnsi="Arial" w:cs="Arial"/>
          <w:color w:val="7B7B7B" w:themeColor="accent3" w:themeShade="BF"/>
          <w:sz w:val="22"/>
          <w:szCs w:val="22"/>
        </w:rPr>
        <w:footnoteReference w:id="21"/>
      </w:r>
    </w:p>
    <w:p w14:paraId="3030555F" w14:textId="77777777" w:rsidR="00BC52C2" w:rsidRDefault="00BC52C2" w:rsidP="003B6575">
      <w:pPr>
        <w:jc w:val="both"/>
        <w:rPr>
          <w:rFonts w:ascii="Arial" w:hAnsi="Arial" w:cs="Arial"/>
          <w:color w:val="7B7B7B" w:themeColor="accent3" w:themeShade="BF"/>
          <w:sz w:val="22"/>
          <w:szCs w:val="22"/>
        </w:rPr>
      </w:pPr>
    </w:p>
    <w:p w14:paraId="0353AADE" w14:textId="709F73F4" w:rsidR="003C10EB" w:rsidRDefault="003B6575" w:rsidP="00BC52C2">
      <w:pPr>
        <w:keepNext/>
        <w:jc w:val="both"/>
        <w:rPr>
          <w:rFonts w:ascii="Arial" w:hAnsi="Arial" w:cs="Arial"/>
          <w:color w:val="7B7B7B" w:themeColor="accent3" w:themeShade="BF"/>
          <w:sz w:val="22"/>
          <w:szCs w:val="22"/>
        </w:rPr>
      </w:pPr>
      <w:r>
        <w:rPr>
          <w:rFonts w:ascii="Arial" w:hAnsi="Arial" w:cs="Arial"/>
          <w:color w:val="7B7B7B" w:themeColor="accent3" w:themeShade="BF"/>
          <w:sz w:val="22"/>
          <w:szCs w:val="22"/>
        </w:rPr>
        <w:t>Cons include:</w:t>
      </w:r>
    </w:p>
    <w:p w14:paraId="078A220F" w14:textId="72324A63" w:rsidR="003B6575" w:rsidRDefault="000D5F3A" w:rsidP="003E35D7">
      <w:pPr>
        <w:pStyle w:val="ListParagraph"/>
        <w:keepNext/>
        <w:numPr>
          <w:ilvl w:val="0"/>
          <w:numId w:val="3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is no moratorium available with standalone schemes of arrangement</w:t>
      </w:r>
      <w:r w:rsidR="005770B5">
        <w:rPr>
          <w:rFonts w:ascii="Arial" w:hAnsi="Arial" w:cs="Arial"/>
          <w:color w:val="7B7B7B" w:themeColor="accent3" w:themeShade="BF"/>
          <w:sz w:val="22"/>
          <w:szCs w:val="22"/>
        </w:rPr>
        <w:t xml:space="preserve">.  However, </w:t>
      </w:r>
      <w:r w:rsidR="006934CF">
        <w:rPr>
          <w:rFonts w:ascii="Arial" w:hAnsi="Arial" w:cs="Arial"/>
          <w:color w:val="7B7B7B" w:themeColor="accent3" w:themeShade="BF"/>
          <w:sz w:val="22"/>
          <w:szCs w:val="22"/>
        </w:rPr>
        <w:t>it is commonplace for a scheme of arrangement</w:t>
      </w:r>
      <w:r w:rsidR="00A36CF0">
        <w:rPr>
          <w:rFonts w:ascii="Arial" w:hAnsi="Arial" w:cs="Arial"/>
          <w:color w:val="7B7B7B" w:themeColor="accent3" w:themeShade="BF"/>
          <w:sz w:val="22"/>
          <w:szCs w:val="22"/>
        </w:rPr>
        <w:t xml:space="preserve"> </w:t>
      </w:r>
      <w:r w:rsidR="00727172">
        <w:rPr>
          <w:rFonts w:ascii="Arial" w:hAnsi="Arial" w:cs="Arial"/>
          <w:color w:val="7B7B7B" w:themeColor="accent3" w:themeShade="BF"/>
          <w:sz w:val="22"/>
          <w:szCs w:val="22"/>
        </w:rPr>
        <w:t xml:space="preserve">to be proposed and implemented </w:t>
      </w:r>
      <w:r w:rsidR="00A36CF0">
        <w:rPr>
          <w:rFonts w:ascii="Arial" w:hAnsi="Arial" w:cs="Arial"/>
          <w:color w:val="7B7B7B" w:themeColor="accent3" w:themeShade="BF"/>
          <w:sz w:val="22"/>
          <w:szCs w:val="22"/>
        </w:rPr>
        <w:t>during the provisional liquidation of the company during which the moratorium becomes available.</w:t>
      </w:r>
    </w:p>
    <w:p w14:paraId="0A52950F" w14:textId="025FB9CC" w:rsidR="003E35D7" w:rsidRDefault="003E35D7" w:rsidP="003B6575">
      <w:pPr>
        <w:pStyle w:val="ListParagraph"/>
        <w:numPr>
          <w:ilvl w:val="0"/>
          <w:numId w:val="3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the case where the requisite majorities (in number and value) of any one class of creditors or members</w:t>
      </w:r>
      <w:proofErr w:type="gramStart"/>
      <w:r>
        <w:rPr>
          <w:rFonts w:ascii="Arial" w:hAnsi="Arial" w:cs="Arial"/>
          <w:color w:val="7B7B7B" w:themeColor="accent3" w:themeShade="BF"/>
          <w:sz w:val="22"/>
          <w:szCs w:val="22"/>
        </w:rPr>
        <w:t>, as the case may be, are</w:t>
      </w:r>
      <w:proofErr w:type="gramEnd"/>
      <w:r>
        <w:rPr>
          <w:rFonts w:ascii="Arial" w:hAnsi="Arial" w:cs="Arial"/>
          <w:color w:val="7B7B7B" w:themeColor="accent3" w:themeShade="BF"/>
          <w:sz w:val="22"/>
          <w:szCs w:val="22"/>
        </w:rPr>
        <w:t xml:space="preserve"> not obtained, the scheme of arrangement cannot proceed to court sanction.</w:t>
      </w:r>
      <w:r w:rsidR="001F649E">
        <w:rPr>
          <w:rFonts w:ascii="Arial" w:hAnsi="Arial" w:cs="Arial"/>
          <w:color w:val="7B7B7B" w:themeColor="accent3" w:themeShade="BF"/>
          <w:sz w:val="22"/>
          <w:szCs w:val="22"/>
        </w:rPr>
        <w:t xml:space="preserve">  </w:t>
      </w:r>
    </w:p>
    <w:p w14:paraId="77188FAE" w14:textId="77777777" w:rsidR="001F649E" w:rsidRDefault="001F649E" w:rsidP="001F649E">
      <w:pPr>
        <w:jc w:val="both"/>
        <w:rPr>
          <w:rFonts w:ascii="Arial" w:hAnsi="Arial" w:cs="Arial"/>
          <w:color w:val="7B7B7B" w:themeColor="accent3" w:themeShade="BF"/>
          <w:sz w:val="22"/>
          <w:szCs w:val="22"/>
        </w:rPr>
      </w:pPr>
    </w:p>
    <w:p w14:paraId="337573B9" w14:textId="4A70B7EE" w:rsidR="00AA3AF4" w:rsidRPr="00AA3AF4" w:rsidRDefault="001F649E" w:rsidP="008124F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respect of the requisite majorities, it should be noted that </w:t>
      </w:r>
      <w:r w:rsidR="008124FE">
        <w:rPr>
          <w:rFonts w:ascii="Arial" w:hAnsi="Arial" w:cs="Arial"/>
          <w:color w:val="7B7B7B" w:themeColor="accent3" w:themeShade="BF"/>
          <w:sz w:val="22"/>
          <w:szCs w:val="22"/>
        </w:rPr>
        <w:t xml:space="preserve">even if such majorities are </w:t>
      </w:r>
      <w:r w:rsidR="00CD463D">
        <w:rPr>
          <w:rFonts w:ascii="Arial" w:hAnsi="Arial" w:cs="Arial"/>
          <w:color w:val="7B7B7B" w:themeColor="accent3" w:themeShade="BF"/>
          <w:sz w:val="22"/>
          <w:szCs w:val="22"/>
        </w:rPr>
        <w:t>obtained</w:t>
      </w:r>
      <w:r w:rsidR="008124FE">
        <w:rPr>
          <w:rFonts w:ascii="Arial" w:hAnsi="Arial" w:cs="Arial"/>
          <w:color w:val="7B7B7B" w:themeColor="accent3" w:themeShade="BF"/>
          <w:sz w:val="22"/>
          <w:szCs w:val="22"/>
        </w:rPr>
        <w:t>, the court still has discretion to not sanction the scheme</w:t>
      </w:r>
      <w:r w:rsidR="00243C3C">
        <w:rPr>
          <w:rFonts w:ascii="Arial" w:hAnsi="Arial" w:cs="Arial"/>
          <w:color w:val="7B7B7B" w:themeColor="accent3" w:themeShade="BF"/>
          <w:sz w:val="22"/>
          <w:szCs w:val="22"/>
        </w:rPr>
        <w:t>.</w:t>
      </w:r>
    </w:p>
    <w:p w14:paraId="60ADAAB6" w14:textId="77777777"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proofErr w:type="spellStart"/>
      <w:r w:rsidRPr="00D27A96">
        <w:rPr>
          <w:rFonts w:ascii="Arial" w:hAnsi="Arial" w:cs="Arial"/>
          <w:sz w:val="22"/>
          <w:szCs w:val="22"/>
        </w:rPr>
        <w:t>Mr</w:t>
      </w:r>
      <w:proofErr w:type="spellEnd"/>
      <w:r w:rsidRPr="00D27A96">
        <w:rPr>
          <w:rFonts w:ascii="Arial" w:hAnsi="Arial" w:cs="Arial"/>
          <w:sz w:val="22"/>
          <w:szCs w:val="22"/>
        </w:rPr>
        <w:t xml:space="preserve"> Chan is the sole director of Mountainview Limited, which is a Hong Kong incorporated company.  </w:t>
      </w:r>
      <w:proofErr w:type="spellStart"/>
      <w:r w:rsidRPr="00D27A96">
        <w:rPr>
          <w:rFonts w:ascii="Arial" w:hAnsi="Arial" w:cs="Arial"/>
          <w:sz w:val="22"/>
          <w:szCs w:val="22"/>
        </w:rPr>
        <w:t>Mr</w:t>
      </w:r>
      <w:proofErr w:type="spellEnd"/>
      <w:r w:rsidRPr="00D27A96">
        <w:rPr>
          <w:rFonts w:ascii="Arial" w:hAnsi="Arial" w:cs="Arial"/>
          <w:sz w:val="22"/>
          <w:szCs w:val="22"/>
        </w:rPr>
        <w:t xml:space="preserve">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w:t>
      </w:r>
      <w:proofErr w:type="spellStart"/>
      <w:r w:rsidRPr="00D27A96">
        <w:rPr>
          <w:rFonts w:ascii="Arial" w:hAnsi="Arial" w:cs="Arial"/>
          <w:sz w:val="22"/>
          <w:szCs w:val="22"/>
        </w:rPr>
        <w:t>Mr</w:t>
      </w:r>
      <w:proofErr w:type="spellEnd"/>
      <w:r w:rsidRPr="00D27A96">
        <w:rPr>
          <w:rFonts w:ascii="Arial" w:hAnsi="Arial" w:cs="Arial"/>
          <w:sz w:val="22"/>
          <w:szCs w:val="22"/>
        </w:rPr>
        <w:t xml:space="preserve"> Chan asks whether his friend is correct and to advise him generally on what he should do and his position as a director.</w:t>
      </w:r>
    </w:p>
    <w:p w14:paraId="50973D97" w14:textId="77777777" w:rsidR="00DE1791" w:rsidRDefault="00DE1791" w:rsidP="00A609B3">
      <w:pPr>
        <w:jc w:val="both"/>
        <w:rPr>
          <w:rFonts w:ascii="Arial" w:hAnsi="Arial" w:cs="Arial"/>
          <w:color w:val="7B7B7B" w:themeColor="accent3" w:themeShade="BF"/>
          <w:sz w:val="22"/>
          <w:szCs w:val="22"/>
        </w:rPr>
      </w:pPr>
    </w:p>
    <w:p w14:paraId="2D5BF06C" w14:textId="0BFDF4D5" w:rsidR="00DE1791" w:rsidRDefault="00DE1791" w:rsidP="00A609B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Based on the facts of the case, Mountainview Limited (</w:t>
      </w:r>
      <w:r>
        <w:rPr>
          <w:rFonts w:ascii="Arial" w:hAnsi="Arial" w:cs="Arial"/>
          <w:b/>
          <w:bCs/>
          <w:color w:val="7B7B7B" w:themeColor="accent3" w:themeShade="BF"/>
          <w:sz w:val="22"/>
          <w:szCs w:val="22"/>
        </w:rPr>
        <w:t>“Mountainview”</w:t>
      </w:r>
      <w:r>
        <w:rPr>
          <w:rFonts w:ascii="Arial" w:hAnsi="Arial" w:cs="Arial"/>
          <w:color w:val="7B7B7B" w:themeColor="accent3" w:themeShade="BF"/>
          <w:sz w:val="22"/>
          <w:szCs w:val="22"/>
        </w:rPr>
        <w:t>) appears to be insolvent.  In such instances, there would be two options to liquidate and dissolve Mountainview:</w:t>
      </w:r>
      <w:r w:rsidR="005861F1">
        <w:rPr>
          <w:rFonts w:ascii="Arial" w:hAnsi="Arial" w:cs="Arial"/>
          <w:color w:val="7B7B7B" w:themeColor="accent3" w:themeShade="BF"/>
          <w:sz w:val="22"/>
          <w:szCs w:val="22"/>
        </w:rPr>
        <w:t xml:space="preserve"> 1) a creditors’ voluntary liquidation; </w:t>
      </w:r>
      <w:proofErr w:type="gramStart"/>
      <w:r w:rsidR="005861F1">
        <w:rPr>
          <w:rFonts w:ascii="Arial" w:hAnsi="Arial" w:cs="Arial"/>
          <w:color w:val="7B7B7B" w:themeColor="accent3" w:themeShade="BF"/>
          <w:sz w:val="22"/>
          <w:szCs w:val="22"/>
        </w:rPr>
        <w:t>and,</w:t>
      </w:r>
      <w:proofErr w:type="gramEnd"/>
      <w:r w:rsidR="005861F1">
        <w:rPr>
          <w:rFonts w:ascii="Arial" w:hAnsi="Arial" w:cs="Arial"/>
          <w:color w:val="7B7B7B" w:themeColor="accent3" w:themeShade="BF"/>
          <w:sz w:val="22"/>
          <w:szCs w:val="22"/>
        </w:rPr>
        <w:t xml:space="preserve"> 2) a compulsory (court) liquidation.</w:t>
      </w:r>
    </w:p>
    <w:p w14:paraId="1F5B4365" w14:textId="77777777" w:rsidR="003F2CE6" w:rsidRDefault="003F2CE6" w:rsidP="00A609B3">
      <w:pPr>
        <w:jc w:val="both"/>
        <w:rPr>
          <w:rFonts w:ascii="Arial" w:hAnsi="Arial" w:cs="Arial"/>
          <w:color w:val="7B7B7B" w:themeColor="accent3" w:themeShade="BF"/>
          <w:sz w:val="22"/>
          <w:szCs w:val="22"/>
        </w:rPr>
      </w:pPr>
    </w:p>
    <w:p w14:paraId="131550A8" w14:textId="73980FF9" w:rsidR="003F2CE6" w:rsidRDefault="003F2CE6" w:rsidP="00A609B3">
      <w:pPr>
        <w:jc w:val="both"/>
        <w:rPr>
          <w:rFonts w:ascii="Arial" w:hAnsi="Arial" w:cs="Arial"/>
          <w:b/>
          <w:bCs/>
          <w:color w:val="7B7B7B" w:themeColor="accent3" w:themeShade="BF"/>
          <w:sz w:val="22"/>
          <w:szCs w:val="22"/>
        </w:rPr>
      </w:pPr>
      <w:r>
        <w:rPr>
          <w:rFonts w:ascii="Arial" w:hAnsi="Arial" w:cs="Arial"/>
          <w:b/>
          <w:bCs/>
          <w:color w:val="7B7B7B" w:themeColor="accent3" w:themeShade="BF"/>
          <w:sz w:val="22"/>
          <w:szCs w:val="22"/>
        </w:rPr>
        <w:t>Director Duties</w:t>
      </w:r>
    </w:p>
    <w:p w14:paraId="276882BD" w14:textId="77777777" w:rsidR="003F2CE6" w:rsidRDefault="003F2CE6" w:rsidP="00A609B3">
      <w:pPr>
        <w:jc w:val="both"/>
        <w:rPr>
          <w:rFonts w:ascii="Arial" w:hAnsi="Arial" w:cs="Arial"/>
          <w:b/>
          <w:bCs/>
          <w:color w:val="7B7B7B" w:themeColor="accent3" w:themeShade="BF"/>
          <w:sz w:val="22"/>
          <w:szCs w:val="22"/>
        </w:rPr>
      </w:pPr>
    </w:p>
    <w:p w14:paraId="27836947" w14:textId="257290D3" w:rsidR="003F2CE6" w:rsidRPr="003F2CE6" w:rsidRDefault="00BC7CF1" w:rsidP="0003418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respect of directors, there is no statutory obligation to commence a liquidation when a company has financial difficulties and is unlikely to be able to continue in business</w:t>
      </w:r>
      <w:r w:rsidR="00881D1B">
        <w:rPr>
          <w:rFonts w:ascii="Arial" w:hAnsi="Arial" w:cs="Arial"/>
          <w:color w:val="7B7B7B" w:themeColor="accent3" w:themeShade="BF"/>
          <w:sz w:val="22"/>
          <w:szCs w:val="22"/>
        </w:rPr>
        <w:t xml:space="preserve"> (</w:t>
      </w:r>
      <w:proofErr w:type="gramStart"/>
      <w:r w:rsidR="00881D1B">
        <w:rPr>
          <w:rFonts w:ascii="Arial" w:hAnsi="Arial" w:cs="Arial"/>
          <w:color w:val="7B7B7B" w:themeColor="accent3" w:themeShade="BF"/>
          <w:sz w:val="22"/>
          <w:szCs w:val="22"/>
        </w:rPr>
        <w:t>i.e.</w:t>
      </w:r>
      <w:proofErr w:type="gramEnd"/>
      <w:r w:rsidR="00881D1B">
        <w:rPr>
          <w:rFonts w:ascii="Arial" w:hAnsi="Arial" w:cs="Arial"/>
          <w:color w:val="7B7B7B" w:themeColor="accent3" w:themeShade="BF"/>
          <w:sz w:val="22"/>
          <w:szCs w:val="22"/>
        </w:rPr>
        <w:t xml:space="preserve"> there are currently no statutory provisions against insolvent trading).  </w:t>
      </w:r>
      <w:r w:rsidR="00E1786C">
        <w:rPr>
          <w:rFonts w:ascii="Arial" w:hAnsi="Arial" w:cs="Arial"/>
          <w:color w:val="7B7B7B" w:themeColor="accent3" w:themeShade="BF"/>
          <w:sz w:val="22"/>
          <w:szCs w:val="22"/>
        </w:rPr>
        <w:t>While there are provisions against fraudulent trading, there is a high threshold required to establish this.  However, directors m</w:t>
      </w:r>
      <w:r w:rsidR="00BC2273">
        <w:rPr>
          <w:rFonts w:ascii="Arial" w:hAnsi="Arial" w:cs="Arial"/>
          <w:color w:val="7B7B7B" w:themeColor="accent3" w:themeShade="BF"/>
          <w:sz w:val="22"/>
          <w:szCs w:val="22"/>
        </w:rPr>
        <w:t xml:space="preserve">ay be held personally liable for a breach of their fiduciary duty to act in the best interests of the company by continuing to trade during insolvency.  </w:t>
      </w:r>
      <w:r w:rsidR="00034185">
        <w:rPr>
          <w:rFonts w:ascii="Arial" w:hAnsi="Arial" w:cs="Arial"/>
          <w:color w:val="7B7B7B" w:themeColor="accent3" w:themeShade="BF"/>
          <w:sz w:val="22"/>
          <w:szCs w:val="22"/>
        </w:rPr>
        <w:t>More seriously, a director may be subject to criminal liability in the scenario where employees are unable to be paid.</w:t>
      </w:r>
      <w:r w:rsidR="004914D1">
        <w:rPr>
          <w:rStyle w:val="FootnoteReference"/>
          <w:rFonts w:ascii="Arial" w:hAnsi="Arial" w:cs="Arial"/>
          <w:color w:val="7B7B7B" w:themeColor="accent3" w:themeShade="BF"/>
          <w:sz w:val="22"/>
          <w:szCs w:val="22"/>
        </w:rPr>
        <w:footnoteReference w:id="22"/>
      </w:r>
      <w:r w:rsidR="003F2CE6">
        <w:rPr>
          <w:rFonts w:ascii="Arial" w:hAnsi="Arial" w:cs="Arial"/>
          <w:color w:val="7B7B7B" w:themeColor="accent3" w:themeShade="BF"/>
          <w:sz w:val="22"/>
          <w:szCs w:val="22"/>
        </w:rPr>
        <w:t xml:space="preserve"> </w:t>
      </w:r>
    </w:p>
    <w:p w14:paraId="357BD032" w14:textId="77777777" w:rsidR="00DE1791" w:rsidRDefault="00DE1791" w:rsidP="00A609B3">
      <w:pPr>
        <w:jc w:val="both"/>
        <w:rPr>
          <w:rFonts w:ascii="Arial" w:hAnsi="Arial" w:cs="Arial"/>
          <w:color w:val="7B7B7B" w:themeColor="accent3" w:themeShade="BF"/>
          <w:sz w:val="22"/>
          <w:szCs w:val="22"/>
        </w:rPr>
      </w:pPr>
    </w:p>
    <w:p w14:paraId="14BABC57" w14:textId="77777777" w:rsidR="00FB5B4A" w:rsidRDefault="00DE1791" w:rsidP="00FB5B4A">
      <w:pPr>
        <w:jc w:val="both"/>
        <w:rPr>
          <w:rFonts w:ascii="Arial" w:hAnsi="Arial" w:cs="Arial"/>
          <w:b/>
          <w:bCs/>
          <w:color w:val="7B7B7B" w:themeColor="accent3" w:themeShade="BF"/>
          <w:sz w:val="22"/>
          <w:szCs w:val="22"/>
        </w:rPr>
      </w:pPr>
      <w:r w:rsidRPr="00FB5B4A">
        <w:rPr>
          <w:rFonts w:ascii="Arial" w:hAnsi="Arial" w:cs="Arial"/>
          <w:b/>
          <w:bCs/>
          <w:color w:val="7B7B7B" w:themeColor="accent3" w:themeShade="BF"/>
          <w:sz w:val="22"/>
          <w:szCs w:val="22"/>
        </w:rPr>
        <w:t>Creditors’ Voluntary Liquidation (“CVL”)</w:t>
      </w:r>
    </w:p>
    <w:p w14:paraId="30313627" w14:textId="77777777" w:rsidR="00FB5B4A" w:rsidRDefault="00FB5B4A" w:rsidP="00FB5B4A">
      <w:pPr>
        <w:jc w:val="both"/>
        <w:rPr>
          <w:rFonts w:ascii="Arial" w:hAnsi="Arial" w:cs="Arial"/>
          <w:b/>
          <w:bCs/>
          <w:color w:val="7B7B7B" w:themeColor="accent3" w:themeShade="BF"/>
          <w:sz w:val="22"/>
          <w:szCs w:val="22"/>
        </w:rPr>
      </w:pPr>
    </w:p>
    <w:p w14:paraId="10533CE3" w14:textId="551C8B33" w:rsidR="00A95FAB" w:rsidRDefault="00AC7EDE" w:rsidP="00FB5B4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company may be wound up voluntarily if, amongst other things, it resolves by special resolutio</w:t>
      </w:r>
      <w:r w:rsidR="003B43F5">
        <w:rPr>
          <w:rFonts w:ascii="Arial" w:hAnsi="Arial" w:cs="Arial"/>
          <w:color w:val="7B7B7B" w:themeColor="accent3" w:themeShade="BF"/>
          <w:sz w:val="22"/>
          <w:szCs w:val="22"/>
        </w:rPr>
        <w:t>n to do so.</w:t>
      </w:r>
      <w:r w:rsidR="003B43F5">
        <w:rPr>
          <w:rStyle w:val="FootnoteReference"/>
          <w:rFonts w:ascii="Arial" w:hAnsi="Arial" w:cs="Arial"/>
          <w:color w:val="7B7B7B" w:themeColor="accent3" w:themeShade="BF"/>
          <w:sz w:val="22"/>
          <w:szCs w:val="22"/>
        </w:rPr>
        <w:footnoteReference w:id="23"/>
      </w:r>
      <w:r w:rsidR="003B43F5">
        <w:rPr>
          <w:rFonts w:ascii="Arial" w:hAnsi="Arial" w:cs="Arial"/>
          <w:color w:val="7B7B7B" w:themeColor="accent3" w:themeShade="BF"/>
          <w:sz w:val="22"/>
          <w:szCs w:val="22"/>
        </w:rPr>
        <w:t xml:space="preserve">  </w:t>
      </w:r>
      <w:r w:rsidR="00DA35F8">
        <w:rPr>
          <w:rFonts w:ascii="Arial" w:hAnsi="Arial" w:cs="Arial"/>
          <w:color w:val="7B7B7B" w:themeColor="accent3" w:themeShade="BF"/>
          <w:sz w:val="22"/>
          <w:szCs w:val="22"/>
        </w:rPr>
        <w:t xml:space="preserve">In the instance where a </w:t>
      </w:r>
      <w:r w:rsidR="00A94314">
        <w:rPr>
          <w:rFonts w:ascii="Arial" w:hAnsi="Arial" w:cs="Arial"/>
          <w:color w:val="7B7B7B" w:themeColor="accent3" w:themeShade="BF"/>
          <w:sz w:val="22"/>
          <w:szCs w:val="22"/>
        </w:rPr>
        <w:t>certificate of solvency has not been issued on behalf of the company, the winding up is referred to as a CVL.</w:t>
      </w:r>
      <w:r w:rsidR="00A94314">
        <w:rPr>
          <w:rStyle w:val="FootnoteReference"/>
          <w:rFonts w:ascii="Arial" w:hAnsi="Arial" w:cs="Arial"/>
          <w:color w:val="7B7B7B" w:themeColor="accent3" w:themeShade="BF"/>
          <w:sz w:val="22"/>
          <w:szCs w:val="22"/>
        </w:rPr>
        <w:footnoteReference w:id="24"/>
      </w:r>
      <w:r w:rsidR="00A94314">
        <w:rPr>
          <w:rFonts w:ascii="Arial" w:hAnsi="Arial" w:cs="Arial"/>
          <w:color w:val="7B7B7B" w:themeColor="accent3" w:themeShade="BF"/>
          <w:sz w:val="22"/>
          <w:szCs w:val="22"/>
        </w:rPr>
        <w:t xml:space="preserve">  </w:t>
      </w:r>
      <w:r w:rsidR="00F41A1E">
        <w:rPr>
          <w:rFonts w:ascii="Arial" w:hAnsi="Arial" w:cs="Arial"/>
          <w:color w:val="7B7B7B" w:themeColor="accent3" w:themeShade="BF"/>
          <w:sz w:val="22"/>
          <w:szCs w:val="22"/>
        </w:rPr>
        <w:t>Mr. Chan would have to convene a meeting of shareholders</w:t>
      </w:r>
      <w:r w:rsidR="00B352E3">
        <w:rPr>
          <w:rFonts w:ascii="Arial" w:hAnsi="Arial" w:cs="Arial"/>
          <w:color w:val="7B7B7B" w:themeColor="accent3" w:themeShade="BF"/>
          <w:sz w:val="22"/>
          <w:szCs w:val="22"/>
        </w:rPr>
        <w:t xml:space="preserve"> during which the special resolution is passed by a majority of at least 75% for the winding up of Mountainview.</w:t>
      </w:r>
      <w:r w:rsidR="00B352E3">
        <w:rPr>
          <w:rStyle w:val="FootnoteReference"/>
          <w:rFonts w:ascii="Arial" w:hAnsi="Arial" w:cs="Arial"/>
          <w:color w:val="7B7B7B" w:themeColor="accent3" w:themeShade="BF"/>
          <w:sz w:val="22"/>
          <w:szCs w:val="22"/>
        </w:rPr>
        <w:footnoteReference w:id="25"/>
      </w:r>
      <w:r w:rsidR="00A076DF">
        <w:rPr>
          <w:rFonts w:ascii="Arial" w:hAnsi="Arial" w:cs="Arial"/>
          <w:color w:val="7B7B7B" w:themeColor="accent3" w:themeShade="BF"/>
          <w:sz w:val="22"/>
          <w:szCs w:val="22"/>
        </w:rPr>
        <w:t xml:space="preserve">  The winding up would commence </w:t>
      </w:r>
      <w:r w:rsidR="00D61F95">
        <w:rPr>
          <w:rFonts w:ascii="Arial" w:hAnsi="Arial" w:cs="Arial"/>
          <w:color w:val="7B7B7B" w:themeColor="accent3" w:themeShade="BF"/>
          <w:sz w:val="22"/>
          <w:szCs w:val="22"/>
        </w:rPr>
        <w:t>at the time of the passing of the special resolution.</w:t>
      </w:r>
      <w:r w:rsidR="00D61F95">
        <w:rPr>
          <w:rStyle w:val="FootnoteReference"/>
          <w:rFonts w:ascii="Arial" w:hAnsi="Arial" w:cs="Arial"/>
          <w:color w:val="7B7B7B" w:themeColor="accent3" w:themeShade="BF"/>
          <w:sz w:val="22"/>
          <w:szCs w:val="22"/>
        </w:rPr>
        <w:footnoteReference w:id="26"/>
      </w:r>
      <w:r w:rsidR="00625209">
        <w:rPr>
          <w:rFonts w:ascii="Arial" w:hAnsi="Arial" w:cs="Arial"/>
          <w:color w:val="7B7B7B" w:themeColor="accent3" w:themeShade="BF"/>
          <w:sz w:val="22"/>
          <w:szCs w:val="22"/>
        </w:rPr>
        <w:t xml:space="preserve">  However, </w:t>
      </w:r>
      <w:r w:rsidR="00776358">
        <w:rPr>
          <w:rFonts w:ascii="Arial" w:hAnsi="Arial" w:cs="Arial"/>
          <w:color w:val="7B7B7B" w:themeColor="accent3" w:themeShade="BF"/>
          <w:sz w:val="22"/>
          <w:szCs w:val="22"/>
        </w:rPr>
        <w:t xml:space="preserve">a liquidator appointed by the special resolution has limited powers </w:t>
      </w:r>
      <w:r w:rsidR="004C6AAE">
        <w:rPr>
          <w:rFonts w:ascii="Arial" w:hAnsi="Arial" w:cs="Arial"/>
          <w:color w:val="7B7B7B" w:themeColor="accent3" w:themeShade="BF"/>
          <w:sz w:val="22"/>
          <w:szCs w:val="22"/>
        </w:rPr>
        <w:t>until such appointment is approved at a meeting of creditors.</w:t>
      </w:r>
      <w:r w:rsidR="004C6AAE">
        <w:rPr>
          <w:rStyle w:val="FootnoteReference"/>
          <w:rFonts w:ascii="Arial" w:hAnsi="Arial" w:cs="Arial"/>
          <w:color w:val="7B7B7B" w:themeColor="accent3" w:themeShade="BF"/>
          <w:sz w:val="22"/>
          <w:szCs w:val="22"/>
        </w:rPr>
        <w:footnoteReference w:id="27"/>
      </w:r>
      <w:r w:rsidR="00625209">
        <w:rPr>
          <w:rFonts w:ascii="Arial" w:hAnsi="Arial" w:cs="Arial"/>
          <w:color w:val="7B7B7B" w:themeColor="accent3" w:themeShade="BF"/>
          <w:sz w:val="22"/>
          <w:szCs w:val="22"/>
        </w:rPr>
        <w:t xml:space="preserve">  </w:t>
      </w:r>
    </w:p>
    <w:p w14:paraId="0D27C2B8" w14:textId="7444BECB" w:rsidR="00FB5B4A" w:rsidRDefault="00FB5B4A" w:rsidP="00FB5B4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Once the decision has been taken to convene meetings of creditors and shareholders, Mr. Chan should take steps to protect the assets of Mountainview pending the meeting of creditors.</w:t>
      </w:r>
      <w:r w:rsidR="00E16F03">
        <w:rPr>
          <w:rStyle w:val="FootnoteReference"/>
          <w:rFonts w:ascii="Arial" w:hAnsi="Arial" w:cs="Arial"/>
          <w:color w:val="7B7B7B" w:themeColor="accent3" w:themeShade="BF"/>
          <w:sz w:val="22"/>
          <w:szCs w:val="22"/>
        </w:rPr>
        <w:footnoteReference w:id="28"/>
      </w:r>
      <w:r>
        <w:rPr>
          <w:rFonts w:ascii="Arial" w:hAnsi="Arial" w:cs="Arial"/>
          <w:color w:val="7B7B7B" w:themeColor="accent3" w:themeShade="BF"/>
          <w:sz w:val="22"/>
          <w:szCs w:val="22"/>
        </w:rPr>
        <w:t xml:space="preserve"> </w:t>
      </w:r>
      <w:r w:rsidR="00072465">
        <w:rPr>
          <w:rFonts w:ascii="Arial" w:hAnsi="Arial" w:cs="Arial"/>
          <w:color w:val="7B7B7B" w:themeColor="accent3" w:themeShade="BF"/>
          <w:sz w:val="22"/>
          <w:szCs w:val="22"/>
        </w:rPr>
        <w:t xml:space="preserve"> </w:t>
      </w:r>
      <w:r w:rsidR="004A080B">
        <w:rPr>
          <w:rFonts w:ascii="Arial" w:hAnsi="Arial" w:cs="Arial"/>
          <w:color w:val="7B7B7B" w:themeColor="accent3" w:themeShade="BF"/>
          <w:sz w:val="22"/>
          <w:szCs w:val="22"/>
        </w:rPr>
        <w:t xml:space="preserve">As </w:t>
      </w:r>
      <w:r w:rsidR="001B67D4">
        <w:rPr>
          <w:rFonts w:ascii="Arial" w:hAnsi="Arial" w:cs="Arial"/>
          <w:color w:val="7B7B7B" w:themeColor="accent3" w:themeShade="BF"/>
          <w:sz w:val="22"/>
          <w:szCs w:val="22"/>
        </w:rPr>
        <w:t>alluded</w:t>
      </w:r>
      <w:r w:rsidR="004A080B">
        <w:rPr>
          <w:rFonts w:ascii="Arial" w:hAnsi="Arial" w:cs="Arial"/>
          <w:color w:val="7B7B7B" w:themeColor="accent3" w:themeShade="BF"/>
          <w:sz w:val="22"/>
          <w:szCs w:val="22"/>
        </w:rPr>
        <w:t xml:space="preserve"> to above, given that Mountainview </w:t>
      </w:r>
      <w:r w:rsidR="001B67D4">
        <w:rPr>
          <w:rFonts w:ascii="Arial" w:hAnsi="Arial" w:cs="Arial"/>
          <w:color w:val="7B7B7B" w:themeColor="accent3" w:themeShade="BF"/>
          <w:sz w:val="22"/>
          <w:szCs w:val="22"/>
        </w:rPr>
        <w:t xml:space="preserve">appears to be insolvent or likely to become insolvent, Mr. Chan </w:t>
      </w:r>
      <w:r w:rsidR="003829DB">
        <w:rPr>
          <w:rFonts w:ascii="Arial" w:hAnsi="Arial" w:cs="Arial"/>
          <w:color w:val="7B7B7B" w:themeColor="accent3" w:themeShade="BF"/>
          <w:sz w:val="22"/>
          <w:szCs w:val="22"/>
        </w:rPr>
        <w:t>must keep the interests of creditors in mind when exercising his duties as director.</w:t>
      </w:r>
    </w:p>
    <w:p w14:paraId="1B119AB9" w14:textId="77777777" w:rsidR="001C2AD4" w:rsidRDefault="001C2AD4" w:rsidP="00FB5B4A">
      <w:pPr>
        <w:jc w:val="both"/>
        <w:rPr>
          <w:rFonts w:ascii="Arial" w:hAnsi="Arial" w:cs="Arial"/>
          <w:color w:val="7B7B7B" w:themeColor="accent3" w:themeShade="BF"/>
          <w:sz w:val="22"/>
          <w:szCs w:val="22"/>
        </w:rPr>
      </w:pPr>
    </w:p>
    <w:p w14:paraId="5EABF7CF" w14:textId="213C5A46" w:rsidR="005D0C46" w:rsidRDefault="001C2AD4" w:rsidP="00FB5B4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w:t>
      </w:r>
      <w:r w:rsidR="00D70CF6">
        <w:rPr>
          <w:rFonts w:ascii="Arial" w:hAnsi="Arial" w:cs="Arial"/>
          <w:color w:val="7B7B7B" w:themeColor="accent3" w:themeShade="BF"/>
          <w:sz w:val="22"/>
          <w:szCs w:val="22"/>
        </w:rPr>
        <w:t xml:space="preserve">primary </w:t>
      </w:r>
      <w:r>
        <w:rPr>
          <w:rFonts w:ascii="Arial" w:hAnsi="Arial" w:cs="Arial"/>
          <w:color w:val="7B7B7B" w:themeColor="accent3" w:themeShade="BF"/>
          <w:sz w:val="22"/>
          <w:szCs w:val="22"/>
        </w:rPr>
        <w:t>advantage</w:t>
      </w:r>
      <w:r w:rsidR="00D70CF6">
        <w:rPr>
          <w:rFonts w:ascii="Arial" w:hAnsi="Arial" w:cs="Arial"/>
          <w:color w:val="7B7B7B" w:themeColor="accent3" w:themeShade="BF"/>
          <w:sz w:val="22"/>
          <w:szCs w:val="22"/>
        </w:rPr>
        <w:t>s</w:t>
      </w:r>
      <w:r>
        <w:rPr>
          <w:rFonts w:ascii="Arial" w:hAnsi="Arial" w:cs="Arial"/>
          <w:color w:val="7B7B7B" w:themeColor="accent3" w:themeShade="BF"/>
          <w:sz w:val="22"/>
          <w:szCs w:val="22"/>
        </w:rPr>
        <w:t xml:space="preserve"> of using the CVL procedure, rather than a compulsory (court) liquidation, discussed below, relate to costs and timing.  </w:t>
      </w:r>
      <w:r w:rsidR="00DE273C">
        <w:rPr>
          <w:rFonts w:ascii="Arial" w:hAnsi="Arial" w:cs="Arial"/>
          <w:color w:val="7B7B7B" w:themeColor="accent3" w:themeShade="BF"/>
          <w:sz w:val="22"/>
          <w:szCs w:val="22"/>
        </w:rPr>
        <w:t>For example, t</w:t>
      </w:r>
      <w:r w:rsidR="005D0C46">
        <w:rPr>
          <w:rFonts w:ascii="Arial" w:hAnsi="Arial" w:cs="Arial"/>
          <w:color w:val="7B7B7B" w:themeColor="accent3" w:themeShade="BF"/>
          <w:sz w:val="22"/>
          <w:szCs w:val="22"/>
        </w:rPr>
        <w:t xml:space="preserve">he court involvement </w:t>
      </w:r>
      <w:proofErr w:type="gramStart"/>
      <w:r w:rsidR="005D0C46">
        <w:rPr>
          <w:rFonts w:ascii="Arial" w:hAnsi="Arial" w:cs="Arial"/>
          <w:color w:val="7B7B7B" w:themeColor="accent3" w:themeShade="BF"/>
          <w:sz w:val="22"/>
          <w:szCs w:val="22"/>
        </w:rPr>
        <w:t>during the course of</w:t>
      </w:r>
      <w:proofErr w:type="gramEnd"/>
      <w:r w:rsidR="005D0C46">
        <w:rPr>
          <w:rFonts w:ascii="Arial" w:hAnsi="Arial" w:cs="Arial"/>
          <w:color w:val="7B7B7B" w:themeColor="accent3" w:themeShade="BF"/>
          <w:sz w:val="22"/>
          <w:szCs w:val="22"/>
        </w:rPr>
        <w:t xml:space="preserve"> compulsory liquidations is </w:t>
      </w:r>
      <w:r w:rsidR="00DE273C">
        <w:rPr>
          <w:rFonts w:ascii="Arial" w:hAnsi="Arial" w:cs="Arial"/>
          <w:color w:val="7B7B7B" w:themeColor="accent3" w:themeShade="BF"/>
          <w:sz w:val="22"/>
          <w:szCs w:val="22"/>
        </w:rPr>
        <w:t xml:space="preserve">much more than that during a CVL which can </w:t>
      </w:r>
      <w:r w:rsidR="00DE273C">
        <w:rPr>
          <w:rFonts w:ascii="Arial" w:hAnsi="Arial" w:cs="Arial"/>
          <w:color w:val="7B7B7B" w:themeColor="accent3" w:themeShade="BF"/>
          <w:sz w:val="22"/>
          <w:szCs w:val="22"/>
        </w:rPr>
        <w:lastRenderedPageBreak/>
        <w:t xml:space="preserve">lead to delays and additional costs.  </w:t>
      </w:r>
      <w:r w:rsidR="008C0367">
        <w:rPr>
          <w:rFonts w:ascii="Arial" w:hAnsi="Arial" w:cs="Arial"/>
          <w:color w:val="7B7B7B" w:themeColor="accent3" w:themeShade="BF"/>
          <w:sz w:val="22"/>
          <w:szCs w:val="22"/>
        </w:rPr>
        <w:t xml:space="preserve">In addition, </w:t>
      </w:r>
      <w:r w:rsidR="00764352">
        <w:rPr>
          <w:rFonts w:ascii="Arial" w:hAnsi="Arial" w:cs="Arial"/>
          <w:color w:val="7B7B7B" w:themeColor="accent3" w:themeShade="BF"/>
          <w:sz w:val="22"/>
          <w:szCs w:val="22"/>
        </w:rPr>
        <w:t>duties on realizations are applicable in compulsory liquidations but not in CVLs.</w:t>
      </w:r>
      <w:r w:rsidR="00764352">
        <w:rPr>
          <w:rStyle w:val="FootnoteReference"/>
          <w:rFonts w:ascii="Arial" w:hAnsi="Arial" w:cs="Arial"/>
          <w:color w:val="7B7B7B" w:themeColor="accent3" w:themeShade="BF"/>
          <w:sz w:val="22"/>
          <w:szCs w:val="22"/>
        </w:rPr>
        <w:footnoteReference w:id="29"/>
      </w:r>
    </w:p>
    <w:p w14:paraId="7588CBB0" w14:textId="77777777" w:rsidR="00441D30" w:rsidRDefault="00441D30" w:rsidP="00FB5B4A">
      <w:pPr>
        <w:jc w:val="both"/>
        <w:rPr>
          <w:rFonts w:ascii="Arial" w:hAnsi="Arial" w:cs="Arial"/>
          <w:color w:val="7B7B7B" w:themeColor="accent3" w:themeShade="BF"/>
          <w:sz w:val="22"/>
          <w:szCs w:val="22"/>
        </w:rPr>
      </w:pPr>
    </w:p>
    <w:p w14:paraId="78134CE0" w14:textId="6E705CFB" w:rsidR="0076557C" w:rsidRDefault="007F1FE7" w:rsidP="00FB5B4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Mr. Chan should also keep in mind that the liquidator may apply to the court to </w:t>
      </w:r>
      <w:r w:rsidR="006F4022">
        <w:rPr>
          <w:rFonts w:ascii="Arial" w:hAnsi="Arial" w:cs="Arial"/>
          <w:color w:val="7B7B7B" w:themeColor="accent3" w:themeShade="BF"/>
          <w:sz w:val="22"/>
          <w:szCs w:val="22"/>
        </w:rPr>
        <w:t>exercise</w:t>
      </w:r>
      <w:r>
        <w:rPr>
          <w:rFonts w:ascii="Arial" w:hAnsi="Arial" w:cs="Arial"/>
          <w:color w:val="7B7B7B" w:themeColor="accent3" w:themeShade="BF"/>
          <w:sz w:val="22"/>
          <w:szCs w:val="22"/>
        </w:rPr>
        <w:t>, amongst other things,</w:t>
      </w:r>
      <w:r w:rsidR="006F4022">
        <w:rPr>
          <w:rFonts w:ascii="Arial" w:hAnsi="Arial" w:cs="Arial"/>
          <w:color w:val="7B7B7B" w:themeColor="accent3" w:themeShade="BF"/>
          <w:sz w:val="22"/>
          <w:szCs w:val="22"/>
        </w:rPr>
        <w:t xml:space="preserve"> all or any of the powers which the court might exercise if Mountainview were being wound up by the court.</w:t>
      </w:r>
      <w:r w:rsidR="00026D4A">
        <w:rPr>
          <w:rStyle w:val="FootnoteReference"/>
          <w:rFonts w:ascii="Arial" w:hAnsi="Arial" w:cs="Arial"/>
          <w:color w:val="7B7B7B" w:themeColor="accent3" w:themeShade="BF"/>
          <w:sz w:val="22"/>
          <w:szCs w:val="22"/>
        </w:rPr>
        <w:footnoteReference w:id="30"/>
      </w:r>
      <w:r w:rsidR="006F4022">
        <w:rPr>
          <w:rFonts w:ascii="Arial" w:hAnsi="Arial" w:cs="Arial"/>
          <w:color w:val="7B7B7B" w:themeColor="accent3" w:themeShade="BF"/>
          <w:sz w:val="22"/>
          <w:szCs w:val="22"/>
        </w:rPr>
        <w:t xml:space="preserve">  Such </w:t>
      </w:r>
      <w:r w:rsidR="008C1A8F">
        <w:rPr>
          <w:rFonts w:ascii="Arial" w:hAnsi="Arial" w:cs="Arial"/>
          <w:color w:val="7B7B7B" w:themeColor="accent3" w:themeShade="BF"/>
          <w:sz w:val="22"/>
          <w:szCs w:val="22"/>
        </w:rPr>
        <w:t>powers can include the granting of a stay of proceedings against Mountainview.</w:t>
      </w:r>
      <w:r w:rsidR="008C1A8F">
        <w:rPr>
          <w:rStyle w:val="FootnoteReference"/>
          <w:rFonts w:ascii="Arial" w:hAnsi="Arial" w:cs="Arial"/>
          <w:color w:val="7B7B7B" w:themeColor="accent3" w:themeShade="BF"/>
          <w:sz w:val="22"/>
          <w:szCs w:val="22"/>
        </w:rPr>
        <w:footnoteReference w:id="31"/>
      </w:r>
    </w:p>
    <w:p w14:paraId="1F567F54" w14:textId="77777777" w:rsidR="00075F25" w:rsidRDefault="00075F25" w:rsidP="00075F25">
      <w:pPr>
        <w:jc w:val="both"/>
        <w:rPr>
          <w:rFonts w:ascii="Arial" w:hAnsi="Arial" w:cs="Arial"/>
          <w:color w:val="7B7B7B" w:themeColor="accent3" w:themeShade="BF"/>
          <w:sz w:val="22"/>
          <w:szCs w:val="22"/>
        </w:rPr>
      </w:pPr>
    </w:p>
    <w:p w14:paraId="2365657E" w14:textId="73DF70E9" w:rsidR="00847783" w:rsidRDefault="00847783" w:rsidP="00FB5B4A">
      <w:pPr>
        <w:jc w:val="both"/>
        <w:rPr>
          <w:rFonts w:ascii="Arial" w:hAnsi="Arial" w:cs="Arial"/>
          <w:b/>
          <w:bCs/>
          <w:color w:val="7B7B7B" w:themeColor="accent3" w:themeShade="BF"/>
          <w:sz w:val="22"/>
          <w:szCs w:val="22"/>
        </w:rPr>
      </w:pPr>
      <w:r>
        <w:rPr>
          <w:rFonts w:ascii="Arial" w:hAnsi="Arial" w:cs="Arial"/>
          <w:b/>
          <w:bCs/>
          <w:color w:val="7B7B7B" w:themeColor="accent3" w:themeShade="BF"/>
          <w:sz w:val="22"/>
          <w:szCs w:val="22"/>
        </w:rPr>
        <w:t>CVL in case of urgency</w:t>
      </w:r>
    </w:p>
    <w:p w14:paraId="143A5901" w14:textId="77777777" w:rsidR="00847783" w:rsidRDefault="00847783" w:rsidP="00FB5B4A">
      <w:pPr>
        <w:jc w:val="both"/>
        <w:rPr>
          <w:rFonts w:ascii="Arial" w:hAnsi="Arial" w:cs="Arial"/>
          <w:b/>
          <w:bCs/>
          <w:color w:val="7B7B7B" w:themeColor="accent3" w:themeShade="BF"/>
          <w:sz w:val="22"/>
          <w:szCs w:val="22"/>
        </w:rPr>
      </w:pPr>
    </w:p>
    <w:p w14:paraId="02E828A2" w14:textId="23BC8A65" w:rsidR="00D67E78" w:rsidRDefault="001C0199" w:rsidP="00110CD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the director(s) has formed the opinion that the company cannot by reason of its liabilities continue its business, they may pass a resolution </w:t>
      </w:r>
      <w:r w:rsidR="00A33D00">
        <w:rPr>
          <w:rFonts w:ascii="Arial" w:hAnsi="Arial" w:cs="Arial"/>
          <w:color w:val="7B7B7B" w:themeColor="accent3" w:themeShade="BF"/>
          <w:sz w:val="22"/>
          <w:szCs w:val="22"/>
        </w:rPr>
        <w:t>that the company be wound up and that meetings of the company and its creditors be summoned.</w:t>
      </w:r>
      <w:r w:rsidR="00A33D00">
        <w:rPr>
          <w:rStyle w:val="FootnoteReference"/>
          <w:rFonts w:ascii="Arial" w:hAnsi="Arial" w:cs="Arial"/>
          <w:color w:val="7B7B7B" w:themeColor="accent3" w:themeShade="BF"/>
          <w:sz w:val="22"/>
          <w:szCs w:val="22"/>
        </w:rPr>
        <w:footnoteReference w:id="32"/>
      </w:r>
      <w:r w:rsidR="00235525">
        <w:rPr>
          <w:rFonts w:ascii="Arial" w:hAnsi="Arial" w:cs="Arial"/>
          <w:color w:val="7B7B7B" w:themeColor="accent3" w:themeShade="BF"/>
          <w:sz w:val="22"/>
          <w:szCs w:val="22"/>
        </w:rPr>
        <w:t xml:space="preserve">  Therefore, if Mr. Chan is of the opinion that Mountainview should be wound up with immediate effect, such resolutions can be passed without the requirement of a shareholders’ resolution.</w:t>
      </w:r>
    </w:p>
    <w:p w14:paraId="63CD1A72" w14:textId="77777777" w:rsidR="00A1448A" w:rsidRDefault="00A1448A" w:rsidP="00FB5B4A">
      <w:pPr>
        <w:jc w:val="both"/>
        <w:rPr>
          <w:rFonts w:ascii="Arial" w:hAnsi="Arial" w:cs="Arial"/>
          <w:color w:val="7B7B7B" w:themeColor="accent3" w:themeShade="BF"/>
          <w:sz w:val="22"/>
          <w:szCs w:val="22"/>
        </w:rPr>
      </w:pPr>
    </w:p>
    <w:p w14:paraId="18C7DCF4" w14:textId="38A8C8DE" w:rsidR="00A1448A" w:rsidRPr="00847783" w:rsidRDefault="00DD3CA5" w:rsidP="00475CF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Specific reasons in support of </w:t>
      </w:r>
      <w:r w:rsidR="004752A3">
        <w:rPr>
          <w:rFonts w:ascii="Arial" w:hAnsi="Arial" w:cs="Arial"/>
          <w:color w:val="7B7B7B" w:themeColor="accent3" w:themeShade="BF"/>
          <w:sz w:val="22"/>
          <w:szCs w:val="22"/>
        </w:rPr>
        <w:t xml:space="preserve">an urgent CVL must be included in the resolutions (and the winding-up statement </w:t>
      </w:r>
      <w:r w:rsidR="00EF0527">
        <w:rPr>
          <w:rFonts w:ascii="Arial" w:hAnsi="Arial" w:cs="Arial"/>
          <w:color w:val="7B7B7B" w:themeColor="accent3" w:themeShade="BF"/>
          <w:sz w:val="22"/>
          <w:szCs w:val="22"/>
        </w:rPr>
        <w:t>to be delivered to the Registrar)</w:t>
      </w:r>
      <w:r w:rsidR="00BE421E">
        <w:rPr>
          <w:rFonts w:ascii="Arial" w:hAnsi="Arial" w:cs="Arial"/>
          <w:color w:val="7B7B7B" w:themeColor="accent3" w:themeShade="BF"/>
          <w:sz w:val="22"/>
          <w:szCs w:val="22"/>
        </w:rPr>
        <w:t>.</w:t>
      </w:r>
      <w:r w:rsidR="00BE421E">
        <w:rPr>
          <w:rStyle w:val="FootnoteReference"/>
          <w:rFonts w:ascii="Arial" w:hAnsi="Arial" w:cs="Arial"/>
          <w:color w:val="7B7B7B" w:themeColor="accent3" w:themeShade="BF"/>
          <w:sz w:val="22"/>
          <w:szCs w:val="22"/>
        </w:rPr>
        <w:footnoteReference w:id="33"/>
      </w:r>
      <w:r w:rsidR="001A3C3B">
        <w:rPr>
          <w:rFonts w:ascii="Arial" w:hAnsi="Arial" w:cs="Arial"/>
          <w:color w:val="7B7B7B" w:themeColor="accent3" w:themeShade="BF"/>
          <w:sz w:val="22"/>
          <w:szCs w:val="22"/>
        </w:rPr>
        <w:t xml:space="preserve">  Urgent CVLs are utilized in cases where the appointment of a liquidator is required in short order such as where there are perishable goods to be dealt with and/or disposed of.</w:t>
      </w:r>
      <w:r w:rsidR="001A3C3B">
        <w:rPr>
          <w:rStyle w:val="FootnoteReference"/>
          <w:rFonts w:ascii="Arial" w:hAnsi="Arial" w:cs="Arial"/>
          <w:color w:val="7B7B7B" w:themeColor="accent3" w:themeShade="BF"/>
          <w:sz w:val="22"/>
          <w:szCs w:val="22"/>
        </w:rPr>
        <w:footnoteReference w:id="34"/>
      </w:r>
      <w:r w:rsidR="00475CF3">
        <w:rPr>
          <w:rFonts w:ascii="Arial" w:hAnsi="Arial" w:cs="Arial"/>
          <w:color w:val="7B7B7B" w:themeColor="accent3" w:themeShade="BF"/>
          <w:sz w:val="22"/>
          <w:szCs w:val="22"/>
        </w:rPr>
        <w:t xml:space="preserve">  Further information would be required from Mr. Chan to confirm the type(s) of goods and/or services Mountainview deals with to see whether Mountainview would be eligible for an urgent CVL.</w:t>
      </w:r>
    </w:p>
    <w:p w14:paraId="2B4D23B6" w14:textId="77777777" w:rsidR="00847783" w:rsidRDefault="00847783" w:rsidP="00FB5B4A">
      <w:pPr>
        <w:jc w:val="both"/>
        <w:rPr>
          <w:rFonts w:ascii="Arial" w:hAnsi="Arial" w:cs="Arial"/>
          <w:color w:val="7B7B7B" w:themeColor="accent3" w:themeShade="BF"/>
          <w:sz w:val="22"/>
          <w:szCs w:val="22"/>
        </w:rPr>
      </w:pPr>
    </w:p>
    <w:p w14:paraId="58CBA80C" w14:textId="3F0BA713" w:rsidR="000831F4" w:rsidRPr="000831F4" w:rsidRDefault="000831F4" w:rsidP="00FB5B4A">
      <w:pPr>
        <w:jc w:val="both"/>
        <w:rPr>
          <w:rFonts w:ascii="Arial" w:hAnsi="Arial" w:cs="Arial"/>
          <w:b/>
          <w:bCs/>
          <w:color w:val="7B7B7B" w:themeColor="accent3" w:themeShade="BF"/>
          <w:sz w:val="22"/>
          <w:szCs w:val="22"/>
        </w:rPr>
      </w:pPr>
      <w:r>
        <w:rPr>
          <w:rFonts w:ascii="Arial" w:hAnsi="Arial" w:cs="Arial"/>
          <w:b/>
          <w:bCs/>
          <w:color w:val="7B7B7B" w:themeColor="accent3" w:themeShade="BF"/>
          <w:sz w:val="22"/>
          <w:szCs w:val="22"/>
        </w:rPr>
        <w:t>Compulsory (Court) Liquidation</w:t>
      </w:r>
    </w:p>
    <w:p w14:paraId="50C765C8" w14:textId="77777777" w:rsidR="00DE1791" w:rsidRDefault="00DE1791" w:rsidP="00A609B3">
      <w:pPr>
        <w:jc w:val="both"/>
        <w:rPr>
          <w:rFonts w:ascii="Arial" w:hAnsi="Arial" w:cs="Arial"/>
          <w:color w:val="7B7B7B" w:themeColor="accent3" w:themeShade="BF"/>
          <w:sz w:val="22"/>
          <w:szCs w:val="22"/>
        </w:rPr>
      </w:pPr>
    </w:p>
    <w:p w14:paraId="07385A28" w14:textId="212397BF" w:rsidR="00674DE4" w:rsidRDefault="0066138A" w:rsidP="00A609B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compulsory liquidation is one where a company is wound up by court order.  </w:t>
      </w:r>
      <w:r w:rsidR="001A24A1">
        <w:rPr>
          <w:rFonts w:ascii="Arial" w:hAnsi="Arial" w:cs="Arial"/>
          <w:color w:val="7B7B7B" w:themeColor="accent3" w:themeShade="BF"/>
          <w:sz w:val="22"/>
          <w:szCs w:val="22"/>
        </w:rPr>
        <w:t>One of the circumstances in which a company may be wound up by the court is if the company is unable to pay its debts.</w:t>
      </w:r>
      <w:r w:rsidR="001A24A1">
        <w:rPr>
          <w:rStyle w:val="FootnoteReference"/>
          <w:rFonts w:ascii="Arial" w:hAnsi="Arial" w:cs="Arial"/>
          <w:color w:val="7B7B7B" w:themeColor="accent3" w:themeShade="BF"/>
          <w:sz w:val="22"/>
          <w:szCs w:val="22"/>
        </w:rPr>
        <w:footnoteReference w:id="35"/>
      </w:r>
      <w:r w:rsidR="005B40A2">
        <w:rPr>
          <w:rFonts w:ascii="Arial" w:hAnsi="Arial" w:cs="Arial"/>
          <w:color w:val="7B7B7B" w:themeColor="accent3" w:themeShade="BF"/>
          <w:sz w:val="22"/>
          <w:szCs w:val="22"/>
        </w:rPr>
        <w:t xml:space="preserve">  </w:t>
      </w:r>
      <w:r w:rsidR="004B7324">
        <w:rPr>
          <w:rFonts w:ascii="Arial" w:hAnsi="Arial" w:cs="Arial"/>
          <w:color w:val="7B7B7B" w:themeColor="accent3" w:themeShade="BF"/>
          <w:sz w:val="22"/>
          <w:szCs w:val="22"/>
        </w:rPr>
        <w:t>An application to wind up a company can be presented either by the company or by any creditor or creditors.</w:t>
      </w:r>
      <w:r w:rsidR="004B7324">
        <w:rPr>
          <w:rStyle w:val="FootnoteReference"/>
          <w:rFonts w:ascii="Arial" w:hAnsi="Arial" w:cs="Arial"/>
          <w:color w:val="7B7B7B" w:themeColor="accent3" w:themeShade="BF"/>
          <w:sz w:val="22"/>
          <w:szCs w:val="22"/>
        </w:rPr>
        <w:footnoteReference w:id="36"/>
      </w:r>
      <w:r w:rsidR="004D7492">
        <w:rPr>
          <w:rFonts w:ascii="Arial" w:hAnsi="Arial" w:cs="Arial"/>
          <w:color w:val="7B7B7B" w:themeColor="accent3" w:themeShade="BF"/>
          <w:sz w:val="22"/>
          <w:szCs w:val="22"/>
        </w:rPr>
        <w:t xml:space="preserve">  In this scenario, Mountainview appears to qualify for a compulsory liquidation given that it is unlikely to be able to continue in business</w:t>
      </w:r>
      <w:r w:rsidR="00A6627B">
        <w:rPr>
          <w:rFonts w:ascii="Arial" w:hAnsi="Arial" w:cs="Arial"/>
          <w:color w:val="7B7B7B" w:themeColor="accent3" w:themeShade="BF"/>
          <w:sz w:val="22"/>
          <w:szCs w:val="22"/>
        </w:rPr>
        <w:t>.</w:t>
      </w:r>
    </w:p>
    <w:p w14:paraId="354325AF" w14:textId="77777777" w:rsidR="00A6627B" w:rsidRDefault="00A6627B" w:rsidP="00A609B3">
      <w:pPr>
        <w:jc w:val="both"/>
        <w:rPr>
          <w:rFonts w:ascii="Arial" w:hAnsi="Arial" w:cs="Arial"/>
          <w:color w:val="7B7B7B" w:themeColor="accent3" w:themeShade="BF"/>
          <w:sz w:val="22"/>
          <w:szCs w:val="22"/>
        </w:rPr>
      </w:pPr>
    </w:p>
    <w:p w14:paraId="12A647FB" w14:textId="38AB4E6A" w:rsidR="00A6627B" w:rsidRDefault="00C109E9" w:rsidP="00A609B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company can, by special resolution, resolve for the company to be wound up by the court.</w:t>
      </w:r>
      <w:r w:rsidR="001D736F">
        <w:rPr>
          <w:rFonts w:ascii="Arial" w:hAnsi="Arial" w:cs="Arial"/>
          <w:color w:val="7B7B7B" w:themeColor="accent3" w:themeShade="BF"/>
          <w:sz w:val="22"/>
          <w:szCs w:val="22"/>
        </w:rPr>
        <w:t xml:space="preserve">  Therefore, the resolution </w:t>
      </w:r>
      <w:proofErr w:type="gramStart"/>
      <w:r w:rsidR="001D736F">
        <w:rPr>
          <w:rFonts w:ascii="Arial" w:hAnsi="Arial" w:cs="Arial"/>
          <w:color w:val="7B7B7B" w:themeColor="accent3" w:themeShade="BF"/>
          <w:sz w:val="22"/>
          <w:szCs w:val="22"/>
        </w:rPr>
        <w:t>has to</w:t>
      </w:r>
      <w:proofErr w:type="gramEnd"/>
      <w:r w:rsidR="001D736F">
        <w:rPr>
          <w:rFonts w:ascii="Arial" w:hAnsi="Arial" w:cs="Arial"/>
          <w:color w:val="7B7B7B" w:themeColor="accent3" w:themeShade="BF"/>
          <w:sz w:val="22"/>
          <w:szCs w:val="22"/>
        </w:rPr>
        <w:t xml:space="preserve"> be passed by the shareholders of Mountainview.</w:t>
      </w:r>
      <w:r>
        <w:rPr>
          <w:rStyle w:val="FootnoteReference"/>
          <w:rFonts w:ascii="Arial" w:hAnsi="Arial" w:cs="Arial"/>
          <w:color w:val="7B7B7B" w:themeColor="accent3" w:themeShade="BF"/>
          <w:sz w:val="22"/>
          <w:szCs w:val="22"/>
        </w:rPr>
        <w:footnoteReference w:id="37"/>
      </w:r>
      <w:r w:rsidR="001D736F">
        <w:rPr>
          <w:rFonts w:ascii="Arial" w:hAnsi="Arial" w:cs="Arial"/>
          <w:color w:val="7B7B7B" w:themeColor="accent3" w:themeShade="BF"/>
          <w:sz w:val="22"/>
          <w:szCs w:val="22"/>
        </w:rPr>
        <w:t xml:space="preserve">  Therefore, Mr. Chan does not have the sole ability to resolve to wind up Mountainview by the court.</w:t>
      </w:r>
    </w:p>
    <w:p w14:paraId="117996BF" w14:textId="2F8D8B8C" w:rsidR="00DD76C1" w:rsidRDefault="00DD76C1" w:rsidP="00261D4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At any time after the presentation of a winding up petition and before the granting of a winding up order, the company (or any creditors or contributory) may apply to stay or restrain proceedings against the company.</w:t>
      </w:r>
      <w:r w:rsidR="000F5C1E">
        <w:rPr>
          <w:rStyle w:val="FootnoteReference"/>
          <w:rFonts w:ascii="Arial" w:hAnsi="Arial" w:cs="Arial"/>
          <w:color w:val="7B7B7B" w:themeColor="accent3" w:themeShade="BF"/>
          <w:sz w:val="22"/>
          <w:szCs w:val="22"/>
        </w:rPr>
        <w:footnoteReference w:id="38"/>
      </w:r>
      <w:r w:rsidR="00422BED">
        <w:rPr>
          <w:rFonts w:ascii="Arial" w:hAnsi="Arial" w:cs="Arial"/>
          <w:color w:val="7B7B7B" w:themeColor="accent3" w:themeShade="BF"/>
          <w:sz w:val="22"/>
          <w:szCs w:val="22"/>
        </w:rPr>
        <w:t xml:space="preserve">  In addition, the court may also </w:t>
      </w:r>
      <w:r w:rsidR="00360797">
        <w:rPr>
          <w:rFonts w:ascii="Arial" w:hAnsi="Arial" w:cs="Arial"/>
          <w:color w:val="7B7B7B" w:themeColor="accent3" w:themeShade="BF"/>
          <w:sz w:val="22"/>
          <w:szCs w:val="22"/>
        </w:rPr>
        <w:t xml:space="preserve">appoint a provisional liquidator </w:t>
      </w:r>
      <w:r w:rsidR="003A16CC">
        <w:rPr>
          <w:rFonts w:ascii="Arial" w:hAnsi="Arial" w:cs="Arial"/>
          <w:color w:val="7B7B7B" w:themeColor="accent3" w:themeShade="BF"/>
          <w:sz w:val="22"/>
          <w:szCs w:val="22"/>
        </w:rPr>
        <w:t xml:space="preserve">over the company </w:t>
      </w:r>
      <w:r w:rsidR="00151074">
        <w:rPr>
          <w:rFonts w:ascii="Arial" w:hAnsi="Arial" w:cs="Arial"/>
          <w:color w:val="7B7B7B" w:themeColor="accent3" w:themeShade="BF"/>
          <w:sz w:val="22"/>
          <w:szCs w:val="22"/>
        </w:rPr>
        <w:t>during this period</w:t>
      </w:r>
      <w:r w:rsidR="003A16CC">
        <w:rPr>
          <w:rFonts w:ascii="Arial" w:hAnsi="Arial" w:cs="Arial"/>
          <w:color w:val="7B7B7B" w:themeColor="accent3" w:themeShade="BF"/>
          <w:sz w:val="22"/>
          <w:szCs w:val="22"/>
        </w:rPr>
        <w:t>.</w:t>
      </w:r>
      <w:r w:rsidR="003A16CC">
        <w:rPr>
          <w:rStyle w:val="FootnoteReference"/>
          <w:rFonts w:ascii="Arial" w:hAnsi="Arial" w:cs="Arial"/>
          <w:color w:val="7B7B7B" w:themeColor="accent3" w:themeShade="BF"/>
          <w:sz w:val="22"/>
          <w:szCs w:val="22"/>
        </w:rPr>
        <w:footnoteReference w:id="39"/>
      </w:r>
      <w:r w:rsidR="003A16CC">
        <w:rPr>
          <w:rFonts w:ascii="Arial" w:hAnsi="Arial" w:cs="Arial"/>
          <w:color w:val="7B7B7B" w:themeColor="accent3" w:themeShade="BF"/>
          <w:sz w:val="22"/>
          <w:szCs w:val="22"/>
        </w:rPr>
        <w:t xml:space="preserve">  The provisional liquidator will have the power to take into his custody, or under his control, and preserve all assets of the company.</w:t>
      </w:r>
      <w:r w:rsidR="003A16CC">
        <w:rPr>
          <w:rStyle w:val="FootnoteReference"/>
          <w:rFonts w:ascii="Arial" w:hAnsi="Arial" w:cs="Arial"/>
          <w:color w:val="7B7B7B" w:themeColor="accent3" w:themeShade="BF"/>
          <w:sz w:val="22"/>
          <w:szCs w:val="22"/>
        </w:rPr>
        <w:footnoteReference w:id="40"/>
      </w:r>
    </w:p>
    <w:p w14:paraId="79666C1E" w14:textId="77777777" w:rsidR="001C45BF" w:rsidRDefault="001C45BF" w:rsidP="00261D4D">
      <w:pPr>
        <w:jc w:val="both"/>
        <w:rPr>
          <w:rFonts w:ascii="Arial" w:hAnsi="Arial" w:cs="Arial"/>
          <w:color w:val="7B7B7B" w:themeColor="accent3" w:themeShade="BF"/>
          <w:sz w:val="22"/>
          <w:szCs w:val="22"/>
        </w:rPr>
      </w:pPr>
    </w:p>
    <w:p w14:paraId="0B1F3533" w14:textId="2062E034" w:rsidR="001C45BF" w:rsidRDefault="004642F9" w:rsidP="00261D4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It should be noted that unlikely a voluntary liquidation, w</w:t>
      </w:r>
      <w:r w:rsidR="00B371C1">
        <w:rPr>
          <w:rFonts w:ascii="Arial" w:hAnsi="Arial" w:cs="Arial"/>
          <w:color w:val="7B7B7B" w:themeColor="accent3" w:themeShade="BF"/>
          <w:sz w:val="22"/>
          <w:szCs w:val="22"/>
        </w:rPr>
        <w:t>hen a winding up order has been made, or a provisional liquidator has been appointed, no action or proceeding may be proceeded with or commenced against the company, except by leave of the court</w:t>
      </w:r>
      <w:r w:rsidR="00974733">
        <w:rPr>
          <w:rFonts w:ascii="Arial" w:hAnsi="Arial" w:cs="Arial"/>
          <w:color w:val="7B7B7B" w:themeColor="accent3" w:themeShade="BF"/>
          <w:sz w:val="22"/>
          <w:szCs w:val="22"/>
        </w:rPr>
        <w:t>.</w:t>
      </w:r>
      <w:r w:rsidR="00974733">
        <w:rPr>
          <w:rStyle w:val="FootnoteReference"/>
          <w:rFonts w:ascii="Arial" w:hAnsi="Arial" w:cs="Arial"/>
          <w:color w:val="7B7B7B" w:themeColor="accent3" w:themeShade="BF"/>
          <w:sz w:val="22"/>
          <w:szCs w:val="22"/>
        </w:rPr>
        <w:footnoteReference w:id="41"/>
      </w:r>
      <w:r w:rsidR="00974733">
        <w:rPr>
          <w:rFonts w:ascii="Arial" w:hAnsi="Arial" w:cs="Arial"/>
          <w:color w:val="7B7B7B" w:themeColor="accent3" w:themeShade="BF"/>
          <w:sz w:val="22"/>
          <w:szCs w:val="22"/>
        </w:rPr>
        <w:t xml:space="preserve">  Therefore, Mr. Chan can gain comfort in this respect should this route be taken for Mountainview.</w:t>
      </w:r>
    </w:p>
    <w:p w14:paraId="345E9D54" w14:textId="77777777" w:rsidR="003F2CE6" w:rsidRDefault="003F2CE6" w:rsidP="00261D4D">
      <w:pPr>
        <w:jc w:val="both"/>
        <w:rPr>
          <w:rFonts w:ascii="Arial" w:hAnsi="Arial" w:cs="Arial"/>
          <w:color w:val="7B7B7B" w:themeColor="accent3" w:themeShade="BF"/>
          <w:sz w:val="22"/>
          <w:szCs w:val="22"/>
        </w:rPr>
      </w:pPr>
    </w:p>
    <w:p w14:paraId="5538C915" w14:textId="7DB5BB64" w:rsidR="003F2CE6" w:rsidRDefault="00DC16AD" w:rsidP="00261D4D">
      <w:pPr>
        <w:jc w:val="both"/>
        <w:rPr>
          <w:rFonts w:ascii="Arial" w:hAnsi="Arial" w:cs="Arial"/>
          <w:b/>
          <w:bCs/>
          <w:color w:val="7B7B7B" w:themeColor="accent3" w:themeShade="BF"/>
          <w:sz w:val="22"/>
          <w:szCs w:val="22"/>
        </w:rPr>
      </w:pPr>
      <w:r>
        <w:rPr>
          <w:rFonts w:ascii="Arial" w:hAnsi="Arial" w:cs="Arial"/>
          <w:b/>
          <w:bCs/>
          <w:color w:val="7B7B7B" w:themeColor="accent3" w:themeShade="BF"/>
          <w:sz w:val="22"/>
          <w:szCs w:val="22"/>
        </w:rPr>
        <w:t>Investigations</w:t>
      </w:r>
    </w:p>
    <w:p w14:paraId="7EAF1AF2" w14:textId="77777777" w:rsidR="00DC16AD" w:rsidRDefault="00DC16AD" w:rsidP="00261D4D">
      <w:pPr>
        <w:jc w:val="both"/>
        <w:rPr>
          <w:rFonts w:ascii="Arial" w:hAnsi="Arial" w:cs="Arial"/>
          <w:b/>
          <w:bCs/>
          <w:color w:val="7B7B7B" w:themeColor="accent3" w:themeShade="BF"/>
          <w:sz w:val="22"/>
          <w:szCs w:val="22"/>
        </w:rPr>
      </w:pPr>
    </w:p>
    <w:p w14:paraId="6CB73182" w14:textId="72E9546E" w:rsidR="00DC16AD" w:rsidRPr="00DC16AD" w:rsidRDefault="00576A62" w:rsidP="00261D4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Mr. Chan should be aware that </w:t>
      </w:r>
      <w:r w:rsidR="002806CD">
        <w:rPr>
          <w:rFonts w:ascii="Arial" w:hAnsi="Arial" w:cs="Arial"/>
          <w:color w:val="7B7B7B" w:themeColor="accent3" w:themeShade="BF"/>
          <w:sz w:val="22"/>
          <w:szCs w:val="22"/>
        </w:rPr>
        <w:t>o</w:t>
      </w:r>
      <w:r>
        <w:rPr>
          <w:rFonts w:ascii="Arial" w:hAnsi="Arial" w:cs="Arial"/>
          <w:color w:val="7B7B7B" w:themeColor="accent3" w:themeShade="BF"/>
          <w:sz w:val="22"/>
          <w:szCs w:val="22"/>
        </w:rPr>
        <w:t xml:space="preserve">ne of the mandated roles of a </w:t>
      </w:r>
      <w:r w:rsidR="002806CD">
        <w:rPr>
          <w:rFonts w:ascii="Arial" w:hAnsi="Arial" w:cs="Arial"/>
          <w:color w:val="7B7B7B" w:themeColor="accent3" w:themeShade="BF"/>
          <w:sz w:val="22"/>
          <w:szCs w:val="22"/>
        </w:rPr>
        <w:t xml:space="preserve">liquidator is to investigate transactions or payments made during the relevant period (as defined in the </w:t>
      </w:r>
      <w:r w:rsidR="006F73CA">
        <w:rPr>
          <w:rFonts w:ascii="Arial" w:hAnsi="Arial" w:cs="Arial"/>
          <w:color w:val="7B7B7B" w:themeColor="accent3" w:themeShade="BF"/>
          <w:sz w:val="22"/>
          <w:szCs w:val="22"/>
        </w:rPr>
        <w:t>Companies (Winding Up and Miscellaneous Provisions) Ordinance</w:t>
      </w:r>
      <w:r w:rsidR="002806CD">
        <w:rPr>
          <w:rFonts w:ascii="Arial" w:hAnsi="Arial" w:cs="Arial"/>
          <w:color w:val="7B7B7B" w:themeColor="accent3" w:themeShade="BF"/>
          <w:sz w:val="22"/>
          <w:szCs w:val="22"/>
        </w:rPr>
        <w:t>) to determine whether such transactions or payments should be avoided.</w:t>
      </w:r>
      <w:r w:rsidR="002806CD">
        <w:rPr>
          <w:rStyle w:val="FootnoteReference"/>
          <w:rFonts w:ascii="Arial" w:hAnsi="Arial" w:cs="Arial"/>
          <w:color w:val="7B7B7B" w:themeColor="accent3" w:themeShade="BF"/>
          <w:sz w:val="22"/>
          <w:szCs w:val="22"/>
        </w:rPr>
        <w:footnoteReference w:id="42"/>
      </w:r>
      <w:r w:rsidR="002806CD">
        <w:rPr>
          <w:rFonts w:ascii="Arial" w:hAnsi="Arial" w:cs="Arial"/>
          <w:color w:val="7B7B7B" w:themeColor="accent3" w:themeShade="BF"/>
          <w:sz w:val="22"/>
          <w:szCs w:val="22"/>
        </w:rPr>
        <w:t xml:space="preserve">  </w:t>
      </w:r>
      <w:r w:rsidR="006C352A">
        <w:rPr>
          <w:rFonts w:ascii="Arial" w:hAnsi="Arial" w:cs="Arial"/>
          <w:color w:val="7B7B7B" w:themeColor="accent3" w:themeShade="BF"/>
          <w:sz w:val="22"/>
          <w:szCs w:val="22"/>
        </w:rPr>
        <w:t xml:space="preserve">This role also encompasses investigating and considering the conduct of the director.  </w:t>
      </w:r>
      <w:r w:rsidR="00790F13">
        <w:rPr>
          <w:rFonts w:ascii="Arial" w:hAnsi="Arial" w:cs="Arial"/>
          <w:color w:val="7B7B7B" w:themeColor="accent3" w:themeShade="BF"/>
          <w:sz w:val="22"/>
          <w:szCs w:val="22"/>
        </w:rPr>
        <w:t>As such, it is not appropriate to appoint a “friendly” liquidator that will not fulfill the statutory role to investigate.</w:t>
      </w: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 xml:space="preserve">export business.  It buys goods on its own account from suppliers in Mainland China, then sells them on to buyers in Europe at a mark-up. The company has been in difficulty for some time, for example due to reducing margins; </w:t>
      </w:r>
      <w:proofErr w:type="spellStart"/>
      <w:r w:rsidRPr="007E1E1F">
        <w:rPr>
          <w:rFonts w:ascii="Arial" w:hAnsi="Arial" w:cs="Arial"/>
          <w:sz w:val="22"/>
          <w:szCs w:val="22"/>
        </w:rPr>
        <w:t>unfavourable</w:t>
      </w:r>
      <w:proofErr w:type="spellEnd"/>
      <w:r w:rsidRPr="007E1E1F">
        <w:rPr>
          <w:rFonts w:ascii="Arial" w:hAnsi="Arial" w:cs="Arial"/>
          <w:sz w:val="22"/>
          <w:szCs w:val="22"/>
        </w:rPr>
        <w:t xml:space="preserve"> credit terms leading to a </w:t>
      </w:r>
      <w:proofErr w:type="gramStart"/>
      <w:r w:rsidRPr="007E1E1F">
        <w:rPr>
          <w:rFonts w:ascii="Arial" w:hAnsi="Arial" w:cs="Arial"/>
          <w:sz w:val="22"/>
          <w:szCs w:val="22"/>
        </w:rPr>
        <w:t>mis-match</w:t>
      </w:r>
      <w:proofErr w:type="gramEnd"/>
      <w:r w:rsidRPr="007E1E1F">
        <w:rPr>
          <w:rFonts w:ascii="Arial" w:hAnsi="Arial" w:cs="Arial"/>
          <w:sz w:val="22"/>
          <w:szCs w:val="22"/>
        </w:rPr>
        <w:t xml:space="preserve">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 xml:space="preserve">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w:t>
      </w:r>
      <w:proofErr w:type="gramStart"/>
      <w:r w:rsidRPr="007E1E1F">
        <w:rPr>
          <w:rFonts w:ascii="Arial" w:hAnsi="Arial" w:cs="Arial"/>
          <w:sz w:val="22"/>
          <w:szCs w:val="22"/>
        </w:rPr>
        <w:t>opened</w:t>
      </w:r>
      <w:proofErr w:type="gramEnd"/>
      <w:r w:rsidRPr="007E1E1F">
        <w:rPr>
          <w:rFonts w:ascii="Arial" w:hAnsi="Arial" w:cs="Arial"/>
          <w:sz w:val="22"/>
          <w:szCs w:val="22"/>
        </w:rPr>
        <w:t xml:space="preserve">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 xml:space="preserve">Recently, GFL appointed a receiver pursuant to the charge executed in its </w:t>
      </w:r>
      <w:proofErr w:type="spellStart"/>
      <w:r w:rsidRPr="007E1E1F">
        <w:rPr>
          <w:rFonts w:ascii="Arial" w:hAnsi="Arial" w:cs="Arial"/>
          <w:sz w:val="22"/>
          <w:szCs w:val="22"/>
        </w:rPr>
        <w:t>favour</w:t>
      </w:r>
      <w:proofErr w:type="spellEnd"/>
      <w:r w:rsidRPr="007E1E1F">
        <w:rPr>
          <w:rFonts w:ascii="Arial" w:hAnsi="Arial" w:cs="Arial"/>
          <w:sz w:val="22"/>
          <w:szCs w:val="22"/>
        </w:rPr>
        <w:t xml:space="preserve">.  The company has also been wound up on a petition presented by another creditor and a liquidator appointed. The receivables appear to be Kite’s only assets.   The liquidator asks for your advice on whether she can insist that the receiver hand over </w:t>
      </w:r>
      <w:proofErr w:type="spellStart"/>
      <w:r w:rsidRPr="007E1E1F">
        <w:rPr>
          <w:rFonts w:ascii="Arial" w:hAnsi="Arial" w:cs="Arial"/>
          <w:sz w:val="22"/>
          <w:szCs w:val="22"/>
        </w:rPr>
        <w:t>realisations</w:t>
      </w:r>
      <w:proofErr w:type="spellEnd"/>
      <w:r w:rsidRPr="007E1E1F">
        <w:rPr>
          <w:rFonts w:ascii="Arial" w:hAnsi="Arial" w:cs="Arial"/>
          <w:sz w:val="22"/>
          <w:szCs w:val="22"/>
        </w:rPr>
        <w:t xml:space="preserve"> he makes in order that the costs and expenses of the liquidation can be </w:t>
      </w:r>
      <w:proofErr w:type="gramStart"/>
      <w:r w:rsidRPr="007E1E1F">
        <w:rPr>
          <w:rFonts w:ascii="Arial" w:hAnsi="Arial" w:cs="Arial"/>
          <w:sz w:val="22"/>
          <w:szCs w:val="22"/>
        </w:rPr>
        <w:t>met</w:t>
      </w:r>
      <w:proofErr w:type="gramEnd"/>
      <w:r w:rsidRPr="007E1E1F">
        <w:rPr>
          <w:rFonts w:ascii="Arial" w:hAnsi="Arial" w:cs="Arial"/>
          <w:sz w:val="22"/>
          <w:szCs w:val="22"/>
        </w:rPr>
        <w:t xml:space="preserve">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361B682B" w14:textId="6BA0CAC4" w:rsidR="00824E43" w:rsidRDefault="00824E43" w:rsidP="00713958">
      <w:pPr>
        <w:keepNext/>
        <w:jc w:val="both"/>
        <w:rPr>
          <w:rFonts w:ascii="Arial" w:hAnsi="Arial" w:cs="Arial"/>
          <w:b/>
          <w:bCs/>
          <w:color w:val="7B7B7B" w:themeColor="accent3" w:themeShade="BF"/>
          <w:sz w:val="22"/>
          <w:szCs w:val="22"/>
        </w:rPr>
      </w:pPr>
      <w:r>
        <w:rPr>
          <w:rFonts w:ascii="Arial" w:hAnsi="Arial" w:cs="Arial"/>
          <w:b/>
          <w:bCs/>
          <w:color w:val="7B7B7B" w:themeColor="accent3" w:themeShade="BF"/>
          <w:sz w:val="22"/>
          <w:szCs w:val="22"/>
        </w:rPr>
        <w:t>Security</w:t>
      </w:r>
    </w:p>
    <w:p w14:paraId="2BF952C6" w14:textId="77777777" w:rsidR="00824E43" w:rsidRDefault="00824E43" w:rsidP="00713958">
      <w:pPr>
        <w:keepNext/>
        <w:jc w:val="both"/>
        <w:rPr>
          <w:rFonts w:ascii="Arial" w:hAnsi="Arial" w:cs="Arial"/>
          <w:b/>
          <w:bCs/>
          <w:color w:val="7B7B7B" w:themeColor="accent3" w:themeShade="BF"/>
          <w:sz w:val="22"/>
          <w:szCs w:val="22"/>
        </w:rPr>
      </w:pPr>
    </w:p>
    <w:p w14:paraId="0DEE3E07" w14:textId="5CC8633C" w:rsidR="00824E43" w:rsidRDefault="00713958" w:rsidP="00713958">
      <w:pPr>
        <w:keepNext/>
        <w:jc w:val="both"/>
        <w:rPr>
          <w:rFonts w:ascii="Arial" w:hAnsi="Arial" w:cs="Arial"/>
          <w:color w:val="7B7B7B" w:themeColor="accent3" w:themeShade="BF"/>
          <w:sz w:val="22"/>
          <w:szCs w:val="22"/>
        </w:rPr>
      </w:pPr>
      <w:r>
        <w:rPr>
          <w:rFonts w:ascii="Arial" w:hAnsi="Arial" w:cs="Arial"/>
          <w:color w:val="7B7B7B" w:themeColor="accent3" w:themeShade="BF"/>
          <w:sz w:val="22"/>
          <w:szCs w:val="22"/>
        </w:rPr>
        <w:t>At the outset, the liquidator should be made aware that under Hong Kong law, there is no limit to the types or forms of security that a creditor can utilize.</w:t>
      </w:r>
      <w:r>
        <w:rPr>
          <w:rStyle w:val="FootnoteReference"/>
          <w:rFonts w:ascii="Arial" w:hAnsi="Arial" w:cs="Arial"/>
          <w:color w:val="7B7B7B" w:themeColor="accent3" w:themeShade="BF"/>
          <w:sz w:val="22"/>
          <w:szCs w:val="22"/>
        </w:rPr>
        <w:footnoteReference w:id="43"/>
      </w:r>
      <w:r w:rsidR="00A40856">
        <w:rPr>
          <w:rFonts w:ascii="Arial" w:hAnsi="Arial" w:cs="Arial"/>
          <w:color w:val="7B7B7B" w:themeColor="accent3" w:themeShade="BF"/>
          <w:sz w:val="22"/>
          <w:szCs w:val="22"/>
        </w:rPr>
        <w:t xml:space="preserve">  For the purposes of this question however, fixed charges and floating charges will be discussed.</w:t>
      </w:r>
    </w:p>
    <w:p w14:paraId="34830135" w14:textId="77777777" w:rsidR="00032647" w:rsidRDefault="00032647" w:rsidP="005A72E8">
      <w:pPr>
        <w:jc w:val="both"/>
        <w:rPr>
          <w:rFonts w:ascii="Arial" w:hAnsi="Arial" w:cs="Arial"/>
          <w:color w:val="7B7B7B" w:themeColor="accent3" w:themeShade="BF"/>
          <w:sz w:val="22"/>
          <w:szCs w:val="22"/>
        </w:rPr>
      </w:pPr>
    </w:p>
    <w:p w14:paraId="32BAC261" w14:textId="7237DF6D" w:rsidR="008B004B" w:rsidRDefault="008B004B" w:rsidP="005A72E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respect of fixed charges, charges are made over a specific asset(s) with attachment being automati</w:t>
      </w:r>
      <w:r w:rsidR="00163F74">
        <w:rPr>
          <w:rFonts w:ascii="Arial" w:hAnsi="Arial" w:cs="Arial"/>
          <w:color w:val="7B7B7B" w:themeColor="accent3" w:themeShade="BF"/>
          <w:sz w:val="22"/>
          <w:szCs w:val="22"/>
        </w:rPr>
        <w:t xml:space="preserve">c.  During the period of a fixed charge, the </w:t>
      </w:r>
      <w:proofErr w:type="spellStart"/>
      <w:r w:rsidR="00163F74">
        <w:rPr>
          <w:rFonts w:ascii="Arial" w:hAnsi="Arial" w:cs="Arial"/>
          <w:color w:val="7B7B7B" w:themeColor="accent3" w:themeShade="BF"/>
          <w:sz w:val="22"/>
          <w:szCs w:val="22"/>
        </w:rPr>
        <w:t>chargee</w:t>
      </w:r>
      <w:proofErr w:type="spellEnd"/>
      <w:r w:rsidR="00163F74">
        <w:rPr>
          <w:rFonts w:ascii="Arial" w:hAnsi="Arial" w:cs="Arial"/>
          <w:color w:val="7B7B7B" w:themeColor="accent3" w:themeShade="BF"/>
          <w:sz w:val="22"/>
          <w:szCs w:val="22"/>
        </w:rPr>
        <w:t xml:space="preserve"> creditor has authority over the asset(s) and the debtor therefore cannot deal with it without consent.</w:t>
      </w:r>
      <w:r w:rsidR="00163F74">
        <w:rPr>
          <w:rStyle w:val="FootnoteReference"/>
          <w:rFonts w:ascii="Arial" w:hAnsi="Arial" w:cs="Arial"/>
          <w:color w:val="7B7B7B" w:themeColor="accent3" w:themeShade="BF"/>
          <w:sz w:val="22"/>
          <w:szCs w:val="22"/>
        </w:rPr>
        <w:footnoteReference w:id="44"/>
      </w:r>
    </w:p>
    <w:p w14:paraId="21DA7642" w14:textId="77777777" w:rsidR="00F31FE5" w:rsidRDefault="00F31FE5" w:rsidP="005A72E8">
      <w:pPr>
        <w:jc w:val="both"/>
        <w:rPr>
          <w:rFonts w:ascii="Arial" w:hAnsi="Arial" w:cs="Arial"/>
          <w:color w:val="7B7B7B" w:themeColor="accent3" w:themeShade="BF"/>
          <w:sz w:val="22"/>
          <w:szCs w:val="22"/>
        </w:rPr>
      </w:pPr>
    </w:p>
    <w:p w14:paraId="70F891CB" w14:textId="125BCA38" w:rsidR="00F87EEF" w:rsidRDefault="00F31FE5" w:rsidP="005A72E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In respect of floating charges, charges are made over an asset or class of assets (including stock and receivables, for example) which the debtor is still permitted to use.  This is because no attachment is made against any specific asset or class of assets </w:t>
      </w:r>
      <w:r w:rsidR="00D42B1D">
        <w:rPr>
          <w:rFonts w:ascii="Arial" w:hAnsi="Arial" w:cs="Arial"/>
          <w:color w:val="7B7B7B" w:themeColor="accent3" w:themeShade="BF"/>
          <w:sz w:val="22"/>
          <w:szCs w:val="22"/>
        </w:rPr>
        <w:t>until an event occurs (as would be listed in the security agreement) triggering the enforcement (or “crystallization”) of the floating charge over such asset(s).  At this point, the debtor then loses the authority to deal with the charged assets and the charge becomes a fixed charge over the asset(s).</w:t>
      </w:r>
      <w:r w:rsidR="00D42B1D">
        <w:rPr>
          <w:rStyle w:val="FootnoteReference"/>
          <w:rFonts w:ascii="Arial" w:hAnsi="Arial" w:cs="Arial"/>
          <w:color w:val="7B7B7B" w:themeColor="accent3" w:themeShade="BF"/>
          <w:sz w:val="22"/>
          <w:szCs w:val="22"/>
        </w:rPr>
        <w:footnoteReference w:id="45"/>
      </w:r>
    </w:p>
    <w:p w14:paraId="68394654" w14:textId="77777777" w:rsidR="00653613" w:rsidRDefault="00653613" w:rsidP="00653613">
      <w:pPr>
        <w:jc w:val="both"/>
        <w:rPr>
          <w:rFonts w:ascii="Arial" w:hAnsi="Arial" w:cs="Arial"/>
          <w:color w:val="7B7B7B" w:themeColor="accent3" w:themeShade="BF"/>
          <w:sz w:val="22"/>
          <w:szCs w:val="22"/>
        </w:rPr>
      </w:pPr>
    </w:p>
    <w:p w14:paraId="28AD6DFF" w14:textId="006C23BB" w:rsidR="00653613" w:rsidRDefault="0061050E" w:rsidP="005A72E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liquidator </w:t>
      </w:r>
      <w:r w:rsidR="009D176D">
        <w:rPr>
          <w:rFonts w:ascii="Arial" w:hAnsi="Arial" w:cs="Arial"/>
          <w:color w:val="7B7B7B" w:themeColor="accent3" w:themeShade="BF"/>
          <w:sz w:val="22"/>
          <w:szCs w:val="22"/>
        </w:rPr>
        <w:t>should be aware that secured finance arrangements are required to be registered</w:t>
      </w:r>
      <w:r w:rsidR="00ED2FD1">
        <w:rPr>
          <w:rFonts w:ascii="Arial" w:hAnsi="Arial" w:cs="Arial"/>
          <w:color w:val="7B7B7B" w:themeColor="accent3" w:themeShade="BF"/>
          <w:sz w:val="22"/>
          <w:szCs w:val="22"/>
        </w:rPr>
        <w:t xml:space="preserve"> in a certain </w:t>
      </w:r>
      <w:proofErr w:type="gramStart"/>
      <w:r w:rsidR="00ED2FD1">
        <w:rPr>
          <w:rFonts w:ascii="Arial" w:hAnsi="Arial" w:cs="Arial"/>
          <w:color w:val="7B7B7B" w:themeColor="accent3" w:themeShade="BF"/>
          <w:sz w:val="22"/>
          <w:szCs w:val="22"/>
        </w:rPr>
        <w:t>period of time</w:t>
      </w:r>
      <w:proofErr w:type="gramEnd"/>
      <w:r w:rsidR="00ED2FD1">
        <w:rPr>
          <w:rFonts w:ascii="Arial" w:hAnsi="Arial" w:cs="Arial"/>
          <w:color w:val="7B7B7B" w:themeColor="accent3" w:themeShade="BF"/>
          <w:sz w:val="22"/>
          <w:szCs w:val="22"/>
        </w:rPr>
        <w:t xml:space="preserve"> after execution</w:t>
      </w:r>
      <w:r w:rsidR="009D176D">
        <w:rPr>
          <w:rFonts w:ascii="Arial" w:hAnsi="Arial" w:cs="Arial"/>
          <w:color w:val="7B7B7B" w:themeColor="accent3" w:themeShade="BF"/>
          <w:sz w:val="22"/>
          <w:szCs w:val="22"/>
        </w:rPr>
        <w:t xml:space="preserve">.  </w:t>
      </w:r>
      <w:r w:rsidR="005C0FB3">
        <w:rPr>
          <w:rFonts w:ascii="Arial" w:hAnsi="Arial" w:cs="Arial"/>
          <w:color w:val="7B7B7B" w:themeColor="accent3" w:themeShade="BF"/>
          <w:sz w:val="22"/>
          <w:szCs w:val="22"/>
        </w:rPr>
        <w:t>The liquidator must therefore confirm such registration because if it is not, then the arrangement would be void as against him / her.</w:t>
      </w:r>
      <w:r w:rsidR="005C0FB3">
        <w:rPr>
          <w:rStyle w:val="FootnoteReference"/>
          <w:rFonts w:ascii="Arial" w:hAnsi="Arial" w:cs="Arial"/>
          <w:color w:val="7B7B7B" w:themeColor="accent3" w:themeShade="BF"/>
          <w:sz w:val="22"/>
          <w:szCs w:val="22"/>
        </w:rPr>
        <w:footnoteReference w:id="46"/>
      </w:r>
    </w:p>
    <w:p w14:paraId="4565AA0B" w14:textId="77777777" w:rsidR="00653613" w:rsidRDefault="00653613" w:rsidP="005A72E8">
      <w:pPr>
        <w:jc w:val="both"/>
        <w:rPr>
          <w:rFonts w:ascii="Arial" w:hAnsi="Arial" w:cs="Arial"/>
          <w:color w:val="7B7B7B" w:themeColor="accent3" w:themeShade="BF"/>
          <w:sz w:val="22"/>
          <w:szCs w:val="22"/>
        </w:rPr>
      </w:pPr>
    </w:p>
    <w:p w14:paraId="5C47AD69" w14:textId="1BAE5E3E" w:rsidR="00AA37AB" w:rsidRDefault="00CF7946" w:rsidP="00CF794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It should be noted that i</w:t>
      </w:r>
      <w:r w:rsidR="009A5497">
        <w:rPr>
          <w:rFonts w:ascii="Arial" w:hAnsi="Arial" w:cs="Arial"/>
          <w:color w:val="7B7B7B" w:themeColor="accent3" w:themeShade="BF"/>
          <w:sz w:val="22"/>
          <w:szCs w:val="22"/>
        </w:rPr>
        <w:t>n practice, the security agreement in respect of receivables would require the debtor to receive or transfer related payments into a specific account.</w:t>
      </w:r>
      <w:r w:rsidR="00B7351F">
        <w:rPr>
          <w:rStyle w:val="FootnoteReference"/>
          <w:rFonts w:ascii="Arial" w:hAnsi="Arial" w:cs="Arial"/>
          <w:color w:val="7B7B7B" w:themeColor="accent3" w:themeShade="BF"/>
          <w:sz w:val="22"/>
          <w:szCs w:val="22"/>
        </w:rPr>
        <w:footnoteReference w:id="47"/>
      </w:r>
      <w:r w:rsidR="00B7351F">
        <w:rPr>
          <w:rFonts w:ascii="Arial" w:hAnsi="Arial" w:cs="Arial"/>
          <w:color w:val="7B7B7B" w:themeColor="accent3" w:themeShade="BF"/>
          <w:sz w:val="22"/>
          <w:szCs w:val="22"/>
        </w:rPr>
        <w:t xml:space="preserve">  Based on the facts of the case, this was not done </w:t>
      </w:r>
      <w:r>
        <w:rPr>
          <w:rFonts w:ascii="Arial" w:hAnsi="Arial" w:cs="Arial"/>
          <w:color w:val="7B7B7B" w:themeColor="accent3" w:themeShade="BF"/>
          <w:sz w:val="22"/>
          <w:szCs w:val="22"/>
        </w:rPr>
        <w:t>by Kite and is not clear whether it was expected by GLF.</w:t>
      </w:r>
    </w:p>
    <w:p w14:paraId="573D6A31" w14:textId="77777777" w:rsidR="00653613" w:rsidRDefault="00653613" w:rsidP="005A72E8">
      <w:pPr>
        <w:jc w:val="both"/>
        <w:rPr>
          <w:rFonts w:ascii="Arial" w:hAnsi="Arial" w:cs="Arial"/>
          <w:b/>
          <w:bCs/>
          <w:color w:val="7B7B7B" w:themeColor="accent3" w:themeShade="BF"/>
          <w:sz w:val="22"/>
          <w:szCs w:val="22"/>
        </w:rPr>
      </w:pPr>
    </w:p>
    <w:p w14:paraId="15465516" w14:textId="32A74CE3" w:rsidR="003C10EB" w:rsidRDefault="00DD3BCA" w:rsidP="005A72E8">
      <w:pPr>
        <w:jc w:val="both"/>
        <w:rPr>
          <w:rFonts w:ascii="Arial" w:hAnsi="Arial" w:cs="Arial"/>
          <w:b/>
          <w:bCs/>
          <w:color w:val="7B7B7B" w:themeColor="accent3" w:themeShade="BF"/>
          <w:sz w:val="22"/>
          <w:szCs w:val="22"/>
        </w:rPr>
      </w:pPr>
      <w:r>
        <w:rPr>
          <w:rFonts w:ascii="Arial" w:hAnsi="Arial" w:cs="Arial"/>
          <w:b/>
          <w:bCs/>
          <w:color w:val="7B7B7B" w:themeColor="accent3" w:themeShade="BF"/>
          <w:sz w:val="22"/>
          <w:szCs w:val="22"/>
        </w:rPr>
        <w:t>Receivers</w:t>
      </w:r>
    </w:p>
    <w:p w14:paraId="5163D9D5" w14:textId="485B51A1" w:rsidR="00BD4B9C" w:rsidRDefault="00BD4B9C" w:rsidP="005A72E8">
      <w:pPr>
        <w:jc w:val="both"/>
        <w:rPr>
          <w:rFonts w:ascii="Arial" w:hAnsi="Arial" w:cs="Arial"/>
          <w:b/>
          <w:bCs/>
          <w:color w:val="7B7B7B" w:themeColor="accent3" w:themeShade="BF"/>
          <w:sz w:val="22"/>
          <w:szCs w:val="22"/>
        </w:rPr>
      </w:pPr>
    </w:p>
    <w:p w14:paraId="77FBD7A6" w14:textId="500C7411" w:rsidR="00BD4B9C" w:rsidRPr="00BD4B9C" w:rsidRDefault="00BD4B9C" w:rsidP="005A72E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Charge documents usually provide the secured creditor with the remedy of appointing a receiver out of court over the charged assets.</w:t>
      </w:r>
      <w:r w:rsidR="00017F87">
        <w:rPr>
          <w:rStyle w:val="FootnoteReference"/>
          <w:rFonts w:ascii="Arial" w:hAnsi="Arial" w:cs="Arial"/>
          <w:color w:val="7B7B7B" w:themeColor="accent3" w:themeShade="BF"/>
          <w:sz w:val="22"/>
          <w:szCs w:val="22"/>
        </w:rPr>
        <w:footnoteReference w:id="48"/>
      </w:r>
      <w:r>
        <w:rPr>
          <w:rFonts w:ascii="Arial" w:hAnsi="Arial" w:cs="Arial"/>
          <w:color w:val="7B7B7B" w:themeColor="accent3" w:themeShade="BF"/>
          <w:sz w:val="22"/>
          <w:szCs w:val="22"/>
        </w:rPr>
        <w:t xml:space="preserve">  The powers conferred upon a receiver are also detailed in such charge documents and usually include the power to sell the charged asset(s).</w:t>
      </w:r>
      <w:r w:rsidR="00B715D5">
        <w:rPr>
          <w:rStyle w:val="FootnoteReference"/>
          <w:rFonts w:ascii="Arial" w:hAnsi="Arial" w:cs="Arial"/>
          <w:color w:val="7B7B7B" w:themeColor="accent3" w:themeShade="BF"/>
          <w:sz w:val="22"/>
          <w:szCs w:val="22"/>
        </w:rPr>
        <w:footnoteReference w:id="49"/>
      </w:r>
      <w:r w:rsidR="00AE4182">
        <w:rPr>
          <w:rFonts w:ascii="Arial" w:hAnsi="Arial" w:cs="Arial"/>
          <w:color w:val="7B7B7B" w:themeColor="accent3" w:themeShade="BF"/>
          <w:sz w:val="22"/>
          <w:szCs w:val="22"/>
        </w:rPr>
        <w:t xml:space="preserve">  </w:t>
      </w:r>
    </w:p>
    <w:p w14:paraId="23653CB6" w14:textId="77777777" w:rsidR="00BD4B9C" w:rsidRDefault="00BD4B9C" w:rsidP="005A72E8">
      <w:pPr>
        <w:jc w:val="both"/>
        <w:rPr>
          <w:rFonts w:ascii="Arial" w:hAnsi="Arial" w:cs="Arial"/>
          <w:b/>
          <w:bCs/>
          <w:color w:val="7B7B7B" w:themeColor="accent3" w:themeShade="BF"/>
          <w:sz w:val="22"/>
          <w:szCs w:val="22"/>
        </w:rPr>
      </w:pPr>
    </w:p>
    <w:p w14:paraId="41C87814" w14:textId="145CBFC3" w:rsidR="00B715D5" w:rsidRPr="00B715D5" w:rsidRDefault="00B715D5" w:rsidP="005A72E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receiver has a primary duty owed to the charge holder, rather than the company.  In addition, the receiver is entitled to payment of its costs and expenses out of the charged assets and is entitled to exercise a lien over such assets until payment is otherwise made.</w:t>
      </w:r>
      <w:r>
        <w:rPr>
          <w:rStyle w:val="FootnoteReference"/>
          <w:rFonts w:ascii="Arial" w:hAnsi="Arial" w:cs="Arial"/>
          <w:color w:val="7B7B7B" w:themeColor="accent3" w:themeShade="BF"/>
          <w:sz w:val="22"/>
          <w:szCs w:val="22"/>
        </w:rPr>
        <w:footnoteReference w:id="50"/>
      </w:r>
    </w:p>
    <w:p w14:paraId="53FD55B9" w14:textId="75A044AB" w:rsidR="00182E4C" w:rsidRDefault="00182E4C" w:rsidP="005A72E8">
      <w:pPr>
        <w:jc w:val="both"/>
        <w:rPr>
          <w:rFonts w:ascii="Arial" w:hAnsi="Arial" w:cs="Arial"/>
          <w:color w:val="7B7B7B" w:themeColor="accent3" w:themeShade="BF"/>
          <w:sz w:val="22"/>
          <w:szCs w:val="22"/>
        </w:rPr>
      </w:pPr>
    </w:p>
    <w:p w14:paraId="665A5E98" w14:textId="692BFB20" w:rsidR="00182E4C" w:rsidRDefault="008A010D" w:rsidP="005A72E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For completeness, in respect of floating charges, the appointment of a receiver has the effect of triggering the enforcement of (or “crystallizing”) a floating charge.</w:t>
      </w:r>
      <w:r>
        <w:rPr>
          <w:rStyle w:val="FootnoteReference"/>
          <w:rFonts w:ascii="Arial" w:hAnsi="Arial" w:cs="Arial"/>
          <w:color w:val="7B7B7B" w:themeColor="accent3" w:themeShade="BF"/>
          <w:sz w:val="22"/>
          <w:szCs w:val="22"/>
        </w:rPr>
        <w:footnoteReference w:id="51"/>
      </w:r>
      <w:r w:rsidR="00182E4C">
        <w:rPr>
          <w:rFonts w:ascii="Arial" w:hAnsi="Arial" w:cs="Arial"/>
          <w:color w:val="7B7B7B" w:themeColor="accent3" w:themeShade="BF"/>
          <w:sz w:val="22"/>
          <w:szCs w:val="22"/>
        </w:rPr>
        <w:t xml:space="preserve"> </w:t>
      </w:r>
    </w:p>
    <w:p w14:paraId="058DCA64" w14:textId="77777777" w:rsidR="00505101" w:rsidRDefault="00505101" w:rsidP="005A72E8">
      <w:pPr>
        <w:jc w:val="both"/>
        <w:rPr>
          <w:rFonts w:ascii="Arial" w:hAnsi="Arial" w:cs="Arial"/>
          <w:color w:val="7B7B7B" w:themeColor="accent3" w:themeShade="BF"/>
          <w:sz w:val="22"/>
          <w:szCs w:val="22"/>
        </w:rPr>
      </w:pPr>
    </w:p>
    <w:p w14:paraId="518173CF" w14:textId="7A3D3003" w:rsidR="00505101" w:rsidRDefault="00165C25" w:rsidP="00B1395D">
      <w:pPr>
        <w:keepNext/>
        <w:jc w:val="both"/>
        <w:rPr>
          <w:rFonts w:ascii="Arial" w:hAnsi="Arial" w:cs="Arial"/>
          <w:b/>
          <w:bCs/>
          <w:color w:val="7B7B7B" w:themeColor="accent3" w:themeShade="BF"/>
          <w:sz w:val="22"/>
          <w:szCs w:val="22"/>
        </w:rPr>
      </w:pPr>
      <w:r>
        <w:rPr>
          <w:rFonts w:ascii="Arial" w:hAnsi="Arial" w:cs="Arial"/>
          <w:b/>
          <w:bCs/>
          <w:color w:val="7B7B7B" w:themeColor="accent3" w:themeShade="BF"/>
          <w:sz w:val="22"/>
          <w:szCs w:val="22"/>
        </w:rPr>
        <w:t>Liquidation</w:t>
      </w:r>
    </w:p>
    <w:p w14:paraId="656D7BA5" w14:textId="77777777" w:rsidR="00165C25" w:rsidRDefault="00165C25" w:rsidP="00B1395D">
      <w:pPr>
        <w:keepNext/>
        <w:jc w:val="both"/>
        <w:rPr>
          <w:rFonts w:ascii="Arial" w:hAnsi="Arial" w:cs="Arial"/>
          <w:b/>
          <w:bCs/>
          <w:color w:val="7B7B7B" w:themeColor="accent3" w:themeShade="BF"/>
          <w:sz w:val="22"/>
          <w:szCs w:val="22"/>
        </w:rPr>
      </w:pPr>
    </w:p>
    <w:p w14:paraId="6A7B9322" w14:textId="60C27E55" w:rsidR="00F15394" w:rsidRDefault="00F15394" w:rsidP="00B1395D">
      <w:pPr>
        <w:keepNext/>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liquidation of Kite </w:t>
      </w:r>
      <w:r w:rsidR="00A2478A">
        <w:rPr>
          <w:rFonts w:ascii="Arial" w:hAnsi="Arial" w:cs="Arial"/>
          <w:color w:val="7B7B7B" w:themeColor="accent3" w:themeShade="BF"/>
          <w:sz w:val="22"/>
          <w:szCs w:val="22"/>
        </w:rPr>
        <w:t xml:space="preserve">does not affect the receiver’s </w:t>
      </w:r>
      <w:r w:rsidR="00A92B6A">
        <w:rPr>
          <w:rFonts w:ascii="Arial" w:hAnsi="Arial" w:cs="Arial"/>
          <w:color w:val="7B7B7B" w:themeColor="accent3" w:themeShade="BF"/>
          <w:sz w:val="22"/>
          <w:szCs w:val="22"/>
        </w:rPr>
        <w:t xml:space="preserve">right to take possession of and/or sell the charged assets.  Any realizations </w:t>
      </w:r>
      <w:proofErr w:type="gramStart"/>
      <w:r w:rsidR="00A92B6A">
        <w:rPr>
          <w:rFonts w:ascii="Arial" w:hAnsi="Arial" w:cs="Arial"/>
          <w:color w:val="7B7B7B" w:themeColor="accent3" w:themeShade="BF"/>
          <w:sz w:val="22"/>
          <w:szCs w:val="22"/>
        </w:rPr>
        <w:t>made out of</w:t>
      </w:r>
      <w:proofErr w:type="gramEnd"/>
      <w:r w:rsidR="00A92B6A">
        <w:rPr>
          <w:rFonts w:ascii="Arial" w:hAnsi="Arial" w:cs="Arial"/>
          <w:color w:val="7B7B7B" w:themeColor="accent3" w:themeShade="BF"/>
          <w:sz w:val="22"/>
          <w:szCs w:val="22"/>
        </w:rPr>
        <w:t xml:space="preserve"> the charged assets </w:t>
      </w:r>
      <w:r w:rsidR="00B1395D">
        <w:rPr>
          <w:rFonts w:ascii="Arial" w:hAnsi="Arial" w:cs="Arial"/>
          <w:color w:val="7B7B7B" w:themeColor="accent3" w:themeShade="BF"/>
          <w:sz w:val="22"/>
          <w:szCs w:val="22"/>
        </w:rPr>
        <w:t xml:space="preserve">are not available to the liquidator to satisfy </w:t>
      </w:r>
      <w:r w:rsidR="00C64622" w:rsidRPr="00C64622">
        <w:rPr>
          <w:rFonts w:ascii="Arial" w:hAnsi="Arial" w:cs="Arial"/>
          <w:color w:val="7B7B7B" w:themeColor="accent3" w:themeShade="BF"/>
          <w:sz w:val="22"/>
          <w:szCs w:val="22"/>
        </w:rPr>
        <w:t xml:space="preserve">the costs and expenses of the liquidation </w:t>
      </w:r>
      <w:r w:rsidR="00C93E5F">
        <w:rPr>
          <w:rFonts w:ascii="Arial" w:hAnsi="Arial" w:cs="Arial"/>
          <w:color w:val="7B7B7B" w:themeColor="accent3" w:themeShade="BF"/>
          <w:sz w:val="22"/>
          <w:szCs w:val="22"/>
        </w:rPr>
        <w:t>or any dividends, partial or otherwise, to unsecured creditors.</w:t>
      </w:r>
      <w:r w:rsidR="00C93E5F">
        <w:rPr>
          <w:rStyle w:val="FootnoteReference"/>
          <w:rFonts w:ascii="Arial" w:hAnsi="Arial" w:cs="Arial"/>
          <w:color w:val="7B7B7B" w:themeColor="accent3" w:themeShade="BF"/>
          <w:sz w:val="22"/>
          <w:szCs w:val="22"/>
        </w:rPr>
        <w:footnoteReference w:id="52"/>
      </w:r>
      <w:r w:rsidR="00E96E20">
        <w:rPr>
          <w:rFonts w:ascii="Arial" w:hAnsi="Arial" w:cs="Arial"/>
          <w:color w:val="7B7B7B" w:themeColor="accent3" w:themeShade="BF"/>
          <w:sz w:val="22"/>
          <w:szCs w:val="22"/>
        </w:rPr>
        <w:t xml:space="preserve">  However, if the assets of Kite available for payment of general creditors </w:t>
      </w:r>
      <w:r w:rsidR="008073CB">
        <w:rPr>
          <w:rFonts w:ascii="Arial" w:hAnsi="Arial" w:cs="Arial"/>
          <w:color w:val="7B7B7B" w:themeColor="accent3" w:themeShade="BF"/>
          <w:sz w:val="22"/>
          <w:szCs w:val="22"/>
        </w:rPr>
        <w:t xml:space="preserve">(i.e. not subject to a charge) </w:t>
      </w:r>
      <w:r w:rsidR="00E96E20">
        <w:rPr>
          <w:rFonts w:ascii="Arial" w:hAnsi="Arial" w:cs="Arial"/>
          <w:color w:val="7B7B7B" w:themeColor="accent3" w:themeShade="BF"/>
          <w:sz w:val="22"/>
          <w:szCs w:val="22"/>
        </w:rPr>
        <w:t xml:space="preserve">are insufficient to satisfy payment to preferential creditors, </w:t>
      </w:r>
      <w:r w:rsidR="008073CB">
        <w:rPr>
          <w:rFonts w:ascii="Arial" w:hAnsi="Arial" w:cs="Arial"/>
          <w:color w:val="7B7B7B" w:themeColor="accent3" w:themeShade="BF"/>
          <w:sz w:val="22"/>
          <w:szCs w:val="22"/>
        </w:rPr>
        <w:t>such preferential creditors will have priority</w:t>
      </w:r>
      <w:r w:rsidR="009D53FC">
        <w:rPr>
          <w:rFonts w:ascii="Arial" w:hAnsi="Arial" w:cs="Arial"/>
          <w:color w:val="7B7B7B" w:themeColor="accent3" w:themeShade="BF"/>
          <w:sz w:val="22"/>
          <w:szCs w:val="22"/>
        </w:rPr>
        <w:t xml:space="preserve"> to the use of charged assets to satisfy the payment.</w:t>
      </w:r>
      <w:r w:rsidR="009D53FC">
        <w:rPr>
          <w:rStyle w:val="FootnoteReference"/>
          <w:rFonts w:ascii="Arial" w:hAnsi="Arial" w:cs="Arial"/>
          <w:color w:val="7B7B7B" w:themeColor="accent3" w:themeShade="BF"/>
          <w:sz w:val="22"/>
          <w:szCs w:val="22"/>
        </w:rPr>
        <w:footnoteReference w:id="53"/>
      </w:r>
    </w:p>
    <w:p w14:paraId="1CC01729" w14:textId="77777777" w:rsidR="00D74272" w:rsidRDefault="00D74272" w:rsidP="005A72E8">
      <w:pPr>
        <w:jc w:val="both"/>
        <w:rPr>
          <w:rFonts w:ascii="Arial" w:hAnsi="Arial" w:cs="Arial"/>
          <w:color w:val="7B7B7B" w:themeColor="accent3" w:themeShade="BF"/>
          <w:sz w:val="22"/>
          <w:szCs w:val="22"/>
        </w:rPr>
      </w:pPr>
    </w:p>
    <w:p w14:paraId="529DA9C0" w14:textId="1AB9000A" w:rsidR="00D67A7A" w:rsidRDefault="00D67A7A" w:rsidP="005A72E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mentioned </w:t>
      </w:r>
      <w:r w:rsidR="00410154">
        <w:rPr>
          <w:rFonts w:ascii="Arial" w:hAnsi="Arial" w:cs="Arial"/>
          <w:color w:val="7B7B7B" w:themeColor="accent3" w:themeShade="BF"/>
          <w:sz w:val="22"/>
          <w:szCs w:val="22"/>
        </w:rPr>
        <w:t xml:space="preserve">above, </w:t>
      </w:r>
      <w:r w:rsidR="00ED2FD1">
        <w:rPr>
          <w:rFonts w:ascii="Arial" w:hAnsi="Arial" w:cs="Arial"/>
          <w:color w:val="7B7B7B" w:themeColor="accent3" w:themeShade="BF"/>
          <w:sz w:val="22"/>
          <w:szCs w:val="22"/>
        </w:rPr>
        <w:t xml:space="preserve">if a charge is not registered (or registered within the prescribed time), the charge will be </w:t>
      </w:r>
      <w:r w:rsidR="0033652B">
        <w:rPr>
          <w:rFonts w:ascii="Arial" w:hAnsi="Arial" w:cs="Arial"/>
          <w:color w:val="7B7B7B" w:themeColor="accent3" w:themeShade="BF"/>
          <w:sz w:val="22"/>
          <w:szCs w:val="22"/>
        </w:rPr>
        <w:t>void as a</w:t>
      </w:r>
      <w:r w:rsidR="00ED2FD1">
        <w:rPr>
          <w:rFonts w:ascii="Arial" w:hAnsi="Arial" w:cs="Arial"/>
          <w:color w:val="7B7B7B" w:themeColor="accent3" w:themeShade="BF"/>
          <w:sz w:val="22"/>
          <w:szCs w:val="22"/>
        </w:rPr>
        <w:t>gainst the liquidator.</w:t>
      </w:r>
      <w:r w:rsidR="0033652B">
        <w:rPr>
          <w:rFonts w:ascii="Arial" w:hAnsi="Arial" w:cs="Arial"/>
          <w:color w:val="7B7B7B" w:themeColor="accent3" w:themeShade="BF"/>
          <w:sz w:val="22"/>
          <w:szCs w:val="22"/>
        </w:rPr>
        <w:t xml:space="preserve">  The liquidator will have access to the Companies Registry in which the charge would have been registered.</w:t>
      </w:r>
    </w:p>
    <w:p w14:paraId="49CFE343" w14:textId="77777777" w:rsidR="00874F97" w:rsidRDefault="00874F97" w:rsidP="005A72E8">
      <w:pPr>
        <w:jc w:val="both"/>
        <w:rPr>
          <w:rFonts w:ascii="Arial" w:hAnsi="Arial" w:cs="Arial"/>
          <w:color w:val="7B7B7B" w:themeColor="accent3" w:themeShade="BF"/>
          <w:sz w:val="22"/>
          <w:szCs w:val="22"/>
        </w:rPr>
      </w:pPr>
    </w:p>
    <w:p w14:paraId="22BFDED6" w14:textId="774F8EEB" w:rsidR="009119E1" w:rsidRDefault="009119E1" w:rsidP="005A72E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However, the liquidator should note that if the charge </w:t>
      </w:r>
      <w:proofErr w:type="gramStart"/>
      <w:r>
        <w:rPr>
          <w:rFonts w:ascii="Arial" w:hAnsi="Arial" w:cs="Arial"/>
          <w:color w:val="7B7B7B" w:themeColor="accent3" w:themeShade="BF"/>
          <w:sz w:val="22"/>
          <w:szCs w:val="22"/>
        </w:rPr>
        <w:t>is considered to be</w:t>
      </w:r>
      <w:proofErr w:type="gramEnd"/>
      <w:r>
        <w:rPr>
          <w:rFonts w:ascii="Arial" w:hAnsi="Arial" w:cs="Arial"/>
          <w:color w:val="7B7B7B" w:themeColor="accent3" w:themeShade="BF"/>
          <w:sz w:val="22"/>
          <w:szCs w:val="22"/>
        </w:rPr>
        <w:t xml:space="preserve"> a floating charge</w:t>
      </w:r>
      <w:r w:rsidR="005D69FB">
        <w:rPr>
          <w:rFonts w:ascii="Arial" w:hAnsi="Arial" w:cs="Arial"/>
          <w:color w:val="7B7B7B" w:themeColor="accent3" w:themeShade="BF"/>
          <w:sz w:val="22"/>
          <w:szCs w:val="22"/>
        </w:rPr>
        <w:t xml:space="preserve"> (as appears to be the case with Kite)</w:t>
      </w:r>
      <w:r>
        <w:rPr>
          <w:rFonts w:ascii="Arial" w:hAnsi="Arial" w:cs="Arial"/>
          <w:color w:val="7B7B7B" w:themeColor="accent3" w:themeShade="BF"/>
          <w:sz w:val="22"/>
          <w:szCs w:val="22"/>
        </w:rPr>
        <w:t xml:space="preserve">, if such charge </w:t>
      </w:r>
      <w:r w:rsidR="00592DD6">
        <w:rPr>
          <w:rFonts w:ascii="Arial" w:hAnsi="Arial" w:cs="Arial"/>
          <w:color w:val="7B7B7B" w:themeColor="accent3" w:themeShade="BF"/>
          <w:sz w:val="22"/>
          <w:szCs w:val="22"/>
        </w:rPr>
        <w:t>was created at a time in the period of 12 months ending with the day on which the winding up commenced and Kite was unable to pay its debts or became unable to pay its debts as a result, the charge is invalid.</w:t>
      </w:r>
      <w:r w:rsidR="00592DD6">
        <w:rPr>
          <w:rStyle w:val="FootnoteReference"/>
          <w:rFonts w:ascii="Arial" w:hAnsi="Arial" w:cs="Arial"/>
          <w:color w:val="7B7B7B" w:themeColor="accent3" w:themeShade="BF"/>
          <w:sz w:val="22"/>
          <w:szCs w:val="22"/>
        </w:rPr>
        <w:footnoteReference w:id="54"/>
      </w:r>
      <w:r w:rsidR="005D69FB">
        <w:rPr>
          <w:rFonts w:ascii="Arial" w:hAnsi="Arial" w:cs="Arial"/>
          <w:color w:val="7B7B7B" w:themeColor="accent3" w:themeShade="BF"/>
          <w:sz w:val="22"/>
          <w:szCs w:val="22"/>
        </w:rPr>
        <w:t xml:space="preserve">  </w:t>
      </w:r>
    </w:p>
    <w:p w14:paraId="10796BEA" w14:textId="77777777"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proofErr w:type="spellStart"/>
      <w:r w:rsidRPr="007E1E1F">
        <w:rPr>
          <w:rFonts w:ascii="Arial" w:hAnsi="Arial" w:cs="Arial"/>
          <w:sz w:val="22"/>
          <w:szCs w:val="22"/>
        </w:rPr>
        <w:t>Mr</w:t>
      </w:r>
      <w:proofErr w:type="spellEnd"/>
      <w:r w:rsidRPr="007E1E1F">
        <w:rPr>
          <w:rFonts w:ascii="Arial" w:hAnsi="Arial" w:cs="Arial"/>
          <w:sz w:val="22"/>
          <w:szCs w:val="22"/>
        </w:rPr>
        <w:t xml:space="preserve"> Xu entered into a Framework Agreement (FA) with his business associate,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The FA is governed by Hong Kong law.  The idea was to develop a resort project in Fiji.  The FA provided that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would incorporate a BVI company to purchase a 100% interest in the project from its original owners.  To this end,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incorporated Sunrise Pacific Limited (SPL) in the BVI.  He was (and remains) the sole director and shareholder of SPL, telling </w:t>
      </w:r>
      <w:proofErr w:type="spellStart"/>
      <w:r w:rsidRPr="007E1E1F">
        <w:rPr>
          <w:rFonts w:ascii="Arial" w:hAnsi="Arial" w:cs="Arial"/>
          <w:sz w:val="22"/>
          <w:szCs w:val="22"/>
        </w:rPr>
        <w:t>Mr</w:t>
      </w:r>
      <w:proofErr w:type="spellEnd"/>
      <w:r w:rsidRPr="007E1E1F">
        <w:rPr>
          <w:rFonts w:ascii="Arial" w:hAnsi="Arial" w:cs="Arial"/>
          <w:sz w:val="22"/>
          <w:szCs w:val="22"/>
        </w:rPr>
        <w:t xml:space="preserve"> Xi that this was necessary because the original developers of the resort trusted him and him alone.  The FA provided that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 xml:space="preserve">22 million to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proofErr w:type="spellStart"/>
      <w:r w:rsidRPr="007E1E1F">
        <w:rPr>
          <w:rFonts w:ascii="Arial" w:hAnsi="Arial" w:cs="Arial"/>
          <w:sz w:val="22"/>
          <w:szCs w:val="22"/>
        </w:rPr>
        <w:t>Mr</w:t>
      </w:r>
      <w:proofErr w:type="spellEnd"/>
      <w:r w:rsidRPr="007E1E1F">
        <w:rPr>
          <w:rFonts w:ascii="Arial" w:hAnsi="Arial" w:cs="Arial"/>
          <w:sz w:val="22"/>
          <w:szCs w:val="22"/>
        </w:rPr>
        <w:t xml:space="preserve">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There is a clause in the FA that states that if SPL becomes insolvent then all other provisions (including the requirement to pay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are void, and all assets automatically and immediately vest in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in order to repay shareholder loans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has </w:t>
      </w:r>
      <w:proofErr w:type="gramStart"/>
      <w:r w:rsidRPr="007E1E1F">
        <w:rPr>
          <w:rFonts w:ascii="Arial" w:hAnsi="Arial" w:cs="Arial"/>
          <w:sz w:val="22"/>
          <w:szCs w:val="22"/>
        </w:rPr>
        <w:t>made</w:t>
      </w:r>
      <w:r>
        <w:rPr>
          <w:rFonts w:ascii="Arial" w:hAnsi="Arial" w:cs="Arial"/>
          <w:sz w:val="22"/>
          <w:szCs w:val="22"/>
        </w:rPr>
        <w:t>;</w:t>
      </w:r>
      <w:proofErr w:type="gramEnd"/>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(supposedly independent) director, </w:t>
      </w:r>
      <w:proofErr w:type="spellStart"/>
      <w:r w:rsidRPr="007E1E1F">
        <w:rPr>
          <w:rFonts w:ascii="Arial" w:hAnsi="Arial" w:cs="Arial"/>
          <w:sz w:val="22"/>
          <w:szCs w:val="22"/>
        </w:rPr>
        <w:t>Mr</w:t>
      </w:r>
      <w:proofErr w:type="spellEnd"/>
      <w:r w:rsidRPr="007E1E1F">
        <w:rPr>
          <w:rFonts w:ascii="Arial" w:hAnsi="Arial" w:cs="Arial"/>
          <w:sz w:val="22"/>
          <w:szCs w:val="22"/>
        </w:rPr>
        <w:t xml:space="preserve"> Zhang, who lives in Hong Kong; and SPL also has a </w:t>
      </w:r>
      <w:proofErr w:type="gramStart"/>
      <w:r w:rsidRPr="007E1E1F">
        <w:rPr>
          <w:rFonts w:ascii="Arial" w:hAnsi="Arial" w:cs="Arial"/>
          <w:sz w:val="22"/>
          <w:szCs w:val="22"/>
        </w:rPr>
        <w:t>book-keeper</w:t>
      </w:r>
      <w:proofErr w:type="gramEnd"/>
      <w:r w:rsidRPr="007E1E1F">
        <w:rPr>
          <w:rFonts w:ascii="Arial" w:hAnsi="Arial" w:cs="Arial"/>
          <w:sz w:val="22"/>
          <w:szCs w:val="22"/>
        </w:rPr>
        <w:t xml:space="preserve">, </w:t>
      </w:r>
      <w:proofErr w:type="spellStart"/>
      <w:r w:rsidRPr="007E1E1F">
        <w:rPr>
          <w:rFonts w:ascii="Arial" w:hAnsi="Arial" w:cs="Arial"/>
          <w:sz w:val="22"/>
          <w:szCs w:val="22"/>
        </w:rPr>
        <w:t>Mr</w:t>
      </w:r>
      <w:proofErr w:type="spellEnd"/>
      <w:r w:rsidRPr="007E1E1F">
        <w:rPr>
          <w:rFonts w:ascii="Arial" w:hAnsi="Arial" w:cs="Arial"/>
          <w:sz w:val="22"/>
          <w:szCs w:val="22"/>
        </w:rPr>
        <w:t xml:space="preserve"> Wong, who lives in Hong Kong.  Neither </w:t>
      </w:r>
      <w:proofErr w:type="spellStart"/>
      <w:r w:rsidRPr="007E1E1F">
        <w:rPr>
          <w:rFonts w:ascii="Arial" w:hAnsi="Arial" w:cs="Arial"/>
          <w:sz w:val="22"/>
          <w:szCs w:val="22"/>
        </w:rPr>
        <w:t>Mr</w:t>
      </w:r>
      <w:proofErr w:type="spellEnd"/>
      <w:r w:rsidRPr="007E1E1F">
        <w:rPr>
          <w:rFonts w:ascii="Arial" w:hAnsi="Arial" w:cs="Arial"/>
          <w:sz w:val="22"/>
          <w:szCs w:val="22"/>
        </w:rPr>
        <w:t xml:space="preserve"> Zhang nor </w:t>
      </w:r>
      <w:proofErr w:type="spellStart"/>
      <w:r w:rsidRPr="007E1E1F">
        <w:rPr>
          <w:rFonts w:ascii="Arial" w:hAnsi="Arial" w:cs="Arial"/>
          <w:sz w:val="22"/>
          <w:szCs w:val="22"/>
        </w:rPr>
        <w:t>Mr</w:t>
      </w:r>
      <w:proofErr w:type="spellEnd"/>
      <w:r w:rsidRPr="007E1E1F">
        <w:rPr>
          <w:rFonts w:ascii="Arial" w:hAnsi="Arial" w:cs="Arial"/>
          <w:sz w:val="22"/>
          <w:szCs w:val="22"/>
        </w:rPr>
        <w:t xml:space="preserve"> Wong are replying to emails from the </w:t>
      </w:r>
      <w:proofErr w:type="gramStart"/>
      <w:r w:rsidRPr="007E1E1F">
        <w:rPr>
          <w:rFonts w:ascii="Arial" w:hAnsi="Arial" w:cs="Arial"/>
          <w:sz w:val="22"/>
          <w:szCs w:val="22"/>
        </w:rPr>
        <w:t>liquidator</w:t>
      </w:r>
      <w:r>
        <w:rPr>
          <w:rFonts w:ascii="Arial" w:hAnsi="Arial" w:cs="Arial"/>
          <w:sz w:val="22"/>
          <w:szCs w:val="22"/>
        </w:rPr>
        <w:t>;</w:t>
      </w:r>
      <w:proofErr w:type="gramEnd"/>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bank account at a bank in Hong </w:t>
      </w:r>
      <w:proofErr w:type="gramStart"/>
      <w:r w:rsidRPr="007E1E1F">
        <w:rPr>
          <w:rFonts w:ascii="Arial" w:hAnsi="Arial" w:cs="Arial"/>
          <w:sz w:val="22"/>
          <w:szCs w:val="22"/>
        </w:rPr>
        <w:t>Kong</w:t>
      </w:r>
      <w:r>
        <w:rPr>
          <w:rFonts w:ascii="Arial" w:hAnsi="Arial" w:cs="Arial"/>
          <w:sz w:val="22"/>
          <w:szCs w:val="22"/>
        </w:rPr>
        <w:t>;</w:t>
      </w:r>
      <w:proofErr w:type="gramEnd"/>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It is not known where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is currently, but it is believed he is a Hong Kong </w:t>
      </w:r>
      <w:proofErr w:type="gramStart"/>
      <w:r w:rsidRPr="007E1E1F">
        <w:rPr>
          <w:rFonts w:ascii="Arial" w:hAnsi="Arial" w:cs="Arial"/>
          <w:sz w:val="22"/>
          <w:szCs w:val="22"/>
        </w:rPr>
        <w:t>resident</w:t>
      </w:r>
      <w:r>
        <w:rPr>
          <w:rFonts w:ascii="Arial" w:hAnsi="Arial" w:cs="Arial"/>
          <w:sz w:val="22"/>
          <w:szCs w:val="22"/>
        </w:rPr>
        <w:t>;</w:t>
      </w:r>
      <w:proofErr w:type="gramEnd"/>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is believed to have assets in the </w:t>
      </w:r>
      <w:proofErr w:type="gramStart"/>
      <w:r w:rsidRPr="007E1E1F">
        <w:rPr>
          <w:rFonts w:ascii="Arial" w:hAnsi="Arial" w:cs="Arial"/>
          <w:sz w:val="22"/>
          <w:szCs w:val="22"/>
        </w:rPr>
        <w:t>Mainland</w:t>
      </w:r>
      <w:proofErr w:type="gramEnd"/>
      <w:r w:rsidRPr="007E1E1F">
        <w:rPr>
          <w:rFonts w:ascii="Arial" w:hAnsi="Arial" w:cs="Arial"/>
          <w:sz w:val="22"/>
          <w:szCs w:val="22"/>
        </w:rPr>
        <w:t>,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xml:space="preserve">, including as regards a concern he has that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3375AEF0" w14:textId="77777777" w:rsidR="00624F7F" w:rsidRDefault="00624F7F" w:rsidP="00624F7F">
      <w:pPr>
        <w:jc w:val="both"/>
        <w:rPr>
          <w:rFonts w:ascii="Arial" w:hAnsi="Arial" w:cs="Arial"/>
          <w:b/>
          <w:bCs/>
          <w:color w:val="7B7B7B" w:themeColor="accent3" w:themeShade="BF"/>
          <w:sz w:val="22"/>
          <w:szCs w:val="22"/>
        </w:rPr>
      </w:pPr>
      <w:r>
        <w:rPr>
          <w:rFonts w:ascii="Arial" w:hAnsi="Arial" w:cs="Arial"/>
          <w:b/>
          <w:bCs/>
          <w:color w:val="7B7B7B" w:themeColor="accent3" w:themeShade="BF"/>
          <w:sz w:val="22"/>
          <w:szCs w:val="22"/>
        </w:rPr>
        <w:lastRenderedPageBreak/>
        <w:t>Contracts</w:t>
      </w:r>
    </w:p>
    <w:p w14:paraId="44C4F6B1" w14:textId="77777777" w:rsidR="00624F7F" w:rsidRDefault="00624F7F" w:rsidP="00624F7F">
      <w:pPr>
        <w:jc w:val="both"/>
        <w:rPr>
          <w:rFonts w:ascii="Arial" w:hAnsi="Arial" w:cs="Arial"/>
          <w:b/>
          <w:bCs/>
          <w:color w:val="7B7B7B" w:themeColor="accent3" w:themeShade="BF"/>
          <w:sz w:val="22"/>
          <w:szCs w:val="22"/>
        </w:rPr>
      </w:pPr>
    </w:p>
    <w:p w14:paraId="47D41BD1" w14:textId="31C91F79" w:rsidR="00D23CFC" w:rsidRDefault="00C65176" w:rsidP="00624F7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respect of contracts, there is no </w:t>
      </w:r>
      <w:r w:rsidR="00593136">
        <w:rPr>
          <w:rFonts w:ascii="Arial" w:hAnsi="Arial" w:cs="Arial"/>
          <w:color w:val="7B7B7B" w:themeColor="accent3" w:themeShade="BF"/>
          <w:sz w:val="22"/>
          <w:szCs w:val="22"/>
        </w:rPr>
        <w:t>statute addressing the treatment on insolvency of executory contracts.  In addition, there is no general rule in this regard at common law.</w:t>
      </w:r>
      <w:r w:rsidR="00392520">
        <w:rPr>
          <w:rFonts w:ascii="Arial" w:hAnsi="Arial" w:cs="Arial"/>
          <w:color w:val="7B7B7B" w:themeColor="accent3" w:themeShade="BF"/>
          <w:sz w:val="22"/>
          <w:szCs w:val="22"/>
        </w:rPr>
        <w:t xml:space="preserve">  </w:t>
      </w:r>
      <w:r w:rsidR="00A71DBE">
        <w:rPr>
          <w:rFonts w:ascii="Arial" w:hAnsi="Arial" w:cs="Arial"/>
          <w:color w:val="7B7B7B" w:themeColor="accent3" w:themeShade="BF"/>
          <w:sz w:val="22"/>
          <w:szCs w:val="22"/>
        </w:rPr>
        <w:t>However, c</w:t>
      </w:r>
      <w:r w:rsidR="00392520">
        <w:rPr>
          <w:rFonts w:ascii="Arial" w:hAnsi="Arial" w:cs="Arial"/>
          <w:color w:val="7B7B7B" w:themeColor="accent3" w:themeShade="BF"/>
          <w:sz w:val="22"/>
          <w:szCs w:val="22"/>
        </w:rPr>
        <w:t xml:space="preserve">lauses that modify a contract upon insolvency (known as </w:t>
      </w:r>
      <w:r w:rsidR="00392520">
        <w:rPr>
          <w:rFonts w:ascii="Arial" w:hAnsi="Arial" w:cs="Arial"/>
          <w:i/>
          <w:iCs/>
          <w:color w:val="7B7B7B" w:themeColor="accent3" w:themeShade="BF"/>
          <w:sz w:val="22"/>
          <w:szCs w:val="22"/>
        </w:rPr>
        <w:t xml:space="preserve">ipso facto </w:t>
      </w:r>
      <w:r w:rsidR="00392520">
        <w:rPr>
          <w:rFonts w:ascii="Arial" w:hAnsi="Arial" w:cs="Arial"/>
          <w:color w:val="7B7B7B" w:themeColor="accent3" w:themeShade="BF"/>
          <w:sz w:val="22"/>
          <w:szCs w:val="22"/>
        </w:rPr>
        <w:t>clauses) as appears to be the case in the FA, are usually upheld.</w:t>
      </w:r>
      <w:r w:rsidR="00593136">
        <w:rPr>
          <w:rStyle w:val="FootnoteReference"/>
          <w:rFonts w:ascii="Arial" w:hAnsi="Arial" w:cs="Arial"/>
          <w:color w:val="7B7B7B" w:themeColor="accent3" w:themeShade="BF"/>
          <w:sz w:val="22"/>
          <w:szCs w:val="22"/>
        </w:rPr>
        <w:footnoteReference w:id="55"/>
      </w:r>
    </w:p>
    <w:p w14:paraId="2D60283C" w14:textId="77777777" w:rsidR="00D23CFC" w:rsidRDefault="00D23CFC" w:rsidP="00624F7F">
      <w:pPr>
        <w:jc w:val="both"/>
        <w:rPr>
          <w:rFonts w:ascii="Arial" w:hAnsi="Arial" w:cs="Arial"/>
          <w:color w:val="7B7B7B" w:themeColor="accent3" w:themeShade="BF"/>
          <w:sz w:val="22"/>
          <w:szCs w:val="22"/>
        </w:rPr>
      </w:pPr>
    </w:p>
    <w:p w14:paraId="0BD14493" w14:textId="4596D90D" w:rsidR="00A71DBE" w:rsidRDefault="00470825" w:rsidP="00624F7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liquidator should be aware of the anti-deprivation principle which, in summary, </w:t>
      </w:r>
      <w:r w:rsidR="00ED2108">
        <w:rPr>
          <w:rFonts w:ascii="Arial" w:hAnsi="Arial" w:cs="Arial"/>
          <w:color w:val="7B7B7B" w:themeColor="accent3" w:themeShade="BF"/>
          <w:sz w:val="22"/>
          <w:szCs w:val="22"/>
        </w:rPr>
        <w:t xml:space="preserve">prohibits a creditor from being in a better position than other creditors </w:t>
      </w:r>
      <w:r w:rsidR="00C96BD0">
        <w:rPr>
          <w:rFonts w:ascii="Arial" w:hAnsi="Arial" w:cs="Arial"/>
          <w:color w:val="7B7B7B" w:themeColor="accent3" w:themeShade="BF"/>
          <w:sz w:val="22"/>
          <w:szCs w:val="22"/>
        </w:rPr>
        <w:t>if the clause(s) is considered a “fraud on the insolvency laws”.  The aim of the principle is to avoid giving an advantage to any one of the contracting parties due to the insolvency of the other.</w:t>
      </w:r>
      <w:r w:rsidR="00C96BD0">
        <w:rPr>
          <w:rStyle w:val="FootnoteReference"/>
          <w:rFonts w:ascii="Arial" w:hAnsi="Arial" w:cs="Arial"/>
          <w:color w:val="7B7B7B" w:themeColor="accent3" w:themeShade="BF"/>
          <w:sz w:val="22"/>
          <w:szCs w:val="22"/>
        </w:rPr>
        <w:footnoteReference w:id="56"/>
      </w:r>
      <w:r w:rsidR="00231840">
        <w:rPr>
          <w:rFonts w:ascii="Arial" w:hAnsi="Arial" w:cs="Arial"/>
          <w:color w:val="7B7B7B" w:themeColor="accent3" w:themeShade="BF"/>
          <w:sz w:val="22"/>
          <w:szCs w:val="22"/>
        </w:rPr>
        <w:t xml:space="preserve">  In this case, </w:t>
      </w:r>
      <w:r w:rsidR="00ED5ACF">
        <w:rPr>
          <w:rFonts w:ascii="Arial" w:hAnsi="Arial" w:cs="Arial"/>
          <w:color w:val="7B7B7B" w:themeColor="accent3" w:themeShade="BF"/>
          <w:sz w:val="22"/>
          <w:szCs w:val="22"/>
        </w:rPr>
        <w:t xml:space="preserve">this principle would avoid Mr. Xu being deprived </w:t>
      </w:r>
      <w:r w:rsidR="00947A53">
        <w:rPr>
          <w:rFonts w:ascii="Arial" w:hAnsi="Arial" w:cs="Arial"/>
          <w:color w:val="7B7B7B" w:themeColor="accent3" w:themeShade="BF"/>
          <w:sz w:val="22"/>
          <w:szCs w:val="22"/>
        </w:rPr>
        <w:t>of assets that would otherwise be used to satisfy the repayment of the funds invested.</w:t>
      </w:r>
    </w:p>
    <w:p w14:paraId="0AA68088" w14:textId="77777777" w:rsidR="00947A53" w:rsidRDefault="00947A53" w:rsidP="00624F7F">
      <w:pPr>
        <w:jc w:val="both"/>
        <w:rPr>
          <w:rFonts w:ascii="Arial" w:hAnsi="Arial" w:cs="Arial"/>
          <w:color w:val="7B7B7B" w:themeColor="accent3" w:themeShade="BF"/>
          <w:sz w:val="22"/>
          <w:szCs w:val="22"/>
        </w:rPr>
      </w:pPr>
    </w:p>
    <w:p w14:paraId="2817D744" w14:textId="792EDF53" w:rsidR="00947A53" w:rsidRDefault="00E42CFC" w:rsidP="00624F7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determining whether the anti-deprivation principle has been violated, the courts have developed the following factors to assist in such determination:</w:t>
      </w:r>
      <w:r>
        <w:rPr>
          <w:rStyle w:val="FootnoteReference"/>
          <w:rFonts w:ascii="Arial" w:hAnsi="Arial" w:cs="Arial"/>
          <w:color w:val="7B7B7B" w:themeColor="accent3" w:themeShade="BF"/>
          <w:sz w:val="22"/>
          <w:szCs w:val="22"/>
        </w:rPr>
        <w:footnoteReference w:id="57"/>
      </w:r>
    </w:p>
    <w:p w14:paraId="21719956" w14:textId="30CAD25A" w:rsidR="00A71DBE" w:rsidRDefault="00E42CFC" w:rsidP="00E42CFC">
      <w:pPr>
        <w:pStyle w:val="ListParagraph"/>
        <w:numPr>
          <w:ilvl w:val="0"/>
          <w:numId w:val="4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Is the intention to evade insolvency laws?</w:t>
      </w:r>
    </w:p>
    <w:p w14:paraId="1643DF01" w14:textId="5FD50313" w:rsidR="00E42CFC" w:rsidRDefault="00E42CFC" w:rsidP="00E42CFC">
      <w:pPr>
        <w:pStyle w:val="ListParagraph"/>
        <w:numPr>
          <w:ilvl w:val="0"/>
          <w:numId w:val="4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Does the clause operate in situations other than upon insolvency?</w:t>
      </w:r>
    </w:p>
    <w:p w14:paraId="025D9419" w14:textId="3A29614B" w:rsidR="00E42CFC" w:rsidRDefault="00E42CFC" w:rsidP="00E42CFC">
      <w:pPr>
        <w:pStyle w:val="ListParagraph"/>
        <w:numPr>
          <w:ilvl w:val="0"/>
          <w:numId w:val="48"/>
        </w:numPr>
        <w:jc w:val="both"/>
        <w:rPr>
          <w:rFonts w:ascii="Arial" w:hAnsi="Arial" w:cs="Arial"/>
          <w:color w:val="7B7B7B" w:themeColor="accent3" w:themeShade="BF"/>
          <w:sz w:val="22"/>
          <w:szCs w:val="22"/>
        </w:rPr>
      </w:pPr>
      <w:proofErr w:type="gramStart"/>
      <w:r>
        <w:rPr>
          <w:rFonts w:ascii="Arial" w:hAnsi="Arial" w:cs="Arial"/>
          <w:color w:val="7B7B7B" w:themeColor="accent3" w:themeShade="BF"/>
          <w:sz w:val="22"/>
          <w:szCs w:val="22"/>
        </w:rPr>
        <w:t>Is</w:t>
      </w:r>
      <w:proofErr w:type="gramEnd"/>
      <w:r>
        <w:rPr>
          <w:rFonts w:ascii="Arial" w:hAnsi="Arial" w:cs="Arial"/>
          <w:color w:val="7B7B7B" w:themeColor="accent3" w:themeShade="BF"/>
          <w:sz w:val="22"/>
          <w:szCs w:val="22"/>
        </w:rPr>
        <w:t xml:space="preserve"> the assets concerned “flawed”?</w:t>
      </w:r>
    </w:p>
    <w:p w14:paraId="3755879C" w14:textId="77777777" w:rsidR="00624F7F" w:rsidRDefault="00624F7F" w:rsidP="00624F7F">
      <w:pPr>
        <w:jc w:val="both"/>
        <w:rPr>
          <w:rFonts w:ascii="Arial" w:hAnsi="Arial" w:cs="Arial"/>
          <w:color w:val="7B7B7B" w:themeColor="accent3" w:themeShade="BF"/>
          <w:sz w:val="22"/>
          <w:szCs w:val="22"/>
        </w:rPr>
      </w:pPr>
    </w:p>
    <w:p w14:paraId="67404369" w14:textId="77777777" w:rsidR="00624F7F" w:rsidRDefault="00624F7F" w:rsidP="00624F7F">
      <w:pPr>
        <w:jc w:val="both"/>
        <w:rPr>
          <w:rFonts w:ascii="Arial" w:hAnsi="Arial" w:cs="Arial"/>
          <w:b/>
          <w:bCs/>
          <w:color w:val="7B7B7B" w:themeColor="accent3" w:themeShade="BF"/>
          <w:sz w:val="22"/>
          <w:szCs w:val="22"/>
        </w:rPr>
      </w:pPr>
      <w:r>
        <w:rPr>
          <w:rFonts w:ascii="Arial" w:hAnsi="Arial" w:cs="Arial"/>
          <w:b/>
          <w:bCs/>
          <w:color w:val="7B7B7B" w:themeColor="accent3" w:themeShade="BF"/>
          <w:sz w:val="22"/>
          <w:szCs w:val="22"/>
        </w:rPr>
        <w:t>Standing</w:t>
      </w:r>
    </w:p>
    <w:p w14:paraId="276707E2" w14:textId="77777777" w:rsidR="00624F7F" w:rsidRDefault="00624F7F" w:rsidP="00624F7F">
      <w:pPr>
        <w:jc w:val="both"/>
        <w:rPr>
          <w:rFonts w:ascii="Arial" w:hAnsi="Arial" w:cs="Arial"/>
          <w:b/>
          <w:bCs/>
          <w:color w:val="7B7B7B" w:themeColor="accent3" w:themeShade="BF"/>
          <w:sz w:val="22"/>
          <w:szCs w:val="22"/>
        </w:rPr>
      </w:pPr>
    </w:p>
    <w:p w14:paraId="36A642CB" w14:textId="097E43C6" w:rsidR="00624F7F" w:rsidRDefault="00624F7F" w:rsidP="00624F7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a result of the anti-deprivation principle, the </w:t>
      </w:r>
      <w:r>
        <w:rPr>
          <w:rFonts w:ascii="Arial" w:hAnsi="Arial" w:cs="Arial"/>
          <w:i/>
          <w:iCs/>
          <w:color w:val="7B7B7B" w:themeColor="accent3" w:themeShade="BF"/>
          <w:sz w:val="22"/>
          <w:szCs w:val="22"/>
        </w:rPr>
        <w:t xml:space="preserve">ipso facto </w:t>
      </w:r>
      <w:r>
        <w:rPr>
          <w:rFonts w:ascii="Arial" w:hAnsi="Arial" w:cs="Arial"/>
          <w:color w:val="7B7B7B" w:themeColor="accent3" w:themeShade="BF"/>
          <w:sz w:val="22"/>
          <w:szCs w:val="22"/>
        </w:rPr>
        <w:t>clause</w:t>
      </w:r>
      <w:r w:rsidR="003802B1">
        <w:rPr>
          <w:rFonts w:ascii="Arial" w:hAnsi="Arial" w:cs="Arial"/>
          <w:color w:val="7B7B7B" w:themeColor="accent3" w:themeShade="BF"/>
          <w:sz w:val="22"/>
          <w:szCs w:val="22"/>
        </w:rPr>
        <w:t xml:space="preserve"> in this case</w:t>
      </w:r>
      <w:r>
        <w:rPr>
          <w:rFonts w:ascii="Arial" w:hAnsi="Arial" w:cs="Arial"/>
          <w:color w:val="7B7B7B" w:themeColor="accent3" w:themeShade="BF"/>
          <w:sz w:val="22"/>
          <w:szCs w:val="22"/>
        </w:rPr>
        <w:t xml:space="preserve"> is not likely to be permitted.  The Court will therefore be satisfied that Mr. Xu has standing as a creditor of SPL to bring the winding up proceedings against SPL.</w:t>
      </w:r>
    </w:p>
    <w:p w14:paraId="235D297C" w14:textId="77777777" w:rsidR="00624F7F" w:rsidRDefault="00624F7F" w:rsidP="00624F7F">
      <w:pPr>
        <w:jc w:val="both"/>
        <w:rPr>
          <w:rFonts w:ascii="Arial" w:hAnsi="Arial" w:cs="Arial"/>
          <w:color w:val="7B7B7B" w:themeColor="accent3" w:themeShade="BF"/>
          <w:sz w:val="22"/>
          <w:szCs w:val="22"/>
        </w:rPr>
      </w:pPr>
    </w:p>
    <w:p w14:paraId="480D3551" w14:textId="77777777" w:rsidR="00624F7F" w:rsidRDefault="00624F7F" w:rsidP="00624F7F">
      <w:pPr>
        <w:jc w:val="both"/>
        <w:rPr>
          <w:rFonts w:ascii="Arial" w:hAnsi="Arial" w:cs="Arial"/>
          <w:b/>
          <w:bCs/>
          <w:color w:val="7B7B7B" w:themeColor="accent3" w:themeShade="BF"/>
          <w:sz w:val="22"/>
          <w:szCs w:val="22"/>
        </w:rPr>
      </w:pPr>
      <w:r>
        <w:rPr>
          <w:rFonts w:ascii="Arial" w:hAnsi="Arial" w:cs="Arial"/>
          <w:b/>
          <w:bCs/>
          <w:color w:val="7B7B7B" w:themeColor="accent3" w:themeShade="BF"/>
          <w:sz w:val="22"/>
          <w:szCs w:val="22"/>
        </w:rPr>
        <w:t>Winding up of Unregistered Companies</w:t>
      </w:r>
    </w:p>
    <w:p w14:paraId="3DC331E7" w14:textId="77777777" w:rsidR="00624F7F" w:rsidRDefault="00624F7F" w:rsidP="00624F7F">
      <w:pPr>
        <w:jc w:val="both"/>
        <w:rPr>
          <w:rFonts w:ascii="Arial" w:hAnsi="Arial" w:cs="Arial"/>
          <w:b/>
          <w:bCs/>
          <w:color w:val="7B7B7B" w:themeColor="accent3" w:themeShade="BF"/>
          <w:sz w:val="22"/>
          <w:szCs w:val="22"/>
        </w:rPr>
      </w:pPr>
    </w:p>
    <w:p w14:paraId="045E3DB8" w14:textId="5C7B4A14" w:rsidR="00624F7F" w:rsidRDefault="003D6D37" w:rsidP="00624F7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this case,</w:t>
      </w:r>
      <w:r w:rsidR="00624F7F">
        <w:rPr>
          <w:rFonts w:ascii="Arial" w:hAnsi="Arial" w:cs="Arial"/>
          <w:color w:val="7B7B7B" w:themeColor="accent3" w:themeShade="BF"/>
          <w:sz w:val="22"/>
          <w:szCs w:val="22"/>
        </w:rPr>
        <w:t xml:space="preserve"> SPL has a BVI appointed </w:t>
      </w:r>
      <w:proofErr w:type="gramStart"/>
      <w:r w:rsidR="00624F7F">
        <w:rPr>
          <w:rFonts w:ascii="Arial" w:hAnsi="Arial" w:cs="Arial"/>
          <w:color w:val="7B7B7B" w:themeColor="accent3" w:themeShade="BF"/>
          <w:sz w:val="22"/>
          <w:szCs w:val="22"/>
        </w:rPr>
        <w:t>liquidator</w:t>
      </w:r>
      <w:proofErr w:type="gramEnd"/>
      <w:r>
        <w:rPr>
          <w:rFonts w:ascii="Arial" w:hAnsi="Arial" w:cs="Arial"/>
          <w:color w:val="7B7B7B" w:themeColor="accent3" w:themeShade="BF"/>
          <w:sz w:val="22"/>
          <w:szCs w:val="22"/>
        </w:rPr>
        <w:t xml:space="preserve"> so the use of an ancillary liquidation is likely</w:t>
      </w:r>
      <w:r w:rsidR="00624F7F">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However, the liquidator should note that</w:t>
      </w:r>
      <w:r w:rsidR="00624F7F">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a</w:t>
      </w:r>
      <w:r w:rsidR="008C41F2">
        <w:rPr>
          <w:rFonts w:ascii="Arial" w:hAnsi="Arial" w:cs="Arial"/>
          <w:color w:val="7B7B7B" w:themeColor="accent3" w:themeShade="BF"/>
          <w:sz w:val="22"/>
          <w:szCs w:val="22"/>
        </w:rPr>
        <w:t>ny unregistered company (such as SPL) may be wound up in the following circumstances:</w:t>
      </w:r>
      <w:r w:rsidR="008C41F2">
        <w:rPr>
          <w:rStyle w:val="FootnoteReference"/>
          <w:rFonts w:ascii="Arial" w:hAnsi="Arial" w:cs="Arial"/>
          <w:color w:val="7B7B7B" w:themeColor="accent3" w:themeShade="BF"/>
          <w:sz w:val="22"/>
          <w:szCs w:val="22"/>
        </w:rPr>
        <w:footnoteReference w:id="58"/>
      </w:r>
    </w:p>
    <w:p w14:paraId="1F9CB055" w14:textId="77EF33FB" w:rsidR="00624F7F" w:rsidRDefault="001B0949" w:rsidP="00624F7F">
      <w:pPr>
        <w:pStyle w:val="ListParagraph"/>
        <w:numPr>
          <w:ilvl w:val="0"/>
          <w:numId w:val="4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the company is dissolved, or has ceased to carry on business, or is carrying on business only for the purpose of winding up its </w:t>
      </w:r>
      <w:proofErr w:type="gramStart"/>
      <w:r>
        <w:rPr>
          <w:rFonts w:ascii="Arial" w:hAnsi="Arial" w:cs="Arial"/>
          <w:color w:val="7B7B7B" w:themeColor="accent3" w:themeShade="BF"/>
          <w:sz w:val="22"/>
          <w:szCs w:val="22"/>
        </w:rPr>
        <w:t>affairs;</w:t>
      </w:r>
      <w:proofErr w:type="gramEnd"/>
    </w:p>
    <w:p w14:paraId="4DB07967" w14:textId="25602701" w:rsidR="001B0949" w:rsidRDefault="001B0949" w:rsidP="00624F7F">
      <w:pPr>
        <w:pStyle w:val="ListParagraph"/>
        <w:numPr>
          <w:ilvl w:val="0"/>
          <w:numId w:val="4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the company is unable to pay its </w:t>
      </w:r>
      <w:proofErr w:type="gramStart"/>
      <w:r>
        <w:rPr>
          <w:rFonts w:ascii="Arial" w:hAnsi="Arial" w:cs="Arial"/>
          <w:color w:val="7B7B7B" w:themeColor="accent3" w:themeShade="BF"/>
          <w:sz w:val="22"/>
          <w:szCs w:val="22"/>
        </w:rPr>
        <w:t>debts;</w:t>
      </w:r>
      <w:proofErr w:type="gramEnd"/>
    </w:p>
    <w:p w14:paraId="462C3435" w14:textId="6B2D9FC5" w:rsidR="001B0949" w:rsidRDefault="001B0949" w:rsidP="00624F7F">
      <w:pPr>
        <w:pStyle w:val="ListParagraph"/>
        <w:numPr>
          <w:ilvl w:val="0"/>
          <w:numId w:val="4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If the court is of opinion that it is just and equitable that the company should be wound up.</w:t>
      </w:r>
    </w:p>
    <w:p w14:paraId="59256A8B" w14:textId="77777777" w:rsidR="00624F7F" w:rsidRDefault="00624F7F" w:rsidP="00624F7F">
      <w:pPr>
        <w:jc w:val="both"/>
        <w:rPr>
          <w:rFonts w:ascii="Arial" w:hAnsi="Arial" w:cs="Arial"/>
          <w:color w:val="7B7B7B" w:themeColor="accent3" w:themeShade="BF"/>
          <w:sz w:val="22"/>
          <w:szCs w:val="22"/>
        </w:rPr>
      </w:pPr>
    </w:p>
    <w:p w14:paraId="0B754325" w14:textId="52338EEA" w:rsidR="00624F7F" w:rsidRDefault="00624F7F" w:rsidP="00624F7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petitioner must also satisfy the court that </w:t>
      </w:r>
      <w:r w:rsidR="00D32F39">
        <w:rPr>
          <w:rFonts w:ascii="Arial" w:hAnsi="Arial" w:cs="Arial"/>
          <w:color w:val="7B7B7B" w:themeColor="accent3" w:themeShade="BF"/>
          <w:sz w:val="22"/>
          <w:szCs w:val="22"/>
        </w:rPr>
        <w:t>SPL</w:t>
      </w:r>
      <w:r w:rsidR="0088696E">
        <w:rPr>
          <w:rFonts w:ascii="Arial" w:hAnsi="Arial" w:cs="Arial"/>
          <w:color w:val="7B7B7B" w:themeColor="accent3" w:themeShade="BF"/>
          <w:sz w:val="22"/>
          <w:szCs w:val="22"/>
        </w:rPr>
        <w:t xml:space="preserve"> i</w:t>
      </w:r>
      <w:r>
        <w:rPr>
          <w:rFonts w:ascii="Arial" w:hAnsi="Arial" w:cs="Arial"/>
          <w:color w:val="7B7B7B" w:themeColor="accent3" w:themeShade="BF"/>
          <w:sz w:val="22"/>
          <w:szCs w:val="22"/>
        </w:rPr>
        <w:t>s sufficiently connect</w:t>
      </w:r>
      <w:r w:rsidR="0088696E">
        <w:rPr>
          <w:rFonts w:ascii="Arial" w:hAnsi="Arial" w:cs="Arial"/>
          <w:color w:val="7B7B7B" w:themeColor="accent3" w:themeShade="BF"/>
          <w:sz w:val="22"/>
          <w:szCs w:val="22"/>
        </w:rPr>
        <w:t>ed</w:t>
      </w:r>
      <w:r>
        <w:rPr>
          <w:rFonts w:ascii="Arial" w:hAnsi="Arial" w:cs="Arial"/>
          <w:color w:val="7B7B7B" w:themeColor="accent3" w:themeShade="BF"/>
          <w:sz w:val="22"/>
          <w:szCs w:val="22"/>
        </w:rPr>
        <w:t xml:space="preserve"> to Hong Kong by satisfying the </w:t>
      </w:r>
      <w:r w:rsidR="001E644D">
        <w:rPr>
          <w:rFonts w:ascii="Arial" w:hAnsi="Arial" w:cs="Arial"/>
          <w:color w:val="7B7B7B" w:themeColor="accent3" w:themeShade="BF"/>
          <w:sz w:val="22"/>
          <w:szCs w:val="22"/>
        </w:rPr>
        <w:t xml:space="preserve">following </w:t>
      </w:r>
      <w:r>
        <w:rPr>
          <w:rFonts w:ascii="Arial" w:hAnsi="Arial" w:cs="Arial"/>
          <w:color w:val="7B7B7B" w:themeColor="accent3" w:themeShade="BF"/>
          <w:sz w:val="22"/>
          <w:szCs w:val="22"/>
        </w:rPr>
        <w:t>“three core requirements”</w:t>
      </w:r>
      <w:r w:rsidR="00C67970">
        <w:rPr>
          <w:rFonts w:ascii="Arial" w:hAnsi="Arial" w:cs="Arial"/>
          <w:color w:val="7B7B7B" w:themeColor="accent3" w:themeShade="BF"/>
          <w:sz w:val="22"/>
          <w:szCs w:val="22"/>
        </w:rPr>
        <w:t xml:space="preserve"> as approved by the </w:t>
      </w:r>
      <w:r w:rsidR="00516F5E">
        <w:rPr>
          <w:rFonts w:ascii="Arial" w:hAnsi="Arial" w:cs="Arial"/>
          <w:color w:val="7B7B7B" w:themeColor="accent3" w:themeShade="BF"/>
          <w:sz w:val="22"/>
          <w:szCs w:val="22"/>
        </w:rPr>
        <w:t>Court of Final Appeal:</w:t>
      </w:r>
      <w:r w:rsidR="00516F5E">
        <w:rPr>
          <w:rStyle w:val="FootnoteReference"/>
          <w:rFonts w:ascii="Arial" w:hAnsi="Arial" w:cs="Arial"/>
          <w:color w:val="7B7B7B" w:themeColor="accent3" w:themeShade="BF"/>
          <w:sz w:val="22"/>
          <w:szCs w:val="22"/>
        </w:rPr>
        <w:footnoteReference w:id="59"/>
      </w:r>
    </w:p>
    <w:p w14:paraId="7F7CBEF7" w14:textId="5D2CDF49" w:rsidR="00516F5E" w:rsidRDefault="00516F5E" w:rsidP="00624F7F">
      <w:pPr>
        <w:pStyle w:val="ListParagraph"/>
        <w:numPr>
          <w:ilvl w:val="0"/>
          <w:numId w:val="4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must be a sufficient connection with Hong Kong, but this does not necessarily have to consist in the presence of assets within the jurisdiction</w:t>
      </w:r>
      <w:r w:rsidR="006F596D">
        <w:rPr>
          <w:rFonts w:ascii="Arial" w:hAnsi="Arial" w:cs="Arial"/>
          <w:color w:val="7B7B7B" w:themeColor="accent3" w:themeShade="BF"/>
          <w:sz w:val="22"/>
          <w:szCs w:val="22"/>
        </w:rPr>
        <w:t>.  SPL has a bank account at a bank in Hong Kong which would satisfy this requirement.</w:t>
      </w:r>
    </w:p>
    <w:p w14:paraId="79CF6BF0" w14:textId="32994B3C" w:rsidR="00516F5E" w:rsidRDefault="00516F5E" w:rsidP="00624F7F">
      <w:pPr>
        <w:pStyle w:val="ListParagraph"/>
        <w:numPr>
          <w:ilvl w:val="0"/>
          <w:numId w:val="4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must be a reasonable possibility that the winding up order would benefit those applying for it</w:t>
      </w:r>
      <w:r w:rsidR="006F596D">
        <w:rPr>
          <w:rFonts w:ascii="Arial" w:hAnsi="Arial" w:cs="Arial"/>
          <w:color w:val="7B7B7B" w:themeColor="accent3" w:themeShade="BF"/>
          <w:sz w:val="22"/>
          <w:szCs w:val="22"/>
        </w:rPr>
        <w:t xml:space="preserve">.  If it can be proven that there are assets of SPL located in one of the pilot areas of the </w:t>
      </w:r>
      <w:proofErr w:type="gramStart"/>
      <w:r w:rsidR="006F596D">
        <w:rPr>
          <w:rFonts w:ascii="Arial" w:hAnsi="Arial" w:cs="Arial"/>
          <w:color w:val="7B7B7B" w:themeColor="accent3" w:themeShade="BF"/>
          <w:sz w:val="22"/>
          <w:szCs w:val="22"/>
        </w:rPr>
        <w:t>Mainland</w:t>
      </w:r>
      <w:proofErr w:type="gramEnd"/>
      <w:r w:rsidR="006F596D">
        <w:rPr>
          <w:rFonts w:ascii="Arial" w:hAnsi="Arial" w:cs="Arial"/>
          <w:color w:val="7B7B7B" w:themeColor="accent3" w:themeShade="BF"/>
          <w:sz w:val="22"/>
          <w:szCs w:val="22"/>
        </w:rPr>
        <w:t>, the court may be satisfied that this requirement is met.</w:t>
      </w:r>
    </w:p>
    <w:p w14:paraId="2775F0A4" w14:textId="111848B7" w:rsidR="00516F5E" w:rsidRDefault="00516F5E" w:rsidP="00624F7F">
      <w:pPr>
        <w:pStyle w:val="ListParagraph"/>
        <w:numPr>
          <w:ilvl w:val="0"/>
          <w:numId w:val="4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The court must be able to exercise jurisdiction over one or more persons in the distribution of SPL’s assets.</w:t>
      </w:r>
      <w:r w:rsidR="006F596D">
        <w:rPr>
          <w:rFonts w:ascii="Arial" w:hAnsi="Arial" w:cs="Arial"/>
          <w:color w:val="7B7B7B" w:themeColor="accent3" w:themeShade="BF"/>
          <w:sz w:val="22"/>
          <w:szCs w:val="22"/>
        </w:rPr>
        <w:t xml:space="preserve">  </w:t>
      </w:r>
      <w:r w:rsidR="00D85257">
        <w:rPr>
          <w:rFonts w:ascii="Arial" w:hAnsi="Arial" w:cs="Arial"/>
          <w:color w:val="7B7B7B" w:themeColor="accent3" w:themeShade="BF"/>
          <w:sz w:val="22"/>
          <w:szCs w:val="22"/>
        </w:rPr>
        <w:t xml:space="preserve">For the purposes of this case, it is assumed that </w:t>
      </w:r>
      <w:r w:rsidR="006F596D">
        <w:rPr>
          <w:rFonts w:ascii="Arial" w:hAnsi="Arial" w:cs="Arial"/>
          <w:color w:val="7B7B7B" w:themeColor="accent3" w:themeShade="BF"/>
          <w:sz w:val="22"/>
          <w:szCs w:val="22"/>
        </w:rPr>
        <w:t xml:space="preserve">Mr. </w:t>
      </w:r>
      <w:r w:rsidR="00D85257">
        <w:rPr>
          <w:rFonts w:ascii="Arial" w:hAnsi="Arial" w:cs="Arial"/>
          <w:color w:val="7B7B7B" w:themeColor="accent3" w:themeShade="BF"/>
          <w:sz w:val="22"/>
          <w:szCs w:val="22"/>
        </w:rPr>
        <w:t>Xu</w:t>
      </w:r>
      <w:r w:rsidR="00013DB9">
        <w:rPr>
          <w:rFonts w:ascii="Arial" w:hAnsi="Arial" w:cs="Arial"/>
          <w:color w:val="7B7B7B" w:themeColor="accent3" w:themeShade="BF"/>
          <w:sz w:val="22"/>
          <w:szCs w:val="22"/>
        </w:rPr>
        <w:t xml:space="preserve"> </w:t>
      </w:r>
      <w:r w:rsidR="006F596D">
        <w:rPr>
          <w:rFonts w:ascii="Arial" w:hAnsi="Arial" w:cs="Arial"/>
          <w:color w:val="7B7B7B" w:themeColor="accent3" w:themeShade="BF"/>
          <w:sz w:val="22"/>
          <w:szCs w:val="22"/>
        </w:rPr>
        <w:t xml:space="preserve">is </w:t>
      </w:r>
      <w:r w:rsidR="00D85257">
        <w:rPr>
          <w:rFonts w:ascii="Arial" w:hAnsi="Arial" w:cs="Arial"/>
          <w:color w:val="7B7B7B" w:themeColor="accent3" w:themeShade="BF"/>
          <w:sz w:val="22"/>
          <w:szCs w:val="22"/>
        </w:rPr>
        <w:t xml:space="preserve">a </w:t>
      </w:r>
      <w:r w:rsidR="006F596D">
        <w:rPr>
          <w:rFonts w:ascii="Arial" w:hAnsi="Arial" w:cs="Arial"/>
          <w:color w:val="7B7B7B" w:themeColor="accent3" w:themeShade="BF"/>
          <w:sz w:val="22"/>
          <w:szCs w:val="22"/>
        </w:rPr>
        <w:t xml:space="preserve">resident of Hong Kong </w:t>
      </w:r>
      <w:r w:rsidR="00013DB9">
        <w:rPr>
          <w:rFonts w:ascii="Arial" w:hAnsi="Arial" w:cs="Arial"/>
          <w:color w:val="7B7B7B" w:themeColor="accent3" w:themeShade="BF"/>
          <w:sz w:val="22"/>
          <w:szCs w:val="22"/>
        </w:rPr>
        <w:t xml:space="preserve">is a creditor of SPL </w:t>
      </w:r>
      <w:r w:rsidR="00563FF1">
        <w:rPr>
          <w:rFonts w:ascii="Arial" w:hAnsi="Arial" w:cs="Arial"/>
          <w:color w:val="7B7B7B" w:themeColor="accent3" w:themeShade="BF"/>
          <w:sz w:val="22"/>
          <w:szCs w:val="22"/>
        </w:rPr>
        <w:t>based on the funds advanced from the outset.  As such, this requirement would be expected to be met.</w:t>
      </w:r>
    </w:p>
    <w:p w14:paraId="66E68886" w14:textId="77777777" w:rsidR="00624F7F" w:rsidRDefault="00624F7F" w:rsidP="00624F7F">
      <w:pPr>
        <w:jc w:val="both"/>
        <w:rPr>
          <w:rFonts w:ascii="Arial" w:hAnsi="Arial" w:cs="Arial"/>
          <w:color w:val="7B7B7B" w:themeColor="accent3" w:themeShade="BF"/>
          <w:sz w:val="22"/>
          <w:szCs w:val="22"/>
        </w:rPr>
      </w:pPr>
    </w:p>
    <w:p w14:paraId="35107624" w14:textId="64F880F7" w:rsidR="00624F7F" w:rsidRPr="00FD3B7E" w:rsidRDefault="008D020A" w:rsidP="0068654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As mentioned above</w:t>
      </w:r>
      <w:r w:rsidR="00624F7F">
        <w:rPr>
          <w:rFonts w:ascii="Arial" w:hAnsi="Arial" w:cs="Arial"/>
          <w:color w:val="7B7B7B" w:themeColor="accent3" w:themeShade="BF"/>
          <w:sz w:val="22"/>
          <w:szCs w:val="22"/>
        </w:rPr>
        <w:t xml:space="preserve">, </w:t>
      </w:r>
      <w:r w:rsidR="00EA414A">
        <w:rPr>
          <w:rFonts w:ascii="Arial" w:hAnsi="Arial" w:cs="Arial"/>
          <w:color w:val="7B7B7B" w:themeColor="accent3" w:themeShade="BF"/>
          <w:sz w:val="22"/>
          <w:szCs w:val="22"/>
        </w:rPr>
        <w:t>in addition to winding up unregistered companies, the courts also have jurisdiction to commence ancillary liquidations in Hong Kong</w:t>
      </w:r>
      <w:r w:rsidR="00217071">
        <w:rPr>
          <w:rFonts w:ascii="Arial" w:hAnsi="Arial" w:cs="Arial"/>
          <w:color w:val="7B7B7B" w:themeColor="accent3" w:themeShade="BF"/>
          <w:sz w:val="22"/>
          <w:szCs w:val="22"/>
        </w:rPr>
        <w:t xml:space="preserve"> as would be the case in this scenario</w:t>
      </w:r>
      <w:r w:rsidR="00C9220A">
        <w:rPr>
          <w:rFonts w:ascii="Arial" w:hAnsi="Arial" w:cs="Arial"/>
          <w:color w:val="7B7B7B" w:themeColor="accent3" w:themeShade="BF"/>
          <w:sz w:val="22"/>
          <w:szCs w:val="22"/>
        </w:rPr>
        <w:t xml:space="preserve">.  </w:t>
      </w:r>
      <w:r w:rsidR="00A65D0F">
        <w:rPr>
          <w:rFonts w:ascii="Arial" w:hAnsi="Arial" w:cs="Arial"/>
          <w:color w:val="7B7B7B" w:themeColor="accent3" w:themeShade="BF"/>
          <w:sz w:val="22"/>
          <w:szCs w:val="22"/>
        </w:rPr>
        <w:t xml:space="preserve">In addition, foreign liquidators can also apply to the courts for recognition of the foreign appointment.  </w:t>
      </w:r>
      <w:r w:rsidR="00C9220A">
        <w:rPr>
          <w:rFonts w:ascii="Arial" w:hAnsi="Arial" w:cs="Arial"/>
          <w:color w:val="7B7B7B" w:themeColor="accent3" w:themeShade="BF"/>
          <w:sz w:val="22"/>
          <w:szCs w:val="22"/>
        </w:rPr>
        <w:t xml:space="preserve">However, </w:t>
      </w:r>
      <w:r w:rsidR="00A65D0F">
        <w:rPr>
          <w:rFonts w:ascii="Arial" w:hAnsi="Arial" w:cs="Arial"/>
          <w:color w:val="7B7B7B" w:themeColor="accent3" w:themeShade="BF"/>
          <w:sz w:val="22"/>
          <w:szCs w:val="22"/>
        </w:rPr>
        <w:t xml:space="preserve">the powers available through recognition </w:t>
      </w:r>
      <w:r w:rsidR="000B5A15">
        <w:rPr>
          <w:rFonts w:ascii="Arial" w:hAnsi="Arial" w:cs="Arial"/>
          <w:color w:val="7B7B7B" w:themeColor="accent3" w:themeShade="BF"/>
          <w:sz w:val="22"/>
          <w:szCs w:val="22"/>
        </w:rPr>
        <w:t>are</w:t>
      </w:r>
      <w:r w:rsidR="00A65D0F">
        <w:rPr>
          <w:rFonts w:ascii="Arial" w:hAnsi="Arial" w:cs="Arial"/>
          <w:color w:val="7B7B7B" w:themeColor="accent3" w:themeShade="BF"/>
          <w:sz w:val="22"/>
          <w:szCs w:val="22"/>
        </w:rPr>
        <w:t xml:space="preserve"> more limited than through </w:t>
      </w:r>
      <w:r w:rsidR="00E51A44">
        <w:rPr>
          <w:rFonts w:ascii="Arial" w:hAnsi="Arial" w:cs="Arial"/>
          <w:color w:val="7B7B7B" w:themeColor="accent3" w:themeShade="BF"/>
          <w:sz w:val="22"/>
          <w:szCs w:val="22"/>
        </w:rPr>
        <w:t xml:space="preserve">liquidation.  For example, the power to utilize the new </w:t>
      </w:r>
      <w:r w:rsidR="000B5A15">
        <w:rPr>
          <w:rFonts w:ascii="Arial" w:hAnsi="Arial" w:cs="Arial"/>
          <w:color w:val="7B7B7B" w:themeColor="accent3" w:themeShade="BF"/>
          <w:sz w:val="22"/>
          <w:szCs w:val="22"/>
        </w:rPr>
        <w:t xml:space="preserve">Cooperation Mechanism </w:t>
      </w:r>
      <w:r w:rsidR="00E51A44">
        <w:rPr>
          <w:rFonts w:ascii="Arial" w:hAnsi="Arial" w:cs="Arial"/>
          <w:color w:val="7B7B7B" w:themeColor="accent3" w:themeShade="BF"/>
          <w:sz w:val="22"/>
          <w:szCs w:val="22"/>
        </w:rPr>
        <w:t>between Hong Kong and the Mainland</w:t>
      </w:r>
      <w:r w:rsidR="000B5A15">
        <w:rPr>
          <w:rFonts w:ascii="Arial" w:hAnsi="Arial" w:cs="Arial"/>
          <w:color w:val="7B7B7B" w:themeColor="accent3" w:themeShade="BF"/>
          <w:sz w:val="22"/>
          <w:szCs w:val="22"/>
        </w:rPr>
        <w:t xml:space="preserve"> </w:t>
      </w:r>
      <w:r w:rsidR="000B5A15">
        <w:rPr>
          <w:rFonts w:ascii="Arial" w:hAnsi="Arial" w:cs="Arial"/>
          <w:color w:val="7B7B7B" w:themeColor="accent3" w:themeShade="BF"/>
          <w:sz w:val="22"/>
          <w:szCs w:val="22"/>
        </w:rPr>
        <w:t>(discussed in further detail below)</w:t>
      </w:r>
      <w:r w:rsidR="00E51A44">
        <w:rPr>
          <w:rFonts w:ascii="Arial" w:hAnsi="Arial" w:cs="Arial"/>
          <w:color w:val="7B7B7B" w:themeColor="accent3" w:themeShade="BF"/>
          <w:sz w:val="22"/>
          <w:szCs w:val="22"/>
        </w:rPr>
        <w:t xml:space="preserve"> is only available to Hong Kong liquidators</w:t>
      </w:r>
      <w:r w:rsidR="0068654D">
        <w:rPr>
          <w:rFonts w:ascii="Arial" w:hAnsi="Arial" w:cs="Arial"/>
          <w:color w:val="7B7B7B" w:themeColor="accent3" w:themeShade="BF"/>
          <w:sz w:val="22"/>
          <w:szCs w:val="22"/>
        </w:rPr>
        <w:t>.  This power appears critical in this case assuming such assets can be identified.</w:t>
      </w:r>
    </w:p>
    <w:p w14:paraId="53910769" w14:textId="77777777" w:rsidR="00624F7F" w:rsidRDefault="00624F7F" w:rsidP="00624F7F">
      <w:pPr>
        <w:jc w:val="both"/>
        <w:rPr>
          <w:rFonts w:ascii="Arial" w:hAnsi="Arial" w:cs="Arial"/>
          <w:b/>
          <w:bCs/>
          <w:color w:val="7B7B7B" w:themeColor="accent3" w:themeShade="BF"/>
          <w:sz w:val="22"/>
          <w:szCs w:val="22"/>
        </w:rPr>
      </w:pPr>
    </w:p>
    <w:p w14:paraId="7DD63A28" w14:textId="77777777" w:rsidR="00624F7F" w:rsidRDefault="00624F7F" w:rsidP="00624F7F">
      <w:pPr>
        <w:jc w:val="both"/>
        <w:rPr>
          <w:rFonts w:ascii="Arial" w:hAnsi="Arial" w:cs="Arial"/>
          <w:b/>
          <w:bCs/>
          <w:color w:val="7B7B7B" w:themeColor="accent3" w:themeShade="BF"/>
          <w:sz w:val="22"/>
          <w:szCs w:val="22"/>
        </w:rPr>
      </w:pPr>
      <w:r>
        <w:rPr>
          <w:rFonts w:ascii="Arial" w:hAnsi="Arial" w:cs="Arial"/>
          <w:b/>
          <w:bCs/>
          <w:color w:val="7B7B7B" w:themeColor="accent3" w:themeShade="BF"/>
          <w:sz w:val="22"/>
          <w:szCs w:val="22"/>
        </w:rPr>
        <w:t>Investigations</w:t>
      </w:r>
    </w:p>
    <w:p w14:paraId="1E8209C5" w14:textId="77777777" w:rsidR="00624F7F" w:rsidRDefault="00624F7F" w:rsidP="00624F7F">
      <w:pPr>
        <w:jc w:val="both"/>
        <w:rPr>
          <w:rFonts w:ascii="Arial" w:hAnsi="Arial" w:cs="Arial"/>
          <w:b/>
          <w:bCs/>
          <w:color w:val="7B7B7B" w:themeColor="accent3" w:themeShade="BF"/>
          <w:sz w:val="22"/>
          <w:szCs w:val="22"/>
        </w:rPr>
      </w:pPr>
    </w:p>
    <w:p w14:paraId="7DBD7A24" w14:textId="7FF42EAA" w:rsidR="00624F7F" w:rsidRPr="005A6D8C" w:rsidRDefault="00624F7F" w:rsidP="00624F7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power</w:t>
      </w:r>
      <w:r w:rsidR="009523E7">
        <w:rPr>
          <w:rFonts w:ascii="Arial" w:hAnsi="Arial" w:cs="Arial"/>
          <w:color w:val="7B7B7B" w:themeColor="accent3" w:themeShade="BF"/>
          <w:sz w:val="22"/>
          <w:szCs w:val="22"/>
        </w:rPr>
        <w:t xml:space="preserve">s available to officeholders (either through </w:t>
      </w:r>
      <w:proofErr w:type="spellStart"/>
      <w:r w:rsidR="009523E7">
        <w:rPr>
          <w:rFonts w:ascii="Arial" w:hAnsi="Arial" w:cs="Arial"/>
          <w:color w:val="7B7B7B" w:themeColor="accent3" w:themeShade="BF"/>
          <w:sz w:val="22"/>
          <w:szCs w:val="22"/>
        </w:rPr>
        <w:t>a</w:t>
      </w:r>
      <w:proofErr w:type="spellEnd"/>
      <w:r w:rsidR="009523E7">
        <w:rPr>
          <w:rFonts w:ascii="Arial" w:hAnsi="Arial" w:cs="Arial"/>
          <w:color w:val="7B7B7B" w:themeColor="accent3" w:themeShade="BF"/>
          <w:sz w:val="22"/>
          <w:szCs w:val="22"/>
        </w:rPr>
        <w:t xml:space="preserve"> Hong Kong winding up or recognition of </w:t>
      </w:r>
      <w:proofErr w:type="spellStart"/>
      <w:r w:rsidR="009523E7">
        <w:rPr>
          <w:rFonts w:ascii="Arial" w:hAnsi="Arial" w:cs="Arial"/>
          <w:color w:val="7B7B7B" w:themeColor="accent3" w:themeShade="BF"/>
          <w:sz w:val="22"/>
          <w:szCs w:val="22"/>
        </w:rPr>
        <w:t>a</w:t>
      </w:r>
      <w:proofErr w:type="spellEnd"/>
      <w:r w:rsidR="009523E7">
        <w:rPr>
          <w:rFonts w:ascii="Arial" w:hAnsi="Arial" w:cs="Arial"/>
          <w:color w:val="7B7B7B" w:themeColor="accent3" w:themeShade="BF"/>
          <w:sz w:val="22"/>
          <w:szCs w:val="22"/>
        </w:rPr>
        <w:t xml:space="preserve"> foreign appointment) include the production of documents and examination of individuals in Hong Kong.</w:t>
      </w:r>
      <w:r w:rsidR="009523E7">
        <w:rPr>
          <w:rStyle w:val="FootnoteReference"/>
          <w:rFonts w:ascii="Arial" w:hAnsi="Arial" w:cs="Arial"/>
          <w:color w:val="7B7B7B" w:themeColor="accent3" w:themeShade="BF"/>
          <w:sz w:val="22"/>
          <w:szCs w:val="22"/>
        </w:rPr>
        <w:footnoteReference w:id="60"/>
      </w:r>
      <w:r w:rsidR="00CF78C1">
        <w:rPr>
          <w:rFonts w:ascii="Arial" w:hAnsi="Arial" w:cs="Arial"/>
          <w:color w:val="7B7B7B" w:themeColor="accent3" w:themeShade="BF"/>
          <w:sz w:val="22"/>
          <w:szCs w:val="22"/>
        </w:rPr>
        <w:t xml:space="preserve">  The liquidator can therefore utilize such powers to advance its investigations and asset recovery efforts.</w:t>
      </w:r>
      <w:r>
        <w:rPr>
          <w:rFonts w:ascii="Arial" w:hAnsi="Arial" w:cs="Arial"/>
          <w:color w:val="7B7B7B" w:themeColor="accent3" w:themeShade="BF"/>
          <w:sz w:val="22"/>
          <w:szCs w:val="22"/>
        </w:rPr>
        <w:t xml:space="preserve"> </w:t>
      </w:r>
    </w:p>
    <w:p w14:paraId="6903C464" w14:textId="77777777" w:rsidR="00624F7F" w:rsidRDefault="00624F7F" w:rsidP="00624F7F">
      <w:pPr>
        <w:jc w:val="both"/>
        <w:rPr>
          <w:rFonts w:ascii="Arial" w:hAnsi="Arial" w:cs="Arial"/>
          <w:b/>
          <w:bCs/>
          <w:color w:val="7B7B7B" w:themeColor="accent3" w:themeShade="BF"/>
          <w:sz w:val="22"/>
          <w:szCs w:val="22"/>
        </w:rPr>
      </w:pPr>
    </w:p>
    <w:p w14:paraId="50922058" w14:textId="77777777" w:rsidR="00624F7F" w:rsidRDefault="00624F7F" w:rsidP="00624F7F">
      <w:pPr>
        <w:jc w:val="both"/>
        <w:rPr>
          <w:rFonts w:ascii="Arial" w:hAnsi="Arial" w:cs="Arial"/>
          <w:b/>
          <w:bCs/>
          <w:color w:val="7B7B7B" w:themeColor="accent3" w:themeShade="BF"/>
          <w:sz w:val="22"/>
          <w:szCs w:val="22"/>
        </w:rPr>
      </w:pPr>
      <w:r>
        <w:rPr>
          <w:rFonts w:ascii="Arial" w:hAnsi="Arial" w:cs="Arial"/>
          <w:b/>
          <w:bCs/>
          <w:color w:val="7B7B7B" w:themeColor="accent3" w:themeShade="BF"/>
          <w:sz w:val="22"/>
          <w:szCs w:val="22"/>
        </w:rPr>
        <w:t>Assets in Hong Kong</w:t>
      </w:r>
    </w:p>
    <w:p w14:paraId="10EFBF04" w14:textId="77777777" w:rsidR="00624F7F" w:rsidRDefault="00624F7F" w:rsidP="00624F7F">
      <w:pPr>
        <w:jc w:val="both"/>
        <w:rPr>
          <w:rFonts w:ascii="Arial" w:hAnsi="Arial" w:cs="Arial"/>
          <w:b/>
          <w:bCs/>
          <w:color w:val="7B7B7B" w:themeColor="accent3" w:themeShade="BF"/>
          <w:sz w:val="22"/>
          <w:szCs w:val="22"/>
        </w:rPr>
      </w:pPr>
    </w:p>
    <w:p w14:paraId="0EAE242B" w14:textId="507C27BC" w:rsidR="00624F7F" w:rsidRPr="003256B1" w:rsidRDefault="00E63667" w:rsidP="00617DF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this </w:t>
      </w:r>
      <w:r w:rsidR="00624F7F">
        <w:rPr>
          <w:rFonts w:ascii="Arial" w:hAnsi="Arial" w:cs="Arial"/>
          <w:color w:val="7B7B7B" w:themeColor="accent3" w:themeShade="BF"/>
          <w:sz w:val="22"/>
          <w:szCs w:val="22"/>
        </w:rPr>
        <w:t>case, SPL holds a bank account at a bank in Hong Kong.</w:t>
      </w:r>
      <w:r w:rsidR="001F3C6C">
        <w:rPr>
          <w:rFonts w:ascii="Arial" w:hAnsi="Arial" w:cs="Arial"/>
          <w:color w:val="7B7B7B" w:themeColor="accent3" w:themeShade="BF"/>
          <w:sz w:val="22"/>
          <w:szCs w:val="22"/>
        </w:rPr>
        <w:t xml:space="preserve">  Based on common practice, it is expected that the Hong Kong bank will provide information and documentation to the liquidator without the requirement to be recognized through a court order.  </w:t>
      </w:r>
      <w:r w:rsidR="00F65DF7">
        <w:rPr>
          <w:rFonts w:ascii="Arial" w:hAnsi="Arial" w:cs="Arial"/>
          <w:color w:val="7B7B7B" w:themeColor="accent3" w:themeShade="BF"/>
          <w:sz w:val="22"/>
          <w:szCs w:val="22"/>
        </w:rPr>
        <w:t xml:space="preserve">However, the liquidator should keep in mind that </w:t>
      </w:r>
      <w:r w:rsidR="006E59E5">
        <w:rPr>
          <w:rFonts w:ascii="Arial" w:hAnsi="Arial" w:cs="Arial"/>
          <w:color w:val="7B7B7B" w:themeColor="accent3" w:themeShade="BF"/>
          <w:sz w:val="22"/>
          <w:szCs w:val="22"/>
        </w:rPr>
        <w:t xml:space="preserve">he will not be able to deal with any identified assets, including any remaining cash balance in the Hong Kong bank account, without having been formally recognized by the </w:t>
      </w:r>
      <w:r w:rsidR="006262DA">
        <w:rPr>
          <w:rFonts w:ascii="Arial" w:hAnsi="Arial" w:cs="Arial"/>
          <w:color w:val="7B7B7B" w:themeColor="accent3" w:themeShade="BF"/>
          <w:sz w:val="22"/>
          <w:szCs w:val="22"/>
        </w:rPr>
        <w:t>court.</w:t>
      </w:r>
      <w:r w:rsidR="006262DA">
        <w:rPr>
          <w:rStyle w:val="FootnoteReference"/>
          <w:rFonts w:ascii="Arial" w:hAnsi="Arial" w:cs="Arial"/>
          <w:color w:val="7B7B7B" w:themeColor="accent3" w:themeShade="BF"/>
          <w:sz w:val="22"/>
          <w:szCs w:val="22"/>
        </w:rPr>
        <w:footnoteReference w:id="61"/>
      </w:r>
      <w:r w:rsidR="00617DF3">
        <w:rPr>
          <w:rFonts w:ascii="Arial" w:hAnsi="Arial" w:cs="Arial"/>
          <w:color w:val="7B7B7B" w:themeColor="accent3" w:themeShade="BF"/>
          <w:sz w:val="22"/>
          <w:szCs w:val="22"/>
        </w:rPr>
        <w:t xml:space="preserve">  For the avoidance of doubt, the power to deal with assets are </w:t>
      </w:r>
      <w:r w:rsidR="007A3657">
        <w:rPr>
          <w:rFonts w:ascii="Arial" w:hAnsi="Arial" w:cs="Arial"/>
          <w:color w:val="7B7B7B" w:themeColor="accent3" w:themeShade="BF"/>
          <w:sz w:val="22"/>
          <w:szCs w:val="22"/>
        </w:rPr>
        <w:t xml:space="preserve">also </w:t>
      </w:r>
      <w:r w:rsidR="00617DF3">
        <w:rPr>
          <w:rFonts w:ascii="Arial" w:hAnsi="Arial" w:cs="Arial"/>
          <w:color w:val="7B7B7B" w:themeColor="accent3" w:themeShade="BF"/>
          <w:sz w:val="22"/>
          <w:szCs w:val="22"/>
        </w:rPr>
        <w:t>available to Hong Kong liquidators.</w:t>
      </w:r>
    </w:p>
    <w:p w14:paraId="49AE392C" w14:textId="77777777" w:rsidR="00624F7F" w:rsidRDefault="00624F7F" w:rsidP="00624F7F">
      <w:pPr>
        <w:jc w:val="both"/>
        <w:rPr>
          <w:rFonts w:ascii="Arial" w:hAnsi="Arial" w:cs="Arial"/>
          <w:b/>
          <w:bCs/>
          <w:color w:val="7B7B7B" w:themeColor="accent3" w:themeShade="BF"/>
          <w:sz w:val="22"/>
          <w:szCs w:val="22"/>
        </w:rPr>
      </w:pPr>
    </w:p>
    <w:p w14:paraId="3BD425A0" w14:textId="77777777" w:rsidR="00624F7F" w:rsidRDefault="00624F7F" w:rsidP="00B811D2">
      <w:pPr>
        <w:keepNext/>
        <w:jc w:val="both"/>
        <w:rPr>
          <w:rFonts w:ascii="Arial" w:hAnsi="Arial" w:cs="Arial"/>
          <w:b/>
          <w:bCs/>
          <w:color w:val="7B7B7B" w:themeColor="accent3" w:themeShade="BF"/>
          <w:sz w:val="22"/>
          <w:szCs w:val="22"/>
        </w:rPr>
      </w:pPr>
      <w:r>
        <w:rPr>
          <w:rFonts w:ascii="Arial" w:hAnsi="Arial" w:cs="Arial"/>
          <w:b/>
          <w:bCs/>
          <w:color w:val="7B7B7B" w:themeColor="accent3" w:themeShade="BF"/>
          <w:sz w:val="22"/>
          <w:szCs w:val="22"/>
        </w:rPr>
        <w:t>Assets in the Mainland</w:t>
      </w:r>
    </w:p>
    <w:p w14:paraId="54B44064" w14:textId="77777777" w:rsidR="00624F7F" w:rsidRDefault="00624F7F" w:rsidP="00B811D2">
      <w:pPr>
        <w:keepNext/>
        <w:jc w:val="both"/>
        <w:rPr>
          <w:rFonts w:ascii="Arial" w:hAnsi="Arial" w:cs="Arial"/>
          <w:b/>
          <w:bCs/>
          <w:color w:val="7B7B7B" w:themeColor="accent3" w:themeShade="BF"/>
          <w:sz w:val="22"/>
          <w:szCs w:val="22"/>
        </w:rPr>
      </w:pPr>
    </w:p>
    <w:p w14:paraId="2AA1EDCB" w14:textId="51E4A564" w:rsidR="00617DF3" w:rsidRDefault="00617DF3" w:rsidP="00B811D2">
      <w:pPr>
        <w:keepNext/>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is an arrangement in place</w:t>
      </w:r>
      <w:r>
        <w:rPr>
          <w:rFonts w:ascii="Arial" w:hAnsi="Arial" w:cs="Arial"/>
          <w:color w:val="7B7B7B" w:themeColor="accent3" w:themeShade="BF"/>
          <w:sz w:val="22"/>
          <w:szCs w:val="22"/>
        </w:rPr>
        <w:t xml:space="preserve"> concerning mutual recognition and assistance between Hong Kong and certain courts of the </w:t>
      </w:r>
      <w:proofErr w:type="gramStart"/>
      <w:r>
        <w:rPr>
          <w:rFonts w:ascii="Arial" w:hAnsi="Arial" w:cs="Arial"/>
          <w:color w:val="7B7B7B" w:themeColor="accent3" w:themeShade="BF"/>
          <w:sz w:val="22"/>
          <w:szCs w:val="22"/>
        </w:rPr>
        <w:t>Mainland</w:t>
      </w:r>
      <w:proofErr w:type="gramEnd"/>
      <w:r>
        <w:rPr>
          <w:rFonts w:ascii="Arial" w:hAnsi="Arial" w:cs="Arial"/>
          <w:color w:val="7B7B7B" w:themeColor="accent3" w:themeShade="BF"/>
          <w:sz w:val="22"/>
          <w:szCs w:val="22"/>
        </w:rPr>
        <w:t xml:space="preserve"> (</w:t>
      </w:r>
      <w:r>
        <w:rPr>
          <w:rFonts w:ascii="Arial" w:hAnsi="Arial" w:cs="Arial"/>
          <w:b/>
          <w:bCs/>
          <w:color w:val="7B7B7B" w:themeColor="accent3" w:themeShade="BF"/>
          <w:sz w:val="22"/>
          <w:szCs w:val="22"/>
        </w:rPr>
        <w:t>“the Cooperation Mechanism”</w:t>
      </w:r>
      <w:r>
        <w:rPr>
          <w:rFonts w:ascii="Arial" w:hAnsi="Arial" w:cs="Arial"/>
          <w:color w:val="7B7B7B" w:themeColor="accent3" w:themeShade="BF"/>
          <w:sz w:val="22"/>
          <w:szCs w:val="22"/>
        </w:rPr>
        <w:t xml:space="preserve">).  The Cooperation Mechanism provides the necessary procedures required by Hong Kong office holders (liquidators and provisional liquidators) to obtain recognition and assistance by the Intermediate People’s Courts in the following three pilot cities in the </w:t>
      </w:r>
      <w:proofErr w:type="gramStart"/>
      <w:r>
        <w:rPr>
          <w:rFonts w:ascii="Arial" w:hAnsi="Arial" w:cs="Arial"/>
          <w:color w:val="7B7B7B" w:themeColor="accent3" w:themeShade="BF"/>
          <w:sz w:val="22"/>
          <w:szCs w:val="22"/>
        </w:rPr>
        <w:t>Mainland</w:t>
      </w:r>
      <w:proofErr w:type="gramEnd"/>
      <w:r>
        <w:rPr>
          <w:rFonts w:ascii="Arial" w:hAnsi="Arial" w:cs="Arial"/>
          <w:color w:val="7B7B7B" w:themeColor="accent3" w:themeShade="BF"/>
          <w:sz w:val="22"/>
          <w:szCs w:val="22"/>
        </w:rPr>
        <w:t>:</w:t>
      </w:r>
      <w:r>
        <w:rPr>
          <w:rStyle w:val="FootnoteReference"/>
          <w:rFonts w:ascii="Arial" w:hAnsi="Arial" w:cs="Arial"/>
          <w:color w:val="7B7B7B" w:themeColor="accent3" w:themeShade="BF"/>
          <w:sz w:val="22"/>
          <w:szCs w:val="22"/>
        </w:rPr>
        <w:footnoteReference w:id="62"/>
      </w:r>
    </w:p>
    <w:p w14:paraId="212C3D3F" w14:textId="77777777" w:rsidR="00617DF3" w:rsidRDefault="00617DF3" w:rsidP="00B811D2">
      <w:pPr>
        <w:keepNext/>
        <w:jc w:val="both"/>
        <w:rPr>
          <w:rFonts w:ascii="Arial" w:hAnsi="Arial" w:cs="Arial"/>
          <w:color w:val="7B7B7B" w:themeColor="accent3" w:themeShade="BF"/>
          <w:sz w:val="22"/>
          <w:szCs w:val="22"/>
        </w:rPr>
      </w:pPr>
    </w:p>
    <w:p w14:paraId="39364BB7" w14:textId="77777777" w:rsidR="00617DF3" w:rsidRDefault="00617DF3" w:rsidP="00B811D2">
      <w:pPr>
        <w:pStyle w:val="ListParagraph"/>
        <w:keepNext/>
        <w:numPr>
          <w:ilvl w:val="0"/>
          <w:numId w:val="49"/>
        </w:numPr>
        <w:jc w:val="both"/>
        <w:rPr>
          <w:rFonts w:ascii="Arial" w:hAnsi="Arial" w:cs="Arial"/>
          <w:color w:val="7B7B7B" w:themeColor="accent3" w:themeShade="BF"/>
          <w:sz w:val="22"/>
          <w:szCs w:val="22"/>
        </w:rPr>
      </w:pPr>
      <w:proofErr w:type="gramStart"/>
      <w:r>
        <w:rPr>
          <w:rFonts w:ascii="Arial" w:hAnsi="Arial" w:cs="Arial"/>
          <w:color w:val="7B7B7B" w:themeColor="accent3" w:themeShade="BF"/>
          <w:sz w:val="22"/>
          <w:szCs w:val="22"/>
        </w:rPr>
        <w:t>Shenzhen;</w:t>
      </w:r>
      <w:proofErr w:type="gramEnd"/>
    </w:p>
    <w:p w14:paraId="73037D4D" w14:textId="77777777" w:rsidR="00617DF3" w:rsidRDefault="00617DF3" w:rsidP="00B811D2">
      <w:pPr>
        <w:pStyle w:val="ListParagraph"/>
        <w:keepNext/>
        <w:numPr>
          <w:ilvl w:val="0"/>
          <w:numId w:val="4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Shanghai; and,</w:t>
      </w:r>
    </w:p>
    <w:p w14:paraId="67EADA4C" w14:textId="77777777" w:rsidR="00617DF3" w:rsidRPr="00427916" w:rsidRDefault="00617DF3" w:rsidP="00617DF3">
      <w:pPr>
        <w:pStyle w:val="ListParagraph"/>
        <w:numPr>
          <w:ilvl w:val="0"/>
          <w:numId w:val="4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Xiamen.</w:t>
      </w:r>
    </w:p>
    <w:p w14:paraId="740C3418" w14:textId="77777777" w:rsidR="00617DF3" w:rsidRDefault="00617DF3" w:rsidP="00617DF3">
      <w:pPr>
        <w:jc w:val="both"/>
        <w:rPr>
          <w:rFonts w:ascii="Arial" w:hAnsi="Arial" w:cs="Arial"/>
          <w:color w:val="7B7B7B" w:themeColor="accent3" w:themeShade="BF"/>
          <w:sz w:val="22"/>
          <w:szCs w:val="22"/>
        </w:rPr>
      </w:pPr>
    </w:p>
    <w:p w14:paraId="13376745" w14:textId="7E33C498" w:rsidR="00617DF3" w:rsidRDefault="002C4CE9" w:rsidP="00617DF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w:t>
      </w:r>
      <w:r w:rsidR="00617DF3">
        <w:rPr>
          <w:rFonts w:ascii="Arial" w:hAnsi="Arial" w:cs="Arial"/>
          <w:color w:val="7B7B7B" w:themeColor="accent3" w:themeShade="BF"/>
          <w:sz w:val="22"/>
          <w:szCs w:val="22"/>
        </w:rPr>
        <w:t xml:space="preserve">he Hong Kong Court will require a letter of request and evidence of the officeholder’s claim against assets held in one of the three pilot areas mentioned above.  Should the Hong Kong </w:t>
      </w:r>
      <w:r w:rsidR="00617DF3">
        <w:rPr>
          <w:rFonts w:ascii="Arial" w:hAnsi="Arial" w:cs="Arial"/>
          <w:color w:val="7B7B7B" w:themeColor="accent3" w:themeShade="BF"/>
          <w:sz w:val="22"/>
          <w:szCs w:val="22"/>
        </w:rPr>
        <w:lastRenderedPageBreak/>
        <w:t>Court agree that one of the three pilot areas is the appropriate jurisdiction to recover a company’s assets, the letter of request is likely to be granted.</w:t>
      </w:r>
      <w:r w:rsidR="00617DF3">
        <w:rPr>
          <w:rStyle w:val="FootnoteReference"/>
          <w:rFonts w:ascii="Arial" w:hAnsi="Arial" w:cs="Arial"/>
          <w:color w:val="7B7B7B" w:themeColor="accent3" w:themeShade="BF"/>
          <w:sz w:val="22"/>
          <w:szCs w:val="22"/>
        </w:rPr>
        <w:footnoteReference w:id="63"/>
      </w:r>
    </w:p>
    <w:p w14:paraId="601566DE" w14:textId="77777777" w:rsidR="00624F7F" w:rsidRDefault="00624F7F" w:rsidP="00624F7F">
      <w:pPr>
        <w:jc w:val="both"/>
        <w:rPr>
          <w:rFonts w:ascii="Arial" w:hAnsi="Arial" w:cs="Arial"/>
          <w:color w:val="7B7B7B" w:themeColor="accent3" w:themeShade="BF"/>
          <w:sz w:val="22"/>
          <w:szCs w:val="22"/>
        </w:rPr>
      </w:pPr>
    </w:p>
    <w:p w14:paraId="3018467D" w14:textId="7B062E36" w:rsidR="00624F7F" w:rsidRDefault="00624F7F" w:rsidP="00624F7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liquidator will have to prove that SPL’s center of main interest (</w:t>
      </w:r>
      <w:r>
        <w:rPr>
          <w:rFonts w:ascii="Arial" w:hAnsi="Arial" w:cs="Arial"/>
          <w:b/>
          <w:bCs/>
          <w:color w:val="7B7B7B" w:themeColor="accent3" w:themeShade="BF"/>
          <w:sz w:val="22"/>
          <w:szCs w:val="22"/>
        </w:rPr>
        <w:t>“COMI”</w:t>
      </w:r>
      <w:r>
        <w:rPr>
          <w:rFonts w:ascii="Arial" w:hAnsi="Arial" w:cs="Arial"/>
          <w:color w:val="7B7B7B" w:themeColor="accent3" w:themeShade="BF"/>
          <w:sz w:val="22"/>
          <w:szCs w:val="22"/>
        </w:rPr>
        <w:t>)</w:t>
      </w:r>
      <w:r>
        <w:rPr>
          <w:rFonts w:ascii="Arial" w:hAnsi="Arial" w:cs="Arial"/>
          <w:b/>
          <w:bCs/>
          <w:color w:val="7B7B7B" w:themeColor="accent3" w:themeShade="BF"/>
          <w:sz w:val="22"/>
          <w:szCs w:val="22"/>
        </w:rPr>
        <w:t xml:space="preserve"> </w:t>
      </w:r>
      <w:r>
        <w:rPr>
          <w:rFonts w:ascii="Arial" w:hAnsi="Arial" w:cs="Arial"/>
          <w:color w:val="7B7B7B" w:themeColor="accent3" w:themeShade="BF"/>
          <w:sz w:val="22"/>
          <w:szCs w:val="22"/>
        </w:rPr>
        <w:t xml:space="preserve">is in Hong Kong.  The COMI generally means the place of incorporation which in this case would be the BVI.  However, other factors are </w:t>
      </w:r>
      <w:r w:rsidR="00940AE5">
        <w:rPr>
          <w:rFonts w:ascii="Arial" w:hAnsi="Arial" w:cs="Arial"/>
          <w:color w:val="7B7B7B" w:themeColor="accent3" w:themeShade="BF"/>
          <w:sz w:val="22"/>
          <w:szCs w:val="22"/>
        </w:rPr>
        <w:t>considered</w:t>
      </w:r>
      <w:r>
        <w:rPr>
          <w:rFonts w:ascii="Arial" w:hAnsi="Arial" w:cs="Arial"/>
          <w:color w:val="7B7B7B" w:themeColor="accent3" w:themeShade="BF"/>
          <w:sz w:val="22"/>
          <w:szCs w:val="22"/>
        </w:rPr>
        <w:t xml:space="preserve"> including the place of principal office and the place of principal business.</w:t>
      </w:r>
      <w:r w:rsidR="0048322C">
        <w:rPr>
          <w:rStyle w:val="FootnoteReference"/>
          <w:rFonts w:ascii="Arial" w:hAnsi="Arial" w:cs="Arial"/>
          <w:color w:val="7B7B7B" w:themeColor="accent3" w:themeShade="BF"/>
          <w:sz w:val="22"/>
          <w:szCs w:val="22"/>
        </w:rPr>
        <w:footnoteReference w:id="64"/>
      </w:r>
      <w:r>
        <w:rPr>
          <w:rFonts w:ascii="Arial" w:hAnsi="Arial" w:cs="Arial"/>
          <w:color w:val="7B7B7B" w:themeColor="accent3" w:themeShade="BF"/>
          <w:sz w:val="22"/>
          <w:szCs w:val="22"/>
        </w:rPr>
        <w:t xml:space="preserve">  The facts of the case mention that SPL’s director, Mr. Zhang, lives in Hong Kong and that SPL’s bookkeeper, Mr. Wong, lives in Hong Kong.  This would suggest that the principal office and/or place of principal business are </w:t>
      </w:r>
      <w:r w:rsidR="007A3657">
        <w:rPr>
          <w:rFonts w:ascii="Arial" w:hAnsi="Arial" w:cs="Arial"/>
          <w:color w:val="7B7B7B" w:themeColor="accent3" w:themeShade="BF"/>
          <w:sz w:val="22"/>
          <w:szCs w:val="22"/>
        </w:rPr>
        <w:t xml:space="preserve">likely </w:t>
      </w:r>
      <w:r>
        <w:rPr>
          <w:rFonts w:ascii="Arial" w:hAnsi="Arial" w:cs="Arial"/>
          <w:color w:val="7B7B7B" w:themeColor="accent3" w:themeShade="BF"/>
          <w:sz w:val="22"/>
          <w:szCs w:val="22"/>
        </w:rPr>
        <w:t>located in Hong Kong.  This may be sufficient to satisfy the court that SPL’s COMI is in fact in Hong Kong.</w:t>
      </w:r>
    </w:p>
    <w:p w14:paraId="005B816F" w14:textId="77777777" w:rsidR="00953E51" w:rsidRDefault="00953E51" w:rsidP="00624F7F">
      <w:pPr>
        <w:jc w:val="both"/>
        <w:rPr>
          <w:rFonts w:ascii="Arial" w:hAnsi="Arial" w:cs="Arial"/>
          <w:color w:val="7B7B7B" w:themeColor="accent3" w:themeShade="BF"/>
          <w:sz w:val="22"/>
          <w:szCs w:val="22"/>
        </w:rPr>
      </w:pPr>
    </w:p>
    <w:p w14:paraId="0D5C4C15" w14:textId="5C16BDA2" w:rsidR="00624F7F" w:rsidRDefault="00953E51" w:rsidP="00624F7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respect of the </w:t>
      </w:r>
      <w:proofErr w:type="gramStart"/>
      <w:r>
        <w:rPr>
          <w:rFonts w:ascii="Arial" w:hAnsi="Arial" w:cs="Arial"/>
          <w:color w:val="7B7B7B" w:themeColor="accent3" w:themeShade="BF"/>
          <w:sz w:val="22"/>
          <w:szCs w:val="22"/>
        </w:rPr>
        <w:t>Mainland</w:t>
      </w:r>
      <w:proofErr w:type="gramEnd"/>
      <w:r>
        <w:rPr>
          <w:rFonts w:ascii="Arial" w:hAnsi="Arial" w:cs="Arial"/>
          <w:color w:val="7B7B7B" w:themeColor="accent3" w:themeShade="BF"/>
          <w:sz w:val="22"/>
          <w:szCs w:val="22"/>
        </w:rPr>
        <w:t>, if SPL’s principal assets are in in one of the pilot areas, the Hong Kong officeholder may apply for recognition of and assistance in that pilot area through the Cooperation Mechanism.</w:t>
      </w:r>
      <w:r w:rsidR="000C0018">
        <w:rPr>
          <w:rFonts w:ascii="Arial" w:hAnsi="Arial" w:cs="Arial"/>
          <w:color w:val="7B7B7B" w:themeColor="accent3" w:themeShade="BF"/>
          <w:sz w:val="22"/>
          <w:szCs w:val="22"/>
        </w:rPr>
        <w:t xml:space="preserve">  </w:t>
      </w:r>
      <w:r w:rsidR="00624F7F">
        <w:rPr>
          <w:rFonts w:ascii="Arial" w:hAnsi="Arial" w:cs="Arial"/>
          <w:color w:val="7B7B7B" w:themeColor="accent3" w:themeShade="BF"/>
          <w:sz w:val="22"/>
          <w:szCs w:val="22"/>
        </w:rPr>
        <w:t xml:space="preserve">In this case, it is not yet clear where in the </w:t>
      </w:r>
      <w:proofErr w:type="gramStart"/>
      <w:r w:rsidR="00624F7F">
        <w:rPr>
          <w:rFonts w:ascii="Arial" w:hAnsi="Arial" w:cs="Arial"/>
          <w:color w:val="7B7B7B" w:themeColor="accent3" w:themeShade="BF"/>
          <w:sz w:val="22"/>
          <w:szCs w:val="22"/>
        </w:rPr>
        <w:t>Mainland</w:t>
      </w:r>
      <w:proofErr w:type="gramEnd"/>
      <w:r w:rsidR="00624F7F">
        <w:rPr>
          <w:rFonts w:ascii="Arial" w:hAnsi="Arial" w:cs="Arial"/>
          <w:color w:val="7B7B7B" w:themeColor="accent3" w:themeShade="BF"/>
          <w:sz w:val="22"/>
          <w:szCs w:val="22"/>
        </w:rPr>
        <w:t xml:space="preserve"> the assets are located.  Further investigations in this regard will have to be conducted</w:t>
      </w:r>
      <w:r w:rsidR="000C0018">
        <w:rPr>
          <w:rFonts w:ascii="Arial" w:hAnsi="Arial" w:cs="Arial"/>
          <w:color w:val="7B7B7B" w:themeColor="accent3" w:themeShade="BF"/>
          <w:sz w:val="22"/>
          <w:szCs w:val="22"/>
        </w:rPr>
        <w:t>.</w:t>
      </w: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DAE75" w14:textId="77777777" w:rsidR="0075293F" w:rsidRDefault="0075293F" w:rsidP="00241B44">
      <w:r>
        <w:separator/>
      </w:r>
    </w:p>
  </w:endnote>
  <w:endnote w:type="continuationSeparator" w:id="0">
    <w:p w14:paraId="6DBA7AD2" w14:textId="77777777" w:rsidR="0075293F" w:rsidRDefault="0075293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2EE61F2E" w:rsidR="00241FA3" w:rsidRDefault="004711FA" w:rsidP="009B4976">
    <w:pPr>
      <w:pStyle w:val="Footer"/>
      <w:ind w:right="360"/>
      <w:rPr>
        <w:rFonts w:ascii="Arial" w:hAnsi="Arial" w:cs="Arial"/>
        <w:sz w:val="18"/>
        <w:szCs w:val="18"/>
        <w:lang w:val="en-GB"/>
      </w:rPr>
    </w:pPr>
    <w:r>
      <w:rPr>
        <w:rFonts w:ascii="Arial" w:hAnsi="Arial" w:cs="Arial"/>
        <w:sz w:val="18"/>
        <w:szCs w:val="18"/>
        <w:lang w:val="en-GB"/>
      </w:rPr>
      <w:t>202122-518</w:t>
    </w:r>
    <w:r w:rsidR="0073158B" w:rsidRPr="009B4976">
      <w:rPr>
        <w:rFonts w:ascii="Arial" w:hAnsi="Arial" w:cs="Arial"/>
        <w:sz w:val="18"/>
        <w:szCs w:val="18"/>
        <w:lang w:val="en-GB"/>
      </w:rPr>
      <w:t>.assessment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C250D" w14:textId="77777777" w:rsidR="0075293F" w:rsidRDefault="0075293F" w:rsidP="00241B44">
      <w:r>
        <w:separator/>
      </w:r>
    </w:p>
  </w:footnote>
  <w:footnote w:type="continuationSeparator" w:id="0">
    <w:p w14:paraId="29E0613D" w14:textId="77777777" w:rsidR="0075293F" w:rsidRDefault="0075293F" w:rsidP="00241B44">
      <w:r>
        <w:continuationSeparator/>
      </w:r>
    </w:p>
  </w:footnote>
  <w:footnote w:id="1">
    <w:p w14:paraId="12A6B73B" w14:textId="02D2B0D3" w:rsidR="008C5C97" w:rsidRDefault="008C5C97">
      <w:pPr>
        <w:pStyle w:val="FootnoteText"/>
      </w:pPr>
      <w:r>
        <w:rPr>
          <w:rStyle w:val="FootnoteReference"/>
        </w:rPr>
        <w:footnoteRef/>
      </w:r>
      <w:r>
        <w:t xml:space="preserve"> </w:t>
      </w:r>
      <w:r w:rsidR="00325301">
        <w:t xml:space="preserve">The Bankruptcy Ordinance (Cap 6), Section 4. </w:t>
      </w:r>
    </w:p>
  </w:footnote>
  <w:footnote w:id="2">
    <w:p w14:paraId="5D973872" w14:textId="7EFF33D9" w:rsidR="00B027B4" w:rsidRDefault="00B027B4">
      <w:pPr>
        <w:pStyle w:val="FootnoteText"/>
      </w:pPr>
      <w:r>
        <w:rPr>
          <w:rStyle w:val="FootnoteReference"/>
        </w:rPr>
        <w:footnoteRef/>
      </w:r>
      <w:r>
        <w:t xml:space="preserve"> </w:t>
      </w:r>
      <w:r w:rsidR="002C00B4">
        <w:t xml:space="preserve">Norridge, Richard, Whitehead, Damien, </w:t>
      </w:r>
      <w:proofErr w:type="spellStart"/>
      <w:r w:rsidR="002C00B4">
        <w:t>Copeman</w:t>
      </w:r>
      <w:proofErr w:type="spellEnd"/>
      <w:r w:rsidR="002C00B4">
        <w:t xml:space="preserve">, Julian, Thomas, Gareth, </w:t>
      </w:r>
      <w:r w:rsidR="008E7073">
        <w:t xml:space="preserve">and </w:t>
      </w:r>
      <w:r w:rsidR="002C00B4">
        <w:t>Geiser, Dominic</w:t>
      </w:r>
      <w:r>
        <w:t>, “</w:t>
      </w:r>
      <w:r w:rsidR="008E7073" w:rsidRPr="008E7073">
        <w:rPr>
          <w:i/>
          <w:iCs/>
        </w:rPr>
        <w:t>Hong Kong Court of Final Appeal clarifies the law in respect of shareholders’ petitions to wind up foreign companies on just and equitable grounds</w:t>
      </w:r>
      <w:r>
        <w:t xml:space="preserve">”, at </w:t>
      </w:r>
      <w:hyperlink r:id="rId1" w:history="1">
        <w:r w:rsidR="008E7073" w:rsidRPr="00DD7634">
          <w:rPr>
            <w:rStyle w:val="Hyperlink"/>
          </w:rPr>
          <w:t>https://hsfnotes.com/asiadisputes/2015/11/12/hong-kong-court-of-final-appeal-clarifies-the-law-in-respect-of-shareholders-petitions-to-wind-up-foreign-companies-on-just-and-equitable-grounds/</w:t>
        </w:r>
      </w:hyperlink>
      <w:r>
        <w:t xml:space="preserve">, accessed </w:t>
      </w:r>
      <w:r w:rsidR="008E7073">
        <w:t>12 May 2022.</w:t>
      </w:r>
    </w:p>
  </w:footnote>
  <w:footnote w:id="3">
    <w:p w14:paraId="41D9AE70" w14:textId="12B8FD20" w:rsidR="006835FF" w:rsidRDefault="006835FF">
      <w:pPr>
        <w:pStyle w:val="FootnoteText"/>
      </w:pPr>
      <w:r>
        <w:rPr>
          <w:rStyle w:val="FootnoteReference"/>
        </w:rPr>
        <w:footnoteRef/>
      </w:r>
      <w:r>
        <w:t xml:space="preserve"> The Companies (Winding Up and Miscellaneous Provisions) Ordinance, Section 193(1). </w:t>
      </w:r>
    </w:p>
  </w:footnote>
  <w:footnote w:id="4">
    <w:p w14:paraId="097D3072" w14:textId="682E9C98" w:rsidR="00E449C0" w:rsidRDefault="00E449C0">
      <w:pPr>
        <w:pStyle w:val="FootnoteText"/>
      </w:pPr>
      <w:r>
        <w:rPr>
          <w:rStyle w:val="FootnoteReference"/>
        </w:rPr>
        <w:footnoteRef/>
      </w:r>
      <w:r>
        <w:t xml:space="preserve"> Lam, Howard, Innes, Flora and Wong, Jeffrey, “</w:t>
      </w:r>
      <w:r>
        <w:rPr>
          <w:i/>
          <w:iCs/>
        </w:rPr>
        <w:t>Restructuring and Insolvency in Hong Kong</w:t>
      </w:r>
      <w:r>
        <w:t xml:space="preserve">”, at </w:t>
      </w:r>
      <w:hyperlink r:id="rId2" w:history="1">
        <w:r w:rsidR="009B5D5A" w:rsidRPr="001258F9">
          <w:rPr>
            <w:rStyle w:val="Hyperlink"/>
          </w:rPr>
          <w:t>https://www.lw.com/thoughtLeadership/ALB-asia-insolvency-restructuring-handbook-hong-kong-2020#:~:text=A%20provisional%20liquidator%20may%20also,winding%2Dup%20order%20is%20made.</w:t>
        </w:r>
      </w:hyperlink>
      <w:r>
        <w:t>, accessed 14 May 2022.</w:t>
      </w:r>
    </w:p>
  </w:footnote>
  <w:footnote w:id="5">
    <w:p w14:paraId="5C229950" w14:textId="50A2561A" w:rsidR="002E46A1" w:rsidRDefault="002E46A1">
      <w:pPr>
        <w:pStyle w:val="FootnoteText"/>
      </w:pPr>
      <w:r>
        <w:rPr>
          <w:rStyle w:val="FootnoteReference"/>
        </w:rPr>
        <w:footnoteRef/>
      </w:r>
      <w:r>
        <w:t xml:space="preserve"> Ng, Ludwig and Woo, Eric, “</w:t>
      </w:r>
      <w:r w:rsidRPr="002E46A1">
        <w:rPr>
          <w:i/>
          <w:iCs/>
        </w:rPr>
        <w:t>Did Ad Valorem Fee Have to be Paid on Assets Realized by Provisional Liquidators in Compulsory Liquidation which is Converted into Creditor's Voluntary Liquidation?</w:t>
      </w:r>
      <w:r>
        <w:t xml:space="preserve">”, at </w:t>
      </w:r>
      <w:hyperlink r:id="rId3" w:history="1">
        <w:r w:rsidR="009E2E15" w:rsidRPr="00425A06">
          <w:rPr>
            <w:rStyle w:val="Hyperlink"/>
          </w:rPr>
          <w:t>https://www.onc.hk/en_US/publication/did-ad-valorem-fee-have-to-be-paid-on-assets-realized-by-provisional-liquidators-in-compulsory-liquidation-which-is-converted-into-creditor-s-voluntary-liquidation?category=22&amp;page=8</w:t>
        </w:r>
      </w:hyperlink>
      <w:r w:rsidR="009E2E15">
        <w:t xml:space="preserve">, </w:t>
      </w:r>
      <w:r>
        <w:t>accessed 14 May 2022.</w:t>
      </w:r>
    </w:p>
  </w:footnote>
  <w:footnote w:id="6">
    <w:p w14:paraId="0F243ECF" w14:textId="035832AD" w:rsidR="009E2E15" w:rsidRDefault="009E2E15">
      <w:pPr>
        <w:pStyle w:val="FootnoteText"/>
      </w:pPr>
      <w:r>
        <w:rPr>
          <w:rStyle w:val="FootnoteReference"/>
        </w:rPr>
        <w:footnoteRef/>
      </w:r>
      <w:r>
        <w:t xml:space="preserve"> Lam, Howard, Innes, Flora and Wong, Jeffrey, “</w:t>
      </w:r>
      <w:r>
        <w:rPr>
          <w:i/>
          <w:iCs/>
        </w:rPr>
        <w:t>Restructuring and Insolvency in Hong Kong</w:t>
      </w:r>
      <w:r>
        <w:t xml:space="preserve">”, at </w:t>
      </w:r>
      <w:hyperlink r:id="rId4" w:anchor=":~:text=A%20provisional%20liquidator%20may%20also,winding%2Dup%20order%20is%20made." w:history="1">
        <w:r>
          <w:rPr>
            <w:rStyle w:val="Hyperlink"/>
          </w:rPr>
          <w:t>https://www.lw.com/thoughtLeadership/ALB-asia-insolvency-restructuring-handbook-hong-kong-2020#:~:text=A%20provisional%20liquidator%20may%20also,winding%2Dup%20order%20is%20made.</w:t>
        </w:r>
      </w:hyperlink>
      <w:r>
        <w:t>, accessed 14 May 2022.</w:t>
      </w:r>
    </w:p>
  </w:footnote>
  <w:footnote w:id="7">
    <w:p w14:paraId="4DFFE8A5" w14:textId="21883A0F" w:rsidR="00A54572" w:rsidRDefault="00A54572">
      <w:pPr>
        <w:pStyle w:val="FootnoteText"/>
      </w:pPr>
      <w:r>
        <w:rPr>
          <w:rStyle w:val="FootnoteReference"/>
        </w:rPr>
        <w:footnoteRef/>
      </w:r>
      <w:r>
        <w:t xml:space="preserve"> The Companies (Winding Up and Miscellaneous Provisions) Ordinance, </w:t>
      </w:r>
      <w:r w:rsidR="004E1679">
        <w:t xml:space="preserve">s </w:t>
      </w:r>
      <w:r>
        <w:t xml:space="preserve">193(3). </w:t>
      </w:r>
    </w:p>
  </w:footnote>
  <w:footnote w:id="8">
    <w:p w14:paraId="3FDABD2C" w14:textId="3FF02093" w:rsidR="004F7E2E" w:rsidRPr="004F7E2E" w:rsidRDefault="004F7E2E">
      <w:pPr>
        <w:pStyle w:val="FootnoteText"/>
      </w:pPr>
      <w:r>
        <w:rPr>
          <w:rStyle w:val="FootnoteReference"/>
        </w:rPr>
        <w:footnoteRef/>
      </w:r>
      <w:r>
        <w:t xml:space="preserve"> </w:t>
      </w:r>
      <w:r>
        <w:rPr>
          <w:i/>
          <w:iCs/>
        </w:rPr>
        <w:t>Idem</w:t>
      </w:r>
      <w:r>
        <w:t>, s 266.</w:t>
      </w:r>
    </w:p>
  </w:footnote>
  <w:footnote w:id="9">
    <w:p w14:paraId="102DE43E" w14:textId="15D614F4" w:rsidR="00C84389" w:rsidRPr="00C84389" w:rsidRDefault="00C84389">
      <w:pPr>
        <w:pStyle w:val="FootnoteText"/>
      </w:pPr>
      <w:r>
        <w:rPr>
          <w:rStyle w:val="FootnoteReference"/>
        </w:rPr>
        <w:footnoteRef/>
      </w:r>
      <w:r>
        <w:t xml:space="preserve"> </w:t>
      </w:r>
      <w:r>
        <w:rPr>
          <w:i/>
          <w:iCs/>
        </w:rPr>
        <w:t>Idem</w:t>
      </w:r>
      <w:r>
        <w:t>, s 266</w:t>
      </w:r>
      <w:proofErr w:type="gramStart"/>
      <w:r>
        <w:t>A(</w:t>
      </w:r>
      <w:proofErr w:type="gramEnd"/>
      <w:r>
        <w:t>1).</w:t>
      </w:r>
    </w:p>
  </w:footnote>
  <w:footnote w:id="10">
    <w:p w14:paraId="197ABEFB" w14:textId="3F137228" w:rsidR="00364FC3" w:rsidRPr="00364FC3" w:rsidRDefault="00364FC3">
      <w:pPr>
        <w:pStyle w:val="FootnoteText"/>
      </w:pPr>
      <w:r>
        <w:rPr>
          <w:rStyle w:val="FootnoteReference"/>
        </w:rPr>
        <w:footnoteRef/>
      </w:r>
      <w:r>
        <w:t xml:space="preserve"> </w:t>
      </w:r>
      <w:r>
        <w:rPr>
          <w:i/>
          <w:iCs/>
        </w:rPr>
        <w:t>Idem</w:t>
      </w:r>
      <w:r>
        <w:t>, s 266</w:t>
      </w:r>
      <w:proofErr w:type="gramStart"/>
      <w:r>
        <w:t>B(</w:t>
      </w:r>
      <w:proofErr w:type="gramEnd"/>
      <w:r>
        <w:t>1).</w:t>
      </w:r>
    </w:p>
  </w:footnote>
  <w:footnote w:id="11">
    <w:p w14:paraId="74B4E1B6" w14:textId="7A259381" w:rsidR="00D441F0" w:rsidRPr="00D441F0" w:rsidRDefault="00D441F0">
      <w:pPr>
        <w:pStyle w:val="FootnoteText"/>
      </w:pPr>
      <w:r>
        <w:rPr>
          <w:rStyle w:val="FootnoteReference"/>
        </w:rPr>
        <w:footnoteRef/>
      </w:r>
      <w:r>
        <w:t xml:space="preserve"> </w:t>
      </w:r>
      <w:r>
        <w:rPr>
          <w:i/>
          <w:iCs/>
        </w:rPr>
        <w:t>Idem</w:t>
      </w:r>
      <w:r>
        <w:t>, s266</w:t>
      </w:r>
      <w:proofErr w:type="gramStart"/>
      <w:r>
        <w:t>B(</w:t>
      </w:r>
      <w:proofErr w:type="gramEnd"/>
      <w:r>
        <w:t>2).</w:t>
      </w:r>
    </w:p>
  </w:footnote>
  <w:footnote w:id="12">
    <w:p w14:paraId="77C7BE9E" w14:textId="7351A6AD" w:rsidR="003818B8" w:rsidRPr="003818B8" w:rsidRDefault="003818B8">
      <w:pPr>
        <w:pStyle w:val="FootnoteText"/>
      </w:pPr>
      <w:r>
        <w:rPr>
          <w:rStyle w:val="FootnoteReference"/>
        </w:rPr>
        <w:footnoteRef/>
      </w:r>
      <w:r>
        <w:t xml:space="preserve"> </w:t>
      </w:r>
      <w:r>
        <w:rPr>
          <w:i/>
          <w:iCs/>
        </w:rPr>
        <w:t>Idem</w:t>
      </w:r>
      <w:r>
        <w:t>, s266(4).</w:t>
      </w:r>
    </w:p>
  </w:footnote>
  <w:footnote w:id="13">
    <w:p w14:paraId="2EA4BCF7" w14:textId="23E34145" w:rsidR="00324939" w:rsidRPr="00324939" w:rsidRDefault="00324939">
      <w:pPr>
        <w:pStyle w:val="FootnoteText"/>
      </w:pPr>
      <w:r>
        <w:rPr>
          <w:rStyle w:val="FootnoteReference"/>
        </w:rPr>
        <w:footnoteRef/>
      </w:r>
      <w:r>
        <w:t xml:space="preserve"> </w:t>
      </w:r>
      <w:r>
        <w:rPr>
          <w:i/>
          <w:iCs/>
        </w:rPr>
        <w:t>Idem</w:t>
      </w:r>
      <w:r>
        <w:t>, s266(5).</w:t>
      </w:r>
    </w:p>
  </w:footnote>
  <w:footnote w:id="14">
    <w:p w14:paraId="764FDF0F" w14:textId="45BBC135" w:rsidR="00427916" w:rsidRPr="00427916" w:rsidRDefault="00427916">
      <w:pPr>
        <w:pStyle w:val="FootnoteText"/>
      </w:pPr>
      <w:r>
        <w:rPr>
          <w:rStyle w:val="FootnoteReference"/>
        </w:rPr>
        <w:footnoteRef/>
      </w:r>
      <w:r>
        <w:t xml:space="preserve"> Hudson, Richard and Wu, Judy, “</w:t>
      </w:r>
      <w:r w:rsidR="00385973" w:rsidRPr="00385973">
        <w:rPr>
          <w:i/>
          <w:iCs/>
        </w:rPr>
        <w:t>Milestone in Hong Kong-Mainland China cross border insolvency: Mutual recognition of and assistance to insolvency proceedings between Hong Kong and Mainland China</w:t>
      </w:r>
      <w:r>
        <w:t xml:space="preserve">”, </w:t>
      </w:r>
      <w:r w:rsidR="003D26E9">
        <w:t xml:space="preserve">at </w:t>
      </w:r>
      <w:hyperlink r:id="rId5" w:history="1">
        <w:r w:rsidR="007034ED" w:rsidRPr="001258F9">
          <w:rPr>
            <w:rStyle w:val="Hyperlink"/>
          </w:rPr>
          <w:t>https://www.deacons.com/2021/05/31/milestone-in-hong-kong-mainland-china-cross-border-insolvency-mutual-recognition-of-and-assistance-to-insolvency-proceedings-between-hong-kong-and-mainland-china/</w:t>
        </w:r>
      </w:hyperlink>
      <w:r w:rsidR="003D26E9">
        <w:t>,</w:t>
      </w:r>
      <w:r w:rsidR="007034ED">
        <w:t xml:space="preserve"> </w:t>
      </w:r>
      <w:r w:rsidR="003D26E9">
        <w:t xml:space="preserve">accessed </w:t>
      </w:r>
      <w:r w:rsidR="00036131">
        <w:t>30 June</w:t>
      </w:r>
      <w:r w:rsidR="003D26E9">
        <w:t xml:space="preserve"> 2022.</w:t>
      </w:r>
    </w:p>
  </w:footnote>
  <w:footnote w:id="15">
    <w:p w14:paraId="1FBC5DFB" w14:textId="1445C97B" w:rsidR="007034ED" w:rsidRPr="007034ED" w:rsidRDefault="007034ED">
      <w:pPr>
        <w:pStyle w:val="FootnoteText"/>
      </w:pPr>
      <w:r>
        <w:rPr>
          <w:rStyle w:val="FootnoteReference"/>
        </w:rPr>
        <w:footnoteRef/>
      </w:r>
      <w:r>
        <w:t xml:space="preserve"> </w:t>
      </w:r>
      <w:r>
        <w:rPr>
          <w:i/>
          <w:iCs/>
        </w:rPr>
        <w:t>Ibid</w:t>
      </w:r>
      <w:r>
        <w:t>.</w:t>
      </w:r>
    </w:p>
  </w:footnote>
  <w:footnote w:id="16">
    <w:p w14:paraId="35C8DC63" w14:textId="60A01425" w:rsidR="005410B2" w:rsidRPr="005410B2" w:rsidRDefault="005410B2">
      <w:pPr>
        <w:pStyle w:val="FootnoteText"/>
      </w:pPr>
      <w:r>
        <w:rPr>
          <w:rStyle w:val="FootnoteReference"/>
        </w:rPr>
        <w:footnoteRef/>
      </w:r>
      <w:r>
        <w:t xml:space="preserve"> </w:t>
      </w:r>
      <w:r>
        <w:rPr>
          <w:i/>
          <w:iCs/>
        </w:rPr>
        <w:t>Ibid</w:t>
      </w:r>
      <w:r>
        <w:t>.</w:t>
      </w:r>
    </w:p>
  </w:footnote>
  <w:footnote w:id="17">
    <w:p w14:paraId="765D628B" w14:textId="108F29E0" w:rsidR="00763DD7" w:rsidRPr="00800770" w:rsidRDefault="00763DD7">
      <w:pPr>
        <w:pStyle w:val="FootnoteText"/>
      </w:pPr>
      <w:r>
        <w:rPr>
          <w:rStyle w:val="FootnoteReference"/>
        </w:rPr>
        <w:footnoteRef/>
      </w:r>
      <w:r>
        <w:t xml:space="preserve"> Hudson, Richard, “</w:t>
      </w:r>
      <w:r w:rsidR="00800770" w:rsidRPr="00800770">
        <w:rPr>
          <w:i/>
          <w:iCs/>
        </w:rPr>
        <w:t>Hong Kong’s first application for recognition of and assistance to liquidators in Mainland China</w:t>
      </w:r>
      <w:r w:rsidR="00800770">
        <w:t xml:space="preserve">”, at </w:t>
      </w:r>
      <w:hyperlink r:id="rId6" w:history="1">
        <w:r w:rsidR="00800770" w:rsidRPr="001258F9">
          <w:rPr>
            <w:rStyle w:val="Hyperlink"/>
          </w:rPr>
          <w:t>https://www.deacons.com/2021/08/04/hong-kongs-first-application-for-recognition-of-and-assistance-to-liquidators-in-mainland-china/</w:t>
        </w:r>
      </w:hyperlink>
      <w:r w:rsidR="00800770">
        <w:t>, accessed 30 June 2022.</w:t>
      </w:r>
    </w:p>
  </w:footnote>
  <w:footnote w:id="18">
    <w:p w14:paraId="5776BF83" w14:textId="51AFFBC0" w:rsidR="008558D6" w:rsidRDefault="008558D6">
      <w:pPr>
        <w:pStyle w:val="FootnoteText"/>
      </w:pPr>
      <w:r>
        <w:rPr>
          <w:rStyle w:val="FootnoteReference"/>
        </w:rPr>
        <w:footnoteRef/>
      </w:r>
      <w:r>
        <w:t xml:space="preserve"> Companies Ordinance, </w:t>
      </w:r>
      <w:r w:rsidR="004E1679">
        <w:t>s 669.</w:t>
      </w:r>
    </w:p>
  </w:footnote>
  <w:footnote w:id="19">
    <w:p w14:paraId="7F9D090A" w14:textId="2DE1E1FC" w:rsidR="003636CF" w:rsidRPr="003636CF" w:rsidRDefault="003636CF">
      <w:pPr>
        <w:pStyle w:val="FootnoteText"/>
      </w:pPr>
      <w:r>
        <w:rPr>
          <w:rStyle w:val="FootnoteReference"/>
        </w:rPr>
        <w:footnoteRef/>
      </w:r>
      <w:r>
        <w:t xml:space="preserve"> </w:t>
      </w:r>
      <w:r>
        <w:rPr>
          <w:i/>
          <w:iCs/>
        </w:rPr>
        <w:t>Idem</w:t>
      </w:r>
      <w:r>
        <w:t>, s 668(1).</w:t>
      </w:r>
    </w:p>
  </w:footnote>
  <w:footnote w:id="20">
    <w:p w14:paraId="35A12D5C" w14:textId="2FA8686F" w:rsidR="00290F1A" w:rsidRPr="00ED5445" w:rsidRDefault="00290F1A">
      <w:pPr>
        <w:pStyle w:val="FootnoteText"/>
      </w:pPr>
      <w:r>
        <w:rPr>
          <w:rStyle w:val="FootnoteReference"/>
        </w:rPr>
        <w:footnoteRef/>
      </w:r>
      <w:r>
        <w:t xml:space="preserve"> </w:t>
      </w:r>
      <w:r w:rsidR="00ED5445">
        <w:rPr>
          <w:i/>
          <w:iCs/>
        </w:rPr>
        <w:t>Idem</w:t>
      </w:r>
      <w:r w:rsidR="00ED5445">
        <w:t>, s 674.</w:t>
      </w:r>
    </w:p>
  </w:footnote>
  <w:footnote w:id="21">
    <w:p w14:paraId="437CEAEA" w14:textId="77777777" w:rsidR="00AC2213" w:rsidRPr="008D0B4D" w:rsidRDefault="00AC2213" w:rsidP="00AC2213">
      <w:pPr>
        <w:pStyle w:val="FootnoteText"/>
      </w:pPr>
      <w:r>
        <w:rPr>
          <w:rStyle w:val="FootnoteReference"/>
        </w:rPr>
        <w:footnoteRef/>
      </w:r>
      <w:r>
        <w:t xml:space="preserve"> </w:t>
      </w:r>
      <w:r>
        <w:rPr>
          <w:i/>
          <w:iCs/>
        </w:rPr>
        <w:t>Idem</w:t>
      </w:r>
      <w:r>
        <w:t>, s 673.</w:t>
      </w:r>
    </w:p>
  </w:footnote>
  <w:footnote w:id="22">
    <w:p w14:paraId="372AB9CE" w14:textId="1F45688B" w:rsidR="004914D1" w:rsidRDefault="004914D1">
      <w:pPr>
        <w:pStyle w:val="FootnoteText"/>
      </w:pPr>
      <w:r>
        <w:rPr>
          <w:rStyle w:val="FootnoteReference"/>
        </w:rPr>
        <w:footnoteRef/>
      </w:r>
      <w:r>
        <w:t xml:space="preserve"> </w:t>
      </w:r>
      <w:proofErr w:type="spellStart"/>
      <w:r w:rsidR="00FD0D9D">
        <w:t>Darton</w:t>
      </w:r>
      <w:proofErr w:type="spellEnd"/>
      <w:r w:rsidR="00FD0D9D">
        <w:t>, Robin</w:t>
      </w:r>
      <w:r>
        <w:t xml:space="preserve">, </w:t>
      </w:r>
      <w:r>
        <w:rPr>
          <w:i/>
          <w:iCs/>
        </w:rPr>
        <w:t xml:space="preserve">Module </w:t>
      </w:r>
      <w:r w:rsidR="00FD0D9D">
        <w:rPr>
          <w:i/>
          <w:iCs/>
        </w:rPr>
        <w:t>8C Guidance Text: Hong Kong</w:t>
      </w:r>
      <w:r>
        <w:t>, INSOL International (2021), p</w:t>
      </w:r>
      <w:r w:rsidR="007A38A1">
        <w:t xml:space="preserve"> 37</w:t>
      </w:r>
      <w:r>
        <w:t>.</w:t>
      </w:r>
    </w:p>
  </w:footnote>
  <w:footnote w:id="23">
    <w:p w14:paraId="73E5DDB8" w14:textId="6AA24591" w:rsidR="003B43F5" w:rsidRDefault="003B43F5">
      <w:pPr>
        <w:pStyle w:val="FootnoteText"/>
      </w:pPr>
      <w:r>
        <w:rPr>
          <w:rStyle w:val="FootnoteReference"/>
        </w:rPr>
        <w:footnoteRef/>
      </w:r>
      <w:r>
        <w:t xml:space="preserve"> Companies (Winding Up and Miscellaneous Provisions) Ordinance, s 228(1)(b).</w:t>
      </w:r>
    </w:p>
  </w:footnote>
  <w:footnote w:id="24">
    <w:p w14:paraId="52A8DB42" w14:textId="548F398A" w:rsidR="00A94314" w:rsidRPr="00A94314" w:rsidRDefault="00A94314">
      <w:pPr>
        <w:pStyle w:val="FootnoteText"/>
      </w:pPr>
      <w:r>
        <w:rPr>
          <w:rStyle w:val="FootnoteReference"/>
        </w:rPr>
        <w:footnoteRef/>
      </w:r>
      <w:r>
        <w:t xml:space="preserve"> </w:t>
      </w:r>
      <w:r>
        <w:rPr>
          <w:i/>
          <w:iCs/>
        </w:rPr>
        <w:t xml:space="preserve">Idem, </w:t>
      </w:r>
      <w:r>
        <w:t>s 233(4).</w:t>
      </w:r>
    </w:p>
  </w:footnote>
  <w:footnote w:id="25">
    <w:p w14:paraId="0DC9A9E8" w14:textId="03561A09" w:rsidR="00B352E3" w:rsidRDefault="00B352E3">
      <w:pPr>
        <w:pStyle w:val="FootnoteText"/>
      </w:pPr>
      <w:r>
        <w:rPr>
          <w:rStyle w:val="FootnoteReference"/>
        </w:rPr>
        <w:footnoteRef/>
      </w:r>
      <w:r>
        <w:t xml:space="preserve"> Companies Ordinance, s 564(1).</w:t>
      </w:r>
    </w:p>
  </w:footnote>
  <w:footnote w:id="26">
    <w:p w14:paraId="405A3BC4" w14:textId="10912E21" w:rsidR="00D61F95" w:rsidRDefault="00D61F95">
      <w:pPr>
        <w:pStyle w:val="FootnoteText"/>
      </w:pPr>
      <w:r>
        <w:rPr>
          <w:rStyle w:val="FootnoteReference"/>
        </w:rPr>
        <w:footnoteRef/>
      </w:r>
      <w:r>
        <w:t xml:space="preserve"> Companies (Winding Up and Miscellaneous Provisions) Ordinance, s 230.</w:t>
      </w:r>
    </w:p>
  </w:footnote>
  <w:footnote w:id="27">
    <w:p w14:paraId="431518DD" w14:textId="578B8305" w:rsidR="004C6AAE" w:rsidRPr="004C6AAE" w:rsidRDefault="004C6AAE">
      <w:pPr>
        <w:pStyle w:val="FootnoteText"/>
      </w:pPr>
      <w:r>
        <w:rPr>
          <w:rStyle w:val="FootnoteReference"/>
        </w:rPr>
        <w:footnoteRef/>
      </w:r>
      <w:r>
        <w:t xml:space="preserve"> </w:t>
      </w:r>
      <w:r>
        <w:rPr>
          <w:i/>
          <w:iCs/>
        </w:rPr>
        <w:t>Idem</w:t>
      </w:r>
      <w:r>
        <w:t>, s 243</w:t>
      </w:r>
      <w:proofErr w:type="gramStart"/>
      <w:r>
        <w:t>A(</w:t>
      </w:r>
      <w:proofErr w:type="gramEnd"/>
      <w:r>
        <w:t>1).</w:t>
      </w:r>
    </w:p>
  </w:footnote>
  <w:footnote w:id="28">
    <w:p w14:paraId="36A31624" w14:textId="01C7B0C3" w:rsidR="00E16F03" w:rsidRPr="00E16F03" w:rsidRDefault="00E16F03">
      <w:pPr>
        <w:pStyle w:val="FootnoteText"/>
      </w:pPr>
      <w:r>
        <w:rPr>
          <w:rStyle w:val="FootnoteReference"/>
        </w:rPr>
        <w:footnoteRef/>
      </w:r>
      <w:r>
        <w:t xml:space="preserve"> </w:t>
      </w:r>
      <w:r>
        <w:rPr>
          <w:i/>
          <w:iCs/>
        </w:rPr>
        <w:t>Idem</w:t>
      </w:r>
      <w:r>
        <w:t>, s 250</w:t>
      </w:r>
      <w:proofErr w:type="gramStart"/>
      <w:r>
        <w:t>A(</w:t>
      </w:r>
      <w:proofErr w:type="gramEnd"/>
      <w:r>
        <w:t>3).</w:t>
      </w:r>
    </w:p>
  </w:footnote>
  <w:footnote w:id="29">
    <w:p w14:paraId="23600287" w14:textId="2D1B4C45" w:rsidR="00764352" w:rsidRDefault="00764352">
      <w:pPr>
        <w:pStyle w:val="FootnoteText"/>
      </w:pPr>
      <w:r>
        <w:rPr>
          <w:rStyle w:val="FootnoteReference"/>
        </w:rPr>
        <w:footnoteRef/>
      </w:r>
      <w:r>
        <w:t xml:space="preserve"> </w:t>
      </w:r>
      <w:proofErr w:type="spellStart"/>
      <w:r>
        <w:t>Darton</w:t>
      </w:r>
      <w:proofErr w:type="spellEnd"/>
      <w:r>
        <w:t xml:space="preserve">, Robin, </w:t>
      </w:r>
      <w:r>
        <w:rPr>
          <w:i/>
          <w:iCs/>
        </w:rPr>
        <w:t>Module 8C Guidance Text: Hong Kong</w:t>
      </w:r>
      <w:r>
        <w:t>, INSOL International (2021), p 3</w:t>
      </w:r>
      <w:r>
        <w:t>4</w:t>
      </w:r>
      <w:r>
        <w:t>.</w:t>
      </w:r>
    </w:p>
  </w:footnote>
  <w:footnote w:id="30">
    <w:p w14:paraId="5B351E9E" w14:textId="69C355A6" w:rsidR="00026D4A" w:rsidRDefault="00026D4A">
      <w:pPr>
        <w:pStyle w:val="FootnoteText"/>
      </w:pPr>
      <w:r>
        <w:rPr>
          <w:rStyle w:val="FootnoteReference"/>
        </w:rPr>
        <w:footnoteRef/>
      </w:r>
      <w:r>
        <w:t xml:space="preserve"> </w:t>
      </w:r>
      <w:r>
        <w:t>Companies (Winding Up and Miscellaneous Provisions) Ordinance,</w:t>
      </w:r>
      <w:r>
        <w:t xml:space="preserve"> s </w:t>
      </w:r>
      <w:r w:rsidR="008C1A8F">
        <w:t>255(1).</w:t>
      </w:r>
    </w:p>
  </w:footnote>
  <w:footnote w:id="31">
    <w:p w14:paraId="25271CA7" w14:textId="4C090C51" w:rsidR="008C1A8F" w:rsidRDefault="008C1A8F">
      <w:pPr>
        <w:pStyle w:val="FootnoteText"/>
      </w:pPr>
      <w:r>
        <w:rPr>
          <w:rStyle w:val="FootnoteReference"/>
        </w:rPr>
        <w:footnoteRef/>
      </w:r>
      <w:r>
        <w:t xml:space="preserve"> </w:t>
      </w:r>
      <w:proofErr w:type="spellStart"/>
      <w:r>
        <w:t>Darton</w:t>
      </w:r>
      <w:proofErr w:type="spellEnd"/>
      <w:r>
        <w:t xml:space="preserve">, Robin, </w:t>
      </w:r>
      <w:r>
        <w:rPr>
          <w:i/>
          <w:iCs/>
        </w:rPr>
        <w:t>Module 8C Guidance Text: Hong Kong</w:t>
      </w:r>
      <w:r>
        <w:t>, INSOL International (2021), p 3</w:t>
      </w:r>
      <w:r>
        <w:t>8.</w:t>
      </w:r>
    </w:p>
  </w:footnote>
  <w:footnote w:id="32">
    <w:p w14:paraId="1C291640" w14:textId="3079C3B9" w:rsidR="00A33D00" w:rsidRDefault="00A33D00">
      <w:pPr>
        <w:pStyle w:val="FootnoteText"/>
      </w:pPr>
      <w:r>
        <w:rPr>
          <w:rStyle w:val="FootnoteReference"/>
        </w:rPr>
        <w:footnoteRef/>
      </w:r>
      <w:r>
        <w:t xml:space="preserve"> </w:t>
      </w:r>
      <w:r w:rsidR="000601B0">
        <w:t>Companies (Winding Up and Miscellaneous Provisions) Ordinance, s 228</w:t>
      </w:r>
      <w:proofErr w:type="gramStart"/>
      <w:r w:rsidR="000601B0">
        <w:t>A(</w:t>
      </w:r>
      <w:proofErr w:type="gramEnd"/>
      <w:r w:rsidR="000601B0">
        <w:t>1).</w:t>
      </w:r>
    </w:p>
  </w:footnote>
  <w:footnote w:id="33">
    <w:p w14:paraId="65AA53A7" w14:textId="0ADE45C8" w:rsidR="00BE421E" w:rsidRPr="00BE421E" w:rsidRDefault="00BE421E">
      <w:pPr>
        <w:pStyle w:val="FootnoteText"/>
      </w:pPr>
      <w:r>
        <w:rPr>
          <w:rStyle w:val="FootnoteReference"/>
        </w:rPr>
        <w:footnoteRef/>
      </w:r>
      <w:r>
        <w:t xml:space="preserve"> </w:t>
      </w:r>
      <w:r>
        <w:rPr>
          <w:i/>
          <w:iCs/>
        </w:rPr>
        <w:t>Idem</w:t>
      </w:r>
      <w:r>
        <w:t>, s 228</w:t>
      </w:r>
      <w:proofErr w:type="gramStart"/>
      <w:r>
        <w:t>A(</w:t>
      </w:r>
      <w:proofErr w:type="gramEnd"/>
      <w:r w:rsidR="00355EF3">
        <w:t>2).</w:t>
      </w:r>
    </w:p>
  </w:footnote>
  <w:footnote w:id="34">
    <w:p w14:paraId="2EB56673" w14:textId="0E3607C9" w:rsidR="001A3C3B" w:rsidRDefault="001A3C3B">
      <w:pPr>
        <w:pStyle w:val="FootnoteText"/>
      </w:pPr>
      <w:r>
        <w:rPr>
          <w:rStyle w:val="FootnoteReference"/>
        </w:rPr>
        <w:footnoteRef/>
      </w:r>
      <w:r>
        <w:t xml:space="preserve"> </w:t>
      </w:r>
      <w:proofErr w:type="spellStart"/>
      <w:r>
        <w:t>Darton</w:t>
      </w:r>
      <w:proofErr w:type="spellEnd"/>
      <w:r>
        <w:t xml:space="preserve">, Robin, </w:t>
      </w:r>
      <w:r>
        <w:rPr>
          <w:i/>
          <w:iCs/>
        </w:rPr>
        <w:t>Module 8C Guidance Text: Hong Kong</w:t>
      </w:r>
      <w:r>
        <w:t>, INSOL International (2021), p 3</w:t>
      </w:r>
      <w:r>
        <w:t>5</w:t>
      </w:r>
      <w:r>
        <w:t>.</w:t>
      </w:r>
    </w:p>
  </w:footnote>
  <w:footnote w:id="35">
    <w:p w14:paraId="0AD1BBE8" w14:textId="7908132A" w:rsidR="001A24A1" w:rsidRDefault="001A24A1">
      <w:pPr>
        <w:pStyle w:val="FootnoteText"/>
      </w:pPr>
      <w:r>
        <w:rPr>
          <w:rStyle w:val="FootnoteReference"/>
        </w:rPr>
        <w:footnoteRef/>
      </w:r>
      <w:r>
        <w:t xml:space="preserve"> </w:t>
      </w:r>
      <w:r>
        <w:t xml:space="preserve">Companies (Winding Up and Miscellaneous Provisions) Ordinance, s </w:t>
      </w:r>
      <w:r>
        <w:t>177(1)(</w:t>
      </w:r>
      <w:r w:rsidR="00917FE6">
        <w:t>d).</w:t>
      </w:r>
    </w:p>
  </w:footnote>
  <w:footnote w:id="36">
    <w:p w14:paraId="2BBB1FDF" w14:textId="79B98F5C" w:rsidR="004B7324" w:rsidRPr="004B7324" w:rsidRDefault="004B7324">
      <w:pPr>
        <w:pStyle w:val="FootnoteText"/>
      </w:pPr>
      <w:r>
        <w:rPr>
          <w:rStyle w:val="FootnoteReference"/>
        </w:rPr>
        <w:footnoteRef/>
      </w:r>
      <w:r>
        <w:t xml:space="preserve"> </w:t>
      </w:r>
      <w:r>
        <w:rPr>
          <w:i/>
          <w:iCs/>
        </w:rPr>
        <w:t>Idem</w:t>
      </w:r>
      <w:r>
        <w:t>, s 179(1).</w:t>
      </w:r>
    </w:p>
  </w:footnote>
  <w:footnote w:id="37">
    <w:p w14:paraId="49772C44" w14:textId="7DAF4404" w:rsidR="00C109E9" w:rsidRPr="00C109E9" w:rsidRDefault="00C109E9">
      <w:pPr>
        <w:pStyle w:val="FootnoteText"/>
      </w:pPr>
      <w:r>
        <w:rPr>
          <w:rStyle w:val="FootnoteReference"/>
        </w:rPr>
        <w:footnoteRef/>
      </w:r>
      <w:r>
        <w:t xml:space="preserve"> </w:t>
      </w:r>
      <w:r>
        <w:rPr>
          <w:i/>
          <w:iCs/>
        </w:rPr>
        <w:t>Idem</w:t>
      </w:r>
      <w:r>
        <w:t>, s 177(1)(a).</w:t>
      </w:r>
    </w:p>
  </w:footnote>
  <w:footnote w:id="38">
    <w:p w14:paraId="7DB8E678" w14:textId="11664653" w:rsidR="000F5C1E" w:rsidRPr="000F5C1E" w:rsidRDefault="000F5C1E">
      <w:pPr>
        <w:pStyle w:val="FootnoteText"/>
      </w:pPr>
      <w:r>
        <w:rPr>
          <w:rStyle w:val="FootnoteReference"/>
        </w:rPr>
        <w:footnoteRef/>
      </w:r>
      <w:r>
        <w:t xml:space="preserve"> </w:t>
      </w:r>
      <w:r>
        <w:rPr>
          <w:i/>
          <w:iCs/>
        </w:rPr>
        <w:t>Idem</w:t>
      </w:r>
      <w:r>
        <w:t>, s 181.</w:t>
      </w:r>
    </w:p>
  </w:footnote>
  <w:footnote w:id="39">
    <w:p w14:paraId="4BA1AA7D" w14:textId="5B9C4797" w:rsidR="003A16CC" w:rsidRPr="003A16CC" w:rsidRDefault="003A16CC">
      <w:pPr>
        <w:pStyle w:val="FootnoteText"/>
      </w:pPr>
      <w:r>
        <w:rPr>
          <w:rStyle w:val="FootnoteReference"/>
        </w:rPr>
        <w:footnoteRef/>
      </w:r>
      <w:r>
        <w:t xml:space="preserve"> </w:t>
      </w:r>
      <w:r>
        <w:rPr>
          <w:i/>
          <w:iCs/>
        </w:rPr>
        <w:t>Idem</w:t>
      </w:r>
      <w:r>
        <w:t>, s 193(1).</w:t>
      </w:r>
    </w:p>
  </w:footnote>
  <w:footnote w:id="40">
    <w:p w14:paraId="642F5259" w14:textId="290C4EDE" w:rsidR="003A16CC" w:rsidRPr="003A16CC" w:rsidRDefault="003A16CC">
      <w:pPr>
        <w:pStyle w:val="FootnoteText"/>
      </w:pPr>
      <w:r>
        <w:rPr>
          <w:rStyle w:val="FootnoteReference"/>
        </w:rPr>
        <w:footnoteRef/>
      </w:r>
      <w:r>
        <w:t xml:space="preserve"> </w:t>
      </w:r>
      <w:r>
        <w:rPr>
          <w:i/>
          <w:iCs/>
        </w:rPr>
        <w:t>Idem</w:t>
      </w:r>
      <w:r>
        <w:t>, s 197.</w:t>
      </w:r>
    </w:p>
  </w:footnote>
  <w:footnote w:id="41">
    <w:p w14:paraId="1629F8D4" w14:textId="71B4CA75" w:rsidR="00974733" w:rsidRPr="00974733" w:rsidRDefault="00974733">
      <w:pPr>
        <w:pStyle w:val="FootnoteText"/>
      </w:pPr>
      <w:r>
        <w:rPr>
          <w:rStyle w:val="FootnoteReference"/>
        </w:rPr>
        <w:footnoteRef/>
      </w:r>
      <w:r>
        <w:t xml:space="preserve"> </w:t>
      </w:r>
      <w:r>
        <w:rPr>
          <w:i/>
          <w:iCs/>
        </w:rPr>
        <w:t>Idem</w:t>
      </w:r>
      <w:r>
        <w:t>, s 186.</w:t>
      </w:r>
    </w:p>
  </w:footnote>
  <w:footnote w:id="42">
    <w:p w14:paraId="220B0DE6" w14:textId="27C25ABF" w:rsidR="002806CD" w:rsidRDefault="002806CD">
      <w:pPr>
        <w:pStyle w:val="FootnoteText"/>
      </w:pPr>
      <w:r>
        <w:rPr>
          <w:rStyle w:val="FootnoteReference"/>
        </w:rPr>
        <w:footnoteRef/>
      </w:r>
      <w:r>
        <w:t xml:space="preserve"> </w:t>
      </w:r>
      <w:proofErr w:type="spellStart"/>
      <w:r>
        <w:t>Darton</w:t>
      </w:r>
      <w:proofErr w:type="spellEnd"/>
      <w:r>
        <w:t xml:space="preserve">, Robin, </w:t>
      </w:r>
      <w:r>
        <w:rPr>
          <w:i/>
          <w:iCs/>
        </w:rPr>
        <w:t>Module 8C Guidance Text: Hong Kong</w:t>
      </w:r>
      <w:r>
        <w:t xml:space="preserve">, INSOL International (2021), p </w:t>
      </w:r>
      <w:r>
        <w:t>41.</w:t>
      </w:r>
    </w:p>
  </w:footnote>
  <w:footnote w:id="43">
    <w:p w14:paraId="235CC250" w14:textId="54CA4A7B" w:rsidR="00713958" w:rsidRDefault="00713958">
      <w:pPr>
        <w:pStyle w:val="FootnoteText"/>
      </w:pPr>
      <w:r>
        <w:rPr>
          <w:rStyle w:val="FootnoteReference"/>
        </w:rPr>
        <w:footnoteRef/>
      </w:r>
      <w:r>
        <w:t xml:space="preserve"> </w:t>
      </w:r>
      <w:r w:rsidR="00163F74">
        <w:rPr>
          <w:i/>
          <w:iCs/>
        </w:rPr>
        <w:t xml:space="preserve">Idem, </w:t>
      </w:r>
      <w:r>
        <w:t xml:space="preserve">p </w:t>
      </w:r>
      <w:r>
        <w:t>11.</w:t>
      </w:r>
    </w:p>
  </w:footnote>
  <w:footnote w:id="44">
    <w:p w14:paraId="64835CEB" w14:textId="42499AF4" w:rsidR="00163F74" w:rsidRPr="00163F74" w:rsidRDefault="00163F74">
      <w:pPr>
        <w:pStyle w:val="FootnoteText"/>
      </w:pPr>
      <w:r>
        <w:rPr>
          <w:rStyle w:val="FootnoteReference"/>
        </w:rPr>
        <w:footnoteRef/>
      </w:r>
      <w:r>
        <w:t xml:space="preserve"> </w:t>
      </w:r>
      <w:r>
        <w:rPr>
          <w:i/>
          <w:iCs/>
        </w:rPr>
        <w:t>Idem</w:t>
      </w:r>
      <w:r>
        <w:t>, p 13.</w:t>
      </w:r>
    </w:p>
  </w:footnote>
  <w:footnote w:id="45">
    <w:p w14:paraId="56DA200C" w14:textId="3651E7E6" w:rsidR="00D42B1D" w:rsidRPr="00D42B1D" w:rsidRDefault="00D42B1D">
      <w:pPr>
        <w:pStyle w:val="FootnoteText"/>
      </w:pPr>
      <w:r>
        <w:rPr>
          <w:rStyle w:val="FootnoteReference"/>
        </w:rPr>
        <w:footnoteRef/>
      </w:r>
      <w:r>
        <w:t xml:space="preserve"> </w:t>
      </w:r>
      <w:r>
        <w:rPr>
          <w:i/>
          <w:iCs/>
        </w:rPr>
        <w:t>Idem</w:t>
      </w:r>
      <w:r>
        <w:t>, p 13.</w:t>
      </w:r>
    </w:p>
  </w:footnote>
  <w:footnote w:id="46">
    <w:p w14:paraId="3FFAD4C6" w14:textId="7D4DC438" w:rsidR="005C0FB3" w:rsidRPr="005C0FB3" w:rsidRDefault="005C0FB3">
      <w:pPr>
        <w:pStyle w:val="FootnoteText"/>
      </w:pPr>
      <w:r>
        <w:rPr>
          <w:rStyle w:val="FootnoteReference"/>
        </w:rPr>
        <w:footnoteRef/>
      </w:r>
      <w:r>
        <w:t xml:space="preserve"> </w:t>
      </w:r>
      <w:r>
        <w:rPr>
          <w:i/>
          <w:iCs/>
        </w:rPr>
        <w:t>Idem</w:t>
      </w:r>
      <w:r>
        <w:t>, p 14.</w:t>
      </w:r>
    </w:p>
  </w:footnote>
  <w:footnote w:id="47">
    <w:p w14:paraId="5828D526" w14:textId="30592897" w:rsidR="00B7351F" w:rsidRPr="00B7351F" w:rsidRDefault="00B7351F">
      <w:pPr>
        <w:pStyle w:val="FootnoteText"/>
      </w:pPr>
      <w:r>
        <w:rPr>
          <w:rStyle w:val="FootnoteReference"/>
        </w:rPr>
        <w:footnoteRef/>
      </w:r>
      <w:r>
        <w:t xml:space="preserve"> </w:t>
      </w:r>
      <w:r>
        <w:rPr>
          <w:i/>
          <w:iCs/>
        </w:rPr>
        <w:t>Idem</w:t>
      </w:r>
      <w:r>
        <w:t>, p 14.</w:t>
      </w:r>
    </w:p>
  </w:footnote>
  <w:footnote w:id="48">
    <w:p w14:paraId="4CC7200A" w14:textId="2DAEEF54" w:rsidR="00017F87" w:rsidRPr="00017F87" w:rsidRDefault="00017F87">
      <w:pPr>
        <w:pStyle w:val="FootnoteText"/>
      </w:pPr>
      <w:r>
        <w:rPr>
          <w:rStyle w:val="FootnoteReference"/>
        </w:rPr>
        <w:footnoteRef/>
      </w:r>
      <w:r>
        <w:t xml:space="preserve"> </w:t>
      </w:r>
      <w:r>
        <w:rPr>
          <w:i/>
          <w:iCs/>
        </w:rPr>
        <w:t>Idem</w:t>
      </w:r>
      <w:r>
        <w:t>, p 52.</w:t>
      </w:r>
    </w:p>
  </w:footnote>
  <w:footnote w:id="49">
    <w:p w14:paraId="08CD8A18" w14:textId="77ADA2AD" w:rsidR="00B715D5" w:rsidRPr="00B715D5" w:rsidRDefault="00B715D5">
      <w:pPr>
        <w:pStyle w:val="FootnoteText"/>
      </w:pPr>
      <w:r>
        <w:rPr>
          <w:rStyle w:val="FootnoteReference"/>
        </w:rPr>
        <w:footnoteRef/>
      </w:r>
      <w:r>
        <w:t xml:space="preserve"> </w:t>
      </w:r>
      <w:r>
        <w:rPr>
          <w:i/>
          <w:iCs/>
        </w:rPr>
        <w:t>Idem</w:t>
      </w:r>
      <w:r>
        <w:t>, p 53.</w:t>
      </w:r>
    </w:p>
  </w:footnote>
  <w:footnote w:id="50">
    <w:p w14:paraId="45356558" w14:textId="4BF82FC1" w:rsidR="00B715D5" w:rsidRPr="00B715D5" w:rsidRDefault="00B715D5">
      <w:pPr>
        <w:pStyle w:val="FootnoteText"/>
      </w:pPr>
      <w:r>
        <w:rPr>
          <w:rStyle w:val="FootnoteReference"/>
        </w:rPr>
        <w:footnoteRef/>
      </w:r>
      <w:r>
        <w:t xml:space="preserve"> </w:t>
      </w:r>
      <w:r>
        <w:rPr>
          <w:i/>
          <w:iCs/>
        </w:rPr>
        <w:t>Idem</w:t>
      </w:r>
      <w:r>
        <w:t>, p 53.</w:t>
      </w:r>
    </w:p>
  </w:footnote>
  <w:footnote w:id="51">
    <w:p w14:paraId="574DE1F3" w14:textId="5EC8B3A6" w:rsidR="008A010D" w:rsidRPr="008A010D" w:rsidRDefault="008A010D">
      <w:pPr>
        <w:pStyle w:val="FootnoteText"/>
      </w:pPr>
      <w:r>
        <w:rPr>
          <w:rStyle w:val="FootnoteReference"/>
        </w:rPr>
        <w:footnoteRef/>
      </w:r>
      <w:r>
        <w:t xml:space="preserve"> </w:t>
      </w:r>
      <w:r>
        <w:rPr>
          <w:i/>
          <w:iCs/>
        </w:rPr>
        <w:t>Idem</w:t>
      </w:r>
      <w:r>
        <w:t>, p 54.</w:t>
      </w:r>
    </w:p>
  </w:footnote>
  <w:footnote w:id="52">
    <w:p w14:paraId="67AF53A6" w14:textId="75F535EA" w:rsidR="00C93E5F" w:rsidRPr="00C93E5F" w:rsidRDefault="00C93E5F">
      <w:pPr>
        <w:pStyle w:val="FootnoteText"/>
      </w:pPr>
      <w:r>
        <w:rPr>
          <w:rStyle w:val="FootnoteReference"/>
        </w:rPr>
        <w:footnoteRef/>
      </w:r>
      <w:r>
        <w:t xml:space="preserve"> </w:t>
      </w:r>
      <w:r>
        <w:rPr>
          <w:i/>
          <w:iCs/>
        </w:rPr>
        <w:t>Idem</w:t>
      </w:r>
      <w:r>
        <w:t>, 54.</w:t>
      </w:r>
    </w:p>
  </w:footnote>
  <w:footnote w:id="53">
    <w:p w14:paraId="20756496" w14:textId="2FB82146" w:rsidR="009D53FC" w:rsidRDefault="009D53FC">
      <w:pPr>
        <w:pStyle w:val="FootnoteText"/>
      </w:pPr>
      <w:r>
        <w:rPr>
          <w:rStyle w:val="FootnoteReference"/>
        </w:rPr>
        <w:footnoteRef/>
      </w:r>
      <w:r>
        <w:t xml:space="preserve"> </w:t>
      </w:r>
      <w:r>
        <w:t xml:space="preserve">Companies (Winding Up and Miscellaneous Provisions) Ordinance, s </w:t>
      </w:r>
      <w:r>
        <w:t>265(3B)</w:t>
      </w:r>
      <w:r>
        <w:t>.</w:t>
      </w:r>
    </w:p>
  </w:footnote>
  <w:footnote w:id="54">
    <w:p w14:paraId="399B0369" w14:textId="6731C8C0" w:rsidR="00592DD6" w:rsidRPr="00592DD6" w:rsidRDefault="00592DD6">
      <w:pPr>
        <w:pStyle w:val="FootnoteText"/>
      </w:pPr>
      <w:r>
        <w:rPr>
          <w:rStyle w:val="FootnoteReference"/>
        </w:rPr>
        <w:footnoteRef/>
      </w:r>
      <w:r>
        <w:t xml:space="preserve"> </w:t>
      </w:r>
      <w:r>
        <w:rPr>
          <w:i/>
          <w:iCs/>
        </w:rPr>
        <w:t>Idem</w:t>
      </w:r>
      <w:r>
        <w:t>, s 267(2).</w:t>
      </w:r>
    </w:p>
  </w:footnote>
  <w:footnote w:id="55">
    <w:p w14:paraId="679C4314" w14:textId="5A25419C" w:rsidR="00593136" w:rsidRDefault="00593136">
      <w:pPr>
        <w:pStyle w:val="FootnoteText"/>
      </w:pPr>
      <w:r>
        <w:rPr>
          <w:rStyle w:val="FootnoteReference"/>
        </w:rPr>
        <w:footnoteRef/>
      </w:r>
      <w:r>
        <w:t xml:space="preserve"> </w:t>
      </w:r>
      <w:proofErr w:type="spellStart"/>
      <w:r>
        <w:t>Darton</w:t>
      </w:r>
      <w:proofErr w:type="spellEnd"/>
      <w:r>
        <w:t xml:space="preserve">, Robin, </w:t>
      </w:r>
      <w:r>
        <w:rPr>
          <w:i/>
          <w:iCs/>
        </w:rPr>
        <w:t>Module 8C Guidance Text: Hong Kong</w:t>
      </w:r>
      <w:r>
        <w:t>, INSOL International (2021), p 4</w:t>
      </w:r>
      <w:r>
        <w:t>3.</w:t>
      </w:r>
    </w:p>
  </w:footnote>
  <w:footnote w:id="56">
    <w:p w14:paraId="70D0E10B" w14:textId="16E3153E" w:rsidR="00C96BD0" w:rsidRPr="00C96BD0" w:rsidRDefault="00C96BD0">
      <w:pPr>
        <w:pStyle w:val="FootnoteText"/>
      </w:pPr>
      <w:r>
        <w:rPr>
          <w:rStyle w:val="FootnoteReference"/>
        </w:rPr>
        <w:footnoteRef/>
      </w:r>
      <w:r>
        <w:t xml:space="preserve"> </w:t>
      </w:r>
      <w:r>
        <w:rPr>
          <w:i/>
          <w:iCs/>
        </w:rPr>
        <w:t>Idem</w:t>
      </w:r>
      <w:r>
        <w:t>, p 17.</w:t>
      </w:r>
    </w:p>
  </w:footnote>
  <w:footnote w:id="57">
    <w:p w14:paraId="163A680B" w14:textId="018F4155" w:rsidR="00E42CFC" w:rsidRPr="00E42CFC" w:rsidRDefault="00E42CFC">
      <w:pPr>
        <w:pStyle w:val="FootnoteText"/>
      </w:pPr>
      <w:r>
        <w:rPr>
          <w:rStyle w:val="FootnoteReference"/>
        </w:rPr>
        <w:footnoteRef/>
      </w:r>
      <w:r>
        <w:t xml:space="preserve"> </w:t>
      </w:r>
      <w:r>
        <w:rPr>
          <w:i/>
          <w:iCs/>
        </w:rPr>
        <w:t>Idem</w:t>
      </w:r>
      <w:r>
        <w:t>, p 43.</w:t>
      </w:r>
    </w:p>
  </w:footnote>
  <w:footnote w:id="58">
    <w:p w14:paraId="144F5AB6" w14:textId="7400E5FF" w:rsidR="008C41F2" w:rsidRDefault="008C41F2">
      <w:pPr>
        <w:pStyle w:val="FootnoteText"/>
      </w:pPr>
      <w:r>
        <w:rPr>
          <w:rStyle w:val="FootnoteReference"/>
        </w:rPr>
        <w:footnoteRef/>
      </w:r>
      <w:r>
        <w:t xml:space="preserve"> </w:t>
      </w:r>
      <w:r>
        <w:t xml:space="preserve">Companies (Winding Up and Miscellaneous Provisions) Ordinance, s </w:t>
      </w:r>
      <w:r w:rsidR="001B0949">
        <w:t>327(3)</w:t>
      </w:r>
      <w:r>
        <w:t>.</w:t>
      </w:r>
    </w:p>
  </w:footnote>
  <w:footnote w:id="59">
    <w:p w14:paraId="2EA0E7AD" w14:textId="77777777" w:rsidR="00FF3DFC" w:rsidRPr="00FF3DFC" w:rsidRDefault="00516F5E" w:rsidP="00FF3DFC">
      <w:pPr>
        <w:pStyle w:val="FootnoteText"/>
        <w:rPr>
          <w:i/>
          <w:iCs/>
        </w:rPr>
      </w:pPr>
      <w:r>
        <w:rPr>
          <w:rStyle w:val="FootnoteReference"/>
        </w:rPr>
        <w:footnoteRef/>
      </w:r>
      <w:r>
        <w:t xml:space="preserve"> Tang, Alexander, “</w:t>
      </w:r>
      <w:r w:rsidR="00FF3DFC" w:rsidRPr="00FF3DFC">
        <w:rPr>
          <w:i/>
          <w:iCs/>
        </w:rPr>
        <w:t xml:space="preserve">Cross border insolvency – The Court of Final Appeal </w:t>
      </w:r>
    </w:p>
    <w:p w14:paraId="6DE4A459" w14:textId="77777777" w:rsidR="00FF3DFC" w:rsidRPr="00FF3DFC" w:rsidRDefault="00FF3DFC" w:rsidP="00FF3DFC">
      <w:pPr>
        <w:pStyle w:val="FootnoteText"/>
        <w:rPr>
          <w:i/>
          <w:iCs/>
        </w:rPr>
      </w:pPr>
      <w:r w:rsidRPr="00FF3DFC">
        <w:rPr>
          <w:i/>
          <w:iCs/>
        </w:rPr>
        <w:t xml:space="preserve">clarifies the second core requirement in Shandong </w:t>
      </w:r>
    </w:p>
    <w:p w14:paraId="1EFE99CD" w14:textId="108AA243" w:rsidR="00516F5E" w:rsidRPr="00516F5E" w:rsidRDefault="00FF3DFC" w:rsidP="00FF3DFC">
      <w:pPr>
        <w:pStyle w:val="FootnoteText"/>
        <w:rPr>
          <w:i/>
          <w:iCs/>
        </w:rPr>
      </w:pPr>
      <w:proofErr w:type="spellStart"/>
      <w:r w:rsidRPr="00FF3DFC">
        <w:rPr>
          <w:i/>
          <w:iCs/>
        </w:rPr>
        <w:t>Chenming</w:t>
      </w:r>
      <w:proofErr w:type="spellEnd"/>
      <w:r w:rsidRPr="00FF3DFC">
        <w:rPr>
          <w:i/>
          <w:iCs/>
        </w:rPr>
        <w:t xml:space="preserve"> case</w:t>
      </w:r>
      <w:r>
        <w:t xml:space="preserve">”, at </w:t>
      </w:r>
      <w:hyperlink r:id="rId7" w:history="1">
        <w:r w:rsidRPr="001258F9">
          <w:rPr>
            <w:rStyle w:val="Hyperlink"/>
          </w:rPr>
          <w:t>https://www.shlegal.com/docs/default-source/news-insights-documents/2022/briefingnote---cross-border-insolvency---the-court-of-final-appeal-clarifies-the-second-core-requirement-in-the-shandong-chenming-case-(final).pdf?sfvrsn=ca88e35b_0</w:t>
        </w:r>
      </w:hyperlink>
      <w:r>
        <w:t>, accessed 29 July 2022.</w:t>
      </w:r>
    </w:p>
  </w:footnote>
  <w:footnote w:id="60">
    <w:p w14:paraId="1F9CE053" w14:textId="33699DED" w:rsidR="009523E7" w:rsidRDefault="009523E7">
      <w:pPr>
        <w:pStyle w:val="FootnoteText"/>
      </w:pPr>
      <w:r>
        <w:rPr>
          <w:rStyle w:val="FootnoteReference"/>
        </w:rPr>
        <w:footnoteRef/>
      </w:r>
      <w:r>
        <w:t xml:space="preserve"> </w:t>
      </w:r>
      <w:proofErr w:type="spellStart"/>
      <w:r>
        <w:t>Darton</w:t>
      </w:r>
      <w:proofErr w:type="spellEnd"/>
      <w:r>
        <w:t xml:space="preserve">, Robin, </w:t>
      </w:r>
      <w:r>
        <w:rPr>
          <w:i/>
          <w:iCs/>
        </w:rPr>
        <w:t>Module 8C Guidance Text: Hong Kong</w:t>
      </w:r>
      <w:r>
        <w:t xml:space="preserve">, INSOL International (2021), p </w:t>
      </w:r>
      <w:r>
        <w:t>72.</w:t>
      </w:r>
    </w:p>
  </w:footnote>
  <w:footnote w:id="61">
    <w:p w14:paraId="52BC7AF7" w14:textId="4EA6E7D3" w:rsidR="006262DA" w:rsidRPr="006262DA" w:rsidRDefault="006262DA">
      <w:pPr>
        <w:pStyle w:val="FootnoteText"/>
      </w:pPr>
      <w:r>
        <w:rPr>
          <w:rStyle w:val="FootnoteReference"/>
        </w:rPr>
        <w:footnoteRef/>
      </w:r>
      <w:r>
        <w:t xml:space="preserve"> </w:t>
      </w:r>
      <w:r>
        <w:rPr>
          <w:i/>
          <w:iCs/>
        </w:rPr>
        <w:t>Idem</w:t>
      </w:r>
      <w:r>
        <w:t>, p 72.</w:t>
      </w:r>
    </w:p>
  </w:footnote>
  <w:footnote w:id="62">
    <w:p w14:paraId="4F8180EE" w14:textId="77777777" w:rsidR="00617DF3" w:rsidRPr="00427916" w:rsidRDefault="00617DF3" w:rsidP="00617DF3">
      <w:pPr>
        <w:pStyle w:val="FootnoteText"/>
      </w:pPr>
      <w:r>
        <w:rPr>
          <w:rStyle w:val="FootnoteReference"/>
        </w:rPr>
        <w:footnoteRef/>
      </w:r>
      <w:r>
        <w:t xml:space="preserve"> Hudson, Richard and Wu, Judy, “</w:t>
      </w:r>
      <w:r w:rsidRPr="00385973">
        <w:rPr>
          <w:i/>
          <w:iCs/>
        </w:rPr>
        <w:t>Milestone in Hong Kong-Mainland China cross border insolvency: Mutual recognition of and assistance to insolvency proceedings between Hong Kong and Mainland China</w:t>
      </w:r>
      <w:r>
        <w:t xml:space="preserve">”, at </w:t>
      </w:r>
      <w:hyperlink r:id="rId8" w:history="1">
        <w:r w:rsidRPr="001258F9">
          <w:rPr>
            <w:rStyle w:val="Hyperlink"/>
          </w:rPr>
          <w:t>https://www.deacons.com/2021/05/31/milestone-in-hong-kong-mainland-china-cross-border-insolvency-mutual-recognition-of-and-assistance-to-insolvency-proceedings-between-hong-kong-and-mainland-china/</w:t>
        </w:r>
      </w:hyperlink>
      <w:r>
        <w:t>, accessed 30 June 2022.</w:t>
      </w:r>
    </w:p>
  </w:footnote>
  <w:footnote w:id="63">
    <w:p w14:paraId="6269BE22" w14:textId="77777777" w:rsidR="00617DF3" w:rsidRPr="00800770" w:rsidRDefault="00617DF3" w:rsidP="00617DF3">
      <w:pPr>
        <w:pStyle w:val="FootnoteText"/>
      </w:pPr>
      <w:r>
        <w:rPr>
          <w:rStyle w:val="FootnoteReference"/>
        </w:rPr>
        <w:footnoteRef/>
      </w:r>
      <w:r>
        <w:t xml:space="preserve"> Hudson, Richard, “</w:t>
      </w:r>
      <w:r w:rsidRPr="00800770">
        <w:rPr>
          <w:i/>
          <w:iCs/>
        </w:rPr>
        <w:t>Hong Kong’s first application for recognition of and assistance to liquidators in Mainland China</w:t>
      </w:r>
      <w:r>
        <w:t xml:space="preserve">”, at </w:t>
      </w:r>
      <w:hyperlink r:id="rId9" w:history="1">
        <w:r w:rsidRPr="001258F9">
          <w:rPr>
            <w:rStyle w:val="Hyperlink"/>
          </w:rPr>
          <w:t>https://www.deacons.com/2021/08/04/hong-kongs-first-application-for-recognition-of-and-assistance-to-liquidators-in-mainland-china/</w:t>
        </w:r>
      </w:hyperlink>
      <w:r>
        <w:t>, accessed 30 June 2022.</w:t>
      </w:r>
    </w:p>
  </w:footnote>
  <w:footnote w:id="64">
    <w:p w14:paraId="4418FF7A" w14:textId="59B30A6F" w:rsidR="0048322C" w:rsidRDefault="0048322C">
      <w:pPr>
        <w:pStyle w:val="FootnoteText"/>
      </w:pPr>
      <w:r>
        <w:rPr>
          <w:rStyle w:val="FootnoteReference"/>
        </w:rPr>
        <w:footnoteRef/>
      </w:r>
      <w:r>
        <w:t xml:space="preserve"> </w:t>
      </w:r>
      <w:proofErr w:type="spellStart"/>
      <w:r>
        <w:t>Darton</w:t>
      </w:r>
      <w:proofErr w:type="spellEnd"/>
      <w:r>
        <w:t xml:space="preserve">, Robin, </w:t>
      </w:r>
      <w:r>
        <w:rPr>
          <w:i/>
          <w:iCs/>
        </w:rPr>
        <w:t>Module 8C Guidance Text: Hong Kong</w:t>
      </w:r>
      <w:r>
        <w:t>, INSOL International (2021), p 7</w:t>
      </w:r>
      <w:r>
        <w:t>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B063E4"/>
    <w:multiLevelType w:val="hybridMultilevel"/>
    <w:tmpl w:val="347E1428"/>
    <w:lvl w:ilvl="0" w:tplc="0E123C3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50347A"/>
    <w:multiLevelType w:val="hybridMultilevel"/>
    <w:tmpl w:val="BAF4CE82"/>
    <w:lvl w:ilvl="0" w:tplc="D92AB95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38576FC"/>
    <w:multiLevelType w:val="hybridMultilevel"/>
    <w:tmpl w:val="DAEAC2E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B6D351E"/>
    <w:multiLevelType w:val="hybridMultilevel"/>
    <w:tmpl w:val="F5545078"/>
    <w:lvl w:ilvl="0" w:tplc="6F5EFEE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C4A5BCE"/>
    <w:multiLevelType w:val="hybridMultilevel"/>
    <w:tmpl w:val="E2929874"/>
    <w:lvl w:ilvl="0" w:tplc="263E5DF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D53CD"/>
    <w:multiLevelType w:val="hybridMultilevel"/>
    <w:tmpl w:val="29FCFFD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010BA8"/>
    <w:multiLevelType w:val="hybridMultilevel"/>
    <w:tmpl w:val="E0E8D8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0A0AF1"/>
    <w:multiLevelType w:val="hybridMultilevel"/>
    <w:tmpl w:val="E0E8D81E"/>
    <w:lvl w:ilvl="0" w:tplc="E36C4A1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74F52E7"/>
    <w:multiLevelType w:val="hybridMultilevel"/>
    <w:tmpl w:val="5FDC02E2"/>
    <w:lvl w:ilvl="0" w:tplc="79F400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CD071E"/>
    <w:multiLevelType w:val="hybridMultilevel"/>
    <w:tmpl w:val="F4504C56"/>
    <w:lvl w:ilvl="0" w:tplc="5B483670">
      <w:start w:val="1"/>
      <w:numFmt w:val="decimal"/>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AE735ED"/>
    <w:multiLevelType w:val="hybridMultilevel"/>
    <w:tmpl w:val="104450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0AC19A8"/>
    <w:multiLevelType w:val="hybridMultilevel"/>
    <w:tmpl w:val="A04AC11A"/>
    <w:lvl w:ilvl="0" w:tplc="8DFEB1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1823940"/>
    <w:multiLevelType w:val="hybridMultilevel"/>
    <w:tmpl w:val="21146A7E"/>
    <w:lvl w:ilvl="0" w:tplc="95009DF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7BD39B9"/>
    <w:multiLevelType w:val="hybridMultilevel"/>
    <w:tmpl w:val="37DA35C4"/>
    <w:lvl w:ilvl="0" w:tplc="9B32791A">
      <w:start w:val="1"/>
      <w:numFmt w:val="decimal"/>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78F3339"/>
    <w:multiLevelType w:val="hybridMultilevel"/>
    <w:tmpl w:val="7EFAB126"/>
    <w:lvl w:ilvl="0" w:tplc="BC8CDA7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706641F7"/>
    <w:multiLevelType w:val="hybridMultilevel"/>
    <w:tmpl w:val="D7AED898"/>
    <w:lvl w:ilvl="0" w:tplc="ABB280B8">
      <w:start w:val="1"/>
      <w:numFmt w:val="lowerLetter"/>
      <w:lvlText w:val="(%1)"/>
      <w:lvlJc w:val="left"/>
      <w:pPr>
        <w:ind w:left="234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B25E4B"/>
    <w:multiLevelType w:val="hybridMultilevel"/>
    <w:tmpl w:val="842ACDE0"/>
    <w:lvl w:ilvl="0" w:tplc="8E72589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891A86"/>
    <w:multiLevelType w:val="hybridMultilevel"/>
    <w:tmpl w:val="9D3A597E"/>
    <w:lvl w:ilvl="0" w:tplc="BCBC0E1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78F93102"/>
    <w:multiLevelType w:val="hybridMultilevel"/>
    <w:tmpl w:val="36BE87D8"/>
    <w:lvl w:ilvl="0" w:tplc="547203DA">
      <w:start w:val="1"/>
      <w:numFmt w:val="decimal"/>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7CE81377"/>
    <w:multiLevelType w:val="hybridMultilevel"/>
    <w:tmpl w:val="3ED87736"/>
    <w:lvl w:ilvl="0" w:tplc="7A5CBC96">
      <w:start w:val="1"/>
      <w:numFmt w:val="decimal"/>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7E1D696B"/>
    <w:multiLevelType w:val="hybridMultilevel"/>
    <w:tmpl w:val="49800604"/>
    <w:lvl w:ilvl="0" w:tplc="20000017">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914085"/>
    <w:multiLevelType w:val="hybridMultilevel"/>
    <w:tmpl w:val="7EFAB1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66362518">
    <w:abstractNumId w:val="41"/>
  </w:num>
  <w:num w:numId="2" w16cid:durableId="243998036">
    <w:abstractNumId w:val="38"/>
  </w:num>
  <w:num w:numId="3" w16cid:durableId="1449739610">
    <w:abstractNumId w:val="16"/>
  </w:num>
  <w:num w:numId="4" w16cid:durableId="246771301">
    <w:abstractNumId w:val="23"/>
  </w:num>
  <w:num w:numId="5" w16cid:durableId="2091004728">
    <w:abstractNumId w:val="11"/>
  </w:num>
  <w:num w:numId="6" w16cid:durableId="1410494674">
    <w:abstractNumId w:val="10"/>
  </w:num>
  <w:num w:numId="7" w16cid:durableId="830753744">
    <w:abstractNumId w:val="9"/>
  </w:num>
  <w:num w:numId="8" w16cid:durableId="1197619952">
    <w:abstractNumId w:val="20"/>
  </w:num>
  <w:num w:numId="9" w16cid:durableId="1767731846">
    <w:abstractNumId w:val="4"/>
  </w:num>
  <w:num w:numId="10" w16cid:durableId="1701395572">
    <w:abstractNumId w:val="32"/>
  </w:num>
  <w:num w:numId="11" w16cid:durableId="392240224">
    <w:abstractNumId w:val="15"/>
  </w:num>
  <w:num w:numId="12" w16cid:durableId="929696416">
    <w:abstractNumId w:val="24"/>
  </w:num>
  <w:num w:numId="13" w16cid:durableId="401416916">
    <w:abstractNumId w:val="47"/>
  </w:num>
  <w:num w:numId="14" w16cid:durableId="1466192206">
    <w:abstractNumId w:val="33"/>
  </w:num>
  <w:num w:numId="15" w16cid:durableId="1851485008">
    <w:abstractNumId w:val="28"/>
  </w:num>
  <w:num w:numId="16" w16cid:durableId="1187910209">
    <w:abstractNumId w:val="27"/>
  </w:num>
  <w:num w:numId="17" w16cid:durableId="896472420">
    <w:abstractNumId w:val="7"/>
  </w:num>
  <w:num w:numId="18" w16cid:durableId="172689222">
    <w:abstractNumId w:val="46"/>
  </w:num>
  <w:num w:numId="19" w16cid:durableId="1108307258">
    <w:abstractNumId w:val="34"/>
  </w:num>
  <w:num w:numId="20" w16cid:durableId="1700158192">
    <w:abstractNumId w:val="40"/>
  </w:num>
  <w:num w:numId="21" w16cid:durableId="1398092592">
    <w:abstractNumId w:val="14"/>
  </w:num>
  <w:num w:numId="22" w16cid:durableId="1038554869">
    <w:abstractNumId w:val="18"/>
  </w:num>
  <w:num w:numId="23" w16cid:durableId="843012368">
    <w:abstractNumId w:val="0"/>
  </w:num>
  <w:num w:numId="24" w16cid:durableId="2057386736">
    <w:abstractNumId w:val="35"/>
  </w:num>
  <w:num w:numId="25" w16cid:durableId="1037045637">
    <w:abstractNumId w:val="8"/>
  </w:num>
  <w:num w:numId="26" w16cid:durableId="1466921952">
    <w:abstractNumId w:val="1"/>
  </w:num>
  <w:num w:numId="27" w16cid:durableId="384376478">
    <w:abstractNumId w:val="2"/>
  </w:num>
  <w:num w:numId="28" w16cid:durableId="1798138573">
    <w:abstractNumId w:val="45"/>
  </w:num>
  <w:num w:numId="29" w16cid:durableId="1151674946">
    <w:abstractNumId w:val="25"/>
  </w:num>
  <w:num w:numId="30" w16cid:durableId="560605886">
    <w:abstractNumId w:val="26"/>
  </w:num>
  <w:num w:numId="31" w16cid:durableId="477304817">
    <w:abstractNumId w:val="31"/>
  </w:num>
  <w:num w:numId="32" w16cid:durableId="1365448045">
    <w:abstractNumId w:val="6"/>
  </w:num>
  <w:num w:numId="33" w16cid:durableId="1010983699">
    <w:abstractNumId w:val="17"/>
  </w:num>
  <w:num w:numId="34" w16cid:durableId="9184716">
    <w:abstractNumId w:val="29"/>
  </w:num>
  <w:num w:numId="35" w16cid:durableId="2008512711">
    <w:abstractNumId w:val="43"/>
  </w:num>
  <w:num w:numId="36" w16cid:durableId="636031356">
    <w:abstractNumId w:val="5"/>
  </w:num>
  <w:num w:numId="37" w16cid:durableId="1928464041">
    <w:abstractNumId w:val="44"/>
  </w:num>
  <w:num w:numId="38" w16cid:durableId="542140385">
    <w:abstractNumId w:val="21"/>
  </w:num>
  <w:num w:numId="39" w16cid:durableId="1350060872">
    <w:abstractNumId w:val="39"/>
  </w:num>
  <w:num w:numId="40" w16cid:durableId="1540390261">
    <w:abstractNumId w:val="30"/>
  </w:num>
  <w:num w:numId="41" w16cid:durableId="896087773">
    <w:abstractNumId w:val="3"/>
  </w:num>
  <w:num w:numId="42" w16cid:durableId="526142501">
    <w:abstractNumId w:val="36"/>
  </w:num>
  <w:num w:numId="43" w16cid:durableId="1764522289">
    <w:abstractNumId w:val="13"/>
  </w:num>
  <w:num w:numId="44" w16cid:durableId="675156656">
    <w:abstractNumId w:val="19"/>
  </w:num>
  <w:num w:numId="45" w16cid:durableId="573973585">
    <w:abstractNumId w:val="42"/>
  </w:num>
  <w:num w:numId="46" w16cid:durableId="2029062265">
    <w:abstractNumId w:val="12"/>
  </w:num>
  <w:num w:numId="47" w16cid:durableId="376122400">
    <w:abstractNumId w:val="37"/>
  </w:num>
  <w:num w:numId="48" w16cid:durableId="1166363627">
    <w:abstractNumId w:val="22"/>
  </w:num>
  <w:num w:numId="49" w16cid:durableId="2003702808">
    <w:abstractNumId w:val="4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2387"/>
    <w:rsid w:val="0000437B"/>
    <w:rsid w:val="00007BF3"/>
    <w:rsid w:val="0001040C"/>
    <w:rsid w:val="00010809"/>
    <w:rsid w:val="00010BA0"/>
    <w:rsid w:val="000128BC"/>
    <w:rsid w:val="00013DB9"/>
    <w:rsid w:val="000168DB"/>
    <w:rsid w:val="00017F87"/>
    <w:rsid w:val="00020557"/>
    <w:rsid w:val="00021B9A"/>
    <w:rsid w:val="00021FC2"/>
    <w:rsid w:val="000250C7"/>
    <w:rsid w:val="00026D4A"/>
    <w:rsid w:val="00026F16"/>
    <w:rsid w:val="00032647"/>
    <w:rsid w:val="00034185"/>
    <w:rsid w:val="00036131"/>
    <w:rsid w:val="00037621"/>
    <w:rsid w:val="00044D46"/>
    <w:rsid w:val="00045088"/>
    <w:rsid w:val="00045904"/>
    <w:rsid w:val="00046FA0"/>
    <w:rsid w:val="000502FD"/>
    <w:rsid w:val="0005076F"/>
    <w:rsid w:val="00057102"/>
    <w:rsid w:val="00057A4B"/>
    <w:rsid w:val="000601B0"/>
    <w:rsid w:val="00065166"/>
    <w:rsid w:val="00067A6A"/>
    <w:rsid w:val="00070322"/>
    <w:rsid w:val="00072465"/>
    <w:rsid w:val="000736FD"/>
    <w:rsid w:val="00074890"/>
    <w:rsid w:val="00075F25"/>
    <w:rsid w:val="00082609"/>
    <w:rsid w:val="000831F4"/>
    <w:rsid w:val="000851CC"/>
    <w:rsid w:val="00087F21"/>
    <w:rsid w:val="00093BE8"/>
    <w:rsid w:val="00094320"/>
    <w:rsid w:val="000A1AC9"/>
    <w:rsid w:val="000A407B"/>
    <w:rsid w:val="000A463E"/>
    <w:rsid w:val="000A68ED"/>
    <w:rsid w:val="000B05A3"/>
    <w:rsid w:val="000B1C00"/>
    <w:rsid w:val="000B5A15"/>
    <w:rsid w:val="000B5FF1"/>
    <w:rsid w:val="000B609F"/>
    <w:rsid w:val="000C0018"/>
    <w:rsid w:val="000D55A8"/>
    <w:rsid w:val="000D5F3A"/>
    <w:rsid w:val="000D699D"/>
    <w:rsid w:val="000E4841"/>
    <w:rsid w:val="000E7430"/>
    <w:rsid w:val="000E799E"/>
    <w:rsid w:val="000E7B06"/>
    <w:rsid w:val="000F1677"/>
    <w:rsid w:val="000F3D6C"/>
    <w:rsid w:val="000F5C1E"/>
    <w:rsid w:val="00100999"/>
    <w:rsid w:val="00101707"/>
    <w:rsid w:val="00102CC9"/>
    <w:rsid w:val="0010593A"/>
    <w:rsid w:val="00110CD5"/>
    <w:rsid w:val="0011473D"/>
    <w:rsid w:val="00115C85"/>
    <w:rsid w:val="00123305"/>
    <w:rsid w:val="00123855"/>
    <w:rsid w:val="00126A4D"/>
    <w:rsid w:val="0013507A"/>
    <w:rsid w:val="0014171F"/>
    <w:rsid w:val="00142B28"/>
    <w:rsid w:val="0014622C"/>
    <w:rsid w:val="00151074"/>
    <w:rsid w:val="00152348"/>
    <w:rsid w:val="0015456D"/>
    <w:rsid w:val="00155FA2"/>
    <w:rsid w:val="00161F1B"/>
    <w:rsid w:val="00162829"/>
    <w:rsid w:val="00163F74"/>
    <w:rsid w:val="00165552"/>
    <w:rsid w:val="00165C25"/>
    <w:rsid w:val="00167DE5"/>
    <w:rsid w:val="00180548"/>
    <w:rsid w:val="00180AC4"/>
    <w:rsid w:val="00180CCE"/>
    <w:rsid w:val="00181AD4"/>
    <w:rsid w:val="0018267A"/>
    <w:rsid w:val="00182779"/>
    <w:rsid w:val="00182E4C"/>
    <w:rsid w:val="001830DF"/>
    <w:rsid w:val="001844D8"/>
    <w:rsid w:val="001866CE"/>
    <w:rsid w:val="00193428"/>
    <w:rsid w:val="001966D9"/>
    <w:rsid w:val="00197DC4"/>
    <w:rsid w:val="00197FB3"/>
    <w:rsid w:val="001A007A"/>
    <w:rsid w:val="001A14CE"/>
    <w:rsid w:val="001A24A1"/>
    <w:rsid w:val="001A3C3B"/>
    <w:rsid w:val="001A7E9A"/>
    <w:rsid w:val="001B0949"/>
    <w:rsid w:val="001B0F70"/>
    <w:rsid w:val="001B180D"/>
    <w:rsid w:val="001B5016"/>
    <w:rsid w:val="001B6568"/>
    <w:rsid w:val="001B67D4"/>
    <w:rsid w:val="001C0199"/>
    <w:rsid w:val="001C0CA8"/>
    <w:rsid w:val="001C1ACF"/>
    <w:rsid w:val="001C2AD4"/>
    <w:rsid w:val="001C45BF"/>
    <w:rsid w:val="001C45FC"/>
    <w:rsid w:val="001C6BC7"/>
    <w:rsid w:val="001D0469"/>
    <w:rsid w:val="001D29C0"/>
    <w:rsid w:val="001D4862"/>
    <w:rsid w:val="001D736F"/>
    <w:rsid w:val="001D7A0B"/>
    <w:rsid w:val="001E11FC"/>
    <w:rsid w:val="001E25B9"/>
    <w:rsid w:val="001E2A61"/>
    <w:rsid w:val="001E49E0"/>
    <w:rsid w:val="001E644D"/>
    <w:rsid w:val="001E7B5A"/>
    <w:rsid w:val="001F3C6C"/>
    <w:rsid w:val="001F649E"/>
    <w:rsid w:val="001F7412"/>
    <w:rsid w:val="0020090A"/>
    <w:rsid w:val="00202DFE"/>
    <w:rsid w:val="0020725B"/>
    <w:rsid w:val="002110F1"/>
    <w:rsid w:val="00217071"/>
    <w:rsid w:val="00224F16"/>
    <w:rsid w:val="00225ADF"/>
    <w:rsid w:val="00231840"/>
    <w:rsid w:val="00235525"/>
    <w:rsid w:val="002356EA"/>
    <w:rsid w:val="0024116D"/>
    <w:rsid w:val="002414D3"/>
    <w:rsid w:val="00241B44"/>
    <w:rsid w:val="00241FA3"/>
    <w:rsid w:val="00243C3C"/>
    <w:rsid w:val="00245EFB"/>
    <w:rsid w:val="0025386E"/>
    <w:rsid w:val="00261D4D"/>
    <w:rsid w:val="002638B0"/>
    <w:rsid w:val="0026647A"/>
    <w:rsid w:val="002668D3"/>
    <w:rsid w:val="00271282"/>
    <w:rsid w:val="00271D0E"/>
    <w:rsid w:val="0027299F"/>
    <w:rsid w:val="002806CD"/>
    <w:rsid w:val="002837DA"/>
    <w:rsid w:val="0028381B"/>
    <w:rsid w:val="002843A1"/>
    <w:rsid w:val="00284EBE"/>
    <w:rsid w:val="00286642"/>
    <w:rsid w:val="002903A7"/>
    <w:rsid w:val="002908C7"/>
    <w:rsid w:val="00290F1A"/>
    <w:rsid w:val="0029433F"/>
    <w:rsid w:val="00294829"/>
    <w:rsid w:val="0029690F"/>
    <w:rsid w:val="00297C8A"/>
    <w:rsid w:val="002A2A60"/>
    <w:rsid w:val="002A37BB"/>
    <w:rsid w:val="002B1C45"/>
    <w:rsid w:val="002C00B4"/>
    <w:rsid w:val="002C13C8"/>
    <w:rsid w:val="002C3547"/>
    <w:rsid w:val="002C4CE9"/>
    <w:rsid w:val="002C6462"/>
    <w:rsid w:val="002D0021"/>
    <w:rsid w:val="002D299D"/>
    <w:rsid w:val="002D30E7"/>
    <w:rsid w:val="002D3473"/>
    <w:rsid w:val="002E46A1"/>
    <w:rsid w:val="002F1956"/>
    <w:rsid w:val="002F3440"/>
    <w:rsid w:val="002F75A3"/>
    <w:rsid w:val="0030392B"/>
    <w:rsid w:val="00303C2F"/>
    <w:rsid w:val="003144EF"/>
    <w:rsid w:val="00321FE0"/>
    <w:rsid w:val="00323C8D"/>
    <w:rsid w:val="00324939"/>
    <w:rsid w:val="00325301"/>
    <w:rsid w:val="00326292"/>
    <w:rsid w:val="00326415"/>
    <w:rsid w:val="00330937"/>
    <w:rsid w:val="00330C70"/>
    <w:rsid w:val="00330F31"/>
    <w:rsid w:val="003311A1"/>
    <w:rsid w:val="00334648"/>
    <w:rsid w:val="0033652B"/>
    <w:rsid w:val="00336EC7"/>
    <w:rsid w:val="0033768C"/>
    <w:rsid w:val="00337938"/>
    <w:rsid w:val="00340769"/>
    <w:rsid w:val="00341AA6"/>
    <w:rsid w:val="003518BB"/>
    <w:rsid w:val="00355EF3"/>
    <w:rsid w:val="00360797"/>
    <w:rsid w:val="00361A0A"/>
    <w:rsid w:val="003636CF"/>
    <w:rsid w:val="00364836"/>
    <w:rsid w:val="00364FC3"/>
    <w:rsid w:val="0036565C"/>
    <w:rsid w:val="0036625E"/>
    <w:rsid w:val="0037383A"/>
    <w:rsid w:val="0037465A"/>
    <w:rsid w:val="003748D8"/>
    <w:rsid w:val="003765EF"/>
    <w:rsid w:val="003802B1"/>
    <w:rsid w:val="003818B8"/>
    <w:rsid w:val="003829DB"/>
    <w:rsid w:val="00382C98"/>
    <w:rsid w:val="003845E1"/>
    <w:rsid w:val="0038533C"/>
    <w:rsid w:val="00385973"/>
    <w:rsid w:val="00386568"/>
    <w:rsid w:val="00386801"/>
    <w:rsid w:val="00390B57"/>
    <w:rsid w:val="00392520"/>
    <w:rsid w:val="00394043"/>
    <w:rsid w:val="003948D5"/>
    <w:rsid w:val="00396821"/>
    <w:rsid w:val="00397D3A"/>
    <w:rsid w:val="003A051E"/>
    <w:rsid w:val="003A16CC"/>
    <w:rsid w:val="003A7063"/>
    <w:rsid w:val="003B170F"/>
    <w:rsid w:val="003B3C5F"/>
    <w:rsid w:val="003B43F5"/>
    <w:rsid w:val="003B6575"/>
    <w:rsid w:val="003B66CB"/>
    <w:rsid w:val="003C10EB"/>
    <w:rsid w:val="003C4471"/>
    <w:rsid w:val="003C4A9D"/>
    <w:rsid w:val="003D0A6D"/>
    <w:rsid w:val="003D26E9"/>
    <w:rsid w:val="003D6D37"/>
    <w:rsid w:val="003D7879"/>
    <w:rsid w:val="003E0B16"/>
    <w:rsid w:val="003E10A7"/>
    <w:rsid w:val="003E220B"/>
    <w:rsid w:val="003E35D7"/>
    <w:rsid w:val="003E67D1"/>
    <w:rsid w:val="003E7916"/>
    <w:rsid w:val="003F2CE6"/>
    <w:rsid w:val="003F73C7"/>
    <w:rsid w:val="004017D4"/>
    <w:rsid w:val="00402F6C"/>
    <w:rsid w:val="00404329"/>
    <w:rsid w:val="00405DC1"/>
    <w:rsid w:val="00410154"/>
    <w:rsid w:val="00411D40"/>
    <w:rsid w:val="0041438F"/>
    <w:rsid w:val="00415F1F"/>
    <w:rsid w:val="0042108F"/>
    <w:rsid w:val="00422BED"/>
    <w:rsid w:val="00423E1F"/>
    <w:rsid w:val="00427916"/>
    <w:rsid w:val="00430FED"/>
    <w:rsid w:val="00434A8C"/>
    <w:rsid w:val="0043616E"/>
    <w:rsid w:val="00437297"/>
    <w:rsid w:val="00441D30"/>
    <w:rsid w:val="004421FB"/>
    <w:rsid w:val="00444284"/>
    <w:rsid w:val="00445CE6"/>
    <w:rsid w:val="004534C2"/>
    <w:rsid w:val="0045446F"/>
    <w:rsid w:val="0045683E"/>
    <w:rsid w:val="00457212"/>
    <w:rsid w:val="004642F9"/>
    <w:rsid w:val="00470825"/>
    <w:rsid w:val="004711FA"/>
    <w:rsid w:val="004752A3"/>
    <w:rsid w:val="00475CF3"/>
    <w:rsid w:val="00477C72"/>
    <w:rsid w:val="0048322C"/>
    <w:rsid w:val="00485546"/>
    <w:rsid w:val="004914D1"/>
    <w:rsid w:val="00491675"/>
    <w:rsid w:val="00493855"/>
    <w:rsid w:val="00495E79"/>
    <w:rsid w:val="00496120"/>
    <w:rsid w:val="00496506"/>
    <w:rsid w:val="004A080B"/>
    <w:rsid w:val="004A2D83"/>
    <w:rsid w:val="004A57DD"/>
    <w:rsid w:val="004A7B51"/>
    <w:rsid w:val="004A7D71"/>
    <w:rsid w:val="004A7EF3"/>
    <w:rsid w:val="004B11FD"/>
    <w:rsid w:val="004B23A2"/>
    <w:rsid w:val="004B7324"/>
    <w:rsid w:val="004C54DD"/>
    <w:rsid w:val="004C6AAE"/>
    <w:rsid w:val="004D1A5A"/>
    <w:rsid w:val="004D2FFF"/>
    <w:rsid w:val="004D3721"/>
    <w:rsid w:val="004D64F9"/>
    <w:rsid w:val="004D7492"/>
    <w:rsid w:val="004E1679"/>
    <w:rsid w:val="004E3A6B"/>
    <w:rsid w:val="004E622C"/>
    <w:rsid w:val="004F5FDF"/>
    <w:rsid w:val="004F7E2E"/>
    <w:rsid w:val="005036D4"/>
    <w:rsid w:val="00505101"/>
    <w:rsid w:val="005051E4"/>
    <w:rsid w:val="00516F5E"/>
    <w:rsid w:val="005177FE"/>
    <w:rsid w:val="0052263B"/>
    <w:rsid w:val="005234E4"/>
    <w:rsid w:val="00524728"/>
    <w:rsid w:val="00527C3C"/>
    <w:rsid w:val="00532D51"/>
    <w:rsid w:val="005331CA"/>
    <w:rsid w:val="00533A07"/>
    <w:rsid w:val="00537970"/>
    <w:rsid w:val="00540E3A"/>
    <w:rsid w:val="005410B2"/>
    <w:rsid w:val="00544127"/>
    <w:rsid w:val="005463A9"/>
    <w:rsid w:val="00550F1E"/>
    <w:rsid w:val="00553EB2"/>
    <w:rsid w:val="00554056"/>
    <w:rsid w:val="00560534"/>
    <w:rsid w:val="0056342D"/>
    <w:rsid w:val="0056391B"/>
    <w:rsid w:val="00563FF1"/>
    <w:rsid w:val="005650E2"/>
    <w:rsid w:val="00567AD7"/>
    <w:rsid w:val="005718A1"/>
    <w:rsid w:val="00573B58"/>
    <w:rsid w:val="00575B2D"/>
    <w:rsid w:val="00576A62"/>
    <w:rsid w:val="005770B5"/>
    <w:rsid w:val="005778B6"/>
    <w:rsid w:val="005833D0"/>
    <w:rsid w:val="005846F3"/>
    <w:rsid w:val="00584DAD"/>
    <w:rsid w:val="005861F1"/>
    <w:rsid w:val="0058622F"/>
    <w:rsid w:val="00592DD6"/>
    <w:rsid w:val="00592F82"/>
    <w:rsid w:val="00593136"/>
    <w:rsid w:val="005A0CCA"/>
    <w:rsid w:val="005A6FF2"/>
    <w:rsid w:val="005A726D"/>
    <w:rsid w:val="005A72E8"/>
    <w:rsid w:val="005B40A2"/>
    <w:rsid w:val="005B455D"/>
    <w:rsid w:val="005B67AC"/>
    <w:rsid w:val="005B79F4"/>
    <w:rsid w:val="005C0EC4"/>
    <w:rsid w:val="005C0FB3"/>
    <w:rsid w:val="005C4074"/>
    <w:rsid w:val="005D093D"/>
    <w:rsid w:val="005D0C46"/>
    <w:rsid w:val="005D16DD"/>
    <w:rsid w:val="005D1F82"/>
    <w:rsid w:val="005D43E0"/>
    <w:rsid w:val="005D446E"/>
    <w:rsid w:val="005D54B3"/>
    <w:rsid w:val="005D58A3"/>
    <w:rsid w:val="005D5FD8"/>
    <w:rsid w:val="005D69FB"/>
    <w:rsid w:val="005E1B79"/>
    <w:rsid w:val="005E1DF0"/>
    <w:rsid w:val="005E6076"/>
    <w:rsid w:val="005E7008"/>
    <w:rsid w:val="005F026D"/>
    <w:rsid w:val="005F2AEA"/>
    <w:rsid w:val="005F2D0B"/>
    <w:rsid w:val="005F38FD"/>
    <w:rsid w:val="005F4B31"/>
    <w:rsid w:val="00601C58"/>
    <w:rsid w:val="00605C88"/>
    <w:rsid w:val="00610388"/>
    <w:rsid w:val="0061050E"/>
    <w:rsid w:val="00610AC7"/>
    <w:rsid w:val="00612CA5"/>
    <w:rsid w:val="006153EC"/>
    <w:rsid w:val="00617DF3"/>
    <w:rsid w:val="00621A17"/>
    <w:rsid w:val="00624F7F"/>
    <w:rsid w:val="00625209"/>
    <w:rsid w:val="006262DA"/>
    <w:rsid w:val="00627CC9"/>
    <w:rsid w:val="00627E7B"/>
    <w:rsid w:val="00630542"/>
    <w:rsid w:val="0063094E"/>
    <w:rsid w:val="00630C2F"/>
    <w:rsid w:val="00632E44"/>
    <w:rsid w:val="00634622"/>
    <w:rsid w:val="00636808"/>
    <w:rsid w:val="00641515"/>
    <w:rsid w:val="00653613"/>
    <w:rsid w:val="00654C2F"/>
    <w:rsid w:val="00657087"/>
    <w:rsid w:val="0066105D"/>
    <w:rsid w:val="0066138A"/>
    <w:rsid w:val="006639DB"/>
    <w:rsid w:val="006661EF"/>
    <w:rsid w:val="00671C30"/>
    <w:rsid w:val="00674DE4"/>
    <w:rsid w:val="00677AEB"/>
    <w:rsid w:val="00680E94"/>
    <w:rsid w:val="00680EF2"/>
    <w:rsid w:val="006835FF"/>
    <w:rsid w:val="0068654D"/>
    <w:rsid w:val="00687A1D"/>
    <w:rsid w:val="00690B0B"/>
    <w:rsid w:val="006934CF"/>
    <w:rsid w:val="00697EA1"/>
    <w:rsid w:val="006A2646"/>
    <w:rsid w:val="006A6530"/>
    <w:rsid w:val="006B1AE2"/>
    <w:rsid w:val="006B3BF7"/>
    <w:rsid w:val="006B435A"/>
    <w:rsid w:val="006B4C64"/>
    <w:rsid w:val="006B5058"/>
    <w:rsid w:val="006B5069"/>
    <w:rsid w:val="006C352A"/>
    <w:rsid w:val="006D02CE"/>
    <w:rsid w:val="006D4029"/>
    <w:rsid w:val="006D6BD5"/>
    <w:rsid w:val="006E481A"/>
    <w:rsid w:val="006E5298"/>
    <w:rsid w:val="006E59E5"/>
    <w:rsid w:val="006E6B20"/>
    <w:rsid w:val="006F22B2"/>
    <w:rsid w:val="006F4022"/>
    <w:rsid w:val="006F4751"/>
    <w:rsid w:val="006F4A78"/>
    <w:rsid w:val="006F596D"/>
    <w:rsid w:val="006F734A"/>
    <w:rsid w:val="006F73CA"/>
    <w:rsid w:val="00700D83"/>
    <w:rsid w:val="007020B5"/>
    <w:rsid w:val="007034ED"/>
    <w:rsid w:val="00704852"/>
    <w:rsid w:val="007074E9"/>
    <w:rsid w:val="0071143E"/>
    <w:rsid w:val="00711999"/>
    <w:rsid w:val="00711C71"/>
    <w:rsid w:val="00713958"/>
    <w:rsid w:val="00713DA4"/>
    <w:rsid w:val="00714BF1"/>
    <w:rsid w:val="00721383"/>
    <w:rsid w:val="00727172"/>
    <w:rsid w:val="0073158B"/>
    <w:rsid w:val="007333CC"/>
    <w:rsid w:val="0073399A"/>
    <w:rsid w:val="00737749"/>
    <w:rsid w:val="00740DAD"/>
    <w:rsid w:val="00742110"/>
    <w:rsid w:val="007454FF"/>
    <w:rsid w:val="0075293F"/>
    <w:rsid w:val="007603F5"/>
    <w:rsid w:val="0076068A"/>
    <w:rsid w:val="007612DF"/>
    <w:rsid w:val="00761938"/>
    <w:rsid w:val="007624C9"/>
    <w:rsid w:val="00763DD7"/>
    <w:rsid w:val="00764352"/>
    <w:rsid w:val="00764DB0"/>
    <w:rsid w:val="0076557C"/>
    <w:rsid w:val="00766DE4"/>
    <w:rsid w:val="0076764D"/>
    <w:rsid w:val="0077498C"/>
    <w:rsid w:val="00776358"/>
    <w:rsid w:val="007777F8"/>
    <w:rsid w:val="007809BC"/>
    <w:rsid w:val="00784128"/>
    <w:rsid w:val="007854A0"/>
    <w:rsid w:val="00785A24"/>
    <w:rsid w:val="00787BCC"/>
    <w:rsid w:val="00790F13"/>
    <w:rsid w:val="00793173"/>
    <w:rsid w:val="00794B06"/>
    <w:rsid w:val="007A06A0"/>
    <w:rsid w:val="007A2A33"/>
    <w:rsid w:val="007A3657"/>
    <w:rsid w:val="007A38A1"/>
    <w:rsid w:val="007B5C89"/>
    <w:rsid w:val="007C0C40"/>
    <w:rsid w:val="007C1FCC"/>
    <w:rsid w:val="007C30D5"/>
    <w:rsid w:val="007C4AE9"/>
    <w:rsid w:val="007C6201"/>
    <w:rsid w:val="007C625D"/>
    <w:rsid w:val="007D0784"/>
    <w:rsid w:val="007D169D"/>
    <w:rsid w:val="007D2BFE"/>
    <w:rsid w:val="007D7C92"/>
    <w:rsid w:val="007E1154"/>
    <w:rsid w:val="007E1E1F"/>
    <w:rsid w:val="007E6BA4"/>
    <w:rsid w:val="007F1FE7"/>
    <w:rsid w:val="007F39C7"/>
    <w:rsid w:val="007F41F8"/>
    <w:rsid w:val="007F659B"/>
    <w:rsid w:val="007F67EC"/>
    <w:rsid w:val="00800770"/>
    <w:rsid w:val="008023B6"/>
    <w:rsid w:val="00802E21"/>
    <w:rsid w:val="0080454E"/>
    <w:rsid w:val="00804C32"/>
    <w:rsid w:val="00806302"/>
    <w:rsid w:val="00807119"/>
    <w:rsid w:val="008073CB"/>
    <w:rsid w:val="00807B9A"/>
    <w:rsid w:val="00810635"/>
    <w:rsid w:val="00811909"/>
    <w:rsid w:val="008124FE"/>
    <w:rsid w:val="00813238"/>
    <w:rsid w:val="0081669A"/>
    <w:rsid w:val="0082483F"/>
    <w:rsid w:val="00824E43"/>
    <w:rsid w:val="008279C0"/>
    <w:rsid w:val="00834CEF"/>
    <w:rsid w:val="00844E12"/>
    <w:rsid w:val="00847783"/>
    <w:rsid w:val="00852D90"/>
    <w:rsid w:val="008558D6"/>
    <w:rsid w:val="00867701"/>
    <w:rsid w:val="008707C4"/>
    <w:rsid w:val="008723F3"/>
    <w:rsid w:val="00874F97"/>
    <w:rsid w:val="00876F56"/>
    <w:rsid w:val="00881D1B"/>
    <w:rsid w:val="00881DE6"/>
    <w:rsid w:val="008837A6"/>
    <w:rsid w:val="00884C75"/>
    <w:rsid w:val="0088696E"/>
    <w:rsid w:val="0089145D"/>
    <w:rsid w:val="00893B7C"/>
    <w:rsid w:val="008966C4"/>
    <w:rsid w:val="00897D68"/>
    <w:rsid w:val="008A010D"/>
    <w:rsid w:val="008A298C"/>
    <w:rsid w:val="008A384D"/>
    <w:rsid w:val="008A4DF2"/>
    <w:rsid w:val="008A6CFE"/>
    <w:rsid w:val="008B004B"/>
    <w:rsid w:val="008B181A"/>
    <w:rsid w:val="008B3F8F"/>
    <w:rsid w:val="008B5333"/>
    <w:rsid w:val="008B6223"/>
    <w:rsid w:val="008C0367"/>
    <w:rsid w:val="008C1A8F"/>
    <w:rsid w:val="008C2824"/>
    <w:rsid w:val="008C3ABA"/>
    <w:rsid w:val="008C41F2"/>
    <w:rsid w:val="008C5C97"/>
    <w:rsid w:val="008C66E0"/>
    <w:rsid w:val="008D020A"/>
    <w:rsid w:val="008D0378"/>
    <w:rsid w:val="008D0B4D"/>
    <w:rsid w:val="008D14A0"/>
    <w:rsid w:val="008D15EF"/>
    <w:rsid w:val="008D1885"/>
    <w:rsid w:val="008D1D63"/>
    <w:rsid w:val="008E3339"/>
    <w:rsid w:val="008E7073"/>
    <w:rsid w:val="008E7E9E"/>
    <w:rsid w:val="008F20FC"/>
    <w:rsid w:val="008F4673"/>
    <w:rsid w:val="008F5FFE"/>
    <w:rsid w:val="00905A43"/>
    <w:rsid w:val="009119E1"/>
    <w:rsid w:val="00912C79"/>
    <w:rsid w:val="00917FE6"/>
    <w:rsid w:val="00921B8C"/>
    <w:rsid w:val="0092720F"/>
    <w:rsid w:val="009337CE"/>
    <w:rsid w:val="00940AE5"/>
    <w:rsid w:val="00942123"/>
    <w:rsid w:val="00947A53"/>
    <w:rsid w:val="0095207B"/>
    <w:rsid w:val="009523E7"/>
    <w:rsid w:val="00953E51"/>
    <w:rsid w:val="009578F6"/>
    <w:rsid w:val="00962045"/>
    <w:rsid w:val="00966B3B"/>
    <w:rsid w:val="00974733"/>
    <w:rsid w:val="00977897"/>
    <w:rsid w:val="00980E61"/>
    <w:rsid w:val="0098256E"/>
    <w:rsid w:val="009903F7"/>
    <w:rsid w:val="00991428"/>
    <w:rsid w:val="00992676"/>
    <w:rsid w:val="00993D16"/>
    <w:rsid w:val="009954B2"/>
    <w:rsid w:val="00996691"/>
    <w:rsid w:val="009A099A"/>
    <w:rsid w:val="009A3A68"/>
    <w:rsid w:val="009A3AB7"/>
    <w:rsid w:val="009A5497"/>
    <w:rsid w:val="009B0207"/>
    <w:rsid w:val="009B0723"/>
    <w:rsid w:val="009B07AD"/>
    <w:rsid w:val="009B0883"/>
    <w:rsid w:val="009B15E2"/>
    <w:rsid w:val="009B4171"/>
    <w:rsid w:val="009B459D"/>
    <w:rsid w:val="009B4976"/>
    <w:rsid w:val="009B5D5A"/>
    <w:rsid w:val="009C0B8E"/>
    <w:rsid w:val="009C1550"/>
    <w:rsid w:val="009C1BC8"/>
    <w:rsid w:val="009C2442"/>
    <w:rsid w:val="009D0811"/>
    <w:rsid w:val="009D0EE1"/>
    <w:rsid w:val="009D176D"/>
    <w:rsid w:val="009D53FC"/>
    <w:rsid w:val="009E2AEB"/>
    <w:rsid w:val="009E2E15"/>
    <w:rsid w:val="009E2E27"/>
    <w:rsid w:val="009E45DF"/>
    <w:rsid w:val="009E4DE3"/>
    <w:rsid w:val="009F275E"/>
    <w:rsid w:val="009F71B1"/>
    <w:rsid w:val="00A0319B"/>
    <w:rsid w:val="00A04565"/>
    <w:rsid w:val="00A047EE"/>
    <w:rsid w:val="00A076DF"/>
    <w:rsid w:val="00A10E74"/>
    <w:rsid w:val="00A1448A"/>
    <w:rsid w:val="00A2274A"/>
    <w:rsid w:val="00A235B7"/>
    <w:rsid w:val="00A2478A"/>
    <w:rsid w:val="00A27A7A"/>
    <w:rsid w:val="00A303C9"/>
    <w:rsid w:val="00A33D00"/>
    <w:rsid w:val="00A34ABE"/>
    <w:rsid w:val="00A3682F"/>
    <w:rsid w:val="00A36CF0"/>
    <w:rsid w:val="00A407EF"/>
    <w:rsid w:val="00A40856"/>
    <w:rsid w:val="00A43B07"/>
    <w:rsid w:val="00A46B4C"/>
    <w:rsid w:val="00A5117B"/>
    <w:rsid w:val="00A54572"/>
    <w:rsid w:val="00A56D34"/>
    <w:rsid w:val="00A60074"/>
    <w:rsid w:val="00A609B3"/>
    <w:rsid w:val="00A6325B"/>
    <w:rsid w:val="00A65D0F"/>
    <w:rsid w:val="00A6627B"/>
    <w:rsid w:val="00A6627C"/>
    <w:rsid w:val="00A706C7"/>
    <w:rsid w:val="00A71019"/>
    <w:rsid w:val="00A71DBE"/>
    <w:rsid w:val="00A81029"/>
    <w:rsid w:val="00A845F5"/>
    <w:rsid w:val="00A87BA2"/>
    <w:rsid w:val="00A92B6A"/>
    <w:rsid w:val="00A94314"/>
    <w:rsid w:val="00A95FAB"/>
    <w:rsid w:val="00A96489"/>
    <w:rsid w:val="00AA0C60"/>
    <w:rsid w:val="00AA2F1C"/>
    <w:rsid w:val="00AA37AB"/>
    <w:rsid w:val="00AA3AF4"/>
    <w:rsid w:val="00AB2425"/>
    <w:rsid w:val="00AB3C89"/>
    <w:rsid w:val="00AB473A"/>
    <w:rsid w:val="00AB685C"/>
    <w:rsid w:val="00AB6C2D"/>
    <w:rsid w:val="00AC08F7"/>
    <w:rsid w:val="00AC2213"/>
    <w:rsid w:val="00AC3839"/>
    <w:rsid w:val="00AC7082"/>
    <w:rsid w:val="00AC7EDE"/>
    <w:rsid w:val="00AD2D65"/>
    <w:rsid w:val="00AD4BE8"/>
    <w:rsid w:val="00AD5002"/>
    <w:rsid w:val="00AE4182"/>
    <w:rsid w:val="00AF228E"/>
    <w:rsid w:val="00AF5BBF"/>
    <w:rsid w:val="00B016A8"/>
    <w:rsid w:val="00B027B4"/>
    <w:rsid w:val="00B1340F"/>
    <w:rsid w:val="00B1395D"/>
    <w:rsid w:val="00B14819"/>
    <w:rsid w:val="00B15E2F"/>
    <w:rsid w:val="00B17AA9"/>
    <w:rsid w:val="00B200B5"/>
    <w:rsid w:val="00B20F00"/>
    <w:rsid w:val="00B22016"/>
    <w:rsid w:val="00B25814"/>
    <w:rsid w:val="00B326CD"/>
    <w:rsid w:val="00B352E3"/>
    <w:rsid w:val="00B371C1"/>
    <w:rsid w:val="00B4388B"/>
    <w:rsid w:val="00B44713"/>
    <w:rsid w:val="00B46A79"/>
    <w:rsid w:val="00B51B95"/>
    <w:rsid w:val="00B5317F"/>
    <w:rsid w:val="00B5423F"/>
    <w:rsid w:val="00B55F80"/>
    <w:rsid w:val="00B56103"/>
    <w:rsid w:val="00B64929"/>
    <w:rsid w:val="00B715D5"/>
    <w:rsid w:val="00B7351F"/>
    <w:rsid w:val="00B736DF"/>
    <w:rsid w:val="00B743D6"/>
    <w:rsid w:val="00B74FBD"/>
    <w:rsid w:val="00B77F46"/>
    <w:rsid w:val="00B811D2"/>
    <w:rsid w:val="00B81361"/>
    <w:rsid w:val="00B81F6E"/>
    <w:rsid w:val="00B82586"/>
    <w:rsid w:val="00B829A3"/>
    <w:rsid w:val="00B83D56"/>
    <w:rsid w:val="00B86DB1"/>
    <w:rsid w:val="00B87869"/>
    <w:rsid w:val="00B9639B"/>
    <w:rsid w:val="00BA05C6"/>
    <w:rsid w:val="00BA40B8"/>
    <w:rsid w:val="00BB0369"/>
    <w:rsid w:val="00BB0F2B"/>
    <w:rsid w:val="00BB16E8"/>
    <w:rsid w:val="00BB48AA"/>
    <w:rsid w:val="00BB550F"/>
    <w:rsid w:val="00BB7FC7"/>
    <w:rsid w:val="00BC2273"/>
    <w:rsid w:val="00BC2EDB"/>
    <w:rsid w:val="00BC52C2"/>
    <w:rsid w:val="00BC67EF"/>
    <w:rsid w:val="00BC7CF1"/>
    <w:rsid w:val="00BD155D"/>
    <w:rsid w:val="00BD2F2E"/>
    <w:rsid w:val="00BD3774"/>
    <w:rsid w:val="00BD4B9C"/>
    <w:rsid w:val="00BD68BF"/>
    <w:rsid w:val="00BE421E"/>
    <w:rsid w:val="00BE4C0C"/>
    <w:rsid w:val="00BE4FF3"/>
    <w:rsid w:val="00BF04AE"/>
    <w:rsid w:val="00BF0907"/>
    <w:rsid w:val="00BF1D00"/>
    <w:rsid w:val="00BF50F7"/>
    <w:rsid w:val="00BF5746"/>
    <w:rsid w:val="00C02F29"/>
    <w:rsid w:val="00C109E9"/>
    <w:rsid w:val="00C10AE5"/>
    <w:rsid w:val="00C17718"/>
    <w:rsid w:val="00C20AFE"/>
    <w:rsid w:val="00C22A25"/>
    <w:rsid w:val="00C2537F"/>
    <w:rsid w:val="00C328C8"/>
    <w:rsid w:val="00C35671"/>
    <w:rsid w:val="00C35B77"/>
    <w:rsid w:val="00C376EB"/>
    <w:rsid w:val="00C44889"/>
    <w:rsid w:val="00C46A92"/>
    <w:rsid w:val="00C46EC1"/>
    <w:rsid w:val="00C522C4"/>
    <w:rsid w:val="00C52796"/>
    <w:rsid w:val="00C53E2C"/>
    <w:rsid w:val="00C550C8"/>
    <w:rsid w:val="00C55824"/>
    <w:rsid w:val="00C56B61"/>
    <w:rsid w:val="00C606C3"/>
    <w:rsid w:val="00C620F4"/>
    <w:rsid w:val="00C64622"/>
    <w:rsid w:val="00C65176"/>
    <w:rsid w:val="00C67970"/>
    <w:rsid w:val="00C72848"/>
    <w:rsid w:val="00C74496"/>
    <w:rsid w:val="00C7736C"/>
    <w:rsid w:val="00C82D87"/>
    <w:rsid w:val="00C84389"/>
    <w:rsid w:val="00C850A6"/>
    <w:rsid w:val="00C8712A"/>
    <w:rsid w:val="00C902C8"/>
    <w:rsid w:val="00C919D1"/>
    <w:rsid w:val="00C9220A"/>
    <w:rsid w:val="00C93E5F"/>
    <w:rsid w:val="00C963D3"/>
    <w:rsid w:val="00C96BD0"/>
    <w:rsid w:val="00CB0227"/>
    <w:rsid w:val="00CB1983"/>
    <w:rsid w:val="00CB2CBB"/>
    <w:rsid w:val="00CB3C34"/>
    <w:rsid w:val="00CB7CAC"/>
    <w:rsid w:val="00CC5335"/>
    <w:rsid w:val="00CC5543"/>
    <w:rsid w:val="00CC5BA4"/>
    <w:rsid w:val="00CC704E"/>
    <w:rsid w:val="00CC7B60"/>
    <w:rsid w:val="00CD463D"/>
    <w:rsid w:val="00CD4998"/>
    <w:rsid w:val="00CD516C"/>
    <w:rsid w:val="00CE1035"/>
    <w:rsid w:val="00CE6C50"/>
    <w:rsid w:val="00CE6E50"/>
    <w:rsid w:val="00CE7AFA"/>
    <w:rsid w:val="00CF1E7A"/>
    <w:rsid w:val="00CF2819"/>
    <w:rsid w:val="00CF4F4A"/>
    <w:rsid w:val="00CF4F9D"/>
    <w:rsid w:val="00CF70DC"/>
    <w:rsid w:val="00CF78C1"/>
    <w:rsid w:val="00CF7946"/>
    <w:rsid w:val="00D027D9"/>
    <w:rsid w:val="00D148DC"/>
    <w:rsid w:val="00D17FDC"/>
    <w:rsid w:val="00D21CC1"/>
    <w:rsid w:val="00D21D8C"/>
    <w:rsid w:val="00D23CFC"/>
    <w:rsid w:val="00D27A96"/>
    <w:rsid w:val="00D32F39"/>
    <w:rsid w:val="00D37CB0"/>
    <w:rsid w:val="00D423E5"/>
    <w:rsid w:val="00D42B1D"/>
    <w:rsid w:val="00D43BE4"/>
    <w:rsid w:val="00D441F0"/>
    <w:rsid w:val="00D53430"/>
    <w:rsid w:val="00D53719"/>
    <w:rsid w:val="00D61481"/>
    <w:rsid w:val="00D61F95"/>
    <w:rsid w:val="00D63EFD"/>
    <w:rsid w:val="00D67A7A"/>
    <w:rsid w:val="00D67E78"/>
    <w:rsid w:val="00D70CF6"/>
    <w:rsid w:val="00D72189"/>
    <w:rsid w:val="00D74272"/>
    <w:rsid w:val="00D759CE"/>
    <w:rsid w:val="00D832A3"/>
    <w:rsid w:val="00D84752"/>
    <w:rsid w:val="00D84B4F"/>
    <w:rsid w:val="00D85257"/>
    <w:rsid w:val="00D86B3B"/>
    <w:rsid w:val="00D8748A"/>
    <w:rsid w:val="00D92542"/>
    <w:rsid w:val="00D93196"/>
    <w:rsid w:val="00D94882"/>
    <w:rsid w:val="00D94F60"/>
    <w:rsid w:val="00DA0DC0"/>
    <w:rsid w:val="00DA35F8"/>
    <w:rsid w:val="00DA5904"/>
    <w:rsid w:val="00DA753E"/>
    <w:rsid w:val="00DB243C"/>
    <w:rsid w:val="00DB482A"/>
    <w:rsid w:val="00DB50FB"/>
    <w:rsid w:val="00DB56F2"/>
    <w:rsid w:val="00DB6EF5"/>
    <w:rsid w:val="00DC16AD"/>
    <w:rsid w:val="00DC3089"/>
    <w:rsid w:val="00DC4420"/>
    <w:rsid w:val="00DD0802"/>
    <w:rsid w:val="00DD2E11"/>
    <w:rsid w:val="00DD3BCA"/>
    <w:rsid w:val="00DD3CA5"/>
    <w:rsid w:val="00DD76C1"/>
    <w:rsid w:val="00DE03AF"/>
    <w:rsid w:val="00DE121C"/>
    <w:rsid w:val="00DE1791"/>
    <w:rsid w:val="00DE273C"/>
    <w:rsid w:val="00DE2CA5"/>
    <w:rsid w:val="00DE6633"/>
    <w:rsid w:val="00DF75F8"/>
    <w:rsid w:val="00DF7A3A"/>
    <w:rsid w:val="00E00C00"/>
    <w:rsid w:val="00E02EDA"/>
    <w:rsid w:val="00E06F2B"/>
    <w:rsid w:val="00E07B75"/>
    <w:rsid w:val="00E07C5A"/>
    <w:rsid w:val="00E1191E"/>
    <w:rsid w:val="00E1350D"/>
    <w:rsid w:val="00E14FA7"/>
    <w:rsid w:val="00E15753"/>
    <w:rsid w:val="00E15BA9"/>
    <w:rsid w:val="00E16E53"/>
    <w:rsid w:val="00E16F03"/>
    <w:rsid w:val="00E1786C"/>
    <w:rsid w:val="00E24130"/>
    <w:rsid w:val="00E26E19"/>
    <w:rsid w:val="00E30B9A"/>
    <w:rsid w:val="00E31DF3"/>
    <w:rsid w:val="00E33C3D"/>
    <w:rsid w:val="00E34665"/>
    <w:rsid w:val="00E35DD9"/>
    <w:rsid w:val="00E42CFC"/>
    <w:rsid w:val="00E441FF"/>
    <w:rsid w:val="00E449C0"/>
    <w:rsid w:val="00E450A4"/>
    <w:rsid w:val="00E506BE"/>
    <w:rsid w:val="00E51A44"/>
    <w:rsid w:val="00E55547"/>
    <w:rsid w:val="00E6302B"/>
    <w:rsid w:val="00E63667"/>
    <w:rsid w:val="00E6452F"/>
    <w:rsid w:val="00E64F45"/>
    <w:rsid w:val="00E6742D"/>
    <w:rsid w:val="00E71CB0"/>
    <w:rsid w:val="00E71E80"/>
    <w:rsid w:val="00E76657"/>
    <w:rsid w:val="00E77C3D"/>
    <w:rsid w:val="00E85A3E"/>
    <w:rsid w:val="00E907CF"/>
    <w:rsid w:val="00E90991"/>
    <w:rsid w:val="00E909F0"/>
    <w:rsid w:val="00E90D47"/>
    <w:rsid w:val="00E90F6A"/>
    <w:rsid w:val="00E93993"/>
    <w:rsid w:val="00E9597C"/>
    <w:rsid w:val="00E96E20"/>
    <w:rsid w:val="00EA0913"/>
    <w:rsid w:val="00EA14DD"/>
    <w:rsid w:val="00EA414A"/>
    <w:rsid w:val="00EA4B0F"/>
    <w:rsid w:val="00EA5B00"/>
    <w:rsid w:val="00EB146B"/>
    <w:rsid w:val="00EB45AC"/>
    <w:rsid w:val="00EB4E15"/>
    <w:rsid w:val="00EC0C75"/>
    <w:rsid w:val="00EC2126"/>
    <w:rsid w:val="00EC22E7"/>
    <w:rsid w:val="00EC3D7B"/>
    <w:rsid w:val="00EC441F"/>
    <w:rsid w:val="00EC465C"/>
    <w:rsid w:val="00EC4755"/>
    <w:rsid w:val="00ED0BC4"/>
    <w:rsid w:val="00ED2108"/>
    <w:rsid w:val="00ED2FD1"/>
    <w:rsid w:val="00ED447D"/>
    <w:rsid w:val="00ED5445"/>
    <w:rsid w:val="00ED5ACF"/>
    <w:rsid w:val="00EE42B3"/>
    <w:rsid w:val="00EE4429"/>
    <w:rsid w:val="00EE4971"/>
    <w:rsid w:val="00EE5E3F"/>
    <w:rsid w:val="00EE6CB0"/>
    <w:rsid w:val="00EE7983"/>
    <w:rsid w:val="00EF0527"/>
    <w:rsid w:val="00EF090E"/>
    <w:rsid w:val="00EF2CFC"/>
    <w:rsid w:val="00EF5572"/>
    <w:rsid w:val="00EF6DD6"/>
    <w:rsid w:val="00F0090A"/>
    <w:rsid w:val="00F033DA"/>
    <w:rsid w:val="00F054BB"/>
    <w:rsid w:val="00F13691"/>
    <w:rsid w:val="00F13FB1"/>
    <w:rsid w:val="00F15394"/>
    <w:rsid w:val="00F24EE2"/>
    <w:rsid w:val="00F27CD8"/>
    <w:rsid w:val="00F27ED4"/>
    <w:rsid w:val="00F30351"/>
    <w:rsid w:val="00F31FE5"/>
    <w:rsid w:val="00F3323E"/>
    <w:rsid w:val="00F341F4"/>
    <w:rsid w:val="00F34F9D"/>
    <w:rsid w:val="00F35CCE"/>
    <w:rsid w:val="00F35DFC"/>
    <w:rsid w:val="00F413A1"/>
    <w:rsid w:val="00F41A1E"/>
    <w:rsid w:val="00F45207"/>
    <w:rsid w:val="00F466A8"/>
    <w:rsid w:val="00F473E1"/>
    <w:rsid w:val="00F5498B"/>
    <w:rsid w:val="00F5524B"/>
    <w:rsid w:val="00F60538"/>
    <w:rsid w:val="00F61DD2"/>
    <w:rsid w:val="00F65AB3"/>
    <w:rsid w:val="00F65DF7"/>
    <w:rsid w:val="00F66AFF"/>
    <w:rsid w:val="00F66F36"/>
    <w:rsid w:val="00F71433"/>
    <w:rsid w:val="00F717D1"/>
    <w:rsid w:val="00F828ED"/>
    <w:rsid w:val="00F87EEF"/>
    <w:rsid w:val="00F9194A"/>
    <w:rsid w:val="00F946AC"/>
    <w:rsid w:val="00F97C5B"/>
    <w:rsid w:val="00FA2398"/>
    <w:rsid w:val="00FA2EF6"/>
    <w:rsid w:val="00FA3D50"/>
    <w:rsid w:val="00FA47B3"/>
    <w:rsid w:val="00FB44D4"/>
    <w:rsid w:val="00FB5B4A"/>
    <w:rsid w:val="00FB7FBD"/>
    <w:rsid w:val="00FC1444"/>
    <w:rsid w:val="00FC374A"/>
    <w:rsid w:val="00FC74C8"/>
    <w:rsid w:val="00FC7B47"/>
    <w:rsid w:val="00FD035C"/>
    <w:rsid w:val="00FD0D9D"/>
    <w:rsid w:val="00FD1A35"/>
    <w:rsid w:val="00FD2EA4"/>
    <w:rsid w:val="00FD36C5"/>
    <w:rsid w:val="00FD3A07"/>
    <w:rsid w:val="00FD6310"/>
    <w:rsid w:val="00FD6A87"/>
    <w:rsid w:val="00FD75D2"/>
    <w:rsid w:val="00FD7C7B"/>
    <w:rsid w:val="00FE0230"/>
    <w:rsid w:val="00FE1D12"/>
    <w:rsid w:val="00FE2122"/>
    <w:rsid w:val="00FE2A86"/>
    <w:rsid w:val="00FE2DE2"/>
    <w:rsid w:val="00FE53A3"/>
    <w:rsid w:val="00FE5DB9"/>
    <w:rsid w:val="00FE5F0E"/>
    <w:rsid w:val="00FE7B31"/>
    <w:rsid w:val="00FF1FDE"/>
    <w:rsid w:val="00FF2421"/>
    <w:rsid w:val="00FF296F"/>
    <w:rsid w:val="00FF3DFC"/>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 w:type="character" w:styleId="UnresolvedMention">
    <w:name w:val="Unresolved Mention"/>
    <w:basedOn w:val="DefaultParagraphFont"/>
    <w:uiPriority w:val="99"/>
    <w:semiHidden/>
    <w:unhideWhenUsed/>
    <w:rsid w:val="00325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399518309">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deacons.com/2021/05/31/milestone-in-hong-kong-mainland-china-cross-border-insolvency-mutual-recognition-of-and-assistance-to-insolvency-proceedings-between-hong-kong-and-mainland-china/" TargetMode="External"/><Relationship Id="rId3" Type="http://schemas.openxmlformats.org/officeDocument/2006/relationships/hyperlink" Target="https://www.onc.hk/en_US/publication/did-ad-valorem-fee-have-to-be-paid-on-assets-realized-by-provisional-liquidators-in-compulsory-liquidation-which-is-converted-into-creditor-s-voluntary-liquidation?category=22&amp;page=8" TargetMode="External"/><Relationship Id="rId7" Type="http://schemas.openxmlformats.org/officeDocument/2006/relationships/hyperlink" Target="https://www.shlegal.com/docs/default-source/news-insights-documents/2022/briefingnote---cross-border-insolvency---the-court-of-final-appeal-clarifies-the-second-core-requirement-in-the-shandong-chenming-case-(final).pdf?sfvrsn=ca88e35b_0" TargetMode="External"/><Relationship Id="rId2" Type="http://schemas.openxmlformats.org/officeDocument/2006/relationships/hyperlink" Target="https://www.lw.com/thoughtLeadership/ALB-asia-insolvency-restructuring-handbook-hong-kong-2020#:~:text=A%20provisional%20liquidator%20may%20also,winding%2Dup%20order%20is%20made." TargetMode="External"/><Relationship Id="rId1" Type="http://schemas.openxmlformats.org/officeDocument/2006/relationships/hyperlink" Target="https://hsfnotes.com/asiadisputes/2015/11/12/hong-kong-court-of-final-appeal-clarifies-the-law-in-respect-of-shareholders-petitions-to-wind-up-foreign-companies-on-just-and-equitable-grounds/" TargetMode="External"/><Relationship Id="rId6" Type="http://schemas.openxmlformats.org/officeDocument/2006/relationships/hyperlink" Target="https://www.deacons.com/2021/08/04/hong-kongs-first-application-for-recognition-of-and-assistance-to-liquidators-in-mainland-china/" TargetMode="External"/><Relationship Id="rId5" Type="http://schemas.openxmlformats.org/officeDocument/2006/relationships/hyperlink" Target="https://www.deacons.com/2021/05/31/milestone-in-hong-kong-mainland-china-cross-border-insolvency-mutual-recognition-of-and-assistance-to-insolvency-proceedings-between-hong-kong-and-mainland-china/" TargetMode="External"/><Relationship Id="rId4" Type="http://schemas.openxmlformats.org/officeDocument/2006/relationships/hyperlink" Target="https://www.lw.com/thoughtLeadership/ALB-asia-insolvency-restructuring-handbook-hong-kong-2020" TargetMode="External"/><Relationship Id="rId9" Type="http://schemas.openxmlformats.org/officeDocument/2006/relationships/hyperlink" Target="https://www.deacons.com/2021/08/04/hong-kongs-first-application-for-recognition-of-and-assistance-to-liquidators-in-mainland-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12745</TotalTime>
  <Pages>17</Pages>
  <Words>5705</Words>
  <Characters>32525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Phillip Pierson</cp:lastModifiedBy>
  <cp:revision>423</cp:revision>
  <cp:lastPrinted>2020-06-08T04:09:00Z</cp:lastPrinted>
  <dcterms:created xsi:type="dcterms:W3CDTF">2021-09-20T09:41:00Z</dcterms:created>
  <dcterms:modified xsi:type="dcterms:W3CDTF">2022-07-29T12:07:00Z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