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6740AF1C" w:rsidR="004B23A2" w:rsidRDefault="0073607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190C97D" wp14:editId="5A8EC256">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348B53C6" w:rsidR="0011473D" w:rsidRDefault="00C56B61"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13BC1813" w14:textId="608D750E" w:rsidR="002638B0" w:rsidRPr="006B503E" w:rsidRDefault="009164DD"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6C4472A5" w14:textId="77777777" w:rsidR="00736077" w:rsidRPr="00592F82" w:rsidRDefault="00736077" w:rsidP="00736077">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8EF1709" w14:textId="77777777" w:rsidR="00736077" w:rsidRPr="00592F82" w:rsidRDefault="00736077" w:rsidP="00736077">
      <w:pPr>
        <w:jc w:val="both"/>
        <w:rPr>
          <w:rFonts w:ascii="Arial" w:hAnsi="Arial" w:cs="Arial"/>
          <w:sz w:val="22"/>
          <w:szCs w:val="22"/>
          <w:lang w:val="en-GB"/>
        </w:rPr>
      </w:pPr>
    </w:p>
    <w:p w14:paraId="275367BF" w14:textId="77777777" w:rsidR="00736077" w:rsidRDefault="00736077" w:rsidP="00736077">
      <w:pPr>
        <w:jc w:val="both"/>
        <w:rPr>
          <w:rFonts w:ascii="Arial" w:hAnsi="Arial" w:cs="Arial"/>
          <w:b/>
          <w:sz w:val="22"/>
          <w:szCs w:val="22"/>
          <w:lang w:val="en-GB"/>
        </w:rPr>
      </w:pPr>
    </w:p>
    <w:p w14:paraId="45BFDC0F" w14:textId="77777777" w:rsidR="00736077" w:rsidRPr="001E23FD" w:rsidRDefault="00736077" w:rsidP="007360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C6A04D6" w14:textId="77777777" w:rsidR="00736077" w:rsidRPr="001E23FD" w:rsidRDefault="00736077" w:rsidP="00736077">
      <w:pPr>
        <w:jc w:val="both"/>
        <w:rPr>
          <w:rFonts w:ascii="Arial" w:hAnsi="Arial" w:cs="Arial"/>
          <w:b/>
          <w:sz w:val="22"/>
          <w:szCs w:val="22"/>
          <w:lang w:val="en-GB"/>
        </w:rPr>
      </w:pPr>
    </w:p>
    <w:p w14:paraId="3A487A55" w14:textId="77777777" w:rsidR="00736077" w:rsidRPr="001E23FD" w:rsidRDefault="00736077" w:rsidP="00736077">
      <w:pPr>
        <w:jc w:val="both"/>
        <w:rPr>
          <w:rFonts w:ascii="Arial" w:hAnsi="Arial" w:cs="Arial"/>
          <w:sz w:val="22"/>
          <w:szCs w:val="22"/>
          <w:lang w:val="en-GB"/>
        </w:rPr>
      </w:pPr>
    </w:p>
    <w:p w14:paraId="0989DAA3"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9544D5" w14:textId="77777777" w:rsidR="00736077" w:rsidRPr="001E23FD" w:rsidRDefault="00736077" w:rsidP="00736077">
      <w:pPr>
        <w:ind w:left="720" w:hanging="720"/>
        <w:jc w:val="both"/>
        <w:rPr>
          <w:rFonts w:ascii="Arial" w:hAnsi="Arial" w:cs="Arial"/>
          <w:sz w:val="22"/>
          <w:szCs w:val="22"/>
          <w:lang w:val="en-GB"/>
        </w:rPr>
      </w:pPr>
    </w:p>
    <w:p w14:paraId="617E59E5"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74BA113" w14:textId="77777777" w:rsidR="00736077" w:rsidRPr="001E23FD" w:rsidRDefault="00736077" w:rsidP="00736077">
      <w:pPr>
        <w:ind w:left="720" w:hanging="720"/>
        <w:jc w:val="both"/>
        <w:rPr>
          <w:rFonts w:ascii="Arial" w:hAnsi="Arial" w:cs="Arial"/>
          <w:sz w:val="22"/>
          <w:szCs w:val="22"/>
          <w:lang w:val="en-GB"/>
        </w:rPr>
      </w:pPr>
    </w:p>
    <w:p w14:paraId="3B6F2B8C"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2E664F0" w14:textId="77777777" w:rsidR="00736077" w:rsidRPr="001E23FD" w:rsidRDefault="00736077" w:rsidP="00736077">
      <w:pPr>
        <w:ind w:left="720" w:hanging="720"/>
        <w:jc w:val="both"/>
        <w:rPr>
          <w:rFonts w:ascii="Arial" w:hAnsi="Arial" w:cs="Arial"/>
          <w:sz w:val="22"/>
          <w:szCs w:val="22"/>
          <w:lang w:val="en-GB"/>
        </w:rPr>
      </w:pPr>
    </w:p>
    <w:p w14:paraId="4BBB252D" w14:textId="2C606F4D"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122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8E0EF4" w14:textId="77777777" w:rsidR="00736077" w:rsidRPr="001E23FD" w:rsidRDefault="00736077" w:rsidP="00736077">
      <w:pPr>
        <w:ind w:left="720" w:hanging="720"/>
        <w:jc w:val="both"/>
        <w:rPr>
          <w:rFonts w:ascii="Arial" w:hAnsi="Arial" w:cs="Arial"/>
          <w:sz w:val="22"/>
          <w:szCs w:val="22"/>
          <w:lang w:val="en-GB"/>
        </w:rPr>
      </w:pPr>
    </w:p>
    <w:p w14:paraId="15E09E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5200D24" w14:textId="77777777" w:rsidR="00736077" w:rsidRPr="001E23FD" w:rsidRDefault="00736077" w:rsidP="00736077">
      <w:pPr>
        <w:ind w:left="720" w:hanging="720"/>
        <w:jc w:val="both"/>
        <w:rPr>
          <w:rFonts w:ascii="Arial" w:hAnsi="Arial" w:cs="Arial"/>
          <w:sz w:val="22"/>
          <w:szCs w:val="22"/>
          <w:lang w:val="en-GB"/>
        </w:rPr>
      </w:pPr>
    </w:p>
    <w:p w14:paraId="19A509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6B5CE64C" w14:textId="77777777" w:rsidR="00736077" w:rsidRPr="001E23FD" w:rsidRDefault="00736077" w:rsidP="00736077">
      <w:pPr>
        <w:ind w:left="720" w:hanging="720"/>
        <w:jc w:val="both"/>
        <w:rPr>
          <w:rFonts w:ascii="Arial" w:hAnsi="Arial" w:cs="Arial"/>
          <w:sz w:val="22"/>
          <w:szCs w:val="22"/>
          <w:lang w:val="en-GB"/>
        </w:rPr>
      </w:pPr>
    </w:p>
    <w:p w14:paraId="65FBD63C" w14:textId="77777777" w:rsidR="00736077" w:rsidRPr="00592F82"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956B9E8" w14:textId="77777777" w:rsidR="00736077" w:rsidRPr="00592F82" w:rsidRDefault="00736077" w:rsidP="00736077">
      <w:pPr>
        <w:ind w:left="720" w:hanging="720"/>
        <w:jc w:val="both"/>
        <w:rPr>
          <w:rFonts w:ascii="Arial" w:hAnsi="Arial" w:cs="Arial"/>
          <w:sz w:val="22"/>
          <w:szCs w:val="22"/>
          <w:lang w:val="en-GB"/>
        </w:rPr>
      </w:pPr>
    </w:p>
    <w:p w14:paraId="5F26A14B" w14:textId="77777777" w:rsidR="00736077" w:rsidRPr="00592F82" w:rsidRDefault="00736077" w:rsidP="00736077">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C76745">
      <w:pPr>
        <w:jc w:val="both"/>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C76745">
      <w:pPr>
        <w:ind w:left="720" w:hanging="720"/>
        <w:jc w:val="both"/>
        <w:rPr>
          <w:rFonts w:ascii="Arial" w:hAnsi="Arial" w:cs="Arial"/>
          <w:sz w:val="22"/>
          <w:szCs w:val="22"/>
          <w:lang w:val="en-GB"/>
        </w:rPr>
      </w:pPr>
    </w:p>
    <w:p w14:paraId="27A9F337" w14:textId="77777777" w:rsidR="005D43E0" w:rsidRPr="00CA448F" w:rsidRDefault="0029433F" w:rsidP="00C76745">
      <w:pPr>
        <w:jc w:val="both"/>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C76745">
      <w:pPr>
        <w:ind w:left="720" w:hanging="720"/>
        <w:jc w:val="both"/>
        <w:rPr>
          <w:rFonts w:ascii="Arial" w:hAnsi="Arial" w:cs="Arial"/>
          <w:sz w:val="22"/>
          <w:szCs w:val="22"/>
          <w:lang w:val="en-GB"/>
        </w:rPr>
      </w:pPr>
    </w:p>
    <w:p w14:paraId="7CA37521" w14:textId="77777777" w:rsidR="005D43E0" w:rsidRPr="00CA448F" w:rsidRDefault="005D43E0" w:rsidP="00C76745">
      <w:pPr>
        <w:jc w:val="both"/>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C76745">
      <w:pPr>
        <w:autoSpaceDE w:val="0"/>
        <w:autoSpaceDN w:val="0"/>
        <w:adjustRightInd w:val="0"/>
        <w:jc w:val="both"/>
        <w:rPr>
          <w:rFonts w:ascii="Arial" w:hAnsi="Arial" w:cs="Arial"/>
          <w:sz w:val="22"/>
          <w:szCs w:val="22"/>
        </w:rPr>
      </w:pPr>
    </w:p>
    <w:p w14:paraId="2FE48410" w14:textId="41135781" w:rsidR="002073B6"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C76745">
      <w:pPr>
        <w:ind w:left="1440" w:hanging="1440"/>
        <w:jc w:val="both"/>
        <w:rPr>
          <w:rFonts w:ascii="Arial" w:hAnsi="Arial" w:cs="Arial"/>
          <w:sz w:val="22"/>
          <w:szCs w:val="22"/>
          <w:lang w:val="en-GB"/>
        </w:rPr>
      </w:pPr>
    </w:p>
    <w:p w14:paraId="6B27461F" w14:textId="6C4DFD1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The </w:t>
      </w:r>
      <w:r w:rsidRPr="00C76745">
        <w:rPr>
          <w:rFonts w:ascii="Arial" w:hAnsi="Arial" w:cs="Arial"/>
          <w:b/>
          <w:bCs/>
          <w:sz w:val="22"/>
          <w:szCs w:val="22"/>
          <w:u w:val="single"/>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C76745">
      <w:pPr>
        <w:ind w:left="720" w:hanging="720"/>
        <w:jc w:val="both"/>
        <w:rPr>
          <w:rFonts w:ascii="Arial" w:hAnsi="Arial" w:cs="Arial"/>
          <w:sz w:val="22"/>
          <w:szCs w:val="22"/>
          <w:lang w:val="en-GB"/>
        </w:rPr>
      </w:pPr>
    </w:p>
    <w:p w14:paraId="695E6FD7" w14:textId="59CD2F03" w:rsidR="002073B6" w:rsidRDefault="002073B6" w:rsidP="00327829">
      <w:pPr>
        <w:pStyle w:val="ListParagraph"/>
        <w:numPr>
          <w:ilvl w:val="0"/>
          <w:numId w:val="1"/>
        </w:numPr>
        <w:ind w:left="426" w:hanging="426"/>
        <w:jc w:val="both"/>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C76745">
      <w:pPr>
        <w:jc w:val="both"/>
        <w:rPr>
          <w:rFonts w:ascii="Arial" w:hAnsi="Arial" w:cs="Arial"/>
          <w:sz w:val="22"/>
          <w:szCs w:val="22"/>
          <w:lang w:val="en-GB"/>
        </w:rPr>
      </w:pPr>
    </w:p>
    <w:p w14:paraId="72A0E1E1" w14:textId="77703B40" w:rsidR="002073B6" w:rsidRDefault="002073B6" w:rsidP="00327829">
      <w:pPr>
        <w:pStyle w:val="ListParagraph"/>
        <w:numPr>
          <w:ilvl w:val="0"/>
          <w:numId w:val="1"/>
        </w:numPr>
        <w:ind w:left="426" w:hanging="426"/>
        <w:jc w:val="both"/>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C76745">
      <w:pPr>
        <w:jc w:val="both"/>
        <w:rPr>
          <w:rFonts w:ascii="Arial" w:hAnsi="Arial" w:cs="Arial"/>
          <w:sz w:val="22"/>
          <w:szCs w:val="22"/>
          <w:lang w:val="en-GB"/>
        </w:rPr>
      </w:pPr>
    </w:p>
    <w:p w14:paraId="0FCF7294" w14:textId="73117167" w:rsidR="002073B6" w:rsidRPr="00166DDA" w:rsidRDefault="002073B6" w:rsidP="00327829">
      <w:pPr>
        <w:pStyle w:val="ListParagraph"/>
        <w:numPr>
          <w:ilvl w:val="0"/>
          <w:numId w:val="1"/>
        </w:numPr>
        <w:ind w:left="426" w:hanging="426"/>
        <w:jc w:val="both"/>
        <w:rPr>
          <w:rFonts w:ascii="Arial" w:hAnsi="Arial" w:cs="Arial"/>
          <w:sz w:val="22"/>
          <w:szCs w:val="22"/>
          <w:highlight w:val="yellow"/>
          <w:lang w:val="en-GB"/>
        </w:rPr>
      </w:pPr>
      <w:r w:rsidRPr="00166DDA">
        <w:rPr>
          <w:rFonts w:ascii="Arial" w:hAnsi="Arial" w:cs="Arial"/>
          <w:sz w:val="22"/>
          <w:szCs w:val="22"/>
          <w:highlight w:val="yellow"/>
          <w:lang w:val="en-GB"/>
        </w:rPr>
        <w:t xml:space="preserve">The owners of failed businesses are liable as a matter of criminal law for the failure of their business.  </w:t>
      </w:r>
    </w:p>
    <w:p w14:paraId="7F387EF1" w14:textId="77777777" w:rsidR="007B4F09" w:rsidRPr="007B4F09" w:rsidRDefault="007B4F09" w:rsidP="00C76745">
      <w:pPr>
        <w:jc w:val="both"/>
        <w:rPr>
          <w:rFonts w:ascii="Arial" w:hAnsi="Arial" w:cs="Arial"/>
          <w:sz w:val="22"/>
          <w:szCs w:val="22"/>
          <w:lang w:val="en-GB"/>
        </w:rPr>
      </w:pPr>
    </w:p>
    <w:p w14:paraId="45CA5D52" w14:textId="3AA7D3A8" w:rsidR="002073B6" w:rsidRPr="007B4F09" w:rsidRDefault="002073B6" w:rsidP="00327829">
      <w:pPr>
        <w:pStyle w:val="ListParagraph"/>
        <w:numPr>
          <w:ilvl w:val="0"/>
          <w:numId w:val="1"/>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C76745">
      <w:pPr>
        <w:ind w:left="720" w:hanging="720"/>
        <w:jc w:val="both"/>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C76745">
      <w:pPr>
        <w:ind w:left="1440" w:hanging="1440"/>
        <w:jc w:val="both"/>
        <w:rPr>
          <w:rFonts w:ascii="Arial" w:hAnsi="Arial" w:cs="Arial"/>
          <w:sz w:val="22"/>
          <w:szCs w:val="22"/>
          <w:lang w:val="en-GB"/>
        </w:rPr>
      </w:pPr>
    </w:p>
    <w:p w14:paraId="450482A6" w14:textId="4D6758B5"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What is the </w:t>
      </w:r>
      <w:r w:rsidRPr="00C76745">
        <w:rPr>
          <w:rFonts w:ascii="Arial" w:hAnsi="Arial" w:cs="Arial"/>
          <w:b/>
          <w:bCs/>
          <w:sz w:val="22"/>
          <w:szCs w:val="22"/>
          <w:u w:val="single"/>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C76745">
      <w:pPr>
        <w:ind w:left="1440" w:hanging="1440"/>
        <w:jc w:val="both"/>
        <w:rPr>
          <w:rFonts w:ascii="Arial" w:hAnsi="Arial" w:cs="Arial"/>
          <w:sz w:val="22"/>
          <w:szCs w:val="22"/>
          <w:lang w:val="en-GB"/>
        </w:rPr>
      </w:pPr>
    </w:p>
    <w:p w14:paraId="165F64AA" w14:textId="3D9335EE" w:rsidR="002073B6" w:rsidRDefault="002073B6" w:rsidP="00327829">
      <w:pPr>
        <w:pStyle w:val="ListParagraph"/>
        <w:numPr>
          <w:ilvl w:val="0"/>
          <w:numId w:val="2"/>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C76745">
      <w:pPr>
        <w:jc w:val="both"/>
        <w:rPr>
          <w:rFonts w:ascii="Arial" w:hAnsi="Arial" w:cs="Arial"/>
          <w:sz w:val="22"/>
          <w:szCs w:val="22"/>
          <w:lang w:val="en-GB"/>
        </w:rPr>
      </w:pPr>
    </w:p>
    <w:p w14:paraId="3E66D4EF" w14:textId="42507DC6" w:rsidR="002073B6" w:rsidRDefault="002073B6" w:rsidP="00327829">
      <w:pPr>
        <w:pStyle w:val="ListParagraph"/>
        <w:numPr>
          <w:ilvl w:val="0"/>
          <w:numId w:val="2"/>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C76745">
      <w:pPr>
        <w:jc w:val="both"/>
        <w:rPr>
          <w:rFonts w:ascii="Arial" w:hAnsi="Arial" w:cs="Arial"/>
          <w:sz w:val="22"/>
          <w:szCs w:val="22"/>
          <w:lang w:val="en-GB"/>
        </w:rPr>
      </w:pPr>
    </w:p>
    <w:p w14:paraId="4714A6AD" w14:textId="07BC456D" w:rsidR="002073B6" w:rsidRPr="00B549A3" w:rsidRDefault="002073B6" w:rsidP="00327829">
      <w:pPr>
        <w:pStyle w:val="ListParagraph"/>
        <w:numPr>
          <w:ilvl w:val="0"/>
          <w:numId w:val="2"/>
        </w:numPr>
        <w:ind w:left="426" w:hanging="426"/>
        <w:jc w:val="both"/>
        <w:rPr>
          <w:rFonts w:ascii="Arial" w:hAnsi="Arial" w:cs="Arial"/>
          <w:bCs/>
          <w:sz w:val="22"/>
          <w:szCs w:val="22"/>
          <w:highlight w:val="yellow"/>
          <w:lang w:val="en-GB"/>
        </w:rPr>
      </w:pPr>
      <w:r w:rsidRPr="00B549A3">
        <w:rPr>
          <w:rFonts w:ascii="Arial" w:hAnsi="Arial" w:cs="Arial"/>
          <w:bCs/>
          <w:sz w:val="22"/>
          <w:szCs w:val="22"/>
          <w:highlight w:val="yellow"/>
          <w:lang w:val="en-GB"/>
        </w:rPr>
        <w:t>The Bankruptcy Law drew on the experiences of a number of jurisdictions, while the insolvency laws of the financial centres are based on the insolvency laws of one other country.</w:t>
      </w:r>
    </w:p>
    <w:p w14:paraId="5CC01CFF" w14:textId="77777777" w:rsidR="007B4F09" w:rsidRPr="007B4F09" w:rsidRDefault="007B4F09" w:rsidP="00C76745">
      <w:pPr>
        <w:jc w:val="both"/>
        <w:rPr>
          <w:rFonts w:ascii="Arial" w:hAnsi="Arial" w:cs="Arial"/>
          <w:bCs/>
          <w:sz w:val="22"/>
          <w:szCs w:val="22"/>
          <w:lang w:val="en-GB"/>
        </w:rPr>
      </w:pPr>
    </w:p>
    <w:p w14:paraId="20F83A87" w14:textId="660EAF8A" w:rsidR="002073B6" w:rsidRPr="000B4DF7" w:rsidRDefault="002073B6" w:rsidP="00327829">
      <w:pPr>
        <w:pStyle w:val="ListParagraph"/>
        <w:numPr>
          <w:ilvl w:val="0"/>
          <w:numId w:val="2"/>
        </w:numPr>
        <w:ind w:left="426" w:hanging="426"/>
        <w:jc w:val="both"/>
        <w:rPr>
          <w:rFonts w:ascii="Arial" w:hAnsi="Arial" w:cs="Arial"/>
          <w:sz w:val="22"/>
          <w:szCs w:val="22"/>
          <w:lang w:val="en-GB"/>
        </w:rPr>
      </w:pPr>
      <w:r w:rsidRPr="000B4DF7">
        <w:rPr>
          <w:rFonts w:ascii="Arial" w:hAnsi="Arial" w:cs="Arial"/>
          <w:sz w:val="22"/>
          <w:szCs w:val="22"/>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C76745">
      <w:pPr>
        <w:ind w:left="720" w:hanging="720"/>
        <w:jc w:val="both"/>
        <w:rPr>
          <w:rFonts w:ascii="Arial" w:hAnsi="Arial" w:cs="Arial"/>
          <w:sz w:val="22"/>
          <w:szCs w:val="22"/>
          <w:lang w:val="en-GB"/>
        </w:rPr>
      </w:pPr>
    </w:p>
    <w:p w14:paraId="2C35569C"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C76745">
      <w:pPr>
        <w:ind w:left="1440" w:hanging="1440"/>
        <w:jc w:val="both"/>
        <w:rPr>
          <w:rFonts w:ascii="Arial" w:hAnsi="Arial" w:cs="Arial"/>
          <w:sz w:val="22"/>
          <w:szCs w:val="22"/>
          <w:lang w:val="en-GB"/>
        </w:rPr>
      </w:pPr>
    </w:p>
    <w:p w14:paraId="458A3B55" w14:textId="1021EF4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C76745">
      <w:pPr>
        <w:ind w:left="720" w:hanging="720"/>
        <w:jc w:val="both"/>
        <w:rPr>
          <w:rFonts w:ascii="Arial" w:hAnsi="Arial" w:cs="Arial"/>
          <w:sz w:val="22"/>
          <w:szCs w:val="22"/>
          <w:lang w:val="en-GB"/>
        </w:rPr>
      </w:pPr>
    </w:p>
    <w:p w14:paraId="6C872D3D" w14:textId="11D5460F" w:rsidR="002073B6" w:rsidRPr="00CA448F" w:rsidRDefault="002073B6" w:rsidP="00327829">
      <w:pPr>
        <w:pStyle w:val="ListParagraph"/>
        <w:numPr>
          <w:ilvl w:val="0"/>
          <w:numId w:val="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Pr="0010138A" w:rsidRDefault="002073B6" w:rsidP="00327829">
      <w:pPr>
        <w:pStyle w:val="ListParagraph"/>
        <w:numPr>
          <w:ilvl w:val="0"/>
          <w:numId w:val="3"/>
        </w:numPr>
        <w:ind w:left="426" w:hanging="426"/>
        <w:jc w:val="both"/>
        <w:rPr>
          <w:rFonts w:ascii="Arial" w:hAnsi="Arial" w:cs="Arial"/>
          <w:bCs/>
          <w:sz w:val="22"/>
          <w:szCs w:val="22"/>
          <w:highlight w:val="yellow"/>
          <w:lang w:val="en-GB"/>
        </w:rPr>
      </w:pPr>
      <w:r w:rsidRPr="0010138A">
        <w:rPr>
          <w:rFonts w:ascii="Arial" w:hAnsi="Arial" w:cs="Arial"/>
          <w:bCs/>
          <w:sz w:val="22"/>
          <w:szCs w:val="22"/>
          <w:highlight w:val="yellow"/>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C76745">
      <w:pPr>
        <w:jc w:val="both"/>
        <w:rPr>
          <w:rFonts w:ascii="Arial" w:hAnsi="Arial" w:cs="Arial"/>
          <w:bCs/>
          <w:sz w:val="22"/>
          <w:szCs w:val="22"/>
          <w:lang w:val="en-GB"/>
        </w:rPr>
      </w:pPr>
    </w:p>
    <w:p w14:paraId="31128441" w14:textId="375C39FE" w:rsidR="002073B6" w:rsidRDefault="002073B6" w:rsidP="00327829">
      <w:pPr>
        <w:pStyle w:val="ListParagraph"/>
        <w:numPr>
          <w:ilvl w:val="0"/>
          <w:numId w:val="3"/>
        </w:numPr>
        <w:ind w:left="426" w:hanging="426"/>
        <w:jc w:val="both"/>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C76745">
      <w:pPr>
        <w:jc w:val="both"/>
        <w:rPr>
          <w:rFonts w:ascii="Arial" w:hAnsi="Arial" w:cs="Arial"/>
          <w:sz w:val="22"/>
          <w:szCs w:val="22"/>
          <w:lang w:val="en-GB"/>
        </w:rPr>
      </w:pPr>
    </w:p>
    <w:p w14:paraId="77CF7FF2" w14:textId="60BE4D00" w:rsidR="002073B6" w:rsidRPr="00CA448F" w:rsidRDefault="002073B6" w:rsidP="00327829">
      <w:pPr>
        <w:pStyle w:val="ListParagraph"/>
        <w:numPr>
          <w:ilvl w:val="0"/>
          <w:numId w:val="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C76745">
      <w:pPr>
        <w:ind w:left="1440" w:hanging="1440"/>
        <w:jc w:val="both"/>
        <w:rPr>
          <w:rFonts w:ascii="Arial" w:hAnsi="Arial" w:cs="Arial"/>
          <w:sz w:val="22"/>
          <w:szCs w:val="22"/>
          <w:lang w:val="en-GB"/>
        </w:rPr>
      </w:pPr>
    </w:p>
    <w:p w14:paraId="0E070D66"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C76745">
      <w:pPr>
        <w:ind w:left="1440" w:hanging="1440"/>
        <w:jc w:val="both"/>
        <w:rPr>
          <w:rFonts w:ascii="Arial" w:hAnsi="Arial" w:cs="Arial"/>
          <w:sz w:val="22"/>
          <w:szCs w:val="22"/>
          <w:lang w:val="en-GB"/>
        </w:rPr>
      </w:pPr>
    </w:p>
    <w:p w14:paraId="4CBD3E1A" w14:textId="0B85C495" w:rsidR="002073B6" w:rsidRPr="00CA448F" w:rsidRDefault="005906C2" w:rsidP="00C76745">
      <w:pPr>
        <w:jc w:val="both"/>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C76745">
        <w:rPr>
          <w:rFonts w:ascii="Arial" w:hAnsi="Arial" w:cs="Arial"/>
          <w:b/>
          <w:bCs/>
          <w:sz w:val="22"/>
          <w:szCs w:val="22"/>
          <w:u w:val="single"/>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C76745">
      <w:pPr>
        <w:ind w:left="720" w:hanging="720"/>
        <w:jc w:val="both"/>
        <w:rPr>
          <w:rFonts w:ascii="Arial" w:hAnsi="Arial" w:cs="Arial"/>
          <w:sz w:val="22"/>
          <w:szCs w:val="22"/>
          <w:lang w:val="en-GB"/>
        </w:rPr>
      </w:pPr>
    </w:p>
    <w:p w14:paraId="23FFE8EC" w14:textId="3CE92B6D" w:rsidR="002073B6" w:rsidRPr="004532D4" w:rsidRDefault="008D1432" w:rsidP="00327829">
      <w:pPr>
        <w:pStyle w:val="ListParagraph"/>
        <w:numPr>
          <w:ilvl w:val="0"/>
          <w:numId w:val="4"/>
        </w:numPr>
        <w:ind w:left="426" w:hanging="426"/>
        <w:jc w:val="both"/>
        <w:rPr>
          <w:rFonts w:ascii="Arial" w:hAnsi="Arial" w:cs="Arial"/>
          <w:bCs/>
          <w:sz w:val="22"/>
          <w:szCs w:val="22"/>
          <w:highlight w:val="yellow"/>
          <w:lang w:val="en-GB"/>
        </w:rPr>
      </w:pPr>
      <w:r w:rsidRPr="004532D4">
        <w:rPr>
          <w:rFonts w:ascii="Arial" w:hAnsi="Arial" w:cs="Arial"/>
          <w:bCs/>
          <w:sz w:val="22"/>
          <w:szCs w:val="22"/>
          <w:highlight w:val="yellow"/>
          <w:lang w:val="en-GB"/>
        </w:rPr>
        <w:t>True</w:t>
      </w:r>
      <w:r w:rsidR="002073B6" w:rsidRPr="004532D4">
        <w:rPr>
          <w:rFonts w:ascii="Arial" w:hAnsi="Arial" w:cs="Arial"/>
          <w:bCs/>
          <w:sz w:val="22"/>
          <w:szCs w:val="22"/>
          <w:highlight w:val="yellow"/>
          <w:lang w:val="en-GB"/>
        </w:rPr>
        <w:t>.</w:t>
      </w:r>
    </w:p>
    <w:p w14:paraId="5833C54B" w14:textId="77777777" w:rsidR="006F58B3" w:rsidRPr="006F58B3" w:rsidRDefault="006F58B3" w:rsidP="00C76745">
      <w:pPr>
        <w:jc w:val="both"/>
        <w:rPr>
          <w:rFonts w:ascii="Arial" w:hAnsi="Arial" w:cs="Arial"/>
          <w:bCs/>
          <w:sz w:val="22"/>
          <w:szCs w:val="22"/>
          <w:lang w:val="en-GB"/>
        </w:rPr>
      </w:pPr>
    </w:p>
    <w:p w14:paraId="6879FBF6" w14:textId="2A318881" w:rsidR="002073B6" w:rsidRPr="00CA448F" w:rsidRDefault="008D1432" w:rsidP="00327829">
      <w:pPr>
        <w:pStyle w:val="ListParagraph"/>
        <w:numPr>
          <w:ilvl w:val="0"/>
          <w:numId w:val="4"/>
        </w:numPr>
        <w:ind w:left="426" w:hanging="426"/>
        <w:jc w:val="both"/>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C76745">
      <w:pPr>
        <w:ind w:left="1440" w:hanging="1440"/>
        <w:jc w:val="both"/>
        <w:rPr>
          <w:rFonts w:ascii="Arial" w:hAnsi="Arial" w:cs="Arial"/>
          <w:sz w:val="22"/>
          <w:szCs w:val="22"/>
          <w:lang w:val="en-GB"/>
        </w:rPr>
      </w:pPr>
    </w:p>
    <w:p w14:paraId="4EE1F5A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C76745">
      <w:pPr>
        <w:ind w:left="1440" w:hanging="1440"/>
        <w:jc w:val="both"/>
        <w:rPr>
          <w:rFonts w:ascii="Arial" w:hAnsi="Arial" w:cs="Arial"/>
          <w:sz w:val="22"/>
          <w:szCs w:val="22"/>
          <w:lang w:val="en-GB"/>
        </w:rPr>
      </w:pPr>
    </w:p>
    <w:p w14:paraId="29FC5174" w14:textId="173B056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C76745">
      <w:pPr>
        <w:ind w:left="720" w:hanging="720"/>
        <w:jc w:val="both"/>
        <w:rPr>
          <w:rFonts w:ascii="Arial" w:hAnsi="Arial" w:cs="Arial"/>
          <w:sz w:val="22"/>
          <w:szCs w:val="22"/>
          <w:lang w:val="en-GB"/>
        </w:rPr>
      </w:pPr>
    </w:p>
    <w:p w14:paraId="1D491458" w14:textId="15767220" w:rsidR="002073B6" w:rsidRDefault="002073B6" w:rsidP="00327829">
      <w:pPr>
        <w:pStyle w:val="ListParagraph"/>
        <w:numPr>
          <w:ilvl w:val="0"/>
          <w:numId w:val="5"/>
        </w:numPr>
        <w:ind w:left="426" w:hanging="426"/>
        <w:jc w:val="both"/>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C76745">
      <w:pPr>
        <w:jc w:val="both"/>
        <w:rPr>
          <w:rFonts w:ascii="Arial" w:hAnsi="Arial" w:cs="Arial"/>
          <w:sz w:val="22"/>
          <w:szCs w:val="22"/>
          <w:lang w:val="en-GB"/>
        </w:rPr>
      </w:pPr>
    </w:p>
    <w:p w14:paraId="2C1F3246" w14:textId="62BA4443" w:rsidR="002073B6" w:rsidRDefault="002073B6" w:rsidP="00327829">
      <w:pPr>
        <w:pStyle w:val="ListParagraph"/>
        <w:numPr>
          <w:ilvl w:val="0"/>
          <w:numId w:val="5"/>
        </w:numPr>
        <w:ind w:left="426" w:hanging="426"/>
        <w:jc w:val="both"/>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C76745">
      <w:pPr>
        <w:jc w:val="both"/>
        <w:rPr>
          <w:rFonts w:ascii="Arial" w:hAnsi="Arial" w:cs="Arial"/>
          <w:sz w:val="22"/>
          <w:szCs w:val="22"/>
          <w:lang w:val="en-GB"/>
        </w:rPr>
      </w:pPr>
    </w:p>
    <w:p w14:paraId="616022B5" w14:textId="210B3C35" w:rsidR="002073B6" w:rsidRDefault="002073B6" w:rsidP="00327829">
      <w:pPr>
        <w:pStyle w:val="ListParagraph"/>
        <w:numPr>
          <w:ilvl w:val="0"/>
          <w:numId w:val="5"/>
        </w:numPr>
        <w:ind w:left="426" w:hanging="426"/>
        <w:jc w:val="both"/>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C76745">
      <w:pPr>
        <w:jc w:val="both"/>
        <w:rPr>
          <w:rFonts w:ascii="Arial" w:hAnsi="Arial" w:cs="Arial"/>
          <w:sz w:val="22"/>
          <w:szCs w:val="22"/>
          <w:lang w:val="en-GB"/>
        </w:rPr>
      </w:pPr>
    </w:p>
    <w:p w14:paraId="337E7C87" w14:textId="32E4E24A" w:rsidR="002073B6" w:rsidRPr="00072826" w:rsidRDefault="002073B6" w:rsidP="00327829">
      <w:pPr>
        <w:pStyle w:val="ListParagraph"/>
        <w:numPr>
          <w:ilvl w:val="0"/>
          <w:numId w:val="5"/>
        </w:numPr>
        <w:ind w:left="426" w:hanging="426"/>
        <w:jc w:val="both"/>
        <w:rPr>
          <w:rFonts w:ascii="Arial" w:hAnsi="Arial" w:cs="Arial"/>
          <w:bCs/>
          <w:sz w:val="22"/>
          <w:szCs w:val="22"/>
          <w:highlight w:val="yellow"/>
          <w:lang w:val="en-GB"/>
        </w:rPr>
      </w:pPr>
      <w:r w:rsidRPr="00072826">
        <w:rPr>
          <w:rFonts w:ascii="Arial" w:hAnsi="Arial" w:cs="Arial"/>
          <w:bCs/>
          <w:sz w:val="22"/>
          <w:szCs w:val="22"/>
          <w:highlight w:val="yellow"/>
          <w:lang w:val="en-GB"/>
        </w:rPr>
        <w:t xml:space="preserve">There are separate registers in which security interests in both land and personal property in the DIFC can be registered. </w:t>
      </w:r>
    </w:p>
    <w:p w14:paraId="167C2861" w14:textId="77777777" w:rsidR="002073B6" w:rsidRPr="00CA448F" w:rsidRDefault="002073B6" w:rsidP="00C76745">
      <w:pPr>
        <w:ind w:left="720" w:hanging="720"/>
        <w:jc w:val="both"/>
        <w:rPr>
          <w:rFonts w:ascii="Arial" w:hAnsi="Arial" w:cs="Arial"/>
          <w:b/>
          <w:sz w:val="22"/>
          <w:szCs w:val="22"/>
          <w:lang w:val="en-GB"/>
        </w:rPr>
      </w:pPr>
    </w:p>
    <w:p w14:paraId="59AB1BE2"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C76745">
      <w:pPr>
        <w:ind w:left="1440" w:hanging="1440"/>
        <w:jc w:val="both"/>
        <w:rPr>
          <w:rFonts w:ascii="Arial" w:hAnsi="Arial" w:cs="Arial"/>
          <w:sz w:val="22"/>
          <w:szCs w:val="22"/>
          <w:lang w:val="en-GB"/>
        </w:rPr>
      </w:pPr>
    </w:p>
    <w:p w14:paraId="3425C2D8" w14:textId="17457E2A"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76745">
        <w:rPr>
          <w:rFonts w:ascii="Arial" w:hAnsi="Arial" w:cs="Arial"/>
          <w:b/>
          <w:bCs/>
          <w:sz w:val="22"/>
          <w:szCs w:val="22"/>
          <w:u w:val="single"/>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C76745">
      <w:pPr>
        <w:jc w:val="both"/>
        <w:rPr>
          <w:rFonts w:ascii="Arial" w:hAnsi="Arial" w:cs="Arial"/>
          <w:sz w:val="22"/>
          <w:szCs w:val="22"/>
          <w:lang w:val="en-GB"/>
        </w:rPr>
      </w:pPr>
    </w:p>
    <w:p w14:paraId="3C5FC44B" w14:textId="71B58E6B" w:rsidR="002073B6" w:rsidRDefault="002073B6" w:rsidP="00327829">
      <w:pPr>
        <w:pStyle w:val="ListParagraph"/>
        <w:numPr>
          <w:ilvl w:val="0"/>
          <w:numId w:val="6"/>
        </w:numPr>
        <w:ind w:left="426" w:hanging="426"/>
        <w:jc w:val="both"/>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C76745">
      <w:pPr>
        <w:jc w:val="both"/>
        <w:rPr>
          <w:rFonts w:ascii="Arial" w:hAnsi="Arial" w:cs="Arial"/>
          <w:sz w:val="22"/>
          <w:szCs w:val="22"/>
          <w:lang w:val="en-GB"/>
        </w:rPr>
      </w:pPr>
    </w:p>
    <w:p w14:paraId="59FA80E0" w14:textId="03D675CC" w:rsidR="002073B6" w:rsidRDefault="002073B6" w:rsidP="00327829">
      <w:pPr>
        <w:pStyle w:val="ListParagraph"/>
        <w:numPr>
          <w:ilvl w:val="0"/>
          <w:numId w:val="6"/>
        </w:numPr>
        <w:ind w:left="426" w:hanging="426"/>
        <w:jc w:val="both"/>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C76745">
      <w:pPr>
        <w:jc w:val="both"/>
        <w:rPr>
          <w:rFonts w:ascii="Arial" w:hAnsi="Arial" w:cs="Arial"/>
          <w:sz w:val="22"/>
          <w:szCs w:val="22"/>
          <w:lang w:val="en-GB"/>
        </w:rPr>
      </w:pPr>
    </w:p>
    <w:p w14:paraId="75642A41" w14:textId="0B23BFEA" w:rsidR="002073B6" w:rsidRPr="00DF5E0B" w:rsidRDefault="002073B6" w:rsidP="00327829">
      <w:pPr>
        <w:pStyle w:val="ListParagraph"/>
        <w:numPr>
          <w:ilvl w:val="0"/>
          <w:numId w:val="6"/>
        </w:numPr>
        <w:ind w:left="426" w:hanging="426"/>
        <w:jc w:val="both"/>
        <w:rPr>
          <w:rFonts w:ascii="Arial" w:hAnsi="Arial" w:cs="Arial"/>
          <w:bCs/>
          <w:sz w:val="22"/>
          <w:szCs w:val="22"/>
          <w:highlight w:val="yellow"/>
          <w:lang w:val="en-GB"/>
        </w:rPr>
      </w:pPr>
      <w:r w:rsidRPr="00DF5E0B">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C76745">
      <w:pPr>
        <w:jc w:val="both"/>
        <w:rPr>
          <w:rFonts w:ascii="Arial" w:hAnsi="Arial" w:cs="Arial"/>
          <w:bCs/>
          <w:sz w:val="22"/>
          <w:szCs w:val="22"/>
          <w:lang w:val="en-GB"/>
        </w:rPr>
      </w:pPr>
    </w:p>
    <w:p w14:paraId="435272A5" w14:textId="72E6EDEC" w:rsidR="002073B6" w:rsidRPr="00CA448F" w:rsidRDefault="002073B6" w:rsidP="00327829">
      <w:pPr>
        <w:pStyle w:val="ListParagraph"/>
        <w:numPr>
          <w:ilvl w:val="0"/>
          <w:numId w:val="6"/>
        </w:numPr>
        <w:ind w:left="426" w:hanging="426"/>
        <w:jc w:val="both"/>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C76745">
      <w:pPr>
        <w:ind w:left="1440" w:hanging="1440"/>
        <w:jc w:val="both"/>
        <w:rPr>
          <w:rFonts w:ascii="Arial" w:hAnsi="Arial" w:cs="Arial"/>
          <w:sz w:val="22"/>
          <w:szCs w:val="22"/>
          <w:lang w:val="en-GB"/>
        </w:rPr>
      </w:pPr>
    </w:p>
    <w:p w14:paraId="51C567A2" w14:textId="74C77019"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C76745">
      <w:pPr>
        <w:ind w:left="720" w:hanging="720"/>
        <w:jc w:val="both"/>
        <w:rPr>
          <w:rFonts w:ascii="Arial" w:hAnsi="Arial" w:cs="Arial"/>
          <w:sz w:val="22"/>
          <w:szCs w:val="22"/>
          <w:lang w:val="en-GB"/>
        </w:rPr>
      </w:pPr>
    </w:p>
    <w:p w14:paraId="439540AC" w14:textId="6B954BA9" w:rsidR="002073B6" w:rsidRPr="00946C20" w:rsidRDefault="002073B6" w:rsidP="00327829">
      <w:pPr>
        <w:pStyle w:val="ListParagraph"/>
        <w:numPr>
          <w:ilvl w:val="0"/>
          <w:numId w:val="7"/>
        </w:numPr>
        <w:ind w:left="426" w:hanging="426"/>
        <w:jc w:val="both"/>
        <w:rPr>
          <w:rFonts w:ascii="Arial" w:hAnsi="Arial" w:cs="Arial"/>
          <w:bCs/>
          <w:sz w:val="22"/>
          <w:szCs w:val="22"/>
          <w:highlight w:val="yellow"/>
          <w:lang w:val="en-GB"/>
        </w:rPr>
      </w:pPr>
      <w:r w:rsidRPr="00946C20">
        <w:rPr>
          <w:rFonts w:ascii="Arial" w:hAnsi="Arial" w:cs="Arial"/>
          <w:bCs/>
          <w:sz w:val="22"/>
          <w:szCs w:val="22"/>
          <w:highlight w:val="yellow"/>
          <w:lang w:val="en-GB"/>
        </w:rPr>
        <w:t xml:space="preserve">Interest on debts owed by the debtor stops accruing on the date of commencement of Preventive Composition. </w:t>
      </w:r>
      <w:r w:rsidRPr="00946C20">
        <w:rPr>
          <w:rFonts w:ascii="Arial" w:hAnsi="Arial" w:cs="Arial"/>
          <w:bCs/>
          <w:sz w:val="22"/>
          <w:szCs w:val="22"/>
          <w:highlight w:val="yellow"/>
          <w:lang w:val="en-GB"/>
        </w:rPr>
        <w:tab/>
      </w:r>
    </w:p>
    <w:p w14:paraId="59848C9A" w14:textId="77777777" w:rsidR="006F58B3" w:rsidRPr="006F58B3" w:rsidRDefault="006F58B3" w:rsidP="00C76745">
      <w:pPr>
        <w:jc w:val="both"/>
        <w:rPr>
          <w:rFonts w:ascii="Arial" w:hAnsi="Arial" w:cs="Arial"/>
          <w:bCs/>
          <w:sz w:val="22"/>
          <w:szCs w:val="22"/>
          <w:lang w:val="en-GB"/>
        </w:rPr>
      </w:pPr>
    </w:p>
    <w:p w14:paraId="3492BEDA" w14:textId="4D12D3AD" w:rsidR="002073B6" w:rsidRDefault="002073B6" w:rsidP="00327829">
      <w:pPr>
        <w:pStyle w:val="ListParagraph"/>
        <w:numPr>
          <w:ilvl w:val="0"/>
          <w:numId w:val="7"/>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C76745">
      <w:pPr>
        <w:jc w:val="both"/>
        <w:rPr>
          <w:rFonts w:ascii="Arial" w:hAnsi="Arial" w:cs="Arial"/>
          <w:sz w:val="22"/>
          <w:szCs w:val="22"/>
          <w:lang w:val="en-GB"/>
        </w:rPr>
      </w:pPr>
    </w:p>
    <w:p w14:paraId="190CA9E3" w14:textId="0ED3FA43" w:rsidR="002073B6" w:rsidRDefault="002073B6" w:rsidP="00327829">
      <w:pPr>
        <w:pStyle w:val="ListParagraph"/>
        <w:numPr>
          <w:ilvl w:val="0"/>
          <w:numId w:val="7"/>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C76745">
      <w:pPr>
        <w:jc w:val="both"/>
        <w:rPr>
          <w:rFonts w:ascii="Arial" w:hAnsi="Arial" w:cs="Arial"/>
          <w:sz w:val="22"/>
          <w:szCs w:val="22"/>
          <w:lang w:val="en-GB"/>
        </w:rPr>
      </w:pPr>
    </w:p>
    <w:p w14:paraId="080B7891" w14:textId="0BA9415C" w:rsidR="002073B6" w:rsidRPr="00CA448F" w:rsidRDefault="002073B6" w:rsidP="00327829">
      <w:pPr>
        <w:pStyle w:val="ListParagraph"/>
        <w:numPr>
          <w:ilvl w:val="0"/>
          <w:numId w:val="7"/>
        </w:numPr>
        <w:ind w:left="426" w:hanging="426"/>
        <w:jc w:val="both"/>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C76745">
      <w:pPr>
        <w:ind w:left="720" w:hanging="720"/>
        <w:jc w:val="both"/>
        <w:rPr>
          <w:rFonts w:ascii="Arial" w:hAnsi="Arial" w:cs="Arial"/>
          <w:sz w:val="22"/>
          <w:szCs w:val="22"/>
          <w:lang w:val="en-GB"/>
        </w:rPr>
      </w:pPr>
    </w:p>
    <w:p w14:paraId="41023C9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C76745">
      <w:pPr>
        <w:ind w:left="1440" w:hanging="1440"/>
        <w:jc w:val="both"/>
        <w:rPr>
          <w:rFonts w:ascii="Arial" w:hAnsi="Arial" w:cs="Arial"/>
          <w:sz w:val="22"/>
          <w:szCs w:val="22"/>
          <w:lang w:val="en-GB"/>
        </w:rPr>
      </w:pPr>
    </w:p>
    <w:p w14:paraId="64A70AA6" w14:textId="0DDC464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C76745">
      <w:pPr>
        <w:ind w:left="720" w:hanging="720"/>
        <w:jc w:val="both"/>
        <w:rPr>
          <w:rFonts w:ascii="Arial" w:hAnsi="Arial" w:cs="Arial"/>
          <w:sz w:val="22"/>
          <w:szCs w:val="22"/>
          <w:lang w:val="en-GB"/>
        </w:rPr>
      </w:pPr>
    </w:p>
    <w:p w14:paraId="6119C70B" w14:textId="7AEBD449" w:rsidR="002073B6" w:rsidRPr="002E3125" w:rsidRDefault="002073B6" w:rsidP="00327829">
      <w:pPr>
        <w:pStyle w:val="ListParagraph"/>
        <w:numPr>
          <w:ilvl w:val="0"/>
          <w:numId w:val="8"/>
        </w:numPr>
        <w:ind w:left="426" w:hanging="426"/>
        <w:jc w:val="both"/>
        <w:rPr>
          <w:rFonts w:ascii="Arial" w:hAnsi="Arial" w:cs="Arial"/>
          <w:bCs/>
          <w:sz w:val="22"/>
          <w:szCs w:val="22"/>
          <w:highlight w:val="yellow"/>
          <w:lang w:val="en-GB"/>
        </w:rPr>
      </w:pPr>
      <w:r w:rsidRPr="002E3125">
        <w:rPr>
          <w:rFonts w:ascii="Arial" w:hAnsi="Arial" w:cs="Arial"/>
          <w:bCs/>
          <w:sz w:val="22"/>
          <w:szCs w:val="22"/>
          <w:highlight w:val="yellow"/>
          <w:lang w:val="en-GB"/>
        </w:rPr>
        <w:t xml:space="preserve">If a secured creditor, having security over all or substantially all of the assets of a debtor, takes steps to enforce its security. </w:t>
      </w:r>
    </w:p>
    <w:p w14:paraId="443BE8CF" w14:textId="77777777" w:rsidR="006F58B3" w:rsidRPr="006F58B3" w:rsidRDefault="006F58B3" w:rsidP="00C76745">
      <w:pPr>
        <w:jc w:val="both"/>
        <w:rPr>
          <w:rFonts w:ascii="Arial" w:hAnsi="Arial" w:cs="Arial"/>
          <w:bCs/>
          <w:sz w:val="22"/>
          <w:szCs w:val="22"/>
          <w:lang w:val="en-GB"/>
        </w:rPr>
      </w:pPr>
    </w:p>
    <w:p w14:paraId="5605B34F" w14:textId="495F2371" w:rsidR="002073B6" w:rsidRDefault="002073B6" w:rsidP="00327829">
      <w:pPr>
        <w:pStyle w:val="ListParagraph"/>
        <w:numPr>
          <w:ilvl w:val="0"/>
          <w:numId w:val="8"/>
        </w:numPr>
        <w:ind w:left="426" w:hanging="426"/>
        <w:jc w:val="both"/>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C76745">
      <w:pPr>
        <w:jc w:val="both"/>
        <w:rPr>
          <w:rFonts w:ascii="Arial" w:hAnsi="Arial" w:cs="Arial"/>
          <w:sz w:val="22"/>
          <w:szCs w:val="22"/>
          <w:lang w:val="en-GB"/>
        </w:rPr>
      </w:pPr>
    </w:p>
    <w:p w14:paraId="698F3E2A" w14:textId="569EBAF9" w:rsidR="002073B6" w:rsidRDefault="002073B6" w:rsidP="00327829">
      <w:pPr>
        <w:pStyle w:val="ListParagraph"/>
        <w:numPr>
          <w:ilvl w:val="0"/>
          <w:numId w:val="8"/>
        </w:numPr>
        <w:ind w:left="426" w:hanging="426"/>
        <w:jc w:val="both"/>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C76745">
      <w:pPr>
        <w:jc w:val="both"/>
        <w:rPr>
          <w:rFonts w:ascii="Arial" w:hAnsi="Arial" w:cs="Arial"/>
          <w:sz w:val="22"/>
          <w:szCs w:val="22"/>
          <w:lang w:val="en-GB"/>
        </w:rPr>
      </w:pPr>
    </w:p>
    <w:p w14:paraId="313E7C06" w14:textId="503D75DC" w:rsidR="002073B6" w:rsidRPr="00CA448F" w:rsidRDefault="002073B6" w:rsidP="00327829">
      <w:pPr>
        <w:pStyle w:val="ListParagraph"/>
        <w:numPr>
          <w:ilvl w:val="0"/>
          <w:numId w:val="8"/>
        </w:numPr>
        <w:ind w:left="426" w:hanging="426"/>
        <w:jc w:val="both"/>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C76745">
      <w:pPr>
        <w:ind w:left="1440" w:hanging="1440"/>
        <w:jc w:val="both"/>
        <w:rPr>
          <w:rFonts w:ascii="Arial" w:hAnsi="Arial" w:cs="Arial"/>
          <w:sz w:val="22"/>
          <w:szCs w:val="22"/>
          <w:lang w:val="en-GB"/>
        </w:rPr>
      </w:pPr>
    </w:p>
    <w:p w14:paraId="5A2043A9"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C76745">
      <w:pPr>
        <w:ind w:left="1440" w:hanging="1440"/>
        <w:jc w:val="both"/>
        <w:rPr>
          <w:rFonts w:ascii="Arial" w:hAnsi="Arial" w:cs="Arial"/>
          <w:sz w:val="22"/>
          <w:szCs w:val="22"/>
          <w:lang w:val="en-GB"/>
        </w:rPr>
      </w:pPr>
    </w:p>
    <w:p w14:paraId="49446C32" w14:textId="0AD6970B" w:rsidR="002073B6" w:rsidRPr="00922A3A" w:rsidRDefault="001A1E2D" w:rsidP="00C76745">
      <w:pPr>
        <w:jc w:val="both"/>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C76745">
        <w:rPr>
          <w:rFonts w:ascii="Arial" w:hAnsi="Arial" w:cs="Arial"/>
          <w:b/>
          <w:bCs/>
          <w:sz w:val="22"/>
          <w:szCs w:val="22"/>
          <w:u w:val="single"/>
        </w:rPr>
        <w:t>incorrect</w:t>
      </w:r>
      <w:r w:rsidR="00BF7738">
        <w:rPr>
          <w:rFonts w:ascii="Arial" w:hAnsi="Arial" w:cs="Arial"/>
          <w:sz w:val="22"/>
          <w:szCs w:val="22"/>
        </w:rPr>
        <w:t>?</w:t>
      </w:r>
    </w:p>
    <w:p w14:paraId="60F790B4" w14:textId="77777777" w:rsidR="002073B6" w:rsidRPr="00922A3A" w:rsidRDefault="002073B6" w:rsidP="00C76745">
      <w:pPr>
        <w:ind w:left="720" w:hanging="720"/>
        <w:jc w:val="both"/>
        <w:rPr>
          <w:rFonts w:ascii="Arial" w:hAnsi="Arial" w:cs="Arial"/>
          <w:sz w:val="22"/>
          <w:szCs w:val="22"/>
          <w:lang w:val="en-GB"/>
        </w:rPr>
      </w:pPr>
    </w:p>
    <w:p w14:paraId="147741BA" w14:textId="5D1C18E7" w:rsidR="002073B6" w:rsidRPr="006F58B3" w:rsidRDefault="00B22E51" w:rsidP="00327829">
      <w:pPr>
        <w:pStyle w:val="ListParagraph"/>
        <w:numPr>
          <w:ilvl w:val="0"/>
          <w:numId w:val="9"/>
        </w:numPr>
        <w:ind w:left="426" w:hanging="426"/>
        <w:jc w:val="both"/>
        <w:rPr>
          <w:rFonts w:ascii="Arial" w:hAnsi="Arial" w:cs="Arial"/>
          <w:sz w:val="22"/>
          <w:szCs w:val="22"/>
          <w:lang w:val="en-GB"/>
        </w:rPr>
      </w:pPr>
      <w:r w:rsidRPr="00B22E51">
        <w:rPr>
          <w:rFonts w:ascii="Arial" w:hAnsi="Arial" w:cs="Arial"/>
          <w:sz w:val="22"/>
          <w:szCs w:val="22"/>
        </w:rPr>
        <w:t xml:space="preserve">In order to initiate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C76745">
      <w:pPr>
        <w:jc w:val="both"/>
        <w:rPr>
          <w:rFonts w:ascii="Arial" w:hAnsi="Arial" w:cs="Arial"/>
          <w:sz w:val="22"/>
          <w:szCs w:val="22"/>
          <w:lang w:val="en-GB"/>
        </w:rPr>
      </w:pPr>
    </w:p>
    <w:p w14:paraId="1E591EB3" w14:textId="48A50DF7" w:rsidR="002073B6" w:rsidRPr="0046351C" w:rsidRDefault="00BA06CC" w:rsidP="00327829">
      <w:pPr>
        <w:pStyle w:val="ListParagraph"/>
        <w:numPr>
          <w:ilvl w:val="0"/>
          <w:numId w:val="9"/>
        </w:numPr>
        <w:ind w:left="426" w:hanging="426"/>
        <w:jc w:val="both"/>
        <w:rPr>
          <w:rFonts w:ascii="Arial" w:hAnsi="Arial" w:cs="Arial"/>
          <w:bCs/>
          <w:sz w:val="22"/>
          <w:szCs w:val="22"/>
          <w:highlight w:val="yellow"/>
          <w:lang w:val="en-GB"/>
        </w:rPr>
      </w:pPr>
      <w:r w:rsidRPr="0046351C">
        <w:rPr>
          <w:rFonts w:ascii="Arial" w:hAnsi="Arial" w:cs="Arial"/>
          <w:sz w:val="22"/>
          <w:szCs w:val="22"/>
          <w:highlight w:val="yellow"/>
        </w:rPr>
        <w:t>A</w:t>
      </w:r>
      <w:r w:rsidR="00F80E9B" w:rsidRPr="0046351C">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46351C">
        <w:rPr>
          <w:rFonts w:ascii="Arial" w:hAnsi="Arial" w:cs="Arial"/>
          <w:bCs/>
          <w:sz w:val="22"/>
          <w:szCs w:val="22"/>
          <w:highlight w:val="yellow"/>
          <w:lang w:val="en-GB"/>
        </w:rPr>
        <w:t xml:space="preserve">. </w:t>
      </w:r>
    </w:p>
    <w:p w14:paraId="7F15A46D" w14:textId="77777777" w:rsidR="006F58B3" w:rsidRPr="006F58B3" w:rsidRDefault="006F58B3" w:rsidP="00C76745">
      <w:pPr>
        <w:jc w:val="both"/>
        <w:rPr>
          <w:rFonts w:ascii="Arial" w:hAnsi="Arial" w:cs="Arial"/>
          <w:bCs/>
          <w:sz w:val="22"/>
          <w:szCs w:val="22"/>
          <w:lang w:val="en-GB"/>
        </w:rPr>
      </w:pPr>
    </w:p>
    <w:p w14:paraId="5B5B360C" w14:textId="7C51F8C8" w:rsidR="002073B6" w:rsidRDefault="00821EDC" w:rsidP="00327829">
      <w:pPr>
        <w:pStyle w:val="ListParagraph"/>
        <w:numPr>
          <w:ilvl w:val="0"/>
          <w:numId w:val="9"/>
        </w:numPr>
        <w:ind w:left="426" w:hanging="426"/>
        <w:jc w:val="both"/>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C76745">
      <w:pPr>
        <w:jc w:val="both"/>
        <w:rPr>
          <w:rFonts w:ascii="Arial" w:hAnsi="Arial" w:cs="Arial"/>
          <w:sz w:val="22"/>
          <w:szCs w:val="22"/>
          <w:lang w:val="en-GB"/>
        </w:rPr>
      </w:pPr>
    </w:p>
    <w:p w14:paraId="77B9E7DE" w14:textId="7DC1C200" w:rsidR="002073B6" w:rsidRPr="00FF7906" w:rsidRDefault="00FF7906" w:rsidP="00327829">
      <w:pPr>
        <w:pStyle w:val="ListParagraph"/>
        <w:numPr>
          <w:ilvl w:val="0"/>
          <w:numId w:val="9"/>
        </w:numPr>
        <w:ind w:left="426" w:hanging="426"/>
        <w:jc w:val="both"/>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C76745">
      <w:pPr>
        <w:ind w:left="720" w:hanging="720"/>
        <w:jc w:val="both"/>
        <w:rPr>
          <w:rFonts w:ascii="Arial" w:hAnsi="Arial" w:cs="Arial"/>
          <w:sz w:val="22"/>
          <w:szCs w:val="22"/>
          <w:lang w:val="en-GB"/>
        </w:rPr>
      </w:pPr>
    </w:p>
    <w:p w14:paraId="636417FD" w14:textId="11F93528" w:rsidR="006F58B3" w:rsidRDefault="006F58B3" w:rsidP="00C76745">
      <w:pPr>
        <w:ind w:left="720" w:hanging="720"/>
        <w:jc w:val="both"/>
        <w:rPr>
          <w:rFonts w:ascii="Arial" w:hAnsi="Arial" w:cs="Arial"/>
          <w:sz w:val="22"/>
          <w:szCs w:val="22"/>
          <w:lang w:val="en-GB"/>
        </w:rPr>
      </w:pPr>
    </w:p>
    <w:p w14:paraId="2078F6C1" w14:textId="5B9F1EEE" w:rsidR="006F58B3" w:rsidRDefault="006F58B3" w:rsidP="00C76745">
      <w:pPr>
        <w:ind w:left="720" w:hanging="720"/>
        <w:jc w:val="both"/>
        <w:rPr>
          <w:rFonts w:ascii="Arial" w:hAnsi="Arial" w:cs="Arial"/>
          <w:sz w:val="22"/>
          <w:szCs w:val="22"/>
          <w:lang w:val="en-GB"/>
        </w:rPr>
      </w:pPr>
    </w:p>
    <w:p w14:paraId="027281FB" w14:textId="77777777" w:rsidR="006F58B3" w:rsidRPr="00CA448F" w:rsidRDefault="006F58B3" w:rsidP="00C76745">
      <w:pPr>
        <w:ind w:left="720" w:hanging="720"/>
        <w:jc w:val="both"/>
        <w:rPr>
          <w:rFonts w:ascii="Arial" w:hAnsi="Arial" w:cs="Arial"/>
          <w:sz w:val="22"/>
          <w:szCs w:val="22"/>
          <w:lang w:val="en-GB"/>
        </w:rPr>
      </w:pPr>
    </w:p>
    <w:p w14:paraId="2C36B1F5" w14:textId="77777777" w:rsidR="00DE3A7C" w:rsidRPr="00CA448F" w:rsidRDefault="002073B6"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C76745">
      <w:pPr>
        <w:ind w:left="720" w:hanging="720"/>
        <w:jc w:val="both"/>
        <w:rPr>
          <w:rFonts w:ascii="Arial" w:hAnsi="Arial" w:cs="Arial"/>
          <w:sz w:val="22"/>
          <w:szCs w:val="22"/>
          <w:lang w:val="en-GB"/>
        </w:rPr>
      </w:pPr>
    </w:p>
    <w:p w14:paraId="72E60C51" w14:textId="0DD27995" w:rsidR="002073B6" w:rsidRPr="00CA448F" w:rsidRDefault="002073B6" w:rsidP="00C76745">
      <w:pPr>
        <w:ind w:left="720" w:hanging="720"/>
        <w:jc w:val="both"/>
        <w:rPr>
          <w:rFonts w:ascii="Arial" w:hAnsi="Arial" w:cs="Arial"/>
          <w:sz w:val="22"/>
          <w:szCs w:val="22"/>
          <w:lang w:val="en-GB"/>
        </w:rPr>
      </w:pPr>
      <w:r w:rsidRPr="00CA448F">
        <w:rPr>
          <w:rFonts w:ascii="Arial" w:hAnsi="Arial" w:cs="Arial"/>
          <w:sz w:val="22"/>
          <w:szCs w:val="22"/>
          <w:lang w:val="en-GB"/>
        </w:rPr>
        <w:t xml:space="preserve">Which of the following statements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C76745">
      <w:pPr>
        <w:ind w:left="720" w:hanging="720"/>
        <w:jc w:val="both"/>
        <w:rPr>
          <w:rFonts w:ascii="Arial" w:hAnsi="Arial" w:cs="Arial"/>
          <w:sz w:val="22"/>
          <w:szCs w:val="22"/>
          <w:lang w:val="en-GB"/>
        </w:rPr>
      </w:pPr>
    </w:p>
    <w:p w14:paraId="30E2AA94" w14:textId="7DF134C6" w:rsidR="002073B6" w:rsidRDefault="002073B6" w:rsidP="00327829">
      <w:pPr>
        <w:pStyle w:val="ListParagraph"/>
        <w:numPr>
          <w:ilvl w:val="0"/>
          <w:numId w:val="10"/>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C76745">
      <w:pPr>
        <w:jc w:val="both"/>
        <w:rPr>
          <w:rFonts w:ascii="Arial" w:hAnsi="Arial" w:cs="Arial"/>
          <w:sz w:val="22"/>
          <w:szCs w:val="22"/>
          <w:lang w:val="en-GB"/>
        </w:rPr>
      </w:pPr>
    </w:p>
    <w:p w14:paraId="3625363A" w14:textId="111F8E2F" w:rsidR="002073B6" w:rsidRDefault="002073B6" w:rsidP="00327829">
      <w:pPr>
        <w:pStyle w:val="ListParagraph"/>
        <w:numPr>
          <w:ilvl w:val="0"/>
          <w:numId w:val="10"/>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C76745">
      <w:pPr>
        <w:jc w:val="both"/>
        <w:rPr>
          <w:rFonts w:ascii="Arial" w:hAnsi="Arial" w:cs="Arial"/>
          <w:bCs/>
          <w:sz w:val="22"/>
          <w:szCs w:val="22"/>
          <w:lang w:val="en-GB"/>
        </w:rPr>
      </w:pPr>
    </w:p>
    <w:p w14:paraId="6A27203B" w14:textId="115A7D29" w:rsidR="002073B6" w:rsidRPr="005E37D3" w:rsidRDefault="002073B6" w:rsidP="00327829">
      <w:pPr>
        <w:pStyle w:val="ListParagraph"/>
        <w:numPr>
          <w:ilvl w:val="0"/>
          <w:numId w:val="10"/>
        </w:numPr>
        <w:ind w:left="426" w:hanging="426"/>
        <w:jc w:val="both"/>
        <w:rPr>
          <w:rFonts w:ascii="Arial" w:hAnsi="Arial" w:cs="Arial"/>
          <w:sz w:val="22"/>
          <w:szCs w:val="22"/>
          <w:highlight w:val="yellow"/>
          <w:lang w:val="en-GB"/>
        </w:rPr>
      </w:pPr>
      <w:r w:rsidRPr="005E37D3">
        <w:rPr>
          <w:rFonts w:ascii="Arial" w:hAnsi="Arial" w:cs="Arial"/>
          <w:sz w:val="22"/>
          <w:szCs w:val="22"/>
          <w:highlight w:val="yellow"/>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C76745">
      <w:pPr>
        <w:jc w:val="both"/>
        <w:rPr>
          <w:rFonts w:ascii="Arial" w:hAnsi="Arial" w:cs="Arial"/>
          <w:sz w:val="22"/>
          <w:szCs w:val="22"/>
          <w:lang w:val="en-GB"/>
        </w:rPr>
      </w:pPr>
    </w:p>
    <w:p w14:paraId="02C87DC8" w14:textId="459201FC" w:rsidR="003C6597" w:rsidRPr="00CA448F" w:rsidRDefault="002073B6" w:rsidP="00327829">
      <w:pPr>
        <w:pStyle w:val="ListParagraph"/>
        <w:numPr>
          <w:ilvl w:val="0"/>
          <w:numId w:val="10"/>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C76745">
      <w:pPr>
        <w:jc w:val="both"/>
        <w:rPr>
          <w:rFonts w:ascii="Arial" w:hAnsi="Arial" w:cs="Arial"/>
          <w:bCs/>
          <w:sz w:val="22"/>
          <w:szCs w:val="22"/>
          <w:lang w:val="en-GB"/>
        </w:rPr>
      </w:pPr>
    </w:p>
    <w:p w14:paraId="2310A624" w14:textId="50C26E6C" w:rsidR="002C1EC5" w:rsidRPr="00CA448F" w:rsidRDefault="002C1EC5" w:rsidP="00C76745">
      <w:pPr>
        <w:jc w:val="both"/>
        <w:rPr>
          <w:rFonts w:ascii="Arial" w:hAnsi="Arial" w:cs="Arial"/>
          <w:bCs/>
          <w:sz w:val="22"/>
          <w:szCs w:val="22"/>
          <w:lang w:val="en-GB"/>
        </w:rPr>
      </w:pPr>
    </w:p>
    <w:p w14:paraId="458E4DDF"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C76745">
      <w:pPr>
        <w:ind w:left="720" w:hanging="720"/>
        <w:jc w:val="both"/>
        <w:rPr>
          <w:rFonts w:ascii="Arial" w:hAnsi="Arial" w:cs="Arial"/>
          <w:sz w:val="22"/>
          <w:szCs w:val="22"/>
          <w:lang w:val="en-GB"/>
        </w:rPr>
      </w:pPr>
    </w:p>
    <w:p w14:paraId="71F98141" w14:textId="77777777" w:rsidR="002C13C8" w:rsidRPr="00CA448F" w:rsidRDefault="002C13C8" w:rsidP="00C76745">
      <w:pPr>
        <w:ind w:left="720" w:hanging="720"/>
        <w:jc w:val="both"/>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C76745">
      <w:pPr>
        <w:ind w:left="720" w:hanging="720"/>
        <w:jc w:val="both"/>
        <w:rPr>
          <w:rFonts w:ascii="Arial" w:hAnsi="Arial" w:cs="Arial"/>
          <w:sz w:val="22"/>
          <w:szCs w:val="22"/>
          <w:lang w:val="en-GB"/>
        </w:rPr>
      </w:pPr>
    </w:p>
    <w:p w14:paraId="39EB7667" w14:textId="344E90CE" w:rsidR="00007BF3" w:rsidRPr="00CA448F" w:rsidRDefault="006645D6" w:rsidP="00C76745">
      <w:pPr>
        <w:jc w:val="both"/>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C76745">
      <w:pPr>
        <w:ind w:left="720" w:hanging="720"/>
        <w:jc w:val="both"/>
        <w:rPr>
          <w:rFonts w:ascii="Arial" w:hAnsi="Arial" w:cs="Arial"/>
          <w:sz w:val="22"/>
          <w:szCs w:val="22"/>
          <w:lang w:val="en-GB"/>
        </w:rPr>
      </w:pPr>
    </w:p>
    <w:p w14:paraId="21DC459A" w14:textId="0BCEDDB4" w:rsidR="002170BB" w:rsidRDefault="00301E50" w:rsidP="002170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They key point of distinction regarding the registration of real property interests, including mortgages, </w:t>
      </w:r>
      <w:r w:rsidR="003326EC">
        <w:rPr>
          <w:rFonts w:ascii="Arial" w:hAnsi="Arial" w:cs="Arial"/>
          <w:color w:val="808080" w:themeColor="background1" w:themeShade="80"/>
          <w:sz w:val="22"/>
          <w:szCs w:val="22"/>
          <w:lang w:val="en-GB"/>
        </w:rPr>
        <w:t>in the different emirates of the UAE is t</w:t>
      </w:r>
      <w:r w:rsidR="00404048">
        <w:rPr>
          <w:rFonts w:ascii="Arial" w:hAnsi="Arial" w:cs="Arial"/>
          <w:color w:val="808080" w:themeColor="background1" w:themeShade="80"/>
          <w:sz w:val="22"/>
          <w:szCs w:val="22"/>
          <w:lang w:val="en-GB"/>
        </w:rPr>
        <w:t xml:space="preserve">he governing law of each emirate which </w:t>
      </w:r>
      <w:r w:rsidR="006014F2">
        <w:rPr>
          <w:rFonts w:ascii="Arial" w:hAnsi="Arial" w:cs="Arial"/>
          <w:color w:val="808080" w:themeColor="background1" w:themeShade="80"/>
          <w:sz w:val="22"/>
          <w:szCs w:val="22"/>
          <w:lang w:val="en-GB"/>
        </w:rPr>
        <w:t>may differ, in one way or the other, as it relates to t</w:t>
      </w:r>
      <w:r w:rsidR="001B3BC5">
        <w:rPr>
          <w:rFonts w:ascii="Arial" w:hAnsi="Arial" w:cs="Arial"/>
          <w:color w:val="808080" w:themeColor="background1" w:themeShade="80"/>
          <w:sz w:val="22"/>
          <w:szCs w:val="22"/>
          <w:lang w:val="en-GB"/>
        </w:rPr>
        <w:t>he registration and enforcement of such mortgages.</w:t>
      </w:r>
    </w:p>
    <w:p w14:paraId="76D4358A" w14:textId="77777777" w:rsidR="002170BB" w:rsidRDefault="002170BB" w:rsidP="002170BB">
      <w:pPr>
        <w:jc w:val="both"/>
        <w:rPr>
          <w:rFonts w:ascii="Arial" w:hAnsi="Arial" w:cs="Arial"/>
          <w:color w:val="808080" w:themeColor="background1" w:themeShade="80"/>
          <w:sz w:val="22"/>
          <w:szCs w:val="22"/>
          <w:lang w:val="en-GB"/>
        </w:rPr>
      </w:pPr>
    </w:p>
    <w:p w14:paraId="43BB66E0" w14:textId="1A66DA5F" w:rsidR="00A334F9" w:rsidRDefault="00E66B9E" w:rsidP="002170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key difference between the sale of mortgaged real property following a debtor if that real property is in a financial free zone or if the real property is in “mainland” UAE is that</w:t>
      </w:r>
      <w:r w:rsidR="00E85948">
        <w:rPr>
          <w:rFonts w:ascii="Arial" w:hAnsi="Arial" w:cs="Arial"/>
          <w:color w:val="808080" w:themeColor="background1" w:themeShade="80"/>
          <w:sz w:val="22"/>
          <w:szCs w:val="22"/>
          <w:lang w:val="en-GB"/>
        </w:rPr>
        <w:t xml:space="preserve"> </w:t>
      </w:r>
      <w:r w:rsidR="00495A0E">
        <w:rPr>
          <w:rFonts w:ascii="Arial" w:hAnsi="Arial" w:cs="Arial"/>
          <w:color w:val="808080" w:themeColor="background1" w:themeShade="80"/>
          <w:sz w:val="22"/>
          <w:szCs w:val="22"/>
          <w:lang w:val="en-GB"/>
        </w:rPr>
        <w:t xml:space="preserve">in “mainland” UAE the right to sell must be sanctioned by the court whereas </w:t>
      </w:r>
      <w:r w:rsidR="002170BB">
        <w:rPr>
          <w:rFonts w:ascii="Arial" w:hAnsi="Arial" w:cs="Arial"/>
          <w:color w:val="808080" w:themeColor="background1" w:themeShade="80"/>
          <w:sz w:val="22"/>
          <w:szCs w:val="22"/>
          <w:lang w:val="en-GB"/>
        </w:rPr>
        <w:t>court sanction is not required in a financial free zone.</w:t>
      </w:r>
    </w:p>
    <w:p w14:paraId="6C01B871" w14:textId="77777777" w:rsidR="006F58B3" w:rsidRPr="00CA448F" w:rsidRDefault="006F58B3" w:rsidP="00C76745">
      <w:pPr>
        <w:ind w:left="720" w:hanging="720"/>
        <w:jc w:val="both"/>
        <w:rPr>
          <w:rFonts w:ascii="Arial" w:hAnsi="Arial" w:cs="Arial"/>
          <w:color w:val="808080" w:themeColor="background1" w:themeShade="80"/>
          <w:sz w:val="22"/>
          <w:szCs w:val="22"/>
          <w:lang w:val="en-GB"/>
        </w:rPr>
      </w:pPr>
    </w:p>
    <w:p w14:paraId="3CAA304C" w14:textId="6EA3C023" w:rsidR="00C72848" w:rsidRPr="00CA448F" w:rsidRDefault="002C13C8" w:rsidP="00C76745">
      <w:pPr>
        <w:ind w:left="720" w:hanging="720"/>
        <w:jc w:val="both"/>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C76745">
      <w:pPr>
        <w:ind w:left="720" w:hanging="720"/>
        <w:jc w:val="both"/>
        <w:rPr>
          <w:rFonts w:ascii="Arial" w:hAnsi="Arial" w:cs="Arial"/>
          <w:sz w:val="22"/>
          <w:szCs w:val="22"/>
        </w:rPr>
      </w:pPr>
    </w:p>
    <w:p w14:paraId="589D300E" w14:textId="55A1E88D" w:rsidR="006511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following:</w:t>
      </w:r>
    </w:p>
    <w:p w14:paraId="214980C0" w14:textId="77777777" w:rsidR="00651151" w:rsidRPr="00CA448F" w:rsidRDefault="00651151" w:rsidP="00C76745">
      <w:pPr>
        <w:jc w:val="both"/>
        <w:rPr>
          <w:rFonts w:ascii="Arial" w:hAnsi="Arial" w:cs="Arial"/>
          <w:sz w:val="22"/>
          <w:szCs w:val="22"/>
          <w:lang w:val="en-GB"/>
        </w:rPr>
      </w:pPr>
    </w:p>
    <w:p w14:paraId="1BDCFC4D" w14:textId="3EA23161" w:rsidR="00651151" w:rsidRDefault="00651151" w:rsidP="00327829">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A decision on any application to commence an insolvency process;</w:t>
      </w:r>
    </w:p>
    <w:p w14:paraId="6F4D3B3D" w14:textId="77777777" w:rsidR="006F58B3" w:rsidRPr="006F58B3" w:rsidRDefault="006F58B3" w:rsidP="00C76745">
      <w:pPr>
        <w:jc w:val="both"/>
        <w:rPr>
          <w:rFonts w:ascii="Arial" w:hAnsi="Arial" w:cs="Arial"/>
          <w:sz w:val="22"/>
          <w:szCs w:val="22"/>
          <w:lang w:val="en-GB"/>
        </w:rPr>
      </w:pPr>
    </w:p>
    <w:p w14:paraId="07C7D272" w14:textId="00E68DAC" w:rsidR="00651151" w:rsidRDefault="00651151" w:rsidP="00327829">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adopted; </w:t>
      </w:r>
    </w:p>
    <w:p w14:paraId="27D5B25D" w14:textId="77777777" w:rsidR="006F58B3" w:rsidRPr="006F58B3" w:rsidRDefault="006F58B3" w:rsidP="00C76745">
      <w:pPr>
        <w:jc w:val="both"/>
        <w:rPr>
          <w:rFonts w:ascii="Arial" w:hAnsi="Arial" w:cs="Arial"/>
          <w:sz w:val="22"/>
          <w:szCs w:val="22"/>
          <w:lang w:val="en-GB"/>
        </w:rPr>
      </w:pPr>
    </w:p>
    <w:p w14:paraId="0F7C4547" w14:textId="4C285A13" w:rsidR="00651151" w:rsidRPr="006F58B3" w:rsidRDefault="00651151" w:rsidP="00327829">
      <w:pPr>
        <w:pStyle w:val="ListParagraph"/>
        <w:widowControl w:val="0"/>
        <w:numPr>
          <w:ilvl w:val="0"/>
          <w:numId w:val="11"/>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Confirmation of the primary determination as to whether a debtor’s proposal should be adopted;</w:t>
      </w:r>
    </w:p>
    <w:p w14:paraId="43146A66" w14:textId="20DF68ED" w:rsidR="006F58B3" w:rsidRPr="006F58B3" w:rsidRDefault="005D502A" w:rsidP="005D502A">
      <w:pPr>
        <w:widowControl w:val="0"/>
        <w:tabs>
          <w:tab w:val="left" w:pos="2688"/>
        </w:tabs>
        <w:autoSpaceDE w:val="0"/>
        <w:autoSpaceDN w:val="0"/>
        <w:adjustRightInd w:val="0"/>
        <w:jc w:val="both"/>
        <w:rPr>
          <w:rFonts w:ascii="Arial" w:hAnsi="Arial" w:cs="Arial"/>
          <w:iCs/>
          <w:sz w:val="22"/>
          <w:szCs w:val="22"/>
        </w:rPr>
      </w:pPr>
      <w:r>
        <w:rPr>
          <w:rFonts w:ascii="Arial" w:hAnsi="Arial" w:cs="Arial"/>
          <w:iCs/>
          <w:sz w:val="22"/>
          <w:szCs w:val="22"/>
        </w:rPr>
        <w:tab/>
      </w:r>
    </w:p>
    <w:p w14:paraId="78B098B3" w14:textId="0222E372" w:rsidR="003C6597" w:rsidRPr="00CA448F" w:rsidRDefault="00651151" w:rsidP="00327829">
      <w:pPr>
        <w:pStyle w:val="ListParagraph"/>
        <w:widowControl w:val="0"/>
        <w:numPr>
          <w:ilvl w:val="0"/>
          <w:numId w:val="11"/>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C76745">
      <w:pPr>
        <w:ind w:left="720" w:hanging="720"/>
        <w:jc w:val="both"/>
        <w:rPr>
          <w:rFonts w:ascii="Arial" w:hAnsi="Arial" w:cs="Arial"/>
          <w:sz w:val="22"/>
          <w:szCs w:val="22"/>
        </w:rPr>
      </w:pPr>
    </w:p>
    <w:p w14:paraId="63350B14" w14:textId="4CEEB62B" w:rsidR="00651151" w:rsidRDefault="003932C9" w:rsidP="001F679F">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In respect of preventive composition:</w:t>
      </w:r>
    </w:p>
    <w:p w14:paraId="3B21F025" w14:textId="472988DA" w:rsidR="003932C9" w:rsidRDefault="003932C9" w:rsidP="00327829">
      <w:pPr>
        <w:pStyle w:val="ListParagraph"/>
        <w:numPr>
          <w:ilvl w:val="0"/>
          <w:numId w:val="12"/>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debtor is responsible for a decision on any application to commence </w:t>
      </w:r>
      <w:r w:rsidR="008036B0">
        <w:rPr>
          <w:rFonts w:ascii="Arial" w:hAnsi="Arial" w:cs="Arial"/>
          <w:color w:val="808080" w:themeColor="background1" w:themeShade="80"/>
          <w:sz w:val="22"/>
          <w:szCs w:val="22"/>
        </w:rPr>
        <w:t>a preventive composition.</w:t>
      </w:r>
    </w:p>
    <w:p w14:paraId="5D90511B" w14:textId="676E02E3" w:rsidR="001B50BF" w:rsidRDefault="001B50BF" w:rsidP="00327829">
      <w:pPr>
        <w:pStyle w:val="ListParagraph"/>
        <w:numPr>
          <w:ilvl w:val="0"/>
          <w:numId w:val="12"/>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An expert is responsible for the primary determination as to whether </w:t>
      </w:r>
      <w:r w:rsidR="00C25F5F">
        <w:rPr>
          <w:rFonts w:ascii="Arial" w:hAnsi="Arial" w:cs="Arial"/>
          <w:color w:val="808080" w:themeColor="background1" w:themeShade="80"/>
          <w:sz w:val="22"/>
          <w:szCs w:val="22"/>
        </w:rPr>
        <w:t>the preventive composition</w:t>
      </w:r>
      <w:r>
        <w:rPr>
          <w:rFonts w:ascii="Arial" w:hAnsi="Arial" w:cs="Arial"/>
          <w:color w:val="808080" w:themeColor="background1" w:themeShade="80"/>
          <w:sz w:val="22"/>
          <w:szCs w:val="22"/>
        </w:rPr>
        <w:t xml:space="preserve"> should be adopted.</w:t>
      </w:r>
    </w:p>
    <w:p w14:paraId="2603B6BB" w14:textId="39AA129B" w:rsidR="001B50BF" w:rsidRDefault="001B50BF" w:rsidP="00327829">
      <w:pPr>
        <w:pStyle w:val="ListParagraph"/>
        <w:numPr>
          <w:ilvl w:val="0"/>
          <w:numId w:val="12"/>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court is responsible for confirmation of the primary determination as to whether </w:t>
      </w:r>
      <w:r w:rsidR="00154A08">
        <w:rPr>
          <w:rFonts w:ascii="Arial" w:hAnsi="Arial" w:cs="Arial"/>
          <w:color w:val="808080" w:themeColor="background1" w:themeShade="80"/>
          <w:sz w:val="22"/>
          <w:szCs w:val="22"/>
        </w:rPr>
        <w:t>the preventive composition should be adopted and officially commence.</w:t>
      </w:r>
    </w:p>
    <w:p w14:paraId="09164ED3" w14:textId="15E6B97F" w:rsidR="001B50BF" w:rsidRDefault="00A85D38" w:rsidP="00327829">
      <w:pPr>
        <w:pStyle w:val="ListParagraph"/>
        <w:numPr>
          <w:ilvl w:val="0"/>
          <w:numId w:val="12"/>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court appointed trustee </w:t>
      </w:r>
      <w:r w:rsidR="00246C60">
        <w:rPr>
          <w:rFonts w:ascii="Arial" w:hAnsi="Arial" w:cs="Arial"/>
          <w:color w:val="808080" w:themeColor="background1" w:themeShade="80"/>
          <w:sz w:val="22"/>
          <w:szCs w:val="22"/>
        </w:rPr>
        <w:t xml:space="preserve">is responsible for supervising the implementation of the </w:t>
      </w:r>
      <w:r w:rsidR="00DF6F63">
        <w:rPr>
          <w:rFonts w:ascii="Arial" w:hAnsi="Arial" w:cs="Arial"/>
          <w:color w:val="808080" w:themeColor="background1" w:themeShade="80"/>
          <w:sz w:val="22"/>
          <w:szCs w:val="22"/>
        </w:rPr>
        <w:t xml:space="preserve">preventive composition </w:t>
      </w:r>
      <w:r w:rsidR="00246C60">
        <w:rPr>
          <w:rFonts w:ascii="Arial" w:hAnsi="Arial" w:cs="Arial"/>
          <w:color w:val="808080" w:themeColor="background1" w:themeShade="80"/>
          <w:sz w:val="22"/>
          <w:szCs w:val="22"/>
        </w:rPr>
        <w:t>by the debtor.</w:t>
      </w:r>
    </w:p>
    <w:p w14:paraId="6AA60010" w14:textId="77777777" w:rsidR="00294E0E" w:rsidRDefault="00294E0E" w:rsidP="00294E0E">
      <w:pPr>
        <w:jc w:val="both"/>
        <w:rPr>
          <w:rFonts w:ascii="Arial" w:hAnsi="Arial" w:cs="Arial"/>
          <w:color w:val="808080" w:themeColor="background1" w:themeShade="80"/>
          <w:sz w:val="22"/>
          <w:szCs w:val="22"/>
        </w:rPr>
      </w:pPr>
    </w:p>
    <w:p w14:paraId="1E08F13B" w14:textId="2122BE4B" w:rsidR="00294E0E" w:rsidRDefault="00294E0E" w:rsidP="00294E0E">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In respect of restructuring:</w:t>
      </w:r>
    </w:p>
    <w:p w14:paraId="0FE2C8F4" w14:textId="23858363" w:rsidR="00294E0E" w:rsidRDefault="00294E0E" w:rsidP="00327829">
      <w:pPr>
        <w:pStyle w:val="ListParagraph"/>
        <w:numPr>
          <w:ilvl w:val="0"/>
          <w:numId w:val="13"/>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debtor</w:t>
      </w:r>
      <w:r w:rsidR="00156182">
        <w:rPr>
          <w:rFonts w:ascii="Arial" w:hAnsi="Arial" w:cs="Arial"/>
          <w:color w:val="808080" w:themeColor="background1" w:themeShade="80"/>
          <w:sz w:val="22"/>
          <w:szCs w:val="22"/>
        </w:rPr>
        <w:t xml:space="preserve"> or </w:t>
      </w:r>
      <w:r w:rsidR="009C1DA8">
        <w:rPr>
          <w:rFonts w:ascii="Arial" w:hAnsi="Arial" w:cs="Arial"/>
          <w:color w:val="808080" w:themeColor="background1" w:themeShade="80"/>
          <w:sz w:val="22"/>
          <w:szCs w:val="22"/>
        </w:rPr>
        <w:t xml:space="preserve">a </w:t>
      </w:r>
      <w:r w:rsidR="00156182">
        <w:rPr>
          <w:rFonts w:ascii="Arial" w:hAnsi="Arial" w:cs="Arial"/>
          <w:color w:val="808080" w:themeColor="background1" w:themeShade="80"/>
          <w:sz w:val="22"/>
          <w:szCs w:val="22"/>
        </w:rPr>
        <w:t>creditor</w:t>
      </w:r>
      <w:r>
        <w:rPr>
          <w:rFonts w:ascii="Arial" w:hAnsi="Arial" w:cs="Arial"/>
          <w:color w:val="808080" w:themeColor="background1" w:themeShade="80"/>
          <w:sz w:val="22"/>
          <w:szCs w:val="22"/>
        </w:rPr>
        <w:t xml:space="preserve"> is responsible for a decision on any application to commence </w:t>
      </w:r>
      <w:r w:rsidR="006838F3">
        <w:rPr>
          <w:rFonts w:ascii="Arial" w:hAnsi="Arial" w:cs="Arial"/>
          <w:color w:val="808080" w:themeColor="background1" w:themeShade="80"/>
          <w:sz w:val="22"/>
          <w:szCs w:val="22"/>
        </w:rPr>
        <w:t>bankruptcy proceedings</w:t>
      </w:r>
      <w:r w:rsidR="008D46CC">
        <w:rPr>
          <w:rFonts w:ascii="Arial" w:hAnsi="Arial" w:cs="Arial"/>
          <w:color w:val="808080" w:themeColor="background1" w:themeShade="80"/>
          <w:sz w:val="22"/>
          <w:szCs w:val="22"/>
        </w:rPr>
        <w:t xml:space="preserve"> of which one of the two outcomes is restructuring.</w:t>
      </w:r>
    </w:p>
    <w:p w14:paraId="0A43F2F0" w14:textId="36AEB87A" w:rsidR="00294E0E" w:rsidRDefault="00294E0E" w:rsidP="00327829">
      <w:pPr>
        <w:pStyle w:val="ListParagraph"/>
        <w:numPr>
          <w:ilvl w:val="0"/>
          <w:numId w:val="13"/>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An expert is responsible for the primary determination as t</w:t>
      </w:r>
      <w:r w:rsidR="009C1DA8">
        <w:rPr>
          <w:rFonts w:ascii="Arial" w:hAnsi="Arial" w:cs="Arial"/>
          <w:color w:val="808080" w:themeColor="background1" w:themeShade="80"/>
          <w:sz w:val="22"/>
          <w:szCs w:val="22"/>
        </w:rPr>
        <w:t>o the likelihood of a debtor successfully completing a restructuring.</w:t>
      </w:r>
    </w:p>
    <w:p w14:paraId="6BCBA0CD" w14:textId="181B1C21" w:rsidR="00294E0E" w:rsidRDefault="00294E0E" w:rsidP="00327829">
      <w:pPr>
        <w:pStyle w:val="ListParagraph"/>
        <w:numPr>
          <w:ilvl w:val="0"/>
          <w:numId w:val="13"/>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court is responsible for confirmation of the primary determination as to whether </w:t>
      </w:r>
      <w:r w:rsidR="00CA214F">
        <w:rPr>
          <w:rFonts w:ascii="Arial" w:hAnsi="Arial" w:cs="Arial"/>
          <w:color w:val="808080" w:themeColor="background1" w:themeShade="80"/>
          <w:sz w:val="22"/>
          <w:szCs w:val="22"/>
        </w:rPr>
        <w:t>bankruptcy proceedings</w:t>
      </w:r>
      <w:r w:rsidR="00455637">
        <w:rPr>
          <w:rFonts w:ascii="Arial" w:hAnsi="Arial" w:cs="Arial"/>
          <w:color w:val="808080" w:themeColor="background1" w:themeShade="80"/>
          <w:sz w:val="22"/>
          <w:szCs w:val="22"/>
        </w:rPr>
        <w:t xml:space="preserve"> should be commenced.</w:t>
      </w:r>
    </w:p>
    <w:p w14:paraId="7DE4BA7A" w14:textId="454F19A6" w:rsidR="00294E0E" w:rsidRDefault="00294E0E" w:rsidP="00327829">
      <w:pPr>
        <w:pStyle w:val="ListParagraph"/>
        <w:numPr>
          <w:ilvl w:val="0"/>
          <w:numId w:val="13"/>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court appointed trustee is responsible for </w:t>
      </w:r>
      <w:r w:rsidR="00B00069">
        <w:rPr>
          <w:rFonts w:ascii="Arial" w:hAnsi="Arial" w:cs="Arial"/>
          <w:color w:val="808080" w:themeColor="background1" w:themeShade="80"/>
          <w:sz w:val="22"/>
          <w:szCs w:val="22"/>
        </w:rPr>
        <w:t>formally considering the likelihood of a successful restructuring and if likely</w:t>
      </w:r>
      <w:r w:rsidR="00C1637D">
        <w:rPr>
          <w:rFonts w:ascii="Arial" w:hAnsi="Arial" w:cs="Arial"/>
          <w:color w:val="808080" w:themeColor="background1" w:themeShade="80"/>
          <w:sz w:val="22"/>
          <w:szCs w:val="22"/>
        </w:rPr>
        <w:t xml:space="preserve"> (and directed by the court)</w:t>
      </w:r>
      <w:r w:rsidR="00B00069">
        <w:rPr>
          <w:rFonts w:ascii="Arial" w:hAnsi="Arial" w:cs="Arial"/>
          <w:color w:val="808080" w:themeColor="background1" w:themeShade="80"/>
          <w:sz w:val="22"/>
          <w:szCs w:val="22"/>
        </w:rPr>
        <w:t xml:space="preserve">, preparing, developing, and </w:t>
      </w:r>
      <w:r>
        <w:rPr>
          <w:rFonts w:ascii="Arial" w:hAnsi="Arial" w:cs="Arial"/>
          <w:color w:val="808080" w:themeColor="background1" w:themeShade="80"/>
          <w:sz w:val="22"/>
          <w:szCs w:val="22"/>
        </w:rPr>
        <w:t xml:space="preserve">supervising the implementation of the </w:t>
      </w:r>
      <w:r w:rsidR="00EF6FA7">
        <w:rPr>
          <w:rFonts w:ascii="Arial" w:hAnsi="Arial" w:cs="Arial"/>
          <w:color w:val="808080" w:themeColor="background1" w:themeShade="80"/>
          <w:sz w:val="22"/>
          <w:szCs w:val="22"/>
        </w:rPr>
        <w:t>restructuring of the debtor</w:t>
      </w:r>
      <w:r>
        <w:rPr>
          <w:rFonts w:ascii="Arial" w:hAnsi="Arial" w:cs="Arial"/>
          <w:color w:val="808080" w:themeColor="background1" w:themeShade="80"/>
          <w:sz w:val="22"/>
          <w:szCs w:val="22"/>
        </w:rPr>
        <w:t>.</w:t>
      </w:r>
    </w:p>
    <w:p w14:paraId="6E3C132A" w14:textId="77777777" w:rsidR="006F58B3" w:rsidRPr="00CA448F" w:rsidRDefault="006F58B3" w:rsidP="00C76745">
      <w:pPr>
        <w:ind w:left="720" w:hanging="720"/>
        <w:jc w:val="both"/>
        <w:rPr>
          <w:rFonts w:ascii="Arial" w:hAnsi="Arial" w:cs="Arial"/>
          <w:color w:val="808080" w:themeColor="background1" w:themeShade="80"/>
          <w:sz w:val="22"/>
          <w:szCs w:val="22"/>
        </w:rPr>
      </w:pPr>
    </w:p>
    <w:p w14:paraId="0BC1902C" w14:textId="28450EB5" w:rsidR="00C72848" w:rsidRPr="00CA448F" w:rsidRDefault="00C72848"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C76745">
      <w:pPr>
        <w:ind w:left="720" w:hanging="720"/>
        <w:jc w:val="both"/>
        <w:rPr>
          <w:rFonts w:ascii="Arial" w:hAnsi="Arial" w:cs="Arial"/>
          <w:b/>
          <w:bCs/>
          <w:sz w:val="22"/>
          <w:szCs w:val="22"/>
          <w:lang w:val="en-GB"/>
        </w:rPr>
      </w:pPr>
    </w:p>
    <w:p w14:paraId="480A5E93" w14:textId="2142AA9C" w:rsidR="008227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C76745">
      <w:pPr>
        <w:jc w:val="both"/>
        <w:rPr>
          <w:rFonts w:ascii="Arial" w:hAnsi="Arial" w:cs="Arial"/>
          <w:color w:val="808080" w:themeColor="background1" w:themeShade="80"/>
          <w:sz w:val="22"/>
          <w:szCs w:val="22"/>
          <w:lang w:val="en-GB"/>
        </w:rPr>
      </w:pPr>
    </w:p>
    <w:p w14:paraId="50DAF75B" w14:textId="08FB91DA" w:rsidR="00C72848" w:rsidRDefault="00565D30"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the UAE Bankruptcy Law, for a debtor, the key difference between the circumstances which could give rise to an application to commence Preventive Composition or an application to commence Bankruptcy (whether leading to Restructuring or Liquidation)</w:t>
      </w:r>
      <w:r w:rsidR="007F38FA">
        <w:rPr>
          <w:rFonts w:ascii="Arial" w:hAnsi="Arial" w:cs="Arial"/>
          <w:color w:val="808080" w:themeColor="background1" w:themeShade="80"/>
          <w:sz w:val="22"/>
          <w:szCs w:val="22"/>
          <w:lang w:val="en-GB"/>
        </w:rPr>
        <w:t>:</w:t>
      </w:r>
    </w:p>
    <w:p w14:paraId="2F32BF9F" w14:textId="77777777" w:rsidR="007F38FA" w:rsidRDefault="007F38FA" w:rsidP="00C76745">
      <w:pPr>
        <w:jc w:val="both"/>
        <w:rPr>
          <w:rFonts w:ascii="Arial" w:hAnsi="Arial" w:cs="Arial"/>
          <w:color w:val="808080" w:themeColor="background1" w:themeShade="80"/>
          <w:sz w:val="22"/>
          <w:szCs w:val="22"/>
          <w:lang w:val="en-GB"/>
        </w:rPr>
      </w:pPr>
    </w:p>
    <w:p w14:paraId="6CC3DADC" w14:textId="739A000D" w:rsidR="007F38FA" w:rsidRDefault="007F38FA" w:rsidP="00327829">
      <w:pPr>
        <w:pStyle w:val="ListParagraph"/>
        <w:numPr>
          <w:ilvl w:val="0"/>
          <w:numId w:val="1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respect of Preventive Composition, the court will accept an application only if the debtor is not in a state of cessation of payment for more than 30 consecutive business days as a result of the debtor’s financial condition, and if the debtor is not over-indebted.</w:t>
      </w:r>
      <w:r>
        <w:rPr>
          <w:rStyle w:val="FootnoteReference"/>
          <w:rFonts w:ascii="Arial" w:hAnsi="Arial" w:cs="Arial"/>
          <w:color w:val="808080" w:themeColor="background1" w:themeShade="80"/>
          <w:sz w:val="22"/>
          <w:szCs w:val="22"/>
          <w:lang w:val="en-GB"/>
        </w:rPr>
        <w:footnoteReference w:id="1"/>
      </w:r>
    </w:p>
    <w:p w14:paraId="0E0D33C0" w14:textId="57700536" w:rsidR="000756E1" w:rsidRPr="007F38FA" w:rsidRDefault="000756E1" w:rsidP="00327829">
      <w:pPr>
        <w:pStyle w:val="ListParagraph"/>
        <w:numPr>
          <w:ilvl w:val="0"/>
          <w:numId w:val="1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respect of Bankruptcy, a debtor shall make a court application if the debtor has ceased to make payment of the debtor’s debts on their respective due dates for more than 30 consecutive business days due to the debtor’s distressed financial condition or if the debtor is in a state of over-indebtedness.</w:t>
      </w:r>
      <w:r>
        <w:rPr>
          <w:rStyle w:val="FootnoteReference"/>
          <w:rFonts w:ascii="Arial" w:hAnsi="Arial" w:cs="Arial"/>
          <w:color w:val="808080" w:themeColor="background1" w:themeShade="80"/>
          <w:sz w:val="22"/>
          <w:szCs w:val="22"/>
          <w:lang w:val="en-GB"/>
        </w:rPr>
        <w:footnoteReference w:id="2"/>
      </w:r>
    </w:p>
    <w:p w14:paraId="00D8F8B8" w14:textId="573F9A16" w:rsidR="00651151" w:rsidRDefault="00651151" w:rsidP="00C76745">
      <w:pPr>
        <w:jc w:val="both"/>
        <w:rPr>
          <w:rFonts w:ascii="Arial" w:hAnsi="Arial" w:cs="Arial"/>
          <w:color w:val="808080" w:themeColor="background1" w:themeShade="80"/>
          <w:sz w:val="22"/>
          <w:szCs w:val="22"/>
          <w:lang w:val="en-GB"/>
        </w:rPr>
      </w:pPr>
    </w:p>
    <w:p w14:paraId="25D57778" w14:textId="28C0BBC8" w:rsidR="00B52047" w:rsidRPr="00CA448F" w:rsidRDefault="00B52047" w:rsidP="00C76745">
      <w:pPr>
        <w:jc w:val="both"/>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C76745">
      <w:pPr>
        <w:jc w:val="both"/>
        <w:rPr>
          <w:rFonts w:ascii="Arial" w:hAnsi="Arial" w:cs="Arial"/>
          <w:bCs/>
          <w:color w:val="808080" w:themeColor="background1" w:themeShade="80"/>
          <w:sz w:val="22"/>
          <w:szCs w:val="22"/>
          <w:lang w:val="en-GB"/>
        </w:rPr>
      </w:pPr>
    </w:p>
    <w:p w14:paraId="212B0E9B" w14:textId="482EDEBA" w:rsidR="00B52047" w:rsidRPr="00CA448F" w:rsidRDefault="00B52047" w:rsidP="00C76745">
      <w:pPr>
        <w:jc w:val="both"/>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C76745">
      <w:pPr>
        <w:jc w:val="both"/>
        <w:rPr>
          <w:rFonts w:ascii="Arial" w:hAnsi="Arial" w:cs="Arial"/>
          <w:sz w:val="22"/>
          <w:szCs w:val="22"/>
          <w:lang w:val="en-GB"/>
        </w:rPr>
      </w:pPr>
    </w:p>
    <w:p w14:paraId="63A31AA1" w14:textId="0B50162A" w:rsidR="00B52047" w:rsidRPr="00CA448F" w:rsidRDefault="008D7C50"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key difference for a creditor regarding the commencement of Preventive Composition or Bankruptcy of a </w:t>
      </w:r>
      <w:r w:rsidR="00EE6F6F">
        <w:rPr>
          <w:rFonts w:ascii="Arial" w:hAnsi="Arial" w:cs="Arial"/>
          <w:color w:val="808080" w:themeColor="background1" w:themeShade="80"/>
          <w:sz w:val="22"/>
          <w:szCs w:val="22"/>
          <w:lang w:val="en-GB"/>
        </w:rPr>
        <w:t xml:space="preserve">debtor is that </w:t>
      </w:r>
      <w:r w:rsidR="007668D5">
        <w:rPr>
          <w:rFonts w:ascii="Arial" w:hAnsi="Arial" w:cs="Arial"/>
          <w:color w:val="808080" w:themeColor="background1" w:themeShade="80"/>
          <w:sz w:val="22"/>
          <w:szCs w:val="22"/>
          <w:lang w:val="en-GB"/>
        </w:rPr>
        <w:t>it</w:t>
      </w:r>
      <w:r w:rsidR="00804ACA">
        <w:rPr>
          <w:rFonts w:ascii="Arial" w:hAnsi="Arial" w:cs="Arial"/>
          <w:color w:val="808080" w:themeColor="background1" w:themeShade="80"/>
          <w:sz w:val="22"/>
          <w:szCs w:val="22"/>
          <w:lang w:val="en-GB"/>
        </w:rPr>
        <w:t xml:space="preserve"> has no right to apply for the commencement of Preventive Composition whereas </w:t>
      </w:r>
      <w:r w:rsidR="00EE6F6F">
        <w:rPr>
          <w:rFonts w:ascii="Arial" w:hAnsi="Arial" w:cs="Arial"/>
          <w:color w:val="808080" w:themeColor="background1" w:themeShade="80"/>
          <w:sz w:val="22"/>
          <w:szCs w:val="22"/>
          <w:lang w:val="en-GB"/>
        </w:rPr>
        <w:t>it does in respect of Bankruptcy of a debtor.</w:t>
      </w:r>
    </w:p>
    <w:p w14:paraId="6F5579D9" w14:textId="77777777" w:rsidR="009D3340" w:rsidRPr="00CA448F" w:rsidRDefault="009D3340" w:rsidP="00C76745">
      <w:pPr>
        <w:jc w:val="both"/>
        <w:rPr>
          <w:rFonts w:ascii="Arial" w:hAnsi="Arial" w:cs="Arial"/>
          <w:bCs/>
          <w:color w:val="808080" w:themeColor="background1" w:themeShade="80"/>
          <w:sz w:val="22"/>
          <w:szCs w:val="22"/>
          <w:lang w:val="en-GB"/>
        </w:rPr>
      </w:pPr>
    </w:p>
    <w:p w14:paraId="2D0464E7" w14:textId="77777777" w:rsidR="00962045" w:rsidRPr="00CA448F" w:rsidRDefault="00DF75F8" w:rsidP="00B306CF">
      <w:pPr>
        <w:keepNext/>
        <w:jc w:val="both"/>
        <w:rPr>
          <w:rFonts w:ascii="Arial" w:hAnsi="Arial" w:cs="Arial"/>
          <w:b/>
          <w:sz w:val="22"/>
          <w:szCs w:val="22"/>
          <w:lang w:val="en-GB"/>
        </w:rPr>
      </w:pPr>
      <w:r w:rsidRPr="00CA448F">
        <w:rPr>
          <w:rFonts w:ascii="Arial" w:hAnsi="Arial" w:cs="Arial"/>
          <w:b/>
          <w:sz w:val="22"/>
          <w:szCs w:val="22"/>
          <w:lang w:val="en-GB"/>
        </w:rPr>
        <w:lastRenderedPageBreak/>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B306CF">
      <w:pPr>
        <w:keepNext/>
        <w:jc w:val="both"/>
        <w:rPr>
          <w:rFonts w:ascii="Arial" w:hAnsi="Arial" w:cs="Arial"/>
          <w:b/>
          <w:sz w:val="22"/>
          <w:szCs w:val="22"/>
          <w:lang w:val="en-GB"/>
        </w:rPr>
      </w:pPr>
    </w:p>
    <w:p w14:paraId="0AFD4235" w14:textId="3AC6596D" w:rsidR="0077431E" w:rsidRPr="00CA448F" w:rsidRDefault="0077431E" w:rsidP="00B306CF">
      <w:pPr>
        <w:keepNext/>
        <w:jc w:val="both"/>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C76745">
      <w:pPr>
        <w:jc w:val="both"/>
        <w:rPr>
          <w:rFonts w:ascii="Arial" w:hAnsi="Arial" w:cs="Arial"/>
          <w:sz w:val="22"/>
          <w:szCs w:val="22"/>
          <w:lang w:val="en-GB"/>
        </w:rPr>
      </w:pPr>
    </w:p>
    <w:p w14:paraId="7DC98B29" w14:textId="2CF6A959" w:rsidR="00C550C8" w:rsidRPr="00CA448F" w:rsidRDefault="0077431E" w:rsidP="00C76745">
      <w:pPr>
        <w:jc w:val="both"/>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C76745">
      <w:pPr>
        <w:jc w:val="both"/>
        <w:rPr>
          <w:rFonts w:ascii="Arial" w:hAnsi="Arial" w:cs="Arial"/>
          <w:sz w:val="22"/>
          <w:szCs w:val="22"/>
        </w:rPr>
      </w:pPr>
    </w:p>
    <w:p w14:paraId="0CA09841" w14:textId="6BB318B4" w:rsidR="001A45DB" w:rsidRDefault="00FE33A4"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Bankruptcy Law was introduced in 2016.  </w:t>
      </w:r>
      <w:r w:rsidR="008E5045">
        <w:rPr>
          <w:rFonts w:ascii="Arial" w:hAnsi="Arial" w:cs="Arial"/>
          <w:color w:val="808080" w:themeColor="background1" w:themeShade="80"/>
          <w:sz w:val="22"/>
          <w:szCs w:val="22"/>
        </w:rPr>
        <w:t xml:space="preserve">Prior to 2016, </w:t>
      </w:r>
      <w:r w:rsidR="00837BDC">
        <w:rPr>
          <w:rFonts w:ascii="Arial" w:hAnsi="Arial" w:cs="Arial"/>
          <w:color w:val="808080" w:themeColor="background1" w:themeShade="80"/>
          <w:sz w:val="22"/>
          <w:szCs w:val="22"/>
        </w:rPr>
        <w:t xml:space="preserve">insolvency </w:t>
      </w:r>
      <w:r w:rsidR="00575FAA">
        <w:rPr>
          <w:rFonts w:ascii="Arial" w:hAnsi="Arial" w:cs="Arial"/>
          <w:color w:val="808080" w:themeColor="background1" w:themeShade="80"/>
          <w:sz w:val="22"/>
          <w:szCs w:val="22"/>
        </w:rPr>
        <w:t>laws in the UAE wer</w:t>
      </w:r>
      <w:r w:rsidR="00E61786">
        <w:rPr>
          <w:rFonts w:ascii="Arial" w:hAnsi="Arial" w:cs="Arial"/>
          <w:color w:val="808080" w:themeColor="background1" w:themeShade="80"/>
          <w:sz w:val="22"/>
          <w:szCs w:val="22"/>
        </w:rPr>
        <w:t xml:space="preserve">e very minimal and only </w:t>
      </w:r>
      <w:r w:rsidR="003659F8">
        <w:rPr>
          <w:rFonts w:ascii="Arial" w:hAnsi="Arial" w:cs="Arial"/>
          <w:color w:val="808080" w:themeColor="background1" w:themeShade="80"/>
          <w:sz w:val="22"/>
          <w:szCs w:val="22"/>
        </w:rPr>
        <w:t xml:space="preserve">covered the basics as it related to those engaged in commerce.  </w:t>
      </w:r>
      <w:r w:rsidR="00FB6C00">
        <w:rPr>
          <w:rFonts w:ascii="Arial" w:hAnsi="Arial" w:cs="Arial"/>
          <w:color w:val="808080" w:themeColor="background1" w:themeShade="80"/>
          <w:sz w:val="22"/>
          <w:szCs w:val="22"/>
        </w:rPr>
        <w:t xml:space="preserve">The process provided for required </w:t>
      </w:r>
      <w:r w:rsidR="00E638E0">
        <w:rPr>
          <w:rFonts w:ascii="Arial" w:hAnsi="Arial" w:cs="Arial"/>
          <w:color w:val="808080" w:themeColor="background1" w:themeShade="80"/>
          <w:sz w:val="22"/>
          <w:szCs w:val="22"/>
        </w:rPr>
        <w:t xml:space="preserve">court approval </w:t>
      </w:r>
      <w:r w:rsidR="00480AA0">
        <w:rPr>
          <w:rFonts w:ascii="Arial" w:hAnsi="Arial" w:cs="Arial"/>
          <w:color w:val="808080" w:themeColor="background1" w:themeShade="80"/>
          <w:sz w:val="22"/>
          <w:szCs w:val="22"/>
        </w:rPr>
        <w:t>but was only used very rarely.</w:t>
      </w:r>
      <w:r w:rsidR="00FD0783">
        <w:rPr>
          <w:rStyle w:val="FootnoteReference"/>
          <w:rFonts w:ascii="Arial" w:hAnsi="Arial" w:cs="Arial"/>
          <w:color w:val="808080" w:themeColor="background1" w:themeShade="80"/>
          <w:sz w:val="22"/>
          <w:szCs w:val="22"/>
        </w:rPr>
        <w:footnoteReference w:id="3"/>
      </w:r>
      <w:r w:rsidR="00480AA0">
        <w:rPr>
          <w:rFonts w:ascii="Arial" w:hAnsi="Arial" w:cs="Arial"/>
          <w:color w:val="808080" w:themeColor="background1" w:themeShade="80"/>
          <w:sz w:val="22"/>
          <w:szCs w:val="22"/>
        </w:rPr>
        <w:t xml:space="preserve">  </w:t>
      </w:r>
    </w:p>
    <w:p w14:paraId="67E58C64" w14:textId="77777777" w:rsidR="00480AA0" w:rsidRDefault="00480AA0" w:rsidP="00C76745">
      <w:pPr>
        <w:jc w:val="both"/>
        <w:rPr>
          <w:rFonts w:ascii="Arial" w:hAnsi="Arial" w:cs="Arial"/>
          <w:color w:val="808080" w:themeColor="background1" w:themeShade="80"/>
          <w:sz w:val="22"/>
          <w:szCs w:val="22"/>
        </w:rPr>
      </w:pPr>
    </w:p>
    <w:p w14:paraId="1B2DEC60" w14:textId="544B88F2" w:rsidR="00480AA0" w:rsidRDefault="00480AA0"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In 2009, </w:t>
      </w:r>
      <w:r w:rsidR="00C64A01">
        <w:rPr>
          <w:rFonts w:ascii="Arial" w:hAnsi="Arial" w:cs="Arial"/>
          <w:color w:val="808080" w:themeColor="background1" w:themeShade="80"/>
          <w:sz w:val="22"/>
          <w:szCs w:val="22"/>
        </w:rPr>
        <w:t>the deficiency in the insolvency laws was highlighted w</w:t>
      </w:r>
      <w:r w:rsidR="003F7725">
        <w:rPr>
          <w:rFonts w:ascii="Arial" w:hAnsi="Arial" w:cs="Arial"/>
          <w:color w:val="808080" w:themeColor="background1" w:themeShade="80"/>
          <w:sz w:val="22"/>
          <w:szCs w:val="22"/>
        </w:rPr>
        <w:t xml:space="preserve">here a government owned entity, Dubai World, was at risk of becoming insolvent due to </w:t>
      </w:r>
      <w:r w:rsidR="00421976">
        <w:rPr>
          <w:rFonts w:ascii="Arial" w:hAnsi="Arial" w:cs="Arial"/>
          <w:color w:val="808080" w:themeColor="background1" w:themeShade="80"/>
          <w:sz w:val="22"/>
          <w:szCs w:val="22"/>
        </w:rPr>
        <w:t xml:space="preserve">a potential default.  Due to the nature of the entity, being an investment company, </w:t>
      </w:r>
      <w:r w:rsidR="003A2789">
        <w:rPr>
          <w:rFonts w:ascii="Arial" w:hAnsi="Arial" w:cs="Arial"/>
          <w:color w:val="808080" w:themeColor="background1" w:themeShade="80"/>
          <w:sz w:val="22"/>
          <w:szCs w:val="22"/>
        </w:rPr>
        <w:t>international attention and concern</w:t>
      </w:r>
      <w:r w:rsidR="008C4DEA">
        <w:rPr>
          <w:rFonts w:ascii="Arial" w:hAnsi="Arial" w:cs="Arial"/>
          <w:color w:val="808080" w:themeColor="background1" w:themeShade="80"/>
          <w:sz w:val="22"/>
          <w:szCs w:val="22"/>
        </w:rPr>
        <w:t xml:space="preserve"> arose.  </w:t>
      </w:r>
      <w:r w:rsidR="000905FB">
        <w:rPr>
          <w:rFonts w:ascii="Arial" w:hAnsi="Arial" w:cs="Arial"/>
          <w:color w:val="808080" w:themeColor="background1" w:themeShade="80"/>
          <w:sz w:val="22"/>
          <w:szCs w:val="22"/>
        </w:rPr>
        <w:t xml:space="preserve">Ultimately, Dubai World was able to satisfy </w:t>
      </w:r>
      <w:r w:rsidR="00655E97">
        <w:rPr>
          <w:rFonts w:ascii="Arial" w:hAnsi="Arial" w:cs="Arial"/>
          <w:color w:val="808080" w:themeColor="background1" w:themeShade="80"/>
          <w:sz w:val="22"/>
          <w:szCs w:val="22"/>
        </w:rPr>
        <w:t>the outstanding creditor claims</w:t>
      </w:r>
      <w:r w:rsidR="00EE0D0B">
        <w:rPr>
          <w:rFonts w:ascii="Arial" w:hAnsi="Arial" w:cs="Arial"/>
          <w:color w:val="808080" w:themeColor="background1" w:themeShade="80"/>
          <w:sz w:val="22"/>
          <w:szCs w:val="22"/>
        </w:rPr>
        <w:t xml:space="preserve"> however, </w:t>
      </w:r>
      <w:r w:rsidR="00655E97">
        <w:rPr>
          <w:rFonts w:ascii="Arial" w:hAnsi="Arial" w:cs="Arial"/>
          <w:color w:val="808080" w:themeColor="background1" w:themeShade="80"/>
          <w:sz w:val="22"/>
          <w:szCs w:val="22"/>
        </w:rPr>
        <w:t xml:space="preserve">the </w:t>
      </w:r>
      <w:r w:rsidR="00CE7285">
        <w:rPr>
          <w:rFonts w:ascii="Arial" w:hAnsi="Arial" w:cs="Arial"/>
          <w:color w:val="808080" w:themeColor="background1" w:themeShade="80"/>
          <w:sz w:val="22"/>
          <w:szCs w:val="22"/>
        </w:rPr>
        <w:t xml:space="preserve">uncertainty that resulted from a lack of developed insolvency laws highlighted the </w:t>
      </w:r>
      <w:r w:rsidR="00E404CB">
        <w:rPr>
          <w:rFonts w:ascii="Arial" w:hAnsi="Arial" w:cs="Arial"/>
          <w:color w:val="808080" w:themeColor="background1" w:themeShade="80"/>
          <w:sz w:val="22"/>
          <w:szCs w:val="22"/>
        </w:rPr>
        <w:t>importance of such laws.</w:t>
      </w:r>
      <w:r w:rsidR="00AB11B2">
        <w:rPr>
          <w:rStyle w:val="FootnoteReference"/>
          <w:rFonts w:ascii="Arial" w:hAnsi="Arial" w:cs="Arial"/>
          <w:color w:val="808080" w:themeColor="background1" w:themeShade="80"/>
          <w:sz w:val="22"/>
          <w:szCs w:val="22"/>
        </w:rPr>
        <w:footnoteReference w:id="4"/>
      </w:r>
    </w:p>
    <w:p w14:paraId="2A0FAA9F" w14:textId="77777777" w:rsidR="00E404CB" w:rsidRDefault="00E404CB" w:rsidP="00C76745">
      <w:pPr>
        <w:jc w:val="both"/>
        <w:rPr>
          <w:rFonts w:ascii="Arial" w:hAnsi="Arial" w:cs="Arial"/>
          <w:color w:val="808080" w:themeColor="background1" w:themeShade="80"/>
          <w:sz w:val="22"/>
          <w:szCs w:val="22"/>
        </w:rPr>
      </w:pPr>
    </w:p>
    <w:p w14:paraId="547AA98F" w14:textId="17C821A2" w:rsidR="00E404CB" w:rsidRDefault="003D7B41"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Some six years later, in 2016</w:t>
      </w:r>
      <w:r w:rsidR="00060A6D">
        <w:rPr>
          <w:rFonts w:ascii="Arial" w:hAnsi="Arial" w:cs="Arial"/>
          <w:color w:val="808080" w:themeColor="background1" w:themeShade="80"/>
          <w:sz w:val="22"/>
          <w:szCs w:val="22"/>
        </w:rPr>
        <w:t>,</w:t>
      </w:r>
      <w:r>
        <w:rPr>
          <w:rFonts w:ascii="Arial" w:hAnsi="Arial" w:cs="Arial"/>
          <w:color w:val="808080" w:themeColor="background1" w:themeShade="80"/>
          <w:sz w:val="22"/>
          <w:szCs w:val="22"/>
        </w:rPr>
        <w:t xml:space="preserve"> a comprehensive set of insolvency laws were introduced via the Bankruptcy Law.</w:t>
      </w:r>
      <w:r w:rsidR="005964E4">
        <w:rPr>
          <w:rStyle w:val="FootnoteReference"/>
          <w:rFonts w:ascii="Arial" w:hAnsi="Arial" w:cs="Arial"/>
          <w:color w:val="808080" w:themeColor="background1" w:themeShade="80"/>
          <w:sz w:val="22"/>
          <w:szCs w:val="22"/>
        </w:rPr>
        <w:footnoteReference w:id="5"/>
      </w:r>
      <w:r w:rsidR="002572FF">
        <w:rPr>
          <w:rFonts w:ascii="Arial" w:hAnsi="Arial" w:cs="Arial"/>
          <w:color w:val="808080" w:themeColor="background1" w:themeShade="80"/>
          <w:sz w:val="22"/>
          <w:szCs w:val="22"/>
        </w:rPr>
        <w:t xml:space="preserve">  The Bankruptcy Law applies to the following:</w:t>
      </w:r>
      <w:r w:rsidR="002572FF">
        <w:rPr>
          <w:rStyle w:val="FootnoteReference"/>
          <w:rFonts w:ascii="Arial" w:hAnsi="Arial" w:cs="Arial"/>
          <w:color w:val="808080" w:themeColor="background1" w:themeShade="80"/>
          <w:sz w:val="22"/>
          <w:szCs w:val="22"/>
        </w:rPr>
        <w:footnoteReference w:id="6"/>
      </w:r>
    </w:p>
    <w:p w14:paraId="7187A582" w14:textId="77777777" w:rsidR="002572FF" w:rsidRDefault="002572FF" w:rsidP="00C76745">
      <w:pPr>
        <w:jc w:val="both"/>
        <w:rPr>
          <w:rFonts w:ascii="Arial" w:hAnsi="Arial" w:cs="Arial"/>
          <w:color w:val="808080" w:themeColor="background1" w:themeShade="80"/>
          <w:sz w:val="22"/>
          <w:szCs w:val="22"/>
        </w:rPr>
      </w:pPr>
    </w:p>
    <w:p w14:paraId="2B0A8EE2" w14:textId="3D29162E" w:rsidR="002572FF" w:rsidRDefault="002572FF" w:rsidP="00327829">
      <w:pPr>
        <w:pStyle w:val="ListParagraph"/>
        <w:numPr>
          <w:ilvl w:val="0"/>
          <w:numId w:val="15"/>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Companies governed by the Commercial Companies Law.</w:t>
      </w:r>
    </w:p>
    <w:p w14:paraId="223373B8" w14:textId="2BFF338A" w:rsidR="002572FF" w:rsidRDefault="002572FF" w:rsidP="00327829">
      <w:pPr>
        <w:pStyle w:val="ListParagraph"/>
        <w:numPr>
          <w:ilvl w:val="0"/>
          <w:numId w:val="15"/>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Companies not established under the Commercial Companies Law and which are wholly or partly owned by the federal or local government, and which have enabling legislation, or memoranda or articles of association stipulating t</w:t>
      </w:r>
      <w:r w:rsidR="00833962">
        <w:rPr>
          <w:rFonts w:ascii="Arial" w:hAnsi="Arial" w:cs="Arial"/>
          <w:color w:val="808080" w:themeColor="background1" w:themeShade="80"/>
          <w:sz w:val="22"/>
          <w:szCs w:val="22"/>
        </w:rPr>
        <w:t>hat the Bankruptcy Law applies.</w:t>
      </w:r>
    </w:p>
    <w:p w14:paraId="6DE6D7DE" w14:textId="75F16CAB" w:rsidR="00833962" w:rsidRDefault="00833962" w:rsidP="00327829">
      <w:pPr>
        <w:pStyle w:val="ListParagraph"/>
        <w:numPr>
          <w:ilvl w:val="0"/>
          <w:numId w:val="15"/>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Companies and Establishments in the Free Zones which are not governed by particular provisions regulating protective composition procedures, financial restructuring and/or bankruptcy.</w:t>
      </w:r>
    </w:p>
    <w:p w14:paraId="1B6B1919" w14:textId="27B52500" w:rsidR="00833962" w:rsidRDefault="00833962" w:rsidP="00327829">
      <w:pPr>
        <w:pStyle w:val="ListParagraph"/>
        <w:numPr>
          <w:ilvl w:val="0"/>
          <w:numId w:val="15"/>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Any individual who is a “trader” as defined under the Commercial Transactions Law.</w:t>
      </w:r>
    </w:p>
    <w:p w14:paraId="5685A63B" w14:textId="75C1C0CF" w:rsidR="00833962" w:rsidRDefault="00833962" w:rsidP="00327829">
      <w:pPr>
        <w:pStyle w:val="ListParagraph"/>
        <w:numPr>
          <w:ilvl w:val="0"/>
          <w:numId w:val="15"/>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Licensed Civil Companies carrying out professional activities.</w:t>
      </w:r>
    </w:p>
    <w:p w14:paraId="28DEA829" w14:textId="77777777" w:rsidR="009E6A49" w:rsidRDefault="009E6A49" w:rsidP="009E6A49">
      <w:pPr>
        <w:jc w:val="both"/>
        <w:rPr>
          <w:rFonts w:ascii="Arial" w:hAnsi="Arial" w:cs="Arial"/>
          <w:color w:val="808080" w:themeColor="background1" w:themeShade="80"/>
          <w:sz w:val="22"/>
          <w:szCs w:val="22"/>
        </w:rPr>
      </w:pPr>
    </w:p>
    <w:p w14:paraId="1D28D828" w14:textId="5D1E7ED7" w:rsidR="009E6A49" w:rsidRPr="009E6A49" w:rsidRDefault="00D437B2" w:rsidP="009E6A49">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Bankruptcy Law was well received </w:t>
      </w:r>
      <w:r w:rsidR="00B02F64">
        <w:rPr>
          <w:rFonts w:ascii="Arial" w:hAnsi="Arial" w:cs="Arial"/>
          <w:color w:val="808080" w:themeColor="background1" w:themeShade="80"/>
          <w:sz w:val="22"/>
          <w:szCs w:val="22"/>
        </w:rPr>
        <w:t xml:space="preserve">as the need for it was well understood.  However, there </w:t>
      </w:r>
      <w:r w:rsidR="006F5C21">
        <w:rPr>
          <w:rFonts w:ascii="Arial" w:hAnsi="Arial" w:cs="Arial"/>
          <w:color w:val="808080" w:themeColor="background1" w:themeShade="80"/>
          <w:sz w:val="22"/>
          <w:szCs w:val="22"/>
        </w:rPr>
        <w:t>have</w:t>
      </w:r>
      <w:r w:rsidR="00B02F64">
        <w:rPr>
          <w:rFonts w:ascii="Arial" w:hAnsi="Arial" w:cs="Arial"/>
          <w:color w:val="808080" w:themeColor="background1" w:themeShade="80"/>
          <w:sz w:val="22"/>
          <w:szCs w:val="22"/>
        </w:rPr>
        <w:t xml:space="preserve"> not been many insolvency processes commenced pursuant to the Bankruptcy Law.  As such, there </w:t>
      </w:r>
      <w:r w:rsidR="008B710A">
        <w:rPr>
          <w:rFonts w:ascii="Arial" w:hAnsi="Arial" w:cs="Arial"/>
          <w:color w:val="808080" w:themeColor="background1" w:themeShade="80"/>
          <w:sz w:val="22"/>
          <w:szCs w:val="22"/>
        </w:rPr>
        <w:t>are</w:t>
      </w:r>
      <w:r w:rsidR="00FA27CB">
        <w:rPr>
          <w:rFonts w:ascii="Arial" w:hAnsi="Arial" w:cs="Arial"/>
          <w:color w:val="808080" w:themeColor="background1" w:themeShade="80"/>
          <w:sz w:val="22"/>
          <w:szCs w:val="22"/>
        </w:rPr>
        <w:tab/>
      </w:r>
      <w:r w:rsidR="00B02F64">
        <w:rPr>
          <w:rFonts w:ascii="Arial" w:hAnsi="Arial" w:cs="Arial"/>
          <w:color w:val="808080" w:themeColor="background1" w:themeShade="80"/>
          <w:sz w:val="22"/>
          <w:szCs w:val="22"/>
        </w:rPr>
        <w:t xml:space="preserve"> currently insufficient statistics available to demonstrate its effectiveness or application in the UAE.</w:t>
      </w:r>
      <w:r w:rsidR="00B02F64">
        <w:rPr>
          <w:rStyle w:val="FootnoteReference"/>
          <w:rFonts w:ascii="Arial" w:hAnsi="Arial" w:cs="Arial"/>
          <w:color w:val="808080" w:themeColor="background1" w:themeShade="80"/>
          <w:sz w:val="22"/>
          <w:szCs w:val="22"/>
        </w:rPr>
        <w:footnoteReference w:id="7"/>
      </w:r>
    </w:p>
    <w:p w14:paraId="0A971952" w14:textId="159C1DB2" w:rsidR="00DF75F8" w:rsidRPr="00CA448F" w:rsidRDefault="00DF75F8" w:rsidP="00C76745">
      <w:pPr>
        <w:jc w:val="both"/>
        <w:rPr>
          <w:rFonts w:ascii="Arial" w:hAnsi="Arial" w:cs="Arial"/>
          <w:sz w:val="22"/>
          <w:szCs w:val="22"/>
          <w:lang w:val="en-GB"/>
        </w:rPr>
      </w:pPr>
    </w:p>
    <w:p w14:paraId="56532FE4" w14:textId="77777777" w:rsidR="00FC0B0E" w:rsidRDefault="00FC0B0E">
      <w:pPr>
        <w:rPr>
          <w:rFonts w:ascii="Arial" w:hAnsi="Arial" w:cs="Arial"/>
          <w:b/>
          <w:bCs/>
          <w:sz w:val="22"/>
          <w:szCs w:val="22"/>
          <w:shd w:val="clear" w:color="auto" w:fill="FFFFFF"/>
        </w:rPr>
      </w:pPr>
      <w:r>
        <w:rPr>
          <w:rFonts w:ascii="Arial" w:hAnsi="Arial" w:cs="Arial"/>
          <w:b/>
          <w:bCs/>
          <w:sz w:val="22"/>
          <w:szCs w:val="22"/>
          <w:shd w:val="clear" w:color="auto" w:fill="FFFFFF"/>
        </w:rPr>
        <w:br w:type="page"/>
      </w:r>
    </w:p>
    <w:p w14:paraId="2E3527DA" w14:textId="263B91C0" w:rsidR="00D17FDC" w:rsidRPr="00CA448F" w:rsidRDefault="00F76A65"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lastRenderedPageBreak/>
        <w:t>Question 3.2 [maximum 8 marks]</w:t>
      </w:r>
    </w:p>
    <w:p w14:paraId="5CAEC3AD" w14:textId="37959AEA" w:rsidR="00F76A65" w:rsidRPr="00CA448F" w:rsidRDefault="00F76A65" w:rsidP="00C76745">
      <w:pPr>
        <w:jc w:val="both"/>
        <w:rPr>
          <w:rFonts w:ascii="Arial" w:hAnsi="Arial" w:cs="Arial"/>
          <w:sz w:val="22"/>
          <w:szCs w:val="22"/>
          <w:shd w:val="clear" w:color="auto" w:fill="FFFFFF"/>
        </w:rPr>
      </w:pPr>
    </w:p>
    <w:p w14:paraId="0164DF66" w14:textId="6CC39C11" w:rsidR="00F76A65" w:rsidRPr="00CA448F" w:rsidRDefault="00F76A65" w:rsidP="00C76745">
      <w:pPr>
        <w:jc w:val="both"/>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C76745">
      <w:pPr>
        <w:jc w:val="both"/>
        <w:rPr>
          <w:rFonts w:ascii="Arial" w:hAnsi="Arial" w:cs="Arial"/>
          <w:sz w:val="22"/>
          <w:szCs w:val="22"/>
          <w:lang w:val="en-GB"/>
        </w:rPr>
      </w:pPr>
    </w:p>
    <w:p w14:paraId="2DD624B3" w14:textId="5979000A" w:rsidR="001A45DB" w:rsidRDefault="00285298" w:rsidP="00EF356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a debtor company seeks to enter bankruptcy, </w:t>
      </w:r>
      <w:r w:rsidR="00396194">
        <w:rPr>
          <w:rFonts w:ascii="Arial" w:hAnsi="Arial" w:cs="Arial"/>
          <w:color w:val="808080" w:themeColor="background1" w:themeShade="80"/>
          <w:sz w:val="22"/>
          <w:szCs w:val="22"/>
          <w:lang w:val="en-GB"/>
        </w:rPr>
        <w:t xml:space="preserve">the Court remains actively engaged throughout the entirety of the Restructuring in Bankruptcy Process from the determination of the application, </w:t>
      </w:r>
      <w:r w:rsidR="00CF3039">
        <w:rPr>
          <w:rFonts w:ascii="Arial" w:hAnsi="Arial" w:cs="Arial"/>
          <w:color w:val="808080" w:themeColor="background1" w:themeShade="80"/>
          <w:sz w:val="22"/>
          <w:szCs w:val="22"/>
          <w:lang w:val="en-GB"/>
        </w:rPr>
        <w:t xml:space="preserve">to the appointment of the trustee, to the determination of whether to proceed with restructuring, </w:t>
      </w:r>
      <w:r w:rsidR="0018479D">
        <w:rPr>
          <w:rFonts w:ascii="Arial" w:hAnsi="Arial" w:cs="Arial"/>
          <w:color w:val="808080" w:themeColor="background1" w:themeShade="80"/>
          <w:sz w:val="22"/>
          <w:szCs w:val="22"/>
          <w:lang w:val="en-GB"/>
        </w:rPr>
        <w:t xml:space="preserve">to approving the restructuring plan, and to monitoring the implementation of the plan to completion.  </w:t>
      </w:r>
      <w:r w:rsidR="00EF356C">
        <w:rPr>
          <w:rFonts w:ascii="Arial" w:hAnsi="Arial" w:cs="Arial"/>
          <w:color w:val="808080" w:themeColor="background1" w:themeShade="80"/>
          <w:sz w:val="22"/>
          <w:szCs w:val="22"/>
          <w:lang w:val="en-GB"/>
        </w:rPr>
        <w:t>These are discussed in further detail below.</w:t>
      </w:r>
    </w:p>
    <w:p w14:paraId="293DBAF1" w14:textId="77777777" w:rsidR="00FC0B0E" w:rsidRDefault="00FC0B0E" w:rsidP="00C76745">
      <w:pPr>
        <w:jc w:val="both"/>
        <w:rPr>
          <w:rFonts w:ascii="Arial" w:hAnsi="Arial" w:cs="Arial"/>
          <w:color w:val="808080" w:themeColor="background1" w:themeShade="80"/>
          <w:sz w:val="22"/>
          <w:szCs w:val="22"/>
          <w:lang w:val="en-GB"/>
        </w:rPr>
      </w:pPr>
    </w:p>
    <w:p w14:paraId="43860783" w14:textId="061BFC07" w:rsidR="00887E2A" w:rsidRDefault="001C2A9F" w:rsidP="00887E2A">
      <w:pPr>
        <w:jc w:val="both"/>
        <w:rPr>
          <w:rFonts w:ascii="Arial" w:hAnsi="Arial" w:cs="Arial"/>
          <w:b/>
          <w:bCs/>
          <w:color w:val="808080" w:themeColor="background1" w:themeShade="80"/>
          <w:sz w:val="22"/>
          <w:szCs w:val="22"/>
          <w:lang w:val="en-GB"/>
        </w:rPr>
      </w:pPr>
      <w:r>
        <w:rPr>
          <w:rFonts w:ascii="Arial" w:hAnsi="Arial" w:cs="Arial"/>
          <w:b/>
          <w:bCs/>
          <w:color w:val="808080" w:themeColor="background1" w:themeShade="80"/>
          <w:sz w:val="22"/>
          <w:szCs w:val="22"/>
          <w:lang w:val="en-GB"/>
        </w:rPr>
        <w:t>Determination of Application</w:t>
      </w:r>
    </w:p>
    <w:p w14:paraId="74CD33C0" w14:textId="77777777" w:rsidR="001C2A9F" w:rsidRPr="001C2A9F" w:rsidRDefault="001C2A9F" w:rsidP="00887E2A">
      <w:pPr>
        <w:jc w:val="both"/>
        <w:rPr>
          <w:rFonts w:ascii="Arial" w:hAnsi="Arial" w:cs="Arial"/>
          <w:b/>
          <w:bCs/>
          <w:color w:val="808080" w:themeColor="background1" w:themeShade="80"/>
          <w:sz w:val="22"/>
          <w:szCs w:val="22"/>
          <w:lang w:val="en-GB"/>
        </w:rPr>
      </w:pPr>
    </w:p>
    <w:p w14:paraId="76A11DCE" w14:textId="59E1B914" w:rsidR="00FC0B0E" w:rsidRDefault="00376B70" w:rsidP="00327829">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determining the application for opening bankruptcy procedures, t</w:t>
      </w:r>
      <w:r w:rsidR="00D60C62">
        <w:rPr>
          <w:rFonts w:ascii="Arial" w:hAnsi="Arial" w:cs="Arial"/>
          <w:color w:val="808080" w:themeColor="background1" w:themeShade="80"/>
          <w:sz w:val="22"/>
          <w:szCs w:val="22"/>
          <w:lang w:val="en-GB"/>
        </w:rPr>
        <w:t>o assist in the evaluation of the debtor’s status, the Court may decide to appoint an expert</w:t>
      </w:r>
      <w:r w:rsidR="00933FCA">
        <w:rPr>
          <w:rFonts w:ascii="Arial" w:hAnsi="Arial" w:cs="Arial"/>
          <w:color w:val="808080" w:themeColor="background1" w:themeShade="80"/>
          <w:sz w:val="22"/>
          <w:szCs w:val="22"/>
          <w:lang w:val="en-GB"/>
        </w:rPr>
        <w:t xml:space="preserve"> to report on the debtor’s financial position</w:t>
      </w:r>
      <w:r w:rsidR="00E440A4">
        <w:rPr>
          <w:rFonts w:ascii="Arial" w:hAnsi="Arial" w:cs="Arial"/>
          <w:color w:val="808080" w:themeColor="background1" w:themeShade="80"/>
          <w:sz w:val="22"/>
          <w:szCs w:val="22"/>
          <w:lang w:val="en-GB"/>
        </w:rPr>
        <w:t xml:space="preserve"> </w:t>
      </w:r>
      <w:r w:rsidR="00F61112">
        <w:rPr>
          <w:rFonts w:ascii="Arial" w:hAnsi="Arial" w:cs="Arial"/>
          <w:color w:val="808080" w:themeColor="background1" w:themeShade="80"/>
          <w:sz w:val="22"/>
          <w:szCs w:val="22"/>
          <w:lang w:val="en-GB"/>
        </w:rPr>
        <w:t>including</w:t>
      </w:r>
      <w:r w:rsidR="00E440A4">
        <w:rPr>
          <w:rFonts w:ascii="Arial" w:hAnsi="Arial" w:cs="Arial"/>
          <w:color w:val="808080" w:themeColor="background1" w:themeShade="80"/>
          <w:sz w:val="22"/>
          <w:szCs w:val="22"/>
          <w:lang w:val="en-GB"/>
        </w:rPr>
        <w:t xml:space="preserve"> the possibility of restructuring the debtor and whether the debtor’s assets are sufficient to cover the restructuring costs</w:t>
      </w:r>
      <w:r w:rsidR="00D60C62">
        <w:rPr>
          <w:rFonts w:ascii="Arial" w:hAnsi="Arial" w:cs="Arial"/>
          <w:color w:val="808080" w:themeColor="background1" w:themeShade="80"/>
          <w:sz w:val="22"/>
          <w:szCs w:val="22"/>
          <w:lang w:val="en-GB"/>
        </w:rPr>
        <w:t>.</w:t>
      </w:r>
      <w:r w:rsidR="00D60C62">
        <w:rPr>
          <w:rStyle w:val="FootnoteReference"/>
          <w:rFonts w:ascii="Arial" w:hAnsi="Arial" w:cs="Arial"/>
          <w:color w:val="808080" w:themeColor="background1" w:themeShade="80"/>
          <w:sz w:val="22"/>
          <w:szCs w:val="22"/>
          <w:lang w:val="en-GB"/>
        </w:rPr>
        <w:footnoteReference w:id="8"/>
      </w:r>
    </w:p>
    <w:p w14:paraId="081EFA61" w14:textId="75803482" w:rsidR="00E440A4" w:rsidRDefault="001B70DF" w:rsidP="00327829">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the Court finds that the requirements </w:t>
      </w:r>
      <w:r w:rsidR="003370CD">
        <w:rPr>
          <w:rFonts w:ascii="Arial" w:hAnsi="Arial" w:cs="Arial"/>
          <w:color w:val="808080" w:themeColor="background1" w:themeShade="80"/>
          <w:sz w:val="22"/>
          <w:szCs w:val="22"/>
          <w:lang w:val="en-GB"/>
        </w:rPr>
        <w:t>to commence</w:t>
      </w:r>
      <w:r>
        <w:rPr>
          <w:rFonts w:ascii="Arial" w:hAnsi="Arial" w:cs="Arial"/>
          <w:color w:val="808080" w:themeColor="background1" w:themeShade="80"/>
          <w:sz w:val="22"/>
          <w:szCs w:val="22"/>
          <w:lang w:val="en-GB"/>
        </w:rPr>
        <w:t xml:space="preserve"> a bankruptcy proceeding are met</w:t>
      </w:r>
      <w:r w:rsidR="003370CD">
        <w:rPr>
          <w:rFonts w:ascii="Arial" w:hAnsi="Arial" w:cs="Arial"/>
          <w:color w:val="808080" w:themeColor="background1" w:themeShade="80"/>
          <w:sz w:val="22"/>
          <w:szCs w:val="22"/>
          <w:lang w:val="en-GB"/>
        </w:rPr>
        <w:t>, the Court shall accept the application and order its commencement.</w:t>
      </w:r>
      <w:r w:rsidR="003370CD">
        <w:rPr>
          <w:rStyle w:val="FootnoteReference"/>
          <w:rFonts w:ascii="Arial" w:hAnsi="Arial" w:cs="Arial"/>
          <w:color w:val="808080" w:themeColor="background1" w:themeShade="80"/>
          <w:sz w:val="22"/>
          <w:szCs w:val="22"/>
          <w:lang w:val="en-GB"/>
        </w:rPr>
        <w:footnoteReference w:id="9"/>
      </w:r>
    </w:p>
    <w:p w14:paraId="09F20716" w14:textId="2D72A333" w:rsidR="003370CD" w:rsidRDefault="007256FD" w:rsidP="00327829">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may summon any person who may possess information relevant to the application.</w:t>
      </w:r>
      <w:r w:rsidR="00C84DCB">
        <w:rPr>
          <w:rStyle w:val="FootnoteReference"/>
          <w:rFonts w:ascii="Arial" w:hAnsi="Arial" w:cs="Arial"/>
          <w:color w:val="808080" w:themeColor="background1" w:themeShade="80"/>
          <w:sz w:val="22"/>
          <w:szCs w:val="22"/>
          <w:lang w:val="en-GB"/>
        </w:rPr>
        <w:footnoteReference w:id="10"/>
      </w:r>
    </w:p>
    <w:p w14:paraId="4DC3FA08" w14:textId="6A16FC27" w:rsidR="00C84DCB" w:rsidRDefault="009442E4" w:rsidP="00327829">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shall decide </w:t>
      </w:r>
      <w:r w:rsidR="00B5276A">
        <w:rPr>
          <w:rFonts w:ascii="Arial" w:hAnsi="Arial" w:cs="Arial"/>
          <w:color w:val="808080" w:themeColor="background1" w:themeShade="80"/>
          <w:sz w:val="22"/>
          <w:szCs w:val="22"/>
          <w:lang w:val="en-GB"/>
        </w:rPr>
        <w:t>whether to take necessary measures to maintain or manage the debtor’s assets including sealing the premises of the debtor’s business pending the determination of the application.</w:t>
      </w:r>
      <w:r w:rsidR="00B5276A">
        <w:rPr>
          <w:rStyle w:val="FootnoteReference"/>
          <w:rFonts w:ascii="Arial" w:hAnsi="Arial" w:cs="Arial"/>
          <w:color w:val="808080" w:themeColor="background1" w:themeShade="80"/>
          <w:sz w:val="22"/>
          <w:szCs w:val="22"/>
          <w:lang w:val="en-GB"/>
        </w:rPr>
        <w:footnoteReference w:id="11"/>
      </w:r>
    </w:p>
    <w:p w14:paraId="6B26D7FE" w14:textId="77777777" w:rsidR="001C2A9F" w:rsidRDefault="001C2A9F" w:rsidP="001C2A9F">
      <w:pPr>
        <w:jc w:val="both"/>
        <w:rPr>
          <w:rFonts w:ascii="Arial" w:hAnsi="Arial" w:cs="Arial"/>
          <w:color w:val="808080" w:themeColor="background1" w:themeShade="80"/>
          <w:sz w:val="22"/>
          <w:szCs w:val="22"/>
          <w:lang w:val="en-GB"/>
        </w:rPr>
      </w:pPr>
    </w:p>
    <w:p w14:paraId="7FBE7DBD" w14:textId="568335D1" w:rsidR="00904472" w:rsidRDefault="00904472" w:rsidP="001C2A9F">
      <w:pPr>
        <w:jc w:val="both"/>
        <w:rPr>
          <w:rFonts w:ascii="Arial" w:hAnsi="Arial" w:cs="Arial"/>
          <w:b/>
          <w:bCs/>
          <w:color w:val="808080" w:themeColor="background1" w:themeShade="80"/>
          <w:sz w:val="22"/>
          <w:szCs w:val="22"/>
          <w:lang w:val="en-GB"/>
        </w:rPr>
      </w:pPr>
      <w:r>
        <w:rPr>
          <w:rFonts w:ascii="Arial" w:hAnsi="Arial" w:cs="Arial"/>
          <w:b/>
          <w:bCs/>
          <w:color w:val="808080" w:themeColor="background1" w:themeShade="80"/>
          <w:sz w:val="22"/>
          <w:szCs w:val="22"/>
          <w:lang w:val="en-GB"/>
        </w:rPr>
        <w:t>Appointment of the Trustee</w:t>
      </w:r>
    </w:p>
    <w:p w14:paraId="377F807E" w14:textId="77777777" w:rsidR="00904472" w:rsidRPr="00904472" w:rsidRDefault="00904472" w:rsidP="001C2A9F">
      <w:pPr>
        <w:jc w:val="both"/>
        <w:rPr>
          <w:rFonts w:ascii="Arial" w:hAnsi="Arial" w:cs="Arial"/>
          <w:b/>
          <w:bCs/>
          <w:color w:val="808080" w:themeColor="background1" w:themeShade="80"/>
          <w:sz w:val="22"/>
          <w:szCs w:val="22"/>
          <w:lang w:val="en-GB"/>
        </w:rPr>
      </w:pPr>
    </w:p>
    <w:p w14:paraId="1A2A9A29" w14:textId="7F473E1D" w:rsidR="00B5276A" w:rsidRDefault="003B5DBE" w:rsidP="00327829">
      <w:pPr>
        <w:pStyle w:val="ListParagraph"/>
        <w:numPr>
          <w:ilvl w:val="0"/>
          <w:numId w:val="1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the Court decides to accept the application, it shall appoint a trustee</w:t>
      </w:r>
      <w:r w:rsidR="002170F5">
        <w:rPr>
          <w:rFonts w:ascii="Arial" w:hAnsi="Arial" w:cs="Arial"/>
          <w:color w:val="808080" w:themeColor="background1" w:themeShade="80"/>
          <w:sz w:val="22"/>
          <w:szCs w:val="22"/>
          <w:lang w:val="en-GB"/>
        </w:rPr>
        <w:t>.</w:t>
      </w:r>
      <w:r w:rsidR="002170F5">
        <w:rPr>
          <w:rStyle w:val="FootnoteReference"/>
          <w:rFonts w:ascii="Arial" w:hAnsi="Arial" w:cs="Arial"/>
          <w:color w:val="808080" w:themeColor="background1" w:themeShade="80"/>
          <w:sz w:val="22"/>
          <w:szCs w:val="22"/>
          <w:lang w:val="en-GB"/>
        </w:rPr>
        <w:footnoteReference w:id="12"/>
      </w:r>
      <w:r>
        <w:rPr>
          <w:rFonts w:ascii="Arial" w:hAnsi="Arial" w:cs="Arial"/>
          <w:color w:val="808080" w:themeColor="background1" w:themeShade="80"/>
          <w:sz w:val="22"/>
          <w:szCs w:val="22"/>
          <w:lang w:val="en-GB"/>
        </w:rPr>
        <w:t xml:space="preserve"> </w:t>
      </w:r>
    </w:p>
    <w:p w14:paraId="3FEAEAAA" w14:textId="77777777" w:rsidR="00CC7AC4" w:rsidRDefault="00CC7AC4" w:rsidP="00CC7AC4">
      <w:pPr>
        <w:jc w:val="both"/>
        <w:rPr>
          <w:rFonts w:ascii="Arial" w:hAnsi="Arial" w:cs="Arial"/>
          <w:color w:val="808080" w:themeColor="background1" w:themeShade="80"/>
          <w:sz w:val="22"/>
          <w:szCs w:val="22"/>
          <w:lang w:val="en-GB"/>
        </w:rPr>
      </w:pPr>
    </w:p>
    <w:p w14:paraId="2AA6A737" w14:textId="7CC06AD6" w:rsidR="00CC7AC4" w:rsidRPr="00CC7AC4" w:rsidRDefault="00CC7AC4" w:rsidP="00CC7AC4">
      <w:pPr>
        <w:jc w:val="both"/>
        <w:rPr>
          <w:rFonts w:ascii="Arial" w:hAnsi="Arial" w:cs="Arial"/>
          <w:b/>
          <w:bCs/>
          <w:color w:val="808080" w:themeColor="background1" w:themeShade="80"/>
          <w:sz w:val="22"/>
          <w:szCs w:val="22"/>
          <w:lang w:val="en-GB"/>
        </w:rPr>
      </w:pPr>
      <w:r>
        <w:rPr>
          <w:rFonts w:ascii="Arial" w:hAnsi="Arial" w:cs="Arial"/>
          <w:b/>
          <w:bCs/>
          <w:color w:val="808080" w:themeColor="background1" w:themeShade="80"/>
          <w:sz w:val="22"/>
          <w:szCs w:val="22"/>
          <w:lang w:val="en-GB"/>
        </w:rPr>
        <w:t>Trustee’s Report</w:t>
      </w:r>
    </w:p>
    <w:p w14:paraId="2F084AA1" w14:textId="77777777" w:rsidR="00CC7AC4" w:rsidRPr="00CC7AC4" w:rsidRDefault="00CC7AC4" w:rsidP="00CC7AC4">
      <w:pPr>
        <w:jc w:val="both"/>
        <w:rPr>
          <w:rFonts w:ascii="Arial" w:hAnsi="Arial" w:cs="Arial"/>
          <w:color w:val="808080" w:themeColor="background1" w:themeShade="80"/>
          <w:sz w:val="22"/>
          <w:szCs w:val="22"/>
          <w:lang w:val="en-GB"/>
        </w:rPr>
      </w:pPr>
    </w:p>
    <w:p w14:paraId="23F43B12" w14:textId="7B6DD756" w:rsidR="00781596" w:rsidRDefault="003B4FB1" w:rsidP="00327829">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trustee shall prepare a report on the debtor’s business and submit a copy to the court including an evaluation of the possibility of restructuring of the debtor’s business and whether a restructuring plan should be submitted to</w:t>
      </w:r>
      <w:r w:rsidR="00B6621C">
        <w:rPr>
          <w:rFonts w:ascii="Arial" w:hAnsi="Arial" w:cs="Arial"/>
          <w:color w:val="808080" w:themeColor="background1" w:themeShade="80"/>
          <w:sz w:val="22"/>
          <w:szCs w:val="22"/>
          <w:lang w:val="en-GB"/>
        </w:rPr>
        <w:t xml:space="preserve"> its creditors.</w:t>
      </w:r>
      <w:r w:rsidR="00B6621C">
        <w:rPr>
          <w:rStyle w:val="FootnoteReference"/>
          <w:rFonts w:ascii="Arial" w:hAnsi="Arial" w:cs="Arial"/>
          <w:color w:val="808080" w:themeColor="background1" w:themeShade="80"/>
          <w:sz w:val="22"/>
          <w:szCs w:val="22"/>
          <w:lang w:val="en-GB"/>
        </w:rPr>
        <w:footnoteReference w:id="13"/>
      </w:r>
    </w:p>
    <w:p w14:paraId="200A0C40" w14:textId="77777777" w:rsidR="00305799" w:rsidRDefault="00305799" w:rsidP="00305799">
      <w:pPr>
        <w:jc w:val="both"/>
        <w:rPr>
          <w:rFonts w:ascii="Arial" w:hAnsi="Arial" w:cs="Arial"/>
          <w:color w:val="808080" w:themeColor="background1" w:themeShade="80"/>
          <w:sz w:val="22"/>
          <w:szCs w:val="22"/>
          <w:lang w:val="en-GB"/>
        </w:rPr>
      </w:pPr>
    </w:p>
    <w:p w14:paraId="5533AB50" w14:textId="51B5DFBD" w:rsidR="00305799" w:rsidRDefault="00305799" w:rsidP="00305799">
      <w:pPr>
        <w:jc w:val="both"/>
        <w:rPr>
          <w:rFonts w:ascii="Arial" w:hAnsi="Arial" w:cs="Arial"/>
          <w:b/>
          <w:bCs/>
          <w:color w:val="808080" w:themeColor="background1" w:themeShade="80"/>
          <w:sz w:val="22"/>
          <w:szCs w:val="22"/>
          <w:lang w:val="en-GB"/>
        </w:rPr>
      </w:pPr>
      <w:r>
        <w:rPr>
          <w:rFonts w:ascii="Arial" w:hAnsi="Arial" w:cs="Arial"/>
          <w:b/>
          <w:bCs/>
          <w:color w:val="808080" w:themeColor="background1" w:themeShade="80"/>
          <w:sz w:val="22"/>
          <w:szCs w:val="22"/>
          <w:lang w:val="en-GB"/>
        </w:rPr>
        <w:t>Determination of the Report</w:t>
      </w:r>
    </w:p>
    <w:p w14:paraId="6498ECD5" w14:textId="77777777" w:rsidR="00305799" w:rsidRPr="00305799" w:rsidRDefault="00305799" w:rsidP="00305799">
      <w:pPr>
        <w:jc w:val="both"/>
        <w:rPr>
          <w:rFonts w:ascii="Arial" w:hAnsi="Arial" w:cs="Arial"/>
          <w:b/>
          <w:bCs/>
          <w:color w:val="808080" w:themeColor="background1" w:themeShade="80"/>
          <w:sz w:val="22"/>
          <w:szCs w:val="22"/>
          <w:lang w:val="en-GB"/>
        </w:rPr>
      </w:pPr>
    </w:p>
    <w:p w14:paraId="54F88A27" w14:textId="4CCC3240" w:rsidR="007263A5" w:rsidRDefault="00305799" w:rsidP="00327829">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w:t>
      </w:r>
      <w:r w:rsidR="008C7101">
        <w:rPr>
          <w:rFonts w:ascii="Arial" w:hAnsi="Arial" w:cs="Arial"/>
          <w:color w:val="808080" w:themeColor="background1" w:themeShade="80"/>
          <w:sz w:val="22"/>
          <w:szCs w:val="22"/>
          <w:lang w:val="en-GB"/>
        </w:rPr>
        <w:t xml:space="preserve"> court may decide to proceed with the restructuring and instruct the trustee to prepare a restructuring plan.</w:t>
      </w:r>
      <w:r w:rsidR="008C7101">
        <w:rPr>
          <w:rStyle w:val="FootnoteReference"/>
          <w:rFonts w:ascii="Arial" w:hAnsi="Arial" w:cs="Arial"/>
          <w:color w:val="808080" w:themeColor="background1" w:themeShade="80"/>
          <w:sz w:val="22"/>
          <w:szCs w:val="22"/>
          <w:lang w:val="en-GB"/>
        </w:rPr>
        <w:footnoteReference w:id="14"/>
      </w:r>
      <w:r w:rsidR="00EE5BA3">
        <w:rPr>
          <w:rFonts w:ascii="Arial" w:hAnsi="Arial" w:cs="Arial"/>
          <w:color w:val="808080" w:themeColor="background1" w:themeShade="80"/>
          <w:sz w:val="22"/>
          <w:szCs w:val="22"/>
          <w:lang w:val="en-GB"/>
        </w:rPr>
        <w:t xml:space="preserve">  </w:t>
      </w:r>
      <w:r w:rsidR="00AB1508">
        <w:rPr>
          <w:rFonts w:ascii="Arial" w:hAnsi="Arial" w:cs="Arial"/>
          <w:color w:val="808080" w:themeColor="background1" w:themeShade="80"/>
          <w:sz w:val="22"/>
          <w:szCs w:val="22"/>
          <w:lang w:val="en-GB"/>
        </w:rPr>
        <w:t>The court requires the trustee to submit the draft restructuring plan within 3 months (</w:t>
      </w:r>
      <w:r w:rsidR="00937B55">
        <w:rPr>
          <w:rFonts w:ascii="Arial" w:hAnsi="Arial" w:cs="Arial"/>
          <w:color w:val="808080" w:themeColor="background1" w:themeShade="80"/>
          <w:sz w:val="22"/>
          <w:szCs w:val="22"/>
          <w:lang w:val="en-GB"/>
        </w:rPr>
        <w:t>subject to an extension at the court’s discretion)</w:t>
      </w:r>
      <w:r w:rsidR="00AB1508">
        <w:rPr>
          <w:rFonts w:ascii="Arial" w:hAnsi="Arial" w:cs="Arial"/>
          <w:color w:val="808080" w:themeColor="background1" w:themeShade="80"/>
          <w:sz w:val="22"/>
          <w:szCs w:val="22"/>
          <w:lang w:val="en-GB"/>
        </w:rPr>
        <w:t xml:space="preserve"> from the date of the decision.</w:t>
      </w:r>
      <w:r w:rsidR="00937B55">
        <w:rPr>
          <w:rStyle w:val="FootnoteReference"/>
          <w:rFonts w:ascii="Arial" w:hAnsi="Arial" w:cs="Arial"/>
          <w:color w:val="808080" w:themeColor="background1" w:themeShade="80"/>
          <w:sz w:val="22"/>
          <w:szCs w:val="22"/>
          <w:lang w:val="en-GB"/>
        </w:rPr>
        <w:footnoteReference w:id="15"/>
      </w:r>
    </w:p>
    <w:p w14:paraId="59B3084F" w14:textId="77777777" w:rsidR="00E66036" w:rsidRDefault="00E66036" w:rsidP="00E66036">
      <w:pPr>
        <w:jc w:val="both"/>
        <w:rPr>
          <w:rFonts w:ascii="Arial" w:hAnsi="Arial" w:cs="Arial"/>
          <w:color w:val="808080" w:themeColor="background1" w:themeShade="80"/>
          <w:sz w:val="22"/>
          <w:szCs w:val="22"/>
          <w:lang w:val="en-GB"/>
        </w:rPr>
      </w:pPr>
    </w:p>
    <w:p w14:paraId="7D2C2D15" w14:textId="3716A03C" w:rsidR="00E66036" w:rsidRDefault="00E66036" w:rsidP="00E66036">
      <w:pPr>
        <w:keepNext/>
        <w:jc w:val="both"/>
        <w:rPr>
          <w:rFonts w:ascii="Arial" w:hAnsi="Arial" w:cs="Arial"/>
          <w:b/>
          <w:bCs/>
          <w:color w:val="808080" w:themeColor="background1" w:themeShade="80"/>
          <w:sz w:val="22"/>
          <w:szCs w:val="22"/>
          <w:lang w:val="en-GB"/>
        </w:rPr>
      </w:pPr>
      <w:r>
        <w:rPr>
          <w:rFonts w:ascii="Arial" w:hAnsi="Arial" w:cs="Arial"/>
          <w:b/>
          <w:bCs/>
          <w:color w:val="808080" w:themeColor="background1" w:themeShade="80"/>
          <w:sz w:val="22"/>
          <w:szCs w:val="22"/>
          <w:lang w:val="en-GB"/>
        </w:rPr>
        <w:lastRenderedPageBreak/>
        <w:t>The Restructuring Procedure</w:t>
      </w:r>
    </w:p>
    <w:p w14:paraId="0110A5DD" w14:textId="77777777" w:rsidR="00E66036" w:rsidRPr="00E66036" w:rsidRDefault="00E66036" w:rsidP="00E66036">
      <w:pPr>
        <w:keepNext/>
        <w:jc w:val="both"/>
        <w:rPr>
          <w:rFonts w:ascii="Arial" w:hAnsi="Arial" w:cs="Arial"/>
          <w:b/>
          <w:bCs/>
          <w:color w:val="808080" w:themeColor="background1" w:themeShade="80"/>
          <w:sz w:val="22"/>
          <w:szCs w:val="22"/>
          <w:lang w:val="en-GB"/>
        </w:rPr>
      </w:pPr>
    </w:p>
    <w:p w14:paraId="506C696F" w14:textId="576B0406" w:rsidR="00763491" w:rsidRDefault="00937B55" w:rsidP="00327829">
      <w:pPr>
        <w:pStyle w:val="ListParagraph"/>
        <w:keepNext/>
        <w:numPr>
          <w:ilvl w:val="0"/>
          <w:numId w:val="2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trustee shall notify the court on a regular basis and at least once every 21 business days of the progress on the preparation of the draft restructuring plan.</w:t>
      </w:r>
      <w:r>
        <w:rPr>
          <w:rStyle w:val="FootnoteReference"/>
          <w:rFonts w:ascii="Arial" w:hAnsi="Arial" w:cs="Arial"/>
          <w:color w:val="808080" w:themeColor="background1" w:themeShade="80"/>
          <w:sz w:val="22"/>
          <w:szCs w:val="22"/>
          <w:lang w:val="en-GB"/>
        </w:rPr>
        <w:footnoteReference w:id="16"/>
      </w:r>
    </w:p>
    <w:p w14:paraId="0899AA71" w14:textId="41A35F5D" w:rsidR="0010173D" w:rsidRDefault="0010173D" w:rsidP="00327829">
      <w:pPr>
        <w:pStyle w:val="ListParagraph"/>
        <w:numPr>
          <w:ilvl w:val="0"/>
          <w:numId w:val="2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shall, within 10 business days from the date of submission of the draft restructuring plan, review the draft plan to ensure that it takes </w:t>
      </w:r>
      <w:r w:rsidR="00971E68">
        <w:rPr>
          <w:rFonts w:ascii="Arial" w:hAnsi="Arial" w:cs="Arial"/>
          <w:color w:val="808080" w:themeColor="background1" w:themeShade="80"/>
          <w:sz w:val="22"/>
          <w:szCs w:val="22"/>
          <w:lang w:val="en-GB"/>
        </w:rPr>
        <w:t xml:space="preserve">into consideration </w:t>
      </w:r>
      <w:r w:rsidR="007879B6">
        <w:rPr>
          <w:rFonts w:ascii="Arial" w:hAnsi="Arial" w:cs="Arial"/>
          <w:color w:val="808080" w:themeColor="background1" w:themeShade="80"/>
          <w:sz w:val="22"/>
          <w:szCs w:val="22"/>
          <w:lang w:val="en-GB"/>
        </w:rPr>
        <w:t xml:space="preserve">the interests of all parties.  The court may instruct the trustee to make any necessary amendments.  The court will then instruct the trustee to </w:t>
      </w:r>
      <w:r w:rsidR="00562C79">
        <w:rPr>
          <w:rFonts w:ascii="Arial" w:hAnsi="Arial" w:cs="Arial"/>
          <w:color w:val="808080" w:themeColor="background1" w:themeShade="80"/>
          <w:sz w:val="22"/>
          <w:szCs w:val="22"/>
          <w:lang w:val="en-GB"/>
        </w:rPr>
        <w:t>invite creditors to attend a meeting to discuss and vote on the draft restructuring plan.</w:t>
      </w:r>
      <w:r w:rsidR="00562C79">
        <w:rPr>
          <w:rStyle w:val="FootnoteReference"/>
          <w:rFonts w:ascii="Arial" w:hAnsi="Arial" w:cs="Arial"/>
          <w:color w:val="808080" w:themeColor="background1" w:themeShade="80"/>
          <w:sz w:val="22"/>
          <w:szCs w:val="22"/>
          <w:lang w:val="en-GB"/>
        </w:rPr>
        <w:footnoteReference w:id="17"/>
      </w:r>
    </w:p>
    <w:p w14:paraId="732A3E4C" w14:textId="77777777" w:rsidR="00E66036" w:rsidRDefault="00E66036" w:rsidP="00E66036">
      <w:pPr>
        <w:jc w:val="both"/>
        <w:rPr>
          <w:rFonts w:ascii="Arial" w:hAnsi="Arial" w:cs="Arial"/>
          <w:color w:val="808080" w:themeColor="background1" w:themeShade="80"/>
          <w:sz w:val="22"/>
          <w:szCs w:val="22"/>
          <w:lang w:val="en-GB"/>
        </w:rPr>
      </w:pPr>
    </w:p>
    <w:p w14:paraId="2EAAA79E" w14:textId="12670D7E" w:rsidR="00E66036" w:rsidRDefault="00E66036" w:rsidP="00E66036">
      <w:pPr>
        <w:jc w:val="both"/>
        <w:rPr>
          <w:rFonts w:ascii="Arial" w:hAnsi="Arial" w:cs="Arial"/>
          <w:b/>
          <w:bCs/>
          <w:color w:val="808080" w:themeColor="background1" w:themeShade="80"/>
          <w:sz w:val="22"/>
          <w:szCs w:val="22"/>
          <w:lang w:val="en-GB"/>
        </w:rPr>
      </w:pPr>
      <w:r>
        <w:rPr>
          <w:rFonts w:ascii="Arial" w:hAnsi="Arial" w:cs="Arial"/>
          <w:b/>
          <w:bCs/>
          <w:color w:val="808080" w:themeColor="background1" w:themeShade="80"/>
          <w:sz w:val="22"/>
          <w:szCs w:val="22"/>
          <w:lang w:val="en-GB"/>
        </w:rPr>
        <w:t>Creditors’ Committees</w:t>
      </w:r>
    </w:p>
    <w:p w14:paraId="5E809252" w14:textId="77777777" w:rsidR="00E66036" w:rsidRPr="00E66036" w:rsidRDefault="00E66036" w:rsidP="00E66036">
      <w:pPr>
        <w:jc w:val="both"/>
        <w:rPr>
          <w:rFonts w:ascii="Arial" w:hAnsi="Arial" w:cs="Arial"/>
          <w:b/>
          <w:bCs/>
          <w:color w:val="808080" w:themeColor="background1" w:themeShade="80"/>
          <w:sz w:val="22"/>
          <w:szCs w:val="22"/>
          <w:lang w:val="en-GB"/>
        </w:rPr>
      </w:pPr>
    </w:p>
    <w:p w14:paraId="0127B6BE" w14:textId="6B3A45B9" w:rsidR="000C1440" w:rsidRDefault="000C1440" w:rsidP="00327829">
      <w:pPr>
        <w:pStyle w:val="ListParagraph"/>
        <w:numPr>
          <w:ilvl w:val="0"/>
          <w:numId w:val="2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may, after consultation with the trustee, issue a decision to establish one or more committees of creditors holding ordinary debts (I am ignoring secured creditors for the purposes of this question).</w:t>
      </w:r>
      <w:r w:rsidR="00D977B0">
        <w:rPr>
          <w:rStyle w:val="FootnoteReference"/>
          <w:rFonts w:ascii="Arial" w:hAnsi="Arial" w:cs="Arial"/>
          <w:color w:val="808080" w:themeColor="background1" w:themeShade="80"/>
          <w:sz w:val="22"/>
          <w:szCs w:val="22"/>
          <w:lang w:val="en-GB"/>
        </w:rPr>
        <w:footnoteReference w:id="18"/>
      </w:r>
    </w:p>
    <w:p w14:paraId="1090E8F4" w14:textId="32E7F55C" w:rsidR="00D977B0" w:rsidRDefault="00D13D4C" w:rsidP="00327829">
      <w:pPr>
        <w:pStyle w:val="ListParagraph"/>
        <w:numPr>
          <w:ilvl w:val="0"/>
          <w:numId w:val="2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may invite creditors affected by any proposed amendments of the restructuring plan to additional meetings to consider such amendments, and the court may decide to approve or dismiss any of the proposed amendments.</w:t>
      </w:r>
      <w:r>
        <w:rPr>
          <w:rStyle w:val="FootnoteReference"/>
          <w:rFonts w:ascii="Arial" w:hAnsi="Arial" w:cs="Arial"/>
          <w:color w:val="808080" w:themeColor="background1" w:themeShade="80"/>
          <w:sz w:val="22"/>
          <w:szCs w:val="22"/>
          <w:lang w:val="en-GB"/>
        </w:rPr>
        <w:footnoteReference w:id="19"/>
      </w:r>
    </w:p>
    <w:p w14:paraId="13EA429D" w14:textId="7A8A930A" w:rsidR="009E46C6" w:rsidRDefault="009E46C6" w:rsidP="00327829">
      <w:pPr>
        <w:pStyle w:val="ListParagraph"/>
        <w:numPr>
          <w:ilvl w:val="0"/>
          <w:numId w:val="2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may, upon the recommendation of the trustee, also permit creditors whose debts are provisionally accepted to vote on the draft restructuring plan</w:t>
      </w:r>
      <w:r w:rsidR="007377DC">
        <w:rPr>
          <w:rFonts w:ascii="Arial" w:hAnsi="Arial" w:cs="Arial"/>
          <w:color w:val="808080" w:themeColor="background1" w:themeShade="80"/>
          <w:sz w:val="22"/>
          <w:szCs w:val="22"/>
          <w:lang w:val="en-GB"/>
        </w:rPr>
        <w:t>.</w:t>
      </w:r>
      <w:r w:rsidR="007377DC">
        <w:rPr>
          <w:rStyle w:val="FootnoteReference"/>
          <w:rFonts w:ascii="Arial" w:hAnsi="Arial" w:cs="Arial"/>
          <w:color w:val="808080" w:themeColor="background1" w:themeShade="80"/>
          <w:sz w:val="22"/>
          <w:szCs w:val="22"/>
          <w:lang w:val="en-GB"/>
        </w:rPr>
        <w:footnoteReference w:id="20"/>
      </w:r>
    </w:p>
    <w:p w14:paraId="00707B6C" w14:textId="77777777" w:rsidR="00187155" w:rsidRDefault="00187155" w:rsidP="00187155">
      <w:pPr>
        <w:jc w:val="both"/>
        <w:rPr>
          <w:rFonts w:ascii="Arial" w:hAnsi="Arial" w:cs="Arial"/>
          <w:color w:val="808080" w:themeColor="background1" w:themeShade="80"/>
          <w:sz w:val="22"/>
          <w:szCs w:val="22"/>
          <w:lang w:val="en-GB"/>
        </w:rPr>
      </w:pPr>
    </w:p>
    <w:p w14:paraId="1D745B4A" w14:textId="407F700C" w:rsidR="00187155" w:rsidRDefault="00187155" w:rsidP="00187155">
      <w:pPr>
        <w:jc w:val="both"/>
        <w:rPr>
          <w:rFonts w:ascii="Arial" w:hAnsi="Arial" w:cs="Arial"/>
          <w:b/>
          <w:bCs/>
          <w:color w:val="808080" w:themeColor="background1" w:themeShade="80"/>
          <w:sz w:val="22"/>
          <w:szCs w:val="22"/>
          <w:lang w:val="en-GB"/>
        </w:rPr>
      </w:pPr>
      <w:r>
        <w:rPr>
          <w:rFonts w:ascii="Arial" w:hAnsi="Arial" w:cs="Arial"/>
          <w:b/>
          <w:bCs/>
          <w:color w:val="808080" w:themeColor="background1" w:themeShade="80"/>
          <w:sz w:val="22"/>
          <w:szCs w:val="22"/>
          <w:lang w:val="en-GB"/>
        </w:rPr>
        <w:t>Approval of the Restructuring Plan</w:t>
      </w:r>
    </w:p>
    <w:p w14:paraId="636E0F5B" w14:textId="77777777" w:rsidR="00187155" w:rsidRPr="00187155" w:rsidRDefault="00187155" w:rsidP="00187155">
      <w:pPr>
        <w:jc w:val="both"/>
        <w:rPr>
          <w:rFonts w:ascii="Arial" w:hAnsi="Arial" w:cs="Arial"/>
          <w:b/>
          <w:bCs/>
          <w:color w:val="808080" w:themeColor="background1" w:themeShade="80"/>
          <w:sz w:val="22"/>
          <w:szCs w:val="22"/>
          <w:lang w:val="en-GB"/>
        </w:rPr>
      </w:pPr>
    </w:p>
    <w:p w14:paraId="5FF565D0" w14:textId="310B84C7" w:rsidR="00081628" w:rsidRDefault="00081628" w:rsidP="00327829">
      <w:pPr>
        <w:pStyle w:val="ListParagraph"/>
        <w:numPr>
          <w:ilvl w:val="0"/>
          <w:numId w:val="2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trustee shall present a draft of the restructuring plan to the court for a decision approving or rejecting the plan.  The court shall determine any objections received by creditors</w:t>
      </w:r>
      <w:r w:rsidR="00EB5489">
        <w:rPr>
          <w:rFonts w:ascii="Arial" w:hAnsi="Arial" w:cs="Arial"/>
          <w:color w:val="808080" w:themeColor="background1" w:themeShade="80"/>
          <w:sz w:val="22"/>
          <w:szCs w:val="22"/>
          <w:lang w:val="en-GB"/>
        </w:rPr>
        <w:t>.  The court shall issue its decision to approve the restructuring plan which shall be binding on all relevant creditors.</w:t>
      </w:r>
      <w:r w:rsidR="00532E44">
        <w:rPr>
          <w:rStyle w:val="FootnoteReference"/>
          <w:rFonts w:ascii="Arial" w:hAnsi="Arial" w:cs="Arial"/>
          <w:color w:val="808080" w:themeColor="background1" w:themeShade="80"/>
          <w:sz w:val="22"/>
          <w:szCs w:val="22"/>
          <w:lang w:val="en-GB"/>
        </w:rPr>
        <w:footnoteReference w:id="21"/>
      </w:r>
      <w:r w:rsidR="00D317E4">
        <w:rPr>
          <w:rFonts w:ascii="Arial" w:hAnsi="Arial" w:cs="Arial"/>
          <w:color w:val="808080" w:themeColor="background1" w:themeShade="80"/>
          <w:sz w:val="22"/>
          <w:szCs w:val="22"/>
          <w:lang w:val="en-GB"/>
        </w:rPr>
        <w:t xml:space="preserve">  If the court refuses to approve the draft, the court may return the draft to the trustee requesting </w:t>
      </w:r>
      <w:r w:rsidR="002A44F1">
        <w:rPr>
          <w:rFonts w:ascii="Arial" w:hAnsi="Arial" w:cs="Arial"/>
          <w:color w:val="808080" w:themeColor="background1" w:themeShade="80"/>
          <w:sz w:val="22"/>
          <w:szCs w:val="22"/>
          <w:lang w:val="en-GB"/>
        </w:rPr>
        <w:t>amendments thereof.</w:t>
      </w:r>
      <w:r w:rsidR="002A44F1">
        <w:rPr>
          <w:rStyle w:val="FootnoteReference"/>
          <w:rFonts w:ascii="Arial" w:hAnsi="Arial" w:cs="Arial"/>
          <w:color w:val="808080" w:themeColor="background1" w:themeShade="80"/>
          <w:sz w:val="22"/>
          <w:szCs w:val="22"/>
          <w:lang w:val="en-GB"/>
        </w:rPr>
        <w:footnoteReference w:id="22"/>
      </w:r>
    </w:p>
    <w:p w14:paraId="53A90F28" w14:textId="63EDB665" w:rsidR="00D853BE" w:rsidRDefault="00D853BE" w:rsidP="00327829">
      <w:pPr>
        <w:pStyle w:val="ListParagraph"/>
        <w:numPr>
          <w:ilvl w:val="0"/>
          <w:numId w:val="2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any of the debtor’s assets are essential to the continuation of the debtor’s business, the court may decide</w:t>
      </w:r>
      <w:r w:rsidR="00DE7A33">
        <w:rPr>
          <w:rFonts w:ascii="Arial" w:hAnsi="Arial" w:cs="Arial"/>
          <w:color w:val="808080" w:themeColor="background1" w:themeShade="80"/>
          <w:sz w:val="22"/>
          <w:szCs w:val="22"/>
          <w:lang w:val="en-GB"/>
        </w:rPr>
        <w:t xml:space="preserve"> that such assets shall not be disposed of without its approval and to replace any security that the assets may be subject to.</w:t>
      </w:r>
      <w:r w:rsidR="00DE7A33">
        <w:rPr>
          <w:rStyle w:val="FootnoteReference"/>
          <w:rFonts w:ascii="Arial" w:hAnsi="Arial" w:cs="Arial"/>
          <w:color w:val="808080" w:themeColor="background1" w:themeShade="80"/>
          <w:sz w:val="22"/>
          <w:szCs w:val="22"/>
          <w:lang w:val="en-GB"/>
        </w:rPr>
        <w:footnoteReference w:id="23"/>
      </w:r>
    </w:p>
    <w:p w14:paraId="23991427" w14:textId="77777777" w:rsidR="00187155" w:rsidRDefault="00187155" w:rsidP="00187155">
      <w:pPr>
        <w:jc w:val="both"/>
        <w:rPr>
          <w:rFonts w:ascii="Arial" w:hAnsi="Arial" w:cs="Arial"/>
          <w:color w:val="808080" w:themeColor="background1" w:themeShade="80"/>
          <w:sz w:val="22"/>
          <w:szCs w:val="22"/>
          <w:lang w:val="en-GB"/>
        </w:rPr>
      </w:pPr>
    </w:p>
    <w:p w14:paraId="7703644C" w14:textId="26148099" w:rsidR="00187155" w:rsidRDefault="00187155" w:rsidP="00187155">
      <w:pPr>
        <w:jc w:val="both"/>
        <w:rPr>
          <w:rFonts w:ascii="Arial" w:hAnsi="Arial" w:cs="Arial"/>
          <w:b/>
          <w:bCs/>
          <w:color w:val="808080" w:themeColor="background1" w:themeShade="80"/>
          <w:sz w:val="22"/>
          <w:szCs w:val="22"/>
          <w:lang w:val="en-GB"/>
        </w:rPr>
      </w:pPr>
      <w:r>
        <w:rPr>
          <w:rFonts w:ascii="Arial" w:hAnsi="Arial" w:cs="Arial"/>
          <w:b/>
          <w:bCs/>
          <w:color w:val="808080" w:themeColor="background1" w:themeShade="80"/>
          <w:sz w:val="22"/>
          <w:szCs w:val="22"/>
          <w:lang w:val="en-GB"/>
        </w:rPr>
        <w:t>Implementation of the Approved Restructuring Plan</w:t>
      </w:r>
    </w:p>
    <w:p w14:paraId="4A8A6218" w14:textId="77777777" w:rsidR="00187155" w:rsidRPr="00187155" w:rsidRDefault="00187155" w:rsidP="00187155">
      <w:pPr>
        <w:jc w:val="both"/>
        <w:rPr>
          <w:rFonts w:ascii="Arial" w:hAnsi="Arial" w:cs="Arial"/>
          <w:color w:val="808080" w:themeColor="background1" w:themeShade="80"/>
          <w:sz w:val="22"/>
          <w:szCs w:val="22"/>
          <w:lang w:val="en-GB"/>
        </w:rPr>
      </w:pPr>
    </w:p>
    <w:p w14:paraId="33A4C76C" w14:textId="6CADF2A6" w:rsidR="00243263" w:rsidRDefault="00243263" w:rsidP="00327829">
      <w:pPr>
        <w:pStyle w:val="ListParagraph"/>
        <w:numPr>
          <w:ilvl w:val="0"/>
          <w:numId w:val="2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Court approval is required for any</w:t>
      </w:r>
      <w:r w:rsidR="00F32C54">
        <w:rPr>
          <w:rFonts w:ascii="Arial" w:hAnsi="Arial" w:cs="Arial"/>
          <w:color w:val="808080" w:themeColor="background1" w:themeShade="80"/>
          <w:sz w:val="22"/>
          <w:szCs w:val="22"/>
          <w:lang w:val="en-GB"/>
        </w:rPr>
        <w:t xml:space="preserve"> substantial</w:t>
      </w:r>
      <w:r>
        <w:rPr>
          <w:rFonts w:ascii="Arial" w:hAnsi="Arial" w:cs="Arial"/>
          <w:color w:val="808080" w:themeColor="background1" w:themeShade="80"/>
          <w:sz w:val="22"/>
          <w:szCs w:val="22"/>
          <w:lang w:val="en-GB"/>
        </w:rPr>
        <w:t xml:space="preserve"> amendments considered necessary by the trustee</w:t>
      </w:r>
      <w:r w:rsidR="00E75089">
        <w:rPr>
          <w:rFonts w:ascii="Arial" w:hAnsi="Arial" w:cs="Arial"/>
          <w:color w:val="808080" w:themeColor="background1" w:themeShade="80"/>
          <w:sz w:val="22"/>
          <w:szCs w:val="22"/>
          <w:lang w:val="en-GB"/>
        </w:rPr>
        <w:t xml:space="preserve"> during the implementation of the restructuring plan</w:t>
      </w:r>
      <w:r w:rsidR="00F32C54">
        <w:rPr>
          <w:rFonts w:ascii="Arial" w:hAnsi="Arial" w:cs="Arial"/>
          <w:color w:val="808080" w:themeColor="background1" w:themeShade="80"/>
          <w:sz w:val="22"/>
          <w:szCs w:val="22"/>
          <w:lang w:val="en-GB"/>
        </w:rPr>
        <w:t xml:space="preserve">.  The court shall, prior to determination of the application, </w:t>
      </w:r>
      <w:r w:rsidR="007A08B6">
        <w:rPr>
          <w:rFonts w:ascii="Arial" w:hAnsi="Arial" w:cs="Arial"/>
          <w:color w:val="808080" w:themeColor="background1" w:themeShade="80"/>
          <w:sz w:val="22"/>
          <w:szCs w:val="22"/>
          <w:lang w:val="en-GB"/>
        </w:rPr>
        <w:t>by notice, invite comments on the proposed amendments by all relevant parties.  The court may issue a decision permitting the amendment in whole or in part or rejecting the amendment.</w:t>
      </w:r>
      <w:r w:rsidR="007A08B6">
        <w:rPr>
          <w:rStyle w:val="FootnoteReference"/>
          <w:rFonts w:ascii="Arial" w:hAnsi="Arial" w:cs="Arial"/>
          <w:color w:val="808080" w:themeColor="background1" w:themeShade="80"/>
          <w:sz w:val="22"/>
          <w:szCs w:val="22"/>
          <w:lang w:val="en-GB"/>
        </w:rPr>
        <w:footnoteReference w:id="24"/>
      </w:r>
    </w:p>
    <w:p w14:paraId="086EC40B" w14:textId="6BCB6179" w:rsidR="00587DD7" w:rsidRPr="00FC0B0E" w:rsidRDefault="00587DD7" w:rsidP="00327829">
      <w:pPr>
        <w:pStyle w:val="ListParagraph"/>
        <w:numPr>
          <w:ilvl w:val="0"/>
          <w:numId w:val="2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Upon the fulfilment of all the obligations provided for in the restructuring plan, the court shall issue a decision confirming completion </w:t>
      </w:r>
      <w:r w:rsidR="00155B9B">
        <w:rPr>
          <w:rFonts w:ascii="Arial" w:hAnsi="Arial" w:cs="Arial"/>
          <w:color w:val="808080" w:themeColor="background1" w:themeShade="80"/>
          <w:sz w:val="22"/>
          <w:szCs w:val="22"/>
          <w:lang w:val="en-GB"/>
        </w:rPr>
        <w:t>of the implementation of the restructuring plan and conclusion of the restructuring procedures.</w:t>
      </w:r>
      <w:r w:rsidR="00155B9B">
        <w:rPr>
          <w:rStyle w:val="FootnoteReference"/>
          <w:rFonts w:ascii="Arial" w:hAnsi="Arial" w:cs="Arial"/>
          <w:color w:val="808080" w:themeColor="background1" w:themeShade="80"/>
          <w:sz w:val="22"/>
          <w:szCs w:val="22"/>
          <w:lang w:val="en-GB"/>
        </w:rPr>
        <w:footnoteReference w:id="25"/>
      </w:r>
    </w:p>
    <w:p w14:paraId="7FF1F163" w14:textId="7FC6572D" w:rsidR="001A45DB" w:rsidRPr="00CA448F" w:rsidRDefault="001A45DB" w:rsidP="00C76745">
      <w:pPr>
        <w:jc w:val="both"/>
        <w:rPr>
          <w:rFonts w:ascii="Arial" w:hAnsi="Arial" w:cs="Arial"/>
          <w:color w:val="808080" w:themeColor="background1" w:themeShade="80"/>
          <w:sz w:val="22"/>
          <w:szCs w:val="22"/>
          <w:lang w:val="en-GB"/>
        </w:rPr>
      </w:pPr>
    </w:p>
    <w:p w14:paraId="770B4F0F" w14:textId="77777777" w:rsidR="001A45DB" w:rsidRPr="00CA448F" w:rsidRDefault="001A45DB" w:rsidP="00C76745">
      <w:pPr>
        <w:jc w:val="both"/>
        <w:rPr>
          <w:rFonts w:ascii="Arial" w:hAnsi="Arial" w:cs="Arial"/>
          <w:sz w:val="22"/>
          <w:szCs w:val="22"/>
          <w:shd w:val="clear" w:color="auto" w:fill="FFFFFF"/>
        </w:rPr>
      </w:pPr>
    </w:p>
    <w:p w14:paraId="2DFE3209" w14:textId="6D58F469" w:rsidR="00122F36" w:rsidRPr="00CA448F" w:rsidRDefault="00122F36"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lastRenderedPageBreak/>
        <w:t>Question 3.3 [maximum 2 marks]</w:t>
      </w:r>
    </w:p>
    <w:p w14:paraId="08A556D6" w14:textId="4A0103F8" w:rsidR="00122F36" w:rsidRPr="00CA448F" w:rsidRDefault="00122F36" w:rsidP="00C76745">
      <w:pPr>
        <w:jc w:val="both"/>
        <w:rPr>
          <w:rFonts w:ascii="Arial" w:hAnsi="Arial" w:cs="Arial"/>
          <w:sz w:val="22"/>
          <w:szCs w:val="22"/>
          <w:shd w:val="clear" w:color="auto" w:fill="FFFFFF"/>
        </w:rPr>
      </w:pPr>
    </w:p>
    <w:p w14:paraId="24020BB9" w14:textId="766E0D06" w:rsidR="00122F36" w:rsidRPr="00CA448F" w:rsidRDefault="001A45DB" w:rsidP="00C76745">
      <w:pPr>
        <w:jc w:val="both"/>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C76745">
      <w:pPr>
        <w:jc w:val="both"/>
        <w:rPr>
          <w:rFonts w:ascii="Arial" w:hAnsi="Arial" w:cs="Arial"/>
          <w:sz w:val="22"/>
          <w:szCs w:val="22"/>
          <w:shd w:val="clear" w:color="auto" w:fill="FFFFFF"/>
        </w:rPr>
      </w:pPr>
    </w:p>
    <w:p w14:paraId="718EECD5" w14:textId="7CD6E190" w:rsidR="001A45DB" w:rsidRDefault="001D5308" w:rsidP="00C76745">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T</w:t>
      </w:r>
      <w:r w:rsidR="00410ABD">
        <w:rPr>
          <w:rFonts w:ascii="Arial" w:hAnsi="Arial" w:cs="Arial"/>
          <w:color w:val="808080" w:themeColor="background1" w:themeShade="80"/>
          <w:sz w:val="22"/>
          <w:szCs w:val="22"/>
          <w:shd w:val="clear" w:color="auto" w:fill="FFFFFF"/>
        </w:rPr>
        <w:t xml:space="preserve">he </w:t>
      </w:r>
      <w:r w:rsidR="006270AB">
        <w:rPr>
          <w:rFonts w:ascii="Arial" w:hAnsi="Arial" w:cs="Arial"/>
          <w:color w:val="808080" w:themeColor="background1" w:themeShade="80"/>
          <w:sz w:val="22"/>
          <w:szCs w:val="22"/>
          <w:shd w:val="clear" w:color="auto" w:fill="FFFFFF"/>
        </w:rPr>
        <w:t xml:space="preserve">high degree of court involvement in approving a restructuring pursuant to the UAE Bankruptcy Law is appropriate.  </w:t>
      </w:r>
      <w:r w:rsidR="00833CCA">
        <w:rPr>
          <w:rFonts w:ascii="Arial" w:hAnsi="Arial" w:cs="Arial"/>
          <w:color w:val="808080" w:themeColor="background1" w:themeShade="80"/>
          <w:sz w:val="22"/>
          <w:szCs w:val="22"/>
          <w:shd w:val="clear" w:color="auto" w:fill="FFFFFF"/>
        </w:rPr>
        <w:t xml:space="preserve">The Bankruptcy Law </w:t>
      </w:r>
      <w:r w:rsidR="00027A52">
        <w:rPr>
          <w:rFonts w:ascii="Arial" w:hAnsi="Arial" w:cs="Arial"/>
          <w:color w:val="808080" w:themeColor="background1" w:themeShade="80"/>
          <w:sz w:val="22"/>
          <w:szCs w:val="22"/>
          <w:shd w:val="clear" w:color="auto" w:fill="FFFFFF"/>
        </w:rPr>
        <w:t xml:space="preserve">is </w:t>
      </w:r>
      <w:r w:rsidR="00983F65">
        <w:rPr>
          <w:rFonts w:ascii="Arial" w:hAnsi="Arial" w:cs="Arial"/>
          <w:color w:val="808080" w:themeColor="background1" w:themeShade="80"/>
          <w:sz w:val="22"/>
          <w:szCs w:val="22"/>
          <w:shd w:val="clear" w:color="auto" w:fill="FFFFFF"/>
        </w:rPr>
        <w:t xml:space="preserve">relatively new and </w:t>
      </w:r>
      <w:r w:rsidR="008B0635">
        <w:rPr>
          <w:rFonts w:ascii="Arial" w:hAnsi="Arial" w:cs="Arial"/>
          <w:color w:val="808080" w:themeColor="background1" w:themeShade="80"/>
          <w:sz w:val="22"/>
          <w:szCs w:val="22"/>
          <w:shd w:val="clear" w:color="auto" w:fill="FFFFFF"/>
        </w:rPr>
        <w:t xml:space="preserve">not highly tested so uncertainty surrounding the procedures contained therein, including those relating to restructuring, is still present amongst creditors.  </w:t>
      </w:r>
    </w:p>
    <w:p w14:paraId="54262397" w14:textId="77777777" w:rsidR="00CE5406" w:rsidRDefault="00CE5406" w:rsidP="00C76745">
      <w:pPr>
        <w:jc w:val="both"/>
        <w:rPr>
          <w:rFonts w:ascii="Arial" w:hAnsi="Arial" w:cs="Arial"/>
          <w:color w:val="808080" w:themeColor="background1" w:themeShade="80"/>
          <w:sz w:val="22"/>
          <w:szCs w:val="22"/>
          <w:shd w:val="clear" w:color="auto" w:fill="FFFFFF"/>
        </w:rPr>
      </w:pPr>
    </w:p>
    <w:p w14:paraId="78A94CE1" w14:textId="46AF7687" w:rsidR="00DB313C" w:rsidRDefault="00CE5406" w:rsidP="00812261">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The court</w:t>
      </w:r>
      <w:r w:rsidR="00054414">
        <w:rPr>
          <w:rFonts w:ascii="Arial" w:hAnsi="Arial" w:cs="Arial"/>
          <w:color w:val="808080" w:themeColor="background1" w:themeShade="80"/>
          <w:sz w:val="22"/>
          <w:szCs w:val="22"/>
          <w:shd w:val="clear" w:color="auto" w:fill="FFFFFF"/>
        </w:rPr>
        <w:t>’s involvement includes</w:t>
      </w:r>
      <w:r w:rsidR="00DB313C">
        <w:rPr>
          <w:rFonts w:ascii="Arial" w:hAnsi="Arial" w:cs="Arial"/>
          <w:color w:val="808080" w:themeColor="background1" w:themeShade="80"/>
          <w:sz w:val="22"/>
          <w:szCs w:val="22"/>
          <w:shd w:val="clear" w:color="auto" w:fill="FFFFFF"/>
        </w:rPr>
        <w:t xml:space="preserve"> appointing an expert</w:t>
      </w:r>
      <w:r w:rsidR="00812261">
        <w:rPr>
          <w:rFonts w:ascii="Arial" w:hAnsi="Arial" w:cs="Arial"/>
          <w:color w:val="808080" w:themeColor="background1" w:themeShade="80"/>
          <w:sz w:val="22"/>
          <w:szCs w:val="22"/>
          <w:shd w:val="clear" w:color="auto" w:fill="FFFFFF"/>
        </w:rPr>
        <w:t xml:space="preserve"> at the outset</w:t>
      </w:r>
      <w:r w:rsidR="00DB313C">
        <w:rPr>
          <w:rFonts w:ascii="Arial" w:hAnsi="Arial" w:cs="Arial"/>
          <w:color w:val="808080" w:themeColor="background1" w:themeShade="80"/>
          <w:sz w:val="22"/>
          <w:szCs w:val="22"/>
          <w:shd w:val="clear" w:color="auto" w:fill="FFFFFF"/>
        </w:rPr>
        <w:t xml:space="preserve"> to make an initial </w:t>
      </w:r>
      <w:r w:rsidR="00812261">
        <w:rPr>
          <w:rFonts w:ascii="Arial" w:hAnsi="Arial" w:cs="Arial"/>
          <w:color w:val="808080" w:themeColor="background1" w:themeShade="80"/>
          <w:sz w:val="22"/>
          <w:szCs w:val="22"/>
          <w:shd w:val="clear" w:color="auto" w:fill="FFFFFF"/>
        </w:rPr>
        <w:t xml:space="preserve">evaluation of the possibility of restructuring, </w:t>
      </w:r>
      <w:r w:rsidR="00E5447D">
        <w:rPr>
          <w:rFonts w:ascii="Arial" w:hAnsi="Arial" w:cs="Arial"/>
          <w:color w:val="808080" w:themeColor="background1" w:themeShade="80"/>
          <w:sz w:val="22"/>
          <w:szCs w:val="22"/>
          <w:shd w:val="clear" w:color="auto" w:fill="FFFFFF"/>
        </w:rPr>
        <w:t xml:space="preserve">deciding on the application for bankruptcy procedure based on such evaluation, </w:t>
      </w:r>
      <w:r w:rsidR="00E978D7">
        <w:rPr>
          <w:rFonts w:ascii="Arial" w:hAnsi="Arial" w:cs="Arial"/>
          <w:color w:val="808080" w:themeColor="background1" w:themeShade="80"/>
          <w:sz w:val="22"/>
          <w:szCs w:val="22"/>
          <w:shd w:val="clear" w:color="auto" w:fill="FFFFFF"/>
        </w:rPr>
        <w:t xml:space="preserve">appointing a </w:t>
      </w:r>
      <w:r w:rsidR="00E352DC">
        <w:rPr>
          <w:rFonts w:ascii="Arial" w:hAnsi="Arial" w:cs="Arial"/>
          <w:color w:val="808080" w:themeColor="background1" w:themeShade="80"/>
          <w:sz w:val="22"/>
          <w:szCs w:val="22"/>
          <w:shd w:val="clear" w:color="auto" w:fill="FFFFFF"/>
        </w:rPr>
        <w:t xml:space="preserve">qualified </w:t>
      </w:r>
      <w:r w:rsidR="00E978D7">
        <w:rPr>
          <w:rFonts w:ascii="Arial" w:hAnsi="Arial" w:cs="Arial"/>
          <w:color w:val="808080" w:themeColor="background1" w:themeShade="80"/>
          <w:sz w:val="22"/>
          <w:szCs w:val="22"/>
          <w:shd w:val="clear" w:color="auto" w:fill="FFFFFF"/>
        </w:rPr>
        <w:t xml:space="preserve">trustee to administer the procedure, </w:t>
      </w:r>
      <w:r w:rsidR="00154AF2">
        <w:rPr>
          <w:rFonts w:ascii="Arial" w:hAnsi="Arial" w:cs="Arial"/>
          <w:color w:val="808080" w:themeColor="background1" w:themeShade="80"/>
          <w:sz w:val="22"/>
          <w:szCs w:val="22"/>
          <w:shd w:val="clear" w:color="auto" w:fill="FFFFFF"/>
        </w:rPr>
        <w:t xml:space="preserve">deciding on whether to proceed with a restructuring based on the trustee’s initial report, </w:t>
      </w:r>
      <w:r w:rsidR="001E2455">
        <w:rPr>
          <w:rFonts w:ascii="Arial" w:hAnsi="Arial" w:cs="Arial"/>
          <w:color w:val="808080" w:themeColor="background1" w:themeShade="80"/>
          <w:sz w:val="22"/>
          <w:szCs w:val="22"/>
          <w:shd w:val="clear" w:color="auto" w:fill="FFFFFF"/>
        </w:rPr>
        <w:t xml:space="preserve">monitoring </w:t>
      </w:r>
      <w:r w:rsidR="00403D2B">
        <w:rPr>
          <w:rFonts w:ascii="Arial" w:hAnsi="Arial" w:cs="Arial"/>
          <w:color w:val="808080" w:themeColor="background1" w:themeShade="80"/>
          <w:sz w:val="22"/>
          <w:szCs w:val="22"/>
          <w:shd w:val="clear" w:color="auto" w:fill="FFFFFF"/>
        </w:rPr>
        <w:t>the preparation of the draft restructuring plan</w:t>
      </w:r>
      <w:r w:rsidR="00EB56B4">
        <w:rPr>
          <w:rFonts w:ascii="Arial" w:hAnsi="Arial" w:cs="Arial"/>
          <w:color w:val="808080" w:themeColor="background1" w:themeShade="80"/>
          <w:sz w:val="22"/>
          <w:szCs w:val="22"/>
          <w:shd w:val="clear" w:color="auto" w:fill="FFFFFF"/>
        </w:rPr>
        <w:t xml:space="preserve"> and its approval by creditors</w:t>
      </w:r>
      <w:r w:rsidR="00403D2B">
        <w:rPr>
          <w:rFonts w:ascii="Arial" w:hAnsi="Arial" w:cs="Arial"/>
          <w:color w:val="808080" w:themeColor="background1" w:themeShade="80"/>
          <w:sz w:val="22"/>
          <w:szCs w:val="22"/>
          <w:shd w:val="clear" w:color="auto" w:fill="FFFFFF"/>
        </w:rPr>
        <w:t xml:space="preserve">, </w:t>
      </w:r>
      <w:r w:rsidR="00EB56B4">
        <w:rPr>
          <w:rFonts w:ascii="Arial" w:hAnsi="Arial" w:cs="Arial"/>
          <w:color w:val="808080" w:themeColor="background1" w:themeShade="80"/>
          <w:sz w:val="22"/>
          <w:szCs w:val="22"/>
          <w:shd w:val="clear" w:color="auto" w:fill="FFFFFF"/>
        </w:rPr>
        <w:t xml:space="preserve">sanctioning the restructuring plan, </w:t>
      </w:r>
      <w:r w:rsidR="00915692">
        <w:rPr>
          <w:rFonts w:ascii="Arial" w:hAnsi="Arial" w:cs="Arial"/>
          <w:color w:val="808080" w:themeColor="background1" w:themeShade="80"/>
          <w:sz w:val="22"/>
          <w:szCs w:val="22"/>
          <w:shd w:val="clear" w:color="auto" w:fill="FFFFFF"/>
        </w:rPr>
        <w:t>and monitoring the implementation and completion of the plan.</w:t>
      </w:r>
    </w:p>
    <w:p w14:paraId="32B824B5" w14:textId="77777777" w:rsidR="00E352DC" w:rsidRDefault="00E352DC" w:rsidP="00812261">
      <w:pPr>
        <w:jc w:val="both"/>
        <w:rPr>
          <w:rFonts w:ascii="Arial" w:hAnsi="Arial" w:cs="Arial"/>
          <w:color w:val="808080" w:themeColor="background1" w:themeShade="80"/>
          <w:sz w:val="22"/>
          <w:szCs w:val="22"/>
          <w:shd w:val="clear" w:color="auto" w:fill="FFFFFF"/>
        </w:rPr>
      </w:pPr>
    </w:p>
    <w:p w14:paraId="603872A3" w14:textId="45724ECA" w:rsidR="001A45DB" w:rsidRDefault="001E07F5" w:rsidP="00C76745">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Such heavy involvement will give comfort to creditors </w:t>
      </w:r>
      <w:r w:rsidR="00DE4681">
        <w:rPr>
          <w:rFonts w:ascii="Arial" w:hAnsi="Arial" w:cs="Arial"/>
          <w:color w:val="808080" w:themeColor="background1" w:themeShade="80"/>
          <w:sz w:val="22"/>
          <w:szCs w:val="22"/>
          <w:shd w:val="clear" w:color="auto" w:fill="FFFFFF"/>
        </w:rPr>
        <w:t>that due process is followed and that the restructuring is administered by qualified and experienced individuals.</w:t>
      </w:r>
    </w:p>
    <w:p w14:paraId="7B3EEDEE" w14:textId="3FEFF3D6" w:rsidR="009F11C2" w:rsidRPr="00CA448F" w:rsidRDefault="009F11C2" w:rsidP="00C76745">
      <w:pPr>
        <w:jc w:val="both"/>
        <w:rPr>
          <w:rFonts w:ascii="Arial" w:hAnsi="Arial" w:cs="Arial"/>
          <w:color w:val="808080" w:themeColor="background1" w:themeShade="80"/>
          <w:sz w:val="22"/>
          <w:szCs w:val="22"/>
          <w:shd w:val="clear" w:color="auto" w:fill="FFFFFF"/>
        </w:rPr>
      </w:pPr>
    </w:p>
    <w:p w14:paraId="48469270" w14:textId="1F769F16" w:rsidR="009B0723"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C76745">
      <w:pPr>
        <w:jc w:val="both"/>
        <w:rPr>
          <w:rFonts w:ascii="Arial" w:hAnsi="Arial" w:cs="Arial"/>
          <w:sz w:val="22"/>
          <w:szCs w:val="22"/>
          <w:lang w:val="en-GB"/>
        </w:rPr>
      </w:pPr>
    </w:p>
    <w:p w14:paraId="78252754" w14:textId="2533A818" w:rsidR="00822751" w:rsidRPr="00CA448F" w:rsidRDefault="008138A2" w:rsidP="00C76745">
      <w:pPr>
        <w:jc w:val="both"/>
        <w:rPr>
          <w:rFonts w:ascii="Arial" w:hAnsi="Arial" w:cs="Arial"/>
          <w:sz w:val="22"/>
          <w:szCs w:val="22"/>
          <w:lang w:val="en-GB"/>
        </w:rPr>
      </w:pPr>
      <w:bookmarkStart w:id="0" w:name="_Hlk17745211"/>
      <w:r>
        <w:rPr>
          <w:rFonts w:ascii="Arial" w:hAnsi="Arial" w:cs="Arial"/>
          <w:sz w:val="22"/>
          <w:szCs w:val="22"/>
          <w:lang w:val="en-GB"/>
        </w:rPr>
        <w:t xml:space="preserve">BNE </w:t>
      </w:r>
      <w:r w:rsidR="003C0156" w:rsidRPr="00CA448F">
        <w:rPr>
          <w:rFonts w:ascii="Arial" w:hAnsi="Arial" w:cs="Arial"/>
          <w:sz w:val="22"/>
          <w:szCs w:val="22"/>
          <w:lang w:val="en-GB"/>
        </w:rPr>
        <w:t xml:space="preserve">LLC operates a restaurant chain in various locations in Dubai. It was a thriving and successful business but had to cease operations temporarily due to the effects of COVID-19. It has exhausted all available funds and has no cash to pay creditors. </w:t>
      </w:r>
      <w:r>
        <w:rPr>
          <w:rFonts w:ascii="Arial" w:hAnsi="Arial" w:cs="Arial"/>
          <w:sz w:val="22"/>
          <w:szCs w:val="22"/>
          <w:lang w:val="en-GB"/>
        </w:rPr>
        <w:t xml:space="preserve">BNE </w:t>
      </w:r>
      <w:r w:rsidR="003C0156" w:rsidRPr="00CA448F">
        <w:rPr>
          <w:rFonts w:ascii="Arial" w:hAnsi="Arial" w:cs="Arial"/>
          <w:sz w:val="22"/>
          <w:szCs w:val="22"/>
          <w:lang w:val="en-GB"/>
        </w:rPr>
        <w:t>LLC owns a restaurant site which is under development, but the development is not expected to be completed for seve</w:t>
      </w:r>
      <w:r>
        <w:rPr>
          <w:rFonts w:ascii="Arial" w:hAnsi="Arial" w:cs="Arial"/>
          <w:sz w:val="22"/>
          <w:szCs w:val="22"/>
          <w:lang w:val="en-GB"/>
        </w:rPr>
        <w:t>ral</w:t>
      </w:r>
      <w:r w:rsidR="003C0156" w:rsidRPr="00CA448F">
        <w:rPr>
          <w:rFonts w:ascii="Arial" w:hAnsi="Arial" w:cs="Arial"/>
          <w:sz w:val="22"/>
          <w:szCs w:val="22"/>
          <w:lang w:val="en-GB"/>
        </w:rPr>
        <w:t xml:space="preserve"> months. The site had been purchased by one of </w:t>
      </w:r>
      <w:r w:rsidR="00653841">
        <w:rPr>
          <w:rFonts w:ascii="Arial" w:hAnsi="Arial" w:cs="Arial"/>
          <w:sz w:val="22"/>
          <w:szCs w:val="22"/>
          <w:lang w:val="en-GB"/>
        </w:rPr>
        <w:t>BNE</w:t>
      </w:r>
      <w:r w:rsidR="003C0156" w:rsidRPr="00CA448F">
        <w:rPr>
          <w:rFonts w:ascii="Arial" w:hAnsi="Arial" w:cs="Arial"/>
          <w:sz w:val="22"/>
          <w:szCs w:val="22"/>
          <w:lang w:val="en-GB"/>
        </w:rPr>
        <w:t xml:space="preserve"> LLC’s shareholders and was transferred to </w:t>
      </w:r>
      <w:r w:rsidR="00653841">
        <w:rPr>
          <w:rFonts w:ascii="Arial" w:hAnsi="Arial" w:cs="Arial"/>
          <w:sz w:val="22"/>
          <w:szCs w:val="22"/>
          <w:lang w:val="en-GB"/>
        </w:rPr>
        <w:t>BNE</w:t>
      </w:r>
      <w:r w:rsidR="003C0156" w:rsidRPr="00CA448F">
        <w:rPr>
          <w:rFonts w:ascii="Arial" w:hAnsi="Arial" w:cs="Arial"/>
          <w:sz w:val="22"/>
          <w:szCs w:val="22"/>
          <w:lang w:val="en-GB"/>
        </w:rPr>
        <w:t xml:space="preserve"> LLC on the basis that payment for the site would be made by </w:t>
      </w:r>
      <w:r w:rsidR="00653841">
        <w:rPr>
          <w:rFonts w:ascii="Arial" w:hAnsi="Arial" w:cs="Arial"/>
          <w:sz w:val="22"/>
          <w:szCs w:val="22"/>
          <w:lang w:val="en-GB"/>
        </w:rPr>
        <w:t>BNC</w:t>
      </w:r>
      <w:r w:rsidR="003C0156" w:rsidRPr="00CA448F">
        <w:rPr>
          <w:rFonts w:ascii="Arial" w:hAnsi="Arial" w:cs="Arial"/>
          <w:sz w:val="22"/>
          <w:szCs w:val="22"/>
          <w:lang w:val="en-GB"/>
        </w:rPr>
        <w:t xml:space="preserve"> LLC to the shareholder in full in 202</w:t>
      </w:r>
      <w:r w:rsidR="00653841">
        <w:rPr>
          <w:rFonts w:ascii="Arial" w:hAnsi="Arial" w:cs="Arial"/>
          <w:sz w:val="22"/>
          <w:szCs w:val="22"/>
          <w:lang w:val="en-GB"/>
        </w:rPr>
        <w:t>5</w:t>
      </w:r>
      <w:r w:rsidR="003C0156"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C76745">
      <w:pPr>
        <w:jc w:val="both"/>
        <w:rPr>
          <w:rFonts w:ascii="Arial" w:hAnsi="Arial" w:cs="Arial"/>
          <w:sz w:val="22"/>
          <w:szCs w:val="22"/>
          <w:lang w:val="en-GB"/>
        </w:rPr>
      </w:pPr>
    </w:p>
    <w:p w14:paraId="0CCF6A97" w14:textId="16884C3F" w:rsidR="004300F1" w:rsidRPr="00CA448F" w:rsidRDefault="004300F1" w:rsidP="00C76745">
      <w:pPr>
        <w:jc w:val="both"/>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C76745">
      <w:pPr>
        <w:jc w:val="both"/>
        <w:rPr>
          <w:rFonts w:ascii="Arial" w:hAnsi="Arial" w:cs="Arial"/>
          <w:sz w:val="22"/>
          <w:szCs w:val="22"/>
          <w:lang w:val="en-GB"/>
        </w:rPr>
      </w:pPr>
    </w:p>
    <w:p w14:paraId="031F23F4" w14:textId="05838BD6"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C76745">
      <w:pPr>
        <w:jc w:val="both"/>
        <w:rPr>
          <w:rFonts w:ascii="Arial" w:hAnsi="Arial" w:cs="Arial"/>
          <w:b/>
          <w:sz w:val="22"/>
          <w:szCs w:val="22"/>
          <w:lang w:val="en-GB"/>
        </w:rPr>
      </w:pPr>
    </w:p>
    <w:p w14:paraId="10D2931E" w14:textId="518224AC"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time-frames.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C76745">
      <w:pPr>
        <w:jc w:val="both"/>
        <w:rPr>
          <w:rFonts w:ascii="Arial" w:hAnsi="Arial" w:cs="Arial"/>
          <w:sz w:val="22"/>
          <w:szCs w:val="22"/>
          <w:lang w:val="en-GB"/>
        </w:rPr>
      </w:pPr>
    </w:p>
    <w:p w14:paraId="580459A3" w14:textId="60D807CE"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C76745">
      <w:pPr>
        <w:jc w:val="both"/>
        <w:rPr>
          <w:rFonts w:ascii="Arial" w:hAnsi="Arial" w:cs="Arial"/>
          <w:sz w:val="22"/>
          <w:szCs w:val="22"/>
          <w:lang w:val="en-GB"/>
        </w:rPr>
      </w:pPr>
    </w:p>
    <w:p w14:paraId="5D931986" w14:textId="083820A3" w:rsidR="00BD1061" w:rsidRDefault="00F66378" w:rsidP="007E229B">
      <w:pPr>
        <w:keepNext/>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The 10 specific steps </w:t>
      </w:r>
      <w:r w:rsidR="0018197A">
        <w:rPr>
          <w:rFonts w:ascii="Arial" w:hAnsi="Arial" w:cs="Arial"/>
          <w:color w:val="808080" w:themeColor="background1" w:themeShade="80"/>
          <w:sz w:val="22"/>
          <w:szCs w:val="22"/>
          <w:lang w:val="en-GB"/>
        </w:rPr>
        <w:t xml:space="preserve">that would be used by BNE LLC </w:t>
      </w:r>
      <w:r>
        <w:rPr>
          <w:rFonts w:ascii="Arial" w:hAnsi="Arial" w:cs="Arial"/>
          <w:color w:val="808080" w:themeColor="background1" w:themeShade="80"/>
          <w:sz w:val="22"/>
          <w:szCs w:val="22"/>
          <w:lang w:val="en-GB"/>
        </w:rPr>
        <w:t>to implement a Preventive Composition are as follows:</w:t>
      </w:r>
    </w:p>
    <w:p w14:paraId="1E7CEB9C" w14:textId="77777777" w:rsidR="00F66378" w:rsidRDefault="00F66378" w:rsidP="007E229B">
      <w:pPr>
        <w:keepNext/>
        <w:jc w:val="both"/>
        <w:rPr>
          <w:rFonts w:ascii="Arial" w:hAnsi="Arial" w:cs="Arial"/>
          <w:color w:val="808080" w:themeColor="background1" w:themeShade="80"/>
          <w:sz w:val="22"/>
          <w:szCs w:val="22"/>
          <w:lang w:val="en-GB"/>
        </w:rPr>
      </w:pPr>
    </w:p>
    <w:p w14:paraId="539EE91C" w14:textId="3849517A" w:rsidR="00F66378" w:rsidRDefault="0018197A" w:rsidP="00327829">
      <w:pPr>
        <w:pStyle w:val="ListParagraph"/>
        <w:keepNext/>
        <w:numPr>
          <w:ilvl w:val="0"/>
          <w:numId w:val="2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BNE LLC </w:t>
      </w:r>
      <w:r w:rsidR="009B4785">
        <w:rPr>
          <w:rFonts w:ascii="Arial" w:hAnsi="Arial" w:cs="Arial"/>
          <w:color w:val="808080" w:themeColor="background1" w:themeShade="80"/>
          <w:sz w:val="22"/>
          <w:szCs w:val="22"/>
          <w:lang w:val="en-GB"/>
        </w:rPr>
        <w:t>would apply to the court to commence the Protective Composition Procedure.</w:t>
      </w:r>
      <w:r w:rsidR="004B2AB2">
        <w:rPr>
          <w:rStyle w:val="FootnoteReference"/>
          <w:rFonts w:ascii="Arial" w:hAnsi="Arial" w:cs="Arial"/>
          <w:color w:val="808080" w:themeColor="background1" w:themeShade="80"/>
          <w:sz w:val="22"/>
          <w:szCs w:val="22"/>
          <w:lang w:val="en-GB"/>
        </w:rPr>
        <w:footnoteReference w:id="26"/>
      </w:r>
    </w:p>
    <w:p w14:paraId="657B12A8" w14:textId="2B7E93B7" w:rsidR="00392AD3" w:rsidRDefault="00D673A5" w:rsidP="00327829">
      <w:pPr>
        <w:pStyle w:val="ListParagraph"/>
        <w:keepNext/>
        <w:numPr>
          <w:ilvl w:val="0"/>
          <w:numId w:val="2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 the purposes of this question, it is implied that t</w:t>
      </w:r>
      <w:r w:rsidR="00BE1101">
        <w:rPr>
          <w:rFonts w:ascii="Arial" w:hAnsi="Arial" w:cs="Arial"/>
          <w:color w:val="808080" w:themeColor="background1" w:themeShade="80"/>
          <w:sz w:val="22"/>
          <w:szCs w:val="22"/>
          <w:lang w:val="en-GB"/>
        </w:rPr>
        <w:t xml:space="preserve">he Court </w:t>
      </w:r>
      <w:r>
        <w:rPr>
          <w:rFonts w:ascii="Arial" w:hAnsi="Arial" w:cs="Arial"/>
          <w:color w:val="808080" w:themeColor="background1" w:themeShade="80"/>
          <w:sz w:val="22"/>
          <w:szCs w:val="22"/>
          <w:lang w:val="en-GB"/>
        </w:rPr>
        <w:t>will</w:t>
      </w:r>
      <w:r w:rsidR="00BE1101">
        <w:rPr>
          <w:rFonts w:ascii="Arial" w:hAnsi="Arial" w:cs="Arial"/>
          <w:color w:val="808080" w:themeColor="background1" w:themeShade="80"/>
          <w:sz w:val="22"/>
          <w:szCs w:val="22"/>
          <w:lang w:val="en-GB"/>
        </w:rPr>
        <w:t xml:space="preserve"> appoint an expert to prepare a report on the financial position of BNE LLC</w:t>
      </w:r>
      <w:r w:rsidR="00052093">
        <w:rPr>
          <w:rFonts w:ascii="Arial" w:hAnsi="Arial" w:cs="Arial"/>
          <w:color w:val="808080" w:themeColor="background1" w:themeShade="80"/>
          <w:sz w:val="22"/>
          <w:szCs w:val="22"/>
          <w:lang w:val="en-GB"/>
        </w:rPr>
        <w:t>, including an assessment as to whether the conditions to accept the application are met</w:t>
      </w:r>
      <w:r w:rsidR="00CD187E">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which is </w:t>
      </w:r>
      <w:r w:rsidR="005C0524">
        <w:rPr>
          <w:rFonts w:ascii="Arial" w:hAnsi="Arial" w:cs="Arial"/>
          <w:color w:val="808080" w:themeColor="background1" w:themeShade="80"/>
          <w:sz w:val="22"/>
          <w:szCs w:val="22"/>
          <w:lang w:val="en-GB"/>
        </w:rPr>
        <w:t xml:space="preserve">to be submitted no later than 20 business days from the date </w:t>
      </w:r>
      <w:r w:rsidR="00AC1F74">
        <w:rPr>
          <w:rFonts w:ascii="Arial" w:hAnsi="Arial" w:cs="Arial"/>
          <w:color w:val="808080" w:themeColor="background1" w:themeShade="80"/>
          <w:sz w:val="22"/>
          <w:szCs w:val="22"/>
          <w:lang w:val="en-GB"/>
        </w:rPr>
        <w:t>of appointment.</w:t>
      </w:r>
      <w:r w:rsidR="00AC1F74">
        <w:rPr>
          <w:rStyle w:val="FootnoteReference"/>
          <w:rFonts w:ascii="Arial" w:hAnsi="Arial" w:cs="Arial"/>
          <w:color w:val="808080" w:themeColor="background1" w:themeShade="80"/>
          <w:sz w:val="22"/>
          <w:szCs w:val="22"/>
          <w:lang w:val="en-GB"/>
        </w:rPr>
        <w:footnoteReference w:id="27"/>
      </w:r>
    </w:p>
    <w:p w14:paraId="031B9E9F" w14:textId="13A28B8D" w:rsidR="00052093" w:rsidRDefault="00CD187E" w:rsidP="00327829">
      <w:pPr>
        <w:pStyle w:val="ListParagraph"/>
        <w:keepNext/>
        <w:numPr>
          <w:ilvl w:val="0"/>
          <w:numId w:val="2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w:t>
      </w:r>
      <w:r w:rsidR="00FD0FED">
        <w:rPr>
          <w:rFonts w:ascii="Arial" w:hAnsi="Arial" w:cs="Arial"/>
          <w:color w:val="808080" w:themeColor="background1" w:themeShade="80"/>
          <w:sz w:val="22"/>
          <w:szCs w:val="22"/>
          <w:lang w:val="en-GB"/>
        </w:rPr>
        <w:t xml:space="preserve">ourt shall decide on the application within a period not exceeding 5 business days </w:t>
      </w:r>
      <w:r w:rsidR="00EA25F5">
        <w:rPr>
          <w:rFonts w:ascii="Arial" w:hAnsi="Arial" w:cs="Arial"/>
          <w:color w:val="808080" w:themeColor="background1" w:themeShade="80"/>
          <w:sz w:val="22"/>
          <w:szCs w:val="22"/>
          <w:lang w:val="en-GB"/>
        </w:rPr>
        <w:t>from the date on which the expert submits the report.</w:t>
      </w:r>
      <w:r w:rsidR="00EA25F5">
        <w:rPr>
          <w:rStyle w:val="FootnoteReference"/>
          <w:rFonts w:ascii="Arial" w:hAnsi="Arial" w:cs="Arial"/>
          <w:color w:val="808080" w:themeColor="background1" w:themeShade="80"/>
          <w:sz w:val="22"/>
          <w:szCs w:val="22"/>
          <w:lang w:val="en-GB"/>
        </w:rPr>
        <w:footnoteReference w:id="28"/>
      </w:r>
      <w:r w:rsidR="00603B47">
        <w:rPr>
          <w:rFonts w:ascii="Arial" w:hAnsi="Arial" w:cs="Arial"/>
          <w:color w:val="808080" w:themeColor="background1" w:themeShade="80"/>
          <w:sz w:val="22"/>
          <w:szCs w:val="22"/>
          <w:lang w:val="en-GB"/>
        </w:rPr>
        <w:t xml:space="preserve">  </w:t>
      </w:r>
      <w:r w:rsidR="00E75BA4">
        <w:rPr>
          <w:rFonts w:ascii="Arial" w:hAnsi="Arial" w:cs="Arial"/>
          <w:color w:val="808080" w:themeColor="background1" w:themeShade="80"/>
          <w:sz w:val="22"/>
          <w:szCs w:val="22"/>
          <w:lang w:val="en-GB"/>
        </w:rPr>
        <w:t xml:space="preserve">For the purposes of this question, it is implied that the Court </w:t>
      </w:r>
      <w:r w:rsidR="008C108F">
        <w:rPr>
          <w:rFonts w:ascii="Arial" w:hAnsi="Arial" w:cs="Arial"/>
          <w:color w:val="808080" w:themeColor="background1" w:themeShade="80"/>
          <w:sz w:val="22"/>
          <w:szCs w:val="22"/>
          <w:lang w:val="en-GB"/>
        </w:rPr>
        <w:t>will approve</w:t>
      </w:r>
      <w:r w:rsidR="00E75BA4">
        <w:rPr>
          <w:rFonts w:ascii="Arial" w:hAnsi="Arial" w:cs="Arial"/>
          <w:color w:val="808080" w:themeColor="background1" w:themeShade="80"/>
          <w:sz w:val="22"/>
          <w:szCs w:val="22"/>
          <w:lang w:val="en-GB"/>
        </w:rPr>
        <w:t xml:space="preserve"> the application</w:t>
      </w:r>
      <w:r w:rsidR="008C108F">
        <w:rPr>
          <w:rFonts w:ascii="Arial" w:hAnsi="Arial" w:cs="Arial"/>
          <w:color w:val="808080" w:themeColor="background1" w:themeShade="80"/>
          <w:sz w:val="22"/>
          <w:szCs w:val="22"/>
          <w:lang w:val="en-GB"/>
        </w:rPr>
        <w:t xml:space="preserve"> and order the commencement of the Protective Composition Procedure.</w:t>
      </w:r>
    </w:p>
    <w:p w14:paraId="0CD4D353" w14:textId="2E097698" w:rsidR="007A11C2" w:rsidRPr="00F47FAD" w:rsidRDefault="00070ACF" w:rsidP="00327829">
      <w:pPr>
        <w:pStyle w:val="ListParagraph"/>
        <w:keepNext/>
        <w:numPr>
          <w:ilvl w:val="0"/>
          <w:numId w:val="24"/>
        </w:numPr>
        <w:jc w:val="both"/>
        <w:rPr>
          <w:rFonts w:ascii="Arial" w:hAnsi="Arial" w:cs="Arial"/>
          <w:color w:val="808080" w:themeColor="background1" w:themeShade="80"/>
          <w:sz w:val="22"/>
          <w:szCs w:val="22"/>
          <w:lang w:val="en-GB"/>
        </w:rPr>
      </w:pPr>
      <w:r w:rsidRPr="00F47FAD">
        <w:rPr>
          <w:rFonts w:ascii="Arial" w:hAnsi="Arial" w:cs="Arial"/>
          <w:color w:val="808080" w:themeColor="background1" w:themeShade="80"/>
          <w:sz w:val="22"/>
          <w:szCs w:val="22"/>
          <w:lang w:val="en-GB"/>
        </w:rPr>
        <w:t xml:space="preserve">Upon acceptance of the application, the Court will appoint a trustee </w:t>
      </w:r>
      <w:r w:rsidR="001341EF" w:rsidRPr="00F47FAD">
        <w:rPr>
          <w:rFonts w:ascii="Arial" w:hAnsi="Arial" w:cs="Arial"/>
          <w:color w:val="808080" w:themeColor="background1" w:themeShade="80"/>
          <w:sz w:val="22"/>
          <w:szCs w:val="22"/>
          <w:lang w:val="en-GB"/>
        </w:rPr>
        <w:t>and shall notify the trustee of the appointment by no later than 1 business day after the issuance of the order.</w:t>
      </w:r>
      <w:r w:rsidR="00673E1C">
        <w:rPr>
          <w:rStyle w:val="FootnoteReference"/>
          <w:rFonts w:ascii="Arial" w:hAnsi="Arial" w:cs="Arial"/>
          <w:color w:val="808080" w:themeColor="background1" w:themeShade="80"/>
          <w:sz w:val="22"/>
          <w:szCs w:val="22"/>
          <w:lang w:val="en-GB"/>
        </w:rPr>
        <w:footnoteReference w:id="29"/>
      </w:r>
      <w:r w:rsidR="00F47FAD">
        <w:rPr>
          <w:rFonts w:ascii="Arial" w:hAnsi="Arial" w:cs="Arial"/>
          <w:color w:val="808080" w:themeColor="background1" w:themeShade="80"/>
          <w:sz w:val="22"/>
          <w:szCs w:val="22"/>
          <w:lang w:val="en-GB"/>
        </w:rPr>
        <w:t xml:space="preserve">  </w:t>
      </w:r>
      <w:r w:rsidR="007A11C2" w:rsidRPr="00F47FAD">
        <w:rPr>
          <w:rFonts w:ascii="Arial" w:hAnsi="Arial" w:cs="Arial"/>
          <w:color w:val="808080" w:themeColor="background1" w:themeShade="80"/>
          <w:sz w:val="22"/>
          <w:szCs w:val="22"/>
          <w:lang w:val="en-GB"/>
        </w:rPr>
        <w:t>Wit</w:t>
      </w:r>
      <w:r w:rsidR="00516415" w:rsidRPr="00F47FAD">
        <w:rPr>
          <w:rFonts w:ascii="Arial" w:hAnsi="Arial" w:cs="Arial"/>
          <w:color w:val="808080" w:themeColor="background1" w:themeShade="80"/>
          <w:sz w:val="22"/>
          <w:szCs w:val="22"/>
          <w:lang w:val="en-GB"/>
        </w:rPr>
        <w:t xml:space="preserve">hin 5 business days of the date of receiving a notice of appointment, the trustee shall </w:t>
      </w:r>
      <w:r w:rsidR="00B94D49" w:rsidRPr="00F47FAD">
        <w:rPr>
          <w:rFonts w:ascii="Arial" w:hAnsi="Arial" w:cs="Arial"/>
          <w:color w:val="808080" w:themeColor="background1" w:themeShade="80"/>
          <w:sz w:val="22"/>
          <w:szCs w:val="22"/>
          <w:lang w:val="en-GB"/>
        </w:rPr>
        <w:t xml:space="preserve">publish notice of decision to commence the Protective Composition Procedure </w:t>
      </w:r>
      <w:r w:rsidR="00591E26" w:rsidRPr="00F47FAD">
        <w:rPr>
          <w:rFonts w:ascii="Arial" w:hAnsi="Arial" w:cs="Arial"/>
          <w:color w:val="808080" w:themeColor="background1" w:themeShade="80"/>
          <w:sz w:val="22"/>
          <w:szCs w:val="22"/>
          <w:lang w:val="en-GB"/>
        </w:rPr>
        <w:t>and invite any creditors to submit their claims no later than 20 business days from the date of publication.</w:t>
      </w:r>
      <w:r w:rsidR="00591E26">
        <w:rPr>
          <w:rStyle w:val="FootnoteReference"/>
          <w:rFonts w:ascii="Arial" w:hAnsi="Arial" w:cs="Arial"/>
          <w:color w:val="808080" w:themeColor="background1" w:themeShade="80"/>
          <w:sz w:val="22"/>
          <w:szCs w:val="22"/>
          <w:lang w:val="en-GB"/>
        </w:rPr>
        <w:footnoteReference w:id="30"/>
      </w:r>
    </w:p>
    <w:p w14:paraId="40668384" w14:textId="2BBAA835" w:rsidR="00351E2E" w:rsidRDefault="00ED2402" w:rsidP="00327829">
      <w:pPr>
        <w:pStyle w:val="ListParagraph"/>
        <w:keepNext/>
        <w:numPr>
          <w:ilvl w:val="0"/>
          <w:numId w:val="2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After the 20 business days, the trustee shall prepare a list of the creditors who have submitted </w:t>
      </w:r>
      <w:r w:rsidR="00615946">
        <w:rPr>
          <w:rFonts w:ascii="Arial" w:hAnsi="Arial" w:cs="Arial"/>
          <w:color w:val="808080" w:themeColor="background1" w:themeShade="80"/>
          <w:sz w:val="22"/>
          <w:szCs w:val="22"/>
          <w:lang w:val="en-GB"/>
        </w:rPr>
        <w:t xml:space="preserve">claims </w:t>
      </w:r>
      <w:r w:rsidR="00050EA8">
        <w:rPr>
          <w:rFonts w:ascii="Arial" w:hAnsi="Arial" w:cs="Arial"/>
          <w:color w:val="808080" w:themeColor="background1" w:themeShade="80"/>
          <w:sz w:val="22"/>
          <w:szCs w:val="22"/>
          <w:lang w:val="en-GB"/>
        </w:rPr>
        <w:t>including</w:t>
      </w:r>
      <w:r w:rsidR="00615946">
        <w:rPr>
          <w:rFonts w:ascii="Arial" w:hAnsi="Arial" w:cs="Arial"/>
          <w:color w:val="808080" w:themeColor="background1" w:themeShade="80"/>
          <w:sz w:val="22"/>
          <w:szCs w:val="22"/>
          <w:lang w:val="en-GB"/>
        </w:rPr>
        <w:t xml:space="preserve"> the initial outcome of their adjudication of claims</w:t>
      </w:r>
      <w:r w:rsidR="000A37A2">
        <w:rPr>
          <w:rFonts w:ascii="Arial" w:hAnsi="Arial" w:cs="Arial"/>
          <w:color w:val="808080" w:themeColor="background1" w:themeShade="80"/>
          <w:sz w:val="22"/>
          <w:szCs w:val="22"/>
          <w:lang w:val="en-GB"/>
        </w:rPr>
        <w:t xml:space="preserve"> and deposit the list with the Court within 10 business days.</w:t>
      </w:r>
      <w:r w:rsidR="000A37A2">
        <w:rPr>
          <w:rStyle w:val="FootnoteReference"/>
          <w:rFonts w:ascii="Arial" w:hAnsi="Arial" w:cs="Arial"/>
          <w:color w:val="808080" w:themeColor="background1" w:themeShade="80"/>
          <w:sz w:val="22"/>
          <w:szCs w:val="22"/>
          <w:lang w:val="en-GB"/>
        </w:rPr>
        <w:footnoteReference w:id="31"/>
      </w:r>
    </w:p>
    <w:p w14:paraId="1FC2B2ED" w14:textId="4692F49E" w:rsidR="00921DB8" w:rsidRDefault="00E85C66" w:rsidP="00327829">
      <w:pPr>
        <w:pStyle w:val="ListParagraph"/>
        <w:keepNext/>
        <w:numPr>
          <w:ilvl w:val="0"/>
          <w:numId w:val="2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Protective Composition Plan must be submitted to the Court within 45 business days from the date of publication of the commencement order.</w:t>
      </w:r>
      <w:r w:rsidR="00A66D9C">
        <w:rPr>
          <w:rStyle w:val="FootnoteReference"/>
          <w:rFonts w:ascii="Arial" w:hAnsi="Arial" w:cs="Arial"/>
          <w:color w:val="808080" w:themeColor="background1" w:themeShade="80"/>
          <w:sz w:val="22"/>
          <w:szCs w:val="22"/>
          <w:lang w:val="en-GB"/>
        </w:rPr>
        <w:footnoteReference w:id="32"/>
      </w:r>
    </w:p>
    <w:p w14:paraId="59055097" w14:textId="517D4DB0" w:rsidR="00E0400D" w:rsidRDefault="00E0400D" w:rsidP="00327829">
      <w:pPr>
        <w:pStyle w:val="ListParagraph"/>
        <w:keepNext/>
        <w:numPr>
          <w:ilvl w:val="0"/>
          <w:numId w:val="2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002D2F74">
        <w:rPr>
          <w:rFonts w:ascii="Arial" w:hAnsi="Arial" w:cs="Arial"/>
          <w:color w:val="808080" w:themeColor="background1" w:themeShade="80"/>
          <w:sz w:val="22"/>
          <w:szCs w:val="22"/>
          <w:lang w:val="en-GB"/>
        </w:rPr>
        <w:t>Court shall, within 10 business days from the date of submission of the draft Protective Composition Plan</w:t>
      </w:r>
      <w:r w:rsidR="00690B5C">
        <w:rPr>
          <w:rFonts w:ascii="Arial" w:hAnsi="Arial" w:cs="Arial"/>
          <w:color w:val="808080" w:themeColor="background1" w:themeShade="80"/>
          <w:sz w:val="22"/>
          <w:szCs w:val="22"/>
          <w:lang w:val="en-GB"/>
        </w:rPr>
        <w:t>, review it to ensure that it takes into consideration the interest of all parties.</w:t>
      </w:r>
      <w:r w:rsidR="00C64054">
        <w:rPr>
          <w:rFonts w:ascii="Arial" w:hAnsi="Arial" w:cs="Arial"/>
          <w:color w:val="808080" w:themeColor="background1" w:themeShade="80"/>
          <w:sz w:val="22"/>
          <w:szCs w:val="22"/>
          <w:lang w:val="en-GB"/>
        </w:rPr>
        <w:t xml:space="preserve">  For the purposes of this </w:t>
      </w:r>
      <w:r w:rsidR="004836F4">
        <w:rPr>
          <w:rFonts w:ascii="Arial" w:hAnsi="Arial" w:cs="Arial"/>
          <w:color w:val="808080" w:themeColor="background1" w:themeShade="80"/>
          <w:sz w:val="22"/>
          <w:szCs w:val="22"/>
          <w:lang w:val="en-GB"/>
        </w:rPr>
        <w:t xml:space="preserve">question, it is implied that the Court will find the draft plan satisfactory after which it shall instruct the trustee to invite the creditors to a meeting to discuss and vote on the </w:t>
      </w:r>
      <w:r w:rsidR="00AD279B">
        <w:rPr>
          <w:rFonts w:ascii="Arial" w:hAnsi="Arial" w:cs="Arial"/>
          <w:color w:val="808080" w:themeColor="background1" w:themeShade="80"/>
          <w:sz w:val="22"/>
          <w:szCs w:val="22"/>
          <w:lang w:val="en-GB"/>
        </w:rPr>
        <w:t>draft within 5 business days.</w:t>
      </w:r>
      <w:r w:rsidR="00AD279B">
        <w:rPr>
          <w:rStyle w:val="FootnoteReference"/>
          <w:rFonts w:ascii="Arial" w:hAnsi="Arial" w:cs="Arial"/>
          <w:color w:val="808080" w:themeColor="background1" w:themeShade="80"/>
          <w:sz w:val="22"/>
          <w:szCs w:val="22"/>
          <w:lang w:val="en-GB"/>
        </w:rPr>
        <w:footnoteReference w:id="33"/>
      </w:r>
    </w:p>
    <w:p w14:paraId="41F0EE5B" w14:textId="6F28B608" w:rsidR="00BC2DE1" w:rsidRDefault="00AF09F6" w:rsidP="00327829">
      <w:pPr>
        <w:pStyle w:val="ListParagraph"/>
        <w:keepNext/>
        <w:numPr>
          <w:ilvl w:val="0"/>
          <w:numId w:val="2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meeting shall be held within 15 business days from the date of publication </w:t>
      </w:r>
      <w:r w:rsidR="00C123DD">
        <w:rPr>
          <w:rFonts w:ascii="Arial" w:hAnsi="Arial" w:cs="Arial"/>
          <w:color w:val="808080" w:themeColor="background1" w:themeShade="80"/>
          <w:sz w:val="22"/>
          <w:szCs w:val="22"/>
          <w:lang w:val="en-GB"/>
        </w:rPr>
        <w:t>of the invitation.</w:t>
      </w:r>
      <w:r w:rsidR="00C123DD">
        <w:rPr>
          <w:rStyle w:val="FootnoteReference"/>
          <w:rFonts w:ascii="Arial" w:hAnsi="Arial" w:cs="Arial"/>
          <w:color w:val="808080" w:themeColor="background1" w:themeShade="80"/>
          <w:sz w:val="22"/>
          <w:szCs w:val="22"/>
          <w:lang w:val="en-GB"/>
        </w:rPr>
        <w:footnoteReference w:id="34"/>
      </w:r>
    </w:p>
    <w:p w14:paraId="5782E7AF" w14:textId="1F4DE0F4" w:rsidR="00C123DD" w:rsidRDefault="00C70CC3" w:rsidP="00327829">
      <w:pPr>
        <w:pStyle w:val="ListParagraph"/>
        <w:keepNext/>
        <w:numPr>
          <w:ilvl w:val="0"/>
          <w:numId w:val="2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draft Protective Composition Plan shall be approved by the majority vote of the creditors</w:t>
      </w:r>
      <w:r w:rsidR="00BB37D3">
        <w:rPr>
          <w:rFonts w:ascii="Arial" w:hAnsi="Arial" w:cs="Arial"/>
          <w:color w:val="808080" w:themeColor="background1" w:themeShade="80"/>
          <w:sz w:val="22"/>
          <w:szCs w:val="22"/>
          <w:lang w:val="en-GB"/>
        </w:rPr>
        <w:t xml:space="preserve"> provided that such majority holds in the aggregate at least two thirds of the accepted value of the total ordinary debts.</w:t>
      </w:r>
      <w:r w:rsidR="00652342">
        <w:rPr>
          <w:rStyle w:val="FootnoteReference"/>
          <w:rFonts w:ascii="Arial" w:hAnsi="Arial" w:cs="Arial"/>
          <w:color w:val="808080" w:themeColor="background1" w:themeShade="80"/>
          <w:sz w:val="22"/>
          <w:szCs w:val="22"/>
          <w:lang w:val="en-GB"/>
        </w:rPr>
        <w:footnoteReference w:id="35"/>
      </w:r>
      <w:r w:rsidR="00967BE2">
        <w:rPr>
          <w:rFonts w:ascii="Arial" w:hAnsi="Arial" w:cs="Arial"/>
          <w:color w:val="808080" w:themeColor="background1" w:themeShade="80"/>
          <w:sz w:val="22"/>
          <w:szCs w:val="22"/>
          <w:lang w:val="en-GB"/>
        </w:rPr>
        <w:t xml:space="preserve">  The trustee shall, within 3 business days from the date of approval, present the draft plan to the Court for an order approving or rejecting the plan.</w:t>
      </w:r>
      <w:r w:rsidR="00967BE2">
        <w:rPr>
          <w:rStyle w:val="FootnoteReference"/>
          <w:rFonts w:ascii="Arial" w:hAnsi="Arial" w:cs="Arial"/>
          <w:color w:val="808080" w:themeColor="background1" w:themeShade="80"/>
          <w:sz w:val="22"/>
          <w:szCs w:val="22"/>
          <w:lang w:val="en-GB"/>
        </w:rPr>
        <w:footnoteReference w:id="36"/>
      </w:r>
    </w:p>
    <w:p w14:paraId="7BA90ED4" w14:textId="54434B90" w:rsidR="00967BE2" w:rsidRDefault="005115E0" w:rsidP="00327829">
      <w:pPr>
        <w:pStyle w:val="ListParagraph"/>
        <w:numPr>
          <w:ilvl w:val="0"/>
          <w:numId w:val="2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Within 7 business days from the date of the Court’s approval of the Pr</w:t>
      </w:r>
      <w:r w:rsidR="00D808B5">
        <w:rPr>
          <w:rFonts w:ascii="Arial" w:hAnsi="Arial" w:cs="Arial"/>
          <w:color w:val="808080" w:themeColor="background1" w:themeShade="80"/>
          <w:sz w:val="22"/>
          <w:szCs w:val="22"/>
          <w:lang w:val="en-GB"/>
        </w:rPr>
        <w:t>otective Composition Plan</w:t>
      </w:r>
      <w:r w:rsidR="006E4F74">
        <w:rPr>
          <w:rFonts w:ascii="Arial" w:hAnsi="Arial" w:cs="Arial"/>
          <w:color w:val="808080" w:themeColor="background1" w:themeShade="80"/>
          <w:sz w:val="22"/>
          <w:szCs w:val="22"/>
          <w:lang w:val="en-GB"/>
        </w:rPr>
        <w:t xml:space="preserve"> (as implied would be done by the Court)</w:t>
      </w:r>
      <w:r w:rsidR="00D808B5">
        <w:rPr>
          <w:rFonts w:ascii="Arial" w:hAnsi="Arial" w:cs="Arial"/>
          <w:color w:val="808080" w:themeColor="background1" w:themeShade="80"/>
          <w:sz w:val="22"/>
          <w:szCs w:val="22"/>
          <w:lang w:val="en-GB"/>
        </w:rPr>
        <w:t xml:space="preserve">, the trustee shall register the Court’s decision approving the plan in the commercial or professional </w:t>
      </w:r>
      <w:r w:rsidR="007607F7">
        <w:rPr>
          <w:rFonts w:ascii="Arial" w:hAnsi="Arial" w:cs="Arial"/>
          <w:color w:val="808080" w:themeColor="background1" w:themeShade="80"/>
          <w:sz w:val="22"/>
          <w:szCs w:val="22"/>
          <w:lang w:val="en-GB"/>
        </w:rPr>
        <w:t>register, as the case may be, and shall publish notice of the decision.</w:t>
      </w:r>
      <w:r w:rsidR="007607F7">
        <w:rPr>
          <w:rStyle w:val="FootnoteReference"/>
          <w:rFonts w:ascii="Arial" w:hAnsi="Arial" w:cs="Arial"/>
          <w:color w:val="808080" w:themeColor="background1" w:themeShade="80"/>
          <w:sz w:val="22"/>
          <w:szCs w:val="22"/>
          <w:lang w:val="en-GB"/>
        </w:rPr>
        <w:footnoteReference w:id="37"/>
      </w:r>
    </w:p>
    <w:p w14:paraId="0E9BBA31" w14:textId="77777777" w:rsidR="00DC0ABB" w:rsidRDefault="00DC0ABB" w:rsidP="00DC0ABB">
      <w:pPr>
        <w:jc w:val="both"/>
        <w:rPr>
          <w:rFonts w:ascii="Arial" w:hAnsi="Arial" w:cs="Arial"/>
          <w:color w:val="808080" w:themeColor="background1" w:themeShade="80"/>
          <w:sz w:val="22"/>
          <w:szCs w:val="22"/>
          <w:lang w:val="en-GB"/>
        </w:rPr>
      </w:pPr>
    </w:p>
    <w:p w14:paraId="1144463A" w14:textId="052487AE" w:rsidR="00DC0ABB" w:rsidRPr="00CA448F" w:rsidRDefault="00DC0ABB" w:rsidP="00DC0ABB">
      <w:pPr>
        <w:jc w:val="both"/>
        <w:rPr>
          <w:rFonts w:ascii="Arial" w:hAnsi="Arial" w:cs="Arial"/>
          <w:sz w:val="22"/>
          <w:szCs w:val="22"/>
          <w:lang w:val="en-GB"/>
        </w:rPr>
      </w:pPr>
      <w:r>
        <w:rPr>
          <w:rFonts w:ascii="Arial" w:hAnsi="Arial" w:cs="Arial"/>
          <w:color w:val="808080" w:themeColor="background1" w:themeShade="80"/>
          <w:sz w:val="22"/>
          <w:szCs w:val="22"/>
          <w:lang w:val="en-GB"/>
        </w:rPr>
        <w:lastRenderedPageBreak/>
        <w:t xml:space="preserve">In respect of the above 10 specific steps, the maximum time taken between step 1 and step 10 would be </w:t>
      </w:r>
      <w:r w:rsidR="000A24A8">
        <w:rPr>
          <w:rFonts w:ascii="Arial" w:hAnsi="Arial" w:cs="Arial"/>
          <w:color w:val="808080" w:themeColor="background1" w:themeShade="80"/>
          <w:sz w:val="22"/>
          <w:szCs w:val="22"/>
          <w:lang w:val="en-GB"/>
        </w:rPr>
        <w:t>116 business days.</w:t>
      </w:r>
    </w:p>
    <w:p w14:paraId="56A9A67B" w14:textId="03B7749D" w:rsidR="00BD1061" w:rsidRPr="00CA448F" w:rsidRDefault="00BD1061" w:rsidP="00C76745">
      <w:pPr>
        <w:jc w:val="both"/>
        <w:rPr>
          <w:rFonts w:ascii="Arial" w:hAnsi="Arial" w:cs="Arial"/>
          <w:sz w:val="22"/>
          <w:szCs w:val="22"/>
          <w:lang w:val="en-GB"/>
        </w:rPr>
      </w:pPr>
    </w:p>
    <w:p w14:paraId="0A96B7DC" w14:textId="1C377FB3"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C76745">
      <w:pPr>
        <w:jc w:val="both"/>
        <w:rPr>
          <w:rFonts w:ascii="Arial" w:hAnsi="Arial" w:cs="Arial"/>
          <w:b/>
          <w:sz w:val="22"/>
          <w:szCs w:val="22"/>
          <w:lang w:val="en-GB"/>
        </w:rPr>
      </w:pPr>
    </w:p>
    <w:p w14:paraId="3CBAA349" w14:textId="40C1D51D"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LLC’s creditors rejected the proposed Preventive Composition scheme after a process of nearly </w:t>
      </w:r>
      <w:r w:rsidR="001C181F" w:rsidRPr="00CA448F">
        <w:rPr>
          <w:rFonts w:ascii="Arial" w:hAnsi="Arial" w:cs="Arial"/>
          <w:sz w:val="22"/>
          <w:szCs w:val="22"/>
          <w:lang w:val="en-GB"/>
        </w:rPr>
        <w:t xml:space="preserve">four </w:t>
      </w:r>
      <w:r w:rsidR="003C0156" w:rsidRPr="00CA448F">
        <w:rPr>
          <w:rFonts w:ascii="Arial" w:hAnsi="Arial" w:cs="Arial"/>
          <w:sz w:val="22"/>
          <w:szCs w:val="22"/>
          <w:lang w:val="en-GB"/>
        </w:rPr>
        <w:t xml:space="preserve">months. During that time, creditors, including staff, were not paid. The owners consider that without creditor support, restructuring would be impossible and liquidation is the only option available. </w:t>
      </w:r>
      <w:r w:rsidR="007A7EA9" w:rsidRPr="00CA448F">
        <w:rPr>
          <w:rFonts w:ascii="Arial" w:hAnsi="Arial" w:cs="Arial"/>
          <w:sz w:val="22"/>
          <w:szCs w:val="22"/>
          <w:lang w:val="en-GB"/>
        </w:rPr>
        <w:t>With specific reference to the facts described above, d</w:t>
      </w:r>
      <w:r w:rsidR="003C0156" w:rsidRPr="00CA448F">
        <w:rPr>
          <w:rFonts w:ascii="Arial" w:hAnsi="Arial" w:cs="Arial"/>
          <w:sz w:val="22"/>
          <w:szCs w:val="22"/>
          <w:lang w:val="en-GB"/>
        </w:rPr>
        <w:t xml:space="preserve">escribe the process that would be followed as part of any liquidation and, in particular, considering who could be appointed as trustee. </w:t>
      </w:r>
    </w:p>
    <w:p w14:paraId="282747A4" w14:textId="05F42072" w:rsidR="009D3106" w:rsidRPr="00CA448F" w:rsidRDefault="009D3106" w:rsidP="00C76745">
      <w:pPr>
        <w:jc w:val="both"/>
        <w:rPr>
          <w:rFonts w:ascii="Arial" w:hAnsi="Arial" w:cs="Arial"/>
          <w:sz w:val="22"/>
          <w:szCs w:val="22"/>
          <w:lang w:val="en-GB"/>
        </w:rPr>
      </w:pPr>
    </w:p>
    <w:p w14:paraId="0A5DB37A" w14:textId="7BAE50BF" w:rsidR="00DF451B" w:rsidRDefault="002B20B4"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may decide to terminate </w:t>
      </w:r>
      <w:r w:rsidR="00F45FCF">
        <w:rPr>
          <w:rFonts w:ascii="Arial" w:hAnsi="Arial" w:cs="Arial"/>
          <w:color w:val="808080" w:themeColor="background1" w:themeShade="80"/>
          <w:sz w:val="22"/>
          <w:szCs w:val="22"/>
          <w:lang w:val="en-GB"/>
        </w:rPr>
        <w:t>a P</w:t>
      </w:r>
      <w:r w:rsidR="00DF6E66">
        <w:rPr>
          <w:rFonts w:ascii="Arial" w:hAnsi="Arial" w:cs="Arial"/>
          <w:color w:val="808080" w:themeColor="background1" w:themeShade="80"/>
          <w:sz w:val="22"/>
          <w:szCs w:val="22"/>
          <w:lang w:val="en-GB"/>
        </w:rPr>
        <w:t>rotective Composition Procedure and to convert it to a declaration of bankruptcy of BNE LLC in the following two cases:</w:t>
      </w:r>
      <w:r w:rsidR="00DF6E66">
        <w:rPr>
          <w:rStyle w:val="FootnoteReference"/>
          <w:rFonts w:ascii="Arial" w:hAnsi="Arial" w:cs="Arial"/>
          <w:color w:val="808080" w:themeColor="background1" w:themeShade="80"/>
          <w:sz w:val="22"/>
          <w:szCs w:val="22"/>
          <w:lang w:val="en-GB"/>
        </w:rPr>
        <w:footnoteReference w:id="38"/>
      </w:r>
    </w:p>
    <w:p w14:paraId="695CAD57" w14:textId="2372C97C" w:rsidR="00DF6E66" w:rsidRDefault="00DF6E66" w:rsidP="00C76745">
      <w:pPr>
        <w:jc w:val="both"/>
        <w:rPr>
          <w:rFonts w:ascii="Arial" w:hAnsi="Arial" w:cs="Arial"/>
          <w:color w:val="808080" w:themeColor="background1" w:themeShade="80"/>
          <w:sz w:val="22"/>
          <w:szCs w:val="22"/>
          <w:lang w:val="en-GB"/>
        </w:rPr>
      </w:pPr>
    </w:p>
    <w:p w14:paraId="05A85C96" w14:textId="402876BD" w:rsidR="00DF6E66" w:rsidRDefault="00DF6E66" w:rsidP="00DF6E66">
      <w:pPr>
        <w:pStyle w:val="ListParagraph"/>
        <w:numPr>
          <w:ilvl w:val="0"/>
          <w:numId w:val="2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Where it is proven that BNE LLC has ceased payment for more than 30 successive business days as a result of its distressed financial position or where BNE LLC is in a state of over-indebtedness.  Based on the facts of the case, the creditors of BNE LLC have not paid for </w:t>
      </w:r>
      <w:r w:rsidR="00330C86">
        <w:rPr>
          <w:rFonts w:ascii="Arial" w:hAnsi="Arial" w:cs="Arial"/>
          <w:color w:val="808080" w:themeColor="background1" w:themeShade="80"/>
          <w:sz w:val="22"/>
          <w:szCs w:val="22"/>
          <w:lang w:val="en-GB"/>
        </w:rPr>
        <w:t>nearly four months which would satisfy the 30 business day requirement.</w:t>
      </w:r>
    </w:p>
    <w:p w14:paraId="0AB65B0C" w14:textId="698E9160" w:rsidR="00330C86" w:rsidRDefault="00330C86" w:rsidP="00DF6E66">
      <w:pPr>
        <w:pStyle w:val="ListParagraph"/>
        <w:numPr>
          <w:ilvl w:val="0"/>
          <w:numId w:val="2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Where the Protective Composition plan is impossible to implement and terminating the Protective Composition Procedure would result in a cessation of payment by BNE LLC for more than 30 successive business days as a result of its distressed financial position, or BNE LLC is in a state of over-</w:t>
      </w:r>
      <w:r w:rsidR="00AC65B3">
        <w:rPr>
          <w:rFonts w:ascii="Arial" w:hAnsi="Arial" w:cs="Arial"/>
          <w:color w:val="808080" w:themeColor="background1" w:themeShade="80"/>
          <w:sz w:val="22"/>
          <w:szCs w:val="22"/>
          <w:lang w:val="en-GB"/>
        </w:rPr>
        <w:t>indebtedness</w:t>
      </w:r>
      <w:r w:rsidR="00070CDF">
        <w:rPr>
          <w:rFonts w:ascii="Arial" w:hAnsi="Arial" w:cs="Arial"/>
          <w:color w:val="808080" w:themeColor="background1" w:themeShade="80"/>
          <w:sz w:val="22"/>
          <w:szCs w:val="22"/>
          <w:lang w:val="en-GB"/>
        </w:rPr>
        <w:t xml:space="preserve">.  Based on the facts of the case, </w:t>
      </w:r>
      <w:r w:rsidR="00C804E8">
        <w:rPr>
          <w:rFonts w:ascii="Arial" w:hAnsi="Arial" w:cs="Arial"/>
          <w:color w:val="808080" w:themeColor="background1" w:themeShade="80"/>
          <w:sz w:val="22"/>
          <w:szCs w:val="22"/>
          <w:lang w:val="en-GB"/>
        </w:rPr>
        <w:t>it appears impossible for any plan to be implemented and, as mentioned in point 1 above, BNE LLC has missed payment for more than the 30 business days.</w:t>
      </w:r>
    </w:p>
    <w:p w14:paraId="1D6BFA80" w14:textId="2B7CADB7" w:rsidR="0073158D" w:rsidRDefault="0073158D" w:rsidP="0073158D">
      <w:pPr>
        <w:jc w:val="both"/>
        <w:rPr>
          <w:rFonts w:ascii="Arial" w:hAnsi="Arial" w:cs="Arial"/>
          <w:color w:val="808080" w:themeColor="background1" w:themeShade="80"/>
          <w:sz w:val="22"/>
          <w:szCs w:val="22"/>
          <w:lang w:val="en-GB"/>
        </w:rPr>
      </w:pPr>
    </w:p>
    <w:p w14:paraId="69212131" w14:textId="6967EFFA" w:rsidR="0073158D" w:rsidRDefault="0073158D" w:rsidP="0073158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the Court orders the termination of the Protective Composition Procedure and </w:t>
      </w:r>
      <w:r w:rsidR="00CE6EDD">
        <w:rPr>
          <w:rFonts w:ascii="Arial" w:hAnsi="Arial" w:cs="Arial"/>
          <w:color w:val="808080" w:themeColor="background1" w:themeShade="80"/>
          <w:sz w:val="22"/>
          <w:szCs w:val="22"/>
          <w:lang w:val="en-GB"/>
        </w:rPr>
        <w:t xml:space="preserve">converts it to a declaration of bankruptcy of BNE LLC, </w:t>
      </w:r>
      <w:r w:rsidR="00C53936">
        <w:rPr>
          <w:rFonts w:ascii="Arial" w:hAnsi="Arial" w:cs="Arial"/>
          <w:color w:val="808080" w:themeColor="background1" w:themeShade="80"/>
          <w:sz w:val="22"/>
          <w:szCs w:val="22"/>
          <w:lang w:val="en-GB"/>
        </w:rPr>
        <w:t>the following will result:</w:t>
      </w:r>
      <w:r w:rsidR="00C53936">
        <w:rPr>
          <w:rStyle w:val="FootnoteReference"/>
          <w:rFonts w:ascii="Arial" w:hAnsi="Arial" w:cs="Arial"/>
          <w:color w:val="808080" w:themeColor="background1" w:themeShade="80"/>
          <w:sz w:val="22"/>
          <w:szCs w:val="22"/>
          <w:lang w:val="en-GB"/>
        </w:rPr>
        <w:footnoteReference w:id="39"/>
      </w:r>
    </w:p>
    <w:p w14:paraId="536E35B8" w14:textId="460FAB49" w:rsidR="00C53936" w:rsidRDefault="00C53936" w:rsidP="0073158D">
      <w:pPr>
        <w:jc w:val="both"/>
        <w:rPr>
          <w:rFonts w:ascii="Arial" w:hAnsi="Arial" w:cs="Arial"/>
          <w:color w:val="808080" w:themeColor="background1" w:themeShade="80"/>
          <w:sz w:val="22"/>
          <w:szCs w:val="22"/>
          <w:lang w:val="en-GB"/>
        </w:rPr>
      </w:pPr>
    </w:p>
    <w:p w14:paraId="622AE862" w14:textId="5DCDBDD5" w:rsidR="00C53936" w:rsidRDefault="00C53936" w:rsidP="00C53936">
      <w:pPr>
        <w:pStyle w:val="ListParagraph"/>
        <w:numPr>
          <w:ilvl w:val="0"/>
          <w:numId w:val="3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appointment of the composition trustee shall be terminated, unless the Court decides to keep the appointed trustee as the trustee</w:t>
      </w:r>
      <w:r w:rsidR="00B25098">
        <w:rPr>
          <w:rFonts w:ascii="Arial" w:hAnsi="Arial" w:cs="Arial"/>
          <w:color w:val="808080" w:themeColor="background1" w:themeShade="80"/>
          <w:sz w:val="22"/>
          <w:szCs w:val="22"/>
          <w:lang w:val="en-GB"/>
        </w:rPr>
        <w:t xml:space="preserve"> for the bankruptcy procedure and liquidation of BNE LLC’s assets.</w:t>
      </w:r>
      <w:r w:rsidR="002C6CAC">
        <w:rPr>
          <w:rFonts w:ascii="Arial" w:hAnsi="Arial" w:cs="Arial"/>
          <w:color w:val="808080" w:themeColor="background1" w:themeShade="80"/>
          <w:sz w:val="22"/>
          <w:szCs w:val="22"/>
          <w:lang w:val="en-GB"/>
        </w:rPr>
        <w:t xml:space="preserve">  Should the appointment of the composition trustee be terminated, the Court may appoint a trustee </w:t>
      </w:r>
      <w:r w:rsidR="00E7718F">
        <w:rPr>
          <w:rFonts w:ascii="Arial" w:hAnsi="Arial" w:cs="Arial"/>
          <w:color w:val="808080" w:themeColor="background1" w:themeShade="80"/>
          <w:sz w:val="22"/>
          <w:szCs w:val="22"/>
          <w:lang w:val="en-GB"/>
        </w:rPr>
        <w:t>nominated by BNE LLC</w:t>
      </w:r>
      <w:r w:rsidR="00760544">
        <w:rPr>
          <w:rFonts w:ascii="Arial" w:hAnsi="Arial" w:cs="Arial"/>
          <w:color w:val="808080" w:themeColor="background1" w:themeShade="80"/>
          <w:sz w:val="22"/>
          <w:szCs w:val="22"/>
          <w:lang w:val="en-GB"/>
        </w:rPr>
        <w:t>, a natural or juridical person registered in the Experts’ Panel,</w:t>
      </w:r>
      <w:r w:rsidR="00E7718F">
        <w:rPr>
          <w:rFonts w:ascii="Arial" w:hAnsi="Arial" w:cs="Arial"/>
          <w:color w:val="808080" w:themeColor="background1" w:themeShade="80"/>
          <w:sz w:val="22"/>
          <w:szCs w:val="22"/>
          <w:lang w:val="en-GB"/>
        </w:rPr>
        <w:t xml:space="preserve"> or</w:t>
      </w:r>
      <w:r w:rsidR="00760544">
        <w:rPr>
          <w:rFonts w:ascii="Arial" w:hAnsi="Arial" w:cs="Arial"/>
          <w:color w:val="808080" w:themeColor="background1" w:themeShade="80"/>
          <w:sz w:val="22"/>
          <w:szCs w:val="22"/>
          <w:lang w:val="en-GB"/>
        </w:rPr>
        <w:t xml:space="preserve"> another expert</w:t>
      </w:r>
      <w:r w:rsidR="00E07C0B">
        <w:rPr>
          <w:rFonts w:ascii="Arial" w:hAnsi="Arial" w:cs="Arial"/>
          <w:color w:val="808080" w:themeColor="background1" w:themeShade="80"/>
          <w:sz w:val="22"/>
          <w:szCs w:val="22"/>
          <w:lang w:val="en-GB"/>
        </w:rPr>
        <w:t>, if the Court does not find an expert with the required expertise on the Expert Panel.</w:t>
      </w:r>
      <w:r w:rsidR="00E07C0B">
        <w:rPr>
          <w:rStyle w:val="FootnoteReference"/>
          <w:rFonts w:ascii="Arial" w:hAnsi="Arial" w:cs="Arial"/>
          <w:color w:val="808080" w:themeColor="background1" w:themeShade="80"/>
          <w:sz w:val="22"/>
          <w:szCs w:val="22"/>
          <w:lang w:val="en-GB"/>
        </w:rPr>
        <w:footnoteReference w:id="40"/>
      </w:r>
      <w:r w:rsidR="00E3389D">
        <w:rPr>
          <w:rFonts w:ascii="Arial" w:hAnsi="Arial" w:cs="Arial"/>
          <w:color w:val="808080" w:themeColor="background1" w:themeShade="80"/>
          <w:sz w:val="22"/>
          <w:szCs w:val="22"/>
          <w:lang w:val="en-GB"/>
        </w:rPr>
        <w:t xml:space="preserve"> </w:t>
      </w:r>
    </w:p>
    <w:p w14:paraId="2DF8BFE6" w14:textId="039065C4" w:rsidR="00277925" w:rsidRPr="00277925" w:rsidRDefault="00B25098" w:rsidP="00277925">
      <w:pPr>
        <w:pStyle w:val="ListParagraph"/>
        <w:numPr>
          <w:ilvl w:val="0"/>
          <w:numId w:val="3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shall carry on with the bankruptcy procedure and liquidation of BNE LLC’s assets.</w:t>
      </w:r>
    </w:p>
    <w:p w14:paraId="5E8DE241" w14:textId="77777777" w:rsidR="00C53936" w:rsidRPr="0073158D" w:rsidRDefault="00C53936" w:rsidP="0073158D">
      <w:pPr>
        <w:jc w:val="both"/>
        <w:rPr>
          <w:rFonts w:ascii="Arial" w:hAnsi="Arial" w:cs="Arial"/>
          <w:color w:val="808080" w:themeColor="background1" w:themeShade="80"/>
          <w:sz w:val="22"/>
          <w:szCs w:val="22"/>
          <w:lang w:val="en-GB"/>
        </w:rPr>
      </w:pPr>
    </w:p>
    <w:p w14:paraId="6CF11792" w14:textId="51D4FE68" w:rsidR="00DF451B" w:rsidRDefault="008F0E85"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trustee shall, within 3 business days from the date of issuance of the judgment declaring the bankruptcy of BNE LLC and the liquidation its assets, publish a copy</w:t>
      </w:r>
      <w:r w:rsidR="00467D44">
        <w:rPr>
          <w:rFonts w:ascii="Arial" w:hAnsi="Arial" w:cs="Arial"/>
          <w:color w:val="808080" w:themeColor="background1" w:themeShade="80"/>
          <w:sz w:val="22"/>
          <w:szCs w:val="22"/>
          <w:lang w:val="en-GB"/>
        </w:rPr>
        <w:t>.</w:t>
      </w:r>
      <w:r w:rsidR="00467D44">
        <w:rPr>
          <w:rStyle w:val="FootnoteReference"/>
          <w:rFonts w:ascii="Arial" w:hAnsi="Arial" w:cs="Arial"/>
          <w:color w:val="808080" w:themeColor="background1" w:themeShade="80"/>
          <w:sz w:val="22"/>
          <w:szCs w:val="22"/>
          <w:lang w:val="en-GB"/>
        </w:rPr>
        <w:footnoteReference w:id="41"/>
      </w:r>
      <w:r w:rsidR="00F14F3F">
        <w:rPr>
          <w:rFonts w:ascii="Arial" w:hAnsi="Arial" w:cs="Arial"/>
          <w:color w:val="808080" w:themeColor="background1" w:themeShade="80"/>
          <w:sz w:val="22"/>
          <w:szCs w:val="22"/>
          <w:lang w:val="en-GB"/>
        </w:rPr>
        <w:t xml:space="preserve">  In addition, the trustee shall instruct </w:t>
      </w:r>
      <w:r w:rsidR="006958DA">
        <w:rPr>
          <w:rFonts w:ascii="Arial" w:hAnsi="Arial" w:cs="Arial"/>
          <w:color w:val="808080" w:themeColor="background1" w:themeShade="80"/>
          <w:sz w:val="22"/>
          <w:szCs w:val="22"/>
          <w:lang w:val="en-GB"/>
        </w:rPr>
        <w:t>creditors to submit any final claims not previously submitted within 10 business days from the date of publication.</w:t>
      </w:r>
      <w:r w:rsidR="006958DA">
        <w:rPr>
          <w:rStyle w:val="FootnoteReference"/>
          <w:rFonts w:ascii="Arial" w:hAnsi="Arial" w:cs="Arial"/>
          <w:color w:val="808080" w:themeColor="background1" w:themeShade="80"/>
          <w:sz w:val="22"/>
          <w:szCs w:val="22"/>
          <w:lang w:val="en-GB"/>
        </w:rPr>
        <w:footnoteReference w:id="42"/>
      </w:r>
    </w:p>
    <w:p w14:paraId="3C086ECC" w14:textId="2A8F524A" w:rsidR="00467D44" w:rsidRDefault="00467D44" w:rsidP="00C76745">
      <w:pPr>
        <w:jc w:val="both"/>
        <w:rPr>
          <w:rFonts w:ascii="Arial" w:hAnsi="Arial" w:cs="Arial"/>
          <w:color w:val="808080" w:themeColor="background1" w:themeShade="80"/>
          <w:sz w:val="22"/>
          <w:szCs w:val="22"/>
          <w:lang w:val="en-GB"/>
        </w:rPr>
      </w:pPr>
    </w:p>
    <w:p w14:paraId="5754B3FA" w14:textId="5C51ABED" w:rsidR="00467D44" w:rsidRDefault="00405696" w:rsidP="007001DC">
      <w:pPr>
        <w:keepNext/>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The trustee shall liquidate all of BNE LLC’s assets</w:t>
      </w:r>
      <w:r w:rsidR="00A25F41">
        <w:rPr>
          <w:rFonts w:ascii="Arial" w:hAnsi="Arial" w:cs="Arial"/>
          <w:color w:val="808080" w:themeColor="background1" w:themeShade="80"/>
          <w:sz w:val="22"/>
          <w:szCs w:val="22"/>
          <w:lang w:val="en-GB"/>
        </w:rPr>
        <w:t xml:space="preserve"> </w:t>
      </w:r>
      <w:r w:rsidR="001E3F34">
        <w:rPr>
          <w:rFonts w:ascii="Arial" w:hAnsi="Arial" w:cs="Arial"/>
          <w:color w:val="808080" w:themeColor="background1" w:themeShade="80"/>
          <w:sz w:val="22"/>
          <w:szCs w:val="22"/>
          <w:lang w:val="en-GB"/>
        </w:rPr>
        <w:t>by</w:t>
      </w:r>
      <w:r w:rsidR="00A25F41">
        <w:rPr>
          <w:rFonts w:ascii="Arial" w:hAnsi="Arial" w:cs="Arial"/>
          <w:color w:val="808080" w:themeColor="background1" w:themeShade="80"/>
          <w:sz w:val="22"/>
          <w:szCs w:val="22"/>
          <w:lang w:val="en-GB"/>
        </w:rPr>
        <w:t xml:space="preserve"> auction </w:t>
      </w:r>
      <w:r w:rsidR="002408CD">
        <w:rPr>
          <w:rFonts w:ascii="Arial" w:hAnsi="Arial" w:cs="Arial"/>
          <w:color w:val="808080" w:themeColor="background1" w:themeShade="80"/>
          <w:sz w:val="22"/>
          <w:szCs w:val="22"/>
          <w:lang w:val="en-GB"/>
        </w:rPr>
        <w:t>or otherwise, upon the approval and under the supervision and control of the Court</w:t>
      </w:r>
      <w:r>
        <w:rPr>
          <w:rFonts w:ascii="Arial" w:hAnsi="Arial" w:cs="Arial"/>
          <w:color w:val="808080" w:themeColor="background1" w:themeShade="80"/>
          <w:sz w:val="22"/>
          <w:szCs w:val="22"/>
          <w:lang w:val="en-GB"/>
        </w:rPr>
        <w:t>.</w:t>
      </w:r>
      <w:r>
        <w:rPr>
          <w:rStyle w:val="FootnoteReference"/>
          <w:rFonts w:ascii="Arial" w:hAnsi="Arial" w:cs="Arial"/>
          <w:color w:val="808080" w:themeColor="background1" w:themeShade="80"/>
          <w:sz w:val="22"/>
          <w:szCs w:val="22"/>
          <w:lang w:val="en-GB"/>
        </w:rPr>
        <w:footnoteReference w:id="43"/>
      </w:r>
      <w:r w:rsidR="0081145D">
        <w:rPr>
          <w:rFonts w:ascii="Arial" w:hAnsi="Arial" w:cs="Arial"/>
          <w:color w:val="808080" w:themeColor="background1" w:themeShade="80"/>
          <w:sz w:val="22"/>
          <w:szCs w:val="22"/>
          <w:lang w:val="en-GB"/>
        </w:rPr>
        <w:t xml:space="preserve">  The trustee shall distribute the proceeds according to the priority among creditors</w:t>
      </w:r>
      <w:r w:rsidR="000E7448">
        <w:rPr>
          <w:rFonts w:ascii="Arial" w:hAnsi="Arial" w:cs="Arial"/>
          <w:color w:val="808080" w:themeColor="background1" w:themeShade="80"/>
          <w:sz w:val="22"/>
          <w:szCs w:val="22"/>
          <w:lang w:val="en-GB"/>
        </w:rPr>
        <w:t>:</w:t>
      </w:r>
      <w:r w:rsidR="000E7448">
        <w:rPr>
          <w:rStyle w:val="FootnoteReference"/>
          <w:rFonts w:ascii="Arial" w:hAnsi="Arial" w:cs="Arial"/>
          <w:color w:val="808080" w:themeColor="background1" w:themeShade="80"/>
          <w:sz w:val="22"/>
          <w:szCs w:val="22"/>
          <w:lang w:val="en-GB"/>
        </w:rPr>
        <w:footnoteReference w:id="44"/>
      </w:r>
    </w:p>
    <w:p w14:paraId="443D8986" w14:textId="07D1BF23" w:rsidR="000E7448" w:rsidRDefault="000E7448" w:rsidP="007001DC">
      <w:pPr>
        <w:keepNext/>
        <w:jc w:val="both"/>
        <w:rPr>
          <w:rFonts w:ascii="Arial" w:hAnsi="Arial" w:cs="Arial"/>
          <w:color w:val="808080" w:themeColor="background1" w:themeShade="80"/>
          <w:sz w:val="22"/>
          <w:szCs w:val="22"/>
          <w:lang w:val="en-GB"/>
        </w:rPr>
      </w:pPr>
    </w:p>
    <w:p w14:paraId="1571EB65" w14:textId="24F7F965" w:rsidR="00EE60D0" w:rsidRDefault="00EE60D0" w:rsidP="007001DC">
      <w:pPr>
        <w:pStyle w:val="ListParagraph"/>
        <w:keepNext/>
        <w:numPr>
          <w:ilvl w:val="0"/>
          <w:numId w:val="32"/>
        </w:numPr>
        <w:jc w:val="both"/>
        <w:rPr>
          <w:rFonts w:ascii="Arial" w:hAnsi="Arial" w:cs="Arial"/>
          <w:color w:val="808080" w:themeColor="background1" w:themeShade="80"/>
          <w:sz w:val="22"/>
          <w:szCs w:val="22"/>
          <w:lang w:val="en-GB"/>
        </w:rPr>
      </w:pPr>
      <w:r w:rsidRPr="00EE60D0">
        <w:rPr>
          <w:rFonts w:ascii="Arial" w:hAnsi="Arial" w:cs="Arial"/>
          <w:b/>
          <w:bCs/>
          <w:color w:val="808080" w:themeColor="background1" w:themeShade="80"/>
          <w:sz w:val="22"/>
          <w:szCs w:val="22"/>
          <w:lang w:val="en-GB"/>
        </w:rPr>
        <w:t xml:space="preserve">Secured Creditors </w:t>
      </w:r>
      <w:r w:rsidR="00EA7F3A">
        <w:rPr>
          <w:rFonts w:ascii="Arial" w:hAnsi="Arial" w:cs="Arial"/>
          <w:b/>
          <w:bCs/>
          <w:color w:val="808080" w:themeColor="background1" w:themeShade="80"/>
          <w:sz w:val="22"/>
          <w:szCs w:val="22"/>
          <w:lang w:val="en-GB"/>
        </w:rPr>
        <w:t xml:space="preserve">– </w:t>
      </w:r>
      <w:r w:rsidRPr="00EE60D0">
        <w:rPr>
          <w:rFonts w:ascii="Arial" w:hAnsi="Arial" w:cs="Arial"/>
          <w:color w:val="808080" w:themeColor="background1" w:themeShade="80"/>
          <w:sz w:val="22"/>
          <w:szCs w:val="22"/>
          <w:lang w:val="en-GB"/>
        </w:rPr>
        <w:t>It should be noted that upon the declaration of bankruptcy and liquidation of BNE LLC’s assets, the holders of secured debts shall rank in priority to ordinary creditors.</w:t>
      </w:r>
      <w:r>
        <w:rPr>
          <w:rStyle w:val="FootnoteReference"/>
          <w:rFonts w:ascii="Arial" w:hAnsi="Arial" w:cs="Arial"/>
          <w:color w:val="808080" w:themeColor="background1" w:themeShade="80"/>
          <w:sz w:val="22"/>
          <w:szCs w:val="22"/>
          <w:lang w:val="en-GB"/>
        </w:rPr>
        <w:footnoteReference w:id="45"/>
      </w:r>
      <w:r w:rsidRPr="00EE60D0">
        <w:rPr>
          <w:rFonts w:ascii="Arial" w:hAnsi="Arial" w:cs="Arial"/>
          <w:color w:val="808080" w:themeColor="background1" w:themeShade="80"/>
          <w:sz w:val="22"/>
          <w:szCs w:val="22"/>
          <w:lang w:val="en-GB"/>
        </w:rPr>
        <w:t xml:space="preserve">  In this case, BNE LLC’s shareholder is a secured creditor as it holds a mortgage over the restaurant site for the unpaid purchase price.  The trustee is able to recover reasonable costs and fees incurred during the sale of the secured asset.</w:t>
      </w:r>
      <w:r>
        <w:rPr>
          <w:rStyle w:val="FootnoteReference"/>
          <w:rFonts w:ascii="Arial" w:hAnsi="Arial" w:cs="Arial"/>
          <w:color w:val="808080" w:themeColor="background1" w:themeShade="80"/>
          <w:sz w:val="22"/>
          <w:szCs w:val="22"/>
          <w:lang w:val="en-GB"/>
        </w:rPr>
        <w:footnoteReference w:id="46"/>
      </w:r>
      <w:r w:rsidRPr="00EE60D0">
        <w:rPr>
          <w:rFonts w:ascii="Arial" w:hAnsi="Arial" w:cs="Arial"/>
          <w:color w:val="808080" w:themeColor="background1" w:themeShade="80"/>
          <w:sz w:val="22"/>
          <w:szCs w:val="22"/>
          <w:lang w:val="en-GB"/>
        </w:rPr>
        <w:t xml:space="preserve">  Where there is a surplus from the proceeds, the surplus shall be held in the interest of BNE LLC, otherwise, the shortfall would be considered an ordinary debt against BNE LLC.</w:t>
      </w:r>
      <w:r>
        <w:rPr>
          <w:rStyle w:val="FootnoteReference"/>
          <w:rFonts w:ascii="Arial" w:hAnsi="Arial" w:cs="Arial"/>
          <w:color w:val="808080" w:themeColor="background1" w:themeShade="80"/>
          <w:sz w:val="22"/>
          <w:szCs w:val="22"/>
          <w:lang w:val="en-GB"/>
        </w:rPr>
        <w:footnoteReference w:id="47"/>
      </w:r>
    </w:p>
    <w:p w14:paraId="2B574E35" w14:textId="366D92CF" w:rsidR="00D21EB7" w:rsidRDefault="00D21EB7" w:rsidP="00EE60D0">
      <w:pPr>
        <w:pStyle w:val="ListParagraph"/>
        <w:numPr>
          <w:ilvl w:val="0"/>
          <w:numId w:val="32"/>
        </w:numPr>
        <w:jc w:val="both"/>
        <w:rPr>
          <w:rFonts w:ascii="Arial" w:hAnsi="Arial" w:cs="Arial"/>
          <w:color w:val="808080" w:themeColor="background1" w:themeShade="80"/>
          <w:sz w:val="22"/>
          <w:szCs w:val="22"/>
          <w:lang w:val="en-GB"/>
        </w:rPr>
      </w:pPr>
      <w:r>
        <w:rPr>
          <w:rFonts w:ascii="Arial" w:hAnsi="Arial" w:cs="Arial"/>
          <w:b/>
          <w:bCs/>
          <w:color w:val="808080" w:themeColor="background1" w:themeShade="80"/>
          <w:sz w:val="22"/>
          <w:szCs w:val="22"/>
          <w:lang w:val="en-GB"/>
        </w:rPr>
        <w:t xml:space="preserve">Preferred Debts </w:t>
      </w:r>
      <w:r w:rsidR="0024276A">
        <w:rPr>
          <w:rFonts w:ascii="Arial" w:hAnsi="Arial" w:cs="Arial"/>
          <w:b/>
          <w:bCs/>
          <w:color w:val="808080" w:themeColor="background1" w:themeShade="80"/>
          <w:sz w:val="22"/>
          <w:szCs w:val="22"/>
          <w:lang w:val="en-GB"/>
        </w:rPr>
        <w:t>–</w:t>
      </w:r>
      <w:r>
        <w:rPr>
          <w:rFonts w:ascii="Arial" w:hAnsi="Arial" w:cs="Arial"/>
          <w:b/>
          <w:bCs/>
          <w:color w:val="808080" w:themeColor="background1" w:themeShade="80"/>
          <w:sz w:val="22"/>
          <w:szCs w:val="22"/>
          <w:lang w:val="en-GB"/>
        </w:rPr>
        <w:t xml:space="preserve"> </w:t>
      </w:r>
      <w:r w:rsidR="0024276A">
        <w:rPr>
          <w:rFonts w:ascii="Arial" w:hAnsi="Arial" w:cs="Arial"/>
          <w:color w:val="808080" w:themeColor="background1" w:themeShade="80"/>
          <w:sz w:val="22"/>
          <w:szCs w:val="22"/>
          <w:lang w:val="en-GB"/>
        </w:rPr>
        <w:t>The following debt categories</w:t>
      </w:r>
      <w:r w:rsidR="009B5882">
        <w:rPr>
          <w:rFonts w:ascii="Arial" w:hAnsi="Arial" w:cs="Arial"/>
          <w:color w:val="808080" w:themeColor="background1" w:themeShade="80"/>
          <w:sz w:val="22"/>
          <w:szCs w:val="22"/>
          <w:lang w:val="en-GB"/>
        </w:rPr>
        <w:t xml:space="preserve">, as </w:t>
      </w:r>
      <w:r w:rsidR="005A4A42">
        <w:rPr>
          <w:rFonts w:ascii="Arial" w:hAnsi="Arial" w:cs="Arial"/>
          <w:color w:val="808080" w:themeColor="background1" w:themeShade="80"/>
          <w:sz w:val="22"/>
          <w:szCs w:val="22"/>
          <w:lang w:val="en-GB"/>
        </w:rPr>
        <w:t xml:space="preserve">appears to be </w:t>
      </w:r>
      <w:r w:rsidR="009B5882">
        <w:rPr>
          <w:rFonts w:ascii="Arial" w:hAnsi="Arial" w:cs="Arial"/>
          <w:color w:val="808080" w:themeColor="background1" w:themeShade="80"/>
          <w:sz w:val="22"/>
          <w:szCs w:val="22"/>
          <w:lang w:val="en-GB"/>
        </w:rPr>
        <w:t xml:space="preserve">relevant </w:t>
      </w:r>
      <w:r w:rsidR="003C6BF4">
        <w:rPr>
          <w:rFonts w:ascii="Arial" w:hAnsi="Arial" w:cs="Arial"/>
          <w:color w:val="808080" w:themeColor="background1" w:themeShade="80"/>
          <w:sz w:val="22"/>
          <w:szCs w:val="22"/>
          <w:lang w:val="en-GB"/>
        </w:rPr>
        <w:t xml:space="preserve">or potentially relevant </w:t>
      </w:r>
      <w:r w:rsidR="009B5882">
        <w:rPr>
          <w:rFonts w:ascii="Arial" w:hAnsi="Arial" w:cs="Arial"/>
          <w:color w:val="808080" w:themeColor="background1" w:themeShade="80"/>
          <w:sz w:val="22"/>
          <w:szCs w:val="22"/>
          <w:lang w:val="en-GB"/>
        </w:rPr>
        <w:t xml:space="preserve">to BNE LLC based on the facts of the case, </w:t>
      </w:r>
      <w:r w:rsidR="0024276A">
        <w:rPr>
          <w:rFonts w:ascii="Arial" w:hAnsi="Arial" w:cs="Arial"/>
          <w:color w:val="808080" w:themeColor="background1" w:themeShade="80"/>
          <w:sz w:val="22"/>
          <w:szCs w:val="22"/>
          <w:lang w:val="en-GB"/>
        </w:rPr>
        <w:t>shall be considered preferred and repaid in the stated order:</w:t>
      </w:r>
      <w:r w:rsidR="0024276A">
        <w:rPr>
          <w:rStyle w:val="FootnoteReference"/>
          <w:rFonts w:ascii="Arial" w:hAnsi="Arial" w:cs="Arial"/>
          <w:color w:val="808080" w:themeColor="background1" w:themeShade="80"/>
          <w:sz w:val="22"/>
          <w:szCs w:val="22"/>
          <w:lang w:val="en-GB"/>
        </w:rPr>
        <w:footnoteReference w:id="48"/>
      </w:r>
    </w:p>
    <w:p w14:paraId="29BA94F9" w14:textId="3B783786" w:rsidR="0024276A" w:rsidRDefault="00FF12C1" w:rsidP="0024276A">
      <w:pPr>
        <w:pStyle w:val="ListParagraph"/>
        <w:numPr>
          <w:ilvl w:val="1"/>
          <w:numId w:val="3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Any court costs or fees including the trustee’s fees.</w:t>
      </w:r>
    </w:p>
    <w:p w14:paraId="0DF6DF7B" w14:textId="48A68A99" w:rsidR="00FF12C1" w:rsidRDefault="00FF12C1" w:rsidP="0024276A">
      <w:pPr>
        <w:pStyle w:val="ListParagraph"/>
        <w:numPr>
          <w:ilvl w:val="1"/>
          <w:numId w:val="3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outstanding wages </w:t>
      </w:r>
      <w:r w:rsidR="00F80766">
        <w:rPr>
          <w:rFonts w:ascii="Arial" w:hAnsi="Arial" w:cs="Arial"/>
          <w:color w:val="808080" w:themeColor="background1" w:themeShade="80"/>
          <w:sz w:val="22"/>
          <w:szCs w:val="22"/>
          <w:lang w:val="en-GB"/>
        </w:rPr>
        <w:t>and salaries of BNE LLC’s staff</w:t>
      </w:r>
      <w:r w:rsidR="00225608">
        <w:rPr>
          <w:rFonts w:ascii="Arial" w:hAnsi="Arial" w:cs="Arial"/>
          <w:color w:val="808080" w:themeColor="background1" w:themeShade="80"/>
          <w:sz w:val="22"/>
          <w:szCs w:val="22"/>
          <w:lang w:val="en-GB"/>
        </w:rPr>
        <w:t>, not exceeding the wage or salary for 3 months.</w:t>
      </w:r>
    </w:p>
    <w:p w14:paraId="3FDDF1A1" w14:textId="77777777" w:rsidR="00EA7F3A" w:rsidRDefault="009B5882" w:rsidP="00C85115">
      <w:pPr>
        <w:pStyle w:val="ListParagraph"/>
        <w:numPr>
          <w:ilvl w:val="1"/>
          <w:numId w:val="3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amounts payable to government authorities.</w:t>
      </w:r>
    </w:p>
    <w:p w14:paraId="27798A90" w14:textId="203F0A27" w:rsidR="00C85115" w:rsidRPr="00EA7F3A" w:rsidRDefault="00EA7F3A" w:rsidP="00EA7F3A">
      <w:pPr>
        <w:pStyle w:val="ListParagraph"/>
        <w:numPr>
          <w:ilvl w:val="0"/>
          <w:numId w:val="32"/>
        </w:numPr>
        <w:jc w:val="both"/>
        <w:rPr>
          <w:rFonts w:ascii="Arial" w:hAnsi="Arial" w:cs="Arial"/>
          <w:color w:val="808080" w:themeColor="background1" w:themeShade="80"/>
          <w:sz w:val="22"/>
          <w:szCs w:val="22"/>
          <w:lang w:val="en-GB"/>
        </w:rPr>
      </w:pPr>
      <w:r>
        <w:rPr>
          <w:rFonts w:ascii="Arial" w:hAnsi="Arial" w:cs="Arial"/>
          <w:b/>
          <w:bCs/>
          <w:color w:val="808080" w:themeColor="background1" w:themeShade="80"/>
          <w:sz w:val="22"/>
          <w:szCs w:val="22"/>
          <w:lang w:val="en-GB"/>
        </w:rPr>
        <w:t xml:space="preserve">Ordinary Debts – </w:t>
      </w:r>
      <w:r w:rsidR="00C85115" w:rsidRPr="00EA7F3A">
        <w:rPr>
          <w:rFonts w:ascii="Arial" w:hAnsi="Arial" w:cs="Arial"/>
          <w:color w:val="808080" w:themeColor="background1" w:themeShade="80"/>
          <w:sz w:val="22"/>
          <w:szCs w:val="22"/>
          <w:lang w:val="en-GB"/>
        </w:rPr>
        <w:t xml:space="preserve">Upon payment of the secured creditor(s) and preferred debt(s), </w:t>
      </w:r>
      <w:r w:rsidR="00547206" w:rsidRPr="00EA7F3A">
        <w:rPr>
          <w:rFonts w:ascii="Arial" w:hAnsi="Arial" w:cs="Arial"/>
          <w:color w:val="808080" w:themeColor="background1" w:themeShade="80"/>
          <w:sz w:val="22"/>
          <w:szCs w:val="22"/>
          <w:lang w:val="en-GB"/>
        </w:rPr>
        <w:t>payment of ordinary claims against BNE LLC will be made.  Any surplus thereafter will be reimbursed to BNE LLC.</w:t>
      </w:r>
      <w:r w:rsidR="00547206">
        <w:rPr>
          <w:rStyle w:val="FootnoteReference"/>
          <w:rFonts w:ascii="Arial" w:hAnsi="Arial" w:cs="Arial"/>
          <w:color w:val="808080" w:themeColor="background1" w:themeShade="80"/>
          <w:sz w:val="22"/>
          <w:szCs w:val="22"/>
          <w:lang w:val="en-GB"/>
        </w:rPr>
        <w:footnoteReference w:id="49"/>
      </w:r>
    </w:p>
    <w:p w14:paraId="149E52F2" w14:textId="4E6032C5" w:rsidR="000E7448" w:rsidRPr="000E7448" w:rsidRDefault="000E7448" w:rsidP="00D21EB7">
      <w:pPr>
        <w:pStyle w:val="ListParagraph"/>
        <w:jc w:val="both"/>
        <w:rPr>
          <w:rFonts w:ascii="Arial" w:hAnsi="Arial" w:cs="Arial"/>
          <w:color w:val="808080" w:themeColor="background1" w:themeShade="80"/>
          <w:sz w:val="22"/>
          <w:szCs w:val="22"/>
          <w:lang w:val="en-GB"/>
        </w:rPr>
      </w:pPr>
    </w:p>
    <w:p w14:paraId="3C3297DB" w14:textId="69486E4E" w:rsidR="002C7865" w:rsidRDefault="006A6E3D"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Upon completion of the final distributions to creditors, the Court shall issue a decision to close the bankruptcy procedure</w:t>
      </w:r>
      <w:r w:rsidR="003D7005">
        <w:rPr>
          <w:rFonts w:ascii="Arial" w:hAnsi="Arial" w:cs="Arial"/>
          <w:color w:val="808080" w:themeColor="background1" w:themeShade="80"/>
          <w:sz w:val="22"/>
          <w:szCs w:val="22"/>
          <w:lang w:val="en-GB"/>
        </w:rPr>
        <w:t xml:space="preserve"> and the trustee shall return to BNE LLC all documents in </w:t>
      </w:r>
      <w:r w:rsidR="00E63B6E">
        <w:rPr>
          <w:rFonts w:ascii="Arial" w:hAnsi="Arial" w:cs="Arial"/>
          <w:color w:val="808080" w:themeColor="background1" w:themeShade="80"/>
          <w:sz w:val="22"/>
          <w:szCs w:val="22"/>
          <w:lang w:val="en-GB"/>
        </w:rPr>
        <w:t>their</w:t>
      </w:r>
      <w:r w:rsidR="0038649A">
        <w:rPr>
          <w:rFonts w:ascii="Arial" w:hAnsi="Arial" w:cs="Arial"/>
          <w:color w:val="808080" w:themeColor="background1" w:themeShade="80"/>
          <w:sz w:val="22"/>
          <w:szCs w:val="22"/>
          <w:lang w:val="en-GB"/>
        </w:rPr>
        <w:t xml:space="preserve"> c</w:t>
      </w:r>
      <w:r w:rsidR="003D7005">
        <w:rPr>
          <w:rFonts w:ascii="Arial" w:hAnsi="Arial" w:cs="Arial"/>
          <w:color w:val="808080" w:themeColor="background1" w:themeShade="80"/>
          <w:sz w:val="22"/>
          <w:szCs w:val="22"/>
          <w:lang w:val="en-GB"/>
        </w:rPr>
        <w:t>ustody.</w:t>
      </w:r>
      <w:r w:rsidR="003D7005">
        <w:rPr>
          <w:rStyle w:val="FootnoteReference"/>
          <w:rFonts w:ascii="Arial" w:hAnsi="Arial" w:cs="Arial"/>
          <w:color w:val="808080" w:themeColor="background1" w:themeShade="80"/>
          <w:sz w:val="22"/>
          <w:szCs w:val="22"/>
          <w:lang w:val="en-GB"/>
        </w:rPr>
        <w:footnoteReference w:id="50"/>
      </w:r>
    </w:p>
    <w:p w14:paraId="001536F1" w14:textId="77777777" w:rsidR="005C27B4" w:rsidRPr="005C27B4" w:rsidRDefault="005C27B4" w:rsidP="005C27B4">
      <w:pPr>
        <w:jc w:val="both"/>
        <w:rPr>
          <w:rFonts w:ascii="Arial" w:hAnsi="Arial" w:cs="Arial"/>
          <w:color w:val="808080" w:themeColor="background1" w:themeShade="80"/>
          <w:sz w:val="22"/>
          <w:szCs w:val="22"/>
          <w:lang w:val="en-GB"/>
        </w:rPr>
      </w:pPr>
    </w:p>
    <w:p w14:paraId="5BE1299C" w14:textId="7B3C0E9C" w:rsidR="003C0156" w:rsidRPr="00CA448F" w:rsidRDefault="003C0156" w:rsidP="00C76745">
      <w:pPr>
        <w:jc w:val="both"/>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C76745">
      <w:pPr>
        <w:jc w:val="both"/>
        <w:rPr>
          <w:rFonts w:ascii="Arial" w:hAnsi="Arial" w:cs="Arial"/>
          <w:sz w:val="22"/>
          <w:szCs w:val="22"/>
          <w:lang w:val="en-GB"/>
        </w:rPr>
      </w:pPr>
    </w:p>
    <w:p w14:paraId="4DB41691" w14:textId="155F3306"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 incorporated and registered a fully-owned subsidiary company in the DIFC to operate a restaurant in the DIFC, The subsidiary is called </w:t>
      </w:r>
      <w:r w:rsidR="007721EB">
        <w:rPr>
          <w:rFonts w:ascii="Arial" w:hAnsi="Arial" w:cs="Arial"/>
          <w:sz w:val="22"/>
          <w:szCs w:val="22"/>
          <w:lang w:val="en-GB"/>
        </w:rPr>
        <w:t>BNE</w:t>
      </w:r>
      <w:r w:rsidR="003C0156" w:rsidRPr="00CA448F">
        <w:rPr>
          <w:rFonts w:ascii="Arial" w:hAnsi="Arial" w:cs="Arial"/>
          <w:sz w:val="22"/>
          <w:szCs w:val="22"/>
          <w:lang w:val="en-GB"/>
        </w:rPr>
        <w:t xml:space="preserve"> Limited and it is incorporated as a DIFC company. </w:t>
      </w:r>
      <w:r w:rsidR="007721EB">
        <w:rPr>
          <w:rFonts w:ascii="Arial" w:hAnsi="Arial" w:cs="Arial"/>
          <w:sz w:val="22"/>
          <w:szCs w:val="22"/>
          <w:lang w:val="en-GB"/>
        </w:rPr>
        <w:t>BNE</w:t>
      </w:r>
      <w:r w:rsidR="003C0156" w:rsidRPr="00CA448F">
        <w:rPr>
          <w:rFonts w:ascii="Arial" w:hAnsi="Arial" w:cs="Arial"/>
          <w:sz w:val="22"/>
          <w:szCs w:val="22"/>
          <w:lang w:val="en-GB"/>
        </w:rPr>
        <w:t xml:space="preserve"> Limited is also unable to pay its debts. What actions can </w:t>
      </w:r>
      <w:r w:rsidR="007721EB">
        <w:rPr>
          <w:rFonts w:ascii="Arial" w:hAnsi="Arial" w:cs="Arial"/>
          <w:sz w:val="22"/>
          <w:szCs w:val="22"/>
          <w:lang w:val="en-GB"/>
        </w:rPr>
        <w:t>BNE</w:t>
      </w:r>
      <w:r w:rsidR="003C0156" w:rsidRPr="00CA448F">
        <w:rPr>
          <w:rFonts w:ascii="Arial" w:hAnsi="Arial" w:cs="Arial"/>
          <w:sz w:val="22"/>
          <w:szCs w:val="22"/>
          <w:lang w:val="en-GB"/>
        </w:rPr>
        <w:t xml:space="preserve"> Limited’s creditors take if they wish to see </w:t>
      </w:r>
      <w:r w:rsidR="007721EB">
        <w:rPr>
          <w:rFonts w:ascii="Arial" w:hAnsi="Arial" w:cs="Arial"/>
          <w:sz w:val="22"/>
          <w:szCs w:val="22"/>
          <w:lang w:val="en-GB"/>
        </w:rPr>
        <w:t>BNE</w:t>
      </w:r>
      <w:r w:rsidR="003C0156" w:rsidRPr="00CA448F">
        <w:rPr>
          <w:rFonts w:ascii="Arial" w:hAnsi="Arial" w:cs="Arial"/>
          <w:sz w:val="22"/>
          <w:szCs w:val="22"/>
          <w:lang w:val="en-GB"/>
        </w:rPr>
        <w:t xml:space="preserve"> Limited liquidated in the DIFC? In particular, who can take such actions</w:t>
      </w:r>
      <w:r w:rsidR="001D0A61" w:rsidRPr="00CA448F">
        <w:rPr>
          <w:rFonts w:ascii="Arial" w:hAnsi="Arial" w:cs="Arial"/>
          <w:sz w:val="22"/>
          <w:szCs w:val="22"/>
          <w:lang w:val="en-GB"/>
        </w:rPr>
        <w:t xml:space="preserve"> and</w:t>
      </w:r>
      <w:r w:rsidR="003C0156" w:rsidRPr="00CA448F">
        <w:rPr>
          <w:rFonts w:ascii="Arial" w:hAnsi="Arial" w:cs="Arial"/>
          <w:sz w:val="22"/>
          <w:szCs w:val="22"/>
          <w:lang w:val="en-GB"/>
        </w:rPr>
        <w:t xml:space="preserve"> what steps would have to be taken? If </w:t>
      </w:r>
      <w:r w:rsidR="007721EB">
        <w:rPr>
          <w:rFonts w:ascii="Arial" w:hAnsi="Arial" w:cs="Arial"/>
          <w:sz w:val="22"/>
          <w:szCs w:val="22"/>
          <w:lang w:val="en-GB"/>
        </w:rPr>
        <w:t>BNE</w:t>
      </w:r>
      <w:r w:rsidR="00964771">
        <w:rPr>
          <w:rFonts w:ascii="Arial" w:hAnsi="Arial" w:cs="Arial"/>
          <w:sz w:val="22"/>
          <w:szCs w:val="22"/>
          <w:lang w:val="en-GB"/>
        </w:rPr>
        <w:t xml:space="preserve"> Limited</w:t>
      </w:r>
      <w:r w:rsidR="003C0156" w:rsidRPr="00CA448F">
        <w:rPr>
          <w:rFonts w:ascii="Arial" w:hAnsi="Arial" w:cs="Arial"/>
          <w:sz w:val="22"/>
          <w:szCs w:val="22"/>
          <w:lang w:val="en-GB"/>
        </w:rPr>
        <w:t xml:space="preserve"> was to be wound up, who would be responsible for it and what process would be adopted for addressing creditor claims in the winding up?</w:t>
      </w:r>
    </w:p>
    <w:p w14:paraId="547A8353" w14:textId="7B0CE2A3" w:rsidR="00640623" w:rsidRPr="00CA448F" w:rsidRDefault="00640623" w:rsidP="00C76745">
      <w:pPr>
        <w:jc w:val="both"/>
        <w:rPr>
          <w:rFonts w:ascii="Arial" w:hAnsi="Arial" w:cs="Arial"/>
          <w:sz w:val="22"/>
          <w:szCs w:val="22"/>
          <w:lang w:val="en-GB"/>
        </w:rPr>
      </w:pPr>
    </w:p>
    <w:p w14:paraId="566FD3D9" w14:textId="5AB41630" w:rsidR="008E0A67" w:rsidRPr="008E0A67" w:rsidRDefault="008E0A67" w:rsidP="00C76745">
      <w:pPr>
        <w:jc w:val="both"/>
        <w:rPr>
          <w:rFonts w:ascii="Arial" w:hAnsi="Arial" w:cs="Arial"/>
          <w:b/>
          <w:bCs/>
          <w:color w:val="808080" w:themeColor="background1" w:themeShade="80"/>
          <w:sz w:val="22"/>
          <w:szCs w:val="22"/>
          <w:lang w:val="en-GB"/>
        </w:rPr>
      </w:pPr>
      <w:r>
        <w:rPr>
          <w:rFonts w:ascii="Arial" w:hAnsi="Arial" w:cs="Arial"/>
          <w:b/>
          <w:bCs/>
          <w:color w:val="808080" w:themeColor="background1" w:themeShade="80"/>
          <w:sz w:val="22"/>
          <w:szCs w:val="22"/>
          <w:lang w:val="en-GB"/>
        </w:rPr>
        <w:t>Commencement of winding up and appointment of liquidator</w:t>
      </w:r>
    </w:p>
    <w:p w14:paraId="12291224" w14:textId="77777777" w:rsidR="008E0A67" w:rsidRDefault="008E0A67" w:rsidP="00C76745">
      <w:pPr>
        <w:jc w:val="both"/>
        <w:rPr>
          <w:rFonts w:ascii="Arial" w:hAnsi="Arial" w:cs="Arial"/>
          <w:color w:val="808080" w:themeColor="background1" w:themeShade="80"/>
          <w:sz w:val="22"/>
          <w:szCs w:val="22"/>
          <w:lang w:val="en-GB"/>
        </w:rPr>
      </w:pPr>
    </w:p>
    <w:p w14:paraId="385F7F1A" w14:textId="1B1F1303" w:rsidR="00640623" w:rsidRDefault="0041471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One of the circumstances in which a company may be wound up by the Court is where the Company is unable to pay its debts.</w:t>
      </w:r>
      <w:r>
        <w:rPr>
          <w:rStyle w:val="FootnoteReference"/>
          <w:rFonts w:ascii="Arial" w:hAnsi="Arial" w:cs="Arial"/>
          <w:color w:val="808080" w:themeColor="background1" w:themeShade="80"/>
          <w:sz w:val="22"/>
          <w:szCs w:val="22"/>
          <w:lang w:val="en-GB"/>
        </w:rPr>
        <w:footnoteReference w:id="51"/>
      </w:r>
      <w:r w:rsidR="00210F47">
        <w:rPr>
          <w:rFonts w:ascii="Arial" w:hAnsi="Arial" w:cs="Arial"/>
          <w:color w:val="808080" w:themeColor="background1" w:themeShade="80"/>
          <w:sz w:val="22"/>
          <w:szCs w:val="22"/>
          <w:lang w:val="en-GB"/>
        </w:rPr>
        <w:t xml:space="preserve">  A company is deemed unable to pay its debts if:</w:t>
      </w:r>
      <w:r w:rsidR="00210F47">
        <w:rPr>
          <w:rStyle w:val="FootnoteReference"/>
          <w:rFonts w:ascii="Arial" w:hAnsi="Arial" w:cs="Arial"/>
          <w:color w:val="808080" w:themeColor="background1" w:themeShade="80"/>
          <w:sz w:val="22"/>
          <w:szCs w:val="22"/>
          <w:lang w:val="en-GB"/>
        </w:rPr>
        <w:footnoteReference w:id="52"/>
      </w:r>
    </w:p>
    <w:p w14:paraId="4B0148AE" w14:textId="77777777" w:rsidR="00540574" w:rsidRDefault="00540574" w:rsidP="00C76745">
      <w:pPr>
        <w:jc w:val="both"/>
        <w:rPr>
          <w:rFonts w:ascii="Arial" w:hAnsi="Arial" w:cs="Arial"/>
          <w:color w:val="808080" w:themeColor="background1" w:themeShade="80"/>
          <w:sz w:val="22"/>
          <w:szCs w:val="22"/>
          <w:lang w:val="en-GB"/>
        </w:rPr>
      </w:pPr>
    </w:p>
    <w:p w14:paraId="4C98F042" w14:textId="0ABAC182" w:rsidR="00540574" w:rsidRDefault="00540574" w:rsidP="00540574">
      <w:pPr>
        <w:pStyle w:val="ListParagraph"/>
        <w:numPr>
          <w:ilvl w:val="0"/>
          <w:numId w:val="3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creditor </w:t>
      </w:r>
      <w:r w:rsidR="00910C4E">
        <w:rPr>
          <w:rFonts w:ascii="Arial" w:hAnsi="Arial" w:cs="Arial"/>
          <w:color w:val="808080" w:themeColor="background1" w:themeShade="80"/>
          <w:sz w:val="22"/>
          <w:szCs w:val="22"/>
          <w:lang w:val="en-GB"/>
        </w:rPr>
        <w:t>of a sum exceeding $2,000 which is due and payable has served a written demand on the company</w:t>
      </w:r>
      <w:r w:rsidR="005C1D86">
        <w:rPr>
          <w:rFonts w:ascii="Arial" w:hAnsi="Arial" w:cs="Arial"/>
          <w:color w:val="808080" w:themeColor="background1" w:themeShade="80"/>
          <w:sz w:val="22"/>
          <w:szCs w:val="22"/>
          <w:lang w:val="en-GB"/>
        </w:rPr>
        <w:t xml:space="preserve"> requiring it to pay the sum due and the company has for 3 </w:t>
      </w:r>
      <w:r w:rsidR="005C1D86">
        <w:rPr>
          <w:rFonts w:ascii="Arial" w:hAnsi="Arial" w:cs="Arial"/>
          <w:color w:val="808080" w:themeColor="background1" w:themeShade="80"/>
          <w:sz w:val="22"/>
          <w:szCs w:val="22"/>
          <w:lang w:val="en-GB"/>
        </w:rPr>
        <w:lastRenderedPageBreak/>
        <w:t>weeks thereafter, neglected to pay the sum or agree terms relating to its payment to the reasonable satisfaction of the creditor.</w:t>
      </w:r>
    </w:p>
    <w:p w14:paraId="32F7F025" w14:textId="7B6E7EA1" w:rsidR="003F524C" w:rsidRDefault="00AA31F1" w:rsidP="00540574">
      <w:pPr>
        <w:pStyle w:val="ListParagraph"/>
        <w:numPr>
          <w:ilvl w:val="0"/>
          <w:numId w:val="3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Execution or other process issued on a judgment, decree or order of any court in favour of a creditor is returned unsatisfied in whole or in part.</w:t>
      </w:r>
    </w:p>
    <w:p w14:paraId="77BAF699" w14:textId="38E87B37" w:rsidR="00AA31F1" w:rsidRDefault="00AA31F1" w:rsidP="00540574">
      <w:pPr>
        <w:pStyle w:val="ListParagraph"/>
        <w:numPr>
          <w:ilvl w:val="0"/>
          <w:numId w:val="3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is proved to the satisfaction of the court that the company is unable </w:t>
      </w:r>
      <w:r w:rsidR="004D2643">
        <w:rPr>
          <w:rFonts w:ascii="Arial" w:hAnsi="Arial" w:cs="Arial"/>
          <w:color w:val="808080" w:themeColor="background1" w:themeShade="80"/>
          <w:sz w:val="22"/>
          <w:szCs w:val="22"/>
          <w:lang w:val="en-GB"/>
        </w:rPr>
        <w:t>to pay its debts as they fall due.</w:t>
      </w:r>
    </w:p>
    <w:p w14:paraId="626943F4" w14:textId="4E546FB4" w:rsidR="00EB2196" w:rsidRDefault="00EB2196" w:rsidP="00540574">
      <w:pPr>
        <w:pStyle w:val="ListParagraph"/>
        <w:numPr>
          <w:ilvl w:val="0"/>
          <w:numId w:val="3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is proved to the satisfaction of the Court that the value of the company’s current assets is less than the amount of its current liabilities, taking into account its contingent and prospective liabilities. </w:t>
      </w:r>
    </w:p>
    <w:p w14:paraId="02114343" w14:textId="77777777" w:rsidR="008A2C2C" w:rsidRDefault="008A2C2C" w:rsidP="008A2C2C">
      <w:pPr>
        <w:jc w:val="both"/>
        <w:rPr>
          <w:rFonts w:ascii="Arial" w:hAnsi="Arial" w:cs="Arial"/>
          <w:color w:val="808080" w:themeColor="background1" w:themeShade="80"/>
          <w:sz w:val="22"/>
          <w:szCs w:val="22"/>
          <w:lang w:val="en-GB"/>
        </w:rPr>
      </w:pPr>
    </w:p>
    <w:p w14:paraId="4EC2D30F" w14:textId="2274C5D8" w:rsidR="008A2C2C" w:rsidRDefault="00B704F6" w:rsidP="008A2C2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 application to the Court for the winding up of BNE Limited may be presented by</w:t>
      </w:r>
      <w:r w:rsidR="00247AEB">
        <w:rPr>
          <w:rFonts w:ascii="Arial" w:hAnsi="Arial" w:cs="Arial"/>
          <w:color w:val="808080" w:themeColor="background1" w:themeShade="80"/>
          <w:sz w:val="22"/>
          <w:szCs w:val="22"/>
          <w:lang w:val="en-GB"/>
        </w:rPr>
        <w:t>, among others,</w:t>
      </w:r>
      <w:r>
        <w:rPr>
          <w:rFonts w:ascii="Arial" w:hAnsi="Arial" w:cs="Arial"/>
          <w:color w:val="808080" w:themeColor="background1" w:themeShade="80"/>
          <w:sz w:val="22"/>
          <w:szCs w:val="22"/>
          <w:lang w:val="en-GB"/>
        </w:rPr>
        <w:t xml:space="preserve"> any creditor including any contingent or prospective creditor.</w:t>
      </w:r>
      <w:r w:rsidR="00A43F87">
        <w:rPr>
          <w:rStyle w:val="FootnoteReference"/>
          <w:rFonts w:ascii="Arial" w:hAnsi="Arial" w:cs="Arial"/>
          <w:color w:val="808080" w:themeColor="background1" w:themeShade="80"/>
          <w:sz w:val="22"/>
          <w:szCs w:val="22"/>
          <w:lang w:val="en-GB"/>
        </w:rPr>
        <w:footnoteReference w:id="53"/>
      </w:r>
      <w:r w:rsidR="00D8013E">
        <w:rPr>
          <w:rFonts w:ascii="Arial" w:hAnsi="Arial" w:cs="Arial"/>
          <w:color w:val="808080" w:themeColor="background1" w:themeShade="80"/>
          <w:sz w:val="22"/>
          <w:szCs w:val="22"/>
          <w:lang w:val="en-GB"/>
        </w:rPr>
        <w:t xml:space="preserve">  </w:t>
      </w:r>
      <w:r w:rsidR="00D97721">
        <w:rPr>
          <w:rFonts w:ascii="Arial" w:hAnsi="Arial" w:cs="Arial"/>
          <w:color w:val="808080" w:themeColor="background1" w:themeShade="80"/>
          <w:sz w:val="22"/>
          <w:szCs w:val="22"/>
          <w:lang w:val="en-GB"/>
        </w:rPr>
        <w:t xml:space="preserve">Based on the facts of the case, BNE Limited is unable to pay its debts.  As such, the creditor’s application </w:t>
      </w:r>
      <w:r w:rsidR="00B97D97">
        <w:rPr>
          <w:rFonts w:ascii="Arial" w:hAnsi="Arial" w:cs="Arial"/>
          <w:color w:val="808080" w:themeColor="background1" w:themeShade="80"/>
          <w:sz w:val="22"/>
          <w:szCs w:val="22"/>
          <w:lang w:val="en-GB"/>
        </w:rPr>
        <w:t>would be on the basis of BNE Limited’s inability to pay its debts.</w:t>
      </w:r>
    </w:p>
    <w:p w14:paraId="3E05DEA9" w14:textId="77777777" w:rsidR="0081152C" w:rsidRDefault="0081152C" w:rsidP="008A2C2C">
      <w:pPr>
        <w:jc w:val="both"/>
        <w:rPr>
          <w:rFonts w:ascii="Arial" w:hAnsi="Arial" w:cs="Arial"/>
          <w:color w:val="808080" w:themeColor="background1" w:themeShade="80"/>
          <w:sz w:val="22"/>
          <w:szCs w:val="22"/>
          <w:lang w:val="en-GB"/>
        </w:rPr>
      </w:pPr>
    </w:p>
    <w:p w14:paraId="4CF82CE6" w14:textId="15CEF3FF" w:rsidR="0081152C" w:rsidRDefault="001457AB" w:rsidP="008A2C2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respect of choice of liquidator, the winding up order shall identify the person who is to act as such </w:t>
      </w:r>
      <w:r w:rsidR="00AC5807">
        <w:rPr>
          <w:rFonts w:ascii="Arial" w:hAnsi="Arial" w:cs="Arial"/>
          <w:color w:val="808080" w:themeColor="background1" w:themeShade="80"/>
          <w:sz w:val="22"/>
          <w:szCs w:val="22"/>
          <w:lang w:val="en-GB"/>
        </w:rPr>
        <w:t>immediately upon the order being made.  That person may either continue the liquidation or seek nomination from BNE Limited’s creditors for the purpose of choosing a person to be the liquidator.</w:t>
      </w:r>
      <w:r w:rsidR="00AC5807">
        <w:rPr>
          <w:rStyle w:val="FootnoteReference"/>
          <w:rFonts w:ascii="Arial" w:hAnsi="Arial" w:cs="Arial"/>
          <w:color w:val="808080" w:themeColor="background1" w:themeShade="80"/>
          <w:sz w:val="22"/>
          <w:szCs w:val="22"/>
          <w:lang w:val="en-GB"/>
        </w:rPr>
        <w:footnoteReference w:id="54"/>
      </w:r>
    </w:p>
    <w:p w14:paraId="127F01B1" w14:textId="77777777" w:rsidR="00B97D97" w:rsidRDefault="00B97D97" w:rsidP="008A2C2C">
      <w:pPr>
        <w:jc w:val="both"/>
        <w:rPr>
          <w:rFonts w:ascii="Arial" w:hAnsi="Arial" w:cs="Arial"/>
          <w:color w:val="808080" w:themeColor="background1" w:themeShade="80"/>
          <w:sz w:val="22"/>
          <w:szCs w:val="22"/>
          <w:lang w:val="en-GB"/>
        </w:rPr>
      </w:pPr>
    </w:p>
    <w:p w14:paraId="56D5F99D" w14:textId="007235BB" w:rsidR="00B97D97" w:rsidRDefault="005D524A" w:rsidP="008A2C2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Assuming the winding up application is granted, upon the making of a winding up order, no action or proceeding shall be commenced or continued against BNE Limited or its property, except by leave of the Court.</w:t>
      </w:r>
      <w:r>
        <w:rPr>
          <w:rStyle w:val="FootnoteReference"/>
          <w:rFonts w:ascii="Arial" w:hAnsi="Arial" w:cs="Arial"/>
          <w:color w:val="808080" w:themeColor="background1" w:themeShade="80"/>
          <w:sz w:val="22"/>
          <w:szCs w:val="22"/>
          <w:lang w:val="en-GB"/>
        </w:rPr>
        <w:footnoteReference w:id="55"/>
      </w:r>
    </w:p>
    <w:p w14:paraId="4FF46F8F" w14:textId="77777777" w:rsidR="00A80F89" w:rsidRDefault="00A80F89" w:rsidP="008A2C2C">
      <w:pPr>
        <w:jc w:val="both"/>
        <w:rPr>
          <w:rFonts w:ascii="Arial" w:hAnsi="Arial" w:cs="Arial"/>
          <w:color w:val="808080" w:themeColor="background1" w:themeShade="80"/>
          <w:sz w:val="22"/>
          <w:szCs w:val="22"/>
          <w:lang w:val="en-GB"/>
        </w:rPr>
      </w:pPr>
    </w:p>
    <w:p w14:paraId="782F72B7" w14:textId="043DE201" w:rsidR="00674290" w:rsidRPr="00674290" w:rsidRDefault="00674290" w:rsidP="008A2C2C">
      <w:pPr>
        <w:jc w:val="both"/>
        <w:rPr>
          <w:rFonts w:ascii="Arial" w:hAnsi="Arial" w:cs="Arial"/>
          <w:b/>
          <w:bCs/>
          <w:color w:val="808080" w:themeColor="background1" w:themeShade="80"/>
          <w:sz w:val="22"/>
          <w:szCs w:val="22"/>
          <w:lang w:val="en-GB"/>
        </w:rPr>
      </w:pPr>
      <w:r>
        <w:rPr>
          <w:rFonts w:ascii="Arial" w:hAnsi="Arial" w:cs="Arial"/>
          <w:b/>
          <w:bCs/>
          <w:color w:val="808080" w:themeColor="background1" w:themeShade="80"/>
          <w:sz w:val="22"/>
          <w:szCs w:val="22"/>
          <w:lang w:val="en-GB"/>
        </w:rPr>
        <w:t>Role of the liquidator</w:t>
      </w:r>
    </w:p>
    <w:p w14:paraId="695D3F5C" w14:textId="77777777" w:rsidR="00674290" w:rsidRDefault="00674290" w:rsidP="008A2C2C">
      <w:pPr>
        <w:jc w:val="both"/>
        <w:rPr>
          <w:rFonts w:ascii="Arial" w:hAnsi="Arial" w:cs="Arial"/>
          <w:color w:val="808080" w:themeColor="background1" w:themeShade="80"/>
          <w:sz w:val="22"/>
          <w:szCs w:val="22"/>
          <w:lang w:val="en-GB"/>
        </w:rPr>
      </w:pPr>
    </w:p>
    <w:p w14:paraId="1AFB8993" w14:textId="68FD9FAA" w:rsidR="00A80F89" w:rsidRDefault="00A04C51" w:rsidP="008A2C2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general functions of the liquidator of BNE Limited would be to ensure that its assets are got in or otherwise secured, realized and distributed to its creditors and, if there is a surplus, to the persons entitled to it.</w:t>
      </w:r>
      <w:r>
        <w:rPr>
          <w:rStyle w:val="FootnoteReference"/>
          <w:rFonts w:ascii="Arial" w:hAnsi="Arial" w:cs="Arial"/>
          <w:color w:val="808080" w:themeColor="background1" w:themeShade="80"/>
          <w:sz w:val="22"/>
          <w:szCs w:val="22"/>
          <w:lang w:val="en-GB"/>
        </w:rPr>
        <w:footnoteReference w:id="56"/>
      </w:r>
    </w:p>
    <w:p w14:paraId="086D54DB" w14:textId="77777777" w:rsidR="00BB7CF2" w:rsidRDefault="00BB7CF2" w:rsidP="008A2C2C">
      <w:pPr>
        <w:jc w:val="both"/>
        <w:rPr>
          <w:rFonts w:ascii="Arial" w:hAnsi="Arial" w:cs="Arial"/>
          <w:color w:val="808080" w:themeColor="background1" w:themeShade="80"/>
          <w:sz w:val="22"/>
          <w:szCs w:val="22"/>
          <w:lang w:val="en-GB"/>
        </w:rPr>
      </w:pPr>
    </w:p>
    <w:p w14:paraId="3F49F7C2" w14:textId="29DF656E" w:rsidR="00BB7CF2" w:rsidRDefault="001D6DF4" w:rsidP="008A2C2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Should a creditor(s) </w:t>
      </w:r>
      <w:r w:rsidR="002574A3">
        <w:rPr>
          <w:rFonts w:ascii="Arial" w:hAnsi="Arial" w:cs="Arial"/>
          <w:color w:val="808080" w:themeColor="background1" w:themeShade="80"/>
          <w:sz w:val="22"/>
          <w:szCs w:val="22"/>
          <w:lang w:val="en-GB"/>
        </w:rPr>
        <w:t>not file a proof of claim in the liquidation</w:t>
      </w:r>
      <w:r w:rsidR="00517FC4">
        <w:rPr>
          <w:rFonts w:ascii="Arial" w:hAnsi="Arial" w:cs="Arial"/>
          <w:color w:val="808080" w:themeColor="background1" w:themeShade="80"/>
          <w:sz w:val="22"/>
          <w:szCs w:val="22"/>
          <w:lang w:val="en-GB"/>
        </w:rPr>
        <w:t xml:space="preserve"> (discussed further below)</w:t>
      </w:r>
      <w:r w:rsidR="002574A3">
        <w:rPr>
          <w:rFonts w:ascii="Arial" w:hAnsi="Arial" w:cs="Arial"/>
          <w:color w:val="808080" w:themeColor="background1" w:themeShade="80"/>
          <w:sz w:val="22"/>
          <w:szCs w:val="22"/>
          <w:lang w:val="en-GB"/>
        </w:rPr>
        <w:t xml:space="preserve"> despite the liquidator taking the necessary steps to give notice of the liquidation, the Court </w:t>
      </w:r>
      <w:r w:rsidR="00E92F58">
        <w:rPr>
          <w:rFonts w:ascii="Arial" w:hAnsi="Arial" w:cs="Arial"/>
          <w:color w:val="808080" w:themeColor="background1" w:themeShade="80"/>
          <w:sz w:val="22"/>
          <w:szCs w:val="22"/>
          <w:lang w:val="en-GB"/>
        </w:rPr>
        <w:t xml:space="preserve">may fix a time(s) after which such creditor(s) will be excluded from the benefit of any distribution made </w:t>
      </w:r>
      <w:r w:rsidR="007A6040">
        <w:rPr>
          <w:rFonts w:ascii="Arial" w:hAnsi="Arial" w:cs="Arial"/>
          <w:color w:val="808080" w:themeColor="background1" w:themeShade="80"/>
          <w:sz w:val="22"/>
          <w:szCs w:val="22"/>
          <w:lang w:val="en-GB"/>
        </w:rPr>
        <w:t>before such debts are proved.</w:t>
      </w:r>
      <w:r w:rsidR="007A6040">
        <w:rPr>
          <w:rStyle w:val="FootnoteReference"/>
          <w:rFonts w:ascii="Arial" w:hAnsi="Arial" w:cs="Arial"/>
          <w:color w:val="808080" w:themeColor="background1" w:themeShade="80"/>
          <w:sz w:val="22"/>
          <w:szCs w:val="22"/>
          <w:lang w:val="en-GB"/>
        </w:rPr>
        <w:footnoteReference w:id="57"/>
      </w:r>
    </w:p>
    <w:p w14:paraId="008FD552" w14:textId="77777777" w:rsidR="00782554" w:rsidRDefault="00782554" w:rsidP="008A2C2C">
      <w:pPr>
        <w:jc w:val="both"/>
        <w:rPr>
          <w:rFonts w:ascii="Arial" w:hAnsi="Arial" w:cs="Arial"/>
          <w:color w:val="808080" w:themeColor="background1" w:themeShade="80"/>
          <w:sz w:val="22"/>
          <w:szCs w:val="22"/>
          <w:lang w:val="en-GB"/>
        </w:rPr>
      </w:pPr>
    </w:p>
    <w:p w14:paraId="34D40948" w14:textId="7D05DFE8" w:rsidR="00782554" w:rsidRDefault="007A52D6" w:rsidP="008A2C2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During the winding up, BNE Limited’s preferential debts shall be paid in priority to all other debts.</w:t>
      </w:r>
      <w:r>
        <w:rPr>
          <w:rStyle w:val="FootnoteReference"/>
          <w:rFonts w:ascii="Arial" w:hAnsi="Arial" w:cs="Arial"/>
          <w:color w:val="808080" w:themeColor="background1" w:themeShade="80"/>
          <w:sz w:val="22"/>
          <w:szCs w:val="22"/>
          <w:lang w:val="en-GB"/>
        </w:rPr>
        <w:footnoteReference w:id="58"/>
      </w:r>
      <w:r>
        <w:rPr>
          <w:rFonts w:ascii="Arial" w:hAnsi="Arial" w:cs="Arial"/>
          <w:color w:val="808080" w:themeColor="background1" w:themeShade="80"/>
          <w:sz w:val="22"/>
          <w:szCs w:val="22"/>
          <w:lang w:val="en-GB"/>
        </w:rPr>
        <w:t xml:space="preserve">  In addition, </w:t>
      </w:r>
      <w:r w:rsidR="007454C0">
        <w:rPr>
          <w:rFonts w:ascii="Arial" w:hAnsi="Arial" w:cs="Arial"/>
          <w:color w:val="808080" w:themeColor="background1" w:themeShade="80"/>
          <w:sz w:val="22"/>
          <w:szCs w:val="22"/>
          <w:lang w:val="en-GB"/>
        </w:rPr>
        <w:t xml:space="preserve">in the event of BNE Limited’s assets being insufficient to satisfy its liabilities, the Court may make an order as to the payment of the expenses incurred </w:t>
      </w:r>
      <w:r w:rsidR="00DE49B6">
        <w:rPr>
          <w:rFonts w:ascii="Arial" w:hAnsi="Arial" w:cs="Arial"/>
          <w:color w:val="808080" w:themeColor="background1" w:themeShade="80"/>
          <w:sz w:val="22"/>
          <w:szCs w:val="22"/>
          <w:lang w:val="en-GB"/>
        </w:rPr>
        <w:t>in the winding up out of BNE Limited’s assets, in such order of priority as the Court thinks fit.</w:t>
      </w:r>
      <w:r w:rsidR="00DE49B6">
        <w:rPr>
          <w:rStyle w:val="FootnoteReference"/>
          <w:rFonts w:ascii="Arial" w:hAnsi="Arial" w:cs="Arial"/>
          <w:color w:val="808080" w:themeColor="background1" w:themeShade="80"/>
          <w:sz w:val="22"/>
          <w:szCs w:val="22"/>
          <w:lang w:val="en-GB"/>
        </w:rPr>
        <w:footnoteReference w:id="59"/>
      </w:r>
    </w:p>
    <w:p w14:paraId="1119982F" w14:textId="77777777" w:rsidR="002A5A6B" w:rsidRDefault="002A5A6B" w:rsidP="008A2C2C">
      <w:pPr>
        <w:jc w:val="both"/>
        <w:rPr>
          <w:rFonts w:ascii="Arial" w:hAnsi="Arial" w:cs="Arial"/>
          <w:color w:val="808080" w:themeColor="background1" w:themeShade="80"/>
          <w:sz w:val="22"/>
          <w:szCs w:val="22"/>
          <w:lang w:val="en-GB"/>
        </w:rPr>
      </w:pPr>
    </w:p>
    <w:p w14:paraId="1942975D" w14:textId="52BCBFE6" w:rsidR="002A5A6B" w:rsidRDefault="002A5A6B" w:rsidP="008A2C2C">
      <w:pPr>
        <w:jc w:val="both"/>
        <w:rPr>
          <w:rFonts w:ascii="Arial" w:hAnsi="Arial" w:cs="Arial"/>
          <w:b/>
          <w:bCs/>
          <w:color w:val="808080" w:themeColor="background1" w:themeShade="80"/>
          <w:sz w:val="22"/>
          <w:szCs w:val="22"/>
          <w:lang w:val="en-GB"/>
        </w:rPr>
      </w:pPr>
      <w:r>
        <w:rPr>
          <w:rFonts w:ascii="Arial" w:hAnsi="Arial" w:cs="Arial"/>
          <w:b/>
          <w:bCs/>
          <w:color w:val="808080" w:themeColor="background1" w:themeShade="80"/>
          <w:sz w:val="22"/>
          <w:szCs w:val="22"/>
          <w:lang w:val="en-GB"/>
        </w:rPr>
        <w:t>Creditor Claims</w:t>
      </w:r>
    </w:p>
    <w:p w14:paraId="5219F1C4" w14:textId="6509576B" w:rsidR="002A5A6B" w:rsidRDefault="002A5A6B" w:rsidP="008A2C2C">
      <w:pPr>
        <w:jc w:val="both"/>
        <w:rPr>
          <w:rFonts w:ascii="Arial" w:hAnsi="Arial" w:cs="Arial"/>
          <w:b/>
          <w:bCs/>
          <w:color w:val="808080" w:themeColor="background1" w:themeShade="80"/>
          <w:sz w:val="22"/>
          <w:szCs w:val="22"/>
          <w:lang w:val="en-GB"/>
        </w:rPr>
      </w:pPr>
    </w:p>
    <w:p w14:paraId="49827EBF" w14:textId="27F7C7CF" w:rsidR="00144535" w:rsidRDefault="002177C9" w:rsidP="008A2C2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respect of creditors, during the winding up of BNE Limited, a creditor wishing to </w:t>
      </w:r>
      <w:r w:rsidR="00CE7751">
        <w:rPr>
          <w:rFonts w:ascii="Arial" w:hAnsi="Arial" w:cs="Arial"/>
          <w:color w:val="808080" w:themeColor="background1" w:themeShade="80"/>
          <w:sz w:val="22"/>
          <w:szCs w:val="22"/>
          <w:lang w:val="en-GB"/>
        </w:rPr>
        <w:t>re</w:t>
      </w:r>
      <w:r>
        <w:rPr>
          <w:rFonts w:ascii="Arial" w:hAnsi="Arial" w:cs="Arial"/>
          <w:color w:val="808080" w:themeColor="background1" w:themeShade="80"/>
          <w:sz w:val="22"/>
          <w:szCs w:val="22"/>
          <w:lang w:val="en-GB"/>
        </w:rPr>
        <w:t>cover its debt in whole or in part must submit their claim in writing to the liquidator.</w:t>
      </w:r>
      <w:r w:rsidR="00442720">
        <w:rPr>
          <w:rFonts w:ascii="Arial" w:hAnsi="Arial" w:cs="Arial"/>
          <w:color w:val="808080" w:themeColor="background1" w:themeShade="80"/>
          <w:sz w:val="22"/>
          <w:szCs w:val="22"/>
          <w:lang w:val="en-GB"/>
        </w:rPr>
        <w:t xml:space="preserve">  </w:t>
      </w:r>
      <w:r w:rsidR="00C559F8">
        <w:rPr>
          <w:rFonts w:ascii="Arial" w:hAnsi="Arial" w:cs="Arial"/>
          <w:color w:val="808080" w:themeColor="background1" w:themeShade="80"/>
          <w:sz w:val="22"/>
          <w:szCs w:val="22"/>
          <w:lang w:val="en-GB"/>
        </w:rPr>
        <w:t>Information and documentation in support of the claim (</w:t>
      </w:r>
      <w:r w:rsidR="00BB23EF">
        <w:rPr>
          <w:rFonts w:ascii="Arial" w:hAnsi="Arial" w:cs="Arial"/>
          <w:color w:val="808080" w:themeColor="background1" w:themeShade="80"/>
          <w:sz w:val="22"/>
          <w:szCs w:val="22"/>
          <w:lang w:val="en-GB"/>
        </w:rPr>
        <w:t xml:space="preserve">including in respect of the amount of claim, particulars </w:t>
      </w:r>
      <w:r w:rsidR="00BB23EF">
        <w:rPr>
          <w:rFonts w:ascii="Arial" w:hAnsi="Arial" w:cs="Arial"/>
          <w:color w:val="808080" w:themeColor="background1" w:themeShade="80"/>
          <w:sz w:val="22"/>
          <w:szCs w:val="22"/>
          <w:lang w:val="en-GB"/>
        </w:rPr>
        <w:lastRenderedPageBreak/>
        <w:t>of how and when debt was incurred, and particulars of any security interest)</w:t>
      </w:r>
      <w:r w:rsidR="000F4019">
        <w:rPr>
          <w:rFonts w:ascii="Arial" w:hAnsi="Arial" w:cs="Arial"/>
          <w:color w:val="808080" w:themeColor="background1" w:themeShade="80"/>
          <w:sz w:val="22"/>
          <w:szCs w:val="22"/>
          <w:lang w:val="en-GB"/>
        </w:rPr>
        <w:t xml:space="preserve"> must be included</w:t>
      </w:r>
      <w:r w:rsidR="00BB23EF">
        <w:rPr>
          <w:rFonts w:ascii="Arial" w:hAnsi="Arial" w:cs="Arial"/>
          <w:color w:val="808080" w:themeColor="background1" w:themeShade="80"/>
          <w:sz w:val="22"/>
          <w:szCs w:val="22"/>
          <w:lang w:val="en-GB"/>
        </w:rPr>
        <w:t>.</w:t>
      </w:r>
      <w:r w:rsidR="001244F9">
        <w:rPr>
          <w:rStyle w:val="FootnoteReference"/>
          <w:rFonts w:ascii="Arial" w:hAnsi="Arial" w:cs="Arial"/>
          <w:color w:val="808080" w:themeColor="background1" w:themeShade="80"/>
          <w:sz w:val="22"/>
          <w:szCs w:val="22"/>
          <w:lang w:val="en-GB"/>
        </w:rPr>
        <w:footnoteReference w:id="60"/>
      </w:r>
    </w:p>
    <w:p w14:paraId="451018FF" w14:textId="77777777" w:rsidR="000F4019" w:rsidRDefault="000F4019" w:rsidP="008A2C2C">
      <w:pPr>
        <w:jc w:val="both"/>
        <w:rPr>
          <w:rFonts w:ascii="Arial" w:hAnsi="Arial" w:cs="Arial"/>
          <w:color w:val="808080" w:themeColor="background1" w:themeShade="80"/>
          <w:sz w:val="22"/>
          <w:szCs w:val="22"/>
          <w:lang w:val="en-GB"/>
        </w:rPr>
      </w:pPr>
    </w:p>
    <w:p w14:paraId="71BCE193" w14:textId="12C314E0" w:rsidR="00144535" w:rsidRDefault="00144535" w:rsidP="008A2C2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respect of secured creditors, if a secured creditor reali</w:t>
      </w:r>
      <w:r w:rsidR="000F4019">
        <w:rPr>
          <w:rFonts w:ascii="Arial" w:hAnsi="Arial" w:cs="Arial"/>
          <w:color w:val="808080" w:themeColor="background1" w:themeShade="80"/>
          <w:sz w:val="22"/>
          <w:szCs w:val="22"/>
          <w:lang w:val="en-GB"/>
        </w:rPr>
        <w:t>z</w:t>
      </w:r>
      <w:r>
        <w:rPr>
          <w:rFonts w:ascii="Arial" w:hAnsi="Arial" w:cs="Arial"/>
          <w:color w:val="808080" w:themeColor="background1" w:themeShade="80"/>
          <w:sz w:val="22"/>
          <w:szCs w:val="22"/>
          <w:lang w:val="en-GB"/>
        </w:rPr>
        <w:t xml:space="preserve">es his security interest, he may prove for </w:t>
      </w:r>
      <w:r w:rsidR="007A6C2F">
        <w:rPr>
          <w:rFonts w:ascii="Arial" w:hAnsi="Arial" w:cs="Arial"/>
          <w:color w:val="808080" w:themeColor="background1" w:themeShade="80"/>
          <w:sz w:val="22"/>
          <w:szCs w:val="22"/>
          <w:lang w:val="en-GB"/>
        </w:rPr>
        <w:t>any balance remaining.  If</w:t>
      </w:r>
      <w:r w:rsidR="00137065">
        <w:rPr>
          <w:rFonts w:ascii="Arial" w:hAnsi="Arial" w:cs="Arial"/>
          <w:color w:val="808080" w:themeColor="background1" w:themeShade="80"/>
          <w:sz w:val="22"/>
          <w:szCs w:val="22"/>
          <w:lang w:val="en-GB"/>
        </w:rPr>
        <w:t>,</w:t>
      </w:r>
      <w:r w:rsidR="007A6C2F">
        <w:rPr>
          <w:rFonts w:ascii="Arial" w:hAnsi="Arial" w:cs="Arial"/>
          <w:color w:val="808080" w:themeColor="background1" w:themeShade="80"/>
          <w:sz w:val="22"/>
          <w:szCs w:val="22"/>
          <w:lang w:val="en-GB"/>
        </w:rPr>
        <w:t xml:space="preserve"> however, the secured creditor voluntarily surrenders his security interest, </w:t>
      </w:r>
      <w:r w:rsidR="00653B51">
        <w:rPr>
          <w:rFonts w:ascii="Arial" w:hAnsi="Arial" w:cs="Arial"/>
          <w:color w:val="808080" w:themeColor="background1" w:themeShade="80"/>
          <w:sz w:val="22"/>
          <w:szCs w:val="22"/>
          <w:lang w:val="en-GB"/>
        </w:rPr>
        <w:t xml:space="preserve">for the general benefit of creditors, he may prove </w:t>
      </w:r>
      <w:r w:rsidR="00137065">
        <w:rPr>
          <w:rFonts w:ascii="Arial" w:hAnsi="Arial" w:cs="Arial"/>
          <w:color w:val="808080" w:themeColor="background1" w:themeShade="80"/>
          <w:sz w:val="22"/>
          <w:szCs w:val="22"/>
          <w:lang w:val="en-GB"/>
        </w:rPr>
        <w:t>for the entirety of the debt as an unsecured creditor.</w:t>
      </w:r>
      <w:r w:rsidR="00137065">
        <w:rPr>
          <w:rStyle w:val="FootnoteReference"/>
          <w:rFonts w:ascii="Arial" w:hAnsi="Arial" w:cs="Arial"/>
          <w:color w:val="808080" w:themeColor="background1" w:themeShade="80"/>
          <w:sz w:val="22"/>
          <w:szCs w:val="22"/>
          <w:lang w:val="en-GB"/>
        </w:rPr>
        <w:footnoteReference w:id="61"/>
      </w:r>
    </w:p>
    <w:p w14:paraId="2D164855" w14:textId="77777777" w:rsidR="00061CF2" w:rsidRDefault="00061CF2" w:rsidP="008A2C2C">
      <w:pPr>
        <w:jc w:val="both"/>
        <w:rPr>
          <w:rFonts w:ascii="Arial" w:hAnsi="Arial" w:cs="Arial"/>
          <w:color w:val="808080" w:themeColor="background1" w:themeShade="80"/>
          <w:sz w:val="22"/>
          <w:szCs w:val="22"/>
          <w:lang w:val="en-GB"/>
        </w:rPr>
      </w:pPr>
    </w:p>
    <w:p w14:paraId="4F6D20E3" w14:textId="0B24CBA3" w:rsidR="00061CF2" w:rsidRPr="002A5A6B" w:rsidRDefault="00E562B0" w:rsidP="008A2C2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Upon receipt and review of the proofs of debt, the liquidator may admit </w:t>
      </w:r>
      <w:r w:rsidR="0071576A">
        <w:rPr>
          <w:rFonts w:ascii="Arial" w:hAnsi="Arial" w:cs="Arial"/>
          <w:color w:val="808080" w:themeColor="background1" w:themeShade="80"/>
          <w:sz w:val="22"/>
          <w:szCs w:val="22"/>
          <w:lang w:val="en-GB"/>
        </w:rPr>
        <w:t>or reject the amounts claimed</w:t>
      </w:r>
      <w:r w:rsidR="00AA755C">
        <w:rPr>
          <w:rFonts w:ascii="Arial" w:hAnsi="Arial" w:cs="Arial"/>
          <w:color w:val="808080" w:themeColor="background1" w:themeShade="80"/>
          <w:sz w:val="22"/>
          <w:szCs w:val="22"/>
          <w:lang w:val="en-GB"/>
        </w:rPr>
        <w:t>, in whole or in part, as deemed necessary.</w:t>
      </w:r>
      <w:r w:rsidR="00AA755C">
        <w:rPr>
          <w:rStyle w:val="FootnoteReference"/>
          <w:rFonts w:ascii="Arial" w:hAnsi="Arial" w:cs="Arial"/>
          <w:color w:val="808080" w:themeColor="background1" w:themeShade="80"/>
          <w:sz w:val="22"/>
          <w:szCs w:val="22"/>
          <w:lang w:val="en-GB"/>
        </w:rPr>
        <w:footnoteReference w:id="62"/>
      </w:r>
      <w:r w:rsidR="00AA755C">
        <w:rPr>
          <w:rFonts w:ascii="Arial" w:hAnsi="Arial" w:cs="Arial"/>
          <w:color w:val="808080" w:themeColor="background1" w:themeShade="80"/>
          <w:sz w:val="22"/>
          <w:szCs w:val="22"/>
          <w:lang w:val="en-GB"/>
        </w:rPr>
        <w:t xml:space="preserve">  Creditors </w:t>
      </w:r>
      <w:r w:rsidR="00934C7A">
        <w:rPr>
          <w:rFonts w:ascii="Arial" w:hAnsi="Arial" w:cs="Arial"/>
          <w:color w:val="808080" w:themeColor="background1" w:themeShade="80"/>
          <w:sz w:val="22"/>
          <w:szCs w:val="22"/>
          <w:lang w:val="en-GB"/>
        </w:rPr>
        <w:t>may apply to the Court for any such decision of which they may be dissatisfied to be reversed or varied.</w:t>
      </w:r>
      <w:r w:rsidR="00934C7A">
        <w:rPr>
          <w:rStyle w:val="FootnoteReference"/>
          <w:rFonts w:ascii="Arial" w:hAnsi="Arial" w:cs="Arial"/>
          <w:color w:val="808080" w:themeColor="background1" w:themeShade="80"/>
          <w:sz w:val="22"/>
          <w:szCs w:val="22"/>
          <w:lang w:val="en-GB"/>
        </w:rPr>
        <w:footnoteReference w:id="63"/>
      </w:r>
    </w:p>
    <w:p w14:paraId="4462B235" w14:textId="77777777" w:rsidR="009B0723" w:rsidRPr="00CA448F" w:rsidRDefault="009B0723" w:rsidP="00C76745">
      <w:pPr>
        <w:autoSpaceDE w:val="0"/>
        <w:autoSpaceDN w:val="0"/>
        <w:adjustRightInd w:val="0"/>
        <w:jc w:val="both"/>
        <w:rPr>
          <w:rFonts w:ascii="Arial" w:hAnsi="Arial" w:cs="Arial"/>
          <w:color w:val="808080" w:themeColor="background1" w:themeShade="80"/>
          <w:sz w:val="22"/>
          <w:szCs w:val="22"/>
          <w:lang w:val="en-GB"/>
        </w:rPr>
      </w:pPr>
    </w:p>
    <w:bookmarkEnd w:id="0"/>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D56E" w14:textId="77777777" w:rsidR="00D83F0F" w:rsidRDefault="00D83F0F" w:rsidP="00241B44">
      <w:r>
        <w:separator/>
      </w:r>
    </w:p>
  </w:endnote>
  <w:endnote w:type="continuationSeparator" w:id="0">
    <w:p w14:paraId="6CA8CA49" w14:textId="77777777" w:rsidR="00D83F0F" w:rsidRDefault="00D83F0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7A8CC232" w:rsidR="00241FA3" w:rsidRPr="009B4976" w:rsidRDefault="0027716D" w:rsidP="009B4976">
    <w:pPr>
      <w:pStyle w:val="Footer"/>
      <w:ind w:right="360"/>
      <w:rPr>
        <w:rFonts w:ascii="Arial" w:hAnsi="Arial" w:cs="Arial"/>
        <w:sz w:val="18"/>
        <w:szCs w:val="18"/>
        <w:lang w:val="en-GB"/>
      </w:rPr>
    </w:pPr>
    <w:r w:rsidRPr="0027716D">
      <w:rPr>
        <w:rFonts w:ascii="Arial" w:hAnsi="Arial" w:cs="Arial"/>
        <w:sz w:val="18"/>
        <w:szCs w:val="18"/>
        <w:lang w:val="en-GB"/>
      </w:rPr>
      <w:t>202122-518</w:t>
    </w:r>
    <w:r w:rsidR="0073158B"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EE72" w14:textId="77777777" w:rsidR="00D83F0F" w:rsidRDefault="00D83F0F" w:rsidP="00241B44">
      <w:r>
        <w:separator/>
      </w:r>
    </w:p>
  </w:footnote>
  <w:footnote w:type="continuationSeparator" w:id="0">
    <w:p w14:paraId="0978DCDA" w14:textId="77777777" w:rsidR="00D83F0F" w:rsidRDefault="00D83F0F" w:rsidP="00241B44">
      <w:r>
        <w:continuationSeparator/>
      </w:r>
    </w:p>
  </w:footnote>
  <w:footnote w:id="1">
    <w:p w14:paraId="7600EA3B" w14:textId="69106DCC" w:rsidR="007F38FA" w:rsidRDefault="007F38FA">
      <w:pPr>
        <w:pStyle w:val="FootnoteText"/>
      </w:pPr>
      <w:r>
        <w:rPr>
          <w:rStyle w:val="FootnoteReference"/>
        </w:rPr>
        <w:footnoteRef/>
      </w:r>
      <w:r>
        <w:t xml:space="preserve"> </w:t>
      </w:r>
      <w:r w:rsidR="00FB0CB6">
        <w:t xml:space="preserve">Federal Law by Decree No. (9) of 2016 on Bankruptcy, </w:t>
      </w:r>
      <w:r w:rsidR="006E3724">
        <w:t>art</w:t>
      </w:r>
      <w:r w:rsidR="00FB0CB6">
        <w:t xml:space="preserve"> 6(2).</w:t>
      </w:r>
    </w:p>
  </w:footnote>
  <w:footnote w:id="2">
    <w:p w14:paraId="7F84D7E2" w14:textId="2204CAE3" w:rsidR="000756E1" w:rsidRPr="000756E1" w:rsidRDefault="000756E1">
      <w:pPr>
        <w:pStyle w:val="FootnoteText"/>
      </w:pPr>
      <w:r>
        <w:rPr>
          <w:rStyle w:val="FootnoteReference"/>
        </w:rPr>
        <w:footnoteRef/>
      </w:r>
      <w:r>
        <w:t xml:space="preserve"> </w:t>
      </w:r>
      <w:r>
        <w:rPr>
          <w:i/>
          <w:iCs/>
        </w:rPr>
        <w:t>Idem</w:t>
      </w:r>
      <w:r>
        <w:t>, art 68(1).</w:t>
      </w:r>
    </w:p>
  </w:footnote>
  <w:footnote w:id="3">
    <w:p w14:paraId="50C79C8A" w14:textId="2ED4D746" w:rsidR="00FD0783" w:rsidRDefault="00FD0783">
      <w:pPr>
        <w:pStyle w:val="FootnoteText"/>
      </w:pPr>
      <w:r>
        <w:rPr>
          <w:rStyle w:val="FootnoteReference"/>
        </w:rPr>
        <w:footnoteRef/>
      </w:r>
      <w:r>
        <w:t xml:space="preserve"> </w:t>
      </w:r>
      <w:r w:rsidR="00AB11B2">
        <w:t>Gambrill, Bill</w:t>
      </w:r>
      <w:r>
        <w:t xml:space="preserve">, </w:t>
      </w:r>
      <w:r>
        <w:rPr>
          <w:i/>
          <w:iCs/>
        </w:rPr>
        <w:t xml:space="preserve">Module </w:t>
      </w:r>
      <w:r w:rsidR="00AB11B2">
        <w:rPr>
          <w:i/>
          <w:iCs/>
        </w:rPr>
        <w:t>7E</w:t>
      </w:r>
      <w:r>
        <w:rPr>
          <w:i/>
          <w:iCs/>
        </w:rPr>
        <w:t xml:space="preserve"> Guidance Text: </w:t>
      </w:r>
      <w:r w:rsidR="00AB11B2">
        <w:rPr>
          <w:i/>
          <w:iCs/>
        </w:rPr>
        <w:t>United Arab Emirates</w:t>
      </w:r>
      <w:r>
        <w:t>, INSOL International (2021), p</w:t>
      </w:r>
      <w:r w:rsidR="00AB11B2">
        <w:t>p 6-7</w:t>
      </w:r>
      <w:r>
        <w:t>.</w:t>
      </w:r>
    </w:p>
  </w:footnote>
  <w:footnote w:id="4">
    <w:p w14:paraId="37AA5164" w14:textId="0E84BC24" w:rsidR="00AB11B2" w:rsidRPr="00AB11B2" w:rsidRDefault="00AB11B2">
      <w:pPr>
        <w:pStyle w:val="FootnoteText"/>
      </w:pPr>
      <w:r>
        <w:rPr>
          <w:rStyle w:val="FootnoteReference"/>
        </w:rPr>
        <w:footnoteRef/>
      </w:r>
      <w:r>
        <w:t xml:space="preserve"> </w:t>
      </w:r>
      <w:r>
        <w:rPr>
          <w:i/>
          <w:iCs/>
        </w:rPr>
        <w:t>Ibid</w:t>
      </w:r>
      <w:r>
        <w:t>.</w:t>
      </w:r>
    </w:p>
  </w:footnote>
  <w:footnote w:id="5">
    <w:p w14:paraId="659F53EF" w14:textId="70E782C2" w:rsidR="005964E4" w:rsidRPr="005964E4" w:rsidRDefault="005964E4">
      <w:pPr>
        <w:pStyle w:val="FootnoteText"/>
      </w:pPr>
      <w:r>
        <w:rPr>
          <w:rStyle w:val="FootnoteReference"/>
        </w:rPr>
        <w:footnoteRef/>
      </w:r>
      <w:r>
        <w:t xml:space="preserve"> </w:t>
      </w:r>
      <w:r>
        <w:rPr>
          <w:i/>
          <w:iCs/>
        </w:rPr>
        <w:t>Idem</w:t>
      </w:r>
      <w:r>
        <w:t>, p 7.</w:t>
      </w:r>
    </w:p>
  </w:footnote>
  <w:footnote w:id="6">
    <w:p w14:paraId="0879EF69" w14:textId="5CA37528" w:rsidR="002572FF" w:rsidRDefault="002572FF">
      <w:pPr>
        <w:pStyle w:val="FootnoteText"/>
      </w:pPr>
      <w:r>
        <w:rPr>
          <w:rStyle w:val="FootnoteReference"/>
        </w:rPr>
        <w:footnoteRef/>
      </w:r>
      <w:r>
        <w:t xml:space="preserve"> </w:t>
      </w:r>
      <w:r>
        <w:t xml:space="preserve">Federal Law by Decree No. (9) of 2016 on Bankruptcy, art </w:t>
      </w:r>
      <w:r>
        <w:t>2.</w:t>
      </w:r>
    </w:p>
  </w:footnote>
  <w:footnote w:id="7">
    <w:p w14:paraId="35B1C1DB" w14:textId="240FA899" w:rsidR="00B02F64" w:rsidRDefault="00B02F64">
      <w:pPr>
        <w:pStyle w:val="FootnoteText"/>
      </w:pPr>
      <w:r>
        <w:rPr>
          <w:rStyle w:val="FootnoteReference"/>
        </w:rPr>
        <w:footnoteRef/>
      </w:r>
      <w:r>
        <w:t xml:space="preserve"> </w:t>
      </w:r>
      <w:r>
        <w:t xml:space="preserve">Gambrill, Bill, </w:t>
      </w:r>
      <w:r>
        <w:rPr>
          <w:i/>
          <w:iCs/>
        </w:rPr>
        <w:t>Module 7E Guidance Text: United Arab Emirates</w:t>
      </w:r>
      <w:r>
        <w:t>, INSOL International (2021), p</w:t>
      </w:r>
      <w:r>
        <w:t xml:space="preserve"> 7.</w:t>
      </w:r>
    </w:p>
  </w:footnote>
  <w:footnote w:id="8">
    <w:p w14:paraId="20D61D6B" w14:textId="2E2D2DE5" w:rsidR="00D60C62" w:rsidRDefault="00D60C62">
      <w:pPr>
        <w:pStyle w:val="FootnoteText"/>
      </w:pPr>
      <w:r>
        <w:rPr>
          <w:rStyle w:val="FootnoteReference"/>
        </w:rPr>
        <w:footnoteRef/>
      </w:r>
      <w:r>
        <w:t xml:space="preserve"> </w:t>
      </w:r>
      <w:r>
        <w:t xml:space="preserve">Federal Law by Decree No. (9) of 2016 on Bankruptcy, art </w:t>
      </w:r>
      <w:r>
        <w:t>77.</w:t>
      </w:r>
    </w:p>
  </w:footnote>
  <w:footnote w:id="9">
    <w:p w14:paraId="526B5C6E" w14:textId="035D2C84" w:rsidR="003370CD" w:rsidRPr="003370CD" w:rsidRDefault="003370CD">
      <w:pPr>
        <w:pStyle w:val="FootnoteText"/>
      </w:pPr>
      <w:r>
        <w:rPr>
          <w:rStyle w:val="FootnoteReference"/>
        </w:rPr>
        <w:footnoteRef/>
      </w:r>
      <w:r>
        <w:t xml:space="preserve"> </w:t>
      </w:r>
      <w:r>
        <w:rPr>
          <w:i/>
          <w:iCs/>
        </w:rPr>
        <w:t>Idem</w:t>
      </w:r>
      <w:r>
        <w:t>, art 78(2).</w:t>
      </w:r>
    </w:p>
  </w:footnote>
  <w:footnote w:id="10">
    <w:p w14:paraId="21EBA808" w14:textId="13CC1BCD" w:rsidR="00C84DCB" w:rsidRPr="00C84DCB" w:rsidRDefault="00C84DCB">
      <w:pPr>
        <w:pStyle w:val="FootnoteText"/>
      </w:pPr>
      <w:r>
        <w:rPr>
          <w:rStyle w:val="FootnoteReference"/>
        </w:rPr>
        <w:footnoteRef/>
      </w:r>
      <w:r>
        <w:t xml:space="preserve"> </w:t>
      </w:r>
      <w:r>
        <w:rPr>
          <w:i/>
          <w:iCs/>
        </w:rPr>
        <w:t>Idem</w:t>
      </w:r>
      <w:r>
        <w:t>, art 80(1).</w:t>
      </w:r>
    </w:p>
  </w:footnote>
  <w:footnote w:id="11">
    <w:p w14:paraId="0ED4522B" w14:textId="513950DE" w:rsidR="00B5276A" w:rsidRPr="00B5276A" w:rsidRDefault="00B5276A">
      <w:pPr>
        <w:pStyle w:val="FootnoteText"/>
      </w:pPr>
      <w:r>
        <w:rPr>
          <w:rStyle w:val="FootnoteReference"/>
        </w:rPr>
        <w:footnoteRef/>
      </w:r>
      <w:r>
        <w:t xml:space="preserve"> </w:t>
      </w:r>
      <w:r>
        <w:rPr>
          <w:i/>
          <w:iCs/>
        </w:rPr>
        <w:t>Idem</w:t>
      </w:r>
      <w:r>
        <w:t>, art 81(1).</w:t>
      </w:r>
    </w:p>
  </w:footnote>
  <w:footnote w:id="12">
    <w:p w14:paraId="477743B4" w14:textId="4FBF006D" w:rsidR="002170F5" w:rsidRPr="00EB3E4A" w:rsidRDefault="002170F5">
      <w:pPr>
        <w:pStyle w:val="FootnoteText"/>
      </w:pPr>
      <w:r>
        <w:rPr>
          <w:rStyle w:val="FootnoteReference"/>
        </w:rPr>
        <w:footnoteRef/>
      </w:r>
      <w:r>
        <w:t xml:space="preserve"> </w:t>
      </w:r>
      <w:r w:rsidR="00EB3E4A">
        <w:rPr>
          <w:i/>
          <w:iCs/>
        </w:rPr>
        <w:t>Idem</w:t>
      </w:r>
      <w:r w:rsidR="00EB3E4A">
        <w:t>, art 82(1).</w:t>
      </w:r>
    </w:p>
  </w:footnote>
  <w:footnote w:id="13">
    <w:p w14:paraId="6B229E01" w14:textId="12116282" w:rsidR="00B6621C" w:rsidRPr="00B6621C" w:rsidRDefault="00B6621C">
      <w:pPr>
        <w:pStyle w:val="FootnoteText"/>
      </w:pPr>
      <w:r>
        <w:rPr>
          <w:rStyle w:val="FootnoteReference"/>
        </w:rPr>
        <w:footnoteRef/>
      </w:r>
      <w:r>
        <w:t xml:space="preserve"> </w:t>
      </w:r>
      <w:r>
        <w:rPr>
          <w:i/>
          <w:iCs/>
        </w:rPr>
        <w:t>Idem</w:t>
      </w:r>
      <w:r>
        <w:t>, art 96(1).</w:t>
      </w:r>
    </w:p>
  </w:footnote>
  <w:footnote w:id="14">
    <w:p w14:paraId="3329CA14" w14:textId="00CE0B57" w:rsidR="008C7101" w:rsidRPr="008C7101" w:rsidRDefault="008C7101">
      <w:pPr>
        <w:pStyle w:val="FootnoteText"/>
      </w:pPr>
      <w:r>
        <w:rPr>
          <w:rStyle w:val="FootnoteReference"/>
        </w:rPr>
        <w:footnoteRef/>
      </w:r>
      <w:r>
        <w:t xml:space="preserve"> </w:t>
      </w:r>
      <w:r>
        <w:rPr>
          <w:i/>
          <w:iCs/>
        </w:rPr>
        <w:t>Idem</w:t>
      </w:r>
      <w:r>
        <w:t>, art 98(3).</w:t>
      </w:r>
    </w:p>
  </w:footnote>
  <w:footnote w:id="15">
    <w:p w14:paraId="2C360477" w14:textId="14F83C55" w:rsidR="00937B55" w:rsidRPr="00937B55" w:rsidRDefault="00937B55">
      <w:pPr>
        <w:pStyle w:val="FootnoteText"/>
      </w:pPr>
      <w:r>
        <w:rPr>
          <w:rStyle w:val="FootnoteReference"/>
        </w:rPr>
        <w:footnoteRef/>
      </w:r>
      <w:r>
        <w:t xml:space="preserve"> </w:t>
      </w:r>
      <w:r>
        <w:rPr>
          <w:i/>
          <w:iCs/>
        </w:rPr>
        <w:t>Idem</w:t>
      </w:r>
      <w:r>
        <w:t>, art 99.</w:t>
      </w:r>
    </w:p>
  </w:footnote>
  <w:footnote w:id="16">
    <w:p w14:paraId="3F864122" w14:textId="12C7196D" w:rsidR="00937B55" w:rsidRPr="00937B55" w:rsidRDefault="00937B55">
      <w:pPr>
        <w:pStyle w:val="FootnoteText"/>
      </w:pPr>
      <w:r>
        <w:rPr>
          <w:rStyle w:val="FootnoteReference"/>
        </w:rPr>
        <w:footnoteRef/>
      </w:r>
      <w:r>
        <w:t xml:space="preserve"> </w:t>
      </w:r>
      <w:r>
        <w:rPr>
          <w:i/>
          <w:iCs/>
        </w:rPr>
        <w:t>Idem</w:t>
      </w:r>
      <w:r>
        <w:t>, 100.</w:t>
      </w:r>
    </w:p>
  </w:footnote>
  <w:footnote w:id="17">
    <w:p w14:paraId="13102291" w14:textId="77D61B11" w:rsidR="00562C79" w:rsidRPr="00562C79" w:rsidRDefault="00562C79">
      <w:pPr>
        <w:pStyle w:val="FootnoteText"/>
      </w:pPr>
      <w:r>
        <w:rPr>
          <w:rStyle w:val="FootnoteReference"/>
        </w:rPr>
        <w:footnoteRef/>
      </w:r>
      <w:r>
        <w:t xml:space="preserve"> </w:t>
      </w:r>
      <w:r>
        <w:rPr>
          <w:i/>
          <w:iCs/>
        </w:rPr>
        <w:t>Idem</w:t>
      </w:r>
      <w:r>
        <w:t>, art 103</w:t>
      </w:r>
      <w:r w:rsidR="000B4928">
        <w:t>.</w:t>
      </w:r>
    </w:p>
  </w:footnote>
  <w:footnote w:id="18">
    <w:p w14:paraId="3591CD8F" w14:textId="5E1D6B22" w:rsidR="00D977B0" w:rsidRPr="00D977B0" w:rsidRDefault="00D977B0">
      <w:pPr>
        <w:pStyle w:val="FootnoteText"/>
      </w:pPr>
      <w:r>
        <w:rPr>
          <w:rStyle w:val="FootnoteReference"/>
        </w:rPr>
        <w:footnoteRef/>
      </w:r>
      <w:r>
        <w:t xml:space="preserve"> </w:t>
      </w:r>
      <w:r>
        <w:rPr>
          <w:i/>
          <w:iCs/>
        </w:rPr>
        <w:t>Idem</w:t>
      </w:r>
      <w:r>
        <w:t xml:space="preserve">, art 104(1). </w:t>
      </w:r>
    </w:p>
  </w:footnote>
  <w:footnote w:id="19">
    <w:p w14:paraId="07BC980D" w14:textId="5809E888" w:rsidR="00D13D4C" w:rsidRPr="00D13D4C" w:rsidRDefault="00D13D4C">
      <w:pPr>
        <w:pStyle w:val="FootnoteText"/>
      </w:pPr>
      <w:r>
        <w:rPr>
          <w:rStyle w:val="FootnoteReference"/>
        </w:rPr>
        <w:footnoteRef/>
      </w:r>
      <w:r>
        <w:t xml:space="preserve"> </w:t>
      </w:r>
      <w:r>
        <w:rPr>
          <w:i/>
          <w:iCs/>
        </w:rPr>
        <w:t>Idem</w:t>
      </w:r>
      <w:r>
        <w:t>, art 105(3).</w:t>
      </w:r>
    </w:p>
  </w:footnote>
  <w:footnote w:id="20">
    <w:p w14:paraId="3137D8AD" w14:textId="2AB9074B" w:rsidR="007377DC" w:rsidRPr="007377DC" w:rsidRDefault="007377DC">
      <w:pPr>
        <w:pStyle w:val="FootnoteText"/>
      </w:pPr>
      <w:r>
        <w:rPr>
          <w:rStyle w:val="FootnoteReference"/>
        </w:rPr>
        <w:footnoteRef/>
      </w:r>
      <w:r>
        <w:t xml:space="preserve"> </w:t>
      </w:r>
      <w:r>
        <w:rPr>
          <w:i/>
          <w:iCs/>
        </w:rPr>
        <w:t>Idem</w:t>
      </w:r>
      <w:r>
        <w:t>, art 106(3).</w:t>
      </w:r>
    </w:p>
  </w:footnote>
  <w:footnote w:id="21">
    <w:p w14:paraId="6552A859" w14:textId="015B0144" w:rsidR="00532E44" w:rsidRPr="00532E44" w:rsidRDefault="00532E44">
      <w:pPr>
        <w:pStyle w:val="FootnoteText"/>
      </w:pPr>
      <w:r>
        <w:rPr>
          <w:rStyle w:val="FootnoteReference"/>
        </w:rPr>
        <w:footnoteRef/>
      </w:r>
      <w:r>
        <w:t xml:space="preserve"> </w:t>
      </w:r>
      <w:r>
        <w:rPr>
          <w:i/>
          <w:iCs/>
        </w:rPr>
        <w:t>Idem</w:t>
      </w:r>
      <w:r>
        <w:t>, art 108.</w:t>
      </w:r>
    </w:p>
  </w:footnote>
  <w:footnote w:id="22">
    <w:p w14:paraId="21F1A634" w14:textId="66D49A46" w:rsidR="002A44F1" w:rsidRPr="002A44F1" w:rsidRDefault="002A44F1">
      <w:pPr>
        <w:pStyle w:val="FootnoteText"/>
      </w:pPr>
      <w:r>
        <w:rPr>
          <w:rStyle w:val="FootnoteReference"/>
        </w:rPr>
        <w:footnoteRef/>
      </w:r>
      <w:r>
        <w:t xml:space="preserve"> </w:t>
      </w:r>
      <w:r>
        <w:rPr>
          <w:i/>
          <w:iCs/>
        </w:rPr>
        <w:t>Idem</w:t>
      </w:r>
      <w:r>
        <w:t>, art 109(1).</w:t>
      </w:r>
    </w:p>
  </w:footnote>
  <w:footnote w:id="23">
    <w:p w14:paraId="317B1C08" w14:textId="6E6C2A10" w:rsidR="00DE7A33" w:rsidRPr="00DE7A33" w:rsidRDefault="00DE7A33">
      <w:pPr>
        <w:pStyle w:val="FootnoteText"/>
      </w:pPr>
      <w:r>
        <w:rPr>
          <w:rStyle w:val="FootnoteReference"/>
        </w:rPr>
        <w:footnoteRef/>
      </w:r>
      <w:r>
        <w:t xml:space="preserve"> </w:t>
      </w:r>
      <w:r>
        <w:rPr>
          <w:i/>
          <w:iCs/>
        </w:rPr>
        <w:t>Idem</w:t>
      </w:r>
      <w:r>
        <w:t>, art 112(1).</w:t>
      </w:r>
    </w:p>
  </w:footnote>
  <w:footnote w:id="24">
    <w:p w14:paraId="3B925EA4" w14:textId="09C799E6" w:rsidR="007A08B6" w:rsidRPr="007A08B6" w:rsidRDefault="007A08B6">
      <w:pPr>
        <w:pStyle w:val="FootnoteText"/>
      </w:pPr>
      <w:r>
        <w:rPr>
          <w:rStyle w:val="FootnoteReference"/>
        </w:rPr>
        <w:footnoteRef/>
      </w:r>
      <w:r>
        <w:t xml:space="preserve"> </w:t>
      </w:r>
      <w:r>
        <w:rPr>
          <w:i/>
          <w:iCs/>
        </w:rPr>
        <w:t xml:space="preserve">Idem, </w:t>
      </w:r>
      <w:r>
        <w:t>art 114(3).</w:t>
      </w:r>
    </w:p>
  </w:footnote>
  <w:footnote w:id="25">
    <w:p w14:paraId="74674BC0" w14:textId="64A79653" w:rsidR="00155B9B" w:rsidRPr="00155B9B" w:rsidRDefault="00155B9B">
      <w:pPr>
        <w:pStyle w:val="FootnoteText"/>
      </w:pPr>
      <w:r>
        <w:rPr>
          <w:rStyle w:val="FootnoteReference"/>
        </w:rPr>
        <w:footnoteRef/>
      </w:r>
      <w:r>
        <w:t xml:space="preserve"> </w:t>
      </w:r>
      <w:r>
        <w:rPr>
          <w:i/>
          <w:iCs/>
        </w:rPr>
        <w:t xml:space="preserve">Idem, </w:t>
      </w:r>
      <w:r>
        <w:t>art 115.</w:t>
      </w:r>
    </w:p>
  </w:footnote>
  <w:footnote w:id="26">
    <w:p w14:paraId="6FC77F59" w14:textId="105D4850" w:rsidR="004B2AB2" w:rsidRPr="004B2AB2" w:rsidRDefault="004B2AB2">
      <w:pPr>
        <w:pStyle w:val="FootnoteText"/>
      </w:pPr>
      <w:r>
        <w:rPr>
          <w:rStyle w:val="FootnoteReference"/>
        </w:rPr>
        <w:footnoteRef/>
      </w:r>
      <w:r>
        <w:t xml:space="preserve"> </w:t>
      </w:r>
      <w:r>
        <w:rPr>
          <w:i/>
          <w:iCs/>
        </w:rPr>
        <w:t xml:space="preserve">Idem, </w:t>
      </w:r>
      <w:r>
        <w:t>art 6(1).</w:t>
      </w:r>
    </w:p>
  </w:footnote>
  <w:footnote w:id="27">
    <w:p w14:paraId="1BF550E9" w14:textId="5F234258" w:rsidR="00AC1F74" w:rsidRPr="00AC1F74" w:rsidRDefault="00AC1F74">
      <w:pPr>
        <w:pStyle w:val="FootnoteText"/>
      </w:pPr>
      <w:r>
        <w:rPr>
          <w:rStyle w:val="FootnoteReference"/>
        </w:rPr>
        <w:footnoteRef/>
      </w:r>
      <w:r>
        <w:t xml:space="preserve"> </w:t>
      </w:r>
      <w:r>
        <w:rPr>
          <w:i/>
          <w:iCs/>
        </w:rPr>
        <w:t>Idem</w:t>
      </w:r>
      <w:r>
        <w:t>, art 13.</w:t>
      </w:r>
    </w:p>
  </w:footnote>
  <w:footnote w:id="28">
    <w:p w14:paraId="0B5EFB31" w14:textId="7FBAE811" w:rsidR="00EA25F5" w:rsidRPr="00EA25F5" w:rsidRDefault="00EA25F5">
      <w:pPr>
        <w:pStyle w:val="FootnoteText"/>
      </w:pPr>
      <w:r>
        <w:rPr>
          <w:rStyle w:val="FootnoteReference"/>
        </w:rPr>
        <w:footnoteRef/>
      </w:r>
      <w:r>
        <w:t xml:space="preserve"> </w:t>
      </w:r>
      <w:r>
        <w:rPr>
          <w:i/>
          <w:iCs/>
        </w:rPr>
        <w:t xml:space="preserve">Idem, </w:t>
      </w:r>
      <w:r>
        <w:t>art 14(1).</w:t>
      </w:r>
    </w:p>
  </w:footnote>
  <w:footnote w:id="29">
    <w:p w14:paraId="52C6A384" w14:textId="4DBFBD7F" w:rsidR="00673E1C" w:rsidRPr="00673E1C" w:rsidRDefault="00673E1C">
      <w:pPr>
        <w:pStyle w:val="FootnoteText"/>
      </w:pPr>
      <w:r>
        <w:rPr>
          <w:rStyle w:val="FootnoteReference"/>
        </w:rPr>
        <w:footnoteRef/>
      </w:r>
      <w:r>
        <w:t xml:space="preserve"> </w:t>
      </w:r>
      <w:r>
        <w:rPr>
          <w:i/>
          <w:iCs/>
        </w:rPr>
        <w:t xml:space="preserve">Idem, </w:t>
      </w:r>
      <w:r>
        <w:t>art 17(5).</w:t>
      </w:r>
    </w:p>
  </w:footnote>
  <w:footnote w:id="30">
    <w:p w14:paraId="72871D89" w14:textId="50453CAF" w:rsidR="00591E26" w:rsidRPr="00591E26" w:rsidRDefault="00591E26">
      <w:pPr>
        <w:pStyle w:val="FootnoteText"/>
      </w:pPr>
      <w:r>
        <w:rPr>
          <w:rStyle w:val="FootnoteReference"/>
        </w:rPr>
        <w:footnoteRef/>
      </w:r>
      <w:r>
        <w:t xml:space="preserve"> </w:t>
      </w:r>
      <w:r>
        <w:rPr>
          <w:i/>
          <w:iCs/>
        </w:rPr>
        <w:t>Idem</w:t>
      </w:r>
      <w:r>
        <w:t>, art 35(1).</w:t>
      </w:r>
    </w:p>
  </w:footnote>
  <w:footnote w:id="31">
    <w:p w14:paraId="520EB3DB" w14:textId="0CD9B583" w:rsidR="000A37A2" w:rsidRPr="000A37A2" w:rsidRDefault="000A37A2">
      <w:pPr>
        <w:pStyle w:val="FootnoteText"/>
      </w:pPr>
      <w:r>
        <w:rPr>
          <w:rStyle w:val="FootnoteReference"/>
        </w:rPr>
        <w:footnoteRef/>
      </w:r>
      <w:r>
        <w:t xml:space="preserve"> </w:t>
      </w:r>
      <w:r>
        <w:rPr>
          <w:i/>
          <w:iCs/>
        </w:rPr>
        <w:t>Idem</w:t>
      </w:r>
      <w:r>
        <w:t xml:space="preserve">, </w:t>
      </w:r>
      <w:r w:rsidR="00921DB8">
        <w:t>art 37(1).</w:t>
      </w:r>
    </w:p>
  </w:footnote>
  <w:footnote w:id="32">
    <w:p w14:paraId="0EBF29BE" w14:textId="2603992F" w:rsidR="00A66D9C" w:rsidRPr="00A66D9C" w:rsidRDefault="00A66D9C">
      <w:pPr>
        <w:pStyle w:val="FootnoteText"/>
      </w:pPr>
      <w:r>
        <w:rPr>
          <w:rStyle w:val="FootnoteReference"/>
        </w:rPr>
        <w:footnoteRef/>
      </w:r>
      <w:r>
        <w:t xml:space="preserve"> </w:t>
      </w:r>
      <w:r>
        <w:rPr>
          <w:i/>
          <w:iCs/>
        </w:rPr>
        <w:t>Idem</w:t>
      </w:r>
      <w:r>
        <w:t>, art 40(1).</w:t>
      </w:r>
    </w:p>
  </w:footnote>
  <w:footnote w:id="33">
    <w:p w14:paraId="4F1A4236" w14:textId="723AB159" w:rsidR="00AD279B" w:rsidRPr="00AD279B" w:rsidRDefault="00AD279B">
      <w:pPr>
        <w:pStyle w:val="FootnoteText"/>
      </w:pPr>
      <w:r>
        <w:rPr>
          <w:rStyle w:val="FootnoteReference"/>
        </w:rPr>
        <w:footnoteRef/>
      </w:r>
      <w:r>
        <w:t xml:space="preserve"> </w:t>
      </w:r>
      <w:r>
        <w:rPr>
          <w:i/>
          <w:iCs/>
        </w:rPr>
        <w:t>Idem</w:t>
      </w:r>
      <w:r>
        <w:t>, art 42.</w:t>
      </w:r>
    </w:p>
  </w:footnote>
  <w:footnote w:id="34">
    <w:p w14:paraId="07DC3E28" w14:textId="7C33CB4F" w:rsidR="00C123DD" w:rsidRPr="00C123DD" w:rsidRDefault="00C123DD">
      <w:pPr>
        <w:pStyle w:val="FootnoteText"/>
      </w:pPr>
      <w:r>
        <w:rPr>
          <w:rStyle w:val="FootnoteReference"/>
        </w:rPr>
        <w:footnoteRef/>
      </w:r>
      <w:r>
        <w:t xml:space="preserve"> </w:t>
      </w:r>
      <w:r>
        <w:rPr>
          <w:i/>
          <w:iCs/>
        </w:rPr>
        <w:t>Idem</w:t>
      </w:r>
      <w:r>
        <w:t>, art 42(4).</w:t>
      </w:r>
    </w:p>
  </w:footnote>
  <w:footnote w:id="35">
    <w:p w14:paraId="7577712F" w14:textId="5CB59605" w:rsidR="00652342" w:rsidRPr="00652342" w:rsidRDefault="00652342">
      <w:pPr>
        <w:pStyle w:val="FootnoteText"/>
      </w:pPr>
      <w:r>
        <w:rPr>
          <w:rStyle w:val="FootnoteReference"/>
        </w:rPr>
        <w:footnoteRef/>
      </w:r>
      <w:r>
        <w:t xml:space="preserve"> </w:t>
      </w:r>
      <w:r>
        <w:rPr>
          <w:i/>
          <w:iCs/>
        </w:rPr>
        <w:t>Idem</w:t>
      </w:r>
      <w:r>
        <w:t xml:space="preserve">, art </w:t>
      </w:r>
      <w:r w:rsidR="00967BE2">
        <w:t>47(1).</w:t>
      </w:r>
    </w:p>
  </w:footnote>
  <w:footnote w:id="36">
    <w:p w14:paraId="09BBB102" w14:textId="37A18664" w:rsidR="00967BE2" w:rsidRPr="00967BE2" w:rsidRDefault="00967BE2">
      <w:pPr>
        <w:pStyle w:val="FootnoteText"/>
      </w:pPr>
      <w:r>
        <w:rPr>
          <w:rStyle w:val="FootnoteReference"/>
        </w:rPr>
        <w:footnoteRef/>
      </w:r>
      <w:r>
        <w:t xml:space="preserve"> </w:t>
      </w:r>
      <w:r>
        <w:rPr>
          <w:i/>
          <w:iCs/>
        </w:rPr>
        <w:t>Idem</w:t>
      </w:r>
      <w:r>
        <w:t>, art 49(1).</w:t>
      </w:r>
    </w:p>
  </w:footnote>
  <w:footnote w:id="37">
    <w:p w14:paraId="243F87B5" w14:textId="06CF4C9D" w:rsidR="007607F7" w:rsidRPr="007607F7" w:rsidRDefault="007607F7">
      <w:pPr>
        <w:pStyle w:val="FootnoteText"/>
      </w:pPr>
      <w:r>
        <w:rPr>
          <w:rStyle w:val="FootnoteReference"/>
        </w:rPr>
        <w:footnoteRef/>
      </w:r>
      <w:r>
        <w:t xml:space="preserve"> </w:t>
      </w:r>
      <w:r>
        <w:rPr>
          <w:i/>
          <w:iCs/>
        </w:rPr>
        <w:t>Idem</w:t>
      </w:r>
      <w:r>
        <w:t>, art 54.</w:t>
      </w:r>
    </w:p>
  </w:footnote>
  <w:footnote w:id="38">
    <w:p w14:paraId="71F42365" w14:textId="45E84BBC" w:rsidR="00DF6E66" w:rsidRPr="00DF6E66" w:rsidRDefault="00DF6E66">
      <w:pPr>
        <w:pStyle w:val="FootnoteText"/>
      </w:pPr>
      <w:r>
        <w:rPr>
          <w:rStyle w:val="FootnoteReference"/>
        </w:rPr>
        <w:footnoteRef/>
      </w:r>
      <w:r>
        <w:t xml:space="preserve"> </w:t>
      </w:r>
      <w:r>
        <w:rPr>
          <w:i/>
          <w:iCs/>
        </w:rPr>
        <w:t>Idem</w:t>
      </w:r>
      <w:r>
        <w:t>, art 65.</w:t>
      </w:r>
    </w:p>
  </w:footnote>
  <w:footnote w:id="39">
    <w:p w14:paraId="691CF3E1" w14:textId="0062CD3B" w:rsidR="00C53936" w:rsidRPr="00C53936" w:rsidRDefault="00C53936">
      <w:pPr>
        <w:pStyle w:val="FootnoteText"/>
      </w:pPr>
      <w:r>
        <w:rPr>
          <w:rStyle w:val="FootnoteReference"/>
        </w:rPr>
        <w:footnoteRef/>
      </w:r>
      <w:r>
        <w:t xml:space="preserve"> </w:t>
      </w:r>
      <w:r>
        <w:rPr>
          <w:i/>
          <w:iCs/>
        </w:rPr>
        <w:t>Idem</w:t>
      </w:r>
      <w:r>
        <w:t>, art 66.</w:t>
      </w:r>
    </w:p>
  </w:footnote>
  <w:footnote w:id="40">
    <w:p w14:paraId="38F874D0" w14:textId="4E021AAB" w:rsidR="00E07C0B" w:rsidRPr="00E07C0B" w:rsidRDefault="00E07C0B">
      <w:pPr>
        <w:pStyle w:val="FootnoteText"/>
      </w:pPr>
      <w:r>
        <w:rPr>
          <w:rStyle w:val="FootnoteReference"/>
        </w:rPr>
        <w:footnoteRef/>
      </w:r>
      <w:r>
        <w:t xml:space="preserve"> </w:t>
      </w:r>
      <w:r>
        <w:rPr>
          <w:i/>
          <w:iCs/>
        </w:rPr>
        <w:t>Idem</w:t>
      </w:r>
      <w:r>
        <w:t>, art 82(1).</w:t>
      </w:r>
    </w:p>
  </w:footnote>
  <w:footnote w:id="41">
    <w:p w14:paraId="410004E9" w14:textId="63C3819B" w:rsidR="00467D44" w:rsidRPr="00467D44" w:rsidRDefault="00467D44">
      <w:pPr>
        <w:pStyle w:val="FootnoteText"/>
      </w:pPr>
      <w:r>
        <w:rPr>
          <w:rStyle w:val="FootnoteReference"/>
        </w:rPr>
        <w:footnoteRef/>
      </w:r>
      <w:r>
        <w:t xml:space="preserve"> </w:t>
      </w:r>
      <w:r>
        <w:rPr>
          <w:i/>
          <w:iCs/>
        </w:rPr>
        <w:t>Idem</w:t>
      </w:r>
      <w:r>
        <w:t>, art 128.</w:t>
      </w:r>
    </w:p>
  </w:footnote>
  <w:footnote w:id="42">
    <w:p w14:paraId="7330AA14" w14:textId="05559B5D" w:rsidR="006958DA" w:rsidRPr="006958DA" w:rsidRDefault="006958DA">
      <w:pPr>
        <w:pStyle w:val="FootnoteText"/>
      </w:pPr>
      <w:r>
        <w:rPr>
          <w:rStyle w:val="FootnoteReference"/>
        </w:rPr>
        <w:footnoteRef/>
      </w:r>
      <w:r>
        <w:t xml:space="preserve"> </w:t>
      </w:r>
      <w:r>
        <w:rPr>
          <w:i/>
          <w:iCs/>
        </w:rPr>
        <w:t>Idem</w:t>
      </w:r>
      <w:r>
        <w:t>, art 129</w:t>
      </w:r>
      <w:r w:rsidR="00BF2F93">
        <w:t>(1).</w:t>
      </w:r>
    </w:p>
  </w:footnote>
  <w:footnote w:id="43">
    <w:p w14:paraId="6CDC7F0C" w14:textId="3C136591" w:rsidR="00405696" w:rsidRPr="00405696" w:rsidRDefault="00405696">
      <w:pPr>
        <w:pStyle w:val="FootnoteText"/>
      </w:pPr>
      <w:r>
        <w:rPr>
          <w:rStyle w:val="FootnoteReference"/>
        </w:rPr>
        <w:footnoteRef/>
      </w:r>
      <w:r>
        <w:t xml:space="preserve"> </w:t>
      </w:r>
      <w:r>
        <w:rPr>
          <w:i/>
          <w:iCs/>
        </w:rPr>
        <w:t>Idem</w:t>
      </w:r>
      <w:r>
        <w:t xml:space="preserve">, art </w:t>
      </w:r>
      <w:r w:rsidR="00425E4E">
        <w:t>132.</w:t>
      </w:r>
    </w:p>
  </w:footnote>
  <w:footnote w:id="44">
    <w:p w14:paraId="0DC41B53" w14:textId="7045ABD5" w:rsidR="000E7448" w:rsidRPr="000E7448" w:rsidRDefault="000E7448">
      <w:pPr>
        <w:pStyle w:val="FootnoteText"/>
      </w:pPr>
      <w:r>
        <w:rPr>
          <w:rStyle w:val="FootnoteReference"/>
        </w:rPr>
        <w:footnoteRef/>
      </w:r>
      <w:r>
        <w:t xml:space="preserve"> </w:t>
      </w:r>
      <w:r>
        <w:rPr>
          <w:i/>
          <w:iCs/>
        </w:rPr>
        <w:t>Idem</w:t>
      </w:r>
      <w:r>
        <w:t>, art 137(1).</w:t>
      </w:r>
    </w:p>
  </w:footnote>
  <w:footnote w:id="45">
    <w:p w14:paraId="5B88886E" w14:textId="77777777" w:rsidR="00EE60D0" w:rsidRPr="007209D2" w:rsidRDefault="00EE60D0" w:rsidP="00EE60D0">
      <w:pPr>
        <w:pStyle w:val="FootnoteText"/>
      </w:pPr>
      <w:r>
        <w:rPr>
          <w:rStyle w:val="FootnoteReference"/>
        </w:rPr>
        <w:footnoteRef/>
      </w:r>
      <w:r>
        <w:t xml:space="preserve"> </w:t>
      </w:r>
      <w:r>
        <w:rPr>
          <w:i/>
          <w:iCs/>
        </w:rPr>
        <w:t xml:space="preserve">Idem, </w:t>
      </w:r>
      <w:r>
        <w:t>art 185(1).</w:t>
      </w:r>
    </w:p>
  </w:footnote>
  <w:footnote w:id="46">
    <w:p w14:paraId="1FE6CE23" w14:textId="77777777" w:rsidR="00EE60D0" w:rsidRPr="007255C2" w:rsidRDefault="00EE60D0" w:rsidP="00EE60D0">
      <w:pPr>
        <w:pStyle w:val="FootnoteText"/>
      </w:pPr>
      <w:r>
        <w:rPr>
          <w:rStyle w:val="FootnoteReference"/>
        </w:rPr>
        <w:footnoteRef/>
      </w:r>
      <w:r>
        <w:t xml:space="preserve"> </w:t>
      </w:r>
      <w:r>
        <w:rPr>
          <w:i/>
          <w:iCs/>
        </w:rPr>
        <w:t>Idem</w:t>
      </w:r>
      <w:r>
        <w:t>, art 185(2).</w:t>
      </w:r>
    </w:p>
  </w:footnote>
  <w:footnote w:id="47">
    <w:p w14:paraId="747ED6F3" w14:textId="77777777" w:rsidR="00EE60D0" w:rsidRPr="00B87DA1" w:rsidRDefault="00EE60D0" w:rsidP="00EE60D0">
      <w:pPr>
        <w:pStyle w:val="FootnoteText"/>
      </w:pPr>
      <w:r>
        <w:rPr>
          <w:rStyle w:val="FootnoteReference"/>
        </w:rPr>
        <w:footnoteRef/>
      </w:r>
      <w:r>
        <w:t xml:space="preserve"> </w:t>
      </w:r>
      <w:r>
        <w:rPr>
          <w:i/>
          <w:iCs/>
        </w:rPr>
        <w:t xml:space="preserve">Idem, </w:t>
      </w:r>
      <w:r>
        <w:t>art 188.</w:t>
      </w:r>
    </w:p>
  </w:footnote>
  <w:footnote w:id="48">
    <w:p w14:paraId="5D522A18" w14:textId="4A13A43C" w:rsidR="0024276A" w:rsidRPr="0024276A" w:rsidRDefault="0024276A">
      <w:pPr>
        <w:pStyle w:val="FootnoteText"/>
      </w:pPr>
      <w:r>
        <w:rPr>
          <w:rStyle w:val="FootnoteReference"/>
        </w:rPr>
        <w:footnoteRef/>
      </w:r>
      <w:r>
        <w:t xml:space="preserve"> </w:t>
      </w:r>
      <w:r>
        <w:rPr>
          <w:i/>
          <w:iCs/>
        </w:rPr>
        <w:t xml:space="preserve">Idem, </w:t>
      </w:r>
      <w:r>
        <w:t>art 189.</w:t>
      </w:r>
    </w:p>
  </w:footnote>
  <w:footnote w:id="49">
    <w:p w14:paraId="34875FCB" w14:textId="255EA90D" w:rsidR="00547206" w:rsidRPr="00547206" w:rsidRDefault="00547206">
      <w:pPr>
        <w:pStyle w:val="FootnoteText"/>
      </w:pPr>
      <w:r>
        <w:rPr>
          <w:rStyle w:val="FootnoteReference"/>
        </w:rPr>
        <w:footnoteRef/>
      </w:r>
      <w:r>
        <w:t xml:space="preserve"> </w:t>
      </w:r>
      <w:r>
        <w:rPr>
          <w:i/>
          <w:iCs/>
        </w:rPr>
        <w:t>Idem</w:t>
      </w:r>
      <w:r>
        <w:t xml:space="preserve">, </w:t>
      </w:r>
      <w:r w:rsidR="00271CB5">
        <w:t xml:space="preserve">art </w:t>
      </w:r>
      <w:r>
        <w:t>137.</w:t>
      </w:r>
    </w:p>
  </w:footnote>
  <w:footnote w:id="50">
    <w:p w14:paraId="76271938" w14:textId="4AD97869" w:rsidR="003D7005" w:rsidRPr="003D7005" w:rsidRDefault="003D7005">
      <w:pPr>
        <w:pStyle w:val="FootnoteText"/>
      </w:pPr>
      <w:r>
        <w:rPr>
          <w:rStyle w:val="FootnoteReference"/>
        </w:rPr>
        <w:footnoteRef/>
      </w:r>
      <w:r>
        <w:t xml:space="preserve"> </w:t>
      </w:r>
      <w:r>
        <w:rPr>
          <w:i/>
          <w:iCs/>
        </w:rPr>
        <w:t>Idem</w:t>
      </w:r>
      <w:r>
        <w:t xml:space="preserve">, </w:t>
      </w:r>
      <w:r w:rsidR="00271CB5">
        <w:t xml:space="preserve">art </w:t>
      </w:r>
      <w:r>
        <w:t>138.</w:t>
      </w:r>
    </w:p>
  </w:footnote>
  <w:footnote w:id="51">
    <w:p w14:paraId="1FDCE28D" w14:textId="798DBAF8" w:rsidR="0041471E" w:rsidRDefault="0041471E">
      <w:pPr>
        <w:pStyle w:val="FootnoteText"/>
      </w:pPr>
      <w:r>
        <w:rPr>
          <w:rStyle w:val="FootnoteReference"/>
        </w:rPr>
        <w:footnoteRef/>
      </w:r>
      <w:r>
        <w:t xml:space="preserve"> </w:t>
      </w:r>
      <w:r w:rsidR="00160D3A">
        <w:t xml:space="preserve">Insolvency Law DIFC Law No 1 of 2019, </w:t>
      </w:r>
      <w:r w:rsidR="00271CB5">
        <w:t>art</w:t>
      </w:r>
      <w:r w:rsidR="00210F47">
        <w:t xml:space="preserve"> 81(a).</w:t>
      </w:r>
    </w:p>
  </w:footnote>
  <w:footnote w:id="52">
    <w:p w14:paraId="5A36E3AD" w14:textId="3C2C9A26" w:rsidR="00210F47" w:rsidRPr="006F4713" w:rsidRDefault="00210F47">
      <w:pPr>
        <w:pStyle w:val="FootnoteText"/>
      </w:pPr>
      <w:r>
        <w:rPr>
          <w:rStyle w:val="FootnoteReference"/>
        </w:rPr>
        <w:footnoteRef/>
      </w:r>
      <w:r>
        <w:t xml:space="preserve"> </w:t>
      </w:r>
      <w:r w:rsidR="006F4713">
        <w:rPr>
          <w:i/>
          <w:iCs/>
        </w:rPr>
        <w:t>Idem</w:t>
      </w:r>
      <w:r w:rsidR="006F4713">
        <w:t xml:space="preserve">, </w:t>
      </w:r>
      <w:r w:rsidR="00271CB5">
        <w:t xml:space="preserve">art </w:t>
      </w:r>
      <w:r w:rsidR="006F4713">
        <w:t>82</w:t>
      </w:r>
      <w:r w:rsidR="00540574">
        <w:t>.</w:t>
      </w:r>
    </w:p>
  </w:footnote>
  <w:footnote w:id="53">
    <w:p w14:paraId="5EA0C361" w14:textId="07CEC7A9" w:rsidR="00A43F87" w:rsidRPr="00A43F87" w:rsidRDefault="00A43F87">
      <w:pPr>
        <w:pStyle w:val="FootnoteText"/>
      </w:pPr>
      <w:r>
        <w:rPr>
          <w:rStyle w:val="FootnoteReference"/>
        </w:rPr>
        <w:footnoteRef/>
      </w:r>
      <w:r>
        <w:t xml:space="preserve"> </w:t>
      </w:r>
      <w:r>
        <w:rPr>
          <w:i/>
          <w:iCs/>
        </w:rPr>
        <w:t xml:space="preserve">Idem, </w:t>
      </w:r>
      <w:r w:rsidR="00271CB5">
        <w:t>art</w:t>
      </w:r>
      <w:r>
        <w:t xml:space="preserve"> 83.</w:t>
      </w:r>
    </w:p>
  </w:footnote>
  <w:footnote w:id="54">
    <w:p w14:paraId="3F733994" w14:textId="288C0A03" w:rsidR="00AC5807" w:rsidRPr="00AC5807" w:rsidRDefault="00AC5807">
      <w:pPr>
        <w:pStyle w:val="FootnoteText"/>
      </w:pPr>
      <w:r>
        <w:rPr>
          <w:rStyle w:val="FootnoteReference"/>
        </w:rPr>
        <w:footnoteRef/>
      </w:r>
      <w:r>
        <w:t xml:space="preserve"> </w:t>
      </w:r>
      <w:r>
        <w:rPr>
          <w:i/>
          <w:iCs/>
        </w:rPr>
        <w:t xml:space="preserve">Idem, </w:t>
      </w:r>
      <w:r w:rsidR="00271CB5">
        <w:t xml:space="preserve">art </w:t>
      </w:r>
      <w:r>
        <w:t>90(1).</w:t>
      </w:r>
    </w:p>
  </w:footnote>
  <w:footnote w:id="55">
    <w:p w14:paraId="3883EFD9" w14:textId="371D6A6F" w:rsidR="005D524A" w:rsidRPr="005D524A" w:rsidRDefault="005D524A">
      <w:pPr>
        <w:pStyle w:val="FootnoteText"/>
      </w:pPr>
      <w:r>
        <w:rPr>
          <w:rStyle w:val="FootnoteReference"/>
        </w:rPr>
        <w:footnoteRef/>
      </w:r>
      <w:r>
        <w:t xml:space="preserve"> </w:t>
      </w:r>
      <w:r>
        <w:rPr>
          <w:i/>
          <w:iCs/>
        </w:rPr>
        <w:t>Idem</w:t>
      </w:r>
      <w:r>
        <w:t xml:space="preserve">, </w:t>
      </w:r>
      <w:r w:rsidR="00271CB5">
        <w:t>art</w:t>
      </w:r>
      <w:r>
        <w:t xml:space="preserve"> 88(2).</w:t>
      </w:r>
    </w:p>
  </w:footnote>
  <w:footnote w:id="56">
    <w:p w14:paraId="64E32069" w14:textId="05A05449" w:rsidR="00A04C51" w:rsidRPr="00A04C51" w:rsidRDefault="00A04C51">
      <w:pPr>
        <w:pStyle w:val="FootnoteText"/>
      </w:pPr>
      <w:r>
        <w:rPr>
          <w:rStyle w:val="FootnoteReference"/>
        </w:rPr>
        <w:footnoteRef/>
      </w:r>
      <w:r>
        <w:t xml:space="preserve"> </w:t>
      </w:r>
      <w:r>
        <w:rPr>
          <w:i/>
          <w:iCs/>
        </w:rPr>
        <w:t xml:space="preserve">Idem, </w:t>
      </w:r>
      <w:r w:rsidR="00271CB5">
        <w:t xml:space="preserve">art </w:t>
      </w:r>
      <w:r>
        <w:t>93.</w:t>
      </w:r>
    </w:p>
  </w:footnote>
  <w:footnote w:id="57">
    <w:p w14:paraId="6AADD9CC" w14:textId="09579F51" w:rsidR="007A6040" w:rsidRPr="007A6040" w:rsidRDefault="007A6040">
      <w:pPr>
        <w:pStyle w:val="FootnoteText"/>
      </w:pPr>
      <w:r>
        <w:rPr>
          <w:rStyle w:val="FootnoteReference"/>
        </w:rPr>
        <w:footnoteRef/>
      </w:r>
      <w:r>
        <w:t xml:space="preserve"> </w:t>
      </w:r>
      <w:r>
        <w:rPr>
          <w:i/>
          <w:iCs/>
        </w:rPr>
        <w:t>Idem</w:t>
      </w:r>
      <w:r>
        <w:t xml:space="preserve">, </w:t>
      </w:r>
      <w:r w:rsidR="00271CB5">
        <w:t xml:space="preserve">art </w:t>
      </w:r>
      <w:r>
        <w:t>97.</w:t>
      </w:r>
    </w:p>
  </w:footnote>
  <w:footnote w:id="58">
    <w:p w14:paraId="70D14A37" w14:textId="20D169F6" w:rsidR="007A52D6" w:rsidRPr="007A52D6" w:rsidRDefault="007A52D6">
      <w:pPr>
        <w:pStyle w:val="FootnoteText"/>
      </w:pPr>
      <w:r>
        <w:rPr>
          <w:rStyle w:val="FootnoteReference"/>
        </w:rPr>
        <w:footnoteRef/>
      </w:r>
      <w:r>
        <w:t xml:space="preserve"> </w:t>
      </w:r>
      <w:r>
        <w:rPr>
          <w:i/>
          <w:iCs/>
        </w:rPr>
        <w:t xml:space="preserve">Idem, </w:t>
      </w:r>
      <w:r w:rsidR="00271CB5">
        <w:t>art</w:t>
      </w:r>
      <w:r>
        <w:t xml:space="preserve"> 9</w:t>
      </w:r>
      <w:r w:rsidR="00DE49B6">
        <w:t>9</w:t>
      </w:r>
      <w:r>
        <w:t>.</w:t>
      </w:r>
    </w:p>
  </w:footnote>
  <w:footnote w:id="59">
    <w:p w14:paraId="656BCF80" w14:textId="3582F70D" w:rsidR="00DE49B6" w:rsidRPr="00DE49B6" w:rsidRDefault="00DE49B6">
      <w:pPr>
        <w:pStyle w:val="FootnoteText"/>
      </w:pPr>
      <w:r>
        <w:rPr>
          <w:rStyle w:val="FootnoteReference"/>
        </w:rPr>
        <w:footnoteRef/>
      </w:r>
      <w:r>
        <w:t xml:space="preserve"> </w:t>
      </w:r>
      <w:r>
        <w:rPr>
          <w:i/>
          <w:iCs/>
        </w:rPr>
        <w:t>Idem</w:t>
      </w:r>
      <w:r>
        <w:t xml:space="preserve">, </w:t>
      </w:r>
      <w:r w:rsidR="00271CB5">
        <w:t>art</w:t>
      </w:r>
      <w:r>
        <w:t xml:space="preserve"> 98.</w:t>
      </w:r>
    </w:p>
  </w:footnote>
  <w:footnote w:id="60">
    <w:p w14:paraId="532F6458" w14:textId="5C787EEB" w:rsidR="001244F9" w:rsidRDefault="001244F9">
      <w:pPr>
        <w:pStyle w:val="FootnoteText"/>
      </w:pPr>
      <w:r>
        <w:rPr>
          <w:rStyle w:val="FootnoteReference"/>
        </w:rPr>
        <w:footnoteRef/>
      </w:r>
      <w:r>
        <w:t xml:space="preserve"> DIFC Insolvency Regulations, reg 6.16.</w:t>
      </w:r>
    </w:p>
  </w:footnote>
  <w:footnote w:id="61">
    <w:p w14:paraId="3F59552D" w14:textId="7E8C8DB6" w:rsidR="00137065" w:rsidRPr="00137065" w:rsidRDefault="00137065">
      <w:pPr>
        <w:pStyle w:val="FootnoteText"/>
      </w:pPr>
      <w:r>
        <w:rPr>
          <w:rStyle w:val="FootnoteReference"/>
        </w:rPr>
        <w:footnoteRef/>
      </w:r>
      <w:r>
        <w:t xml:space="preserve"> </w:t>
      </w:r>
      <w:r>
        <w:rPr>
          <w:i/>
          <w:iCs/>
        </w:rPr>
        <w:t>Idem</w:t>
      </w:r>
      <w:r>
        <w:t>, reg 6.23.</w:t>
      </w:r>
    </w:p>
  </w:footnote>
  <w:footnote w:id="62">
    <w:p w14:paraId="7ACC1493" w14:textId="01B9C01B" w:rsidR="00AA755C" w:rsidRPr="00AA755C" w:rsidRDefault="00AA755C">
      <w:pPr>
        <w:pStyle w:val="FootnoteText"/>
      </w:pPr>
      <w:r>
        <w:rPr>
          <w:rStyle w:val="FootnoteReference"/>
        </w:rPr>
        <w:footnoteRef/>
      </w:r>
      <w:r>
        <w:t xml:space="preserve"> </w:t>
      </w:r>
      <w:r>
        <w:rPr>
          <w:i/>
          <w:iCs/>
        </w:rPr>
        <w:t>Idem</w:t>
      </w:r>
      <w:r>
        <w:t>, reg 6.19.</w:t>
      </w:r>
    </w:p>
  </w:footnote>
  <w:footnote w:id="63">
    <w:p w14:paraId="398819E4" w14:textId="29B1A61D" w:rsidR="00934C7A" w:rsidRPr="00934C7A" w:rsidRDefault="00934C7A">
      <w:pPr>
        <w:pStyle w:val="FootnoteText"/>
      </w:pPr>
      <w:r>
        <w:rPr>
          <w:rStyle w:val="FootnoteReference"/>
        </w:rPr>
        <w:footnoteRef/>
      </w:r>
      <w:r>
        <w:t xml:space="preserve"> </w:t>
      </w:r>
      <w:r>
        <w:rPr>
          <w:i/>
          <w:iCs/>
        </w:rPr>
        <w:t xml:space="preserve">Idem, </w:t>
      </w:r>
      <w:r>
        <w:t xml:space="preserve">reg </w:t>
      </w:r>
      <w:r w:rsidR="008707C0">
        <w:t>6.20.1.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ECA"/>
    <w:multiLevelType w:val="hybridMultilevel"/>
    <w:tmpl w:val="D3A88E4E"/>
    <w:lvl w:ilvl="0" w:tplc="EC10BE7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BEE4FC7"/>
    <w:multiLevelType w:val="hybridMultilevel"/>
    <w:tmpl w:val="B0DA4C10"/>
    <w:lvl w:ilvl="0" w:tplc="119CD3BE">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EC14752"/>
    <w:multiLevelType w:val="hybridMultilevel"/>
    <w:tmpl w:val="C64C06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571D1"/>
    <w:multiLevelType w:val="hybridMultilevel"/>
    <w:tmpl w:val="95A43B2E"/>
    <w:lvl w:ilvl="0" w:tplc="E428798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12E8B"/>
    <w:multiLevelType w:val="hybridMultilevel"/>
    <w:tmpl w:val="C64C06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96E0D"/>
    <w:multiLevelType w:val="hybridMultilevel"/>
    <w:tmpl w:val="540E147A"/>
    <w:lvl w:ilvl="0" w:tplc="B77EEC4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C1C71B5"/>
    <w:multiLevelType w:val="hybridMultilevel"/>
    <w:tmpl w:val="BBDA0B74"/>
    <w:lvl w:ilvl="0" w:tplc="119CD3B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E1BA1"/>
    <w:multiLevelType w:val="hybridMultilevel"/>
    <w:tmpl w:val="D764AEBC"/>
    <w:lvl w:ilvl="0" w:tplc="119CD3B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4E57A6E"/>
    <w:multiLevelType w:val="hybridMultilevel"/>
    <w:tmpl w:val="C64C06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6465A0"/>
    <w:multiLevelType w:val="hybridMultilevel"/>
    <w:tmpl w:val="7A0800E2"/>
    <w:lvl w:ilvl="0" w:tplc="119CD3B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885BB3"/>
    <w:multiLevelType w:val="hybridMultilevel"/>
    <w:tmpl w:val="C64C06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E096231"/>
    <w:multiLevelType w:val="hybridMultilevel"/>
    <w:tmpl w:val="83ACFA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2" w15:restartNumberingAfterBreak="0">
    <w:nsid w:val="531D3CB1"/>
    <w:multiLevelType w:val="hybridMultilevel"/>
    <w:tmpl w:val="E3142F48"/>
    <w:lvl w:ilvl="0" w:tplc="E7B8FA5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9CF1031"/>
    <w:multiLevelType w:val="hybridMultilevel"/>
    <w:tmpl w:val="C64C06AE"/>
    <w:lvl w:ilvl="0" w:tplc="119CD3B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A565195"/>
    <w:multiLevelType w:val="hybridMultilevel"/>
    <w:tmpl w:val="83ACFA1C"/>
    <w:lvl w:ilvl="0" w:tplc="B77EEC4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0BF4DA6"/>
    <w:multiLevelType w:val="hybridMultilevel"/>
    <w:tmpl w:val="6D105EAE"/>
    <w:lvl w:ilvl="0" w:tplc="119CD3B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36C7C93"/>
    <w:multiLevelType w:val="hybridMultilevel"/>
    <w:tmpl w:val="C6C8858E"/>
    <w:lvl w:ilvl="0" w:tplc="119CD3B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6621A72"/>
    <w:multiLevelType w:val="hybridMultilevel"/>
    <w:tmpl w:val="541E6958"/>
    <w:lvl w:ilvl="0" w:tplc="119CD3B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6924041"/>
    <w:multiLevelType w:val="hybridMultilevel"/>
    <w:tmpl w:val="C53AD500"/>
    <w:lvl w:ilvl="0" w:tplc="119CD3B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E56268C"/>
    <w:multiLevelType w:val="hybridMultilevel"/>
    <w:tmpl w:val="C64C06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8DB4C89"/>
    <w:multiLevelType w:val="hybridMultilevel"/>
    <w:tmpl w:val="C64C06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054FCB"/>
    <w:multiLevelType w:val="hybridMultilevel"/>
    <w:tmpl w:val="C64C06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6732972">
    <w:abstractNumId w:val="3"/>
  </w:num>
  <w:num w:numId="2" w16cid:durableId="1754430358">
    <w:abstractNumId w:val="14"/>
  </w:num>
  <w:num w:numId="3" w16cid:durableId="1629316980">
    <w:abstractNumId w:val="21"/>
  </w:num>
  <w:num w:numId="4" w16cid:durableId="774979182">
    <w:abstractNumId w:val="25"/>
  </w:num>
  <w:num w:numId="5" w16cid:durableId="912817101">
    <w:abstractNumId w:val="5"/>
  </w:num>
  <w:num w:numId="6" w16cid:durableId="646470168">
    <w:abstractNumId w:val="10"/>
  </w:num>
  <w:num w:numId="7" w16cid:durableId="1342975047">
    <w:abstractNumId w:val="16"/>
  </w:num>
  <w:num w:numId="8" w16cid:durableId="61831874">
    <w:abstractNumId w:val="20"/>
  </w:num>
  <w:num w:numId="9" w16cid:durableId="1094592684">
    <w:abstractNumId w:val="19"/>
  </w:num>
  <w:num w:numId="10" w16cid:durableId="1168062144">
    <w:abstractNumId w:val="7"/>
  </w:num>
  <w:num w:numId="11" w16cid:durableId="368451780">
    <w:abstractNumId w:val="17"/>
  </w:num>
  <w:num w:numId="12" w16cid:durableId="793135801">
    <w:abstractNumId w:val="24"/>
  </w:num>
  <w:num w:numId="13" w16cid:durableId="899752391">
    <w:abstractNumId w:val="18"/>
  </w:num>
  <w:num w:numId="14" w16cid:durableId="391074842">
    <w:abstractNumId w:val="8"/>
  </w:num>
  <w:num w:numId="15" w16cid:durableId="1217201952">
    <w:abstractNumId w:val="0"/>
  </w:num>
  <w:num w:numId="16" w16cid:durableId="545685115">
    <w:abstractNumId w:val="23"/>
  </w:num>
  <w:num w:numId="17" w16cid:durableId="1513957069">
    <w:abstractNumId w:val="32"/>
  </w:num>
  <w:num w:numId="18" w16cid:durableId="1687516306">
    <w:abstractNumId w:val="31"/>
  </w:num>
  <w:num w:numId="19" w16cid:durableId="1079131475">
    <w:abstractNumId w:val="6"/>
  </w:num>
  <w:num w:numId="20" w16cid:durableId="736587792">
    <w:abstractNumId w:val="15"/>
  </w:num>
  <w:num w:numId="21" w16cid:durableId="49042898">
    <w:abstractNumId w:val="30"/>
  </w:num>
  <w:num w:numId="22" w16cid:durableId="1724987215">
    <w:abstractNumId w:val="2"/>
  </w:num>
  <w:num w:numId="23" w16cid:durableId="715739991">
    <w:abstractNumId w:val="12"/>
  </w:num>
  <w:num w:numId="24" w16cid:durableId="93523006">
    <w:abstractNumId w:val="29"/>
  </w:num>
  <w:num w:numId="25" w16cid:durableId="1529760922">
    <w:abstractNumId w:val="22"/>
  </w:num>
  <w:num w:numId="26" w16cid:durableId="2122139061">
    <w:abstractNumId w:val="11"/>
  </w:num>
  <w:num w:numId="27" w16cid:durableId="328291094">
    <w:abstractNumId w:val="28"/>
  </w:num>
  <w:num w:numId="28" w16cid:durableId="1403218426">
    <w:abstractNumId w:val="9"/>
  </w:num>
  <w:num w:numId="29" w16cid:durableId="83188786">
    <w:abstractNumId w:val="13"/>
  </w:num>
  <w:num w:numId="30" w16cid:durableId="1172990845">
    <w:abstractNumId w:val="27"/>
  </w:num>
  <w:num w:numId="31" w16cid:durableId="1637640133">
    <w:abstractNumId w:val="26"/>
  </w:num>
  <w:num w:numId="32" w16cid:durableId="691221983">
    <w:abstractNumId w:val="1"/>
  </w:num>
  <w:num w:numId="33" w16cid:durableId="69935634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6B1B"/>
    <w:rsid w:val="00007BF3"/>
    <w:rsid w:val="00007C38"/>
    <w:rsid w:val="00010BA0"/>
    <w:rsid w:val="00020557"/>
    <w:rsid w:val="00021FC2"/>
    <w:rsid w:val="000250C7"/>
    <w:rsid w:val="000265C1"/>
    <w:rsid w:val="00026F16"/>
    <w:rsid w:val="00027A52"/>
    <w:rsid w:val="00037621"/>
    <w:rsid w:val="00044D46"/>
    <w:rsid w:val="00045088"/>
    <w:rsid w:val="00045904"/>
    <w:rsid w:val="00047438"/>
    <w:rsid w:val="000502FD"/>
    <w:rsid w:val="000507BB"/>
    <w:rsid w:val="00050EA8"/>
    <w:rsid w:val="00052093"/>
    <w:rsid w:val="00054414"/>
    <w:rsid w:val="00060A6D"/>
    <w:rsid w:val="00061CF2"/>
    <w:rsid w:val="00065166"/>
    <w:rsid w:val="00070ACF"/>
    <w:rsid w:val="00070CDF"/>
    <w:rsid w:val="00072826"/>
    <w:rsid w:val="000756E1"/>
    <w:rsid w:val="00081628"/>
    <w:rsid w:val="00082609"/>
    <w:rsid w:val="000851CC"/>
    <w:rsid w:val="0008522C"/>
    <w:rsid w:val="00085C85"/>
    <w:rsid w:val="00087F21"/>
    <w:rsid w:val="000905FB"/>
    <w:rsid w:val="00093BE8"/>
    <w:rsid w:val="000A24A8"/>
    <w:rsid w:val="000A37A2"/>
    <w:rsid w:val="000A407B"/>
    <w:rsid w:val="000A68ED"/>
    <w:rsid w:val="000B4928"/>
    <w:rsid w:val="000B4DF7"/>
    <w:rsid w:val="000B5FF1"/>
    <w:rsid w:val="000B609F"/>
    <w:rsid w:val="000C1440"/>
    <w:rsid w:val="000C2820"/>
    <w:rsid w:val="000D55A8"/>
    <w:rsid w:val="000E4841"/>
    <w:rsid w:val="000E4FA3"/>
    <w:rsid w:val="000E7448"/>
    <w:rsid w:val="000F0A44"/>
    <w:rsid w:val="000F1677"/>
    <w:rsid w:val="000F3D6C"/>
    <w:rsid w:val="000F4019"/>
    <w:rsid w:val="0010138A"/>
    <w:rsid w:val="00101707"/>
    <w:rsid w:val="0010173D"/>
    <w:rsid w:val="00102CC9"/>
    <w:rsid w:val="0010593A"/>
    <w:rsid w:val="00111F83"/>
    <w:rsid w:val="0011473D"/>
    <w:rsid w:val="00115C85"/>
    <w:rsid w:val="00122F36"/>
    <w:rsid w:val="00123855"/>
    <w:rsid w:val="001244F9"/>
    <w:rsid w:val="00126A4D"/>
    <w:rsid w:val="001341EF"/>
    <w:rsid w:val="00136839"/>
    <w:rsid w:val="00137065"/>
    <w:rsid w:val="0014171F"/>
    <w:rsid w:val="00144535"/>
    <w:rsid w:val="001457AB"/>
    <w:rsid w:val="0014622C"/>
    <w:rsid w:val="00152348"/>
    <w:rsid w:val="0015456D"/>
    <w:rsid w:val="00154A08"/>
    <w:rsid w:val="00154AF2"/>
    <w:rsid w:val="00155B9B"/>
    <w:rsid w:val="00155FA2"/>
    <w:rsid w:val="00156182"/>
    <w:rsid w:val="00160D3A"/>
    <w:rsid w:val="00161F1B"/>
    <w:rsid w:val="00162829"/>
    <w:rsid w:val="00166DDA"/>
    <w:rsid w:val="001726DD"/>
    <w:rsid w:val="00173A3F"/>
    <w:rsid w:val="00180548"/>
    <w:rsid w:val="00180AC4"/>
    <w:rsid w:val="00180CCE"/>
    <w:rsid w:val="0018197A"/>
    <w:rsid w:val="0018267A"/>
    <w:rsid w:val="00182779"/>
    <w:rsid w:val="001830DF"/>
    <w:rsid w:val="0018479D"/>
    <w:rsid w:val="00187155"/>
    <w:rsid w:val="001966D9"/>
    <w:rsid w:val="001A007A"/>
    <w:rsid w:val="001A1E2D"/>
    <w:rsid w:val="001A36BD"/>
    <w:rsid w:val="001A45DB"/>
    <w:rsid w:val="001A7E9A"/>
    <w:rsid w:val="001B0F70"/>
    <w:rsid w:val="001B3BC5"/>
    <w:rsid w:val="001B5016"/>
    <w:rsid w:val="001B50BF"/>
    <w:rsid w:val="001B70DF"/>
    <w:rsid w:val="001C181F"/>
    <w:rsid w:val="001C2A9F"/>
    <w:rsid w:val="001C2C42"/>
    <w:rsid w:val="001C45FC"/>
    <w:rsid w:val="001D0469"/>
    <w:rsid w:val="001D0A61"/>
    <w:rsid w:val="001D29C0"/>
    <w:rsid w:val="001D4862"/>
    <w:rsid w:val="001D5308"/>
    <w:rsid w:val="001D6DF4"/>
    <w:rsid w:val="001E07F5"/>
    <w:rsid w:val="001E2455"/>
    <w:rsid w:val="001E25B9"/>
    <w:rsid w:val="001E3F34"/>
    <w:rsid w:val="001E49E0"/>
    <w:rsid w:val="001E5C39"/>
    <w:rsid w:val="001E7B5A"/>
    <w:rsid w:val="001F679F"/>
    <w:rsid w:val="001F7412"/>
    <w:rsid w:val="0020090A"/>
    <w:rsid w:val="00202DFE"/>
    <w:rsid w:val="0020725B"/>
    <w:rsid w:val="002073B6"/>
    <w:rsid w:val="00207C3D"/>
    <w:rsid w:val="00210F47"/>
    <w:rsid w:val="002110F1"/>
    <w:rsid w:val="002170BB"/>
    <w:rsid w:val="002170F5"/>
    <w:rsid w:val="002177C9"/>
    <w:rsid w:val="00221D20"/>
    <w:rsid w:val="00224E71"/>
    <w:rsid w:val="00225608"/>
    <w:rsid w:val="00226CB6"/>
    <w:rsid w:val="002356EA"/>
    <w:rsid w:val="002408CD"/>
    <w:rsid w:val="00240C69"/>
    <w:rsid w:val="0024116D"/>
    <w:rsid w:val="00241B44"/>
    <w:rsid w:val="00241FA3"/>
    <w:rsid w:val="0024276A"/>
    <w:rsid w:val="00243263"/>
    <w:rsid w:val="00245EFB"/>
    <w:rsid w:val="00246C60"/>
    <w:rsid w:val="00247AEB"/>
    <w:rsid w:val="0025386E"/>
    <w:rsid w:val="002572FF"/>
    <w:rsid w:val="002574A3"/>
    <w:rsid w:val="002602F2"/>
    <w:rsid w:val="0026338D"/>
    <w:rsid w:val="002638B0"/>
    <w:rsid w:val="0026647A"/>
    <w:rsid w:val="002668D3"/>
    <w:rsid w:val="002677FF"/>
    <w:rsid w:val="00271CB5"/>
    <w:rsid w:val="002722CA"/>
    <w:rsid w:val="002724CB"/>
    <w:rsid w:val="0027299F"/>
    <w:rsid w:val="00274BC3"/>
    <w:rsid w:val="0027716D"/>
    <w:rsid w:val="00277543"/>
    <w:rsid w:val="00277925"/>
    <w:rsid w:val="00284EBE"/>
    <w:rsid w:val="00285298"/>
    <w:rsid w:val="002903A7"/>
    <w:rsid w:val="0029433F"/>
    <w:rsid w:val="00294829"/>
    <w:rsid w:val="00294E0E"/>
    <w:rsid w:val="0029690F"/>
    <w:rsid w:val="00297C8A"/>
    <w:rsid w:val="002A2A60"/>
    <w:rsid w:val="002A37BB"/>
    <w:rsid w:val="002A44F1"/>
    <w:rsid w:val="002A5A6B"/>
    <w:rsid w:val="002B1C45"/>
    <w:rsid w:val="002B20B4"/>
    <w:rsid w:val="002C13C8"/>
    <w:rsid w:val="002C1EC5"/>
    <w:rsid w:val="002C2222"/>
    <w:rsid w:val="002C2FDA"/>
    <w:rsid w:val="002C3498"/>
    <w:rsid w:val="002C3547"/>
    <w:rsid w:val="002C6CAC"/>
    <w:rsid w:val="002C7865"/>
    <w:rsid w:val="002D0021"/>
    <w:rsid w:val="002D299D"/>
    <w:rsid w:val="002D2F74"/>
    <w:rsid w:val="002D3473"/>
    <w:rsid w:val="002E3125"/>
    <w:rsid w:val="002F1956"/>
    <w:rsid w:val="002F3440"/>
    <w:rsid w:val="002F75A3"/>
    <w:rsid w:val="00301E50"/>
    <w:rsid w:val="00303C2F"/>
    <w:rsid w:val="00305799"/>
    <w:rsid w:val="00305E53"/>
    <w:rsid w:val="00307D85"/>
    <w:rsid w:val="003144EF"/>
    <w:rsid w:val="00320701"/>
    <w:rsid w:val="00326292"/>
    <w:rsid w:val="00326415"/>
    <w:rsid w:val="00327829"/>
    <w:rsid w:val="00330937"/>
    <w:rsid w:val="00330C86"/>
    <w:rsid w:val="00330F31"/>
    <w:rsid w:val="003326EC"/>
    <w:rsid w:val="00334648"/>
    <w:rsid w:val="003370CD"/>
    <w:rsid w:val="0033768C"/>
    <w:rsid w:val="00337938"/>
    <w:rsid w:val="00340769"/>
    <w:rsid w:val="00341AA6"/>
    <w:rsid w:val="00351E2E"/>
    <w:rsid w:val="00361A0A"/>
    <w:rsid w:val="00364369"/>
    <w:rsid w:val="00364836"/>
    <w:rsid w:val="0036565C"/>
    <w:rsid w:val="003659F8"/>
    <w:rsid w:val="0036625E"/>
    <w:rsid w:val="00366ACE"/>
    <w:rsid w:val="003703F4"/>
    <w:rsid w:val="0037465A"/>
    <w:rsid w:val="00374890"/>
    <w:rsid w:val="00376B70"/>
    <w:rsid w:val="00382C98"/>
    <w:rsid w:val="0038533C"/>
    <w:rsid w:val="0038649A"/>
    <w:rsid w:val="00386568"/>
    <w:rsid w:val="00386BE7"/>
    <w:rsid w:val="00390B57"/>
    <w:rsid w:val="00392AD3"/>
    <w:rsid w:val="00392B53"/>
    <w:rsid w:val="003932C9"/>
    <w:rsid w:val="003948D5"/>
    <w:rsid w:val="00396194"/>
    <w:rsid w:val="00396821"/>
    <w:rsid w:val="00397D3A"/>
    <w:rsid w:val="003A051E"/>
    <w:rsid w:val="003A2789"/>
    <w:rsid w:val="003B170F"/>
    <w:rsid w:val="003B3C5F"/>
    <w:rsid w:val="003B4FB1"/>
    <w:rsid w:val="003B5DBE"/>
    <w:rsid w:val="003C0156"/>
    <w:rsid w:val="003C4471"/>
    <w:rsid w:val="003C6597"/>
    <w:rsid w:val="003C6BF4"/>
    <w:rsid w:val="003D0A6D"/>
    <w:rsid w:val="003D7005"/>
    <w:rsid w:val="003D7B41"/>
    <w:rsid w:val="003E0B16"/>
    <w:rsid w:val="003E67D1"/>
    <w:rsid w:val="003F524C"/>
    <w:rsid w:val="003F739C"/>
    <w:rsid w:val="003F7725"/>
    <w:rsid w:val="0040332F"/>
    <w:rsid w:val="00403D2B"/>
    <w:rsid w:val="00404048"/>
    <w:rsid w:val="00404329"/>
    <w:rsid w:val="00405696"/>
    <w:rsid w:val="00405DC1"/>
    <w:rsid w:val="00407D5F"/>
    <w:rsid w:val="00410ABD"/>
    <w:rsid w:val="00412107"/>
    <w:rsid w:val="0041471E"/>
    <w:rsid w:val="00415F1F"/>
    <w:rsid w:val="0042108F"/>
    <w:rsid w:val="00421976"/>
    <w:rsid w:val="004255DF"/>
    <w:rsid w:val="00425E4E"/>
    <w:rsid w:val="004300F1"/>
    <w:rsid w:val="00430FED"/>
    <w:rsid w:val="00434A8C"/>
    <w:rsid w:val="00437297"/>
    <w:rsid w:val="004402DC"/>
    <w:rsid w:val="00442720"/>
    <w:rsid w:val="00444284"/>
    <w:rsid w:val="00445CE6"/>
    <w:rsid w:val="004532D4"/>
    <w:rsid w:val="004534C2"/>
    <w:rsid w:val="0045446F"/>
    <w:rsid w:val="00454E2B"/>
    <w:rsid w:val="00455637"/>
    <w:rsid w:val="004565A9"/>
    <w:rsid w:val="0045683E"/>
    <w:rsid w:val="0046351C"/>
    <w:rsid w:val="00467D44"/>
    <w:rsid w:val="004715ED"/>
    <w:rsid w:val="004776B6"/>
    <w:rsid w:val="00477C72"/>
    <w:rsid w:val="00480AA0"/>
    <w:rsid w:val="00481D6B"/>
    <w:rsid w:val="004836F4"/>
    <w:rsid w:val="00484B29"/>
    <w:rsid w:val="00491675"/>
    <w:rsid w:val="00493855"/>
    <w:rsid w:val="00495A0E"/>
    <w:rsid w:val="00495E79"/>
    <w:rsid w:val="004A2D83"/>
    <w:rsid w:val="004A57DD"/>
    <w:rsid w:val="004A7B51"/>
    <w:rsid w:val="004A7D71"/>
    <w:rsid w:val="004A7EF3"/>
    <w:rsid w:val="004B11FD"/>
    <w:rsid w:val="004B23A2"/>
    <w:rsid w:val="004B2AB2"/>
    <w:rsid w:val="004B3806"/>
    <w:rsid w:val="004D1A5A"/>
    <w:rsid w:val="004D2643"/>
    <w:rsid w:val="004D2FFF"/>
    <w:rsid w:val="004D3721"/>
    <w:rsid w:val="004D64F9"/>
    <w:rsid w:val="004E3A6B"/>
    <w:rsid w:val="004E3C5B"/>
    <w:rsid w:val="004E622C"/>
    <w:rsid w:val="004F5FDF"/>
    <w:rsid w:val="00503068"/>
    <w:rsid w:val="00504765"/>
    <w:rsid w:val="00510995"/>
    <w:rsid w:val="005115E0"/>
    <w:rsid w:val="00516415"/>
    <w:rsid w:val="005177FE"/>
    <w:rsid w:val="00517FC4"/>
    <w:rsid w:val="00522140"/>
    <w:rsid w:val="0052263B"/>
    <w:rsid w:val="00524728"/>
    <w:rsid w:val="005263AF"/>
    <w:rsid w:val="00532E44"/>
    <w:rsid w:val="005331CA"/>
    <w:rsid w:val="00537970"/>
    <w:rsid w:val="00540574"/>
    <w:rsid w:val="00540E3A"/>
    <w:rsid w:val="00544127"/>
    <w:rsid w:val="00545CDC"/>
    <w:rsid w:val="005463A9"/>
    <w:rsid w:val="00547206"/>
    <w:rsid w:val="00553EB2"/>
    <w:rsid w:val="00560534"/>
    <w:rsid w:val="00562C79"/>
    <w:rsid w:val="0056391B"/>
    <w:rsid w:val="00564197"/>
    <w:rsid w:val="005650E2"/>
    <w:rsid w:val="00565D30"/>
    <w:rsid w:val="00567AD7"/>
    <w:rsid w:val="0057386E"/>
    <w:rsid w:val="00575B2D"/>
    <w:rsid w:val="00575FAA"/>
    <w:rsid w:val="005833D0"/>
    <w:rsid w:val="005846F3"/>
    <w:rsid w:val="005854B7"/>
    <w:rsid w:val="0058622F"/>
    <w:rsid w:val="00587DD7"/>
    <w:rsid w:val="005906C2"/>
    <w:rsid w:val="005919BD"/>
    <w:rsid w:val="00591E26"/>
    <w:rsid w:val="00592F82"/>
    <w:rsid w:val="005964E4"/>
    <w:rsid w:val="005A0CCA"/>
    <w:rsid w:val="005A4A42"/>
    <w:rsid w:val="005A6FF2"/>
    <w:rsid w:val="005A726D"/>
    <w:rsid w:val="005B67AC"/>
    <w:rsid w:val="005B79F4"/>
    <w:rsid w:val="005C0524"/>
    <w:rsid w:val="005C1D86"/>
    <w:rsid w:val="005C27B4"/>
    <w:rsid w:val="005C52FC"/>
    <w:rsid w:val="005D16DD"/>
    <w:rsid w:val="005D43E0"/>
    <w:rsid w:val="005D492B"/>
    <w:rsid w:val="005D502A"/>
    <w:rsid w:val="005D524A"/>
    <w:rsid w:val="005D58A3"/>
    <w:rsid w:val="005E1B79"/>
    <w:rsid w:val="005E37D3"/>
    <w:rsid w:val="005E6076"/>
    <w:rsid w:val="005E7008"/>
    <w:rsid w:val="005F026D"/>
    <w:rsid w:val="005F1424"/>
    <w:rsid w:val="005F2AEA"/>
    <w:rsid w:val="005F2D0B"/>
    <w:rsid w:val="005F4B31"/>
    <w:rsid w:val="005F53AD"/>
    <w:rsid w:val="006014F2"/>
    <w:rsid w:val="00603B47"/>
    <w:rsid w:val="00610388"/>
    <w:rsid w:val="00610AC7"/>
    <w:rsid w:val="00611566"/>
    <w:rsid w:val="00612CA5"/>
    <w:rsid w:val="006153EC"/>
    <w:rsid w:val="00615946"/>
    <w:rsid w:val="00621A17"/>
    <w:rsid w:val="00625831"/>
    <w:rsid w:val="006270AB"/>
    <w:rsid w:val="00627CC9"/>
    <w:rsid w:val="00627E7B"/>
    <w:rsid w:val="00630542"/>
    <w:rsid w:val="00632E44"/>
    <w:rsid w:val="00634622"/>
    <w:rsid w:val="00636808"/>
    <w:rsid w:val="00640162"/>
    <w:rsid w:val="00640623"/>
    <w:rsid w:val="00641515"/>
    <w:rsid w:val="00651151"/>
    <w:rsid w:val="00652342"/>
    <w:rsid w:val="00653841"/>
    <w:rsid w:val="00653B51"/>
    <w:rsid w:val="00654C2F"/>
    <w:rsid w:val="00655E97"/>
    <w:rsid w:val="00657087"/>
    <w:rsid w:val="006639DB"/>
    <w:rsid w:val="006645D6"/>
    <w:rsid w:val="006661EF"/>
    <w:rsid w:val="00673E1C"/>
    <w:rsid w:val="00674290"/>
    <w:rsid w:val="00677AEB"/>
    <w:rsid w:val="00680929"/>
    <w:rsid w:val="00680EF2"/>
    <w:rsid w:val="006838F3"/>
    <w:rsid w:val="00687A1D"/>
    <w:rsid w:val="00690B5C"/>
    <w:rsid w:val="006958DA"/>
    <w:rsid w:val="00697EA1"/>
    <w:rsid w:val="006A2646"/>
    <w:rsid w:val="006A6530"/>
    <w:rsid w:val="006A6E3D"/>
    <w:rsid w:val="006B435A"/>
    <w:rsid w:val="006B4C64"/>
    <w:rsid w:val="006B503E"/>
    <w:rsid w:val="006B5B7B"/>
    <w:rsid w:val="006B7503"/>
    <w:rsid w:val="006C146A"/>
    <w:rsid w:val="006D6BD5"/>
    <w:rsid w:val="006E3724"/>
    <w:rsid w:val="006E481A"/>
    <w:rsid w:val="006E4F74"/>
    <w:rsid w:val="006E5298"/>
    <w:rsid w:val="006F41CC"/>
    <w:rsid w:val="006F4713"/>
    <w:rsid w:val="006F4A78"/>
    <w:rsid w:val="006F58B3"/>
    <w:rsid w:val="006F5C21"/>
    <w:rsid w:val="006F734A"/>
    <w:rsid w:val="007001DC"/>
    <w:rsid w:val="00700D83"/>
    <w:rsid w:val="0070415A"/>
    <w:rsid w:val="00704852"/>
    <w:rsid w:val="007074E9"/>
    <w:rsid w:val="007109AC"/>
    <w:rsid w:val="00713DA4"/>
    <w:rsid w:val="00714BF1"/>
    <w:rsid w:val="0071576A"/>
    <w:rsid w:val="007209D2"/>
    <w:rsid w:val="00721383"/>
    <w:rsid w:val="007255C2"/>
    <w:rsid w:val="007256FD"/>
    <w:rsid w:val="007263A5"/>
    <w:rsid w:val="0072681C"/>
    <w:rsid w:val="0073158B"/>
    <w:rsid w:val="0073158D"/>
    <w:rsid w:val="007333CC"/>
    <w:rsid w:val="0073399A"/>
    <w:rsid w:val="00736077"/>
    <w:rsid w:val="007377DC"/>
    <w:rsid w:val="00737C86"/>
    <w:rsid w:val="00740DAD"/>
    <w:rsid w:val="007454C0"/>
    <w:rsid w:val="007524A3"/>
    <w:rsid w:val="007566B8"/>
    <w:rsid w:val="007603F5"/>
    <w:rsid w:val="00760544"/>
    <w:rsid w:val="007607F7"/>
    <w:rsid w:val="00763491"/>
    <w:rsid w:val="00764DB0"/>
    <w:rsid w:val="007668D5"/>
    <w:rsid w:val="0076764D"/>
    <w:rsid w:val="007721EB"/>
    <w:rsid w:val="0077431E"/>
    <w:rsid w:val="0077498C"/>
    <w:rsid w:val="007809BC"/>
    <w:rsid w:val="00781596"/>
    <w:rsid w:val="00782554"/>
    <w:rsid w:val="00784128"/>
    <w:rsid w:val="007879B6"/>
    <w:rsid w:val="00787BCC"/>
    <w:rsid w:val="00793173"/>
    <w:rsid w:val="00797B7F"/>
    <w:rsid w:val="007A08B6"/>
    <w:rsid w:val="007A11C2"/>
    <w:rsid w:val="007A24B6"/>
    <w:rsid w:val="007A2A33"/>
    <w:rsid w:val="007A52D6"/>
    <w:rsid w:val="007A6040"/>
    <w:rsid w:val="007A6C2F"/>
    <w:rsid w:val="007A7EA9"/>
    <w:rsid w:val="007B4F09"/>
    <w:rsid w:val="007B58FF"/>
    <w:rsid w:val="007B5C89"/>
    <w:rsid w:val="007C1FCC"/>
    <w:rsid w:val="007C6201"/>
    <w:rsid w:val="007D5A1C"/>
    <w:rsid w:val="007D7C92"/>
    <w:rsid w:val="007E1154"/>
    <w:rsid w:val="007E229B"/>
    <w:rsid w:val="007E6BA4"/>
    <w:rsid w:val="007F38FA"/>
    <w:rsid w:val="007F41F8"/>
    <w:rsid w:val="007F659B"/>
    <w:rsid w:val="00803040"/>
    <w:rsid w:val="008036B0"/>
    <w:rsid w:val="0080454E"/>
    <w:rsid w:val="00804ACA"/>
    <w:rsid w:val="00804C32"/>
    <w:rsid w:val="00806302"/>
    <w:rsid w:val="00806E0A"/>
    <w:rsid w:val="00807119"/>
    <w:rsid w:val="0081145D"/>
    <w:rsid w:val="0081152C"/>
    <w:rsid w:val="00812261"/>
    <w:rsid w:val="008138A2"/>
    <w:rsid w:val="00815F57"/>
    <w:rsid w:val="00821EDC"/>
    <w:rsid w:val="00822751"/>
    <w:rsid w:val="0082483F"/>
    <w:rsid w:val="008269AA"/>
    <w:rsid w:val="008279C0"/>
    <w:rsid w:val="00830004"/>
    <w:rsid w:val="00830097"/>
    <w:rsid w:val="00833962"/>
    <w:rsid w:val="00833CCA"/>
    <w:rsid w:val="008359DF"/>
    <w:rsid w:val="0083752D"/>
    <w:rsid w:val="00837BDC"/>
    <w:rsid w:val="008446AA"/>
    <w:rsid w:val="008511A6"/>
    <w:rsid w:val="00867701"/>
    <w:rsid w:val="008707C0"/>
    <w:rsid w:val="008723F3"/>
    <w:rsid w:val="00876F56"/>
    <w:rsid w:val="00881DE6"/>
    <w:rsid w:val="008837A6"/>
    <w:rsid w:val="00887E2A"/>
    <w:rsid w:val="0089145D"/>
    <w:rsid w:val="008A2C2C"/>
    <w:rsid w:val="008A4DF2"/>
    <w:rsid w:val="008A6CFE"/>
    <w:rsid w:val="008B0635"/>
    <w:rsid w:val="008B403D"/>
    <w:rsid w:val="008B5333"/>
    <w:rsid w:val="008B6223"/>
    <w:rsid w:val="008B710A"/>
    <w:rsid w:val="008C108F"/>
    <w:rsid w:val="008C2BD9"/>
    <w:rsid w:val="008C4DEA"/>
    <w:rsid w:val="008C66E0"/>
    <w:rsid w:val="008C7101"/>
    <w:rsid w:val="008D1432"/>
    <w:rsid w:val="008D46CC"/>
    <w:rsid w:val="008D7C50"/>
    <w:rsid w:val="008E0A67"/>
    <w:rsid w:val="008E3339"/>
    <w:rsid w:val="008E5045"/>
    <w:rsid w:val="008F0E85"/>
    <w:rsid w:val="008F20FC"/>
    <w:rsid w:val="008F5FFE"/>
    <w:rsid w:val="0090239E"/>
    <w:rsid w:val="00904472"/>
    <w:rsid w:val="00905A43"/>
    <w:rsid w:val="00910C4E"/>
    <w:rsid w:val="00912C79"/>
    <w:rsid w:val="00915692"/>
    <w:rsid w:val="009164DD"/>
    <w:rsid w:val="00917ED1"/>
    <w:rsid w:val="00921B8C"/>
    <w:rsid w:val="00921DB8"/>
    <w:rsid w:val="00922A3A"/>
    <w:rsid w:val="00933FCA"/>
    <w:rsid w:val="00934C7A"/>
    <w:rsid w:val="009354BE"/>
    <w:rsid w:val="00937B55"/>
    <w:rsid w:val="00942123"/>
    <w:rsid w:val="009442E4"/>
    <w:rsid w:val="00946C20"/>
    <w:rsid w:val="0095207B"/>
    <w:rsid w:val="00953349"/>
    <w:rsid w:val="00960C22"/>
    <w:rsid w:val="00962045"/>
    <w:rsid w:val="00963B2F"/>
    <w:rsid w:val="00964771"/>
    <w:rsid w:val="00965804"/>
    <w:rsid w:val="00967BE2"/>
    <w:rsid w:val="00971CDF"/>
    <w:rsid w:val="00971E68"/>
    <w:rsid w:val="00973D65"/>
    <w:rsid w:val="00980E61"/>
    <w:rsid w:val="00983F65"/>
    <w:rsid w:val="00991428"/>
    <w:rsid w:val="00992676"/>
    <w:rsid w:val="009954B2"/>
    <w:rsid w:val="00996691"/>
    <w:rsid w:val="009A3AB7"/>
    <w:rsid w:val="009B0723"/>
    <w:rsid w:val="009B07AD"/>
    <w:rsid w:val="009B0883"/>
    <w:rsid w:val="009B15E2"/>
    <w:rsid w:val="009B4785"/>
    <w:rsid w:val="009B4976"/>
    <w:rsid w:val="009B5882"/>
    <w:rsid w:val="009C0B8E"/>
    <w:rsid w:val="009C1BC8"/>
    <w:rsid w:val="009C1DA8"/>
    <w:rsid w:val="009C2442"/>
    <w:rsid w:val="009D0811"/>
    <w:rsid w:val="009D0EE1"/>
    <w:rsid w:val="009D3106"/>
    <w:rsid w:val="009D3340"/>
    <w:rsid w:val="009D6501"/>
    <w:rsid w:val="009E2AEB"/>
    <w:rsid w:val="009E2E27"/>
    <w:rsid w:val="009E45DF"/>
    <w:rsid w:val="009E46C6"/>
    <w:rsid w:val="009E4DE3"/>
    <w:rsid w:val="009E6997"/>
    <w:rsid w:val="009E6A49"/>
    <w:rsid w:val="009F11C2"/>
    <w:rsid w:val="009F275E"/>
    <w:rsid w:val="00A047EE"/>
    <w:rsid w:val="00A04C51"/>
    <w:rsid w:val="00A14766"/>
    <w:rsid w:val="00A2274A"/>
    <w:rsid w:val="00A235B7"/>
    <w:rsid w:val="00A25F41"/>
    <w:rsid w:val="00A27A7A"/>
    <w:rsid w:val="00A334F9"/>
    <w:rsid w:val="00A34ABE"/>
    <w:rsid w:val="00A407EF"/>
    <w:rsid w:val="00A43F87"/>
    <w:rsid w:val="00A44EE1"/>
    <w:rsid w:val="00A45D79"/>
    <w:rsid w:val="00A45E0E"/>
    <w:rsid w:val="00A46B4C"/>
    <w:rsid w:val="00A5117B"/>
    <w:rsid w:val="00A55A47"/>
    <w:rsid w:val="00A56D34"/>
    <w:rsid w:val="00A60074"/>
    <w:rsid w:val="00A6627C"/>
    <w:rsid w:val="00A66D9C"/>
    <w:rsid w:val="00A71019"/>
    <w:rsid w:val="00A80F89"/>
    <w:rsid w:val="00A81029"/>
    <w:rsid w:val="00A845F5"/>
    <w:rsid w:val="00A85D38"/>
    <w:rsid w:val="00A96489"/>
    <w:rsid w:val="00AA31F1"/>
    <w:rsid w:val="00AA67E9"/>
    <w:rsid w:val="00AA755C"/>
    <w:rsid w:val="00AB11B2"/>
    <w:rsid w:val="00AB1508"/>
    <w:rsid w:val="00AB2425"/>
    <w:rsid w:val="00AB685C"/>
    <w:rsid w:val="00AB6C2D"/>
    <w:rsid w:val="00AC08F7"/>
    <w:rsid w:val="00AC1F74"/>
    <w:rsid w:val="00AC3839"/>
    <w:rsid w:val="00AC5807"/>
    <w:rsid w:val="00AC65B3"/>
    <w:rsid w:val="00AC7082"/>
    <w:rsid w:val="00AD279B"/>
    <w:rsid w:val="00AD4982"/>
    <w:rsid w:val="00AD4BE8"/>
    <w:rsid w:val="00AD6545"/>
    <w:rsid w:val="00AE1A12"/>
    <w:rsid w:val="00AF09F6"/>
    <w:rsid w:val="00AF228E"/>
    <w:rsid w:val="00AF6834"/>
    <w:rsid w:val="00AF771B"/>
    <w:rsid w:val="00B00069"/>
    <w:rsid w:val="00B007F7"/>
    <w:rsid w:val="00B016A8"/>
    <w:rsid w:val="00B02408"/>
    <w:rsid w:val="00B02F64"/>
    <w:rsid w:val="00B14819"/>
    <w:rsid w:val="00B15E2F"/>
    <w:rsid w:val="00B17AA9"/>
    <w:rsid w:val="00B22A28"/>
    <w:rsid w:val="00B22E51"/>
    <w:rsid w:val="00B23E8D"/>
    <w:rsid w:val="00B25098"/>
    <w:rsid w:val="00B2589E"/>
    <w:rsid w:val="00B306CF"/>
    <w:rsid w:val="00B350CD"/>
    <w:rsid w:val="00B426CF"/>
    <w:rsid w:val="00B44713"/>
    <w:rsid w:val="00B46C4B"/>
    <w:rsid w:val="00B51B95"/>
    <w:rsid w:val="00B52047"/>
    <w:rsid w:val="00B5276A"/>
    <w:rsid w:val="00B549A3"/>
    <w:rsid w:val="00B56103"/>
    <w:rsid w:val="00B64929"/>
    <w:rsid w:val="00B6621C"/>
    <w:rsid w:val="00B704F6"/>
    <w:rsid w:val="00B71885"/>
    <w:rsid w:val="00B71DFC"/>
    <w:rsid w:val="00B736DF"/>
    <w:rsid w:val="00B743D6"/>
    <w:rsid w:val="00B74FBD"/>
    <w:rsid w:val="00B77F46"/>
    <w:rsid w:val="00B82586"/>
    <w:rsid w:val="00B829A3"/>
    <w:rsid w:val="00B86DB1"/>
    <w:rsid w:val="00B87869"/>
    <w:rsid w:val="00B87DA1"/>
    <w:rsid w:val="00B90B05"/>
    <w:rsid w:val="00B9195F"/>
    <w:rsid w:val="00B94841"/>
    <w:rsid w:val="00B94D49"/>
    <w:rsid w:val="00B960A8"/>
    <w:rsid w:val="00B9639B"/>
    <w:rsid w:val="00B97D97"/>
    <w:rsid w:val="00BA06CC"/>
    <w:rsid w:val="00BB0F2B"/>
    <w:rsid w:val="00BB23EF"/>
    <w:rsid w:val="00BB37D3"/>
    <w:rsid w:val="00BB7CF2"/>
    <w:rsid w:val="00BC2DE1"/>
    <w:rsid w:val="00BD1061"/>
    <w:rsid w:val="00BD5C7A"/>
    <w:rsid w:val="00BD7133"/>
    <w:rsid w:val="00BE0C4E"/>
    <w:rsid w:val="00BE1101"/>
    <w:rsid w:val="00BE4FF3"/>
    <w:rsid w:val="00BE5D2E"/>
    <w:rsid w:val="00BF13EE"/>
    <w:rsid w:val="00BF2F93"/>
    <w:rsid w:val="00BF50F7"/>
    <w:rsid w:val="00BF7738"/>
    <w:rsid w:val="00C02F29"/>
    <w:rsid w:val="00C123DD"/>
    <w:rsid w:val="00C1637D"/>
    <w:rsid w:val="00C17718"/>
    <w:rsid w:val="00C2018C"/>
    <w:rsid w:val="00C20AFE"/>
    <w:rsid w:val="00C22A25"/>
    <w:rsid w:val="00C24907"/>
    <w:rsid w:val="00C25371"/>
    <w:rsid w:val="00C25F5F"/>
    <w:rsid w:val="00C35671"/>
    <w:rsid w:val="00C35B77"/>
    <w:rsid w:val="00C376EB"/>
    <w:rsid w:val="00C46A92"/>
    <w:rsid w:val="00C46EC1"/>
    <w:rsid w:val="00C520EF"/>
    <w:rsid w:val="00C52796"/>
    <w:rsid w:val="00C53936"/>
    <w:rsid w:val="00C53E2C"/>
    <w:rsid w:val="00C550C8"/>
    <w:rsid w:val="00C55824"/>
    <w:rsid w:val="00C559F8"/>
    <w:rsid w:val="00C56B61"/>
    <w:rsid w:val="00C606C3"/>
    <w:rsid w:val="00C620F4"/>
    <w:rsid w:val="00C64054"/>
    <w:rsid w:val="00C64A01"/>
    <w:rsid w:val="00C65CFA"/>
    <w:rsid w:val="00C70CC3"/>
    <w:rsid w:val="00C72848"/>
    <w:rsid w:val="00C76745"/>
    <w:rsid w:val="00C7736C"/>
    <w:rsid w:val="00C77784"/>
    <w:rsid w:val="00C804E8"/>
    <w:rsid w:val="00C82D87"/>
    <w:rsid w:val="00C84DCB"/>
    <w:rsid w:val="00C85115"/>
    <w:rsid w:val="00C8712A"/>
    <w:rsid w:val="00C902C8"/>
    <w:rsid w:val="00C919D1"/>
    <w:rsid w:val="00C963D3"/>
    <w:rsid w:val="00CA214F"/>
    <w:rsid w:val="00CA448F"/>
    <w:rsid w:val="00CB0C8C"/>
    <w:rsid w:val="00CB1983"/>
    <w:rsid w:val="00CB2CBB"/>
    <w:rsid w:val="00CB3FC0"/>
    <w:rsid w:val="00CB7CAC"/>
    <w:rsid w:val="00CC5335"/>
    <w:rsid w:val="00CC5451"/>
    <w:rsid w:val="00CC5612"/>
    <w:rsid w:val="00CC5BA4"/>
    <w:rsid w:val="00CC7AC4"/>
    <w:rsid w:val="00CD187E"/>
    <w:rsid w:val="00CD37BF"/>
    <w:rsid w:val="00CD4998"/>
    <w:rsid w:val="00CD707C"/>
    <w:rsid w:val="00CE1035"/>
    <w:rsid w:val="00CE5406"/>
    <w:rsid w:val="00CE5553"/>
    <w:rsid w:val="00CE6E50"/>
    <w:rsid w:val="00CE6EDD"/>
    <w:rsid w:val="00CE7285"/>
    <w:rsid w:val="00CE7751"/>
    <w:rsid w:val="00CF0079"/>
    <w:rsid w:val="00CF2819"/>
    <w:rsid w:val="00CF3039"/>
    <w:rsid w:val="00CF4F9D"/>
    <w:rsid w:val="00CF70DC"/>
    <w:rsid w:val="00D06723"/>
    <w:rsid w:val="00D13D4C"/>
    <w:rsid w:val="00D148DC"/>
    <w:rsid w:val="00D17FDC"/>
    <w:rsid w:val="00D21D8C"/>
    <w:rsid w:val="00D21EB7"/>
    <w:rsid w:val="00D317E4"/>
    <w:rsid w:val="00D320EC"/>
    <w:rsid w:val="00D41FDB"/>
    <w:rsid w:val="00D437B2"/>
    <w:rsid w:val="00D53719"/>
    <w:rsid w:val="00D57D84"/>
    <w:rsid w:val="00D60C62"/>
    <w:rsid w:val="00D63EFD"/>
    <w:rsid w:val="00D673A5"/>
    <w:rsid w:val="00D8013E"/>
    <w:rsid w:val="00D808B5"/>
    <w:rsid w:val="00D83191"/>
    <w:rsid w:val="00D83F0F"/>
    <w:rsid w:val="00D84752"/>
    <w:rsid w:val="00D8484C"/>
    <w:rsid w:val="00D853BE"/>
    <w:rsid w:val="00D86B3B"/>
    <w:rsid w:val="00D8748A"/>
    <w:rsid w:val="00D878AF"/>
    <w:rsid w:val="00D93196"/>
    <w:rsid w:val="00D97721"/>
    <w:rsid w:val="00D977B0"/>
    <w:rsid w:val="00DA0DC0"/>
    <w:rsid w:val="00DA1581"/>
    <w:rsid w:val="00DA3E74"/>
    <w:rsid w:val="00DA4D42"/>
    <w:rsid w:val="00DB243C"/>
    <w:rsid w:val="00DB2955"/>
    <w:rsid w:val="00DB313C"/>
    <w:rsid w:val="00DB482A"/>
    <w:rsid w:val="00DB50FB"/>
    <w:rsid w:val="00DB56F2"/>
    <w:rsid w:val="00DB6EF5"/>
    <w:rsid w:val="00DC0ABB"/>
    <w:rsid w:val="00DC3089"/>
    <w:rsid w:val="00DC4420"/>
    <w:rsid w:val="00DD0802"/>
    <w:rsid w:val="00DD0C3C"/>
    <w:rsid w:val="00DD2E11"/>
    <w:rsid w:val="00DD7E8E"/>
    <w:rsid w:val="00DE03AF"/>
    <w:rsid w:val="00DE121C"/>
    <w:rsid w:val="00DE205E"/>
    <w:rsid w:val="00DE3A7C"/>
    <w:rsid w:val="00DE4681"/>
    <w:rsid w:val="00DE49B6"/>
    <w:rsid w:val="00DE59EB"/>
    <w:rsid w:val="00DE6633"/>
    <w:rsid w:val="00DE71A2"/>
    <w:rsid w:val="00DE7516"/>
    <w:rsid w:val="00DE7A33"/>
    <w:rsid w:val="00DE7B11"/>
    <w:rsid w:val="00DF451B"/>
    <w:rsid w:val="00DF5D35"/>
    <w:rsid w:val="00DF5E0B"/>
    <w:rsid w:val="00DF6E66"/>
    <w:rsid w:val="00DF6F63"/>
    <w:rsid w:val="00DF75F8"/>
    <w:rsid w:val="00DF7A3A"/>
    <w:rsid w:val="00E00C00"/>
    <w:rsid w:val="00E01AA6"/>
    <w:rsid w:val="00E0400D"/>
    <w:rsid w:val="00E07C0B"/>
    <w:rsid w:val="00E07C5A"/>
    <w:rsid w:val="00E15BA9"/>
    <w:rsid w:val="00E20F31"/>
    <w:rsid w:val="00E26E19"/>
    <w:rsid w:val="00E27899"/>
    <w:rsid w:val="00E31DF3"/>
    <w:rsid w:val="00E3389D"/>
    <w:rsid w:val="00E352DC"/>
    <w:rsid w:val="00E404CB"/>
    <w:rsid w:val="00E440A4"/>
    <w:rsid w:val="00E450A4"/>
    <w:rsid w:val="00E506BE"/>
    <w:rsid w:val="00E5447D"/>
    <w:rsid w:val="00E55547"/>
    <w:rsid w:val="00E562B0"/>
    <w:rsid w:val="00E61786"/>
    <w:rsid w:val="00E62FE8"/>
    <w:rsid w:val="00E6302B"/>
    <w:rsid w:val="00E638E0"/>
    <w:rsid w:val="00E63B6E"/>
    <w:rsid w:val="00E6452F"/>
    <w:rsid w:val="00E64F45"/>
    <w:rsid w:val="00E653B1"/>
    <w:rsid w:val="00E66036"/>
    <w:rsid w:val="00E66B9E"/>
    <w:rsid w:val="00E6742D"/>
    <w:rsid w:val="00E71CB0"/>
    <w:rsid w:val="00E74ECD"/>
    <w:rsid w:val="00E75089"/>
    <w:rsid w:val="00E75BA4"/>
    <w:rsid w:val="00E7718F"/>
    <w:rsid w:val="00E77C3D"/>
    <w:rsid w:val="00E81891"/>
    <w:rsid w:val="00E85948"/>
    <w:rsid w:val="00E85C66"/>
    <w:rsid w:val="00E90991"/>
    <w:rsid w:val="00E909F0"/>
    <w:rsid w:val="00E90D47"/>
    <w:rsid w:val="00E92F58"/>
    <w:rsid w:val="00E93993"/>
    <w:rsid w:val="00E9597C"/>
    <w:rsid w:val="00E968BE"/>
    <w:rsid w:val="00E978D7"/>
    <w:rsid w:val="00EA0913"/>
    <w:rsid w:val="00EA25F5"/>
    <w:rsid w:val="00EA4105"/>
    <w:rsid w:val="00EA5B00"/>
    <w:rsid w:val="00EA7F3A"/>
    <w:rsid w:val="00EB146B"/>
    <w:rsid w:val="00EB2196"/>
    <w:rsid w:val="00EB3E4A"/>
    <w:rsid w:val="00EB45AC"/>
    <w:rsid w:val="00EB5489"/>
    <w:rsid w:val="00EB56B4"/>
    <w:rsid w:val="00EC1E6D"/>
    <w:rsid w:val="00EC441F"/>
    <w:rsid w:val="00EC4755"/>
    <w:rsid w:val="00ED0BC4"/>
    <w:rsid w:val="00ED2402"/>
    <w:rsid w:val="00ED447D"/>
    <w:rsid w:val="00EE0B41"/>
    <w:rsid w:val="00EE0D0B"/>
    <w:rsid w:val="00EE1E8B"/>
    <w:rsid w:val="00EE4971"/>
    <w:rsid w:val="00EE5BA3"/>
    <w:rsid w:val="00EE60D0"/>
    <w:rsid w:val="00EE6CB0"/>
    <w:rsid w:val="00EE6F6F"/>
    <w:rsid w:val="00EF090E"/>
    <w:rsid w:val="00EF356C"/>
    <w:rsid w:val="00EF5572"/>
    <w:rsid w:val="00EF6FA7"/>
    <w:rsid w:val="00F033DA"/>
    <w:rsid w:val="00F13691"/>
    <w:rsid w:val="00F13FB1"/>
    <w:rsid w:val="00F14F3F"/>
    <w:rsid w:val="00F27CD8"/>
    <w:rsid w:val="00F30351"/>
    <w:rsid w:val="00F32C54"/>
    <w:rsid w:val="00F3323E"/>
    <w:rsid w:val="00F341F4"/>
    <w:rsid w:val="00F34F9D"/>
    <w:rsid w:val="00F35CCE"/>
    <w:rsid w:val="00F45FCF"/>
    <w:rsid w:val="00F47FAD"/>
    <w:rsid w:val="00F5524B"/>
    <w:rsid w:val="00F5620F"/>
    <w:rsid w:val="00F60538"/>
    <w:rsid w:val="00F61112"/>
    <w:rsid w:val="00F61DD2"/>
    <w:rsid w:val="00F628A0"/>
    <w:rsid w:val="00F66378"/>
    <w:rsid w:val="00F66AFF"/>
    <w:rsid w:val="00F70A32"/>
    <w:rsid w:val="00F71433"/>
    <w:rsid w:val="00F76A65"/>
    <w:rsid w:val="00F80766"/>
    <w:rsid w:val="00F80E9B"/>
    <w:rsid w:val="00F823E3"/>
    <w:rsid w:val="00F8668C"/>
    <w:rsid w:val="00F9362A"/>
    <w:rsid w:val="00F97C5B"/>
    <w:rsid w:val="00FA27CB"/>
    <w:rsid w:val="00FA3D50"/>
    <w:rsid w:val="00FB0CB6"/>
    <w:rsid w:val="00FB1D64"/>
    <w:rsid w:val="00FB3E20"/>
    <w:rsid w:val="00FB6C00"/>
    <w:rsid w:val="00FB7FBD"/>
    <w:rsid w:val="00FC0B0E"/>
    <w:rsid w:val="00FC374A"/>
    <w:rsid w:val="00FC74C8"/>
    <w:rsid w:val="00FC7B47"/>
    <w:rsid w:val="00FC7DD8"/>
    <w:rsid w:val="00FD035C"/>
    <w:rsid w:val="00FD0783"/>
    <w:rsid w:val="00FD0FED"/>
    <w:rsid w:val="00FD1A35"/>
    <w:rsid w:val="00FD1BEC"/>
    <w:rsid w:val="00FD2EA4"/>
    <w:rsid w:val="00FD36C5"/>
    <w:rsid w:val="00FD5ECD"/>
    <w:rsid w:val="00FD6310"/>
    <w:rsid w:val="00FD7C7B"/>
    <w:rsid w:val="00FE1D12"/>
    <w:rsid w:val="00FE2122"/>
    <w:rsid w:val="00FE2A86"/>
    <w:rsid w:val="00FE2DE2"/>
    <w:rsid w:val="00FE2F0E"/>
    <w:rsid w:val="00FE33A4"/>
    <w:rsid w:val="00FF12C1"/>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16</Pages>
  <Words>5503</Words>
  <Characters>31372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Phillip Pierson</cp:lastModifiedBy>
  <cp:revision>421</cp:revision>
  <cp:lastPrinted>2019-08-27T05:42:00Z</cp:lastPrinted>
  <dcterms:created xsi:type="dcterms:W3CDTF">2022-05-11T12:20:00Z</dcterms:created>
  <dcterms:modified xsi:type="dcterms:W3CDTF">2022-07-31T19:54:00Z</dcterms:modified>
</cp:coreProperties>
</file>