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827F1E" w:rsidRDefault="00AD12C7" w:rsidP="00265D2D">
      <w:pPr>
        <w:pStyle w:val="ListParagraph"/>
        <w:numPr>
          <w:ilvl w:val="0"/>
          <w:numId w:val="11"/>
        </w:numPr>
        <w:ind w:left="426"/>
        <w:jc w:val="both"/>
        <w:rPr>
          <w:rFonts w:ascii="Arial" w:hAnsi="Arial" w:cs="Arial"/>
          <w:sz w:val="22"/>
          <w:szCs w:val="22"/>
          <w:highlight w:val="yellow"/>
          <w:lang w:val="en-GB"/>
        </w:rPr>
      </w:pPr>
      <w:r w:rsidRPr="00827F1E">
        <w:rPr>
          <w:rFonts w:ascii="Arial" w:hAnsi="Arial" w:cs="Arial"/>
          <w:sz w:val="22"/>
          <w:szCs w:val="22"/>
          <w:highlight w:val="yellow"/>
          <w:lang w:val="en-GB"/>
        </w:rPr>
        <w:t>apply to the court for the decision to be reversed or varied</w:t>
      </w:r>
      <w:r w:rsidR="005A2E18" w:rsidRPr="00827F1E">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827F1E" w:rsidRDefault="005A2E18" w:rsidP="00265D2D">
      <w:pPr>
        <w:pStyle w:val="ListParagraph"/>
        <w:numPr>
          <w:ilvl w:val="0"/>
          <w:numId w:val="12"/>
        </w:numPr>
        <w:ind w:left="426"/>
        <w:rPr>
          <w:rFonts w:ascii="Arial" w:hAnsi="Arial" w:cs="Arial"/>
          <w:sz w:val="22"/>
          <w:szCs w:val="22"/>
          <w:highlight w:val="yellow"/>
          <w:lang w:val="en-GB"/>
        </w:rPr>
      </w:pPr>
      <w:r w:rsidRPr="00827F1E">
        <w:rPr>
          <w:rFonts w:ascii="Arial" w:hAnsi="Arial" w:cs="Arial"/>
          <w:sz w:val="22"/>
          <w:szCs w:val="22"/>
          <w:highlight w:val="yellow"/>
          <w:lang w:val="en-GB"/>
        </w:rPr>
        <w:t>R</w:t>
      </w:r>
      <w:r w:rsidR="00AD12C7" w:rsidRPr="00827F1E">
        <w:rPr>
          <w:rFonts w:ascii="Arial" w:hAnsi="Arial" w:cs="Arial"/>
          <w:sz w:val="22"/>
          <w:szCs w:val="22"/>
          <w:highlight w:val="yellow"/>
          <w:lang w:val="en-GB"/>
        </w:rPr>
        <w:t>eceivership</w:t>
      </w:r>
      <w:r w:rsidRPr="00827F1E">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827F1E" w:rsidRDefault="0089536F" w:rsidP="00265D2D">
      <w:pPr>
        <w:pStyle w:val="ListParagraph"/>
        <w:numPr>
          <w:ilvl w:val="0"/>
          <w:numId w:val="13"/>
        </w:numPr>
        <w:ind w:left="426"/>
        <w:jc w:val="both"/>
        <w:rPr>
          <w:rFonts w:ascii="Arial" w:hAnsi="Arial" w:cs="Arial"/>
          <w:sz w:val="22"/>
          <w:szCs w:val="22"/>
          <w:highlight w:val="yellow"/>
          <w:lang w:val="en-GB"/>
        </w:rPr>
      </w:pPr>
      <w:r w:rsidRPr="00827F1E">
        <w:rPr>
          <w:rFonts w:ascii="Arial" w:hAnsi="Arial" w:cs="Arial"/>
          <w:sz w:val="22"/>
          <w:szCs w:val="22"/>
          <w:highlight w:val="yellow"/>
          <w:lang w:val="en-GB"/>
        </w:rPr>
        <w:t>creditors’ scheme of arrangement</w:t>
      </w:r>
      <w:r w:rsidR="00265D2D" w:rsidRPr="00827F1E">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E31EFD" w:rsidRDefault="00321D73" w:rsidP="00265D2D">
      <w:pPr>
        <w:pStyle w:val="ListParagraph"/>
        <w:numPr>
          <w:ilvl w:val="0"/>
          <w:numId w:val="14"/>
        </w:numPr>
        <w:ind w:left="426"/>
        <w:rPr>
          <w:rFonts w:ascii="Arial" w:hAnsi="Arial" w:cs="Arial"/>
          <w:sz w:val="22"/>
          <w:szCs w:val="22"/>
          <w:highlight w:val="yellow"/>
          <w:lang w:val="en-GB"/>
        </w:rPr>
      </w:pPr>
      <w:r w:rsidRPr="00E31EFD">
        <w:rPr>
          <w:rFonts w:ascii="Arial" w:hAnsi="Arial" w:cs="Arial"/>
          <w:sz w:val="22"/>
          <w:szCs w:val="22"/>
          <w:highlight w:val="yellow"/>
          <w:lang w:val="en-GB"/>
        </w:rPr>
        <w:t>A</w:t>
      </w:r>
      <w:r w:rsidR="000D2487" w:rsidRPr="00E31EFD">
        <w:rPr>
          <w:rFonts w:ascii="Arial" w:hAnsi="Arial" w:cs="Arial"/>
          <w:sz w:val="22"/>
          <w:szCs w:val="22"/>
          <w:highlight w:val="yellow"/>
          <w:lang w:val="en-GB"/>
        </w:rPr>
        <w:t xml:space="preserve"> small business restructuring plan</w:t>
      </w:r>
      <w:r w:rsidR="00265D2D" w:rsidRPr="00E31EFD">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E31EFD"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E31EFD">
        <w:rPr>
          <w:rFonts w:ascii="Arial" w:hAnsi="Arial" w:cs="Arial"/>
          <w:sz w:val="22"/>
          <w:szCs w:val="22"/>
          <w:highlight w:val="yellow"/>
          <w:lang w:val="en-GB"/>
        </w:rPr>
        <w:t>S</w:t>
      </w:r>
      <w:r w:rsidR="00AD12C7" w:rsidRPr="00E31EFD">
        <w:rPr>
          <w:rFonts w:ascii="Arial" w:hAnsi="Arial" w:cs="Arial"/>
          <w:sz w:val="22"/>
          <w:szCs w:val="22"/>
          <w:highlight w:val="yellow"/>
          <w:lang w:val="en-GB"/>
        </w:rPr>
        <w:t>uperannuation funds</w:t>
      </w:r>
      <w:r w:rsidRPr="00E31EFD">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E31EFD" w:rsidRDefault="007B3A5E" w:rsidP="00265D2D">
      <w:pPr>
        <w:pStyle w:val="ListParagraph"/>
        <w:numPr>
          <w:ilvl w:val="0"/>
          <w:numId w:val="16"/>
        </w:numPr>
        <w:ind w:left="426"/>
        <w:jc w:val="both"/>
        <w:rPr>
          <w:rFonts w:ascii="Arial" w:hAnsi="Arial" w:cs="Arial"/>
          <w:sz w:val="22"/>
          <w:szCs w:val="22"/>
          <w:highlight w:val="yellow"/>
          <w:lang w:val="en-GB"/>
        </w:rPr>
      </w:pPr>
      <w:r w:rsidRPr="00E31EFD">
        <w:rPr>
          <w:rFonts w:ascii="Arial" w:hAnsi="Arial" w:cs="Arial"/>
          <w:sz w:val="22"/>
          <w:szCs w:val="22"/>
          <w:highlight w:val="yellow"/>
          <w:lang w:val="en-GB"/>
        </w:rPr>
        <w:t>T</w:t>
      </w:r>
      <w:r w:rsidR="00AD12C7" w:rsidRPr="00E31EFD">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Pr="00E31EFD" w:rsidRDefault="0089536F" w:rsidP="00265D2D">
      <w:pPr>
        <w:pStyle w:val="ListParagraph"/>
        <w:numPr>
          <w:ilvl w:val="0"/>
          <w:numId w:val="17"/>
        </w:numPr>
        <w:ind w:left="426"/>
        <w:rPr>
          <w:rFonts w:ascii="Arial" w:hAnsi="Arial" w:cs="Arial"/>
          <w:sz w:val="22"/>
          <w:szCs w:val="22"/>
          <w:highlight w:val="yellow"/>
          <w:lang w:val="en-GB"/>
        </w:rPr>
      </w:pPr>
      <w:r w:rsidRPr="00E31EFD">
        <w:rPr>
          <w:rFonts w:ascii="Arial" w:hAnsi="Arial" w:cs="Arial"/>
          <w:sz w:val="22"/>
          <w:szCs w:val="22"/>
          <w:highlight w:val="yellow"/>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65D2D"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E31EFD" w:rsidRDefault="00AD12C7" w:rsidP="00265D2D">
      <w:pPr>
        <w:pStyle w:val="ListParagraph"/>
        <w:numPr>
          <w:ilvl w:val="0"/>
          <w:numId w:val="19"/>
        </w:numPr>
        <w:ind w:left="426"/>
        <w:jc w:val="both"/>
        <w:rPr>
          <w:rFonts w:ascii="Arial" w:hAnsi="Arial" w:cs="Arial"/>
          <w:sz w:val="22"/>
          <w:szCs w:val="22"/>
          <w:highlight w:val="yellow"/>
          <w:lang w:val="en-GB"/>
        </w:rPr>
      </w:pPr>
      <w:r w:rsidRPr="00E31EFD">
        <w:rPr>
          <w:rFonts w:ascii="Arial" w:hAnsi="Arial" w:cs="Arial"/>
          <w:sz w:val="22"/>
          <w:szCs w:val="22"/>
          <w:highlight w:val="yellow"/>
          <w:lang w:val="en-GB"/>
        </w:rPr>
        <w:t xml:space="preserve">is an agent of the company until the appointment of a liquidator to </w:t>
      </w:r>
      <w:r w:rsidR="00023705" w:rsidRPr="00E31EFD">
        <w:rPr>
          <w:rFonts w:ascii="Arial" w:hAnsi="Arial" w:cs="Arial"/>
          <w:sz w:val="22"/>
          <w:szCs w:val="22"/>
          <w:highlight w:val="yellow"/>
          <w:lang w:val="en-GB"/>
        </w:rPr>
        <w:t xml:space="preserve">the </w:t>
      </w:r>
      <w:r w:rsidRPr="00E31EFD">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416D2B" w:rsidRDefault="00416D2B" w:rsidP="00265D2D">
      <w:pPr>
        <w:pStyle w:val="ListParagraph"/>
        <w:numPr>
          <w:ilvl w:val="0"/>
          <w:numId w:val="20"/>
        </w:numPr>
        <w:ind w:left="426"/>
        <w:jc w:val="both"/>
        <w:rPr>
          <w:rFonts w:ascii="Arial" w:hAnsi="Arial" w:cs="Arial"/>
          <w:sz w:val="22"/>
          <w:szCs w:val="22"/>
          <w:lang w:val="en-GB"/>
        </w:rPr>
      </w:pPr>
      <w:r w:rsidRPr="00E31EFD">
        <w:rPr>
          <w:rFonts w:ascii="Arial" w:hAnsi="Arial" w:cs="Arial"/>
          <w:sz w:val="22"/>
          <w:szCs w:val="22"/>
          <w:highlight w:val="yellow"/>
          <w:lang w:val="en-GB"/>
        </w:rPr>
        <w:t>T</w:t>
      </w:r>
      <w:r w:rsidR="002476AF" w:rsidRPr="00E31EFD">
        <w:rPr>
          <w:rFonts w:ascii="Arial" w:hAnsi="Arial" w:cs="Arial"/>
          <w:sz w:val="22"/>
          <w:szCs w:val="22"/>
          <w:highlight w:val="yellow"/>
          <w:lang w:val="en-GB"/>
        </w:rPr>
        <w:t xml:space="preserve">he part dealing with receivers, and other controllers, of property of </w:t>
      </w:r>
      <w:r w:rsidRPr="00E31EFD">
        <w:rPr>
          <w:rFonts w:ascii="Arial" w:hAnsi="Arial" w:cs="Arial"/>
          <w:sz w:val="22"/>
          <w:szCs w:val="22"/>
          <w:highlight w:val="yellow"/>
          <w:lang w:val="en-GB"/>
        </w:rPr>
        <w:t xml:space="preserve">the </w:t>
      </w:r>
      <w:r w:rsidR="002476AF" w:rsidRPr="00E31EFD">
        <w:rPr>
          <w:rFonts w:ascii="Arial" w:hAnsi="Arial" w:cs="Arial"/>
          <w:sz w:val="22"/>
          <w:szCs w:val="22"/>
          <w:highlight w:val="yellow"/>
          <w:lang w:val="en-GB"/>
        </w:rPr>
        <w:t>corporation</w:t>
      </w:r>
      <w:r w:rsidRPr="00E31EFD">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E31EFD" w:rsidRDefault="002476AF" w:rsidP="00265D2D">
      <w:pPr>
        <w:pStyle w:val="ListParagraph"/>
        <w:numPr>
          <w:ilvl w:val="0"/>
          <w:numId w:val="21"/>
        </w:numPr>
        <w:ind w:left="426"/>
        <w:jc w:val="both"/>
        <w:rPr>
          <w:rFonts w:ascii="Arial" w:hAnsi="Arial" w:cs="Arial"/>
          <w:sz w:val="22"/>
          <w:szCs w:val="22"/>
          <w:highlight w:val="yellow"/>
          <w:lang w:val="en-GB"/>
        </w:rPr>
      </w:pPr>
      <w:r w:rsidRPr="00E31EFD">
        <w:rPr>
          <w:rFonts w:ascii="Arial" w:hAnsi="Arial" w:cs="Arial"/>
          <w:sz w:val="22"/>
          <w:szCs w:val="22"/>
          <w:highlight w:val="yellow"/>
          <w:lang w:val="en-GB"/>
        </w:rPr>
        <w:t xml:space="preserve">simplified </w:t>
      </w:r>
      <w:r w:rsidR="008235B7" w:rsidRPr="00E31EFD">
        <w:rPr>
          <w:rFonts w:ascii="Arial" w:hAnsi="Arial" w:cs="Arial"/>
          <w:sz w:val="22"/>
          <w:szCs w:val="22"/>
          <w:highlight w:val="yellow"/>
          <w:lang w:val="en-GB"/>
        </w:rPr>
        <w:t>restructuring and liquidation regimes for small companies</w:t>
      </w:r>
      <w:r w:rsidRPr="00E31EFD">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6D0F3305" w:rsidR="009B07AD" w:rsidRDefault="0007069D"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voidable transactions that can be reversed are:</w:t>
      </w:r>
    </w:p>
    <w:p w14:paraId="7B2525E6" w14:textId="5B2BD5B9" w:rsidR="0007069D" w:rsidRDefault="0007069D" w:rsidP="002A37BB">
      <w:pPr>
        <w:ind w:left="720" w:hanging="720"/>
        <w:jc w:val="both"/>
        <w:rPr>
          <w:rFonts w:ascii="Arial" w:hAnsi="Arial" w:cs="Arial"/>
          <w:color w:val="7B7B7B" w:themeColor="accent3" w:themeShade="BF"/>
          <w:sz w:val="22"/>
          <w:szCs w:val="22"/>
          <w:lang w:val="en-GB"/>
        </w:rPr>
      </w:pPr>
    </w:p>
    <w:p w14:paraId="3BB30D13" w14:textId="67E7A550" w:rsidR="0007069D" w:rsidRPr="001D5291" w:rsidRDefault="0007069D" w:rsidP="0007069D">
      <w:pPr>
        <w:pStyle w:val="ListParagraph"/>
        <w:numPr>
          <w:ilvl w:val="0"/>
          <w:numId w:val="22"/>
        </w:numPr>
        <w:jc w:val="both"/>
        <w:rPr>
          <w:rFonts w:ascii="Arial" w:hAnsi="Arial" w:cs="Arial"/>
          <w:color w:val="7B7B7B" w:themeColor="accent3" w:themeShade="BF"/>
          <w:sz w:val="22"/>
          <w:szCs w:val="22"/>
          <w:lang w:val="en-GB"/>
        </w:rPr>
      </w:pPr>
      <w:r w:rsidRPr="001D5291">
        <w:rPr>
          <w:rFonts w:ascii="Arial" w:hAnsi="Arial" w:cs="Arial"/>
          <w:color w:val="7B7B7B" w:themeColor="accent3" w:themeShade="BF"/>
          <w:sz w:val="22"/>
          <w:szCs w:val="22"/>
          <w:lang w:val="en-GB"/>
        </w:rPr>
        <w:t>undervalued transactions;</w:t>
      </w:r>
    </w:p>
    <w:p w14:paraId="3CBDCAD3" w14:textId="32C07554" w:rsidR="0007069D" w:rsidRPr="001D5291" w:rsidRDefault="0007069D" w:rsidP="0007069D">
      <w:pPr>
        <w:pStyle w:val="ListParagraph"/>
        <w:numPr>
          <w:ilvl w:val="0"/>
          <w:numId w:val="22"/>
        </w:numPr>
        <w:jc w:val="both"/>
        <w:rPr>
          <w:rFonts w:ascii="Arial" w:hAnsi="Arial" w:cs="Arial"/>
          <w:color w:val="7B7B7B" w:themeColor="accent3" w:themeShade="BF"/>
          <w:sz w:val="22"/>
          <w:szCs w:val="22"/>
          <w:lang w:val="en-GB"/>
        </w:rPr>
      </w:pPr>
      <w:r w:rsidRPr="001D5291">
        <w:rPr>
          <w:rFonts w:ascii="Arial" w:hAnsi="Arial" w:cs="Arial"/>
          <w:color w:val="7B7B7B" w:themeColor="accent3" w:themeShade="BF"/>
          <w:sz w:val="22"/>
          <w:szCs w:val="22"/>
          <w:lang w:val="en-GB"/>
        </w:rPr>
        <w:t>transactions to defeat creditors; and</w:t>
      </w:r>
    </w:p>
    <w:p w14:paraId="1C61D483" w14:textId="5D3EF33B" w:rsidR="0007069D" w:rsidRDefault="0007069D" w:rsidP="0007069D">
      <w:pPr>
        <w:pStyle w:val="ListParagraph"/>
        <w:numPr>
          <w:ilvl w:val="0"/>
          <w:numId w:val="22"/>
        </w:numPr>
        <w:jc w:val="both"/>
        <w:rPr>
          <w:rFonts w:ascii="Arial" w:hAnsi="Arial" w:cs="Arial"/>
          <w:sz w:val="22"/>
          <w:szCs w:val="22"/>
          <w:lang w:val="en-GB"/>
        </w:rPr>
      </w:pPr>
      <w:r w:rsidRPr="001D5291">
        <w:rPr>
          <w:rFonts w:ascii="Arial" w:hAnsi="Arial" w:cs="Arial"/>
          <w:color w:val="7B7B7B" w:themeColor="accent3" w:themeShade="BF"/>
          <w:sz w:val="22"/>
          <w:szCs w:val="22"/>
          <w:lang w:val="en-GB"/>
        </w:rPr>
        <w:t>preferential payments to creditors</w:t>
      </w:r>
      <w:r>
        <w:rPr>
          <w:rFonts w:ascii="Arial" w:hAnsi="Arial" w:cs="Arial"/>
          <w:sz w:val="22"/>
          <w:szCs w:val="22"/>
          <w:lang w:val="en-GB"/>
        </w:rPr>
        <w:t>.</w:t>
      </w:r>
    </w:p>
    <w:p w14:paraId="5306127F" w14:textId="2BDDDD25" w:rsidR="0007069D" w:rsidRDefault="0007069D" w:rsidP="0007069D">
      <w:pPr>
        <w:jc w:val="both"/>
        <w:rPr>
          <w:rFonts w:ascii="Arial" w:hAnsi="Arial" w:cs="Arial"/>
          <w:sz w:val="22"/>
          <w:szCs w:val="22"/>
          <w:lang w:val="en-GB"/>
        </w:rPr>
      </w:pPr>
    </w:p>
    <w:p w14:paraId="7979903B" w14:textId="2B4A09DD" w:rsidR="0007069D" w:rsidRPr="001D5291" w:rsidRDefault="0007069D" w:rsidP="0007069D">
      <w:pPr>
        <w:jc w:val="both"/>
        <w:rPr>
          <w:rFonts w:ascii="Arial" w:hAnsi="Arial" w:cs="Arial"/>
          <w:color w:val="7B7B7B" w:themeColor="accent3" w:themeShade="BF"/>
          <w:sz w:val="22"/>
          <w:szCs w:val="22"/>
          <w:lang w:val="en-GB"/>
        </w:rPr>
      </w:pPr>
      <w:r w:rsidRPr="001D5291">
        <w:rPr>
          <w:rFonts w:ascii="Arial" w:hAnsi="Arial" w:cs="Arial"/>
          <w:color w:val="7B7B7B" w:themeColor="accent3" w:themeShade="BF"/>
          <w:sz w:val="22"/>
          <w:szCs w:val="22"/>
          <w:lang w:val="en-GB"/>
        </w:rPr>
        <w:t>These transactions are not reversible if the transaction was undertaken in good faith, in the ordinary course of business and without a petition by a creditor or debtor. Additionally, if the property acquired in the voidable transaction is subsequently transferred by the transferee to a third party, who received the property in good fait and for market value.</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1A8A67DD" w:rsidR="009B07AD" w:rsidRPr="001D5291" w:rsidRDefault="0007069D" w:rsidP="001D5291">
      <w:pPr>
        <w:jc w:val="both"/>
        <w:rPr>
          <w:rFonts w:ascii="Arial" w:hAnsi="Arial" w:cs="Arial"/>
          <w:color w:val="7B7B7B" w:themeColor="accent3" w:themeShade="BF"/>
          <w:sz w:val="22"/>
          <w:szCs w:val="22"/>
          <w:lang w:val="en-GB"/>
        </w:rPr>
      </w:pPr>
      <w:r w:rsidRPr="001D5291">
        <w:rPr>
          <w:rFonts w:ascii="Arial" w:hAnsi="Arial" w:cs="Arial"/>
          <w:color w:val="7B7B7B" w:themeColor="accent3" w:themeShade="BF"/>
          <w:sz w:val="22"/>
          <w:szCs w:val="22"/>
          <w:lang w:val="en-GB"/>
        </w:rPr>
        <w:t>In determining the scope of the stay, the Court has to consider whether to apply the stay as applied under the voluntary administration regime (which applies to secured creditors), or the stay under the liquidation regime (which only applies to unsecured creditors). In making this determination, the Court has to consider what the case requires and whether the foreign proceeding is more like a business rescue procedure</w:t>
      </w:r>
      <w:r w:rsidR="001F29E8" w:rsidRPr="001D5291">
        <w:rPr>
          <w:rFonts w:ascii="Arial" w:hAnsi="Arial" w:cs="Arial"/>
          <w:color w:val="7B7B7B" w:themeColor="accent3" w:themeShade="BF"/>
          <w:sz w:val="22"/>
          <w:szCs w:val="22"/>
          <w:lang w:val="en-GB"/>
        </w:rPr>
        <w:t xml:space="preserve">, which requires the voluntary administration stay, or more akin to a liquidation and requires the liquidation stay. </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7A14B7E0" w:rsidR="00C72848" w:rsidRDefault="001F29E8" w:rsidP="001D52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sidRPr="00B07C5C">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is a contractual right that allows a party to a contract to </w:t>
      </w:r>
      <w:r w:rsidR="009F47E2">
        <w:rPr>
          <w:rFonts w:ascii="Arial" w:hAnsi="Arial" w:cs="Arial"/>
          <w:color w:val="7B7B7B" w:themeColor="accent3" w:themeShade="BF"/>
          <w:sz w:val="22"/>
          <w:szCs w:val="22"/>
          <w:lang w:val="en-GB"/>
        </w:rPr>
        <w:t>terminate</w:t>
      </w:r>
      <w:r>
        <w:rPr>
          <w:rFonts w:ascii="Arial" w:hAnsi="Arial" w:cs="Arial"/>
          <w:color w:val="7B7B7B" w:themeColor="accent3" w:themeShade="BF"/>
          <w:sz w:val="22"/>
          <w:szCs w:val="22"/>
          <w:lang w:val="en-GB"/>
        </w:rPr>
        <w:t xml:space="preserve"> the contract by virtue of the counterparty being subject to an insolvency process. In a liquidation, creditors are entitled to rely on ipso facto clauses in contracts and terminate the contract</w:t>
      </w:r>
      <w:r w:rsidR="009F47E2">
        <w:rPr>
          <w:rFonts w:ascii="Arial" w:hAnsi="Arial" w:cs="Arial"/>
          <w:color w:val="7B7B7B" w:themeColor="accent3" w:themeShade="BF"/>
          <w:sz w:val="22"/>
          <w:szCs w:val="22"/>
          <w:lang w:val="en-GB"/>
        </w:rPr>
        <w:t>, whereas there are prohibitions on enforcing these rights in a voluntary administration.</w:t>
      </w:r>
      <w:r>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lastRenderedPageBreak/>
        <w:t>on</w:t>
      </w:r>
      <w:r w:rsidR="009F47E2">
        <w:rPr>
          <w:rFonts w:ascii="Arial" w:hAnsi="Arial" w:cs="Arial"/>
          <w:color w:val="7B7B7B" w:themeColor="accent3" w:themeShade="BF"/>
          <w:sz w:val="22"/>
          <w:szCs w:val="22"/>
          <w:lang w:val="en-GB"/>
        </w:rPr>
        <w:t>ly situations in which a moratorium on creditors enforcing ipso facto rights is when the liquidation occurs after a voluntary administration or an attempt to negotiate a creditors’ scheme of arrangement.</w:t>
      </w:r>
    </w:p>
    <w:p w14:paraId="07DF1293" w14:textId="13D8512B" w:rsidR="00B07C5C" w:rsidRDefault="00B07C5C" w:rsidP="001D5291">
      <w:pPr>
        <w:jc w:val="both"/>
        <w:rPr>
          <w:rFonts w:ascii="Arial" w:hAnsi="Arial" w:cs="Arial"/>
          <w:color w:val="7B7B7B" w:themeColor="accent3" w:themeShade="BF"/>
          <w:sz w:val="22"/>
          <w:szCs w:val="22"/>
          <w:lang w:val="en-GB"/>
        </w:rPr>
      </w:pPr>
    </w:p>
    <w:p w14:paraId="6CAEA833" w14:textId="7E8B8D98" w:rsidR="00B07C5C" w:rsidRPr="00B07C5C" w:rsidRDefault="00B07C5C" w:rsidP="001D52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Because </w:t>
      </w:r>
      <w:r>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clauses are enforceable in a liquidation, this impacts the Liquidators’ ability to continue to trade the business as suppliers may simply terminate the contract, or hold the Liquidator to ransom by requiring payment of outstanding balances before they provide further supply.</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28C076D7" w14:textId="5FCA4863" w:rsidR="003F450D" w:rsidRDefault="003F450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Australia has traditionally been considered a more creditor friendly system. The key attributes that define this are the rights afforded to creditors in an insolvency scenario, the risks posed to directors from insolvent trading and the lack of debtor in possession insolvency proceeding</w:t>
      </w:r>
      <w:r w:rsidR="00BD5944">
        <w:rPr>
          <w:rFonts w:ascii="Arial" w:hAnsi="Arial" w:cs="Arial"/>
          <w:color w:val="7B7B7B" w:themeColor="accent3" w:themeShade="BF"/>
          <w:sz w:val="22"/>
          <w:szCs w:val="22"/>
          <w:lang w:val="en-GB"/>
        </w:rPr>
        <w:t>s</w:t>
      </w:r>
      <w:r w:rsidR="00A24EE7">
        <w:rPr>
          <w:rFonts w:ascii="Arial" w:hAnsi="Arial" w:cs="Arial"/>
          <w:color w:val="7B7B7B" w:themeColor="accent3" w:themeShade="BF"/>
          <w:sz w:val="22"/>
          <w:szCs w:val="22"/>
          <w:lang w:val="en-GB"/>
        </w:rPr>
        <w:t>. K</w:t>
      </w:r>
      <w:r>
        <w:rPr>
          <w:rFonts w:ascii="Arial" w:hAnsi="Arial" w:cs="Arial"/>
          <w:color w:val="7B7B7B" w:themeColor="accent3" w:themeShade="BF"/>
          <w:sz w:val="22"/>
          <w:szCs w:val="22"/>
          <w:lang w:val="en-GB"/>
        </w:rPr>
        <w:t>ey features of the Australian regime are:</w:t>
      </w:r>
    </w:p>
    <w:p w14:paraId="447EBD2A" w14:textId="4D2BD49D" w:rsidR="003F450D" w:rsidRDefault="003F450D" w:rsidP="002A37BB">
      <w:pPr>
        <w:jc w:val="both"/>
        <w:rPr>
          <w:rFonts w:ascii="Arial" w:hAnsi="Arial" w:cs="Arial"/>
          <w:color w:val="7B7B7B" w:themeColor="accent3" w:themeShade="BF"/>
          <w:sz w:val="22"/>
          <w:szCs w:val="22"/>
          <w:lang w:val="en-GB"/>
        </w:rPr>
      </w:pPr>
    </w:p>
    <w:p w14:paraId="4BB48690" w14:textId="07707631" w:rsidR="00A24EE7" w:rsidRDefault="003F450D" w:rsidP="003F450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Pr="003F450D">
        <w:rPr>
          <w:rFonts w:ascii="Arial" w:hAnsi="Arial" w:cs="Arial"/>
          <w:color w:val="7B7B7B" w:themeColor="accent3" w:themeShade="BF"/>
          <w:sz w:val="22"/>
          <w:szCs w:val="22"/>
          <w:lang w:val="en-GB"/>
        </w:rPr>
        <w:t xml:space="preserve">ecured creditors retain substantial </w:t>
      </w:r>
      <w:r>
        <w:rPr>
          <w:rFonts w:ascii="Arial" w:hAnsi="Arial" w:cs="Arial"/>
          <w:color w:val="7B7B7B" w:themeColor="accent3" w:themeShade="BF"/>
          <w:sz w:val="22"/>
          <w:szCs w:val="22"/>
          <w:lang w:val="en-GB"/>
        </w:rPr>
        <w:t xml:space="preserve">enforcement </w:t>
      </w:r>
      <w:r w:rsidRPr="003F450D">
        <w:rPr>
          <w:rFonts w:ascii="Arial" w:hAnsi="Arial" w:cs="Arial"/>
          <w:color w:val="7B7B7B" w:themeColor="accent3" w:themeShade="BF"/>
          <w:sz w:val="22"/>
          <w:szCs w:val="22"/>
          <w:lang w:val="en-GB"/>
        </w:rPr>
        <w:t xml:space="preserve">rights </w:t>
      </w:r>
      <w:r>
        <w:rPr>
          <w:rFonts w:ascii="Arial" w:hAnsi="Arial" w:cs="Arial"/>
          <w:color w:val="7B7B7B" w:themeColor="accent3" w:themeShade="BF"/>
          <w:sz w:val="22"/>
          <w:szCs w:val="22"/>
          <w:lang w:val="en-GB"/>
        </w:rPr>
        <w:t>in an insolvency proceeding. This includes the ability to appoint a receiver in a liquidation to realise assets subject to their security</w:t>
      </w:r>
      <w:r w:rsidR="00A24EE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5887B81" w14:textId="5201EAC2" w:rsidR="003F450D" w:rsidRDefault="00A24EE7" w:rsidP="003F450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stated aim of </w:t>
      </w:r>
      <w:r w:rsidR="003F450D">
        <w:rPr>
          <w:rFonts w:ascii="Arial" w:hAnsi="Arial" w:cs="Arial"/>
          <w:color w:val="7B7B7B" w:themeColor="accent3" w:themeShade="BF"/>
          <w:sz w:val="22"/>
          <w:szCs w:val="22"/>
          <w:lang w:val="en-GB"/>
        </w:rPr>
        <w:t>a Voluntary Administration</w:t>
      </w:r>
      <w:r>
        <w:rPr>
          <w:rFonts w:ascii="Arial" w:hAnsi="Arial" w:cs="Arial"/>
          <w:color w:val="7B7B7B" w:themeColor="accent3" w:themeShade="BF"/>
          <w:sz w:val="22"/>
          <w:szCs w:val="22"/>
          <w:lang w:val="en-GB"/>
        </w:rPr>
        <w:t xml:space="preserve"> is to rehabilitate the Company, an alternative outcome is to ensure a better return to creditors than from a liquidation. Additionally, in a Voluntary Administration</w:t>
      </w:r>
      <w:r w:rsidR="003F450D">
        <w:rPr>
          <w:rFonts w:ascii="Arial" w:hAnsi="Arial" w:cs="Arial"/>
          <w:color w:val="7B7B7B" w:themeColor="accent3" w:themeShade="BF"/>
          <w:sz w:val="22"/>
          <w:szCs w:val="22"/>
          <w:lang w:val="en-GB"/>
        </w:rPr>
        <w:t>, a secured creditor with a security over the whole or substantially the whole of the company’s property can appoint a receiver over the top of the Administrator</w:t>
      </w:r>
      <w:r>
        <w:rPr>
          <w:rFonts w:ascii="Arial" w:hAnsi="Arial" w:cs="Arial"/>
          <w:color w:val="7B7B7B" w:themeColor="accent3" w:themeShade="BF"/>
          <w:sz w:val="22"/>
          <w:szCs w:val="22"/>
          <w:lang w:val="en-GB"/>
        </w:rPr>
        <w:t>, which may potentially frustrate the goal of rehabilitating the company;</w:t>
      </w:r>
    </w:p>
    <w:p w14:paraId="06106ACD" w14:textId="44F0678D" w:rsidR="00A24EE7" w:rsidRDefault="00A24EE7" w:rsidP="003F450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key insolvency proceedings available for most companies (Voluntary Administration, Receivership and Liquidation) require the appointment of external insolvency practitioner, rather than allowing for a debtor in possession proceeding;</w:t>
      </w:r>
    </w:p>
    <w:p w14:paraId="3CE959B1" w14:textId="77777777" w:rsidR="00A24EE7" w:rsidRDefault="00A24EE7" w:rsidP="003F450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are subject to significant risks relating to insolvent trading if they continue to trade a company that is facing potential insolvency. This makes it significantly more risky for directors to continue trading a company to restore it to solvency; and</w:t>
      </w:r>
    </w:p>
    <w:p w14:paraId="532E0D34" w14:textId="6742B5D2" w:rsidR="00A24EE7" w:rsidRDefault="00A24EE7" w:rsidP="003F450D">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Voidable trading regime allows Liquidators to examine transactions over a long period of time and unwind the transactions for the benefit of creditors.</w:t>
      </w:r>
    </w:p>
    <w:p w14:paraId="6F724901" w14:textId="17C14DFE" w:rsidR="00D17FDC" w:rsidRDefault="00D17FDC" w:rsidP="002A37BB">
      <w:pPr>
        <w:jc w:val="both"/>
        <w:rPr>
          <w:rFonts w:ascii="Arial" w:hAnsi="Arial" w:cs="Arial"/>
          <w:sz w:val="22"/>
          <w:szCs w:val="22"/>
          <w:shd w:val="clear" w:color="auto" w:fill="FFFFFF"/>
        </w:rPr>
      </w:pPr>
    </w:p>
    <w:p w14:paraId="696BA259" w14:textId="1F1FC91C" w:rsidR="00A24EE7" w:rsidRDefault="00A24EE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relative to other systems, notably the US and UK systems, the Australia system </w:t>
      </w:r>
      <w:r w:rsidR="00BD5944">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more creditor friendly. There have been some recent changes that </w:t>
      </w:r>
      <w:r w:rsidR="00BD5944">
        <w:rPr>
          <w:rFonts w:ascii="Arial" w:hAnsi="Arial" w:cs="Arial"/>
          <w:color w:val="7B7B7B" w:themeColor="accent3" w:themeShade="BF"/>
          <w:sz w:val="22"/>
          <w:szCs w:val="22"/>
          <w:lang w:val="en-GB"/>
        </w:rPr>
        <w:t xml:space="preserve">make Australia </w:t>
      </w:r>
      <w:r>
        <w:rPr>
          <w:rFonts w:ascii="Arial" w:hAnsi="Arial" w:cs="Arial"/>
          <w:color w:val="7B7B7B" w:themeColor="accent3" w:themeShade="BF"/>
          <w:sz w:val="22"/>
          <w:szCs w:val="22"/>
          <w:lang w:val="en-GB"/>
        </w:rPr>
        <w:t>more debtor friendly, including:</w:t>
      </w:r>
    </w:p>
    <w:p w14:paraId="17CD146D" w14:textId="77777777" w:rsidR="00A24EE7" w:rsidRDefault="00A24EE7" w:rsidP="002A37BB">
      <w:pPr>
        <w:jc w:val="both"/>
        <w:rPr>
          <w:rFonts w:ascii="Arial" w:hAnsi="Arial" w:cs="Arial"/>
          <w:color w:val="7B7B7B" w:themeColor="accent3" w:themeShade="BF"/>
          <w:sz w:val="22"/>
          <w:szCs w:val="22"/>
          <w:lang w:val="en-GB"/>
        </w:rPr>
      </w:pPr>
    </w:p>
    <w:p w14:paraId="7C047951" w14:textId="4831D7AF" w:rsidR="00A24EE7" w:rsidRDefault="00A24EE7" w:rsidP="00A24EE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of 1 July 2018, c</w:t>
      </w:r>
      <w:r w:rsidRPr="00A24EE7">
        <w:rPr>
          <w:rFonts w:ascii="Arial" w:hAnsi="Arial" w:cs="Arial"/>
          <w:color w:val="7B7B7B" w:themeColor="accent3" w:themeShade="BF"/>
          <w:sz w:val="22"/>
          <w:szCs w:val="22"/>
          <w:lang w:val="en-GB"/>
        </w:rPr>
        <w:t>reditors are</w:t>
      </w:r>
      <w:r>
        <w:rPr>
          <w:rFonts w:ascii="Arial" w:hAnsi="Arial" w:cs="Arial"/>
          <w:color w:val="7B7B7B" w:themeColor="accent3" w:themeShade="BF"/>
          <w:sz w:val="22"/>
          <w:szCs w:val="22"/>
          <w:lang w:val="en-GB"/>
        </w:rPr>
        <w:t xml:space="preserve"> no longer entitled to enforce ipso facto contractual rights in </w:t>
      </w:r>
      <w:r w:rsidR="00C944E6">
        <w:rPr>
          <w:rFonts w:ascii="Arial" w:hAnsi="Arial" w:cs="Arial"/>
          <w:color w:val="7B7B7B" w:themeColor="accent3" w:themeShade="BF"/>
          <w:sz w:val="22"/>
          <w:szCs w:val="22"/>
          <w:lang w:val="en-GB"/>
        </w:rPr>
        <w:t xml:space="preserve">an Administration. This affords a greater opportunity to try and restructure or rehabilitate the company </w:t>
      </w:r>
      <w:r w:rsidR="00BD5944">
        <w:rPr>
          <w:rFonts w:ascii="Arial" w:hAnsi="Arial" w:cs="Arial"/>
          <w:color w:val="7B7B7B" w:themeColor="accent3" w:themeShade="BF"/>
          <w:sz w:val="22"/>
          <w:szCs w:val="22"/>
          <w:lang w:val="en-GB"/>
        </w:rPr>
        <w:t xml:space="preserve">as the Administrator can continue to trade the company </w:t>
      </w:r>
      <w:r w:rsidR="00C944E6">
        <w:rPr>
          <w:rFonts w:ascii="Arial" w:hAnsi="Arial" w:cs="Arial"/>
          <w:color w:val="7B7B7B" w:themeColor="accent3" w:themeShade="BF"/>
          <w:sz w:val="22"/>
          <w:szCs w:val="22"/>
          <w:lang w:val="en-GB"/>
        </w:rPr>
        <w:t>and maintain critical contracts</w:t>
      </w:r>
      <w:r w:rsidR="00BD5944">
        <w:rPr>
          <w:rFonts w:ascii="Arial" w:hAnsi="Arial" w:cs="Arial"/>
          <w:color w:val="7B7B7B" w:themeColor="accent3" w:themeShade="BF"/>
          <w:sz w:val="22"/>
          <w:szCs w:val="22"/>
          <w:lang w:val="en-GB"/>
        </w:rPr>
        <w:t xml:space="preserve"> while investigating the ability to enter a DOCA</w:t>
      </w:r>
      <w:r w:rsidR="00C944E6">
        <w:rPr>
          <w:rFonts w:ascii="Arial" w:hAnsi="Arial" w:cs="Arial"/>
          <w:color w:val="7B7B7B" w:themeColor="accent3" w:themeShade="BF"/>
          <w:sz w:val="22"/>
          <w:szCs w:val="22"/>
          <w:lang w:val="en-GB"/>
        </w:rPr>
        <w:t>;</w:t>
      </w:r>
    </w:p>
    <w:p w14:paraId="00EF7162" w14:textId="2CD2DFD0" w:rsidR="00C944E6" w:rsidRDefault="00C944E6" w:rsidP="00A24EE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institution of a safe harbour regime, that provides directors with protection from insolvent trading while they try and successfully restructure the company under the supervision of a restructuring professional;</w:t>
      </w:r>
    </w:p>
    <w:p w14:paraId="30E10A80" w14:textId="6D8B310C" w:rsidR="00C944E6" w:rsidRPr="00A24EE7" w:rsidRDefault="00C944E6" w:rsidP="00A24EE7">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creation of a new small business restructuring process, which allows management to remain in control of the company while they develop a restructuring plan with the assistance of a restructuring practitioner. The process provides similar protections to </w:t>
      </w:r>
      <w:r>
        <w:rPr>
          <w:rFonts w:ascii="Arial" w:hAnsi="Arial" w:cs="Arial"/>
          <w:color w:val="7B7B7B" w:themeColor="accent3" w:themeShade="BF"/>
          <w:sz w:val="22"/>
          <w:szCs w:val="22"/>
          <w:lang w:val="en-GB"/>
        </w:rPr>
        <w:lastRenderedPageBreak/>
        <w:t>the Voluntary Administration regime, including moratorium rights and protection against ipso facto contractual rights.</w:t>
      </w:r>
    </w:p>
    <w:p w14:paraId="1FB1E9BA" w14:textId="0FE5990A" w:rsidR="00265D2D" w:rsidRDefault="00265D2D" w:rsidP="002A37BB">
      <w:pPr>
        <w:jc w:val="both"/>
        <w:rPr>
          <w:rFonts w:ascii="Arial" w:hAnsi="Arial" w:cs="Arial"/>
          <w:sz w:val="22"/>
          <w:szCs w:val="22"/>
          <w:shd w:val="clear" w:color="auto" w:fill="FFFFFF"/>
        </w:rPr>
      </w:pPr>
    </w:p>
    <w:p w14:paraId="762CDBE3" w14:textId="7B02C799" w:rsidR="00C944E6" w:rsidRPr="00C944E6" w:rsidRDefault="00C944E6" w:rsidP="002A37BB">
      <w:pPr>
        <w:jc w:val="both"/>
        <w:rPr>
          <w:rFonts w:ascii="Arial" w:hAnsi="Arial" w:cs="Arial"/>
          <w:color w:val="7B7B7B" w:themeColor="accent3" w:themeShade="BF"/>
          <w:sz w:val="22"/>
          <w:szCs w:val="22"/>
          <w:lang w:val="en-GB"/>
        </w:rPr>
      </w:pPr>
      <w:r w:rsidRPr="00C944E6">
        <w:rPr>
          <w:rFonts w:ascii="Arial" w:hAnsi="Arial" w:cs="Arial"/>
          <w:color w:val="7B7B7B" w:themeColor="accent3" w:themeShade="BF"/>
          <w:sz w:val="22"/>
          <w:szCs w:val="22"/>
          <w:lang w:val="en-GB"/>
        </w:rPr>
        <w:t>These</w:t>
      </w:r>
      <w:r>
        <w:rPr>
          <w:rFonts w:ascii="Arial" w:hAnsi="Arial" w:cs="Arial"/>
          <w:color w:val="7B7B7B" w:themeColor="accent3" w:themeShade="BF"/>
          <w:sz w:val="22"/>
          <w:szCs w:val="22"/>
          <w:lang w:val="en-GB"/>
        </w:rPr>
        <w:t xml:space="preserve"> changes go some way to making Australia more debtor friendly, as they provide greater support for restructuring a company for the purposes of rehabilitating it (as opposed to liquidating it) and allowing for management to develop solutions, rather than having to immediately appoint an insolvency practitioner.</w:t>
      </w:r>
      <w:r w:rsidR="00F603B0">
        <w:rPr>
          <w:rFonts w:ascii="Arial" w:hAnsi="Arial" w:cs="Arial"/>
          <w:color w:val="7B7B7B" w:themeColor="accent3" w:themeShade="BF"/>
          <w:sz w:val="22"/>
          <w:szCs w:val="22"/>
          <w:lang w:val="en-GB"/>
        </w:rPr>
        <w:t xml:space="preserve"> However, an impediment to restructuring of businesses being successful is the anti-collectivist culture that remains in Australia.</w:t>
      </w:r>
    </w:p>
    <w:p w14:paraId="14A01003" w14:textId="35D7A6D2"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603B7339" w14:textId="275653C0" w:rsidR="00F603B0" w:rsidRPr="00F603B0" w:rsidRDefault="00216260" w:rsidP="00F603B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Lyonession Liquidators are seeking recognition and an ability to realise </w:t>
      </w:r>
      <w:r w:rsidR="00F603B0">
        <w:rPr>
          <w:rFonts w:ascii="Arial" w:hAnsi="Arial" w:cs="Arial"/>
          <w:color w:val="7B7B7B" w:themeColor="accent3" w:themeShade="BF"/>
          <w:sz w:val="22"/>
          <w:szCs w:val="22"/>
          <w:lang w:val="en-GB"/>
        </w:rPr>
        <w:t xml:space="preserve">Australian based </w:t>
      </w:r>
      <w:r>
        <w:rPr>
          <w:rFonts w:ascii="Arial" w:hAnsi="Arial" w:cs="Arial"/>
          <w:color w:val="7B7B7B" w:themeColor="accent3" w:themeShade="BF"/>
          <w:sz w:val="22"/>
          <w:szCs w:val="22"/>
          <w:lang w:val="en-GB"/>
        </w:rPr>
        <w:t>assets for the benefit of Lyonessian creditors. Given the ATO cannot claim in the Aussiebee liquidation, if the funds are remitted to the Lyonessian Liquidators the ATO will not make any recovery in the Aussiebee liquidation. Accordingly, the ATO needs to seek some protection to allow it to claim against the funds.</w:t>
      </w:r>
      <w:r w:rsidR="00F603B0">
        <w:rPr>
          <w:rFonts w:ascii="Arial" w:hAnsi="Arial" w:cs="Arial"/>
          <w:color w:val="7B7B7B" w:themeColor="accent3" w:themeShade="BF"/>
          <w:sz w:val="22"/>
          <w:szCs w:val="22"/>
          <w:lang w:val="en-GB"/>
        </w:rPr>
        <w:t xml:space="preserve"> </w:t>
      </w:r>
    </w:p>
    <w:p w14:paraId="4AA048B5" w14:textId="221BA310" w:rsidR="00216260" w:rsidRDefault="00216260" w:rsidP="00216260">
      <w:pPr>
        <w:autoSpaceDE w:val="0"/>
        <w:autoSpaceDN w:val="0"/>
        <w:adjustRightInd w:val="0"/>
        <w:jc w:val="both"/>
        <w:rPr>
          <w:rFonts w:ascii="Arial" w:hAnsi="Arial" w:cs="Arial"/>
          <w:color w:val="7B7B7B" w:themeColor="accent3" w:themeShade="BF"/>
          <w:sz w:val="22"/>
          <w:szCs w:val="22"/>
          <w:lang w:val="en-GB"/>
        </w:rPr>
      </w:pPr>
    </w:p>
    <w:p w14:paraId="194B5935" w14:textId="1541FF0F" w:rsidR="00F603B0" w:rsidRDefault="00D4138D" w:rsidP="0021626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w:t>
      </w:r>
      <w:r w:rsidR="00F603B0">
        <w:rPr>
          <w:rFonts w:ascii="Arial" w:hAnsi="Arial" w:cs="Arial"/>
          <w:color w:val="7B7B7B" w:themeColor="accent3" w:themeShade="BF"/>
          <w:sz w:val="22"/>
          <w:szCs w:val="22"/>
          <w:lang w:val="en-GB"/>
        </w:rPr>
        <w:t xml:space="preserve">Aussiebee is not an Australian registered company, </w:t>
      </w:r>
      <w:r>
        <w:rPr>
          <w:rFonts w:ascii="Arial" w:hAnsi="Arial" w:cs="Arial"/>
          <w:color w:val="7B7B7B" w:themeColor="accent3" w:themeShade="BF"/>
          <w:sz w:val="22"/>
          <w:szCs w:val="22"/>
          <w:lang w:val="en-GB"/>
        </w:rPr>
        <w:t xml:space="preserve">the Corporation Act applies to Aussiebee as it was an unregistered foreign company that was carrying on business in Australia. The ATO could therefore apply to Court to have a Liquidator appointed to the company on the basis of the insolvency, being </w:t>
      </w:r>
      <w:r w:rsidR="00BD5944">
        <w:rPr>
          <w:rFonts w:ascii="Arial" w:hAnsi="Arial" w:cs="Arial"/>
          <w:color w:val="7B7B7B" w:themeColor="accent3" w:themeShade="BF"/>
          <w:sz w:val="22"/>
          <w:szCs w:val="22"/>
          <w:lang w:val="en-GB"/>
        </w:rPr>
        <w:t xml:space="preserve">evidenced by </w:t>
      </w:r>
      <w:r>
        <w:rPr>
          <w:rFonts w:ascii="Arial" w:hAnsi="Arial" w:cs="Arial"/>
          <w:color w:val="7B7B7B" w:themeColor="accent3" w:themeShade="BF"/>
          <w:sz w:val="22"/>
          <w:szCs w:val="22"/>
          <w:lang w:val="en-GB"/>
        </w:rPr>
        <w:t xml:space="preserve">the appointment of Liquidators in Lyonesse and the non-payment of taxes. </w:t>
      </w:r>
      <w:r w:rsidR="00F53C45">
        <w:rPr>
          <w:rFonts w:ascii="Arial" w:hAnsi="Arial" w:cs="Arial"/>
          <w:color w:val="7B7B7B" w:themeColor="accent3" w:themeShade="BF"/>
          <w:sz w:val="22"/>
          <w:szCs w:val="22"/>
          <w:lang w:val="en-GB"/>
        </w:rPr>
        <w:t xml:space="preserve">If an appointment was made, then the Court would need to consider whether the Lyonesse Liquidation or the Australian Liquidation was the foreign main proceeding. In this instance, while there are some factors indicating Australia (the board is Australian based, its operations are partly based in Australia, and it has Australian offices), the Court may decide the COMI is in Lyonesse due to the registration and </w:t>
      </w:r>
      <w:r w:rsidR="00F53C45">
        <w:rPr>
          <w:rFonts w:ascii="Arial" w:hAnsi="Arial" w:cs="Arial"/>
          <w:color w:val="7B7B7B" w:themeColor="accent3" w:themeShade="BF"/>
          <w:sz w:val="22"/>
          <w:szCs w:val="22"/>
          <w:lang w:val="en-GB"/>
        </w:rPr>
        <w:lastRenderedPageBreak/>
        <w:t>the CEO is based in Lyonesse.</w:t>
      </w:r>
      <w:r w:rsidR="00BD5944">
        <w:rPr>
          <w:rFonts w:ascii="Arial" w:hAnsi="Arial" w:cs="Arial"/>
          <w:color w:val="7B7B7B" w:themeColor="accent3" w:themeShade="BF"/>
          <w:sz w:val="22"/>
          <w:szCs w:val="22"/>
          <w:lang w:val="en-GB"/>
        </w:rPr>
        <w:t xml:space="preserve"> This would impact the relief available for the Lyonesse Liquidators.</w:t>
      </w:r>
      <w:r w:rsidR="00F53C45">
        <w:rPr>
          <w:rFonts w:ascii="Arial" w:hAnsi="Arial" w:cs="Arial"/>
          <w:color w:val="7B7B7B" w:themeColor="accent3" w:themeShade="BF"/>
          <w:sz w:val="22"/>
          <w:szCs w:val="22"/>
          <w:lang w:val="en-GB"/>
        </w:rPr>
        <w:t xml:space="preserve"> </w:t>
      </w:r>
    </w:p>
    <w:p w14:paraId="682E71F6" w14:textId="77777777" w:rsidR="00F603B0" w:rsidRDefault="00F603B0" w:rsidP="00216260">
      <w:pPr>
        <w:autoSpaceDE w:val="0"/>
        <w:autoSpaceDN w:val="0"/>
        <w:adjustRightInd w:val="0"/>
        <w:jc w:val="both"/>
        <w:rPr>
          <w:rFonts w:ascii="Arial" w:hAnsi="Arial" w:cs="Arial"/>
          <w:color w:val="7B7B7B" w:themeColor="accent3" w:themeShade="BF"/>
          <w:sz w:val="22"/>
          <w:szCs w:val="22"/>
          <w:lang w:val="en-GB"/>
        </w:rPr>
      </w:pPr>
    </w:p>
    <w:p w14:paraId="4571B2B0" w14:textId="75D0A7AC" w:rsidR="007F659B" w:rsidRPr="00F53C45" w:rsidRDefault="00F53C45" w:rsidP="00F603B0">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another path for the ATO, following the Court’s decision in </w:t>
      </w:r>
      <w:r>
        <w:rPr>
          <w:rFonts w:ascii="Arial" w:hAnsi="Arial" w:cs="Arial"/>
          <w:i/>
          <w:iCs/>
          <w:color w:val="7B7B7B" w:themeColor="accent3" w:themeShade="BF"/>
          <w:sz w:val="22"/>
          <w:szCs w:val="22"/>
          <w:lang w:val="en-GB"/>
        </w:rPr>
        <w:t xml:space="preserve">Ackers v Deputy Commissioner of Taxation </w:t>
      </w:r>
      <w:r>
        <w:rPr>
          <w:rFonts w:ascii="Arial" w:hAnsi="Arial" w:cs="Arial"/>
          <w:color w:val="7B7B7B" w:themeColor="accent3" w:themeShade="BF"/>
          <w:sz w:val="22"/>
          <w:szCs w:val="22"/>
          <w:lang w:val="en-GB"/>
        </w:rPr>
        <w:t xml:space="preserve">(2014) 223 FCR 8. </w:t>
      </w:r>
      <w:r w:rsidR="00216260" w:rsidRPr="00F603B0">
        <w:rPr>
          <w:rFonts w:ascii="Arial" w:hAnsi="Arial" w:cs="Arial"/>
          <w:color w:val="7B7B7B" w:themeColor="accent3" w:themeShade="BF"/>
          <w:sz w:val="22"/>
          <w:szCs w:val="22"/>
          <w:lang w:val="en-GB"/>
        </w:rPr>
        <w:t xml:space="preserve">In the circumstances, the ATO </w:t>
      </w:r>
      <w:r w:rsidR="00F603B0" w:rsidRPr="00F603B0">
        <w:rPr>
          <w:rFonts w:ascii="Arial" w:hAnsi="Arial" w:cs="Arial"/>
          <w:color w:val="7B7B7B" w:themeColor="accent3" w:themeShade="BF"/>
          <w:sz w:val="22"/>
          <w:szCs w:val="22"/>
          <w:lang w:val="en-GB"/>
        </w:rPr>
        <w:t>c</w:t>
      </w:r>
      <w:r w:rsidR="00216260" w:rsidRPr="00F603B0">
        <w:rPr>
          <w:rFonts w:ascii="Arial" w:hAnsi="Arial" w:cs="Arial"/>
          <w:color w:val="7B7B7B" w:themeColor="accent3" w:themeShade="BF"/>
          <w:sz w:val="22"/>
          <w:szCs w:val="22"/>
          <w:lang w:val="en-GB"/>
        </w:rPr>
        <w:t xml:space="preserve">ould apply to Court to seek a modification of the recognition orders so that the ATO can enforce its claim in Australia to enable it to recover an amount on a pari passu basis as if they had claimed in the Aussiebee liquidation. </w:t>
      </w:r>
      <w:r>
        <w:rPr>
          <w:rFonts w:ascii="Arial" w:hAnsi="Arial" w:cs="Arial"/>
          <w:color w:val="7B7B7B" w:themeColor="accent3" w:themeShade="BF"/>
          <w:sz w:val="22"/>
          <w:szCs w:val="22"/>
          <w:lang w:val="en-GB"/>
        </w:rPr>
        <w:t xml:space="preserve">This is the path the ATO took in similar circumstances in </w:t>
      </w:r>
      <w:r>
        <w:rPr>
          <w:rFonts w:ascii="Arial" w:hAnsi="Arial" w:cs="Arial"/>
          <w:i/>
          <w:iCs/>
          <w:color w:val="7B7B7B" w:themeColor="accent3" w:themeShade="BF"/>
          <w:sz w:val="22"/>
          <w:szCs w:val="22"/>
          <w:lang w:val="en-GB"/>
        </w:rPr>
        <w:t>Ackers</w:t>
      </w:r>
      <w:r>
        <w:rPr>
          <w:rFonts w:ascii="Arial" w:hAnsi="Arial" w:cs="Arial"/>
          <w:color w:val="7B7B7B" w:themeColor="accent3" w:themeShade="BF"/>
          <w:sz w:val="22"/>
          <w:szCs w:val="22"/>
          <w:lang w:val="en-GB"/>
        </w:rPr>
        <w:t xml:space="preserve"> and the ATO was successful.</w:t>
      </w:r>
      <w:r w:rsidR="00B07C5C">
        <w:rPr>
          <w:rFonts w:ascii="Arial" w:hAnsi="Arial" w:cs="Arial"/>
          <w:color w:val="7B7B7B" w:themeColor="accent3" w:themeShade="BF"/>
          <w:sz w:val="22"/>
          <w:szCs w:val="22"/>
          <w:lang w:val="en-GB"/>
        </w:rPr>
        <w:t xml:space="preserve"> Accordingly, this option is recommended for the ATO.</w:t>
      </w: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7B18F3A4" w14:textId="0E80042C" w:rsidR="00321C33" w:rsidRDefault="00F53C45"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 is insolvent on the basis that it cannot meet the judgment debt and the CBA debt.</w:t>
      </w:r>
      <w:r w:rsidR="00321C33">
        <w:rPr>
          <w:rFonts w:ascii="Arial" w:hAnsi="Arial" w:cs="Arial"/>
          <w:color w:val="7B7B7B" w:themeColor="accent3" w:themeShade="BF"/>
          <w:sz w:val="22"/>
          <w:szCs w:val="22"/>
          <w:lang w:val="en-GB"/>
        </w:rPr>
        <w:t xml:space="preserve"> The board needs to urgently act to prevent further loss to creditors and to manage the ongoing risk </w:t>
      </w:r>
      <w:r w:rsidR="00321C33">
        <w:rPr>
          <w:rFonts w:ascii="Arial" w:hAnsi="Arial" w:cs="Arial"/>
          <w:color w:val="7B7B7B" w:themeColor="accent3" w:themeShade="BF"/>
          <w:sz w:val="22"/>
          <w:szCs w:val="22"/>
          <w:lang w:val="en-GB"/>
        </w:rPr>
        <w:lastRenderedPageBreak/>
        <w:t>of personal liability from insolvent trading. While the board could seek to avail themselves of the protections under the safe harbour regime</w:t>
      </w:r>
      <w:r w:rsidR="00BD5944">
        <w:rPr>
          <w:rFonts w:ascii="Arial" w:hAnsi="Arial" w:cs="Arial"/>
          <w:color w:val="7B7B7B" w:themeColor="accent3" w:themeShade="BF"/>
          <w:sz w:val="22"/>
          <w:szCs w:val="22"/>
          <w:lang w:val="en-GB"/>
        </w:rPr>
        <w:t xml:space="preserve"> while they develop a solution</w:t>
      </w:r>
      <w:r w:rsidR="00321C33">
        <w:rPr>
          <w:rFonts w:ascii="Arial" w:hAnsi="Arial" w:cs="Arial"/>
          <w:color w:val="7B7B7B" w:themeColor="accent3" w:themeShade="BF"/>
          <w:sz w:val="22"/>
          <w:szCs w:val="22"/>
          <w:lang w:val="en-GB"/>
        </w:rPr>
        <w:t xml:space="preserve">, the board have indicated there is no more funding, the trading is not sufficient to cover the debts, and they have exhausted all possibilities for refinancing the debts, so this would not necessarily be useful. In the circumstances, the board will need to consider appointing an insolvency practitioner </w:t>
      </w:r>
      <w:r w:rsidR="00BD5944">
        <w:rPr>
          <w:rFonts w:ascii="Arial" w:hAnsi="Arial" w:cs="Arial"/>
          <w:color w:val="7B7B7B" w:themeColor="accent3" w:themeShade="BF"/>
          <w:sz w:val="22"/>
          <w:szCs w:val="22"/>
          <w:lang w:val="en-GB"/>
        </w:rPr>
        <w:t>to manage the company’s insolvency. The board is able to appoint Administrators to the company on the basis the company is insolvent.</w:t>
      </w:r>
    </w:p>
    <w:p w14:paraId="6C250B04" w14:textId="77777777" w:rsidR="00321C33" w:rsidRDefault="00321C33" w:rsidP="002D62AD">
      <w:pPr>
        <w:autoSpaceDE w:val="0"/>
        <w:autoSpaceDN w:val="0"/>
        <w:adjustRightInd w:val="0"/>
        <w:jc w:val="both"/>
        <w:rPr>
          <w:rFonts w:ascii="Arial" w:hAnsi="Arial" w:cs="Arial"/>
          <w:color w:val="7B7B7B" w:themeColor="accent3" w:themeShade="BF"/>
          <w:sz w:val="22"/>
          <w:szCs w:val="22"/>
          <w:lang w:val="en-GB"/>
        </w:rPr>
      </w:pPr>
    </w:p>
    <w:p w14:paraId="1988A027" w14:textId="1A9B18D5" w:rsidR="00321C33" w:rsidRDefault="00BD5944"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will not avoid the risks faced by the directors for trading to date. </w:t>
      </w:r>
      <w:r w:rsidR="00F53C45">
        <w:rPr>
          <w:rFonts w:ascii="Arial" w:hAnsi="Arial" w:cs="Arial"/>
          <w:color w:val="7B7B7B" w:themeColor="accent3" w:themeShade="BF"/>
          <w:sz w:val="22"/>
          <w:szCs w:val="22"/>
          <w:lang w:val="en-GB"/>
        </w:rPr>
        <w:t xml:space="preserve">By continuing to trade beyond October 2020, </w:t>
      </w:r>
      <w:r w:rsidR="00321C33">
        <w:rPr>
          <w:rFonts w:ascii="Arial" w:hAnsi="Arial" w:cs="Arial"/>
          <w:color w:val="7B7B7B" w:themeColor="accent3" w:themeShade="BF"/>
          <w:sz w:val="22"/>
          <w:szCs w:val="22"/>
          <w:lang w:val="en-GB"/>
        </w:rPr>
        <w:t>the directors of HA have put themselves at risk of personal liability for debts incurred between October 2020 and the date of insolvency</w:t>
      </w:r>
      <w:r>
        <w:rPr>
          <w:rFonts w:ascii="Arial" w:hAnsi="Arial" w:cs="Arial"/>
          <w:color w:val="7B7B7B" w:themeColor="accent3" w:themeShade="BF"/>
          <w:sz w:val="22"/>
          <w:szCs w:val="22"/>
          <w:lang w:val="en-GB"/>
        </w:rPr>
        <w:t>. This is</w:t>
      </w:r>
      <w:r w:rsidR="00321C33">
        <w:rPr>
          <w:rFonts w:ascii="Arial" w:hAnsi="Arial" w:cs="Arial"/>
          <w:color w:val="7B7B7B" w:themeColor="accent3" w:themeShade="BF"/>
          <w:sz w:val="22"/>
          <w:szCs w:val="22"/>
          <w:lang w:val="en-GB"/>
        </w:rPr>
        <w:t xml:space="preserve"> because the company was insolvent at October 2020, there were reasonable grounds for suspecting the insolvency, and the directors failed to prevent HA incurring the debt. Furthermore, HGL as the parent company may also be liable for some of the debts of HA under section 588v of the Corporations Act 2001. </w:t>
      </w:r>
    </w:p>
    <w:p w14:paraId="4B1457FA" w14:textId="667FFF4A" w:rsidR="002B02DE" w:rsidRDefault="002B02DE" w:rsidP="002D62AD">
      <w:pPr>
        <w:autoSpaceDE w:val="0"/>
        <w:autoSpaceDN w:val="0"/>
        <w:adjustRightInd w:val="0"/>
        <w:jc w:val="both"/>
        <w:rPr>
          <w:rFonts w:ascii="Arial" w:hAnsi="Arial" w:cs="Arial"/>
          <w:color w:val="7B7B7B" w:themeColor="accent3" w:themeShade="BF"/>
          <w:sz w:val="22"/>
          <w:szCs w:val="22"/>
          <w:lang w:val="en-GB"/>
        </w:rPr>
      </w:pPr>
    </w:p>
    <w:p w14:paraId="1A35111D" w14:textId="3D67B8EB" w:rsidR="00BD5944" w:rsidRDefault="00321C33"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company enters any form of restructuring or insolvency process, the funding for the Perth plant of $AU30 million will also become due and payable.</w:t>
      </w:r>
      <w:r w:rsidR="00BD5944">
        <w:rPr>
          <w:rFonts w:ascii="Arial" w:hAnsi="Arial" w:cs="Arial"/>
          <w:color w:val="7B7B7B" w:themeColor="accent3" w:themeShade="BF"/>
          <w:sz w:val="22"/>
          <w:szCs w:val="22"/>
          <w:lang w:val="en-GB"/>
        </w:rPr>
        <w:t xml:space="preserve"> This is an unsecured debt only and will rank equally with the judgment debt.</w:t>
      </w:r>
    </w:p>
    <w:p w14:paraId="4F2DF306" w14:textId="30D11D59" w:rsidR="002B02DE" w:rsidRDefault="002B02DE" w:rsidP="002D62AD">
      <w:pPr>
        <w:autoSpaceDE w:val="0"/>
        <w:autoSpaceDN w:val="0"/>
        <w:adjustRightInd w:val="0"/>
        <w:jc w:val="both"/>
        <w:rPr>
          <w:rFonts w:ascii="Arial" w:hAnsi="Arial" w:cs="Arial"/>
          <w:color w:val="7B7B7B" w:themeColor="accent3" w:themeShade="BF"/>
          <w:sz w:val="22"/>
          <w:szCs w:val="22"/>
          <w:lang w:val="en-GB"/>
        </w:rPr>
      </w:pPr>
    </w:p>
    <w:p w14:paraId="615FB5F3" w14:textId="25E636E8" w:rsidR="002B02DE" w:rsidRDefault="002B02DE"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HGL has provided funding to HA which will now also be an unsecured claim against HA. However, these claims are effectively subordinated to all other unsecured creditors.</w:t>
      </w:r>
    </w:p>
    <w:p w14:paraId="51E67F0C" w14:textId="12A4C3F5" w:rsidR="00BD5944" w:rsidRDefault="00BD5944" w:rsidP="002D62AD">
      <w:pPr>
        <w:autoSpaceDE w:val="0"/>
        <w:autoSpaceDN w:val="0"/>
        <w:adjustRightInd w:val="0"/>
        <w:jc w:val="both"/>
        <w:rPr>
          <w:rFonts w:ascii="Arial" w:hAnsi="Arial" w:cs="Arial"/>
          <w:color w:val="7B7B7B" w:themeColor="accent3" w:themeShade="BF"/>
          <w:sz w:val="22"/>
          <w:szCs w:val="22"/>
          <w:lang w:val="en-GB"/>
        </w:rPr>
      </w:pPr>
    </w:p>
    <w:p w14:paraId="55FE4440" w14:textId="35B24CBB" w:rsidR="00BD5944" w:rsidRDefault="00BD5944"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board of HA will need to consider the impact of the </w:t>
      </w:r>
      <w:r w:rsidR="002B02DE">
        <w:rPr>
          <w:rFonts w:ascii="Arial" w:hAnsi="Arial" w:cs="Arial"/>
          <w:color w:val="7B7B7B" w:themeColor="accent3" w:themeShade="BF"/>
          <w:sz w:val="22"/>
          <w:szCs w:val="22"/>
          <w:lang w:val="en-GB"/>
        </w:rPr>
        <w:t>insolvency of HA on HGL, with reference to the potential claims against HGL and the subordinated loan to HA. The board should undertake a detailed assessment of the solvency of HGL so as to avoid trading while insolvent. The board may need to consider whether the safe harbour provisions should be involved to provide protection through this period.</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39F5" w14:textId="77777777" w:rsidR="00D91BE8" w:rsidRDefault="00D91BE8" w:rsidP="00241B44">
      <w:r>
        <w:separator/>
      </w:r>
    </w:p>
  </w:endnote>
  <w:endnote w:type="continuationSeparator" w:id="0">
    <w:p w14:paraId="36838684" w14:textId="77777777" w:rsidR="00D91BE8" w:rsidRDefault="00D91B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58925F3F" w:rsidR="00542A3A" w:rsidRPr="009B4976" w:rsidRDefault="002C7890" w:rsidP="009B4976">
    <w:pPr>
      <w:pStyle w:val="Footer"/>
      <w:ind w:right="360"/>
      <w:rPr>
        <w:rFonts w:ascii="Arial" w:hAnsi="Arial" w:cs="Arial"/>
        <w:sz w:val="18"/>
        <w:szCs w:val="18"/>
        <w:lang w:val="en-GB"/>
      </w:rPr>
    </w:pPr>
    <w:r>
      <w:rPr>
        <w:rFonts w:ascii="Arial" w:hAnsi="Arial" w:cs="Arial"/>
        <w:sz w:val="18"/>
        <w:szCs w:val="18"/>
        <w:lang w:val="en-GB"/>
      </w:rPr>
      <w:t>202122-617</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95C1" w14:textId="77777777" w:rsidR="002C7890" w:rsidRDefault="002C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FB5F" w14:textId="77777777" w:rsidR="00D91BE8" w:rsidRDefault="00D91BE8" w:rsidP="00241B44">
      <w:r>
        <w:separator/>
      </w:r>
    </w:p>
  </w:footnote>
  <w:footnote w:type="continuationSeparator" w:id="0">
    <w:p w14:paraId="7F383D2A" w14:textId="77777777" w:rsidR="00D91BE8" w:rsidRDefault="00D91BE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D7B1" w14:textId="77777777" w:rsidR="002C7890" w:rsidRDefault="002C7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D32F" w14:textId="77777777" w:rsidR="002C7890" w:rsidRDefault="002C7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4296" w14:textId="77777777" w:rsidR="002C7890" w:rsidRDefault="002C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3050DDF"/>
    <w:multiLevelType w:val="hybridMultilevel"/>
    <w:tmpl w:val="78F60380"/>
    <w:lvl w:ilvl="0" w:tplc="B27CC418">
      <w:start w:val="1"/>
      <w:numFmt w:val="bullet"/>
      <w:lvlText w:val="-"/>
      <w:lvlJc w:val="left"/>
      <w:pPr>
        <w:ind w:left="720" w:hanging="360"/>
      </w:pPr>
      <w:rPr>
        <w:rFonts w:ascii="Arial" w:eastAsia="Times New Roman" w:hAnsi="Arial" w:cs="Arial" w:hint="default"/>
        <w:color w:val="7B7B7B" w:themeColor="accent3"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0EE5865"/>
    <w:multiLevelType w:val="hybridMultilevel"/>
    <w:tmpl w:val="1DD26DD4"/>
    <w:lvl w:ilvl="0" w:tplc="0E38ECD4">
      <w:start w:val="1"/>
      <w:numFmt w:val="decimal"/>
      <w:lvlText w:val="%1."/>
      <w:lvlJc w:val="left"/>
      <w:pPr>
        <w:ind w:left="720" w:hanging="360"/>
      </w:pPr>
      <w:rPr>
        <w:rFonts w:hint="default"/>
        <w:color w:val="7B7B7B" w:themeColor="accent3"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ED355E4"/>
    <w:multiLevelType w:val="hybridMultilevel"/>
    <w:tmpl w:val="40E27428"/>
    <w:lvl w:ilvl="0" w:tplc="B27CC418">
      <w:start w:val="1"/>
      <w:numFmt w:val="bullet"/>
      <w:lvlText w:val="-"/>
      <w:lvlJc w:val="left"/>
      <w:pPr>
        <w:ind w:left="720" w:hanging="360"/>
      </w:pPr>
      <w:rPr>
        <w:rFonts w:ascii="Arial" w:eastAsia="Times New Roman" w:hAnsi="Arial" w:cs="Arial" w:hint="default"/>
        <w:color w:val="7B7B7B" w:themeColor="accent3"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D9185B"/>
    <w:multiLevelType w:val="hybridMultilevel"/>
    <w:tmpl w:val="E1F050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18"/>
  </w:num>
  <w:num w:numId="5">
    <w:abstractNumId w:val="10"/>
  </w:num>
  <w:num w:numId="6">
    <w:abstractNumId w:val="13"/>
  </w:num>
  <w:num w:numId="7">
    <w:abstractNumId w:val="19"/>
  </w:num>
  <w:num w:numId="8">
    <w:abstractNumId w:val="16"/>
  </w:num>
  <w:num w:numId="9">
    <w:abstractNumId w:val="8"/>
  </w:num>
  <w:num w:numId="10">
    <w:abstractNumId w:val="6"/>
  </w:num>
  <w:num w:numId="11">
    <w:abstractNumId w:val="0"/>
  </w:num>
  <w:num w:numId="12">
    <w:abstractNumId w:val="17"/>
  </w:num>
  <w:num w:numId="13">
    <w:abstractNumId w:val="21"/>
  </w:num>
  <w:num w:numId="14">
    <w:abstractNumId w:val="7"/>
  </w:num>
  <w:num w:numId="15">
    <w:abstractNumId w:val="4"/>
  </w:num>
  <w:num w:numId="16">
    <w:abstractNumId w:val="2"/>
  </w:num>
  <w:num w:numId="17">
    <w:abstractNumId w:val="24"/>
  </w:num>
  <w:num w:numId="18">
    <w:abstractNumId w:val="5"/>
  </w:num>
  <w:num w:numId="19">
    <w:abstractNumId w:val="15"/>
  </w:num>
  <w:num w:numId="20">
    <w:abstractNumId w:val="3"/>
  </w:num>
  <w:num w:numId="21">
    <w:abstractNumId w:val="14"/>
  </w:num>
  <w:num w:numId="22">
    <w:abstractNumId w:val="22"/>
  </w:num>
  <w:num w:numId="23">
    <w:abstractNumId w:val="1"/>
  </w:num>
  <w:num w:numId="24">
    <w:abstractNumId w:val="12"/>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7069D"/>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D5291"/>
    <w:rsid w:val="001E25B9"/>
    <w:rsid w:val="001E49E0"/>
    <w:rsid w:val="001E7B5A"/>
    <w:rsid w:val="001F29E8"/>
    <w:rsid w:val="001F7412"/>
    <w:rsid w:val="0020090A"/>
    <w:rsid w:val="00202DFE"/>
    <w:rsid w:val="0020725B"/>
    <w:rsid w:val="002110F1"/>
    <w:rsid w:val="00216260"/>
    <w:rsid w:val="00216FA9"/>
    <w:rsid w:val="002172B8"/>
    <w:rsid w:val="002356EA"/>
    <w:rsid w:val="0024116D"/>
    <w:rsid w:val="00241B44"/>
    <w:rsid w:val="00241FA3"/>
    <w:rsid w:val="00245EFB"/>
    <w:rsid w:val="002476AF"/>
    <w:rsid w:val="0025332C"/>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02DE"/>
    <w:rsid w:val="002B1C45"/>
    <w:rsid w:val="002C13C8"/>
    <w:rsid w:val="002C3547"/>
    <w:rsid w:val="002C7890"/>
    <w:rsid w:val="002D0021"/>
    <w:rsid w:val="002D299D"/>
    <w:rsid w:val="002D3473"/>
    <w:rsid w:val="002D62AD"/>
    <w:rsid w:val="002F1956"/>
    <w:rsid w:val="002F3440"/>
    <w:rsid w:val="002F75A3"/>
    <w:rsid w:val="00303C2F"/>
    <w:rsid w:val="003042CB"/>
    <w:rsid w:val="003144EF"/>
    <w:rsid w:val="0031579E"/>
    <w:rsid w:val="00321C33"/>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3F450D"/>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659B"/>
    <w:rsid w:val="00800BA5"/>
    <w:rsid w:val="0080454E"/>
    <w:rsid w:val="00804C32"/>
    <w:rsid w:val="00806302"/>
    <w:rsid w:val="00807119"/>
    <w:rsid w:val="008235B7"/>
    <w:rsid w:val="00823B29"/>
    <w:rsid w:val="0082483F"/>
    <w:rsid w:val="008279C0"/>
    <w:rsid w:val="00827F1E"/>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9F47E2"/>
    <w:rsid w:val="00A047EE"/>
    <w:rsid w:val="00A15DC7"/>
    <w:rsid w:val="00A21FA5"/>
    <w:rsid w:val="00A2274A"/>
    <w:rsid w:val="00A235B7"/>
    <w:rsid w:val="00A24EE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0E7"/>
    <w:rsid w:val="00AD12C7"/>
    <w:rsid w:val="00AD4BE8"/>
    <w:rsid w:val="00AF228E"/>
    <w:rsid w:val="00B016A8"/>
    <w:rsid w:val="00B07C5C"/>
    <w:rsid w:val="00B14819"/>
    <w:rsid w:val="00B15E2F"/>
    <w:rsid w:val="00B17AA9"/>
    <w:rsid w:val="00B240F9"/>
    <w:rsid w:val="00B37C3C"/>
    <w:rsid w:val="00B44713"/>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D5944"/>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44E6"/>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148DC"/>
    <w:rsid w:val="00D17FDC"/>
    <w:rsid w:val="00D21D8C"/>
    <w:rsid w:val="00D4138D"/>
    <w:rsid w:val="00D45B4F"/>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31EFD"/>
    <w:rsid w:val="00E409FC"/>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5165C"/>
    <w:rsid w:val="00F53C45"/>
    <w:rsid w:val="00F5524B"/>
    <w:rsid w:val="00F603B0"/>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10</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Bowker, Leon F</cp:lastModifiedBy>
  <cp:revision>6</cp:revision>
  <cp:lastPrinted>2019-08-27T05:42:00Z</cp:lastPrinted>
  <dcterms:created xsi:type="dcterms:W3CDTF">2022-07-29T21:13:00Z</dcterms:created>
  <dcterms:modified xsi:type="dcterms:W3CDTF">2022-07-31T19:34:00Z</dcterms:modified>
</cp:coreProperties>
</file>