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D21F62" w:rsidRDefault="00D21F62"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544D52" w:rsidRDefault="00D21F62" w:rsidP="003C4BCB">
      <w:pPr>
        <w:pStyle w:val="ListParagraph"/>
        <w:numPr>
          <w:ilvl w:val="0"/>
          <w:numId w:val="2"/>
        </w:numPr>
        <w:ind w:left="426"/>
        <w:jc w:val="both"/>
        <w:rPr>
          <w:rFonts w:ascii="Arial" w:hAnsi="Arial" w:cs="Arial"/>
          <w:sz w:val="22"/>
          <w:szCs w:val="22"/>
          <w:highlight w:val="yellow"/>
          <w:lang w:val="en-GB"/>
        </w:rPr>
      </w:pPr>
      <w:r w:rsidRPr="00544D52">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544D52">
        <w:rPr>
          <w:rFonts w:ascii="Arial" w:hAnsi="Arial" w:cs="Arial"/>
          <w:sz w:val="22"/>
          <w:szCs w:val="22"/>
          <w:highlight w:val="yellow"/>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49289E" w:rsidRDefault="006D217A" w:rsidP="006D217A">
      <w:pPr>
        <w:pStyle w:val="ListParagraph"/>
        <w:numPr>
          <w:ilvl w:val="0"/>
          <w:numId w:val="3"/>
        </w:numPr>
        <w:ind w:left="426"/>
        <w:jc w:val="both"/>
        <w:rPr>
          <w:rFonts w:ascii="Arial" w:hAnsi="Arial" w:cs="Arial"/>
          <w:iCs/>
          <w:sz w:val="22"/>
          <w:szCs w:val="22"/>
          <w:highlight w:val="yellow"/>
          <w:lang w:val="en-GB"/>
        </w:rPr>
      </w:pPr>
      <w:r w:rsidRPr="0049289E">
        <w:rPr>
          <w:rFonts w:ascii="Arial" w:hAnsi="Arial" w:cs="Arial"/>
          <w:iCs/>
          <w:sz w:val="22"/>
          <w:szCs w:val="22"/>
          <w:highlight w:val="yellow"/>
          <w:lang w:val="en-GB"/>
        </w:rPr>
        <w:t>False</w:t>
      </w:r>
      <w:r w:rsidR="00D21F62" w:rsidRPr="0049289E">
        <w:rPr>
          <w:rFonts w:ascii="Arial" w:hAnsi="Arial" w:cs="Arial"/>
          <w:iCs/>
          <w:sz w:val="22"/>
          <w:szCs w:val="22"/>
          <w:highlight w:val="yellow"/>
          <w:lang w:val="en-GB"/>
        </w:rPr>
        <w:t>.</w:t>
      </w:r>
      <w:r w:rsidRPr="0049289E">
        <w:rPr>
          <w:rFonts w:ascii="Arial" w:hAnsi="Arial" w:cs="Arial"/>
          <w:iCs/>
          <w:sz w:val="22"/>
          <w:szCs w:val="22"/>
          <w:highlight w:val="yellow"/>
          <w:lang w:val="en-GB"/>
        </w:rPr>
        <w:t xml:space="preserve"> </w:t>
      </w:r>
      <w:r w:rsidR="00D21F62" w:rsidRPr="0049289E">
        <w:rPr>
          <w:rFonts w:ascii="Arial" w:hAnsi="Arial" w:cs="Arial"/>
          <w:sz w:val="22"/>
          <w:szCs w:val="22"/>
          <w:highlight w:val="yellow"/>
          <w:lang w:val="en-GB"/>
        </w:rPr>
        <w:t>T</w:t>
      </w:r>
      <w:r w:rsidRPr="0049289E">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5D2CD6" w:rsidRDefault="00D21F62" w:rsidP="003C4BCB">
      <w:pPr>
        <w:pStyle w:val="ListParagraph"/>
        <w:numPr>
          <w:ilvl w:val="0"/>
          <w:numId w:val="4"/>
        </w:numPr>
        <w:ind w:left="426"/>
        <w:jc w:val="both"/>
        <w:rPr>
          <w:rFonts w:ascii="Arial" w:hAnsi="Arial" w:cs="Arial"/>
          <w:sz w:val="22"/>
          <w:szCs w:val="22"/>
          <w:lang w:val="en-GB"/>
        </w:rPr>
      </w:pPr>
      <w:r w:rsidRPr="00084956">
        <w:rPr>
          <w:rFonts w:ascii="Arial" w:hAnsi="Arial" w:cs="Arial"/>
          <w:sz w:val="22"/>
          <w:szCs w:val="22"/>
          <w:highlight w:val="yellow"/>
          <w:lang w:val="en-GB"/>
        </w:rPr>
        <w:lastRenderedPageBreak/>
        <w:t>False. While a number of shortcomings were identified by an evaluation study and a public consultation, the EIR 2000 was generally regarded as a successful instrument by most stakeholders, including practitioners, businesses, the EU institutions and insolvency academics</w:t>
      </w:r>
      <w:r w:rsidRPr="005D2CD6">
        <w:rPr>
          <w:rFonts w:ascii="Arial" w:hAnsi="Arial" w:cs="Arial"/>
          <w:sz w:val="22"/>
          <w:szCs w:val="22"/>
          <w:lang w:val="en-GB"/>
        </w:rPr>
        <w:t xml:space="preserve">.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084956" w:rsidRDefault="00971896" w:rsidP="003C4BCB">
      <w:pPr>
        <w:pStyle w:val="ListParagraph"/>
        <w:numPr>
          <w:ilvl w:val="0"/>
          <w:numId w:val="5"/>
        </w:numPr>
        <w:ind w:left="426"/>
        <w:jc w:val="both"/>
        <w:rPr>
          <w:rFonts w:ascii="Arial" w:hAnsi="Arial" w:cs="Arial"/>
          <w:sz w:val="22"/>
          <w:szCs w:val="22"/>
          <w:highlight w:val="yellow"/>
          <w:lang w:val="en-GB"/>
        </w:rPr>
      </w:pPr>
      <w:r w:rsidRPr="00084956">
        <w:rPr>
          <w:rFonts w:ascii="Arial" w:hAnsi="Arial" w:cs="Arial"/>
          <w:sz w:val="22"/>
          <w:szCs w:val="22"/>
          <w:highlight w:val="yellow"/>
          <w:lang w:val="en-GB"/>
        </w:rPr>
        <w:t xml:space="preserve">Although the EIR Recast includes relevant and useful innovations, it has stuck with the framework of the </w:t>
      </w:r>
      <w:r w:rsidR="006F0106" w:rsidRPr="00084956">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8846A7" w:rsidRDefault="008E7371" w:rsidP="003C4BCB">
      <w:pPr>
        <w:pStyle w:val="ListParagraph"/>
        <w:numPr>
          <w:ilvl w:val="0"/>
          <w:numId w:val="6"/>
        </w:numPr>
        <w:ind w:left="426"/>
        <w:jc w:val="both"/>
        <w:rPr>
          <w:rFonts w:ascii="Arial" w:hAnsi="Arial" w:cs="Arial"/>
          <w:sz w:val="22"/>
          <w:szCs w:val="22"/>
          <w:highlight w:val="yellow"/>
          <w:lang w:val="en-GB"/>
        </w:rPr>
      </w:pPr>
      <w:r w:rsidRPr="008846A7">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5D2CD6" w:rsidRDefault="00113E29" w:rsidP="00D509A5">
      <w:pPr>
        <w:pStyle w:val="ListParagraph"/>
        <w:numPr>
          <w:ilvl w:val="0"/>
          <w:numId w:val="7"/>
        </w:numPr>
        <w:ind w:left="426"/>
        <w:jc w:val="both"/>
        <w:rPr>
          <w:rFonts w:ascii="Arial" w:hAnsi="Arial" w:cs="Arial"/>
          <w:sz w:val="22"/>
          <w:szCs w:val="22"/>
          <w:lang w:val="en-GB"/>
        </w:rPr>
      </w:pPr>
      <w:r w:rsidRPr="00AD32B5">
        <w:rPr>
          <w:rFonts w:ascii="Arial" w:hAnsi="Arial" w:cs="Arial"/>
          <w:sz w:val="22"/>
          <w:szCs w:val="22"/>
          <w:highlight w:val="yellow"/>
          <w:lang w:val="en-GB"/>
        </w:rPr>
        <w:t xml:space="preserve">The </w:t>
      </w:r>
      <w:r w:rsidR="008E7371" w:rsidRPr="00AD32B5">
        <w:rPr>
          <w:rFonts w:ascii="Arial" w:hAnsi="Arial" w:cs="Arial"/>
          <w:sz w:val="22"/>
          <w:szCs w:val="22"/>
          <w:highlight w:val="yellow"/>
          <w:lang w:val="en-GB"/>
        </w:rPr>
        <w:t>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w:t>
      </w:r>
      <w:r w:rsidR="008E7371" w:rsidRPr="005D2CD6">
        <w:rPr>
          <w:rFonts w:ascii="Arial" w:hAnsi="Arial" w:cs="Arial"/>
          <w:sz w:val="22"/>
          <w:szCs w:val="22"/>
          <w:lang w:val="en-GB"/>
        </w:rPr>
        <w:t xml:space="preserve">.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DF43CB">
        <w:rPr>
          <w:rFonts w:ascii="Arial" w:hAnsi="Arial" w:cs="Arial"/>
          <w:sz w:val="22"/>
          <w:szCs w:val="22"/>
          <w:highlight w:val="yellow"/>
          <w:lang w:val="en-GB"/>
        </w:rPr>
        <w:t>Synthetic proceedings</w:t>
      </w:r>
      <w:r w:rsidRPr="00DF43CB">
        <w:rPr>
          <w:rFonts w:ascii="Arial" w:hAnsi="Arial" w:cs="Arial"/>
          <w:sz w:val="22"/>
          <w:szCs w:val="22"/>
          <w:highlight w:val="yellow"/>
          <w:lang w:val="en-GB"/>
        </w:rPr>
        <w:t>”</w:t>
      </w:r>
      <w:r w:rsidR="00F814B4" w:rsidRPr="00DF43CB">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w:t>
      </w:r>
      <w:r w:rsidR="00F814B4" w:rsidRPr="005D2CD6">
        <w:rPr>
          <w:rFonts w:ascii="Arial" w:hAnsi="Arial" w:cs="Arial"/>
          <w:sz w:val="22"/>
          <w:szCs w:val="22"/>
          <w:lang w:val="en-GB"/>
        </w:rPr>
        <w:t xml:space="preserve">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C0759E" w:rsidRDefault="00F814B4" w:rsidP="00F814B4">
      <w:pPr>
        <w:pStyle w:val="ListParagraph"/>
        <w:numPr>
          <w:ilvl w:val="0"/>
          <w:numId w:val="10"/>
        </w:numPr>
        <w:ind w:left="426"/>
        <w:jc w:val="both"/>
        <w:rPr>
          <w:rFonts w:ascii="Arial" w:hAnsi="Arial" w:cs="Arial"/>
          <w:sz w:val="22"/>
          <w:szCs w:val="22"/>
          <w:highlight w:val="yellow"/>
          <w:lang w:val="en-GB"/>
        </w:rPr>
      </w:pPr>
      <w:r w:rsidRPr="00C0759E">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Fema SrL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Fema SrL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Fema SrL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144039" w:rsidRDefault="00375D11" w:rsidP="00375D11">
      <w:pPr>
        <w:pStyle w:val="ListParagraph"/>
        <w:numPr>
          <w:ilvl w:val="0"/>
          <w:numId w:val="9"/>
        </w:numPr>
        <w:ind w:left="426"/>
        <w:jc w:val="both"/>
        <w:rPr>
          <w:rFonts w:ascii="Arial" w:hAnsi="Arial" w:cs="Arial"/>
          <w:sz w:val="22"/>
          <w:szCs w:val="22"/>
          <w:highlight w:val="yellow"/>
          <w:lang w:val="en-GB"/>
        </w:rPr>
      </w:pPr>
      <w:r w:rsidRPr="00144039">
        <w:rPr>
          <w:rFonts w:ascii="Arial" w:hAnsi="Arial" w:cs="Arial"/>
          <w:sz w:val="22"/>
          <w:szCs w:val="22"/>
          <w:highlight w:val="yellow"/>
          <w:lang w:val="en-GB"/>
        </w:rPr>
        <w:t xml:space="preserve">The contested transactions cannot be avoided if Lacroix SARL can prove that the </w:t>
      </w:r>
      <w:r w:rsidRPr="00144039">
        <w:rPr>
          <w:rFonts w:ascii="Arial" w:hAnsi="Arial" w:cs="Arial"/>
          <w:i/>
          <w:sz w:val="22"/>
          <w:szCs w:val="22"/>
          <w:highlight w:val="yellow"/>
          <w:lang w:val="en-GB"/>
        </w:rPr>
        <w:t>lex causae</w:t>
      </w:r>
      <w:r w:rsidRPr="00144039">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on the basis of a provision of the </w:t>
      </w:r>
      <w:r w:rsidRPr="005D2CD6">
        <w:rPr>
          <w:rFonts w:ascii="Arial" w:hAnsi="Arial" w:cs="Arial"/>
          <w:i/>
          <w:sz w:val="22"/>
          <w:szCs w:val="22"/>
          <w:lang w:val="en-GB"/>
        </w:rPr>
        <w:t>lex causae</w:t>
      </w:r>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The contested payments shall not be avoided if Lacroix SARL proves that such transactions cannot be challenged on the basis of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r w:rsidR="007772BD" w:rsidRPr="005D2CD6">
        <w:rPr>
          <w:rFonts w:ascii="Arial" w:hAnsi="Arial" w:cs="Arial"/>
          <w:i/>
          <w:iCs/>
          <w:sz w:val="22"/>
          <w:szCs w:val="22"/>
          <w:lang w:val="en-GB"/>
        </w:rPr>
        <w:t>Concurso</w:t>
      </w:r>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stipulated in the applicable </w:t>
      </w:r>
      <w:r w:rsidRPr="005D2CD6">
        <w:rPr>
          <w:rFonts w:ascii="Arial" w:hAnsi="Arial" w:cs="Arial"/>
          <w:i/>
          <w:sz w:val="22"/>
          <w:szCs w:val="22"/>
          <w:lang w:val="en-GB"/>
        </w:rPr>
        <w:t>lex concursus secundarii</w:t>
      </w:r>
      <w:r w:rsidRPr="005D2CD6">
        <w:rPr>
          <w:rFonts w:ascii="Arial" w:hAnsi="Arial" w:cs="Arial"/>
          <w:sz w:val="22"/>
          <w:szCs w:val="22"/>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817F91" w:rsidRDefault="00FC48D8" w:rsidP="003C4BCB">
      <w:pPr>
        <w:pStyle w:val="ListParagraph"/>
        <w:numPr>
          <w:ilvl w:val="0"/>
          <w:numId w:val="11"/>
        </w:numPr>
        <w:ind w:left="426"/>
        <w:jc w:val="both"/>
        <w:rPr>
          <w:rFonts w:ascii="Arial" w:hAnsi="Arial" w:cs="Arial"/>
          <w:sz w:val="22"/>
          <w:szCs w:val="22"/>
          <w:highlight w:val="yellow"/>
          <w:lang w:val="en-GB"/>
        </w:rPr>
      </w:pPr>
      <w:r w:rsidRPr="00817F91">
        <w:rPr>
          <w:rFonts w:ascii="Arial" w:hAnsi="Arial" w:cs="Arial"/>
          <w:sz w:val="22"/>
          <w:szCs w:val="22"/>
          <w:highlight w:val="yellow"/>
          <w:lang w:val="en-GB"/>
        </w:rPr>
        <w:t xml:space="preserve">Within the time limit prescribed by the </w:t>
      </w:r>
      <w:r w:rsidRPr="00817F91">
        <w:rPr>
          <w:rFonts w:ascii="Arial" w:hAnsi="Arial" w:cs="Arial"/>
          <w:i/>
          <w:sz w:val="22"/>
          <w:szCs w:val="22"/>
          <w:highlight w:val="yellow"/>
          <w:lang w:val="en-GB"/>
        </w:rPr>
        <w:t>lex concursus</w:t>
      </w:r>
      <w:r w:rsidRPr="00817F91">
        <w:rPr>
          <w:rFonts w:ascii="Arial" w:hAnsi="Arial" w:cs="Arial"/>
          <w:sz w:val="22"/>
          <w:szCs w:val="22"/>
          <w:highlight w:val="yellow"/>
          <w:lang w:val="en-GB"/>
        </w:rPr>
        <w:t xml:space="preserve"> of the main insolvency proceeding (</w:t>
      </w:r>
      <w:r w:rsidR="007772BD" w:rsidRPr="00817F91">
        <w:rPr>
          <w:rFonts w:ascii="Arial" w:hAnsi="Arial" w:cs="Arial"/>
          <w:sz w:val="22"/>
          <w:szCs w:val="22"/>
          <w:highlight w:val="yellow"/>
          <w:lang w:val="en-GB"/>
        </w:rPr>
        <w:t>Irish</w:t>
      </w:r>
      <w:r w:rsidRPr="00817F91">
        <w:rPr>
          <w:rFonts w:ascii="Arial" w:hAnsi="Arial" w:cs="Arial"/>
          <w:sz w:val="22"/>
          <w:szCs w:val="22"/>
          <w:highlight w:val="yellow"/>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4D679B0"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05783E56" w14:textId="52D88A8C" w:rsidR="00751A17" w:rsidRDefault="00636C15" w:rsidP="00751A17">
      <w:pPr>
        <w:jc w:val="both"/>
        <w:rPr>
          <w:rFonts w:ascii="Arial" w:hAnsi="Arial" w:cs="Arial"/>
          <w:color w:val="7B7B7B" w:themeColor="accent3" w:themeShade="BF"/>
          <w:sz w:val="22"/>
          <w:szCs w:val="22"/>
        </w:rPr>
      </w:pPr>
      <w:r w:rsidRPr="005D2CD6">
        <w:rPr>
          <w:rFonts w:ascii="Arial" w:hAnsi="Arial" w:cs="Arial"/>
          <w:color w:val="7B7B7B" w:themeColor="accent3" w:themeShade="BF"/>
          <w:sz w:val="22"/>
          <w:szCs w:val="22"/>
        </w:rPr>
        <w:t>[</w:t>
      </w:r>
      <w:r w:rsidR="002C3C6A">
        <w:rPr>
          <w:rFonts w:ascii="Arial" w:hAnsi="Arial" w:cs="Arial"/>
          <w:color w:val="7B7B7B" w:themeColor="accent3" w:themeShade="BF"/>
          <w:sz w:val="22"/>
          <w:szCs w:val="22"/>
        </w:rPr>
        <w:t>Statement 1 relates to</w:t>
      </w:r>
      <w:r w:rsidR="00E81ABF">
        <w:rPr>
          <w:rFonts w:ascii="Arial" w:hAnsi="Arial" w:cs="Arial"/>
          <w:color w:val="7B7B7B" w:themeColor="accent3" w:themeShade="BF"/>
          <w:sz w:val="22"/>
          <w:szCs w:val="22"/>
        </w:rPr>
        <w:t xml:space="preserve"> synthetic secondary proceedings a</w:t>
      </w:r>
      <w:r w:rsidR="002C3C6A">
        <w:rPr>
          <w:rFonts w:ascii="Arial" w:hAnsi="Arial" w:cs="Arial"/>
          <w:color w:val="7B7B7B" w:themeColor="accent3" w:themeShade="BF"/>
          <w:sz w:val="22"/>
          <w:szCs w:val="22"/>
        </w:rPr>
        <w:t>nd the relevant provision is article 36 of EIR recast which provides for the right of an insolvency practitioner to give an undertaking in order to avoid secondary insolvency proceedings. The undertaking</w:t>
      </w:r>
      <w:r w:rsidR="00E81ABF">
        <w:rPr>
          <w:rFonts w:ascii="Arial" w:hAnsi="Arial" w:cs="Arial"/>
          <w:color w:val="7B7B7B" w:themeColor="accent3" w:themeShade="BF"/>
          <w:sz w:val="22"/>
          <w:szCs w:val="22"/>
        </w:rPr>
        <w:t xml:space="preserve"> relates to respect or compliance with the distribution and priority rights in the member state where the assets of the debtor are located</w:t>
      </w:r>
      <w:r w:rsidR="00751A17">
        <w:rPr>
          <w:rFonts w:ascii="Arial" w:hAnsi="Arial" w:cs="Arial"/>
          <w:color w:val="7B7B7B" w:themeColor="accent3" w:themeShade="BF"/>
          <w:sz w:val="22"/>
          <w:szCs w:val="22"/>
        </w:rPr>
        <w:t xml:space="preserve"> and secondary insolvency proceedings could be opened. </w:t>
      </w:r>
      <w:r w:rsidR="002C3C6A">
        <w:rPr>
          <w:rFonts w:ascii="Arial" w:hAnsi="Arial" w:cs="Arial"/>
          <w:color w:val="7B7B7B" w:themeColor="accent3" w:themeShade="BF"/>
          <w:sz w:val="22"/>
          <w:szCs w:val="22"/>
        </w:rPr>
        <w:t xml:space="preserve"> </w:t>
      </w:r>
      <w:r w:rsidR="00751A17">
        <w:rPr>
          <w:rFonts w:ascii="Arial" w:hAnsi="Arial" w:cs="Arial"/>
          <w:color w:val="7B7B7B" w:themeColor="accent3" w:themeShade="BF"/>
          <w:sz w:val="22"/>
          <w:szCs w:val="22"/>
        </w:rPr>
        <w:t xml:space="preserve">The undertaking is </w:t>
      </w:r>
      <w:r w:rsidR="002C3C6A">
        <w:rPr>
          <w:rFonts w:ascii="Arial" w:hAnsi="Arial" w:cs="Arial"/>
          <w:color w:val="7B7B7B" w:themeColor="accent3" w:themeShade="BF"/>
          <w:sz w:val="22"/>
          <w:szCs w:val="22"/>
        </w:rPr>
        <w:t xml:space="preserve">given to local creditors </w:t>
      </w:r>
      <w:r w:rsidR="00751A17">
        <w:rPr>
          <w:rFonts w:ascii="Arial" w:hAnsi="Arial" w:cs="Arial"/>
          <w:color w:val="7B7B7B" w:themeColor="accent3" w:themeShade="BF"/>
          <w:sz w:val="22"/>
          <w:szCs w:val="22"/>
        </w:rPr>
        <w:t xml:space="preserve">and </w:t>
      </w:r>
      <w:r w:rsidR="002C3C6A">
        <w:rPr>
          <w:rFonts w:ascii="Arial" w:hAnsi="Arial" w:cs="Arial"/>
          <w:color w:val="7B7B7B" w:themeColor="accent3" w:themeShade="BF"/>
          <w:sz w:val="22"/>
          <w:szCs w:val="22"/>
        </w:rPr>
        <w:t>is required to be in official language in writing and should be approved by the known local creditors.</w:t>
      </w:r>
    </w:p>
    <w:p w14:paraId="13622AF5" w14:textId="77777777" w:rsidR="00751A17" w:rsidRDefault="00751A17" w:rsidP="00751A17">
      <w:pPr>
        <w:jc w:val="both"/>
        <w:rPr>
          <w:rFonts w:ascii="Arial" w:hAnsi="Arial" w:cs="Arial"/>
          <w:color w:val="7B7B7B" w:themeColor="accent3" w:themeShade="BF"/>
          <w:sz w:val="22"/>
          <w:szCs w:val="22"/>
        </w:rPr>
      </w:pPr>
    </w:p>
    <w:p w14:paraId="5C7DD9F3" w14:textId="5D7A40DF" w:rsidR="00636C15" w:rsidRPr="005D2CD6" w:rsidRDefault="00751A17" w:rsidP="00751A17">
      <w:pPr>
        <w:jc w:val="both"/>
        <w:rPr>
          <w:rFonts w:ascii="Arial" w:hAnsi="Arial" w:cs="Arial"/>
          <w:sz w:val="22"/>
          <w:szCs w:val="22"/>
        </w:rPr>
      </w:pPr>
      <w:r>
        <w:rPr>
          <w:rFonts w:ascii="Arial" w:hAnsi="Arial" w:cs="Arial"/>
          <w:color w:val="7B7B7B" w:themeColor="accent3" w:themeShade="BF"/>
          <w:sz w:val="22"/>
          <w:szCs w:val="22"/>
        </w:rPr>
        <w:t>Statement 2 is in paragraph 3 of the recital to EIR Recast</w:t>
      </w:r>
      <w:r w:rsidR="007B20DE">
        <w:rPr>
          <w:rFonts w:ascii="Arial" w:hAnsi="Arial" w:cs="Arial"/>
          <w:color w:val="7B7B7B" w:themeColor="accent3" w:themeShade="BF"/>
          <w:sz w:val="22"/>
          <w:szCs w:val="22"/>
        </w:rPr>
        <w:t xml:space="preserve"> and relates to the concept of court to court cooperation </w:t>
      </w:r>
      <w:r w:rsidR="002547A1">
        <w:rPr>
          <w:rFonts w:ascii="Arial" w:hAnsi="Arial" w:cs="Arial"/>
          <w:color w:val="7B7B7B" w:themeColor="accent3" w:themeShade="BF"/>
          <w:sz w:val="22"/>
          <w:szCs w:val="22"/>
        </w:rPr>
        <w:t xml:space="preserve">and communication between courts </w:t>
      </w:r>
      <w:r w:rsidR="007B20DE">
        <w:rPr>
          <w:rFonts w:ascii="Arial" w:hAnsi="Arial" w:cs="Arial"/>
          <w:color w:val="7B7B7B" w:themeColor="accent3" w:themeShade="BF"/>
          <w:sz w:val="22"/>
          <w:szCs w:val="22"/>
        </w:rPr>
        <w:t xml:space="preserve">in article </w:t>
      </w:r>
      <w:r w:rsidR="002547A1">
        <w:rPr>
          <w:rFonts w:ascii="Arial" w:hAnsi="Arial" w:cs="Arial"/>
          <w:color w:val="7B7B7B" w:themeColor="accent3" w:themeShade="BF"/>
          <w:sz w:val="22"/>
          <w:szCs w:val="22"/>
        </w:rPr>
        <w:t>42 of EIR Recast</w:t>
      </w:r>
      <w:r w:rsidR="00E56544">
        <w:rPr>
          <w:rFonts w:ascii="Arial" w:hAnsi="Arial" w:cs="Arial"/>
          <w:color w:val="7B7B7B" w:themeColor="accent3" w:themeShade="BF"/>
          <w:sz w:val="22"/>
          <w:szCs w:val="22"/>
        </w:rPr>
        <w:t>. The article mandates cooperation between courts where main and secondary proceedings have been opened, to the extent that such cooperation is not incompatible with the procedural rules governing the proceedings.</w:t>
      </w:r>
      <w:r w:rsidR="00636C15" w:rsidRPr="005D2CD6">
        <w:rPr>
          <w:rFonts w:ascii="Arial" w:hAnsi="Arial" w:cs="Arial"/>
          <w:color w:val="7B7B7B" w:themeColor="accent3" w:themeShade="BF"/>
          <w:sz w:val="22"/>
          <w:szCs w:val="22"/>
        </w:rPr>
        <w:t>]</w:t>
      </w:r>
    </w:p>
    <w:p w14:paraId="22C610C9" w14:textId="16EF6256" w:rsidR="00DE03AF" w:rsidRPr="005D2CD6" w:rsidRDefault="00DE03AF"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57A3DB91" w14:textId="3F30162A" w:rsidR="00D50718" w:rsidRDefault="00636C15" w:rsidP="00703AEE">
      <w:pPr>
        <w:ind w:left="142" w:hanging="142"/>
        <w:jc w:val="both"/>
        <w:rPr>
          <w:rFonts w:ascii="Arial" w:hAnsi="Arial" w:cs="Arial"/>
          <w:color w:val="7B7B7B" w:themeColor="accent3" w:themeShade="BF"/>
          <w:sz w:val="22"/>
          <w:szCs w:val="22"/>
          <w:lang w:val="en-GB"/>
        </w:rPr>
      </w:pPr>
      <w:r w:rsidRPr="005D2CD6">
        <w:rPr>
          <w:rFonts w:ascii="Arial" w:hAnsi="Arial" w:cs="Arial"/>
          <w:color w:val="7B7B7B" w:themeColor="accent3" w:themeShade="BF"/>
          <w:sz w:val="22"/>
          <w:szCs w:val="22"/>
          <w:lang w:val="en-GB"/>
        </w:rPr>
        <w:t>[</w:t>
      </w:r>
      <w:r w:rsidR="00122706">
        <w:rPr>
          <w:rFonts w:ascii="Arial" w:hAnsi="Arial" w:cs="Arial"/>
          <w:color w:val="7B7B7B" w:themeColor="accent3" w:themeShade="BF"/>
          <w:sz w:val="22"/>
          <w:szCs w:val="22"/>
          <w:lang w:val="en-GB"/>
        </w:rPr>
        <w:t xml:space="preserve">Modified universalism is a concept that was first articulated by Prof. Jay Westbrook (2000) and subsequently by other insolvency scholars such as </w:t>
      </w:r>
      <w:r w:rsidR="00F56221">
        <w:rPr>
          <w:rFonts w:ascii="Arial" w:hAnsi="Arial" w:cs="Arial"/>
          <w:color w:val="7B7B7B" w:themeColor="accent3" w:themeShade="BF"/>
          <w:sz w:val="22"/>
          <w:szCs w:val="22"/>
          <w:lang w:val="en-GB"/>
        </w:rPr>
        <w:t xml:space="preserve">Bork (2017) and </w:t>
      </w:r>
      <w:r w:rsidR="00122706">
        <w:rPr>
          <w:rFonts w:ascii="Arial" w:hAnsi="Arial" w:cs="Arial"/>
          <w:color w:val="7B7B7B" w:themeColor="accent3" w:themeShade="BF"/>
          <w:sz w:val="22"/>
          <w:szCs w:val="22"/>
          <w:lang w:val="en-GB"/>
        </w:rPr>
        <w:t>Mevorach (2018</w:t>
      </w:r>
      <w:r w:rsidR="00F56221">
        <w:rPr>
          <w:rFonts w:ascii="Arial" w:hAnsi="Arial" w:cs="Arial"/>
          <w:color w:val="7B7B7B" w:themeColor="accent3" w:themeShade="BF"/>
          <w:sz w:val="22"/>
          <w:szCs w:val="22"/>
          <w:lang w:val="en-GB"/>
        </w:rPr>
        <w:t>). It seeks to have a centralised resolution of cross boarder insolvencies through main proceedings in a state where the debtor has a center of m</w:t>
      </w:r>
      <w:r w:rsidR="00703AEE">
        <w:rPr>
          <w:rFonts w:ascii="Arial" w:hAnsi="Arial" w:cs="Arial"/>
          <w:color w:val="7B7B7B" w:themeColor="accent3" w:themeShade="BF"/>
          <w:sz w:val="22"/>
          <w:szCs w:val="22"/>
          <w:lang w:val="en-GB"/>
        </w:rPr>
        <w:t>a</w:t>
      </w:r>
      <w:r w:rsidR="00F56221">
        <w:rPr>
          <w:rFonts w:ascii="Arial" w:hAnsi="Arial" w:cs="Arial"/>
          <w:color w:val="7B7B7B" w:themeColor="accent3" w:themeShade="BF"/>
          <w:sz w:val="22"/>
          <w:szCs w:val="22"/>
          <w:lang w:val="en-GB"/>
        </w:rPr>
        <w:t xml:space="preserve">in interests and where necessary, secondary proceedings in states where the debtor has an establishment. This approach recognises that a single universal resolution mechanism is </w:t>
      </w:r>
      <w:r w:rsidR="000E5661">
        <w:rPr>
          <w:rFonts w:ascii="Arial" w:hAnsi="Arial" w:cs="Arial"/>
          <w:color w:val="7B7B7B" w:themeColor="accent3" w:themeShade="BF"/>
          <w:sz w:val="22"/>
          <w:szCs w:val="22"/>
          <w:lang w:val="en-GB"/>
        </w:rPr>
        <w:t xml:space="preserve">impractical but </w:t>
      </w:r>
      <w:r w:rsidR="00F56221">
        <w:rPr>
          <w:rFonts w:ascii="Arial" w:hAnsi="Arial" w:cs="Arial"/>
          <w:color w:val="7B7B7B" w:themeColor="accent3" w:themeShade="BF"/>
          <w:sz w:val="22"/>
          <w:szCs w:val="22"/>
          <w:lang w:val="en-GB"/>
        </w:rPr>
        <w:t xml:space="preserve"> </w:t>
      </w:r>
      <w:r w:rsidR="000E5661">
        <w:rPr>
          <w:rFonts w:ascii="Arial" w:hAnsi="Arial" w:cs="Arial"/>
          <w:color w:val="7B7B7B" w:themeColor="accent3" w:themeShade="BF"/>
          <w:sz w:val="22"/>
          <w:szCs w:val="22"/>
          <w:lang w:val="en-GB"/>
        </w:rPr>
        <w:t>seeks to minimise costs, conflicts and inconsistencies associated</w:t>
      </w:r>
      <w:r w:rsidR="00D50718">
        <w:rPr>
          <w:rFonts w:ascii="Arial" w:hAnsi="Arial" w:cs="Arial"/>
          <w:color w:val="7B7B7B" w:themeColor="accent3" w:themeShade="BF"/>
          <w:sz w:val="22"/>
          <w:szCs w:val="22"/>
          <w:lang w:val="en-GB"/>
        </w:rPr>
        <w:t xml:space="preserve"> with mu</w:t>
      </w:r>
      <w:r w:rsidR="003D7C0C">
        <w:rPr>
          <w:rFonts w:ascii="Arial" w:hAnsi="Arial" w:cs="Arial"/>
          <w:color w:val="7B7B7B" w:themeColor="accent3" w:themeShade="BF"/>
          <w:sz w:val="22"/>
          <w:szCs w:val="22"/>
          <w:lang w:val="en-GB"/>
        </w:rPr>
        <w:t>l</w:t>
      </w:r>
      <w:r w:rsidR="00D50718">
        <w:rPr>
          <w:rFonts w:ascii="Arial" w:hAnsi="Arial" w:cs="Arial"/>
          <w:color w:val="7B7B7B" w:themeColor="accent3" w:themeShade="BF"/>
          <w:sz w:val="22"/>
          <w:szCs w:val="22"/>
          <w:lang w:val="en-GB"/>
        </w:rPr>
        <w:t>ti</w:t>
      </w:r>
      <w:r w:rsidR="003D7C0C">
        <w:rPr>
          <w:rFonts w:ascii="Arial" w:hAnsi="Arial" w:cs="Arial"/>
          <w:color w:val="7B7B7B" w:themeColor="accent3" w:themeShade="BF"/>
          <w:sz w:val="22"/>
          <w:szCs w:val="22"/>
          <w:lang w:val="en-GB"/>
        </w:rPr>
        <w:t>p</w:t>
      </w:r>
      <w:r w:rsidR="00D50718">
        <w:rPr>
          <w:rFonts w:ascii="Arial" w:hAnsi="Arial" w:cs="Arial"/>
          <w:color w:val="7B7B7B" w:themeColor="accent3" w:themeShade="BF"/>
          <w:sz w:val="22"/>
          <w:szCs w:val="22"/>
          <w:lang w:val="en-GB"/>
        </w:rPr>
        <w:t>le proceedings. The following provisions in the EIR Recast reflect the modified universalism approach:</w:t>
      </w:r>
    </w:p>
    <w:p w14:paraId="30E3C853" w14:textId="0FFB5EFC" w:rsidR="00A02ABC" w:rsidRPr="00A02ABC" w:rsidRDefault="00A02ABC" w:rsidP="00D50718">
      <w:pPr>
        <w:pStyle w:val="ListParagraph"/>
        <w:numPr>
          <w:ilvl w:val="0"/>
          <w:numId w:val="12"/>
        </w:numPr>
        <w:jc w:val="both"/>
        <w:rPr>
          <w:rFonts w:ascii="Arial" w:hAnsi="Arial" w:cs="Arial"/>
          <w:sz w:val="22"/>
          <w:szCs w:val="22"/>
          <w:lang w:val="en-GB"/>
        </w:rPr>
      </w:pPr>
      <w:r>
        <w:rPr>
          <w:rFonts w:ascii="Arial" w:hAnsi="Arial" w:cs="Arial"/>
          <w:color w:val="7B7B7B" w:themeColor="accent3" w:themeShade="BF"/>
          <w:sz w:val="22"/>
          <w:szCs w:val="22"/>
          <w:lang w:val="en-GB"/>
        </w:rPr>
        <w:t>Article 3(2)-(4) which permit opening of secondary proceedings in a territory where the debtor has an establishment.</w:t>
      </w:r>
      <w:r w:rsidR="006C19A3">
        <w:rPr>
          <w:rFonts w:ascii="Arial" w:hAnsi="Arial" w:cs="Arial"/>
          <w:color w:val="7B7B7B" w:themeColor="accent3" w:themeShade="BF"/>
          <w:sz w:val="22"/>
          <w:szCs w:val="22"/>
          <w:lang w:val="en-GB"/>
        </w:rPr>
        <w:t xml:space="preserve"> Other relevant provisions on secondary proceedings are in Chapter III( articles 34-40).</w:t>
      </w:r>
    </w:p>
    <w:p w14:paraId="438FECDA" w14:textId="3B45F292" w:rsidR="00784A7E" w:rsidRPr="00784A7E" w:rsidRDefault="006C19A3" w:rsidP="00D50718">
      <w:pPr>
        <w:pStyle w:val="ListParagraph"/>
        <w:numPr>
          <w:ilvl w:val="0"/>
          <w:numId w:val="12"/>
        </w:numPr>
        <w:jc w:val="both"/>
        <w:rPr>
          <w:rFonts w:ascii="Arial" w:hAnsi="Arial" w:cs="Arial"/>
          <w:sz w:val="22"/>
          <w:szCs w:val="22"/>
          <w:lang w:val="en-GB"/>
        </w:rPr>
      </w:pPr>
      <w:r>
        <w:rPr>
          <w:rFonts w:ascii="Arial" w:hAnsi="Arial" w:cs="Arial"/>
          <w:color w:val="7B7B7B" w:themeColor="accent3" w:themeShade="BF"/>
          <w:sz w:val="22"/>
          <w:szCs w:val="22"/>
          <w:lang w:val="en-GB"/>
        </w:rPr>
        <w:t>Article 33 on public policy exception which permits a member state to refuse to recognise proceedings or enforce a judgement if doing so would be contrary to public policy.</w:t>
      </w:r>
    </w:p>
    <w:p w14:paraId="7396B19D" w14:textId="7F3086AE" w:rsidR="00784A7E" w:rsidRPr="00784A7E" w:rsidRDefault="00784A7E" w:rsidP="00D50718">
      <w:pPr>
        <w:pStyle w:val="ListParagraph"/>
        <w:numPr>
          <w:ilvl w:val="0"/>
          <w:numId w:val="12"/>
        </w:numPr>
        <w:jc w:val="both"/>
        <w:rPr>
          <w:rFonts w:ascii="Arial" w:hAnsi="Arial" w:cs="Arial"/>
          <w:sz w:val="22"/>
          <w:szCs w:val="22"/>
          <w:lang w:val="en-GB"/>
        </w:rPr>
      </w:pPr>
      <w:r>
        <w:rPr>
          <w:rFonts w:ascii="Arial" w:hAnsi="Arial" w:cs="Arial"/>
          <w:color w:val="7B7B7B" w:themeColor="accent3" w:themeShade="BF"/>
          <w:sz w:val="22"/>
          <w:szCs w:val="22"/>
          <w:lang w:val="en-GB"/>
        </w:rPr>
        <w:t>Articles 41-44 on cooperation and communication</w:t>
      </w:r>
      <w:r w:rsidR="006C19A3">
        <w:rPr>
          <w:rFonts w:ascii="Arial" w:hAnsi="Arial" w:cs="Arial"/>
          <w:color w:val="7B7B7B" w:themeColor="accent3" w:themeShade="BF"/>
          <w:sz w:val="22"/>
          <w:szCs w:val="22"/>
          <w:lang w:val="en-GB"/>
        </w:rPr>
        <w:t xml:space="preserve"> between insolvency practitioners, </w:t>
      </w:r>
      <w:r w:rsidR="00473D43">
        <w:rPr>
          <w:rFonts w:ascii="Arial" w:hAnsi="Arial" w:cs="Arial"/>
          <w:color w:val="7B7B7B" w:themeColor="accent3" w:themeShade="BF"/>
          <w:sz w:val="22"/>
          <w:szCs w:val="22"/>
          <w:lang w:val="en-GB"/>
        </w:rPr>
        <w:t>courts and insolvency practitioners and courts.</w:t>
      </w:r>
    </w:p>
    <w:p w14:paraId="6948B395" w14:textId="65A1604F" w:rsidR="00E90991" w:rsidRPr="005D2CD6" w:rsidRDefault="00E90991" w:rsidP="002A37BB">
      <w:pPr>
        <w:ind w:left="720" w:hanging="720"/>
        <w:jc w:val="both"/>
        <w:rPr>
          <w:rFonts w:ascii="Arial" w:hAnsi="Arial" w:cs="Arial"/>
          <w:sz w:val="22"/>
          <w:szCs w:val="22"/>
          <w:lang w:val="en-GB"/>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52DC1FBF" w14:textId="4E75F466" w:rsidR="00C204E9" w:rsidRDefault="00C72848" w:rsidP="00C204E9">
      <w:pPr>
        <w:jc w:val="both"/>
        <w:rPr>
          <w:rFonts w:ascii="Arial" w:hAnsi="Arial" w:cs="Arial"/>
          <w:color w:val="7B7B7B" w:themeColor="accent3" w:themeShade="BF"/>
          <w:sz w:val="22"/>
          <w:szCs w:val="22"/>
          <w:lang w:val="en-GB"/>
        </w:rPr>
      </w:pPr>
      <w:r w:rsidRPr="005D2CD6">
        <w:rPr>
          <w:rFonts w:ascii="Arial" w:hAnsi="Arial" w:cs="Arial"/>
          <w:color w:val="7B7B7B" w:themeColor="accent3" w:themeShade="BF"/>
          <w:sz w:val="22"/>
          <w:szCs w:val="22"/>
          <w:lang w:val="en-GB"/>
        </w:rPr>
        <w:t>[</w:t>
      </w:r>
      <w:r w:rsidR="00473D43">
        <w:rPr>
          <w:rFonts w:ascii="Arial" w:hAnsi="Arial" w:cs="Arial"/>
          <w:color w:val="7B7B7B" w:themeColor="accent3" w:themeShade="BF"/>
          <w:sz w:val="22"/>
          <w:szCs w:val="22"/>
          <w:lang w:val="en-GB"/>
        </w:rPr>
        <w:t>Cross border cooperation and communication is provided for in chapter III (articles 41-44) of EIR Recast covering the following:</w:t>
      </w:r>
      <w:r w:rsidR="007E4B85">
        <w:rPr>
          <w:rFonts w:ascii="Arial" w:hAnsi="Arial" w:cs="Arial"/>
          <w:color w:val="7B7B7B" w:themeColor="accent3" w:themeShade="BF"/>
          <w:sz w:val="22"/>
          <w:szCs w:val="22"/>
          <w:lang w:val="en-GB"/>
        </w:rPr>
        <w:tab/>
      </w:r>
      <w:r w:rsidR="00473D43">
        <w:rPr>
          <w:rFonts w:ascii="Arial" w:hAnsi="Arial" w:cs="Arial"/>
          <w:color w:val="7B7B7B" w:themeColor="accent3" w:themeShade="BF"/>
          <w:sz w:val="22"/>
          <w:szCs w:val="22"/>
          <w:lang w:val="en-GB"/>
        </w:rPr>
        <w:br/>
        <w:t>a) cooperation and communication between insolvency practitioners in main and secondary proceedings.</w:t>
      </w:r>
    </w:p>
    <w:p w14:paraId="622EE299" w14:textId="77777777" w:rsidR="00C204E9" w:rsidRDefault="00C204E9" w:rsidP="00C204E9">
      <w:pPr>
        <w:jc w:val="both"/>
        <w:rPr>
          <w:rFonts w:ascii="Arial" w:hAnsi="Arial" w:cs="Arial"/>
          <w:color w:val="7B7B7B" w:themeColor="accent3" w:themeShade="BF"/>
          <w:sz w:val="22"/>
          <w:szCs w:val="22"/>
          <w:lang w:val="en-GB"/>
        </w:rPr>
      </w:pPr>
    </w:p>
    <w:p w14:paraId="6C5732FD" w14:textId="3BB7F4AE" w:rsidR="00473D43" w:rsidRDefault="00DB39FF" w:rsidP="00C204E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 Cooperation and communication between courts in order to facilitate coordination of main and secondary proceedings, provided such cooperation is not incompatible with the rules applicable to each of the proceedings.</w:t>
      </w:r>
    </w:p>
    <w:p w14:paraId="1B327CAC" w14:textId="77777777" w:rsidR="00C204E9" w:rsidRDefault="00C204E9" w:rsidP="00C204E9">
      <w:pPr>
        <w:jc w:val="both"/>
        <w:rPr>
          <w:rFonts w:ascii="Arial" w:hAnsi="Arial" w:cs="Arial"/>
          <w:color w:val="7B7B7B" w:themeColor="accent3" w:themeShade="BF"/>
          <w:sz w:val="22"/>
          <w:szCs w:val="22"/>
          <w:lang w:val="en-GB"/>
        </w:rPr>
      </w:pPr>
    </w:p>
    <w:p w14:paraId="78DB9FD8" w14:textId="41438FD3" w:rsidR="00C72848" w:rsidRPr="005D2CD6" w:rsidRDefault="00DB39FF" w:rsidP="00C204E9">
      <w:pPr>
        <w:jc w:val="both"/>
        <w:rPr>
          <w:rFonts w:ascii="Arial" w:hAnsi="Arial" w:cs="Arial"/>
          <w:sz w:val="22"/>
          <w:szCs w:val="22"/>
          <w:lang w:val="en-GB"/>
        </w:rPr>
      </w:pPr>
      <w:r>
        <w:rPr>
          <w:rFonts w:ascii="Arial" w:hAnsi="Arial" w:cs="Arial"/>
          <w:color w:val="7B7B7B" w:themeColor="accent3" w:themeShade="BF"/>
          <w:sz w:val="22"/>
          <w:szCs w:val="22"/>
          <w:lang w:val="en-GB"/>
        </w:rPr>
        <w:t>c) Cooperation and communication between insolvency practitioners and courts where main or secondary proceedings are pending or</w:t>
      </w:r>
      <w:r w:rsidR="00C204E9">
        <w:rPr>
          <w:rFonts w:ascii="Arial" w:hAnsi="Arial" w:cs="Arial"/>
          <w:color w:val="7B7B7B" w:themeColor="accent3" w:themeShade="BF"/>
          <w:sz w:val="22"/>
          <w:szCs w:val="22"/>
          <w:lang w:val="en-GB"/>
        </w:rPr>
        <w:t xml:space="preserve"> have been opened.</w:t>
      </w:r>
      <w:r w:rsidR="00C72848" w:rsidRPr="005D2CD6">
        <w:rPr>
          <w:rFonts w:ascii="Arial" w:hAnsi="Arial" w:cs="Arial"/>
          <w:color w:val="7B7B7B" w:themeColor="accent3" w:themeShade="BF"/>
          <w:sz w:val="22"/>
          <w:szCs w:val="22"/>
          <w:lang w:val="en-GB"/>
        </w:rPr>
        <w:t>]</w:t>
      </w:r>
    </w:p>
    <w:p w14:paraId="572227E7" w14:textId="10041403" w:rsidR="0045683E" w:rsidRPr="005D2CD6" w:rsidRDefault="0045683E" w:rsidP="002A37BB">
      <w:pPr>
        <w:jc w:val="both"/>
        <w:rPr>
          <w:rFonts w:ascii="Arial" w:hAnsi="Arial" w:cs="Arial"/>
          <w:bCs/>
          <w:sz w:val="22"/>
          <w:szCs w:val="22"/>
          <w:lang w:val="en-GB"/>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06B97D35" w14:textId="05E8859C" w:rsidR="00685099" w:rsidRDefault="009954B2" w:rsidP="001C69ED">
      <w:pPr>
        <w:jc w:val="both"/>
        <w:rPr>
          <w:rFonts w:ascii="Arial" w:hAnsi="Arial" w:cs="Arial"/>
          <w:color w:val="7B7B7B" w:themeColor="accent3" w:themeShade="BF"/>
          <w:sz w:val="22"/>
          <w:szCs w:val="22"/>
          <w:lang w:val="en-GB"/>
        </w:rPr>
      </w:pPr>
      <w:r w:rsidRPr="005D2CD6">
        <w:rPr>
          <w:rFonts w:ascii="Arial" w:hAnsi="Arial" w:cs="Arial"/>
          <w:color w:val="7B7B7B" w:themeColor="accent3" w:themeShade="BF"/>
          <w:sz w:val="22"/>
          <w:szCs w:val="22"/>
          <w:lang w:val="en-GB"/>
        </w:rPr>
        <w:t>[</w:t>
      </w:r>
      <w:r w:rsidR="004C1E6B">
        <w:rPr>
          <w:rFonts w:ascii="Arial" w:hAnsi="Arial" w:cs="Arial"/>
          <w:color w:val="7B7B7B" w:themeColor="accent3" w:themeShade="BF"/>
          <w:sz w:val="22"/>
          <w:szCs w:val="22"/>
          <w:lang w:val="en-GB"/>
        </w:rPr>
        <w:t xml:space="preserve">The first instrument introduced by the EIR Recast to avoid secondary proceedings is the synthetic proceeding in </w:t>
      </w:r>
      <w:r w:rsidR="00685099">
        <w:rPr>
          <w:rFonts w:ascii="Arial" w:hAnsi="Arial" w:cs="Arial"/>
          <w:color w:val="7B7B7B" w:themeColor="accent3" w:themeShade="BF"/>
          <w:sz w:val="22"/>
          <w:szCs w:val="22"/>
          <w:lang w:val="en-GB"/>
        </w:rPr>
        <w:t>article 36 which allows an insolvency practitioner to give an undertaking to creditors in a member state where a debtor has an establishment and secondary proceedings could be opened, that he will comply with the rules on priority and distribution in that state.</w:t>
      </w:r>
    </w:p>
    <w:p w14:paraId="0C67D1CE" w14:textId="77777777" w:rsidR="00490F29" w:rsidRDefault="00490F29" w:rsidP="001C69ED">
      <w:pPr>
        <w:jc w:val="both"/>
        <w:rPr>
          <w:rFonts w:ascii="Arial" w:hAnsi="Arial" w:cs="Arial"/>
          <w:color w:val="7B7B7B" w:themeColor="accent3" w:themeShade="BF"/>
          <w:sz w:val="22"/>
          <w:szCs w:val="22"/>
          <w:lang w:val="en-GB"/>
        </w:rPr>
      </w:pPr>
    </w:p>
    <w:p w14:paraId="296A8396" w14:textId="2CB46C3C" w:rsidR="009954B2" w:rsidRPr="005D2CD6" w:rsidRDefault="001C69ED" w:rsidP="001C69ED">
      <w:pPr>
        <w:jc w:val="both"/>
        <w:rPr>
          <w:rFonts w:ascii="Arial" w:hAnsi="Arial" w:cs="Arial"/>
          <w:sz w:val="22"/>
          <w:szCs w:val="22"/>
          <w:lang w:val="en-GB"/>
        </w:rPr>
      </w:pPr>
      <w:r>
        <w:rPr>
          <w:rFonts w:ascii="Arial" w:hAnsi="Arial" w:cs="Arial"/>
          <w:color w:val="7B7B7B" w:themeColor="accent3" w:themeShade="BF"/>
          <w:sz w:val="22"/>
          <w:szCs w:val="22"/>
          <w:lang w:val="en-GB"/>
        </w:rPr>
        <w:t>The second instrument is in article 37 EIR Recast which put a 30 day time frame for requesting to open secondary proceedings in a member state where an undertaking to comply with local law distribution and priority rules has become binding.</w:t>
      </w:r>
      <w:r w:rsidR="009954B2" w:rsidRPr="005D2CD6">
        <w:rPr>
          <w:rFonts w:ascii="Arial" w:hAnsi="Arial" w:cs="Arial"/>
          <w:color w:val="7B7B7B" w:themeColor="accent3" w:themeShade="BF"/>
          <w:sz w:val="22"/>
          <w:szCs w:val="22"/>
          <w:lang w:val="en-GB"/>
        </w:rPr>
        <w:t>]</w:t>
      </w:r>
    </w:p>
    <w:p w14:paraId="321358EA" w14:textId="77777777" w:rsidR="009954B2" w:rsidRPr="005D2CD6" w:rsidRDefault="009954B2" w:rsidP="002A37BB">
      <w:pPr>
        <w:jc w:val="both"/>
        <w:rPr>
          <w:rFonts w:ascii="Arial" w:hAnsi="Arial" w:cs="Arial"/>
          <w:bCs/>
          <w:sz w:val="22"/>
          <w:szCs w:val="22"/>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marks may be awarded or deducted on the basis of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23072CFB" w:rsidR="00DD47EF" w:rsidRDefault="00DD47EF" w:rsidP="002A37BB">
      <w:pPr>
        <w:jc w:val="both"/>
        <w:rPr>
          <w:rFonts w:ascii="Arial" w:hAnsi="Arial" w:cs="Arial"/>
          <w:sz w:val="22"/>
          <w:szCs w:val="22"/>
          <w:lang w:val="en-GB"/>
        </w:rPr>
      </w:pPr>
    </w:p>
    <w:p w14:paraId="65555D11" w14:textId="77777777" w:rsidR="0044574C" w:rsidRPr="005D2CD6" w:rsidRDefault="0044574C"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79645D97" w14:textId="77777777" w:rsidR="002063ED" w:rsidRDefault="00DF75F8" w:rsidP="002A37BB">
      <w:pPr>
        <w:jc w:val="both"/>
        <w:rPr>
          <w:rFonts w:ascii="Arial" w:hAnsi="Arial" w:cs="Arial"/>
          <w:color w:val="7B7B7B" w:themeColor="accent3" w:themeShade="BF"/>
          <w:sz w:val="22"/>
          <w:szCs w:val="22"/>
          <w:lang w:val="en-GB"/>
        </w:rPr>
      </w:pPr>
      <w:r w:rsidRPr="005D2CD6">
        <w:rPr>
          <w:rFonts w:ascii="Arial" w:hAnsi="Arial" w:cs="Arial"/>
          <w:color w:val="7B7B7B" w:themeColor="accent3" w:themeShade="BF"/>
          <w:sz w:val="22"/>
          <w:szCs w:val="22"/>
          <w:lang w:val="en-GB"/>
        </w:rPr>
        <w:t>[</w:t>
      </w:r>
      <w:r w:rsidR="002063ED">
        <w:rPr>
          <w:rFonts w:ascii="Arial" w:hAnsi="Arial" w:cs="Arial"/>
          <w:color w:val="7B7B7B" w:themeColor="accent3" w:themeShade="BF"/>
          <w:sz w:val="22"/>
          <w:szCs w:val="22"/>
          <w:lang w:val="en-GB"/>
        </w:rPr>
        <w:t>The EIR Recast provided for the following that were found to be gaps in the EIR 2000:</w:t>
      </w:r>
    </w:p>
    <w:p w14:paraId="3682EF54" w14:textId="2B6EF9BA" w:rsidR="0029641F" w:rsidRPr="0029641F" w:rsidRDefault="003C3371" w:rsidP="002063ED">
      <w:pPr>
        <w:pStyle w:val="ListParagraph"/>
        <w:numPr>
          <w:ilvl w:val="0"/>
          <w:numId w:val="13"/>
        </w:numPr>
        <w:jc w:val="both"/>
        <w:rPr>
          <w:rFonts w:ascii="Arial" w:hAnsi="Arial" w:cs="Arial"/>
          <w:sz w:val="22"/>
          <w:szCs w:val="22"/>
        </w:rPr>
      </w:pPr>
      <w:r>
        <w:rPr>
          <w:rFonts w:ascii="Arial" w:hAnsi="Arial" w:cs="Arial"/>
          <w:color w:val="7B7B7B" w:themeColor="accent3" w:themeShade="BF"/>
          <w:sz w:val="22"/>
          <w:szCs w:val="22"/>
          <w:lang w:val="en-GB"/>
        </w:rPr>
        <w:t xml:space="preserve">The first is the scope of proceedings to which the regulation applies. Recital </w:t>
      </w:r>
      <w:r w:rsidR="0029641F">
        <w:rPr>
          <w:rFonts w:ascii="Arial" w:hAnsi="Arial" w:cs="Arial"/>
          <w:color w:val="7B7B7B" w:themeColor="accent3" w:themeShade="BF"/>
          <w:sz w:val="22"/>
          <w:szCs w:val="22"/>
          <w:lang w:val="en-GB"/>
        </w:rPr>
        <w:t xml:space="preserve">8 of EIR 2000 restricted the application of the regulation to insolvency proceedings involving legal or natural persons or traders or individuals. This narrow scope was reflected in </w:t>
      </w:r>
      <w:r w:rsidR="0029641F">
        <w:rPr>
          <w:rFonts w:ascii="Arial" w:hAnsi="Arial" w:cs="Arial"/>
          <w:color w:val="7B7B7B" w:themeColor="accent3" w:themeShade="BF"/>
          <w:sz w:val="22"/>
          <w:szCs w:val="22"/>
          <w:lang w:val="en-GB"/>
        </w:rPr>
        <w:lastRenderedPageBreak/>
        <w:t xml:space="preserve">Annex A that lists the categories of proceedings for each country. For example, the category of proceedings to which the regulation applied in Ireland were </w:t>
      </w:r>
      <w:r>
        <w:rPr>
          <w:rFonts w:ascii="Arial" w:hAnsi="Arial" w:cs="Arial"/>
          <w:color w:val="7B7B7B" w:themeColor="accent3" w:themeShade="BF"/>
          <w:sz w:val="22"/>
          <w:szCs w:val="22"/>
          <w:lang w:val="en-GB"/>
        </w:rPr>
        <w:t>compulsory winding up by court, bankruptcy, administration in bankruptcy of persons dying insolvent, winding up in bankruptcy of partnerships, creditors voluntary winding up, arrangements and company examinership.</w:t>
      </w:r>
    </w:p>
    <w:p w14:paraId="017DF424" w14:textId="77777777" w:rsidR="0029641F" w:rsidRDefault="0029641F" w:rsidP="0029641F">
      <w:pPr>
        <w:pStyle w:val="ListParagraph"/>
        <w:jc w:val="both"/>
        <w:rPr>
          <w:rFonts w:ascii="Arial" w:hAnsi="Arial" w:cs="Arial"/>
          <w:color w:val="7B7B7B" w:themeColor="accent3" w:themeShade="BF"/>
          <w:sz w:val="22"/>
          <w:szCs w:val="22"/>
          <w:lang w:val="en-GB"/>
        </w:rPr>
      </w:pPr>
    </w:p>
    <w:p w14:paraId="2FCE6E52" w14:textId="0FD9BEF0" w:rsidR="000F0E77" w:rsidRDefault="0029641F" w:rsidP="0029641F">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Recast broadened the scope of proceedings to which it applies. </w:t>
      </w:r>
      <w:r w:rsidR="002063ED">
        <w:rPr>
          <w:rFonts w:ascii="Arial" w:hAnsi="Arial" w:cs="Arial"/>
          <w:color w:val="7B7B7B" w:themeColor="accent3" w:themeShade="BF"/>
          <w:sz w:val="22"/>
          <w:szCs w:val="22"/>
          <w:lang w:val="en-GB"/>
        </w:rPr>
        <w:t>Recital 10 of E</w:t>
      </w:r>
      <w:r w:rsidR="00CF2367">
        <w:rPr>
          <w:rFonts w:ascii="Arial" w:hAnsi="Arial" w:cs="Arial"/>
          <w:color w:val="7B7B7B" w:themeColor="accent3" w:themeShade="BF"/>
          <w:sz w:val="22"/>
          <w:szCs w:val="22"/>
          <w:lang w:val="en-GB"/>
        </w:rPr>
        <w:t xml:space="preserve">IR Recast provides that the regulation should apply to proceedings which promote the rescue of economically viable but distressed businesses, restructuring proceedings, proceedings which leave the debtor fully or partially in control of its affairs, as well as debt discharge or debt adjustment proceedings. </w:t>
      </w:r>
      <w:r w:rsidR="006305BC">
        <w:rPr>
          <w:rFonts w:ascii="Arial" w:hAnsi="Arial" w:cs="Arial"/>
          <w:color w:val="7B7B7B" w:themeColor="accent3" w:themeShade="BF"/>
          <w:sz w:val="22"/>
          <w:szCs w:val="22"/>
          <w:lang w:val="en-GB"/>
        </w:rPr>
        <w:t xml:space="preserve">This </w:t>
      </w:r>
      <w:r>
        <w:rPr>
          <w:rFonts w:ascii="Arial" w:hAnsi="Arial" w:cs="Arial"/>
          <w:color w:val="7B7B7B" w:themeColor="accent3" w:themeShade="BF"/>
          <w:sz w:val="22"/>
          <w:szCs w:val="22"/>
          <w:lang w:val="en-GB"/>
        </w:rPr>
        <w:t xml:space="preserve">broader approach is reflected </w:t>
      </w:r>
      <w:r w:rsidR="006305BC">
        <w:rPr>
          <w:rFonts w:ascii="Arial" w:hAnsi="Arial" w:cs="Arial"/>
          <w:color w:val="7B7B7B" w:themeColor="accent3" w:themeShade="BF"/>
          <w:sz w:val="22"/>
          <w:szCs w:val="22"/>
          <w:lang w:val="en-GB"/>
        </w:rPr>
        <w:t xml:space="preserve">in the categories of proceedings of the various countries in Annex A. </w:t>
      </w:r>
      <w:r>
        <w:rPr>
          <w:rFonts w:ascii="Arial" w:hAnsi="Arial" w:cs="Arial"/>
          <w:color w:val="7B7B7B" w:themeColor="accent3" w:themeShade="BF"/>
          <w:sz w:val="22"/>
          <w:szCs w:val="22"/>
          <w:lang w:val="en-GB"/>
        </w:rPr>
        <w:t xml:space="preserve">For example, </w:t>
      </w:r>
      <w:r w:rsidR="000F0E77">
        <w:rPr>
          <w:rFonts w:ascii="Arial" w:hAnsi="Arial" w:cs="Arial"/>
          <w:color w:val="7B7B7B" w:themeColor="accent3" w:themeShade="BF"/>
          <w:sz w:val="22"/>
          <w:szCs w:val="22"/>
          <w:lang w:val="en-GB"/>
        </w:rPr>
        <w:t xml:space="preserve">for Ireland, the scope of proceedings mentioned above was broadened to include debt relief notice, debt settlement arrangement, </w:t>
      </w:r>
      <w:r w:rsidR="00792B4C">
        <w:rPr>
          <w:rFonts w:ascii="Arial" w:hAnsi="Arial" w:cs="Arial"/>
          <w:color w:val="7B7B7B" w:themeColor="accent3" w:themeShade="BF"/>
          <w:sz w:val="22"/>
          <w:szCs w:val="22"/>
          <w:lang w:val="en-GB"/>
        </w:rPr>
        <w:t>a</w:t>
      </w:r>
      <w:r w:rsidR="000F0E77">
        <w:rPr>
          <w:rFonts w:ascii="Arial" w:hAnsi="Arial" w:cs="Arial"/>
          <w:color w:val="7B7B7B" w:themeColor="accent3" w:themeShade="BF"/>
          <w:sz w:val="22"/>
          <w:szCs w:val="22"/>
          <w:lang w:val="en-GB"/>
        </w:rPr>
        <w:t xml:space="preserve">nd personal insolvency arrangement </w:t>
      </w:r>
    </w:p>
    <w:p w14:paraId="2C0BBD7B" w14:textId="77777777" w:rsidR="000F0E77" w:rsidRDefault="000F0E77" w:rsidP="0029641F">
      <w:pPr>
        <w:pStyle w:val="ListParagraph"/>
        <w:jc w:val="both"/>
        <w:rPr>
          <w:rFonts w:ascii="Arial" w:hAnsi="Arial" w:cs="Arial"/>
          <w:color w:val="7B7B7B" w:themeColor="accent3" w:themeShade="BF"/>
          <w:sz w:val="22"/>
          <w:szCs w:val="22"/>
          <w:lang w:val="en-GB"/>
        </w:rPr>
      </w:pPr>
    </w:p>
    <w:p w14:paraId="5DE0C5C0" w14:textId="1C5F43A9" w:rsidR="004E3732" w:rsidRPr="004E3732" w:rsidRDefault="000F0E77" w:rsidP="000F0E77">
      <w:pPr>
        <w:pStyle w:val="ListParagraph"/>
        <w:numPr>
          <w:ilvl w:val="0"/>
          <w:numId w:val="13"/>
        </w:numPr>
        <w:jc w:val="both"/>
        <w:rPr>
          <w:rFonts w:ascii="Arial" w:hAnsi="Arial" w:cs="Arial"/>
          <w:sz w:val="22"/>
          <w:szCs w:val="22"/>
        </w:rPr>
      </w:pPr>
      <w:r>
        <w:rPr>
          <w:rFonts w:ascii="Arial" w:hAnsi="Arial" w:cs="Arial"/>
          <w:color w:val="7B7B7B" w:themeColor="accent3" w:themeShade="BF"/>
          <w:sz w:val="22"/>
          <w:szCs w:val="22"/>
          <w:lang w:val="en-GB"/>
        </w:rPr>
        <w:t>Clarification of the Debtor’s Center of Main Interests.</w:t>
      </w:r>
      <w:r w:rsidR="00DF75F8" w:rsidRPr="002063ED">
        <w:rPr>
          <w:rFonts w:ascii="Arial" w:hAnsi="Arial" w:cs="Arial"/>
          <w:color w:val="7B7B7B" w:themeColor="accent3" w:themeShade="BF"/>
          <w:sz w:val="22"/>
          <w:szCs w:val="22"/>
          <w:lang w:val="en-GB"/>
        </w:rPr>
        <w:t xml:space="preserve"> </w:t>
      </w:r>
      <w:r w:rsidR="00792B4C">
        <w:rPr>
          <w:rFonts w:ascii="Arial" w:hAnsi="Arial" w:cs="Arial"/>
          <w:color w:val="7B7B7B" w:themeColor="accent3" w:themeShade="BF"/>
          <w:sz w:val="22"/>
          <w:szCs w:val="22"/>
          <w:lang w:val="en-GB"/>
        </w:rPr>
        <w:t xml:space="preserve">This is critical to determination of main and secondary proceedings. </w:t>
      </w:r>
      <w:r w:rsidR="001E0DB1">
        <w:rPr>
          <w:rFonts w:ascii="Arial" w:hAnsi="Arial" w:cs="Arial"/>
          <w:color w:val="7B7B7B" w:themeColor="accent3" w:themeShade="BF"/>
          <w:sz w:val="22"/>
          <w:szCs w:val="22"/>
          <w:lang w:val="en-GB"/>
        </w:rPr>
        <w:t xml:space="preserve">Article 3(1) of EIR 2000 provided for a rebuttable presumption that the location of registered office of the debtor was the center of amin interests. However, article 3(1) of EIR Recast provides  a more objective criteria for determining center of main interests including </w:t>
      </w:r>
      <w:r w:rsidR="004E3732">
        <w:rPr>
          <w:rFonts w:ascii="Arial" w:hAnsi="Arial" w:cs="Arial"/>
          <w:color w:val="7B7B7B" w:themeColor="accent3" w:themeShade="BF"/>
          <w:sz w:val="22"/>
          <w:szCs w:val="22"/>
          <w:lang w:val="en-GB"/>
        </w:rPr>
        <w:t xml:space="preserve">place where the debtor conducts the administration of its interests on a regular basis and applies a third party test to ascertaining this. </w:t>
      </w:r>
    </w:p>
    <w:p w14:paraId="0DB360B9" w14:textId="77777777" w:rsidR="004E3732" w:rsidRPr="004E3732" w:rsidRDefault="004E3732" w:rsidP="004E3732">
      <w:pPr>
        <w:pStyle w:val="ListParagraph"/>
        <w:jc w:val="both"/>
        <w:rPr>
          <w:rFonts w:ascii="Arial" w:hAnsi="Arial" w:cs="Arial"/>
          <w:sz w:val="22"/>
          <w:szCs w:val="22"/>
        </w:rPr>
      </w:pPr>
    </w:p>
    <w:p w14:paraId="0259B39D" w14:textId="3F433D2C" w:rsidR="00FF4DDB" w:rsidRPr="00FF4DDB" w:rsidRDefault="00FF4DDB" w:rsidP="000F0E77">
      <w:pPr>
        <w:pStyle w:val="ListParagraph"/>
        <w:numPr>
          <w:ilvl w:val="0"/>
          <w:numId w:val="13"/>
        </w:numPr>
        <w:jc w:val="both"/>
        <w:rPr>
          <w:rFonts w:ascii="Arial" w:hAnsi="Arial" w:cs="Arial"/>
          <w:sz w:val="22"/>
          <w:szCs w:val="22"/>
        </w:rPr>
      </w:pPr>
      <w:r>
        <w:rPr>
          <w:rFonts w:ascii="Arial" w:hAnsi="Arial" w:cs="Arial"/>
          <w:color w:val="7B7B7B" w:themeColor="accent3" w:themeShade="BF"/>
          <w:sz w:val="22"/>
          <w:szCs w:val="22"/>
          <w:lang w:val="en-GB"/>
        </w:rPr>
        <w:t>EIR 200 did not provide for a mechanism for obtaining information about insolvency proceedings that have been filed and for creditors to lodge their claims. EIR Recast addresse</w:t>
      </w:r>
      <w:r w:rsidR="00246C18">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 this gap</w:t>
      </w:r>
      <w:r w:rsidR="00246C18">
        <w:rPr>
          <w:rFonts w:ascii="Arial" w:hAnsi="Arial" w:cs="Arial"/>
          <w:color w:val="7B7B7B" w:themeColor="accent3" w:themeShade="BF"/>
          <w:sz w:val="22"/>
          <w:szCs w:val="22"/>
          <w:lang w:val="en-GB"/>
        </w:rPr>
        <w:t xml:space="preserve"> by providing for </w:t>
      </w:r>
      <w:r w:rsidR="00196541">
        <w:rPr>
          <w:rFonts w:ascii="Arial" w:hAnsi="Arial" w:cs="Arial"/>
          <w:color w:val="7B7B7B" w:themeColor="accent3" w:themeShade="BF"/>
          <w:sz w:val="22"/>
          <w:szCs w:val="22"/>
          <w:lang w:val="en-GB"/>
        </w:rPr>
        <w:t>establishment and internecion of insolvency registers (articles 24 and 25) as well as related matters such as costs (article 26), conditions of access (article 27), publication of notices in member states (article 28),</w:t>
      </w:r>
      <w:r w:rsidR="00C87BCE">
        <w:rPr>
          <w:rFonts w:ascii="Arial" w:hAnsi="Arial" w:cs="Arial"/>
          <w:color w:val="7B7B7B" w:themeColor="accent3" w:themeShade="BF"/>
          <w:sz w:val="22"/>
          <w:szCs w:val="22"/>
          <w:lang w:val="en-GB"/>
        </w:rPr>
        <w:t xml:space="preserve"> and</w:t>
      </w:r>
      <w:r w:rsidR="00196541">
        <w:rPr>
          <w:rFonts w:ascii="Arial" w:hAnsi="Arial" w:cs="Arial"/>
          <w:color w:val="7B7B7B" w:themeColor="accent3" w:themeShade="BF"/>
          <w:sz w:val="22"/>
          <w:szCs w:val="22"/>
          <w:lang w:val="en-GB"/>
        </w:rPr>
        <w:t xml:space="preserve"> registration </w:t>
      </w:r>
      <w:r w:rsidR="00C87BCE">
        <w:rPr>
          <w:rFonts w:ascii="Arial" w:hAnsi="Arial" w:cs="Arial"/>
          <w:color w:val="7B7B7B" w:themeColor="accent3" w:themeShade="BF"/>
          <w:sz w:val="22"/>
          <w:szCs w:val="22"/>
          <w:lang w:val="en-GB"/>
        </w:rPr>
        <w:t>in public registers (article 29).</w:t>
      </w:r>
    </w:p>
    <w:p w14:paraId="464C439C" w14:textId="77777777" w:rsidR="00FF4DDB" w:rsidRPr="00FF4DDB" w:rsidRDefault="00FF4DDB" w:rsidP="00FF4DDB">
      <w:pPr>
        <w:pStyle w:val="ListParagraph"/>
        <w:rPr>
          <w:rFonts w:ascii="Arial" w:hAnsi="Arial" w:cs="Arial"/>
          <w:color w:val="7B7B7B" w:themeColor="accent3" w:themeShade="BF"/>
          <w:sz w:val="22"/>
          <w:szCs w:val="22"/>
          <w:lang w:val="en-GB"/>
        </w:rPr>
      </w:pPr>
    </w:p>
    <w:p w14:paraId="10B5AB19" w14:textId="4B226A6D" w:rsidR="00FF4DDB" w:rsidRPr="00FF4DDB" w:rsidRDefault="004E3732" w:rsidP="000F0E77">
      <w:pPr>
        <w:pStyle w:val="ListParagraph"/>
        <w:numPr>
          <w:ilvl w:val="0"/>
          <w:numId w:val="13"/>
        </w:numPr>
        <w:jc w:val="both"/>
        <w:rPr>
          <w:rFonts w:ascii="Arial" w:hAnsi="Arial" w:cs="Arial"/>
          <w:sz w:val="22"/>
          <w:szCs w:val="22"/>
        </w:rPr>
      </w:pPr>
      <w:r>
        <w:rPr>
          <w:rFonts w:ascii="Arial" w:hAnsi="Arial" w:cs="Arial"/>
          <w:color w:val="7B7B7B" w:themeColor="accent3" w:themeShade="BF"/>
          <w:sz w:val="22"/>
          <w:szCs w:val="22"/>
          <w:lang w:val="en-GB"/>
        </w:rPr>
        <w:t>EIR 2000 did not provide for group insolvencies</w:t>
      </w:r>
      <w:r w:rsidR="00176C7F">
        <w:rPr>
          <w:rFonts w:ascii="Arial" w:hAnsi="Arial" w:cs="Arial"/>
          <w:color w:val="7B7B7B" w:themeColor="accent3" w:themeShade="BF"/>
          <w:sz w:val="22"/>
          <w:szCs w:val="22"/>
          <w:lang w:val="en-GB"/>
        </w:rPr>
        <w:t xml:space="preserve">. Chapter V of EIR Recast provides for insolvency proceedings of members of a group of companies and contains provisions on </w:t>
      </w:r>
      <w:r w:rsidR="00FF4DDB">
        <w:rPr>
          <w:rFonts w:ascii="Arial" w:hAnsi="Arial" w:cs="Arial"/>
          <w:color w:val="7B7B7B" w:themeColor="accent3" w:themeShade="BF"/>
          <w:sz w:val="22"/>
          <w:szCs w:val="22"/>
          <w:lang w:val="en-GB"/>
        </w:rPr>
        <w:t>cooperation and communication, and coordination.</w:t>
      </w:r>
    </w:p>
    <w:p w14:paraId="24718BCA" w14:textId="77777777" w:rsidR="00FF4DDB" w:rsidRPr="00FF4DDB" w:rsidRDefault="00FF4DDB" w:rsidP="00FF4DDB">
      <w:pPr>
        <w:pStyle w:val="ListParagraph"/>
        <w:rPr>
          <w:rFonts w:ascii="Arial" w:hAnsi="Arial" w:cs="Arial"/>
          <w:color w:val="7B7B7B" w:themeColor="accent3" w:themeShade="BF"/>
          <w:sz w:val="22"/>
          <w:szCs w:val="22"/>
          <w:lang w:val="en-GB"/>
        </w:rPr>
      </w:pPr>
    </w:p>
    <w:p w14:paraId="4024A332" w14:textId="69019ECF" w:rsidR="00544127" w:rsidRPr="002063ED" w:rsidRDefault="00FF4DDB" w:rsidP="000F0E77">
      <w:pPr>
        <w:pStyle w:val="ListParagraph"/>
        <w:numPr>
          <w:ilvl w:val="0"/>
          <w:numId w:val="13"/>
        </w:numPr>
        <w:jc w:val="both"/>
        <w:rPr>
          <w:rFonts w:ascii="Arial" w:hAnsi="Arial" w:cs="Arial"/>
          <w:sz w:val="22"/>
          <w:szCs w:val="22"/>
        </w:rPr>
      </w:pPr>
      <w:r>
        <w:rPr>
          <w:rFonts w:ascii="Arial" w:hAnsi="Arial" w:cs="Arial"/>
          <w:color w:val="7B7B7B" w:themeColor="accent3" w:themeShade="BF"/>
          <w:sz w:val="22"/>
          <w:szCs w:val="22"/>
          <w:lang w:val="en-GB"/>
        </w:rPr>
        <w:t xml:space="preserve">Data protection </w:t>
      </w:r>
      <w:r w:rsidR="00C87BCE">
        <w:rPr>
          <w:rFonts w:ascii="Arial" w:hAnsi="Arial" w:cs="Arial"/>
          <w:color w:val="7B7B7B" w:themeColor="accent3" w:themeShade="BF"/>
          <w:sz w:val="22"/>
          <w:szCs w:val="22"/>
          <w:lang w:val="en-GB"/>
        </w:rPr>
        <w:t>was also one of the gaps in EIR 2000 and is provided for in chapter VI of EIR recast.</w:t>
      </w:r>
      <w:r w:rsidR="00DF75F8" w:rsidRPr="002063ED">
        <w:rPr>
          <w:rFonts w:ascii="Arial" w:hAnsi="Arial" w:cs="Arial"/>
          <w:color w:val="7B7B7B" w:themeColor="accent3" w:themeShade="BF"/>
          <w:sz w:val="22"/>
          <w:szCs w:val="22"/>
          <w:lang w:val="en-GB"/>
        </w:rPr>
        <w:t>]</w:t>
      </w:r>
    </w:p>
    <w:p w14:paraId="4A637290" w14:textId="4A0282A0" w:rsidR="00544127" w:rsidRPr="005D2CD6" w:rsidRDefault="00544127" w:rsidP="002A37BB">
      <w:pPr>
        <w:ind w:left="720" w:hanging="720"/>
        <w:jc w:val="both"/>
        <w:rPr>
          <w:rFonts w:ascii="Arial" w:hAnsi="Arial" w:cs="Arial"/>
          <w:sz w:val="22"/>
          <w:szCs w:val="22"/>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07885E22" w14:textId="77777777" w:rsidR="006A1671" w:rsidRDefault="00DF75F8" w:rsidP="002A37BB">
      <w:pPr>
        <w:jc w:val="both"/>
        <w:rPr>
          <w:rFonts w:ascii="Arial" w:hAnsi="Arial" w:cs="Arial"/>
          <w:color w:val="7B7B7B" w:themeColor="accent3" w:themeShade="BF"/>
          <w:sz w:val="22"/>
          <w:szCs w:val="22"/>
          <w:lang w:val="en-GB"/>
        </w:rPr>
      </w:pPr>
      <w:r w:rsidRPr="005D2CD6">
        <w:rPr>
          <w:rFonts w:ascii="Arial" w:hAnsi="Arial" w:cs="Arial"/>
          <w:color w:val="7B7B7B" w:themeColor="accent3" w:themeShade="BF"/>
          <w:sz w:val="22"/>
          <w:szCs w:val="22"/>
          <w:lang w:val="en-GB"/>
        </w:rPr>
        <w:t>[</w:t>
      </w:r>
      <w:r w:rsidR="006A1671">
        <w:rPr>
          <w:rFonts w:ascii="Arial" w:hAnsi="Arial" w:cs="Arial"/>
          <w:color w:val="7B7B7B" w:themeColor="accent3" w:themeShade="BF"/>
          <w:sz w:val="22"/>
          <w:szCs w:val="22"/>
          <w:lang w:val="en-GB"/>
        </w:rPr>
        <w:t>The improvements in the EIR Recast were:</w:t>
      </w:r>
    </w:p>
    <w:p w14:paraId="11D72814" w14:textId="226A81D4" w:rsidR="00957061" w:rsidRPr="00082A73" w:rsidRDefault="00957061" w:rsidP="006A1671">
      <w:pPr>
        <w:pStyle w:val="ListParagraph"/>
        <w:numPr>
          <w:ilvl w:val="0"/>
          <w:numId w:val="14"/>
        </w:numPr>
        <w:jc w:val="both"/>
        <w:rPr>
          <w:rFonts w:ascii="Arial" w:hAnsi="Arial" w:cs="Arial"/>
          <w:sz w:val="22"/>
          <w:szCs w:val="22"/>
          <w:lang w:val="en-GB"/>
        </w:rPr>
      </w:pPr>
      <w:r>
        <w:rPr>
          <w:rFonts w:ascii="Arial" w:hAnsi="Arial" w:cs="Arial"/>
          <w:color w:val="7B7B7B" w:themeColor="accent3" w:themeShade="BF"/>
          <w:sz w:val="22"/>
          <w:szCs w:val="22"/>
          <w:lang w:val="en-GB"/>
        </w:rPr>
        <w:t xml:space="preserve">Article 6 EIR Recast (jurisdiction for actions deriving directly from insolvency proceedings and closely linked with them) is one of the clauses that seeks to ensure efficiency in the administration of cross border insolvencies as it seeks to avoid risk of irreconcilable decisions on matters such as avoidance actions. </w:t>
      </w:r>
    </w:p>
    <w:p w14:paraId="6B036E11" w14:textId="77777777" w:rsidR="00082A73" w:rsidRPr="00957061" w:rsidRDefault="00082A73" w:rsidP="00082A73">
      <w:pPr>
        <w:pStyle w:val="ListParagraph"/>
        <w:jc w:val="both"/>
        <w:rPr>
          <w:rFonts w:ascii="Arial" w:hAnsi="Arial" w:cs="Arial"/>
          <w:sz w:val="22"/>
          <w:szCs w:val="22"/>
          <w:lang w:val="en-GB"/>
        </w:rPr>
      </w:pPr>
    </w:p>
    <w:p w14:paraId="122351EC" w14:textId="191850A5" w:rsidR="00082A73" w:rsidRPr="00082A73" w:rsidRDefault="00A62AE3" w:rsidP="006A1671">
      <w:pPr>
        <w:pStyle w:val="ListParagraph"/>
        <w:numPr>
          <w:ilvl w:val="0"/>
          <w:numId w:val="14"/>
        </w:numPr>
        <w:jc w:val="both"/>
        <w:rPr>
          <w:rFonts w:ascii="Arial" w:hAnsi="Arial" w:cs="Arial"/>
          <w:sz w:val="22"/>
          <w:szCs w:val="22"/>
          <w:lang w:val="en-GB"/>
        </w:rPr>
      </w:pPr>
      <w:r>
        <w:rPr>
          <w:rFonts w:ascii="Arial" w:hAnsi="Arial" w:cs="Arial"/>
          <w:color w:val="7B7B7B" w:themeColor="accent3" w:themeShade="BF"/>
          <w:sz w:val="22"/>
          <w:szCs w:val="22"/>
          <w:lang w:val="en-GB"/>
        </w:rPr>
        <w:t xml:space="preserve">EIR Recast also provides for a more </w:t>
      </w:r>
      <w:r w:rsidR="00082A73">
        <w:rPr>
          <w:rFonts w:ascii="Arial" w:hAnsi="Arial" w:cs="Arial"/>
          <w:color w:val="7B7B7B" w:themeColor="accent3" w:themeShade="BF"/>
          <w:sz w:val="22"/>
          <w:szCs w:val="22"/>
          <w:lang w:val="en-GB"/>
        </w:rPr>
        <w:t>comprehensive</w:t>
      </w:r>
      <w:r>
        <w:rPr>
          <w:rFonts w:ascii="Arial" w:hAnsi="Arial" w:cs="Arial"/>
          <w:color w:val="7B7B7B" w:themeColor="accent3" w:themeShade="BF"/>
          <w:sz w:val="22"/>
          <w:szCs w:val="22"/>
          <w:lang w:val="en-GB"/>
        </w:rPr>
        <w:t xml:space="preserve"> mechanism for dealing with pending proceedings. EIR 2000 only provided for pending law suits to be governed by the law of the member state in which the suit is pending. </w:t>
      </w:r>
      <w:r w:rsidR="003E2B0E">
        <w:rPr>
          <w:rFonts w:ascii="Arial" w:hAnsi="Arial" w:cs="Arial"/>
          <w:color w:val="7B7B7B" w:themeColor="accent3" w:themeShade="BF"/>
          <w:sz w:val="22"/>
          <w:szCs w:val="22"/>
          <w:lang w:val="en-GB"/>
        </w:rPr>
        <w:t xml:space="preserve">The rationale for a </w:t>
      </w:r>
      <w:r w:rsidR="003E2B0E" w:rsidRPr="00A62AE3">
        <w:rPr>
          <w:rFonts w:ascii="Arial" w:hAnsi="Arial" w:cs="Arial"/>
          <w:i/>
          <w:iCs/>
          <w:color w:val="7B7B7B" w:themeColor="accent3" w:themeShade="BF"/>
          <w:sz w:val="22"/>
          <w:szCs w:val="22"/>
          <w:lang w:val="en-GB"/>
        </w:rPr>
        <w:t>lex fori</w:t>
      </w:r>
      <w:r w:rsidR="003E2B0E">
        <w:rPr>
          <w:rFonts w:ascii="Arial" w:hAnsi="Arial" w:cs="Arial"/>
          <w:color w:val="7B7B7B" w:themeColor="accent3" w:themeShade="BF"/>
          <w:sz w:val="22"/>
          <w:szCs w:val="22"/>
          <w:lang w:val="en-GB"/>
        </w:rPr>
        <w:t xml:space="preserve"> as opposed to a </w:t>
      </w:r>
      <w:r w:rsidR="003E2B0E" w:rsidRPr="00A62AE3">
        <w:rPr>
          <w:rFonts w:ascii="Arial" w:hAnsi="Arial" w:cs="Arial"/>
          <w:i/>
          <w:iCs/>
          <w:color w:val="7B7B7B" w:themeColor="accent3" w:themeShade="BF"/>
          <w:sz w:val="22"/>
          <w:szCs w:val="22"/>
          <w:lang w:val="en-GB"/>
        </w:rPr>
        <w:t>lex concurs</w:t>
      </w:r>
      <w:r w:rsidR="00144802">
        <w:rPr>
          <w:rFonts w:ascii="Arial" w:hAnsi="Arial" w:cs="Arial"/>
          <w:i/>
          <w:iCs/>
          <w:color w:val="7B7B7B" w:themeColor="accent3" w:themeShade="BF"/>
          <w:sz w:val="22"/>
          <w:szCs w:val="22"/>
          <w:lang w:val="en-GB"/>
        </w:rPr>
        <w:t>us</w:t>
      </w:r>
      <w:r w:rsidR="003E2B0E">
        <w:rPr>
          <w:rFonts w:ascii="Arial" w:hAnsi="Arial" w:cs="Arial"/>
          <w:color w:val="7B7B7B" w:themeColor="accent3" w:themeShade="BF"/>
          <w:sz w:val="22"/>
          <w:szCs w:val="22"/>
          <w:lang w:val="en-GB"/>
        </w:rPr>
        <w:t xml:space="preserve"> approach to these proceedings is to avoid uncertainty and </w:t>
      </w:r>
      <w:r w:rsidR="003E2B0E">
        <w:rPr>
          <w:rFonts w:ascii="Arial" w:hAnsi="Arial" w:cs="Arial"/>
          <w:color w:val="7B7B7B" w:themeColor="accent3" w:themeShade="BF"/>
          <w:sz w:val="22"/>
          <w:szCs w:val="22"/>
          <w:lang w:val="en-GB"/>
        </w:rPr>
        <w:lastRenderedPageBreak/>
        <w:t xml:space="preserve">disruption that may result from parties having to anticipate the effects of foreign insolvency laws on pending proceedings. Article 18 of </w:t>
      </w:r>
      <w:r>
        <w:rPr>
          <w:rFonts w:ascii="Arial" w:hAnsi="Arial" w:cs="Arial"/>
          <w:color w:val="7B7B7B" w:themeColor="accent3" w:themeShade="BF"/>
          <w:sz w:val="22"/>
          <w:szCs w:val="22"/>
          <w:lang w:val="en-GB"/>
        </w:rPr>
        <w:t>EIR Recast adopts the same principle but extends it to arbitral proceedings as well.</w:t>
      </w:r>
      <w:r w:rsidR="00082A73">
        <w:rPr>
          <w:rFonts w:ascii="Arial" w:hAnsi="Arial" w:cs="Arial"/>
          <w:color w:val="7B7B7B" w:themeColor="accent3" w:themeShade="BF"/>
          <w:sz w:val="22"/>
          <w:szCs w:val="22"/>
          <w:lang w:val="en-GB"/>
        </w:rPr>
        <w:t xml:space="preserve"> This ensures consistency of treatment between judicial and arbitral proceedings. </w:t>
      </w:r>
    </w:p>
    <w:p w14:paraId="20AED963" w14:textId="77777777" w:rsidR="00082A73" w:rsidRPr="00082A73" w:rsidRDefault="00082A73" w:rsidP="00082A73">
      <w:pPr>
        <w:pStyle w:val="ListParagraph"/>
        <w:rPr>
          <w:rFonts w:ascii="Arial" w:hAnsi="Arial" w:cs="Arial"/>
          <w:sz w:val="22"/>
          <w:szCs w:val="22"/>
          <w:lang w:val="en-GB"/>
        </w:rPr>
      </w:pPr>
    </w:p>
    <w:p w14:paraId="7940D274" w14:textId="7D53EAD4" w:rsidR="00DF75F8" w:rsidRPr="009E497E" w:rsidRDefault="006D6C5F" w:rsidP="009E497E">
      <w:pPr>
        <w:pStyle w:val="ListParagraph"/>
        <w:numPr>
          <w:ilvl w:val="0"/>
          <w:numId w:val="14"/>
        </w:numPr>
        <w:jc w:val="both"/>
        <w:rPr>
          <w:rFonts w:ascii="Arial" w:hAnsi="Arial" w:cs="Arial"/>
          <w:sz w:val="22"/>
          <w:szCs w:val="22"/>
          <w:lang w:val="en-GB"/>
        </w:rPr>
      </w:pPr>
      <w:r>
        <w:rPr>
          <w:rFonts w:ascii="Arial" w:hAnsi="Arial" w:cs="Arial"/>
          <w:color w:val="7B7B7B" w:themeColor="accent3" w:themeShade="BF"/>
          <w:sz w:val="22"/>
          <w:szCs w:val="22"/>
          <w:lang w:val="en-GB"/>
        </w:rPr>
        <w:t>Article 32 of</w:t>
      </w:r>
      <w:r w:rsidR="00156857">
        <w:rPr>
          <w:rFonts w:ascii="Arial" w:hAnsi="Arial" w:cs="Arial"/>
          <w:color w:val="7B7B7B" w:themeColor="accent3" w:themeShade="BF"/>
          <w:sz w:val="22"/>
          <w:szCs w:val="22"/>
          <w:lang w:val="en-GB"/>
        </w:rPr>
        <w:t xml:space="preserve"> EIR Recast </w:t>
      </w:r>
      <w:r>
        <w:rPr>
          <w:rFonts w:ascii="Arial" w:hAnsi="Arial" w:cs="Arial"/>
          <w:color w:val="7B7B7B" w:themeColor="accent3" w:themeShade="BF"/>
          <w:sz w:val="22"/>
          <w:szCs w:val="22"/>
          <w:lang w:val="en-GB"/>
        </w:rPr>
        <w:t xml:space="preserve">provides for recognition of insolvency related judgements  such as those arising from insolvency related proceedings, preservation measures and actions to set aside acts detrimental to creditors. </w:t>
      </w:r>
      <w:r w:rsidR="004F3B1A">
        <w:rPr>
          <w:rFonts w:ascii="Arial" w:hAnsi="Arial" w:cs="Arial"/>
          <w:color w:val="7B7B7B" w:themeColor="accent3" w:themeShade="BF"/>
          <w:sz w:val="22"/>
          <w:szCs w:val="22"/>
          <w:lang w:val="en-GB"/>
        </w:rPr>
        <w:t>Recognising</w:t>
      </w:r>
      <w:r>
        <w:rPr>
          <w:rFonts w:ascii="Arial" w:hAnsi="Arial" w:cs="Arial"/>
          <w:color w:val="7B7B7B" w:themeColor="accent3" w:themeShade="BF"/>
          <w:sz w:val="22"/>
          <w:szCs w:val="22"/>
          <w:lang w:val="en-GB"/>
        </w:rPr>
        <w:t xml:space="preserve"> such judgements in a manner similar to recognition of insolvency proceedings ensures effective administration of insolvency proceedings.</w:t>
      </w:r>
      <w:r w:rsidR="00DF75F8" w:rsidRPr="009E497E">
        <w:rPr>
          <w:rFonts w:ascii="Arial" w:hAnsi="Arial" w:cs="Arial"/>
          <w:color w:val="7B7B7B" w:themeColor="accent3" w:themeShade="BF"/>
          <w:sz w:val="22"/>
          <w:szCs w:val="22"/>
          <w:lang w:val="en-GB"/>
        </w:rPr>
        <w:t>]</w:t>
      </w:r>
    </w:p>
    <w:p w14:paraId="3DAA6780" w14:textId="657CEFE1" w:rsidR="00962045" w:rsidRPr="005D2CD6" w:rsidRDefault="00962045" w:rsidP="002A37BB">
      <w:pPr>
        <w:jc w:val="both"/>
        <w:rPr>
          <w:rFonts w:ascii="Arial" w:hAnsi="Arial" w:cs="Arial"/>
          <w:sz w:val="22"/>
          <w:szCs w:val="22"/>
          <w:shd w:val="clear" w:color="auto" w:fill="FFFFFF"/>
        </w:rPr>
      </w:pP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7D724DA4" w14:textId="5E0C2C60" w:rsidR="00FB084D" w:rsidRDefault="00DF75F8" w:rsidP="002A37BB">
      <w:pPr>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w:t>
      </w:r>
      <w:r w:rsidR="00FB084D">
        <w:rPr>
          <w:rFonts w:ascii="Arial" w:hAnsi="Arial" w:cs="Arial"/>
          <w:color w:val="7B7B7B" w:themeColor="accent3" w:themeShade="BF"/>
          <w:sz w:val="22"/>
          <w:szCs w:val="22"/>
          <w:lang w:val="en-GB"/>
        </w:rPr>
        <w:t>The EIR Recast provides a more elaborate and efficient framework for resolution of cross border insolvencies. However, the following innovations/improvements in the regulation may present shortcomings:</w:t>
      </w:r>
    </w:p>
    <w:p w14:paraId="140F3844" w14:textId="77777777" w:rsidR="004523E2" w:rsidRDefault="004523E2" w:rsidP="002A37BB">
      <w:pPr>
        <w:jc w:val="both"/>
        <w:rPr>
          <w:rFonts w:ascii="Arial" w:hAnsi="Arial" w:cs="Arial"/>
          <w:color w:val="7B7B7B" w:themeColor="accent3" w:themeShade="BF"/>
          <w:sz w:val="22"/>
          <w:szCs w:val="22"/>
          <w:lang w:val="en-GB"/>
        </w:rPr>
      </w:pPr>
    </w:p>
    <w:p w14:paraId="11117BBB" w14:textId="741E7BEA" w:rsidR="00BF7CAF" w:rsidRPr="0035779B" w:rsidRDefault="00FB084D" w:rsidP="00FB084D">
      <w:pPr>
        <w:pStyle w:val="ListParagraph"/>
        <w:numPr>
          <w:ilvl w:val="0"/>
          <w:numId w:val="15"/>
        </w:numPr>
        <w:jc w:val="both"/>
        <w:rPr>
          <w:rFonts w:ascii="Arial" w:hAnsi="Arial" w:cs="Arial"/>
          <w:sz w:val="22"/>
          <w:szCs w:val="22"/>
          <w:lang w:val="en-GB"/>
        </w:rPr>
      </w:pPr>
      <w:r>
        <w:rPr>
          <w:rFonts w:ascii="Arial" w:hAnsi="Arial" w:cs="Arial"/>
          <w:color w:val="7B7B7B" w:themeColor="accent3" w:themeShade="BF"/>
          <w:sz w:val="22"/>
          <w:szCs w:val="22"/>
          <w:lang w:val="en-GB"/>
        </w:rPr>
        <w:t>The provisions on communication and coop</w:t>
      </w:r>
      <w:r w:rsidR="00BF7CAF">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ration</w:t>
      </w:r>
      <w:r w:rsidR="00BF7CAF">
        <w:rPr>
          <w:rFonts w:ascii="Arial" w:hAnsi="Arial" w:cs="Arial"/>
          <w:color w:val="7B7B7B" w:themeColor="accent3" w:themeShade="BF"/>
          <w:sz w:val="22"/>
          <w:szCs w:val="22"/>
          <w:lang w:val="en-GB"/>
        </w:rPr>
        <w:t xml:space="preserve"> between insolvency practitioners, courts and insolvency practitioners and courts seek to mitigate the challenges associated with multiple proceedings</w:t>
      </w:r>
      <w:r w:rsidR="0035779B">
        <w:rPr>
          <w:rFonts w:ascii="Arial" w:hAnsi="Arial" w:cs="Arial"/>
          <w:color w:val="7B7B7B" w:themeColor="accent3" w:themeShade="BF"/>
          <w:sz w:val="22"/>
          <w:szCs w:val="22"/>
          <w:lang w:val="en-GB"/>
        </w:rPr>
        <w:t xml:space="preserve"> and ensure effective coordination of main and secondary proceedings</w:t>
      </w:r>
      <w:r w:rsidR="00BF7CAF">
        <w:rPr>
          <w:rFonts w:ascii="Arial" w:hAnsi="Arial" w:cs="Arial"/>
          <w:color w:val="7B7B7B" w:themeColor="accent3" w:themeShade="BF"/>
          <w:sz w:val="22"/>
          <w:szCs w:val="22"/>
          <w:lang w:val="en-GB"/>
        </w:rPr>
        <w:t xml:space="preserve">. However, the regulation does not provide for consequences of non- compliance with these regulations. </w:t>
      </w:r>
    </w:p>
    <w:p w14:paraId="67268340" w14:textId="77777777" w:rsidR="0035779B" w:rsidRPr="00BF7CAF" w:rsidRDefault="0035779B" w:rsidP="0035779B">
      <w:pPr>
        <w:pStyle w:val="ListParagraph"/>
        <w:jc w:val="both"/>
        <w:rPr>
          <w:rFonts w:ascii="Arial" w:hAnsi="Arial" w:cs="Arial"/>
          <w:sz w:val="22"/>
          <w:szCs w:val="22"/>
          <w:lang w:val="en-GB"/>
        </w:rPr>
      </w:pPr>
    </w:p>
    <w:p w14:paraId="4E83D7AF" w14:textId="43CF9E5D" w:rsidR="00DF75F8" w:rsidRPr="00FB084D" w:rsidRDefault="00E969EA" w:rsidP="00FB084D">
      <w:pPr>
        <w:pStyle w:val="ListParagraph"/>
        <w:numPr>
          <w:ilvl w:val="0"/>
          <w:numId w:val="15"/>
        </w:numPr>
        <w:jc w:val="both"/>
        <w:rPr>
          <w:rFonts w:ascii="Arial" w:hAnsi="Arial" w:cs="Arial"/>
          <w:sz w:val="22"/>
          <w:szCs w:val="22"/>
          <w:lang w:val="en-GB"/>
        </w:rPr>
      </w:pPr>
      <w:r>
        <w:rPr>
          <w:rFonts w:ascii="Arial" w:hAnsi="Arial" w:cs="Arial"/>
          <w:color w:val="7B7B7B" w:themeColor="accent3" w:themeShade="BF"/>
          <w:sz w:val="22"/>
          <w:szCs w:val="22"/>
          <w:lang w:val="en-GB"/>
        </w:rPr>
        <w:t>The provisions on insolvency proceedings of members of a group of companies (chapter V EIR Recast) addressed a major gap in EIR 2000. However, the</w:t>
      </w:r>
      <w:r w:rsidR="00D601DA">
        <w:rPr>
          <w:rFonts w:ascii="Arial" w:hAnsi="Arial" w:cs="Arial"/>
          <w:color w:val="7B7B7B" w:themeColor="accent3" w:themeShade="BF"/>
          <w:sz w:val="22"/>
          <w:szCs w:val="22"/>
          <w:lang w:val="en-GB"/>
        </w:rPr>
        <w:t xml:space="preserve"> provision have some shortcoming</w:t>
      </w:r>
      <w:r w:rsidR="00E65E7B">
        <w:rPr>
          <w:rFonts w:ascii="Arial" w:hAnsi="Arial" w:cs="Arial"/>
          <w:color w:val="7B7B7B" w:themeColor="accent3" w:themeShade="BF"/>
          <w:sz w:val="22"/>
          <w:szCs w:val="22"/>
          <w:lang w:val="en-GB"/>
        </w:rPr>
        <w:t>s</w:t>
      </w:r>
      <w:r w:rsidR="00D601DA">
        <w:rPr>
          <w:rFonts w:ascii="Arial" w:hAnsi="Arial" w:cs="Arial"/>
          <w:color w:val="7B7B7B" w:themeColor="accent3" w:themeShade="BF"/>
          <w:sz w:val="22"/>
          <w:szCs w:val="22"/>
          <w:lang w:val="en-GB"/>
        </w:rPr>
        <w:t xml:space="preserve"> that may undermine the possibility/potential for group resolution</w:t>
      </w:r>
      <w:r w:rsidR="00E65E7B">
        <w:rPr>
          <w:rFonts w:ascii="Arial" w:hAnsi="Arial" w:cs="Arial"/>
          <w:color w:val="7B7B7B" w:themeColor="accent3" w:themeShade="BF"/>
          <w:sz w:val="22"/>
          <w:szCs w:val="22"/>
          <w:lang w:val="en-GB"/>
        </w:rPr>
        <w:t>. The</w:t>
      </w:r>
      <w:r>
        <w:rPr>
          <w:rFonts w:ascii="Arial" w:hAnsi="Arial" w:cs="Arial"/>
          <w:color w:val="7B7B7B" w:themeColor="accent3" w:themeShade="BF"/>
          <w:sz w:val="22"/>
          <w:szCs w:val="22"/>
          <w:lang w:val="en-GB"/>
        </w:rPr>
        <w:t xml:space="preserve"> entity approach appears to contradict the fundamental principles of the regulation such as value maximisation, procedural efficiency and equal treatment of creditors to the extent that it undermines the potential for a group restructuring. </w:t>
      </w:r>
      <w:r w:rsidR="00E65E7B">
        <w:rPr>
          <w:rFonts w:ascii="Arial" w:hAnsi="Arial" w:cs="Arial"/>
          <w:color w:val="7B7B7B" w:themeColor="accent3" w:themeShade="BF"/>
          <w:sz w:val="22"/>
          <w:szCs w:val="22"/>
          <w:lang w:val="en-GB"/>
        </w:rPr>
        <w:t>Non- involvement of creditors in decision concerning coordination of proceedings and the option of opt out make</w:t>
      </w:r>
      <w:r w:rsidR="000C088F">
        <w:rPr>
          <w:rFonts w:ascii="Arial" w:hAnsi="Arial" w:cs="Arial"/>
          <w:color w:val="7B7B7B" w:themeColor="accent3" w:themeShade="BF"/>
          <w:sz w:val="22"/>
          <w:szCs w:val="22"/>
          <w:lang w:val="en-GB"/>
        </w:rPr>
        <w:t xml:space="preserve"> frustrate the process. Another key limitation is that the process would not apply to members of the group outside the EU.</w:t>
      </w:r>
    </w:p>
    <w:p w14:paraId="4AE7EA78" w14:textId="5898FA23" w:rsidR="007D7C92" w:rsidRPr="008500BD" w:rsidRDefault="00E65E7B" w:rsidP="002A37BB">
      <w:pPr>
        <w:ind w:left="720" w:hanging="720"/>
        <w:jc w:val="both"/>
        <w:rPr>
          <w:rFonts w:ascii="Arial" w:hAnsi="Arial" w:cs="Arial"/>
          <w:sz w:val="22"/>
          <w:szCs w:val="22"/>
          <w:lang w:val="en-GB"/>
        </w:rPr>
      </w:pPr>
      <w:r>
        <w:rPr>
          <w:rFonts w:ascii="Arial" w:hAnsi="Arial" w:cs="Arial"/>
          <w:sz w:val="22"/>
          <w:szCs w:val="22"/>
          <w:lang w:val="en-GB"/>
        </w:rPr>
        <w:t xml:space="preserve"> </w:t>
      </w: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2EB71C91" w14:textId="37419001" w:rsidR="00BF251F" w:rsidRDefault="002F75A3" w:rsidP="002A37BB">
      <w:pPr>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w:t>
      </w:r>
      <w:r w:rsidR="00BF251F">
        <w:rPr>
          <w:rFonts w:ascii="Arial" w:hAnsi="Arial" w:cs="Arial"/>
          <w:color w:val="7B7B7B" w:themeColor="accent3" w:themeShade="BF"/>
          <w:sz w:val="22"/>
          <w:szCs w:val="22"/>
          <w:lang w:val="en-GB"/>
        </w:rPr>
        <w:t xml:space="preserve">Article 3 of EIR 2000 granted courts in member states jurisdiction to open insolvency proceedings in a territory in which the debtor’s main interests is situated. </w:t>
      </w:r>
      <w:r w:rsidR="00936ECC">
        <w:rPr>
          <w:rFonts w:ascii="Arial" w:hAnsi="Arial" w:cs="Arial"/>
          <w:color w:val="7B7B7B" w:themeColor="accent3" w:themeShade="BF"/>
          <w:sz w:val="22"/>
          <w:szCs w:val="22"/>
          <w:lang w:val="en-GB"/>
        </w:rPr>
        <w:t xml:space="preserve">The facts indicate that Cardinal Homes was registered in Dublin but had operations in other European states. According to Article 3(1) of EIR </w:t>
      </w:r>
      <w:r w:rsidR="00313C51">
        <w:rPr>
          <w:rFonts w:ascii="Arial" w:hAnsi="Arial" w:cs="Arial"/>
          <w:color w:val="7B7B7B" w:themeColor="accent3" w:themeShade="BF"/>
          <w:sz w:val="22"/>
          <w:szCs w:val="22"/>
          <w:lang w:val="en-GB"/>
        </w:rPr>
        <w:t>2000</w:t>
      </w:r>
      <w:r w:rsidR="00936ECC">
        <w:rPr>
          <w:rFonts w:ascii="Arial" w:hAnsi="Arial" w:cs="Arial"/>
          <w:color w:val="7B7B7B" w:themeColor="accent3" w:themeShade="BF"/>
          <w:sz w:val="22"/>
          <w:szCs w:val="22"/>
          <w:lang w:val="en-GB"/>
        </w:rPr>
        <w:t xml:space="preserve">, the place of the registered office of a company </w:t>
      </w:r>
      <w:r w:rsidR="00313C51">
        <w:rPr>
          <w:rFonts w:ascii="Arial" w:hAnsi="Arial" w:cs="Arial"/>
          <w:color w:val="7B7B7B" w:themeColor="accent3" w:themeShade="BF"/>
          <w:sz w:val="22"/>
          <w:szCs w:val="22"/>
          <w:lang w:val="en-GB"/>
        </w:rPr>
        <w:t>was</w:t>
      </w:r>
      <w:r w:rsidR="00936ECC">
        <w:rPr>
          <w:rFonts w:ascii="Arial" w:hAnsi="Arial" w:cs="Arial"/>
          <w:color w:val="7B7B7B" w:themeColor="accent3" w:themeShade="BF"/>
          <w:sz w:val="22"/>
          <w:szCs w:val="22"/>
          <w:lang w:val="en-GB"/>
        </w:rPr>
        <w:t xml:space="preserve"> presumed to be its center of main interests in the absence of proof to the contrary. This position was confirmed in </w:t>
      </w:r>
      <w:r w:rsidR="00936ECC" w:rsidRPr="000E6415">
        <w:rPr>
          <w:rFonts w:ascii="Arial" w:hAnsi="Arial" w:cs="Arial"/>
          <w:b/>
          <w:bCs/>
          <w:color w:val="7B7B7B" w:themeColor="accent3" w:themeShade="BF"/>
          <w:sz w:val="22"/>
          <w:szCs w:val="22"/>
          <w:lang w:val="en-GB"/>
        </w:rPr>
        <w:t>Re Eurofoods IFSC Ltd</w:t>
      </w:r>
      <w:r w:rsidR="00936ECC">
        <w:rPr>
          <w:rFonts w:ascii="Arial" w:hAnsi="Arial" w:cs="Arial"/>
          <w:color w:val="7B7B7B" w:themeColor="accent3" w:themeShade="BF"/>
          <w:sz w:val="22"/>
          <w:szCs w:val="22"/>
          <w:lang w:val="en-GB"/>
        </w:rPr>
        <w:t xml:space="preserve"> where the question of COMI arose in relation to a</w:t>
      </w:r>
      <w:r w:rsidR="00313C51">
        <w:rPr>
          <w:rFonts w:ascii="Arial" w:hAnsi="Arial" w:cs="Arial"/>
          <w:color w:val="7B7B7B" w:themeColor="accent3" w:themeShade="BF"/>
          <w:sz w:val="22"/>
          <w:szCs w:val="22"/>
          <w:lang w:val="en-GB"/>
        </w:rPr>
        <w:t>n</w:t>
      </w:r>
      <w:r w:rsidR="00936ECC">
        <w:rPr>
          <w:rFonts w:ascii="Arial" w:hAnsi="Arial" w:cs="Arial"/>
          <w:color w:val="7B7B7B" w:themeColor="accent3" w:themeShade="BF"/>
          <w:sz w:val="22"/>
          <w:szCs w:val="22"/>
          <w:lang w:val="en-GB"/>
        </w:rPr>
        <w:t xml:space="preserve"> Irish Subsidiary of an Italian company. </w:t>
      </w:r>
      <w:r w:rsidR="000828B8">
        <w:rPr>
          <w:rFonts w:ascii="Arial" w:hAnsi="Arial" w:cs="Arial"/>
          <w:color w:val="7B7B7B" w:themeColor="accent3" w:themeShade="BF"/>
          <w:sz w:val="22"/>
          <w:szCs w:val="22"/>
          <w:lang w:val="en-GB"/>
        </w:rPr>
        <w:t>The ECJ ruled that</w:t>
      </w:r>
      <w:r w:rsidR="000E6415">
        <w:rPr>
          <w:rFonts w:ascii="Arial" w:hAnsi="Arial" w:cs="Arial"/>
          <w:color w:val="7B7B7B" w:themeColor="accent3" w:themeShade="BF"/>
          <w:sz w:val="22"/>
          <w:szCs w:val="22"/>
          <w:lang w:val="en-GB"/>
        </w:rPr>
        <w:t xml:space="preserve"> in the absence of rebuttable factors (objective and easily ascertainable by third parties),</w:t>
      </w:r>
      <w:r w:rsidR="000828B8">
        <w:rPr>
          <w:rFonts w:ascii="Arial" w:hAnsi="Arial" w:cs="Arial"/>
          <w:color w:val="7B7B7B" w:themeColor="accent3" w:themeShade="BF"/>
          <w:sz w:val="22"/>
          <w:szCs w:val="22"/>
          <w:lang w:val="en-GB"/>
        </w:rPr>
        <w:t xml:space="preserve"> if a debtor was a subsidiary company and its registered office was different from that of the parent company, the COMI of the subsidiary was presumed to be the place of its registered office</w:t>
      </w:r>
      <w:r w:rsidR="000E6415">
        <w:rPr>
          <w:rFonts w:ascii="Arial" w:hAnsi="Arial" w:cs="Arial"/>
          <w:color w:val="7B7B7B" w:themeColor="accent3" w:themeShade="BF"/>
          <w:sz w:val="22"/>
          <w:szCs w:val="22"/>
          <w:lang w:val="en-GB"/>
        </w:rPr>
        <w:t xml:space="preserve">. </w:t>
      </w:r>
      <w:r w:rsidR="00BF251F">
        <w:rPr>
          <w:rFonts w:ascii="Arial" w:hAnsi="Arial" w:cs="Arial"/>
          <w:color w:val="7B7B7B" w:themeColor="accent3" w:themeShade="BF"/>
          <w:sz w:val="22"/>
          <w:szCs w:val="22"/>
          <w:lang w:val="en-GB"/>
        </w:rPr>
        <w:t>The</w:t>
      </w:r>
      <w:r w:rsidR="0035779B">
        <w:rPr>
          <w:rFonts w:ascii="Arial" w:hAnsi="Arial" w:cs="Arial"/>
          <w:color w:val="7B7B7B" w:themeColor="accent3" w:themeShade="BF"/>
          <w:sz w:val="22"/>
          <w:szCs w:val="22"/>
          <w:lang w:val="en-GB"/>
        </w:rPr>
        <w:t>refore,</w:t>
      </w:r>
      <w:r w:rsidR="00BF251F">
        <w:rPr>
          <w:rFonts w:ascii="Arial" w:hAnsi="Arial" w:cs="Arial"/>
          <w:color w:val="7B7B7B" w:themeColor="accent3" w:themeShade="BF"/>
          <w:sz w:val="22"/>
          <w:szCs w:val="22"/>
          <w:lang w:val="en-GB"/>
        </w:rPr>
        <w:t xml:space="preserve"> High Court in Dublin has international jurisdiction to open the requested proceedings on the basis of the presumption that the Centre of Main Interests (COMI) of the company is in Ireland because it was registered in Ireland (article 3.1)</w:t>
      </w:r>
      <w:r w:rsidR="004B2C11">
        <w:rPr>
          <w:rFonts w:ascii="Arial" w:hAnsi="Arial" w:cs="Arial"/>
          <w:color w:val="7B7B7B" w:themeColor="accent3" w:themeShade="BF"/>
          <w:sz w:val="22"/>
          <w:szCs w:val="22"/>
          <w:lang w:val="en-GB"/>
        </w:rPr>
        <w:t>.</w:t>
      </w:r>
    </w:p>
    <w:p w14:paraId="59BD5DC3" w14:textId="77777777" w:rsidR="00BF251F" w:rsidRDefault="00BF251F" w:rsidP="002A37BB">
      <w:pPr>
        <w:jc w:val="both"/>
        <w:rPr>
          <w:rFonts w:ascii="Arial" w:hAnsi="Arial" w:cs="Arial"/>
          <w:color w:val="7B7B7B" w:themeColor="accent3" w:themeShade="BF"/>
          <w:sz w:val="22"/>
          <w:szCs w:val="22"/>
          <w:lang w:val="en-GB"/>
        </w:rPr>
      </w:pPr>
    </w:p>
    <w:p w14:paraId="0D37BBBB" w14:textId="444CA090" w:rsidR="002F75A3" w:rsidRPr="008500BD" w:rsidRDefault="00BF251F"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requested proceedings (company examinership) </w:t>
      </w:r>
      <w:r w:rsidR="00514AA4">
        <w:rPr>
          <w:rFonts w:ascii="Arial" w:hAnsi="Arial" w:cs="Arial"/>
          <w:color w:val="7B7B7B" w:themeColor="accent3" w:themeShade="BF"/>
          <w:sz w:val="22"/>
          <w:szCs w:val="22"/>
          <w:lang w:val="en-GB"/>
        </w:rPr>
        <w:t>are collective insolvency proceedings and there within the scope of proceedings in articles 1 and 2 and annex A of EIR 2000.</w:t>
      </w:r>
      <w:r w:rsidR="002F75A3" w:rsidRPr="008500BD">
        <w:rPr>
          <w:rFonts w:ascii="Arial" w:hAnsi="Arial" w:cs="Arial"/>
          <w:color w:val="7B7B7B" w:themeColor="accent3" w:themeShade="BF"/>
          <w:sz w:val="22"/>
          <w:szCs w:val="22"/>
          <w:lang w:val="en-GB"/>
        </w:rPr>
        <w:t>]</w:t>
      </w:r>
    </w:p>
    <w:p w14:paraId="055F8988" w14:textId="1C1AC5F2" w:rsidR="00D95496" w:rsidRDefault="00D95496" w:rsidP="002A37BB">
      <w:pPr>
        <w:jc w:val="both"/>
        <w:rPr>
          <w:rFonts w:ascii="Arial" w:hAnsi="Arial" w:cs="Arial"/>
          <w:sz w:val="22"/>
          <w:szCs w:val="22"/>
          <w:lang w:val="en-GB"/>
        </w:rPr>
      </w:pPr>
    </w:p>
    <w:p w14:paraId="4A288851" w14:textId="10025622" w:rsidR="003E4DB0" w:rsidRDefault="003E4DB0" w:rsidP="002A37BB">
      <w:pPr>
        <w:jc w:val="both"/>
        <w:rPr>
          <w:rFonts w:ascii="Arial" w:hAnsi="Arial" w:cs="Arial"/>
          <w:sz w:val="22"/>
          <w:szCs w:val="22"/>
          <w:lang w:val="en-GB"/>
        </w:rPr>
      </w:pPr>
    </w:p>
    <w:p w14:paraId="44AF0D80" w14:textId="0AA5B55B" w:rsidR="003E4DB0" w:rsidRDefault="003E4DB0" w:rsidP="002A37BB">
      <w:pPr>
        <w:jc w:val="both"/>
        <w:rPr>
          <w:rFonts w:ascii="Arial" w:hAnsi="Arial" w:cs="Arial"/>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2EF3B3B9" w14:textId="5E653657" w:rsidR="009B21E9" w:rsidRDefault="002D3473" w:rsidP="002A37BB">
      <w:pPr>
        <w:autoSpaceDE w:val="0"/>
        <w:autoSpaceDN w:val="0"/>
        <w:adjustRightInd w:val="0"/>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w:t>
      </w:r>
      <w:r w:rsidR="00F252C7">
        <w:rPr>
          <w:rFonts w:ascii="Arial" w:hAnsi="Arial" w:cs="Arial"/>
          <w:color w:val="7B7B7B" w:themeColor="accent3" w:themeShade="BF"/>
          <w:sz w:val="22"/>
          <w:szCs w:val="22"/>
          <w:lang w:val="en-GB"/>
        </w:rPr>
        <w:t>The EIR Recast</w:t>
      </w:r>
      <w:r w:rsidR="004B2C11">
        <w:rPr>
          <w:rFonts w:ascii="Arial" w:hAnsi="Arial" w:cs="Arial"/>
          <w:color w:val="7B7B7B" w:themeColor="accent3" w:themeShade="BF"/>
          <w:sz w:val="22"/>
          <w:szCs w:val="22"/>
          <w:lang w:val="en-GB"/>
        </w:rPr>
        <w:t xml:space="preserve"> was adopted in 2015 and entered into force on June 26 2017. </w:t>
      </w:r>
      <w:r w:rsidR="00257AF0">
        <w:rPr>
          <w:rFonts w:ascii="Arial" w:hAnsi="Arial" w:cs="Arial"/>
          <w:color w:val="7B7B7B" w:themeColor="accent3" w:themeShade="BF"/>
          <w:sz w:val="22"/>
          <w:szCs w:val="22"/>
          <w:lang w:val="en-GB"/>
        </w:rPr>
        <w:t>Therefore, if the proceedings were opened on June 30, 2017, the EIR would apply on the basis of temporal scope. However, there are other considerations that need to be taken into account</w:t>
      </w:r>
      <w:r w:rsidR="009B21E9">
        <w:rPr>
          <w:rFonts w:ascii="Arial" w:hAnsi="Arial" w:cs="Arial"/>
          <w:color w:val="7B7B7B" w:themeColor="accent3" w:themeShade="BF"/>
          <w:sz w:val="22"/>
          <w:szCs w:val="22"/>
          <w:lang w:val="en-GB"/>
        </w:rPr>
        <w:t xml:space="preserve"> to determine whether the EIR Recast is applicable.</w:t>
      </w:r>
    </w:p>
    <w:p w14:paraId="6BE280FE" w14:textId="77777777" w:rsidR="00A02DCA" w:rsidRDefault="00A02DCA" w:rsidP="002A37BB">
      <w:pPr>
        <w:autoSpaceDE w:val="0"/>
        <w:autoSpaceDN w:val="0"/>
        <w:adjustRightInd w:val="0"/>
        <w:jc w:val="both"/>
        <w:rPr>
          <w:rFonts w:ascii="Arial" w:hAnsi="Arial" w:cs="Arial"/>
          <w:color w:val="7B7B7B" w:themeColor="accent3" w:themeShade="BF"/>
          <w:sz w:val="22"/>
          <w:szCs w:val="22"/>
          <w:lang w:val="en-GB"/>
        </w:rPr>
      </w:pPr>
    </w:p>
    <w:p w14:paraId="5E9AED0F" w14:textId="5489E965" w:rsidR="006A04D3" w:rsidRDefault="009B21E9"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important to determine whether proceedings are within the scope of proceedings to which the EIR Recast applies</w:t>
      </w:r>
      <w:r w:rsidR="00A02DCA">
        <w:rPr>
          <w:rFonts w:ascii="Arial" w:hAnsi="Arial" w:cs="Arial"/>
          <w:color w:val="7B7B7B" w:themeColor="accent3" w:themeShade="BF"/>
          <w:sz w:val="22"/>
          <w:szCs w:val="22"/>
          <w:lang w:val="en-GB"/>
        </w:rPr>
        <w:t xml:space="preserve">. Article 1 of EIR Recast provides that the regulation applies to collective proceedings, including interim proceedings, which are based on laws relating to insolvency </w:t>
      </w:r>
      <w:r w:rsidR="006A04D3">
        <w:rPr>
          <w:rFonts w:ascii="Arial" w:hAnsi="Arial" w:cs="Arial"/>
          <w:color w:val="7B7B7B" w:themeColor="accent3" w:themeShade="BF"/>
          <w:sz w:val="22"/>
          <w:szCs w:val="22"/>
          <w:lang w:val="en-GB"/>
        </w:rPr>
        <w:t>including rescue, reorganisation and liquidation proceedings.</w:t>
      </w:r>
      <w:r w:rsidR="00F252C7">
        <w:rPr>
          <w:rFonts w:ascii="Arial" w:hAnsi="Arial" w:cs="Arial"/>
          <w:color w:val="7B7B7B" w:themeColor="accent3" w:themeShade="BF"/>
          <w:sz w:val="22"/>
          <w:szCs w:val="22"/>
          <w:lang w:val="en-GB"/>
        </w:rPr>
        <w:t xml:space="preserve"> </w:t>
      </w:r>
      <w:r w:rsidR="006A04D3">
        <w:rPr>
          <w:rFonts w:ascii="Arial" w:hAnsi="Arial" w:cs="Arial"/>
          <w:color w:val="7B7B7B" w:themeColor="accent3" w:themeShade="BF"/>
          <w:sz w:val="22"/>
          <w:szCs w:val="22"/>
          <w:lang w:val="en-GB"/>
        </w:rPr>
        <w:t>Article 2 provides that insolvency proceedings should be within the mearing of Annex A. Company examinership is among the proceedings listed for Ireland in Annex A.</w:t>
      </w:r>
    </w:p>
    <w:p w14:paraId="5D7228CF" w14:textId="7F947C3D" w:rsidR="006A04D3" w:rsidRDefault="006A04D3" w:rsidP="002A37BB">
      <w:pPr>
        <w:autoSpaceDE w:val="0"/>
        <w:autoSpaceDN w:val="0"/>
        <w:adjustRightInd w:val="0"/>
        <w:jc w:val="both"/>
        <w:rPr>
          <w:rFonts w:ascii="Arial" w:hAnsi="Arial" w:cs="Arial"/>
          <w:color w:val="7B7B7B" w:themeColor="accent3" w:themeShade="BF"/>
          <w:sz w:val="22"/>
          <w:szCs w:val="22"/>
          <w:lang w:val="en-GB"/>
        </w:rPr>
      </w:pPr>
    </w:p>
    <w:p w14:paraId="7E6F37B4" w14:textId="27D3447A" w:rsidR="006A04D3" w:rsidRDefault="006A04D3"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article 3 of the EIR Recast, it applies to proceedings involving natural or legal person and therefore, Cardinal home, being a company registered in </w:t>
      </w:r>
      <w:r w:rsidR="00CB0CB0">
        <w:rPr>
          <w:rFonts w:ascii="Arial" w:hAnsi="Arial" w:cs="Arial"/>
          <w:color w:val="7B7B7B" w:themeColor="accent3" w:themeShade="BF"/>
          <w:sz w:val="22"/>
          <w:szCs w:val="22"/>
          <w:lang w:val="en-GB"/>
        </w:rPr>
        <w:t>Ireland, and the proceedings being within the scope of those provided for in in articles 1 and 2, the regulation is applicable.</w:t>
      </w:r>
    </w:p>
    <w:p w14:paraId="6EF6B45D" w14:textId="09724EE5" w:rsidR="00CB0CB0" w:rsidRDefault="00CB0CB0" w:rsidP="002A37BB">
      <w:pPr>
        <w:autoSpaceDE w:val="0"/>
        <w:autoSpaceDN w:val="0"/>
        <w:adjustRightInd w:val="0"/>
        <w:jc w:val="both"/>
        <w:rPr>
          <w:rFonts w:ascii="Arial" w:hAnsi="Arial" w:cs="Arial"/>
          <w:color w:val="7B7B7B" w:themeColor="accent3" w:themeShade="BF"/>
          <w:sz w:val="22"/>
          <w:szCs w:val="22"/>
          <w:lang w:val="en-GB"/>
        </w:rPr>
      </w:pPr>
    </w:p>
    <w:p w14:paraId="626FA5C6" w14:textId="2EA5D178" w:rsidR="002D3473" w:rsidRPr="008500BD" w:rsidRDefault="00CB0CB0" w:rsidP="002A37BB">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The EIR Recast applies to all EU member states except Denmark.</w:t>
      </w:r>
      <w:r w:rsidR="00372311">
        <w:rPr>
          <w:rFonts w:ascii="Arial" w:hAnsi="Arial" w:cs="Arial"/>
          <w:color w:val="7B7B7B" w:themeColor="accent3" w:themeShade="BF"/>
          <w:sz w:val="22"/>
          <w:szCs w:val="22"/>
          <w:lang w:val="en-GB"/>
        </w:rPr>
        <w:t xml:space="preserve"> The proceedings were opened in the Dublin High Court in Ireland. Ireland is a member of the EU and therefore the EIR Recast applies.</w:t>
      </w:r>
      <w:r w:rsidR="002D3473" w:rsidRPr="008500BD">
        <w:rPr>
          <w:rFonts w:ascii="Arial" w:hAnsi="Arial" w:cs="Arial"/>
          <w:color w:val="7B7B7B" w:themeColor="accent3" w:themeShade="BF"/>
          <w:sz w:val="22"/>
          <w:szCs w:val="22"/>
          <w:lang w:val="en-GB"/>
        </w:rPr>
        <w:t>]</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2CF67EC5" w14:textId="163B63EB" w:rsidR="00E1142C" w:rsidRDefault="0033768C" w:rsidP="002A37BB">
      <w:pPr>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w:t>
      </w:r>
      <w:r w:rsidR="00E1142C">
        <w:rPr>
          <w:rFonts w:ascii="Arial" w:hAnsi="Arial" w:cs="Arial"/>
          <w:color w:val="7B7B7B" w:themeColor="accent3" w:themeShade="BF"/>
          <w:sz w:val="22"/>
          <w:szCs w:val="22"/>
          <w:lang w:val="en-GB"/>
        </w:rPr>
        <w:t>Article 3(2) of EIR Recast provides that where the debtor’s center of main interests is situated in a territory of a member state</w:t>
      </w:r>
      <w:r w:rsidR="003B27F3">
        <w:rPr>
          <w:rFonts w:ascii="Arial" w:hAnsi="Arial" w:cs="Arial"/>
          <w:color w:val="7B7B7B" w:themeColor="accent3" w:themeShade="BF"/>
          <w:sz w:val="22"/>
          <w:szCs w:val="22"/>
          <w:lang w:val="en-GB"/>
        </w:rPr>
        <w:t xml:space="preserve">, another member state shall have jurisdiction to open insolvency proceedings against that debtor if it possesses an establishment within that territory and the effects of the proceedings are restricted to assets of the debtor within that territory. </w:t>
      </w:r>
    </w:p>
    <w:p w14:paraId="56BD06F3" w14:textId="77777777" w:rsidR="003B27F3" w:rsidRDefault="003B27F3" w:rsidP="002A37BB">
      <w:pPr>
        <w:jc w:val="both"/>
        <w:rPr>
          <w:rFonts w:ascii="Arial" w:hAnsi="Arial" w:cs="Arial"/>
          <w:color w:val="7B7B7B" w:themeColor="accent3" w:themeShade="BF"/>
          <w:sz w:val="22"/>
          <w:szCs w:val="22"/>
          <w:lang w:val="en-GB"/>
        </w:rPr>
      </w:pPr>
    </w:p>
    <w:p w14:paraId="7F74DD59" w14:textId="7CCA212A" w:rsidR="003B27F3" w:rsidRDefault="003B27F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Establishment is defined in article 2 as any place of operations where the debtor</w:t>
      </w:r>
      <w:r w:rsidR="00B65730">
        <w:rPr>
          <w:rFonts w:ascii="Arial" w:hAnsi="Arial" w:cs="Arial"/>
          <w:color w:val="7B7B7B" w:themeColor="accent3" w:themeShade="BF"/>
          <w:sz w:val="22"/>
          <w:szCs w:val="22"/>
          <w:lang w:val="en-GB"/>
        </w:rPr>
        <w:t xml:space="preserve"> carries or has carried out non- transitory economic activity.</w:t>
      </w:r>
    </w:p>
    <w:p w14:paraId="71673760" w14:textId="77777777" w:rsidR="00B65730" w:rsidRDefault="00B65730" w:rsidP="002A37BB">
      <w:pPr>
        <w:jc w:val="both"/>
        <w:rPr>
          <w:rFonts w:ascii="Arial" w:hAnsi="Arial" w:cs="Arial"/>
          <w:color w:val="7B7B7B" w:themeColor="accent3" w:themeShade="BF"/>
          <w:sz w:val="22"/>
          <w:szCs w:val="22"/>
          <w:lang w:val="en-GB"/>
        </w:rPr>
      </w:pPr>
    </w:p>
    <w:p w14:paraId="026EEA53" w14:textId="58EE6047" w:rsidR="00B65730" w:rsidRDefault="0006476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3(3) of the EIR Recast provides that where insolvency proceedings have been opened in accordance with paragraph 1 (international proceedings</w:t>
      </w:r>
      <w:r w:rsidR="00E36C9B">
        <w:rPr>
          <w:rFonts w:ascii="Arial" w:hAnsi="Arial" w:cs="Arial"/>
          <w:color w:val="7B7B7B" w:themeColor="accent3" w:themeShade="BF"/>
          <w:sz w:val="22"/>
          <w:szCs w:val="22"/>
          <w:lang w:val="en-GB"/>
        </w:rPr>
        <w:t xml:space="preserve">- in this case main insolvency proceedings opened in the High Court of Dublin), any proceedings opened </w:t>
      </w:r>
      <w:r w:rsidR="00B673B6">
        <w:rPr>
          <w:rFonts w:ascii="Arial" w:hAnsi="Arial" w:cs="Arial"/>
          <w:color w:val="7B7B7B" w:themeColor="accent3" w:themeShade="BF"/>
          <w:sz w:val="22"/>
          <w:szCs w:val="22"/>
          <w:lang w:val="en-GB"/>
        </w:rPr>
        <w:t>subsequently</w:t>
      </w:r>
      <w:r w:rsidR="00B65730">
        <w:rPr>
          <w:rFonts w:ascii="Arial" w:hAnsi="Arial" w:cs="Arial"/>
          <w:color w:val="7B7B7B" w:themeColor="accent3" w:themeShade="BF"/>
          <w:sz w:val="22"/>
          <w:szCs w:val="22"/>
          <w:lang w:val="en-GB"/>
        </w:rPr>
        <w:t xml:space="preserve"> shall be secondary proceedings.</w:t>
      </w:r>
      <w:r w:rsidR="00CA2EE3">
        <w:rPr>
          <w:rFonts w:ascii="Arial" w:hAnsi="Arial" w:cs="Arial"/>
          <w:color w:val="7B7B7B" w:themeColor="accent3" w:themeShade="BF"/>
          <w:sz w:val="22"/>
          <w:szCs w:val="22"/>
          <w:lang w:val="en-GB"/>
        </w:rPr>
        <w:t xml:space="preserve"> Chapter III of EIR Recast contains detailed provisions on secondary proceedings.</w:t>
      </w:r>
    </w:p>
    <w:p w14:paraId="228320C2" w14:textId="1B8C88F2" w:rsidR="00B673B6" w:rsidRDefault="00B673B6" w:rsidP="002A37BB">
      <w:pPr>
        <w:jc w:val="both"/>
        <w:rPr>
          <w:rFonts w:ascii="Arial" w:hAnsi="Arial" w:cs="Arial"/>
          <w:color w:val="7B7B7B" w:themeColor="accent3" w:themeShade="BF"/>
          <w:sz w:val="22"/>
          <w:szCs w:val="22"/>
          <w:lang w:val="en-GB"/>
        </w:rPr>
      </w:pPr>
    </w:p>
    <w:p w14:paraId="77CE8695" w14:textId="447D17A8" w:rsidR="0077498C" w:rsidRPr="00EE0BBB" w:rsidRDefault="00B673B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According to the facts, Cardinal home had warehouses in various EU members states including Milan, Italy. Therefore, the Italian bank can file secondary proceedings in Italy</w:t>
      </w:r>
      <w:r w:rsidR="007A4081">
        <w:rPr>
          <w:rFonts w:ascii="Arial" w:hAnsi="Arial" w:cs="Arial"/>
          <w:color w:val="7B7B7B" w:themeColor="accent3" w:themeShade="BF"/>
          <w:sz w:val="22"/>
          <w:szCs w:val="22"/>
          <w:lang w:val="en-GB"/>
        </w:rPr>
        <w:t>.</w:t>
      </w:r>
      <w:r w:rsidR="00EE0BBB">
        <w:rPr>
          <w:rFonts w:ascii="Arial" w:hAnsi="Arial" w:cs="Arial"/>
          <w:color w:val="7B7B7B" w:themeColor="accent3" w:themeShade="BF"/>
          <w:sz w:val="22"/>
          <w:szCs w:val="22"/>
          <w:lang w:val="en-GB"/>
        </w:rPr>
        <w:t xml:space="preserve"> In the </w:t>
      </w:r>
      <w:r w:rsidR="00EE0BBB" w:rsidRPr="00921478">
        <w:rPr>
          <w:rFonts w:ascii="Arial" w:hAnsi="Arial" w:cs="Arial"/>
          <w:b/>
          <w:bCs/>
          <w:color w:val="7B7B7B" w:themeColor="accent3" w:themeShade="BF"/>
          <w:sz w:val="22"/>
          <w:szCs w:val="22"/>
          <w:lang w:val="en-GB"/>
        </w:rPr>
        <w:t>Burgo Group SpA</w:t>
      </w:r>
      <w:r w:rsidR="0033768C" w:rsidRPr="00921478">
        <w:rPr>
          <w:rFonts w:ascii="Arial" w:hAnsi="Arial" w:cs="Arial"/>
          <w:b/>
          <w:bCs/>
          <w:color w:val="7B7B7B" w:themeColor="accent3" w:themeShade="BF"/>
          <w:sz w:val="22"/>
          <w:szCs w:val="22"/>
          <w:lang w:val="en-GB"/>
        </w:rPr>
        <w:t xml:space="preserve"> </w:t>
      </w:r>
      <w:r w:rsidR="00EE0BBB" w:rsidRPr="00921478">
        <w:rPr>
          <w:rFonts w:ascii="Arial" w:hAnsi="Arial" w:cs="Arial"/>
          <w:b/>
          <w:bCs/>
          <w:color w:val="7B7B7B" w:themeColor="accent3" w:themeShade="BF"/>
          <w:sz w:val="22"/>
          <w:szCs w:val="22"/>
          <w:lang w:val="en-GB"/>
        </w:rPr>
        <w:t>v Illochroma SA</w:t>
      </w:r>
      <w:r w:rsidR="00EE0BBB">
        <w:rPr>
          <w:rFonts w:ascii="Arial" w:hAnsi="Arial" w:cs="Arial"/>
          <w:color w:val="7B7B7B" w:themeColor="accent3" w:themeShade="BF"/>
          <w:sz w:val="22"/>
          <w:szCs w:val="22"/>
          <w:lang w:val="en-GB"/>
        </w:rPr>
        <w:t xml:space="preserve"> case, the CJEU permitted opening of secondary proceedings in the member state where the debtor was registered since main proceedings has been opened in another member state.</w:t>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0976" w14:textId="77777777" w:rsidR="00BE1399" w:rsidRDefault="00BE1399" w:rsidP="00241B44">
      <w:r>
        <w:separator/>
      </w:r>
    </w:p>
  </w:endnote>
  <w:endnote w:type="continuationSeparator" w:id="0">
    <w:p w14:paraId="7575864D" w14:textId="77777777" w:rsidR="00BE1399" w:rsidRDefault="00BE139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49C15EEA" w:rsidR="00D509A5" w:rsidRPr="009B4976" w:rsidRDefault="00A13A14" w:rsidP="009B4976">
    <w:pPr>
      <w:pStyle w:val="Footer"/>
      <w:ind w:right="360"/>
      <w:rPr>
        <w:rFonts w:ascii="Arial" w:hAnsi="Arial" w:cs="Arial"/>
        <w:sz w:val="18"/>
        <w:szCs w:val="18"/>
        <w:lang w:val="en-GB"/>
      </w:rPr>
    </w:pPr>
    <w:r>
      <w:t>202122-508</w:t>
    </w:r>
    <w:r w:rsidR="00D509A5" w:rsidRPr="009B4976">
      <w:rPr>
        <w:rFonts w:ascii="Arial" w:hAnsi="Arial" w:cs="Arial"/>
        <w:sz w:val="18"/>
        <w:szCs w:val="18"/>
        <w:lang w:val="en-GB"/>
      </w:rPr>
      <w:t>.assessment2B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8F9A" w14:textId="77777777" w:rsidR="00A13A14" w:rsidRDefault="00A13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A53E" w14:textId="77777777" w:rsidR="00BE1399" w:rsidRDefault="00BE1399" w:rsidP="00241B44">
      <w:r>
        <w:separator/>
      </w:r>
    </w:p>
  </w:footnote>
  <w:footnote w:type="continuationSeparator" w:id="0">
    <w:p w14:paraId="35DAF8A5" w14:textId="77777777" w:rsidR="00BE1399" w:rsidRDefault="00BE1399"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723F" w14:textId="77777777" w:rsidR="00A13A14" w:rsidRDefault="00A13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E369" w14:textId="77777777" w:rsidR="00A13A14" w:rsidRDefault="00A13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3AD8" w14:textId="77777777" w:rsidR="00A13A14" w:rsidRDefault="00A13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4D3"/>
    <w:multiLevelType w:val="hybridMultilevel"/>
    <w:tmpl w:val="F08E3C7A"/>
    <w:lvl w:ilvl="0" w:tplc="A2A04DF4">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D5A74"/>
    <w:multiLevelType w:val="hybridMultilevel"/>
    <w:tmpl w:val="7AFA4B20"/>
    <w:lvl w:ilvl="0" w:tplc="36F25F5A">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37746C2"/>
    <w:multiLevelType w:val="hybridMultilevel"/>
    <w:tmpl w:val="2A043160"/>
    <w:lvl w:ilvl="0" w:tplc="FC6A0F96">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D344E21"/>
    <w:multiLevelType w:val="hybridMultilevel"/>
    <w:tmpl w:val="3A265570"/>
    <w:lvl w:ilvl="0" w:tplc="A6823596">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896623892">
    <w:abstractNumId w:val="3"/>
  </w:num>
  <w:num w:numId="2" w16cid:durableId="1391150667">
    <w:abstractNumId w:val="11"/>
  </w:num>
  <w:num w:numId="3" w16cid:durableId="1554342619">
    <w:abstractNumId w:val="5"/>
  </w:num>
  <w:num w:numId="4" w16cid:durableId="215892197">
    <w:abstractNumId w:val="14"/>
  </w:num>
  <w:num w:numId="5" w16cid:durableId="16394558">
    <w:abstractNumId w:val="10"/>
  </w:num>
  <w:num w:numId="6" w16cid:durableId="1636332272">
    <w:abstractNumId w:val="12"/>
  </w:num>
  <w:num w:numId="7" w16cid:durableId="545726437">
    <w:abstractNumId w:val="2"/>
  </w:num>
  <w:num w:numId="8" w16cid:durableId="1238634592">
    <w:abstractNumId w:val="7"/>
  </w:num>
  <w:num w:numId="9" w16cid:durableId="1929805558">
    <w:abstractNumId w:val="6"/>
  </w:num>
  <w:num w:numId="10" w16cid:durableId="1617130412">
    <w:abstractNumId w:val="4"/>
  </w:num>
  <w:num w:numId="11" w16cid:durableId="493379119">
    <w:abstractNumId w:val="9"/>
  </w:num>
  <w:num w:numId="12" w16cid:durableId="391735041">
    <w:abstractNumId w:val="13"/>
  </w:num>
  <w:num w:numId="13" w16cid:durableId="510723735">
    <w:abstractNumId w:val="8"/>
  </w:num>
  <w:num w:numId="14" w16cid:durableId="1654337696">
    <w:abstractNumId w:val="1"/>
  </w:num>
  <w:num w:numId="15" w16cid:durableId="8221150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20557"/>
    <w:rsid w:val="000250C7"/>
    <w:rsid w:val="00026F16"/>
    <w:rsid w:val="00037621"/>
    <w:rsid w:val="00041B32"/>
    <w:rsid w:val="00044D46"/>
    <w:rsid w:val="00045088"/>
    <w:rsid w:val="00045904"/>
    <w:rsid w:val="00064760"/>
    <w:rsid w:val="00065166"/>
    <w:rsid w:val="00082609"/>
    <w:rsid w:val="000828B8"/>
    <w:rsid w:val="00082A73"/>
    <w:rsid w:val="00084956"/>
    <w:rsid w:val="000851CC"/>
    <w:rsid w:val="00087CD6"/>
    <w:rsid w:val="00093BE8"/>
    <w:rsid w:val="000A68ED"/>
    <w:rsid w:val="000A7BF9"/>
    <w:rsid w:val="000B5FF1"/>
    <w:rsid w:val="000B609F"/>
    <w:rsid w:val="000C088F"/>
    <w:rsid w:val="000D55A8"/>
    <w:rsid w:val="000E4841"/>
    <w:rsid w:val="000E5661"/>
    <w:rsid w:val="000E6415"/>
    <w:rsid w:val="000F0E77"/>
    <w:rsid w:val="000F1677"/>
    <w:rsid w:val="000F3D6C"/>
    <w:rsid w:val="00101707"/>
    <w:rsid w:val="00113E29"/>
    <w:rsid w:val="0011473D"/>
    <w:rsid w:val="0011548B"/>
    <w:rsid w:val="00115C85"/>
    <w:rsid w:val="00122706"/>
    <w:rsid w:val="00123855"/>
    <w:rsid w:val="00126A4D"/>
    <w:rsid w:val="00140E9B"/>
    <w:rsid w:val="0014171F"/>
    <w:rsid w:val="00144039"/>
    <w:rsid w:val="00144802"/>
    <w:rsid w:val="0014622C"/>
    <w:rsid w:val="00152348"/>
    <w:rsid w:val="0015456D"/>
    <w:rsid w:val="00155FA2"/>
    <w:rsid w:val="00156857"/>
    <w:rsid w:val="00161F1B"/>
    <w:rsid w:val="00162829"/>
    <w:rsid w:val="00174DC4"/>
    <w:rsid w:val="00175A7D"/>
    <w:rsid w:val="00176C7F"/>
    <w:rsid w:val="00180548"/>
    <w:rsid w:val="00180AC4"/>
    <w:rsid w:val="00180CCE"/>
    <w:rsid w:val="0018267A"/>
    <w:rsid w:val="00182779"/>
    <w:rsid w:val="001830DF"/>
    <w:rsid w:val="00187A34"/>
    <w:rsid w:val="001951DC"/>
    <w:rsid w:val="00196541"/>
    <w:rsid w:val="001966D9"/>
    <w:rsid w:val="001A7E9A"/>
    <w:rsid w:val="001B0F70"/>
    <w:rsid w:val="001B5016"/>
    <w:rsid w:val="001C45FC"/>
    <w:rsid w:val="001C69ED"/>
    <w:rsid w:val="001D0469"/>
    <w:rsid w:val="001D4862"/>
    <w:rsid w:val="001D6E1C"/>
    <w:rsid w:val="001E0DB1"/>
    <w:rsid w:val="001E25B9"/>
    <w:rsid w:val="001E49E0"/>
    <w:rsid w:val="001E5F8A"/>
    <w:rsid w:val="001E7B5A"/>
    <w:rsid w:val="001F7412"/>
    <w:rsid w:val="00202DFE"/>
    <w:rsid w:val="00203720"/>
    <w:rsid w:val="002048FE"/>
    <w:rsid w:val="002063ED"/>
    <w:rsid w:val="0020725B"/>
    <w:rsid w:val="00210D7A"/>
    <w:rsid w:val="002110F1"/>
    <w:rsid w:val="00213B04"/>
    <w:rsid w:val="00222FB5"/>
    <w:rsid w:val="0024116D"/>
    <w:rsid w:val="00241B44"/>
    <w:rsid w:val="00241FA3"/>
    <w:rsid w:val="00244C44"/>
    <w:rsid w:val="00245EFB"/>
    <w:rsid w:val="00246C18"/>
    <w:rsid w:val="0025386E"/>
    <w:rsid w:val="002547A1"/>
    <w:rsid w:val="00257AF0"/>
    <w:rsid w:val="002638B0"/>
    <w:rsid w:val="0026647A"/>
    <w:rsid w:val="002668D3"/>
    <w:rsid w:val="0027299F"/>
    <w:rsid w:val="00284EBE"/>
    <w:rsid w:val="0029433F"/>
    <w:rsid w:val="00294829"/>
    <w:rsid w:val="0029641F"/>
    <w:rsid w:val="0029690F"/>
    <w:rsid w:val="00297C8A"/>
    <w:rsid w:val="002A2A60"/>
    <w:rsid w:val="002A37BB"/>
    <w:rsid w:val="002B1C45"/>
    <w:rsid w:val="002C13C8"/>
    <w:rsid w:val="002C3547"/>
    <w:rsid w:val="002C3C6A"/>
    <w:rsid w:val="002D0021"/>
    <w:rsid w:val="002D3473"/>
    <w:rsid w:val="002E4CF1"/>
    <w:rsid w:val="002F1956"/>
    <w:rsid w:val="002F3440"/>
    <w:rsid w:val="002F3F47"/>
    <w:rsid w:val="002F75A3"/>
    <w:rsid w:val="00303C2F"/>
    <w:rsid w:val="00313C51"/>
    <w:rsid w:val="003144EF"/>
    <w:rsid w:val="00314AFF"/>
    <w:rsid w:val="003252C2"/>
    <w:rsid w:val="00326292"/>
    <w:rsid w:val="00326415"/>
    <w:rsid w:val="00330937"/>
    <w:rsid w:val="00330F31"/>
    <w:rsid w:val="00331480"/>
    <w:rsid w:val="00334648"/>
    <w:rsid w:val="0033768C"/>
    <w:rsid w:val="00337938"/>
    <w:rsid w:val="00340769"/>
    <w:rsid w:val="00341AA6"/>
    <w:rsid w:val="0034705B"/>
    <w:rsid w:val="003525B6"/>
    <w:rsid w:val="0035779B"/>
    <w:rsid w:val="00361A0A"/>
    <w:rsid w:val="00364836"/>
    <w:rsid w:val="003650E5"/>
    <w:rsid w:val="0036565C"/>
    <w:rsid w:val="0036625E"/>
    <w:rsid w:val="00366415"/>
    <w:rsid w:val="00372311"/>
    <w:rsid w:val="0037465A"/>
    <w:rsid w:val="00375D11"/>
    <w:rsid w:val="00382C98"/>
    <w:rsid w:val="0038533C"/>
    <w:rsid w:val="00386568"/>
    <w:rsid w:val="00390B57"/>
    <w:rsid w:val="003948D5"/>
    <w:rsid w:val="00396821"/>
    <w:rsid w:val="00397D3A"/>
    <w:rsid w:val="003A051E"/>
    <w:rsid w:val="003B0A27"/>
    <w:rsid w:val="003B170F"/>
    <w:rsid w:val="003B27F3"/>
    <w:rsid w:val="003B3C5F"/>
    <w:rsid w:val="003C3371"/>
    <w:rsid w:val="003C4342"/>
    <w:rsid w:val="003C4471"/>
    <w:rsid w:val="003C4BCB"/>
    <w:rsid w:val="003D0A6D"/>
    <w:rsid w:val="003D1974"/>
    <w:rsid w:val="003D7C0C"/>
    <w:rsid w:val="003E0B16"/>
    <w:rsid w:val="003E2B0E"/>
    <w:rsid w:val="003E4DB0"/>
    <w:rsid w:val="003E67D1"/>
    <w:rsid w:val="00404329"/>
    <w:rsid w:val="00405DC1"/>
    <w:rsid w:val="00415F1F"/>
    <w:rsid w:val="004202D2"/>
    <w:rsid w:val="0042108F"/>
    <w:rsid w:val="00430FED"/>
    <w:rsid w:val="00434A8C"/>
    <w:rsid w:val="00437297"/>
    <w:rsid w:val="00444284"/>
    <w:rsid w:val="0044574C"/>
    <w:rsid w:val="00445CE6"/>
    <w:rsid w:val="004523E2"/>
    <w:rsid w:val="004534C2"/>
    <w:rsid w:val="0045446F"/>
    <w:rsid w:val="0045683E"/>
    <w:rsid w:val="00457CA3"/>
    <w:rsid w:val="00465BFF"/>
    <w:rsid w:val="00473D43"/>
    <w:rsid w:val="00477C72"/>
    <w:rsid w:val="00490F29"/>
    <w:rsid w:val="00491675"/>
    <w:rsid w:val="0049289E"/>
    <w:rsid w:val="00493855"/>
    <w:rsid w:val="00495E79"/>
    <w:rsid w:val="0049649C"/>
    <w:rsid w:val="004A0692"/>
    <w:rsid w:val="004A57DD"/>
    <w:rsid w:val="004A7B51"/>
    <w:rsid w:val="004A7D71"/>
    <w:rsid w:val="004A7EF3"/>
    <w:rsid w:val="004B11FD"/>
    <w:rsid w:val="004B23A2"/>
    <w:rsid w:val="004B2C11"/>
    <w:rsid w:val="004C0D03"/>
    <w:rsid w:val="004C0D33"/>
    <w:rsid w:val="004C1E6B"/>
    <w:rsid w:val="004D1A5A"/>
    <w:rsid w:val="004D2FFF"/>
    <w:rsid w:val="004D3721"/>
    <w:rsid w:val="004D64F9"/>
    <w:rsid w:val="004E3732"/>
    <w:rsid w:val="004E3A6B"/>
    <w:rsid w:val="004E622C"/>
    <w:rsid w:val="004E7223"/>
    <w:rsid w:val="004F3B1A"/>
    <w:rsid w:val="004F4AF9"/>
    <w:rsid w:val="004F5FDF"/>
    <w:rsid w:val="0050365F"/>
    <w:rsid w:val="00514AA4"/>
    <w:rsid w:val="005177FE"/>
    <w:rsid w:val="0052263B"/>
    <w:rsid w:val="00524728"/>
    <w:rsid w:val="005300DF"/>
    <w:rsid w:val="005331CA"/>
    <w:rsid w:val="00537970"/>
    <w:rsid w:val="00540E3A"/>
    <w:rsid w:val="00544127"/>
    <w:rsid w:val="00544D52"/>
    <w:rsid w:val="00544F6E"/>
    <w:rsid w:val="005463A9"/>
    <w:rsid w:val="00553EB2"/>
    <w:rsid w:val="00560534"/>
    <w:rsid w:val="0056391B"/>
    <w:rsid w:val="005650E2"/>
    <w:rsid w:val="00567AD7"/>
    <w:rsid w:val="00575B2D"/>
    <w:rsid w:val="005833D0"/>
    <w:rsid w:val="005846F3"/>
    <w:rsid w:val="0058622F"/>
    <w:rsid w:val="00591280"/>
    <w:rsid w:val="00592F82"/>
    <w:rsid w:val="005A0CCA"/>
    <w:rsid w:val="005A6199"/>
    <w:rsid w:val="005A726D"/>
    <w:rsid w:val="005B67AC"/>
    <w:rsid w:val="005B79F4"/>
    <w:rsid w:val="005C6675"/>
    <w:rsid w:val="005D2CD6"/>
    <w:rsid w:val="005D43E0"/>
    <w:rsid w:val="005D58A3"/>
    <w:rsid w:val="005E1B79"/>
    <w:rsid w:val="005E6A50"/>
    <w:rsid w:val="005E7008"/>
    <w:rsid w:val="005E784A"/>
    <w:rsid w:val="005F026D"/>
    <w:rsid w:val="005F2AEA"/>
    <w:rsid w:val="005F2D0B"/>
    <w:rsid w:val="005F4B31"/>
    <w:rsid w:val="00610388"/>
    <w:rsid w:val="00611DE6"/>
    <w:rsid w:val="00612CA5"/>
    <w:rsid w:val="006153EC"/>
    <w:rsid w:val="00621A17"/>
    <w:rsid w:val="00627CC9"/>
    <w:rsid w:val="00627DE9"/>
    <w:rsid w:val="00627E7B"/>
    <w:rsid w:val="00630542"/>
    <w:rsid w:val="006305BC"/>
    <w:rsid w:val="00632E44"/>
    <w:rsid w:val="00634622"/>
    <w:rsid w:val="00636808"/>
    <w:rsid w:val="00636C15"/>
    <w:rsid w:val="00641515"/>
    <w:rsid w:val="00654B27"/>
    <w:rsid w:val="00654C2F"/>
    <w:rsid w:val="00656DA7"/>
    <w:rsid w:val="00657087"/>
    <w:rsid w:val="006603F1"/>
    <w:rsid w:val="006639DB"/>
    <w:rsid w:val="0066506E"/>
    <w:rsid w:val="006661EF"/>
    <w:rsid w:val="00677AEB"/>
    <w:rsid w:val="00680EF2"/>
    <w:rsid w:val="00685099"/>
    <w:rsid w:val="00687A1D"/>
    <w:rsid w:val="00696ED8"/>
    <w:rsid w:val="00697EA1"/>
    <w:rsid w:val="006A04D3"/>
    <w:rsid w:val="006A1671"/>
    <w:rsid w:val="006A2646"/>
    <w:rsid w:val="006A6530"/>
    <w:rsid w:val="006B435A"/>
    <w:rsid w:val="006B4C64"/>
    <w:rsid w:val="006C19A3"/>
    <w:rsid w:val="006C5D28"/>
    <w:rsid w:val="006D217A"/>
    <w:rsid w:val="006D6BD5"/>
    <w:rsid w:val="006D6C5F"/>
    <w:rsid w:val="006E481A"/>
    <w:rsid w:val="006E5287"/>
    <w:rsid w:val="006E5298"/>
    <w:rsid w:val="006F0106"/>
    <w:rsid w:val="006F2B12"/>
    <w:rsid w:val="006F4A78"/>
    <w:rsid w:val="006F734A"/>
    <w:rsid w:val="00700D83"/>
    <w:rsid w:val="00703AEE"/>
    <w:rsid w:val="00704852"/>
    <w:rsid w:val="007074E9"/>
    <w:rsid w:val="00713DA4"/>
    <w:rsid w:val="00714BF1"/>
    <w:rsid w:val="00721383"/>
    <w:rsid w:val="0073158B"/>
    <w:rsid w:val="007333CC"/>
    <w:rsid w:val="0073399A"/>
    <w:rsid w:val="00751A17"/>
    <w:rsid w:val="007603F5"/>
    <w:rsid w:val="00764DB0"/>
    <w:rsid w:val="0076764D"/>
    <w:rsid w:val="0077498C"/>
    <w:rsid w:val="007772BD"/>
    <w:rsid w:val="007809BC"/>
    <w:rsid w:val="00782EE1"/>
    <w:rsid w:val="00784128"/>
    <w:rsid w:val="00784A7E"/>
    <w:rsid w:val="00792B4C"/>
    <w:rsid w:val="00793173"/>
    <w:rsid w:val="007A107A"/>
    <w:rsid w:val="007A2A33"/>
    <w:rsid w:val="007A4081"/>
    <w:rsid w:val="007A4651"/>
    <w:rsid w:val="007A6B8D"/>
    <w:rsid w:val="007A7B20"/>
    <w:rsid w:val="007B20DE"/>
    <w:rsid w:val="007C1FCC"/>
    <w:rsid w:val="007C50AA"/>
    <w:rsid w:val="007C6201"/>
    <w:rsid w:val="007D7C92"/>
    <w:rsid w:val="007E088E"/>
    <w:rsid w:val="007E1154"/>
    <w:rsid w:val="007E39B3"/>
    <w:rsid w:val="007E44C4"/>
    <w:rsid w:val="007E4B85"/>
    <w:rsid w:val="007E6BA4"/>
    <w:rsid w:val="007F41F8"/>
    <w:rsid w:val="007F6A57"/>
    <w:rsid w:val="00800B1B"/>
    <w:rsid w:val="00800B76"/>
    <w:rsid w:val="008017F0"/>
    <w:rsid w:val="0080454E"/>
    <w:rsid w:val="00804C32"/>
    <w:rsid w:val="00804DA6"/>
    <w:rsid w:val="00806302"/>
    <w:rsid w:val="00807119"/>
    <w:rsid w:val="00817F91"/>
    <w:rsid w:val="0082483F"/>
    <w:rsid w:val="008279C0"/>
    <w:rsid w:val="00841051"/>
    <w:rsid w:val="008500BD"/>
    <w:rsid w:val="00860723"/>
    <w:rsid w:val="008723F3"/>
    <w:rsid w:val="00874240"/>
    <w:rsid w:val="00881DE6"/>
    <w:rsid w:val="008837A6"/>
    <w:rsid w:val="008846A7"/>
    <w:rsid w:val="0089145D"/>
    <w:rsid w:val="00894C1D"/>
    <w:rsid w:val="00897A78"/>
    <w:rsid w:val="008A4DF2"/>
    <w:rsid w:val="008A6CFE"/>
    <w:rsid w:val="008B5333"/>
    <w:rsid w:val="008B6223"/>
    <w:rsid w:val="008C4AC6"/>
    <w:rsid w:val="008C66E0"/>
    <w:rsid w:val="008D62F7"/>
    <w:rsid w:val="008E0EC8"/>
    <w:rsid w:val="008E3339"/>
    <w:rsid w:val="008E7371"/>
    <w:rsid w:val="008F20FC"/>
    <w:rsid w:val="008F5FFE"/>
    <w:rsid w:val="00905A43"/>
    <w:rsid w:val="00912C79"/>
    <w:rsid w:val="00914A23"/>
    <w:rsid w:val="00914FF7"/>
    <w:rsid w:val="00921478"/>
    <w:rsid w:val="00935A21"/>
    <w:rsid w:val="00936ECC"/>
    <w:rsid w:val="00942123"/>
    <w:rsid w:val="0095207B"/>
    <w:rsid w:val="00957061"/>
    <w:rsid w:val="00962045"/>
    <w:rsid w:val="00967219"/>
    <w:rsid w:val="00971896"/>
    <w:rsid w:val="00980E61"/>
    <w:rsid w:val="00987AFC"/>
    <w:rsid w:val="00991428"/>
    <w:rsid w:val="00992676"/>
    <w:rsid w:val="009954B2"/>
    <w:rsid w:val="00996691"/>
    <w:rsid w:val="009B0723"/>
    <w:rsid w:val="009B07AD"/>
    <w:rsid w:val="009B0883"/>
    <w:rsid w:val="009B15E2"/>
    <w:rsid w:val="009B21E9"/>
    <w:rsid w:val="009B4976"/>
    <w:rsid w:val="009C0B8E"/>
    <w:rsid w:val="009C1BC8"/>
    <w:rsid w:val="009C2442"/>
    <w:rsid w:val="009C5E52"/>
    <w:rsid w:val="009D0811"/>
    <w:rsid w:val="009D0EE1"/>
    <w:rsid w:val="009E2AEB"/>
    <w:rsid w:val="009E2E27"/>
    <w:rsid w:val="009E39B2"/>
    <w:rsid w:val="009E497E"/>
    <w:rsid w:val="009E4DE3"/>
    <w:rsid w:val="009F275E"/>
    <w:rsid w:val="00A02ABC"/>
    <w:rsid w:val="00A02DCA"/>
    <w:rsid w:val="00A047EE"/>
    <w:rsid w:val="00A11E80"/>
    <w:rsid w:val="00A12E48"/>
    <w:rsid w:val="00A13A14"/>
    <w:rsid w:val="00A17858"/>
    <w:rsid w:val="00A2274A"/>
    <w:rsid w:val="00A235B7"/>
    <w:rsid w:val="00A27A7A"/>
    <w:rsid w:val="00A407EF"/>
    <w:rsid w:val="00A46B4C"/>
    <w:rsid w:val="00A5117B"/>
    <w:rsid w:val="00A54CB5"/>
    <w:rsid w:val="00A60074"/>
    <w:rsid w:val="00A620A6"/>
    <w:rsid w:val="00A62AE3"/>
    <w:rsid w:val="00A62FDA"/>
    <w:rsid w:val="00A643C3"/>
    <w:rsid w:val="00A6627C"/>
    <w:rsid w:val="00A71019"/>
    <w:rsid w:val="00A81029"/>
    <w:rsid w:val="00A96489"/>
    <w:rsid w:val="00AB685C"/>
    <w:rsid w:val="00AB6C2D"/>
    <w:rsid w:val="00AC08F7"/>
    <w:rsid w:val="00AC3839"/>
    <w:rsid w:val="00AC7082"/>
    <w:rsid w:val="00AD2931"/>
    <w:rsid w:val="00AD32B5"/>
    <w:rsid w:val="00AD513F"/>
    <w:rsid w:val="00AD6870"/>
    <w:rsid w:val="00AE2316"/>
    <w:rsid w:val="00AE74BA"/>
    <w:rsid w:val="00AF228E"/>
    <w:rsid w:val="00B016A8"/>
    <w:rsid w:val="00B12499"/>
    <w:rsid w:val="00B12EF7"/>
    <w:rsid w:val="00B14819"/>
    <w:rsid w:val="00B15E2F"/>
    <w:rsid w:val="00B17AA9"/>
    <w:rsid w:val="00B30D9A"/>
    <w:rsid w:val="00B44713"/>
    <w:rsid w:val="00B56103"/>
    <w:rsid w:val="00B64929"/>
    <w:rsid w:val="00B65730"/>
    <w:rsid w:val="00B673B6"/>
    <w:rsid w:val="00B736DF"/>
    <w:rsid w:val="00B743D6"/>
    <w:rsid w:val="00B74FBD"/>
    <w:rsid w:val="00B77F46"/>
    <w:rsid w:val="00B82586"/>
    <w:rsid w:val="00B829A3"/>
    <w:rsid w:val="00B86DB1"/>
    <w:rsid w:val="00B87869"/>
    <w:rsid w:val="00B96CE3"/>
    <w:rsid w:val="00BA543A"/>
    <w:rsid w:val="00BB0F2B"/>
    <w:rsid w:val="00BB38D1"/>
    <w:rsid w:val="00BD73DA"/>
    <w:rsid w:val="00BE1399"/>
    <w:rsid w:val="00BE4FF3"/>
    <w:rsid w:val="00BF251F"/>
    <w:rsid w:val="00BF50F7"/>
    <w:rsid w:val="00BF7CAF"/>
    <w:rsid w:val="00C00B20"/>
    <w:rsid w:val="00C02F29"/>
    <w:rsid w:val="00C0759E"/>
    <w:rsid w:val="00C204E9"/>
    <w:rsid w:val="00C20AFE"/>
    <w:rsid w:val="00C22A25"/>
    <w:rsid w:val="00C22E07"/>
    <w:rsid w:val="00C35671"/>
    <w:rsid w:val="00C35B77"/>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87BCE"/>
    <w:rsid w:val="00C963D3"/>
    <w:rsid w:val="00CA2EE3"/>
    <w:rsid w:val="00CB0CB0"/>
    <w:rsid w:val="00CB1983"/>
    <w:rsid w:val="00CB2CBB"/>
    <w:rsid w:val="00CB7CAC"/>
    <w:rsid w:val="00CC5335"/>
    <w:rsid w:val="00CC5BA4"/>
    <w:rsid w:val="00CD4998"/>
    <w:rsid w:val="00CE1035"/>
    <w:rsid w:val="00CE6E50"/>
    <w:rsid w:val="00CF2367"/>
    <w:rsid w:val="00CF2819"/>
    <w:rsid w:val="00CF4F9D"/>
    <w:rsid w:val="00CF70DC"/>
    <w:rsid w:val="00D148DC"/>
    <w:rsid w:val="00D17FDC"/>
    <w:rsid w:val="00D21F62"/>
    <w:rsid w:val="00D26E26"/>
    <w:rsid w:val="00D4035D"/>
    <w:rsid w:val="00D43382"/>
    <w:rsid w:val="00D50718"/>
    <w:rsid w:val="00D509A5"/>
    <w:rsid w:val="00D56B4E"/>
    <w:rsid w:val="00D601DA"/>
    <w:rsid w:val="00D608A4"/>
    <w:rsid w:val="00D60E46"/>
    <w:rsid w:val="00D63EFD"/>
    <w:rsid w:val="00D651FD"/>
    <w:rsid w:val="00D75351"/>
    <w:rsid w:val="00D84752"/>
    <w:rsid w:val="00D86B3B"/>
    <w:rsid w:val="00D8748A"/>
    <w:rsid w:val="00D93196"/>
    <w:rsid w:val="00D95496"/>
    <w:rsid w:val="00DA0DC0"/>
    <w:rsid w:val="00DA62F8"/>
    <w:rsid w:val="00DB1D76"/>
    <w:rsid w:val="00DB243C"/>
    <w:rsid w:val="00DB39FF"/>
    <w:rsid w:val="00DB482A"/>
    <w:rsid w:val="00DB56F2"/>
    <w:rsid w:val="00DB6EF5"/>
    <w:rsid w:val="00DC3089"/>
    <w:rsid w:val="00DC4420"/>
    <w:rsid w:val="00DD0802"/>
    <w:rsid w:val="00DD2E11"/>
    <w:rsid w:val="00DD47EF"/>
    <w:rsid w:val="00DE03AF"/>
    <w:rsid w:val="00DE121C"/>
    <w:rsid w:val="00DE6633"/>
    <w:rsid w:val="00DF0864"/>
    <w:rsid w:val="00DF43CB"/>
    <w:rsid w:val="00DF75F8"/>
    <w:rsid w:val="00DF7A3A"/>
    <w:rsid w:val="00E00C00"/>
    <w:rsid w:val="00E03AF0"/>
    <w:rsid w:val="00E07C5A"/>
    <w:rsid w:val="00E1142C"/>
    <w:rsid w:val="00E12730"/>
    <w:rsid w:val="00E15BA9"/>
    <w:rsid w:val="00E26E19"/>
    <w:rsid w:val="00E30C8A"/>
    <w:rsid w:val="00E31DF3"/>
    <w:rsid w:val="00E36C9B"/>
    <w:rsid w:val="00E450A4"/>
    <w:rsid w:val="00E506BE"/>
    <w:rsid w:val="00E55547"/>
    <w:rsid w:val="00E56544"/>
    <w:rsid w:val="00E604A1"/>
    <w:rsid w:val="00E6302B"/>
    <w:rsid w:val="00E6452F"/>
    <w:rsid w:val="00E64F45"/>
    <w:rsid w:val="00E65E7B"/>
    <w:rsid w:val="00E6742D"/>
    <w:rsid w:val="00E71CB0"/>
    <w:rsid w:val="00E77C3D"/>
    <w:rsid w:val="00E81160"/>
    <w:rsid w:val="00E81ABF"/>
    <w:rsid w:val="00E83CE8"/>
    <w:rsid w:val="00E90991"/>
    <w:rsid w:val="00E909F0"/>
    <w:rsid w:val="00E90D47"/>
    <w:rsid w:val="00E93993"/>
    <w:rsid w:val="00E9597C"/>
    <w:rsid w:val="00E969EA"/>
    <w:rsid w:val="00EA0913"/>
    <w:rsid w:val="00EA5B00"/>
    <w:rsid w:val="00EB146B"/>
    <w:rsid w:val="00EB45AC"/>
    <w:rsid w:val="00EB5CA4"/>
    <w:rsid w:val="00EC00F9"/>
    <w:rsid w:val="00ED0BC4"/>
    <w:rsid w:val="00ED20E8"/>
    <w:rsid w:val="00ED472A"/>
    <w:rsid w:val="00ED54B6"/>
    <w:rsid w:val="00EE0BBB"/>
    <w:rsid w:val="00EE4971"/>
    <w:rsid w:val="00EF090E"/>
    <w:rsid w:val="00F033DA"/>
    <w:rsid w:val="00F13FB1"/>
    <w:rsid w:val="00F252C7"/>
    <w:rsid w:val="00F27CD8"/>
    <w:rsid w:val="00F30351"/>
    <w:rsid w:val="00F3323E"/>
    <w:rsid w:val="00F341F4"/>
    <w:rsid w:val="00F34F9D"/>
    <w:rsid w:val="00F35CCE"/>
    <w:rsid w:val="00F5524B"/>
    <w:rsid w:val="00F56221"/>
    <w:rsid w:val="00F60538"/>
    <w:rsid w:val="00F61DD2"/>
    <w:rsid w:val="00F66AFF"/>
    <w:rsid w:val="00F71433"/>
    <w:rsid w:val="00F72899"/>
    <w:rsid w:val="00F76CD4"/>
    <w:rsid w:val="00F778BB"/>
    <w:rsid w:val="00F814B4"/>
    <w:rsid w:val="00F83464"/>
    <w:rsid w:val="00F93BE7"/>
    <w:rsid w:val="00F95FC8"/>
    <w:rsid w:val="00F97C5B"/>
    <w:rsid w:val="00FA3D50"/>
    <w:rsid w:val="00FB084D"/>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4DDB"/>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5146</TotalTime>
  <Pages>12</Pages>
  <Words>4718</Words>
  <Characters>26897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winifred</cp:lastModifiedBy>
  <cp:revision>21</cp:revision>
  <cp:lastPrinted>2019-08-27T05:42:00Z</cp:lastPrinted>
  <dcterms:created xsi:type="dcterms:W3CDTF">2022-05-16T18:24:00Z</dcterms:created>
  <dcterms:modified xsi:type="dcterms:W3CDTF">2022-06-16T07:44:00Z</dcterms:modified>
</cp:coreProperties>
</file>