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30752490" w:rsidR="0011473D" w:rsidRPr="00C94C09" w:rsidRDefault="00C56B61"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 xml:space="preserve">SUMMATIVE (FORMAL) </w:t>
      </w:r>
      <w:r w:rsidR="009D0811" w:rsidRPr="00C94C09">
        <w:rPr>
          <w:rFonts w:ascii="Arial" w:hAnsi="Arial" w:cs="Arial"/>
          <w:b/>
          <w:color w:val="000000" w:themeColor="text1"/>
          <w:sz w:val="28"/>
          <w:szCs w:val="28"/>
          <w:lang w:val="en-GB"/>
        </w:rPr>
        <w:t xml:space="preserve">ASSESSMENT: MODULE </w:t>
      </w:r>
      <w:r w:rsidR="00C47BCE" w:rsidRPr="00C94C09">
        <w:rPr>
          <w:rFonts w:ascii="Arial" w:hAnsi="Arial" w:cs="Arial"/>
          <w:b/>
          <w:color w:val="000000" w:themeColor="text1"/>
          <w:sz w:val="28"/>
          <w:szCs w:val="28"/>
          <w:lang w:val="en-GB"/>
        </w:rPr>
        <w:t>8F</w:t>
      </w:r>
    </w:p>
    <w:p w14:paraId="1DCE41A2" w14:textId="0CB8A9C3" w:rsidR="002638B0" w:rsidRPr="00C94C09" w:rsidRDefault="002638B0"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4B074E8A" w:rsidR="002638B0" w:rsidRPr="00C94C09" w:rsidRDefault="00161927"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NEW ZEALAND</w:t>
      </w:r>
    </w:p>
    <w:p w14:paraId="5E119630"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0CF0A331"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94C09">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94C09">
        <w:rPr>
          <w:rFonts w:ascii="Arial" w:hAnsi="Arial" w:cs="Arial"/>
          <w:sz w:val="22"/>
          <w:szCs w:val="22"/>
          <w:lang w:val="en-GB" w:eastAsia="en-GB"/>
        </w:rPr>
        <w:t>1</w:t>
      </w:r>
      <w:r w:rsidRPr="001E23FD">
        <w:rPr>
          <w:rFonts w:ascii="Arial" w:hAnsi="Arial" w:cs="Arial"/>
          <w:sz w:val="22"/>
          <w:szCs w:val="22"/>
          <w:lang w:val="en-GB" w:eastAsia="en-GB"/>
        </w:rPr>
        <w:t>2</w:t>
      </w:r>
      <w:r w:rsidR="00C94C09">
        <w:rPr>
          <w:rFonts w:ascii="Arial" w:hAnsi="Arial" w:cs="Arial"/>
          <w:sz w:val="22"/>
          <w:szCs w:val="22"/>
          <w:lang w:val="en-GB" w:eastAsia="en-GB"/>
        </w:rPr>
        <w:t>2</w:t>
      </w:r>
      <w:r w:rsidRPr="001E23FD">
        <w:rPr>
          <w:rFonts w:ascii="Arial" w:hAnsi="Arial" w:cs="Arial"/>
          <w:sz w:val="22"/>
          <w:szCs w:val="22"/>
          <w:lang w:val="en-GB" w:eastAsia="en-GB"/>
        </w:rPr>
        <w:t>-3</w:t>
      </w:r>
      <w:r w:rsidR="00C94C09">
        <w:rPr>
          <w:rFonts w:ascii="Arial" w:hAnsi="Arial" w:cs="Arial"/>
          <w:sz w:val="22"/>
          <w:szCs w:val="22"/>
          <w:lang w:val="en-GB" w:eastAsia="en-GB"/>
        </w:rPr>
        <w:t>36</w:t>
      </w:r>
      <w:r w:rsidRPr="001E23FD">
        <w:rPr>
          <w:rFonts w:ascii="Arial" w:hAnsi="Arial" w:cs="Arial"/>
          <w:sz w:val="22"/>
          <w:szCs w:val="22"/>
          <w:lang w:val="en-GB" w:eastAsia="en-GB"/>
        </w:rPr>
        <w:t>.assessment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66591DD8"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C94C09">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C94C09">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proofErr w:type="gramStart"/>
      <w:r>
        <w:rPr>
          <w:rFonts w:ascii="Arial" w:hAnsi="Arial" w:cs="Arial"/>
          <w:sz w:val="22"/>
          <w:szCs w:val="22"/>
          <w:lang w:val="en-GB"/>
        </w:rPr>
        <w:t>c</w:t>
      </w:r>
      <w:r w:rsidR="0002240F" w:rsidRPr="00864D42">
        <w:rPr>
          <w:rFonts w:ascii="Arial" w:hAnsi="Arial" w:cs="Arial"/>
          <w:sz w:val="22"/>
          <w:szCs w:val="22"/>
          <w:lang w:val="en-GB"/>
        </w:rPr>
        <w:t>hallenge</w:t>
      </w:r>
      <w:proofErr w:type="gramEnd"/>
      <w:r w:rsidR="0002240F" w:rsidRPr="00864D42">
        <w:rPr>
          <w:rFonts w:ascii="Arial" w:hAnsi="Arial" w:cs="Arial"/>
          <w:sz w:val="22"/>
          <w:szCs w:val="22"/>
          <w:lang w:val="en-GB"/>
        </w:rPr>
        <w:t xml:space="preserv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proofErr w:type="gramStart"/>
      <w:r>
        <w:rPr>
          <w:rFonts w:ascii="Arial" w:hAnsi="Arial" w:cs="Arial"/>
          <w:sz w:val="22"/>
          <w:szCs w:val="22"/>
          <w:lang w:val="en-GB"/>
        </w:rPr>
        <w:t>a</w:t>
      </w:r>
      <w:r w:rsidR="0002240F" w:rsidRPr="00864D42">
        <w:rPr>
          <w:rFonts w:ascii="Arial" w:hAnsi="Arial" w:cs="Arial"/>
          <w:sz w:val="22"/>
          <w:szCs w:val="22"/>
          <w:lang w:val="en-GB"/>
        </w:rPr>
        <w:t>pply</w:t>
      </w:r>
      <w:proofErr w:type="gramEnd"/>
      <w:r w:rsidR="0002240F" w:rsidRPr="00864D42">
        <w:rPr>
          <w:rFonts w:ascii="Arial" w:hAnsi="Arial" w:cs="Arial"/>
          <w:sz w:val="22"/>
          <w:szCs w:val="22"/>
          <w:lang w:val="en-GB"/>
        </w:rPr>
        <w:t xml:space="preserve">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proofErr w:type="gramStart"/>
      <w:r>
        <w:rPr>
          <w:rFonts w:ascii="Arial" w:hAnsi="Arial" w:cs="Arial"/>
          <w:sz w:val="22"/>
          <w:szCs w:val="22"/>
          <w:lang w:val="en-GB"/>
        </w:rPr>
        <w:t>b</w:t>
      </w:r>
      <w:r w:rsidR="0002240F" w:rsidRPr="00864D42">
        <w:rPr>
          <w:rFonts w:ascii="Arial" w:hAnsi="Arial" w:cs="Arial"/>
          <w:sz w:val="22"/>
          <w:szCs w:val="22"/>
          <w:lang w:val="en-GB"/>
        </w:rPr>
        <w:t>ring</w:t>
      </w:r>
      <w:proofErr w:type="gramEnd"/>
      <w:r w:rsidR="0002240F" w:rsidRPr="00864D42">
        <w:rPr>
          <w:rFonts w:ascii="Arial" w:hAnsi="Arial" w:cs="Arial"/>
          <w:sz w:val="22"/>
          <w:szCs w:val="22"/>
          <w:lang w:val="en-GB"/>
        </w:rPr>
        <w:t xml:space="preserve">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7E6236" w:rsidRDefault="00846C93" w:rsidP="00864D42">
      <w:pPr>
        <w:pStyle w:val="ListParagraph"/>
        <w:numPr>
          <w:ilvl w:val="0"/>
          <w:numId w:val="33"/>
        </w:numPr>
        <w:ind w:left="426"/>
        <w:jc w:val="both"/>
        <w:rPr>
          <w:rFonts w:ascii="Arial" w:hAnsi="Arial" w:cs="Arial"/>
          <w:sz w:val="22"/>
          <w:szCs w:val="22"/>
          <w:highlight w:val="yellow"/>
          <w:lang w:val="en-GB"/>
        </w:rPr>
      </w:pPr>
      <w:proofErr w:type="gramStart"/>
      <w:r w:rsidRPr="007E6236">
        <w:rPr>
          <w:rFonts w:ascii="Arial" w:hAnsi="Arial" w:cs="Arial"/>
          <w:sz w:val="22"/>
          <w:szCs w:val="22"/>
          <w:highlight w:val="yellow"/>
          <w:lang w:val="en-GB"/>
        </w:rPr>
        <w:t>a</w:t>
      </w:r>
      <w:r w:rsidR="0002240F" w:rsidRPr="007E6236">
        <w:rPr>
          <w:rFonts w:ascii="Arial" w:hAnsi="Arial" w:cs="Arial"/>
          <w:sz w:val="22"/>
          <w:szCs w:val="22"/>
          <w:highlight w:val="yellow"/>
          <w:lang w:val="en-GB"/>
        </w:rPr>
        <w:t>pply</w:t>
      </w:r>
      <w:proofErr w:type="gramEnd"/>
      <w:r w:rsidR="0002240F" w:rsidRPr="007E6236">
        <w:rPr>
          <w:rFonts w:ascii="Arial" w:hAnsi="Arial" w:cs="Arial"/>
          <w:sz w:val="22"/>
          <w:szCs w:val="22"/>
          <w:highlight w:val="yellow"/>
          <w:lang w:val="en-GB"/>
        </w:rPr>
        <w:t xml:space="preserve">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C94C09">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7E6236" w:rsidRDefault="0002240F" w:rsidP="00864D42">
      <w:pPr>
        <w:pStyle w:val="ListParagraph"/>
        <w:numPr>
          <w:ilvl w:val="0"/>
          <w:numId w:val="34"/>
        </w:numPr>
        <w:ind w:left="426"/>
        <w:rPr>
          <w:rFonts w:ascii="Arial" w:hAnsi="Arial" w:cs="Arial"/>
          <w:sz w:val="22"/>
          <w:szCs w:val="22"/>
          <w:highlight w:val="yellow"/>
          <w:lang w:val="en-GB"/>
        </w:rPr>
      </w:pPr>
      <w:r w:rsidRPr="007E6236">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4408AEC7" w:rsidR="0002240F" w:rsidRDefault="0079290D" w:rsidP="00864D42">
      <w:pPr>
        <w:pStyle w:val="ListParagraph"/>
        <w:numPr>
          <w:ilvl w:val="0"/>
          <w:numId w:val="34"/>
        </w:numPr>
        <w:ind w:left="426"/>
        <w:rPr>
          <w:rFonts w:ascii="Arial" w:hAnsi="Arial" w:cs="Arial"/>
          <w:sz w:val="22"/>
          <w:szCs w:val="22"/>
          <w:lang w:val="en-GB"/>
        </w:rPr>
      </w:pPr>
      <w:r>
        <w:rPr>
          <w:rFonts w:ascii="Arial" w:hAnsi="Arial" w:cs="Arial"/>
          <w:sz w:val="22"/>
          <w:szCs w:val="22"/>
          <w:lang w:val="en-GB"/>
        </w:rPr>
        <w:t>Voluntary bankruptcy</w:t>
      </w:r>
      <w:r w:rsidR="0002240F" w:rsidRPr="00864D42">
        <w:rPr>
          <w:rFonts w:ascii="Arial" w:hAnsi="Arial" w:cs="Arial"/>
          <w:sz w:val="22"/>
          <w:szCs w:val="22"/>
          <w:lang w:val="en-GB"/>
        </w:rPr>
        <w: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4F47E3B9" w:rsidR="0002240F" w:rsidRDefault="0079290D" w:rsidP="0002240F">
      <w:pPr>
        <w:ind w:left="720" w:hanging="720"/>
        <w:rPr>
          <w:rFonts w:ascii="Arial" w:hAnsi="Arial" w:cs="Arial"/>
          <w:sz w:val="22"/>
          <w:szCs w:val="22"/>
          <w:lang w:val="en-GB"/>
        </w:rPr>
      </w:pPr>
      <w:r>
        <w:rPr>
          <w:rFonts w:ascii="Arial" w:hAnsi="Arial" w:cs="Arial"/>
          <w:sz w:val="22"/>
          <w:szCs w:val="22"/>
          <w:lang w:val="en-GB"/>
        </w:rPr>
        <w:t xml:space="preserve">Which one of the following </w:t>
      </w:r>
      <w:r w:rsidRPr="00C94C09">
        <w:rPr>
          <w:rFonts w:ascii="Arial" w:hAnsi="Arial" w:cs="Arial"/>
          <w:b/>
          <w:sz w:val="22"/>
          <w:szCs w:val="22"/>
          <w:u w:val="single"/>
          <w:lang w:val="en-GB"/>
        </w:rPr>
        <w:t>does not</w:t>
      </w:r>
      <w:r>
        <w:rPr>
          <w:rFonts w:ascii="Arial" w:hAnsi="Arial" w:cs="Arial"/>
          <w:sz w:val="22"/>
          <w:szCs w:val="22"/>
          <w:lang w:val="en-GB"/>
        </w:rPr>
        <w:t xml:space="preserve"> justify the use of v</w:t>
      </w:r>
      <w:r w:rsidR="0002240F">
        <w:rPr>
          <w:rFonts w:ascii="Arial" w:hAnsi="Arial" w:cs="Arial"/>
          <w:sz w:val="22"/>
          <w:szCs w:val="22"/>
          <w:lang w:val="en-GB"/>
        </w:rPr>
        <w:t xml:space="preserve">oluntary </w:t>
      </w:r>
      <w:proofErr w:type="gramStart"/>
      <w:r w:rsidR="0002240F">
        <w:rPr>
          <w:rFonts w:ascii="Arial" w:hAnsi="Arial" w:cs="Arial"/>
          <w:sz w:val="22"/>
          <w:szCs w:val="22"/>
          <w:lang w:val="en-GB"/>
        </w:rPr>
        <w:t>administration:</w:t>
      </w:r>
      <w:proofErr w:type="gramEnd"/>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7E6236" w:rsidRDefault="0002240F" w:rsidP="00864D42">
      <w:pPr>
        <w:pStyle w:val="ListParagraph"/>
        <w:numPr>
          <w:ilvl w:val="0"/>
          <w:numId w:val="35"/>
        </w:numPr>
        <w:ind w:left="426"/>
        <w:jc w:val="both"/>
        <w:rPr>
          <w:rFonts w:ascii="Arial" w:hAnsi="Arial" w:cs="Arial"/>
          <w:sz w:val="22"/>
          <w:szCs w:val="22"/>
          <w:highlight w:val="yellow"/>
          <w:lang w:val="en-GB"/>
        </w:rPr>
      </w:pPr>
      <w:r w:rsidRPr="007E6236">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216E049B"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864D42">
      <w:pPr>
        <w:pStyle w:val="ListParagraph"/>
        <w:numPr>
          <w:ilvl w:val="0"/>
          <w:numId w:val="36"/>
        </w:numPr>
        <w:ind w:left="426"/>
        <w:jc w:val="both"/>
        <w:rPr>
          <w:rFonts w:ascii="Arial" w:hAnsi="Arial" w:cs="Arial"/>
          <w:sz w:val="22"/>
          <w:szCs w:val="22"/>
          <w:lang w:val="en-GB"/>
        </w:rPr>
      </w:pPr>
      <w:proofErr w:type="gramStart"/>
      <w:r w:rsidRPr="00864D42">
        <w:rPr>
          <w:rFonts w:ascii="Arial" w:hAnsi="Arial" w:cs="Arial"/>
          <w:sz w:val="22"/>
          <w:szCs w:val="22"/>
          <w:lang w:val="en-GB"/>
        </w:rPr>
        <w:t>is</w:t>
      </w:r>
      <w:proofErr w:type="gramEnd"/>
      <w:r w:rsidRPr="00864D42">
        <w:rPr>
          <w:rFonts w:ascii="Arial" w:hAnsi="Arial" w:cs="Arial"/>
          <w:sz w:val="22"/>
          <w:szCs w:val="22"/>
          <w:lang w:val="en-GB"/>
        </w:rPr>
        <w:t xml:space="preserve">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proofErr w:type="gramStart"/>
      <w:r w:rsidRPr="00864D42">
        <w:rPr>
          <w:rFonts w:ascii="Arial" w:hAnsi="Arial" w:cs="Arial"/>
          <w:sz w:val="22"/>
          <w:szCs w:val="22"/>
          <w:lang w:val="en-GB"/>
        </w:rPr>
        <w:t>owes</w:t>
      </w:r>
      <w:proofErr w:type="gramEnd"/>
      <w:r w:rsidRPr="00864D42">
        <w:rPr>
          <w:rFonts w:ascii="Arial" w:hAnsi="Arial" w:cs="Arial"/>
          <w:sz w:val="22"/>
          <w:szCs w:val="22"/>
          <w:lang w:val="en-GB"/>
        </w:rPr>
        <w:t xml:space="preserve">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Pr="007E6236" w:rsidRDefault="0002240F" w:rsidP="00864D42">
      <w:pPr>
        <w:pStyle w:val="ListParagraph"/>
        <w:numPr>
          <w:ilvl w:val="0"/>
          <w:numId w:val="36"/>
        </w:numPr>
        <w:ind w:left="426"/>
        <w:jc w:val="both"/>
        <w:rPr>
          <w:rFonts w:ascii="Arial" w:hAnsi="Arial" w:cs="Arial"/>
          <w:sz w:val="22"/>
          <w:szCs w:val="22"/>
          <w:highlight w:val="yellow"/>
          <w:lang w:val="en-GB"/>
        </w:rPr>
      </w:pPr>
      <w:proofErr w:type="gramStart"/>
      <w:r w:rsidRPr="007E6236">
        <w:rPr>
          <w:rFonts w:ascii="Arial" w:hAnsi="Arial" w:cs="Arial"/>
          <w:sz w:val="22"/>
          <w:szCs w:val="22"/>
          <w:highlight w:val="yellow"/>
          <w:lang w:val="en-GB"/>
        </w:rPr>
        <w:t>is</w:t>
      </w:r>
      <w:proofErr w:type="gramEnd"/>
      <w:r w:rsidRPr="007E6236">
        <w:rPr>
          <w:rFonts w:ascii="Arial" w:hAnsi="Arial" w:cs="Arial"/>
          <w:sz w:val="22"/>
          <w:szCs w:val="22"/>
          <w:highlight w:val="yellow"/>
          <w:lang w:val="en-GB"/>
        </w:rPr>
        <w:t xml:space="preserve">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proofErr w:type="gramStart"/>
      <w:r w:rsidRPr="00864D42">
        <w:rPr>
          <w:rFonts w:ascii="Arial" w:hAnsi="Arial" w:cs="Arial"/>
          <w:sz w:val="22"/>
          <w:szCs w:val="22"/>
          <w:lang w:val="en-GB"/>
        </w:rPr>
        <w:t>is</w:t>
      </w:r>
      <w:proofErr w:type="gramEnd"/>
      <w:r w:rsidRPr="00864D42">
        <w:rPr>
          <w:rFonts w:ascii="Arial" w:hAnsi="Arial" w:cs="Arial"/>
          <w:sz w:val="22"/>
          <w:szCs w:val="22"/>
          <w:lang w:val="en-GB"/>
        </w:rPr>
        <w:t xml:space="preserve">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7E6236" w:rsidRDefault="0002240F" w:rsidP="00DF7FB9">
      <w:pPr>
        <w:pStyle w:val="ListParagraph"/>
        <w:numPr>
          <w:ilvl w:val="0"/>
          <w:numId w:val="37"/>
        </w:numPr>
        <w:ind w:left="426"/>
        <w:jc w:val="both"/>
        <w:rPr>
          <w:rFonts w:ascii="Arial" w:hAnsi="Arial" w:cs="Arial"/>
          <w:sz w:val="22"/>
          <w:szCs w:val="22"/>
          <w:highlight w:val="yellow"/>
          <w:lang w:val="en-GB"/>
        </w:rPr>
      </w:pPr>
      <w:r w:rsidRPr="007E6236">
        <w:rPr>
          <w:rFonts w:ascii="Arial" w:hAnsi="Arial" w:cs="Arial"/>
          <w:sz w:val="22"/>
          <w:szCs w:val="22"/>
          <w:highlight w:val="yellow"/>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059197F7" w:rsidR="0002240F" w:rsidRDefault="0002240F" w:rsidP="0002240F">
      <w:pPr>
        <w:jc w:val="both"/>
        <w:rPr>
          <w:rFonts w:ascii="Arial" w:hAnsi="Arial" w:cs="Arial"/>
          <w:sz w:val="22"/>
          <w:szCs w:val="22"/>
          <w:lang w:val="en-GB"/>
        </w:rPr>
      </w:pPr>
      <w:r>
        <w:rPr>
          <w:rFonts w:ascii="Arial" w:hAnsi="Arial" w:cs="Arial"/>
          <w:sz w:val="22"/>
          <w:szCs w:val="22"/>
          <w:lang w:val="en-GB"/>
        </w:rPr>
        <w:t xml:space="preserve">Assuming attachment has occurred, </w:t>
      </w:r>
      <w:r w:rsidR="0079290D">
        <w:rPr>
          <w:rFonts w:ascii="Arial" w:hAnsi="Arial" w:cs="Arial"/>
          <w:sz w:val="22"/>
          <w:szCs w:val="22"/>
          <w:lang w:val="en-GB"/>
        </w:rPr>
        <w:t>timing of registration of a</w:t>
      </w:r>
      <w:r>
        <w:rPr>
          <w:rFonts w:ascii="Arial" w:hAnsi="Arial" w:cs="Arial"/>
          <w:sz w:val="22"/>
          <w:szCs w:val="22"/>
          <w:lang w:val="en-GB"/>
        </w:rPr>
        <w:t xml:space="preserve">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proofErr w:type="gramStart"/>
      <w:r>
        <w:rPr>
          <w:rFonts w:ascii="Arial" w:hAnsi="Arial" w:cs="Arial"/>
          <w:sz w:val="22"/>
          <w:szCs w:val="22"/>
          <w:lang w:val="en-GB"/>
        </w:rPr>
        <w:t>c</w:t>
      </w:r>
      <w:r w:rsidR="0002240F" w:rsidRPr="00DF7FB9">
        <w:rPr>
          <w:rFonts w:ascii="Arial" w:hAnsi="Arial" w:cs="Arial"/>
          <w:sz w:val="22"/>
          <w:szCs w:val="22"/>
          <w:lang w:val="en-GB"/>
        </w:rPr>
        <w:t>reates</w:t>
      </w:r>
      <w:proofErr w:type="gramEnd"/>
      <w:r w:rsidR="0002240F" w:rsidRPr="00DF7FB9">
        <w:rPr>
          <w:rFonts w:ascii="Arial" w:hAnsi="Arial" w:cs="Arial"/>
          <w:sz w:val="22"/>
          <w:szCs w:val="22"/>
          <w:lang w:val="en-GB"/>
        </w:rPr>
        <w:t xml:space="preserve">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64D62D5E" w:rsidR="0002240F" w:rsidRDefault="0002240F" w:rsidP="00DF7FB9">
      <w:pPr>
        <w:pStyle w:val="ListParagraph"/>
        <w:numPr>
          <w:ilvl w:val="0"/>
          <w:numId w:val="38"/>
        </w:numPr>
        <w:ind w:left="426"/>
        <w:jc w:val="both"/>
        <w:rPr>
          <w:rFonts w:ascii="Arial" w:hAnsi="Arial" w:cs="Arial"/>
          <w:sz w:val="22"/>
          <w:szCs w:val="22"/>
          <w:lang w:val="en-GB"/>
        </w:rPr>
      </w:pPr>
      <w:proofErr w:type="gramStart"/>
      <w:r w:rsidRPr="00DF7FB9">
        <w:rPr>
          <w:rFonts w:ascii="Arial" w:hAnsi="Arial" w:cs="Arial"/>
          <w:sz w:val="22"/>
          <w:szCs w:val="22"/>
          <w:lang w:val="en-GB"/>
        </w:rPr>
        <w:t>perfect</w:t>
      </w:r>
      <w:r w:rsidR="0079290D">
        <w:rPr>
          <w:rFonts w:ascii="Arial" w:hAnsi="Arial" w:cs="Arial"/>
          <w:sz w:val="22"/>
          <w:szCs w:val="22"/>
          <w:lang w:val="en-GB"/>
        </w:rPr>
        <w:t>s</w:t>
      </w:r>
      <w:proofErr w:type="gramEnd"/>
      <w:r w:rsidRPr="00DF7FB9">
        <w:rPr>
          <w:rFonts w:ascii="Arial" w:hAnsi="Arial" w:cs="Arial"/>
          <w:sz w:val="22"/>
          <w:szCs w:val="22"/>
          <w:lang w:val="en-GB"/>
        </w:rPr>
        <w:t xml:space="preserve">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DF7FB9">
      <w:pPr>
        <w:pStyle w:val="ListParagraph"/>
        <w:numPr>
          <w:ilvl w:val="0"/>
          <w:numId w:val="38"/>
        </w:numPr>
        <w:ind w:left="426"/>
        <w:jc w:val="both"/>
        <w:rPr>
          <w:rFonts w:ascii="Arial" w:hAnsi="Arial" w:cs="Arial"/>
          <w:sz w:val="22"/>
          <w:szCs w:val="22"/>
          <w:lang w:val="en-GB"/>
        </w:rPr>
      </w:pPr>
      <w:proofErr w:type="gramStart"/>
      <w:r>
        <w:rPr>
          <w:rFonts w:ascii="Arial" w:hAnsi="Arial" w:cs="Arial"/>
          <w:sz w:val="22"/>
          <w:szCs w:val="22"/>
          <w:lang w:val="en-GB"/>
        </w:rPr>
        <w:t>i</w:t>
      </w:r>
      <w:r w:rsidR="0002240F" w:rsidRPr="00DF7FB9">
        <w:rPr>
          <w:rFonts w:ascii="Arial" w:hAnsi="Arial" w:cs="Arial"/>
          <w:sz w:val="22"/>
          <w:szCs w:val="22"/>
          <w:lang w:val="en-GB"/>
        </w:rPr>
        <w:t>s</w:t>
      </w:r>
      <w:proofErr w:type="gramEnd"/>
      <w:r w:rsidR="0002240F" w:rsidRPr="00DF7FB9">
        <w:rPr>
          <w:rFonts w:ascii="Arial" w:hAnsi="Arial" w:cs="Arial"/>
          <w:sz w:val="22"/>
          <w:szCs w:val="22"/>
          <w:lang w:val="en-GB"/>
        </w:rPr>
        <w:t xml:space="preserve">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7EBB8A94" w14:textId="2F464587" w:rsidR="0002240F" w:rsidRPr="007E6236" w:rsidRDefault="0002240F" w:rsidP="00C94C09">
      <w:pPr>
        <w:pStyle w:val="ListParagraph"/>
        <w:numPr>
          <w:ilvl w:val="0"/>
          <w:numId w:val="38"/>
        </w:numPr>
        <w:ind w:left="426"/>
        <w:jc w:val="both"/>
        <w:rPr>
          <w:rFonts w:ascii="Arial" w:hAnsi="Arial" w:cs="Arial"/>
          <w:sz w:val="22"/>
          <w:szCs w:val="22"/>
          <w:highlight w:val="yellow"/>
        </w:rPr>
      </w:pPr>
      <w:proofErr w:type="gramStart"/>
      <w:r w:rsidRPr="007E6236">
        <w:rPr>
          <w:rFonts w:ascii="Arial" w:hAnsi="Arial" w:cs="Arial"/>
          <w:sz w:val="22"/>
          <w:szCs w:val="22"/>
          <w:highlight w:val="yellow"/>
          <w:lang w:val="en-GB"/>
        </w:rPr>
        <w:t>determine</w:t>
      </w:r>
      <w:r w:rsidR="0079290D" w:rsidRPr="007E6236">
        <w:rPr>
          <w:rFonts w:ascii="Arial" w:hAnsi="Arial" w:cs="Arial"/>
          <w:sz w:val="22"/>
          <w:szCs w:val="22"/>
          <w:highlight w:val="yellow"/>
          <w:lang w:val="en-GB"/>
        </w:rPr>
        <w:t>s</w:t>
      </w:r>
      <w:proofErr w:type="gramEnd"/>
      <w:r w:rsidRPr="007E6236">
        <w:rPr>
          <w:rFonts w:ascii="Arial" w:hAnsi="Arial" w:cs="Arial"/>
          <w:sz w:val="22"/>
          <w:szCs w:val="22"/>
          <w:highlight w:val="yellow"/>
          <w:lang w:val="en-GB"/>
        </w:rPr>
        <w:t xml:space="preserve"> the order of priority between competing security interests</w:t>
      </w:r>
      <w:r w:rsidR="0079290D" w:rsidRPr="007E6236">
        <w:rPr>
          <w:rFonts w:ascii="Arial" w:hAnsi="Arial" w:cs="Arial"/>
          <w:sz w:val="22"/>
          <w:szCs w:val="22"/>
          <w:highlight w:val="yellow"/>
          <w:lang w:val="en-GB"/>
        </w:rPr>
        <w:t xml:space="preserve">. </w:t>
      </w:r>
    </w:p>
    <w:p w14:paraId="74BCB53C" w14:textId="0681B783"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B4C8787" w:rsidR="0002240F" w:rsidRDefault="00C94C09" w:rsidP="00DF7FB9">
      <w:pPr>
        <w:pStyle w:val="ListParagraph"/>
        <w:numPr>
          <w:ilvl w:val="0"/>
          <w:numId w:val="39"/>
        </w:numPr>
        <w:ind w:left="426"/>
        <w:rPr>
          <w:rFonts w:ascii="Arial" w:hAnsi="Arial" w:cs="Arial"/>
          <w:sz w:val="22"/>
          <w:szCs w:val="22"/>
          <w:lang w:val="en-GB"/>
        </w:rPr>
      </w:pPr>
      <w:proofErr w:type="gramStart"/>
      <w:r>
        <w:rPr>
          <w:rFonts w:ascii="Arial" w:hAnsi="Arial" w:cs="Arial"/>
          <w:sz w:val="22"/>
          <w:szCs w:val="22"/>
          <w:lang w:val="en-GB"/>
        </w:rPr>
        <w:t>c</w:t>
      </w:r>
      <w:r w:rsidR="0002240F" w:rsidRPr="00DF7FB9">
        <w:rPr>
          <w:rFonts w:ascii="Arial" w:hAnsi="Arial" w:cs="Arial"/>
          <w:sz w:val="22"/>
          <w:szCs w:val="22"/>
          <w:lang w:val="en-GB"/>
        </w:rPr>
        <w:t>an</w:t>
      </w:r>
      <w:proofErr w:type="gramEnd"/>
      <w:r w:rsidR="0002240F" w:rsidRPr="00DF7FB9">
        <w:rPr>
          <w:rFonts w:ascii="Arial" w:hAnsi="Arial" w:cs="Arial"/>
          <w:sz w:val="22"/>
          <w:szCs w:val="22"/>
          <w:lang w:val="en-GB"/>
        </w:rPr>
        <w:t xml:space="preserve"> only be appointed by the Court as they are officers of the Court.</w:t>
      </w:r>
    </w:p>
    <w:p w14:paraId="41F85322" w14:textId="77777777" w:rsidR="0031167E" w:rsidRPr="0031167E" w:rsidRDefault="0031167E" w:rsidP="0031167E">
      <w:pPr>
        <w:ind w:left="66"/>
        <w:rPr>
          <w:rFonts w:ascii="Arial" w:hAnsi="Arial" w:cs="Arial"/>
          <w:sz w:val="22"/>
          <w:szCs w:val="22"/>
          <w:lang w:val="en-GB"/>
        </w:rPr>
      </w:pPr>
    </w:p>
    <w:p w14:paraId="0AC07B85" w14:textId="6F2C91DF" w:rsidR="0002240F" w:rsidRDefault="00C94C09" w:rsidP="00DF7FB9">
      <w:pPr>
        <w:pStyle w:val="ListParagraph"/>
        <w:numPr>
          <w:ilvl w:val="0"/>
          <w:numId w:val="39"/>
        </w:numPr>
        <w:ind w:left="426"/>
        <w:rPr>
          <w:rFonts w:ascii="Arial" w:hAnsi="Arial" w:cs="Arial"/>
          <w:sz w:val="22"/>
          <w:szCs w:val="22"/>
          <w:lang w:val="en-GB"/>
        </w:rPr>
      </w:pPr>
      <w:proofErr w:type="gramStart"/>
      <w:r>
        <w:rPr>
          <w:rFonts w:ascii="Arial" w:hAnsi="Arial" w:cs="Arial"/>
          <w:sz w:val="22"/>
          <w:szCs w:val="22"/>
          <w:lang w:val="en-GB"/>
        </w:rPr>
        <w:lastRenderedPageBreak/>
        <w:t>a</w:t>
      </w:r>
      <w:r w:rsidR="00F06F14">
        <w:rPr>
          <w:rFonts w:ascii="Arial" w:hAnsi="Arial" w:cs="Arial"/>
          <w:sz w:val="22"/>
          <w:szCs w:val="22"/>
          <w:lang w:val="en-GB"/>
        </w:rPr>
        <w:t>ct</w:t>
      </w:r>
      <w:proofErr w:type="gramEnd"/>
      <w:r w:rsidR="00F06F14">
        <w:rPr>
          <w:rFonts w:ascii="Arial" w:hAnsi="Arial" w:cs="Arial"/>
          <w:sz w:val="22"/>
          <w:szCs w:val="22"/>
          <w:lang w:val="en-GB"/>
        </w:rPr>
        <w:t xml:space="preserve"> in the interests of unsecured creditors.</w:t>
      </w:r>
    </w:p>
    <w:p w14:paraId="006A4C5A" w14:textId="77777777" w:rsidR="00DF7FB9" w:rsidRPr="00DF7FB9" w:rsidRDefault="00DF7FB9" w:rsidP="00DF7FB9">
      <w:pPr>
        <w:rPr>
          <w:rFonts w:ascii="Arial" w:hAnsi="Arial" w:cs="Arial"/>
          <w:sz w:val="22"/>
          <w:szCs w:val="22"/>
          <w:lang w:val="en-GB"/>
        </w:rPr>
      </w:pPr>
    </w:p>
    <w:p w14:paraId="154F5C42" w14:textId="02E9DAA8" w:rsidR="0002240F" w:rsidRDefault="00C94C09" w:rsidP="00DF7FB9">
      <w:pPr>
        <w:pStyle w:val="ListParagraph"/>
        <w:numPr>
          <w:ilvl w:val="0"/>
          <w:numId w:val="39"/>
        </w:numPr>
        <w:ind w:left="426"/>
        <w:rPr>
          <w:rFonts w:ascii="Arial" w:hAnsi="Arial" w:cs="Arial"/>
          <w:sz w:val="22"/>
          <w:szCs w:val="22"/>
          <w:lang w:val="en-GB"/>
        </w:rPr>
      </w:pPr>
      <w:proofErr w:type="gramStart"/>
      <w:r>
        <w:rPr>
          <w:rFonts w:ascii="Arial" w:hAnsi="Arial" w:cs="Arial"/>
          <w:sz w:val="22"/>
          <w:szCs w:val="22"/>
          <w:lang w:val="en-GB"/>
        </w:rPr>
        <w:t>a</w:t>
      </w:r>
      <w:r w:rsidR="0002240F" w:rsidRPr="00DF7FB9">
        <w:rPr>
          <w:rFonts w:ascii="Arial" w:hAnsi="Arial" w:cs="Arial"/>
          <w:sz w:val="22"/>
          <w:szCs w:val="22"/>
          <w:lang w:val="en-GB"/>
        </w:rPr>
        <w:t>ct</w:t>
      </w:r>
      <w:proofErr w:type="gramEnd"/>
      <w:r w:rsidR="0002240F" w:rsidRPr="00DF7FB9">
        <w:rPr>
          <w:rFonts w:ascii="Arial" w:hAnsi="Arial" w:cs="Arial"/>
          <w:sz w:val="22"/>
          <w:szCs w:val="22"/>
          <w:lang w:val="en-GB"/>
        </w:rPr>
        <w:t xml:space="preserve">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2DA80BC8" w:rsidR="0002240F" w:rsidRPr="007E6236" w:rsidRDefault="00C94C09" w:rsidP="00DF7FB9">
      <w:pPr>
        <w:pStyle w:val="ListParagraph"/>
        <w:numPr>
          <w:ilvl w:val="0"/>
          <w:numId w:val="39"/>
        </w:numPr>
        <w:ind w:left="426"/>
        <w:rPr>
          <w:rFonts w:ascii="Arial" w:hAnsi="Arial" w:cs="Arial"/>
          <w:sz w:val="22"/>
          <w:szCs w:val="22"/>
          <w:highlight w:val="yellow"/>
          <w:lang w:val="en-GB"/>
        </w:rPr>
      </w:pPr>
      <w:proofErr w:type="gramStart"/>
      <w:r w:rsidRPr="007E6236">
        <w:rPr>
          <w:rFonts w:ascii="Arial" w:hAnsi="Arial" w:cs="Arial"/>
          <w:sz w:val="22"/>
          <w:szCs w:val="22"/>
          <w:highlight w:val="yellow"/>
          <w:lang w:val="en-GB"/>
        </w:rPr>
        <w:t>p</w:t>
      </w:r>
      <w:r w:rsidR="0002240F" w:rsidRPr="007E6236">
        <w:rPr>
          <w:rFonts w:ascii="Arial" w:hAnsi="Arial" w:cs="Arial"/>
          <w:sz w:val="22"/>
          <w:szCs w:val="22"/>
          <w:highlight w:val="yellow"/>
          <w:lang w:val="en-GB"/>
        </w:rPr>
        <w:t>rotect</w:t>
      </w:r>
      <w:proofErr w:type="gramEnd"/>
      <w:r w:rsidR="0002240F" w:rsidRPr="007E6236">
        <w:rPr>
          <w:rFonts w:ascii="Arial" w:hAnsi="Arial" w:cs="Arial"/>
          <w:sz w:val="22"/>
          <w:szCs w:val="22"/>
          <w:highlight w:val="yellow"/>
          <w:lang w:val="en-GB"/>
        </w:rPr>
        <w:t xml:space="preserve">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07C94A82" w:rsidR="0002240F" w:rsidRDefault="0002240F" w:rsidP="0002240F">
      <w:pPr>
        <w:jc w:val="both"/>
        <w:rPr>
          <w:rFonts w:ascii="Arial" w:hAnsi="Arial" w:cs="Arial"/>
          <w:sz w:val="22"/>
          <w:szCs w:val="22"/>
          <w:lang w:val="en-GB"/>
        </w:rPr>
      </w:pPr>
      <w:r>
        <w:rPr>
          <w:rFonts w:ascii="Arial" w:hAnsi="Arial" w:cs="Arial"/>
          <w:sz w:val="22"/>
          <w:szCs w:val="22"/>
          <w:lang w:val="en-GB"/>
        </w:rPr>
        <w:t xml:space="preserve">A voluntary administrator must convene and hold a </w:t>
      </w:r>
      <w:r w:rsidR="0079290D">
        <w:rPr>
          <w:rFonts w:ascii="Arial" w:hAnsi="Arial" w:cs="Arial"/>
          <w:sz w:val="22"/>
          <w:szCs w:val="22"/>
          <w:lang w:val="en-GB"/>
        </w:rPr>
        <w:t>watershed</w:t>
      </w:r>
      <w:r w:rsidR="00C94C09">
        <w:rPr>
          <w:rFonts w:ascii="Arial" w:hAnsi="Arial" w:cs="Arial"/>
          <w:sz w:val="22"/>
          <w:szCs w:val="22"/>
          <w:lang w:val="en-GB"/>
        </w:rPr>
        <w:t xml:space="preserve"> </w:t>
      </w:r>
      <w:r w:rsidR="0079290D">
        <w:rPr>
          <w:rFonts w:ascii="Arial" w:hAnsi="Arial" w:cs="Arial"/>
          <w:sz w:val="22"/>
          <w:szCs w:val="22"/>
          <w:lang w:val="en-GB"/>
        </w:rPr>
        <w:t xml:space="preserve">meeting </w:t>
      </w:r>
      <w:r w:rsidRPr="00C94C09">
        <w:rPr>
          <w:rFonts w:ascii="Arial" w:hAnsi="Arial" w:cs="Arial"/>
          <w:b/>
          <w:bCs/>
          <w:sz w:val="22"/>
          <w:szCs w:val="22"/>
          <w:u w:val="single"/>
          <w:lang w:val="en-GB"/>
        </w:rPr>
        <w:t>within how many business days</w:t>
      </w:r>
      <w:r>
        <w:rPr>
          <w:rFonts w:ascii="Arial" w:hAnsi="Arial" w:cs="Arial"/>
          <w:sz w:val="22"/>
          <w:szCs w:val="22"/>
          <w:lang w:val="en-GB"/>
        </w:rPr>
        <w:t xml:space="preserve">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Pr="007E6236" w:rsidRDefault="0002240F" w:rsidP="00DF7FB9">
      <w:pPr>
        <w:pStyle w:val="ListParagraph"/>
        <w:numPr>
          <w:ilvl w:val="0"/>
          <w:numId w:val="40"/>
        </w:numPr>
        <w:ind w:left="426"/>
        <w:rPr>
          <w:rFonts w:ascii="Arial" w:hAnsi="Arial" w:cs="Arial"/>
          <w:sz w:val="22"/>
          <w:szCs w:val="22"/>
          <w:highlight w:val="yellow"/>
          <w:lang w:val="en-GB"/>
        </w:rPr>
      </w:pPr>
      <w:r w:rsidRPr="007E6236">
        <w:rPr>
          <w:rFonts w:ascii="Arial" w:hAnsi="Arial" w:cs="Arial"/>
          <w:sz w:val="22"/>
          <w:szCs w:val="22"/>
          <w:highlight w:val="yellow"/>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Pr="007E6236" w:rsidRDefault="004B5F86" w:rsidP="00DF7FB9">
      <w:pPr>
        <w:pStyle w:val="ListParagraph"/>
        <w:numPr>
          <w:ilvl w:val="0"/>
          <w:numId w:val="41"/>
        </w:numPr>
        <w:ind w:left="426"/>
        <w:jc w:val="both"/>
        <w:rPr>
          <w:rFonts w:ascii="Arial" w:hAnsi="Arial" w:cs="Arial"/>
          <w:sz w:val="22"/>
          <w:szCs w:val="22"/>
          <w:highlight w:val="yellow"/>
          <w:lang w:val="en-GB"/>
        </w:rPr>
      </w:pPr>
      <w:proofErr w:type="gramStart"/>
      <w:r w:rsidRPr="007E6236">
        <w:rPr>
          <w:rFonts w:ascii="Arial" w:hAnsi="Arial" w:cs="Arial"/>
          <w:sz w:val="22"/>
          <w:szCs w:val="22"/>
          <w:highlight w:val="yellow"/>
          <w:lang w:val="en-GB"/>
        </w:rPr>
        <w:t>s</w:t>
      </w:r>
      <w:r w:rsidR="0002240F" w:rsidRPr="007E6236">
        <w:rPr>
          <w:rFonts w:ascii="Arial" w:hAnsi="Arial" w:cs="Arial"/>
          <w:sz w:val="22"/>
          <w:szCs w:val="22"/>
          <w:highlight w:val="yellow"/>
          <w:lang w:val="en-GB"/>
        </w:rPr>
        <w:t>tand</w:t>
      </w:r>
      <w:proofErr w:type="gramEnd"/>
      <w:r w:rsidR="0002240F" w:rsidRPr="007E6236">
        <w:rPr>
          <w:rFonts w:ascii="Arial" w:hAnsi="Arial" w:cs="Arial"/>
          <w:sz w:val="22"/>
          <w:szCs w:val="22"/>
          <w:highlight w:val="yellow"/>
          <w:lang w:val="en-GB"/>
        </w:rPr>
        <w:t xml:space="preserve">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F7FB9" w:rsidRDefault="004B5F86" w:rsidP="00DF7FB9">
      <w:pPr>
        <w:pStyle w:val="ListParagraph"/>
        <w:numPr>
          <w:ilvl w:val="0"/>
          <w:numId w:val="41"/>
        </w:numPr>
        <w:ind w:left="426"/>
        <w:jc w:val="both"/>
        <w:rPr>
          <w:rFonts w:ascii="Arial" w:hAnsi="Arial" w:cs="Arial"/>
          <w:sz w:val="22"/>
          <w:szCs w:val="22"/>
          <w:lang w:val="en-GB"/>
        </w:rPr>
      </w:pPr>
      <w:proofErr w:type="gramStart"/>
      <w:r>
        <w:rPr>
          <w:rFonts w:ascii="Arial" w:hAnsi="Arial" w:cs="Arial"/>
          <w:sz w:val="22"/>
          <w:szCs w:val="22"/>
          <w:lang w:val="en-GB"/>
        </w:rPr>
        <w:t>h</w:t>
      </w:r>
      <w:r w:rsidR="0002240F" w:rsidRPr="00DF7FB9">
        <w:rPr>
          <w:rFonts w:ascii="Arial" w:hAnsi="Arial" w:cs="Arial"/>
          <w:sz w:val="22"/>
          <w:szCs w:val="22"/>
          <w:lang w:val="en-GB"/>
        </w:rPr>
        <w:t>ave</w:t>
      </w:r>
      <w:proofErr w:type="gramEnd"/>
      <w:r w:rsidR="0002240F" w:rsidRPr="00DF7FB9">
        <w:rPr>
          <w:rFonts w:ascii="Arial" w:hAnsi="Arial" w:cs="Arial"/>
          <w:sz w:val="22"/>
          <w:szCs w:val="22"/>
          <w:lang w:val="en-GB"/>
        </w:rPr>
        <w:t xml:space="preser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7E6236" w:rsidRDefault="0002240F" w:rsidP="00DF7FB9">
      <w:pPr>
        <w:pStyle w:val="ListParagraph"/>
        <w:numPr>
          <w:ilvl w:val="0"/>
          <w:numId w:val="42"/>
        </w:numPr>
        <w:ind w:left="426"/>
        <w:rPr>
          <w:rFonts w:ascii="Arial" w:hAnsi="Arial" w:cs="Arial"/>
          <w:sz w:val="22"/>
          <w:szCs w:val="22"/>
          <w:highlight w:val="yellow"/>
        </w:rPr>
      </w:pPr>
      <w:r w:rsidRPr="007E6236">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proofErr w:type="gramStart"/>
      <w:r>
        <w:rPr>
          <w:rFonts w:ascii="Arial" w:hAnsi="Arial" w:cs="Arial"/>
          <w:sz w:val="22"/>
          <w:szCs w:val="22"/>
        </w:rPr>
        <w:t>c</w:t>
      </w:r>
      <w:r w:rsidR="0002240F" w:rsidRPr="00DF7FB9">
        <w:rPr>
          <w:rFonts w:ascii="Arial" w:hAnsi="Arial" w:cs="Arial"/>
          <w:sz w:val="22"/>
          <w:szCs w:val="22"/>
        </w:rPr>
        <w:t>ommon</w:t>
      </w:r>
      <w:proofErr w:type="gramEnd"/>
      <w:r w:rsidR="0002240F" w:rsidRPr="00DF7FB9">
        <w:rPr>
          <w:rFonts w:ascii="Arial" w:hAnsi="Arial" w:cs="Arial"/>
          <w:sz w:val="22"/>
          <w:szCs w:val="22"/>
        </w:rPr>
        <w:t xml:space="preserve">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lastRenderedPageBreak/>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0CDF570F" w:rsidR="00864D42" w:rsidRDefault="00864D42" w:rsidP="00864D42">
      <w:pPr>
        <w:jc w:val="both"/>
        <w:rPr>
          <w:rFonts w:ascii="Arial" w:hAnsi="Arial" w:cs="Arial"/>
          <w:sz w:val="22"/>
          <w:szCs w:val="22"/>
          <w:lang w:val="en-GB"/>
        </w:rPr>
      </w:pPr>
      <w:r w:rsidRPr="002476AF">
        <w:rPr>
          <w:rFonts w:ascii="Arial" w:hAnsi="Arial" w:cs="Arial"/>
          <w:sz w:val="22"/>
          <w:szCs w:val="22"/>
          <w:lang w:val="en-GB"/>
        </w:rPr>
        <w:t>Name</w:t>
      </w:r>
      <w:r w:rsidR="0079290D">
        <w:rPr>
          <w:rFonts w:ascii="Arial" w:hAnsi="Arial" w:cs="Arial"/>
          <w:sz w:val="22"/>
          <w:szCs w:val="22"/>
          <w:lang w:val="en-GB"/>
        </w:rPr>
        <w:t xml:space="preserve"> three types of</w:t>
      </w:r>
      <w:r w:rsidRPr="002476AF">
        <w:rPr>
          <w:rFonts w:ascii="Arial" w:hAnsi="Arial" w:cs="Arial"/>
          <w:sz w:val="22"/>
          <w:szCs w:val="22"/>
          <w:lang w:val="en-GB"/>
        </w:rPr>
        <w:t xml:space="preserv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0D5CE6D"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55D310B" w14:textId="3162338E" w:rsidR="00864D42" w:rsidRDefault="00552051" w:rsidP="004447E3">
      <w:pPr>
        <w:ind w:left="720"/>
        <w:jc w:val="both"/>
        <w:rPr>
          <w:rFonts w:ascii="Arial" w:hAnsi="Arial" w:cs="Arial"/>
          <w:sz w:val="22"/>
          <w:szCs w:val="22"/>
        </w:rPr>
      </w:pPr>
      <w:r>
        <w:rPr>
          <w:rFonts w:ascii="Arial" w:hAnsi="Arial" w:cs="Arial"/>
          <w:sz w:val="22"/>
          <w:szCs w:val="22"/>
        </w:rPr>
        <w:t>Insolvent</w:t>
      </w:r>
      <w:r w:rsidR="004447E3">
        <w:rPr>
          <w:rFonts w:ascii="Arial" w:hAnsi="Arial" w:cs="Arial"/>
          <w:sz w:val="22"/>
          <w:szCs w:val="22"/>
        </w:rPr>
        <w:t xml:space="preserve"> t</w:t>
      </w:r>
      <w:r>
        <w:rPr>
          <w:rFonts w:ascii="Arial" w:hAnsi="Arial" w:cs="Arial"/>
          <w:sz w:val="22"/>
          <w:szCs w:val="22"/>
        </w:rPr>
        <w:t>ransactions</w:t>
      </w:r>
      <w:r w:rsidR="004447E3">
        <w:rPr>
          <w:rFonts w:ascii="Arial" w:hAnsi="Arial" w:cs="Arial"/>
          <w:sz w:val="22"/>
          <w:szCs w:val="22"/>
        </w:rPr>
        <w:t>, voidable transactions under the Companies Act, which are those entered into at a time when the company was unable to pay its due debts and which result in a creditor receiving more than its entitlement in a liquidation (a preference).</w:t>
      </w:r>
      <w:r w:rsidR="00A51F5F">
        <w:rPr>
          <w:rStyle w:val="FootnoteReference"/>
          <w:rFonts w:ascii="Arial" w:hAnsi="Arial" w:cs="Arial"/>
          <w:sz w:val="22"/>
          <w:szCs w:val="22"/>
        </w:rPr>
        <w:footnoteReference w:id="1"/>
      </w:r>
      <w:r w:rsidR="004447E3">
        <w:rPr>
          <w:rFonts w:ascii="Arial" w:hAnsi="Arial" w:cs="Arial"/>
          <w:sz w:val="22"/>
          <w:szCs w:val="22"/>
        </w:rPr>
        <w:t xml:space="preserve"> These transactions are made when the company is insolvent or shortly before the company becomes insolvent.</w:t>
      </w:r>
    </w:p>
    <w:p w14:paraId="3B09A7EB" w14:textId="77777777" w:rsidR="00552051" w:rsidRDefault="00552051" w:rsidP="00864D42">
      <w:pPr>
        <w:jc w:val="both"/>
        <w:rPr>
          <w:rFonts w:ascii="Arial" w:hAnsi="Arial" w:cs="Arial"/>
          <w:sz w:val="22"/>
          <w:szCs w:val="22"/>
        </w:rPr>
      </w:pPr>
    </w:p>
    <w:p w14:paraId="3354A541" w14:textId="1480FB36" w:rsidR="00552051" w:rsidRDefault="004447E3" w:rsidP="004447E3">
      <w:pPr>
        <w:ind w:left="720"/>
        <w:jc w:val="both"/>
        <w:rPr>
          <w:rFonts w:ascii="Arial" w:hAnsi="Arial" w:cs="Arial"/>
          <w:sz w:val="22"/>
          <w:szCs w:val="22"/>
        </w:rPr>
      </w:pPr>
      <w:r>
        <w:rPr>
          <w:rFonts w:ascii="Arial" w:hAnsi="Arial" w:cs="Arial"/>
          <w:sz w:val="22"/>
          <w:szCs w:val="22"/>
        </w:rPr>
        <w:t>Insolvent Charges, a liquidator can set aside a charge granted six months immediately preceding the liquidation (“the restricted period”) if, following the granting of the charge, the company was unable to pay its due debts</w:t>
      </w:r>
      <w:r w:rsidR="00D32D86">
        <w:rPr>
          <w:rFonts w:ascii="Arial" w:hAnsi="Arial" w:cs="Arial"/>
          <w:sz w:val="22"/>
          <w:szCs w:val="22"/>
        </w:rPr>
        <w:t>. If the charge was granted to a related party, then the restricted period is two years.</w:t>
      </w:r>
      <w:r w:rsidR="00D32D86">
        <w:rPr>
          <w:rStyle w:val="FootnoteReference"/>
          <w:rFonts w:ascii="Arial" w:hAnsi="Arial" w:cs="Arial"/>
          <w:sz w:val="22"/>
          <w:szCs w:val="22"/>
        </w:rPr>
        <w:footnoteReference w:id="2"/>
      </w:r>
      <w:r w:rsidR="00D32D86">
        <w:rPr>
          <w:rFonts w:ascii="Arial" w:hAnsi="Arial" w:cs="Arial"/>
          <w:sz w:val="22"/>
          <w:szCs w:val="22"/>
        </w:rPr>
        <w:t xml:space="preserve"> These charges are made when the company is insolvent or shortly before the company becomes insolvent.</w:t>
      </w:r>
    </w:p>
    <w:p w14:paraId="51547BDD" w14:textId="77777777" w:rsidR="00552051" w:rsidRDefault="00552051" w:rsidP="00864D42">
      <w:pPr>
        <w:jc w:val="both"/>
        <w:rPr>
          <w:rFonts w:ascii="Arial" w:hAnsi="Arial" w:cs="Arial"/>
          <w:sz w:val="22"/>
          <w:szCs w:val="22"/>
        </w:rPr>
      </w:pPr>
    </w:p>
    <w:p w14:paraId="4E47D652" w14:textId="30BACC6F" w:rsidR="00552051" w:rsidRDefault="004447E3" w:rsidP="00D32D86">
      <w:pPr>
        <w:ind w:left="720"/>
        <w:jc w:val="both"/>
        <w:rPr>
          <w:rFonts w:ascii="Arial" w:hAnsi="Arial" w:cs="Arial"/>
          <w:sz w:val="22"/>
          <w:szCs w:val="22"/>
        </w:rPr>
      </w:pPr>
      <w:r>
        <w:rPr>
          <w:rFonts w:ascii="Arial" w:hAnsi="Arial" w:cs="Arial"/>
          <w:sz w:val="22"/>
          <w:szCs w:val="22"/>
        </w:rPr>
        <w:t>Transactions at undervalue</w:t>
      </w:r>
      <w:r w:rsidR="00D32D86">
        <w:rPr>
          <w:rFonts w:ascii="Arial" w:hAnsi="Arial" w:cs="Arial"/>
          <w:sz w:val="22"/>
          <w:szCs w:val="22"/>
        </w:rPr>
        <w:t>, generally two years prior to the liquidation, if a transaction is entered into by a company at undervalue, the liquidator may pursue the transactions entered into by the company.</w:t>
      </w:r>
      <w:r w:rsidR="00D32D86">
        <w:rPr>
          <w:rStyle w:val="FootnoteReference"/>
          <w:rFonts w:ascii="Arial" w:hAnsi="Arial" w:cs="Arial"/>
          <w:sz w:val="22"/>
          <w:szCs w:val="22"/>
        </w:rPr>
        <w:footnoteReference w:id="3"/>
      </w:r>
      <w:r w:rsidR="00D32D86">
        <w:rPr>
          <w:rFonts w:ascii="Arial" w:hAnsi="Arial" w:cs="Arial"/>
          <w:sz w:val="22"/>
          <w:szCs w:val="22"/>
        </w:rPr>
        <w:t xml:space="preserve"> The company does not need to be insolvent at the time of the transaction.</w:t>
      </w: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78F780D"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act? </w:t>
      </w:r>
      <w:r w:rsidR="0079290D">
        <w:rPr>
          <w:rFonts w:ascii="Arial" w:hAnsi="Arial" w:cs="Arial"/>
          <w:sz w:val="22"/>
          <w:szCs w:val="22"/>
          <w:lang w:val="en-GB"/>
        </w:rPr>
        <w:t xml:space="preserve">What is the name of the </w:t>
      </w:r>
      <w:r w:rsidR="00C94C09">
        <w:rPr>
          <w:rFonts w:ascii="Arial" w:hAnsi="Arial" w:cs="Arial"/>
          <w:sz w:val="22"/>
          <w:szCs w:val="22"/>
          <w:lang w:val="en-GB"/>
        </w:rPr>
        <w:t>A</w:t>
      </w:r>
      <w:r w:rsidR="0079290D">
        <w:rPr>
          <w:rFonts w:ascii="Arial" w:hAnsi="Arial" w:cs="Arial"/>
          <w:sz w:val="22"/>
          <w:szCs w:val="22"/>
          <w:lang w:val="en-GB"/>
        </w:rPr>
        <w:t xml:space="preserve">ct </w:t>
      </w:r>
      <w:r w:rsidR="00C94C09">
        <w:rPr>
          <w:rFonts w:ascii="Arial" w:hAnsi="Arial" w:cs="Arial"/>
          <w:sz w:val="22"/>
          <w:szCs w:val="22"/>
          <w:lang w:val="en-GB"/>
        </w:rPr>
        <w:t>that</w:t>
      </w:r>
      <w:r w:rsidR="0079290D">
        <w:rPr>
          <w:rFonts w:ascii="Arial" w:hAnsi="Arial" w:cs="Arial"/>
          <w:sz w:val="22"/>
          <w:szCs w:val="22"/>
          <w:lang w:val="en-GB"/>
        </w:rPr>
        <w:t xml:space="preserve"> governs receiverships in New Zealand?</w:t>
      </w:r>
    </w:p>
    <w:p w14:paraId="396BC02B" w14:textId="77777777" w:rsidR="00864D42" w:rsidRPr="002A37BB" w:rsidRDefault="00864D42" w:rsidP="00864D42">
      <w:pPr>
        <w:ind w:left="720" w:hanging="720"/>
        <w:jc w:val="both"/>
        <w:rPr>
          <w:rFonts w:ascii="Arial" w:hAnsi="Arial" w:cs="Arial"/>
          <w:sz w:val="22"/>
          <w:szCs w:val="22"/>
        </w:rPr>
      </w:pPr>
    </w:p>
    <w:p w14:paraId="75B8107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315D16E0" w14:textId="4BAD7CDF" w:rsidR="00864D42" w:rsidRDefault="00481434" w:rsidP="00864D42">
      <w:pPr>
        <w:ind w:left="720" w:hanging="720"/>
        <w:jc w:val="both"/>
        <w:rPr>
          <w:rFonts w:ascii="Arial" w:hAnsi="Arial" w:cs="Arial"/>
          <w:sz w:val="22"/>
          <w:szCs w:val="22"/>
          <w:lang w:val="en-GB"/>
        </w:rPr>
      </w:pPr>
      <w:r>
        <w:rPr>
          <w:rFonts w:ascii="Arial" w:hAnsi="Arial" w:cs="Arial"/>
          <w:sz w:val="22"/>
          <w:szCs w:val="22"/>
          <w:lang w:val="en-GB"/>
        </w:rPr>
        <w:tab/>
        <w:t>The Receiverships Act 1993 governs receiverships in New Zealand.</w:t>
      </w:r>
      <w:r>
        <w:rPr>
          <w:rStyle w:val="FootnoteReference"/>
          <w:rFonts w:ascii="Arial" w:hAnsi="Arial" w:cs="Arial"/>
          <w:sz w:val="22"/>
          <w:szCs w:val="22"/>
          <w:lang w:val="en-GB"/>
        </w:rPr>
        <w:footnoteReference w:id="4"/>
      </w:r>
    </w:p>
    <w:p w14:paraId="19CE1ED1" w14:textId="77777777" w:rsidR="00481434" w:rsidRDefault="00481434" w:rsidP="00864D42">
      <w:pPr>
        <w:ind w:left="720" w:hanging="720"/>
        <w:jc w:val="both"/>
        <w:rPr>
          <w:rFonts w:ascii="Arial" w:hAnsi="Arial" w:cs="Arial"/>
          <w:sz w:val="22"/>
          <w:szCs w:val="22"/>
          <w:lang w:val="en-GB"/>
        </w:rPr>
      </w:pPr>
    </w:p>
    <w:p w14:paraId="536F049E" w14:textId="4AE0908E" w:rsidR="00481434" w:rsidRDefault="00481434" w:rsidP="00864D42">
      <w:pPr>
        <w:ind w:left="720" w:hanging="720"/>
        <w:jc w:val="both"/>
        <w:rPr>
          <w:rFonts w:ascii="Arial" w:hAnsi="Arial" w:cs="Arial"/>
          <w:sz w:val="22"/>
          <w:szCs w:val="22"/>
          <w:lang w:val="en-GB"/>
        </w:rPr>
      </w:pPr>
      <w:r>
        <w:rPr>
          <w:rFonts w:ascii="Arial" w:hAnsi="Arial" w:cs="Arial"/>
          <w:sz w:val="22"/>
          <w:szCs w:val="22"/>
          <w:lang w:val="en-GB"/>
        </w:rPr>
        <w:tab/>
        <w:t>There are two mechanisms by which a receiver is appointed which are either appointment by the High Court either pursuant to a specific power conferred by statute, or in the exercise if its inherent jurisdiction;</w:t>
      </w:r>
      <w:r>
        <w:rPr>
          <w:rStyle w:val="FootnoteReference"/>
          <w:rFonts w:ascii="Arial" w:hAnsi="Arial" w:cs="Arial"/>
          <w:sz w:val="22"/>
          <w:szCs w:val="22"/>
          <w:lang w:val="en-GB"/>
        </w:rPr>
        <w:footnoteReference w:id="5"/>
      </w:r>
      <w:r>
        <w:rPr>
          <w:rFonts w:ascii="Arial" w:hAnsi="Arial" w:cs="Arial"/>
          <w:sz w:val="22"/>
          <w:szCs w:val="22"/>
          <w:lang w:val="en-GB"/>
        </w:rPr>
        <w:t xml:space="preserve"> or through private appointment by a secured creditor exercising its contractual right under the security agreement.</w:t>
      </w:r>
      <w:r>
        <w:rPr>
          <w:rStyle w:val="FootnoteReference"/>
          <w:rFonts w:ascii="Arial" w:hAnsi="Arial" w:cs="Arial"/>
          <w:sz w:val="22"/>
          <w:szCs w:val="22"/>
          <w:lang w:val="en-GB"/>
        </w:rPr>
        <w:footnoteReference w:id="6"/>
      </w:r>
    </w:p>
    <w:p w14:paraId="0E28F6F8" w14:textId="77777777" w:rsidR="00481434" w:rsidRDefault="00481434" w:rsidP="00864D42">
      <w:pPr>
        <w:ind w:left="720" w:hanging="720"/>
        <w:jc w:val="both"/>
        <w:rPr>
          <w:rFonts w:ascii="Arial" w:hAnsi="Arial" w:cs="Arial"/>
          <w:sz w:val="22"/>
          <w:szCs w:val="22"/>
          <w:lang w:val="en-GB"/>
        </w:rPr>
      </w:pPr>
    </w:p>
    <w:p w14:paraId="01542247" w14:textId="1D0636A8" w:rsidR="00481434" w:rsidRDefault="00481434" w:rsidP="00864D42">
      <w:pPr>
        <w:ind w:left="720" w:hanging="720"/>
        <w:jc w:val="both"/>
        <w:rPr>
          <w:rFonts w:ascii="Arial" w:hAnsi="Arial" w:cs="Arial"/>
          <w:sz w:val="22"/>
          <w:szCs w:val="22"/>
          <w:lang w:val="en-GB"/>
        </w:rPr>
      </w:pPr>
      <w:r>
        <w:rPr>
          <w:rFonts w:ascii="Arial" w:hAnsi="Arial" w:cs="Arial"/>
          <w:sz w:val="22"/>
          <w:szCs w:val="22"/>
          <w:lang w:val="en-GB"/>
        </w:rPr>
        <w:tab/>
        <w:t>A court-appointed receiver is subject to the supervisory jurisdiction of the Court and is independent of all parties. A court-appointed receiver is not answerable to the debtor party or creditors unless ordered otherwise by the Court, and is required to act impartially and in accordance with the Court’s directions.</w:t>
      </w:r>
      <w:r>
        <w:rPr>
          <w:rStyle w:val="FootnoteReference"/>
          <w:rFonts w:ascii="Arial" w:hAnsi="Arial" w:cs="Arial"/>
          <w:sz w:val="22"/>
          <w:szCs w:val="22"/>
          <w:lang w:val="en-GB"/>
        </w:rPr>
        <w:footnoteReference w:id="7"/>
      </w:r>
    </w:p>
    <w:p w14:paraId="4CC67AD7" w14:textId="77777777" w:rsidR="00481434" w:rsidRDefault="00481434" w:rsidP="00864D42">
      <w:pPr>
        <w:ind w:left="720" w:hanging="720"/>
        <w:jc w:val="both"/>
        <w:rPr>
          <w:rFonts w:ascii="Arial" w:hAnsi="Arial" w:cs="Arial"/>
          <w:sz w:val="22"/>
          <w:szCs w:val="22"/>
          <w:lang w:val="en-GB"/>
        </w:rPr>
      </w:pPr>
    </w:p>
    <w:p w14:paraId="756360F2" w14:textId="58CEBD03" w:rsidR="00481434" w:rsidRDefault="00481434" w:rsidP="00864D42">
      <w:pPr>
        <w:ind w:left="720" w:hanging="720"/>
        <w:jc w:val="both"/>
        <w:rPr>
          <w:rFonts w:ascii="Arial" w:hAnsi="Arial" w:cs="Arial"/>
          <w:sz w:val="22"/>
          <w:szCs w:val="22"/>
          <w:lang w:val="en-GB"/>
        </w:rPr>
      </w:pPr>
      <w:r>
        <w:rPr>
          <w:rFonts w:ascii="Arial" w:hAnsi="Arial" w:cs="Arial"/>
          <w:sz w:val="22"/>
          <w:szCs w:val="22"/>
          <w:lang w:val="en-GB"/>
        </w:rPr>
        <w:lastRenderedPageBreak/>
        <w:tab/>
        <w:t xml:space="preserve">A privately appointed receiver has duties as prescribed by the Receiverships Act and the terms agreed in the security agreement. The prescribed statutory duties include </w:t>
      </w:r>
      <w:r w:rsidR="009E20C6">
        <w:rPr>
          <w:rFonts w:ascii="Arial" w:hAnsi="Arial" w:cs="Arial"/>
          <w:sz w:val="22"/>
          <w:szCs w:val="22"/>
          <w:lang w:val="en-GB"/>
        </w:rPr>
        <w:t>having</w:t>
      </w:r>
      <w:r>
        <w:rPr>
          <w:rFonts w:ascii="Arial" w:hAnsi="Arial" w:cs="Arial"/>
          <w:sz w:val="22"/>
          <w:szCs w:val="22"/>
          <w:lang w:val="en-GB"/>
        </w:rPr>
        <w:t xml:space="preserve"> regard to the interests of certain parties on the exercise of various powers, including the power of sale. The Receiver is subject </w:t>
      </w:r>
      <w:r w:rsidR="009E20C6">
        <w:rPr>
          <w:rFonts w:ascii="Arial" w:hAnsi="Arial" w:cs="Arial"/>
          <w:sz w:val="22"/>
          <w:szCs w:val="22"/>
          <w:lang w:val="en-GB"/>
        </w:rPr>
        <w:t>t</w:t>
      </w:r>
      <w:r>
        <w:rPr>
          <w:rFonts w:ascii="Arial" w:hAnsi="Arial" w:cs="Arial"/>
          <w:sz w:val="22"/>
          <w:szCs w:val="22"/>
          <w:lang w:val="en-GB"/>
        </w:rPr>
        <w:t>o</w:t>
      </w:r>
      <w:r w:rsidR="009E20C6">
        <w:rPr>
          <w:rFonts w:ascii="Arial" w:hAnsi="Arial" w:cs="Arial"/>
          <w:sz w:val="22"/>
          <w:szCs w:val="22"/>
          <w:lang w:val="en-GB"/>
        </w:rPr>
        <w:t xml:space="preserve"> </w:t>
      </w:r>
      <w:r>
        <w:rPr>
          <w:rFonts w:ascii="Arial" w:hAnsi="Arial" w:cs="Arial"/>
          <w:sz w:val="22"/>
          <w:szCs w:val="22"/>
          <w:lang w:val="en-GB"/>
        </w:rPr>
        <w:t xml:space="preserve">the Court’s supervision and </w:t>
      </w:r>
      <w:r w:rsidR="009E20C6">
        <w:rPr>
          <w:rFonts w:ascii="Arial" w:hAnsi="Arial" w:cs="Arial"/>
          <w:sz w:val="22"/>
          <w:szCs w:val="22"/>
          <w:lang w:val="en-GB"/>
        </w:rPr>
        <w:t>has</w:t>
      </w:r>
      <w:r>
        <w:rPr>
          <w:rFonts w:ascii="Arial" w:hAnsi="Arial" w:cs="Arial"/>
          <w:sz w:val="22"/>
          <w:szCs w:val="22"/>
          <w:lang w:val="en-GB"/>
        </w:rPr>
        <w:t xml:space="preserve"> powers to seek directions on the extent of powers, rights or obligations relating to the receivership.</w:t>
      </w:r>
      <w:r w:rsidR="009E20C6">
        <w:rPr>
          <w:rStyle w:val="FootnoteReference"/>
          <w:rFonts w:ascii="Arial" w:hAnsi="Arial" w:cs="Arial"/>
          <w:sz w:val="22"/>
          <w:szCs w:val="22"/>
          <w:lang w:val="en-GB"/>
        </w:rPr>
        <w:footnoteReference w:id="8"/>
      </w:r>
    </w:p>
    <w:p w14:paraId="3746D52F" w14:textId="77777777" w:rsidR="00076E1A" w:rsidRDefault="00076E1A" w:rsidP="00864D42">
      <w:pPr>
        <w:ind w:left="720" w:hanging="720"/>
        <w:jc w:val="both"/>
        <w:rPr>
          <w:rFonts w:ascii="Arial" w:hAnsi="Arial" w:cs="Arial"/>
          <w:sz w:val="22"/>
          <w:szCs w:val="22"/>
          <w:lang w:val="en-GB"/>
        </w:rPr>
      </w:pPr>
    </w:p>
    <w:p w14:paraId="336D3EDF" w14:textId="1E1CE62D" w:rsidR="00076E1A" w:rsidRDefault="00076E1A" w:rsidP="00864D42">
      <w:pPr>
        <w:ind w:left="720" w:hanging="720"/>
        <w:jc w:val="both"/>
        <w:rPr>
          <w:rFonts w:ascii="Arial" w:hAnsi="Arial" w:cs="Arial"/>
          <w:sz w:val="22"/>
          <w:szCs w:val="22"/>
          <w:lang w:val="en-GB"/>
        </w:rPr>
      </w:pPr>
      <w:r>
        <w:rPr>
          <w:rFonts w:ascii="Arial" w:hAnsi="Arial" w:cs="Arial"/>
          <w:sz w:val="22"/>
          <w:szCs w:val="22"/>
          <w:lang w:val="en-GB"/>
        </w:rPr>
        <w:tab/>
        <w:t xml:space="preserve">The receiver is required to have reasonable regard to the interests of the grantor, parties claiming interests in the property through the grantor, unsecured creditors and sureties of the grantor’s obligations to the extent consistent with the obligation to act in the interests of the appointing party. </w:t>
      </w:r>
      <w:r w:rsidR="00181B78">
        <w:rPr>
          <w:rFonts w:ascii="Arial" w:hAnsi="Arial" w:cs="Arial"/>
          <w:sz w:val="22"/>
          <w:szCs w:val="22"/>
          <w:lang w:val="en-GB"/>
        </w:rPr>
        <w:t>Unless the security agreement provides otherwise, a</w:t>
      </w:r>
      <w:r>
        <w:rPr>
          <w:rFonts w:ascii="Arial" w:hAnsi="Arial" w:cs="Arial"/>
          <w:sz w:val="22"/>
          <w:szCs w:val="22"/>
          <w:lang w:val="en-GB"/>
        </w:rPr>
        <w:t xml:space="preserve"> privately appointed receiver acts as agent of the grantor company.</w:t>
      </w:r>
      <w:r>
        <w:rPr>
          <w:rStyle w:val="FootnoteReference"/>
          <w:rFonts w:ascii="Arial" w:hAnsi="Arial" w:cs="Arial"/>
          <w:sz w:val="22"/>
          <w:szCs w:val="22"/>
          <w:lang w:val="en-GB"/>
        </w:rPr>
        <w:footnoteReference w:id="9"/>
      </w: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7FBD240" w:rsidR="00864D42" w:rsidRDefault="00F06F14" w:rsidP="00864D42">
      <w:pPr>
        <w:jc w:val="both"/>
        <w:rPr>
          <w:rFonts w:ascii="Arial" w:hAnsi="Arial" w:cs="Arial"/>
          <w:sz w:val="22"/>
          <w:szCs w:val="22"/>
          <w:lang w:val="en-GB"/>
        </w:rPr>
      </w:pPr>
      <w:r>
        <w:rPr>
          <w:rFonts w:ascii="Arial" w:hAnsi="Arial" w:cs="Arial"/>
          <w:sz w:val="22"/>
          <w:szCs w:val="22"/>
          <w:lang w:val="en-GB"/>
        </w:rPr>
        <w:t>What options are available to a creditor who wishes to enforce a judgment obtained outside of New Zealand?</w:t>
      </w:r>
      <w:r w:rsidR="00CF4516">
        <w:rPr>
          <w:rFonts w:ascii="Arial" w:hAnsi="Arial" w:cs="Arial"/>
          <w:sz w:val="22"/>
          <w:szCs w:val="22"/>
          <w:lang w:val="en-GB"/>
        </w:rPr>
        <w:t xml:space="preserve"> </w:t>
      </w:r>
      <w:r w:rsidR="00864D42">
        <w:rPr>
          <w:rFonts w:ascii="Arial" w:hAnsi="Arial" w:cs="Arial"/>
          <w:sz w:val="22"/>
          <w:szCs w:val="22"/>
          <w:lang w:val="en-GB"/>
        </w:rPr>
        <w:t>What role does the New Zealand court play in this process</w:t>
      </w:r>
      <w:r w:rsidR="00C94C09">
        <w:rPr>
          <w:rFonts w:ascii="Arial" w:hAnsi="Arial" w:cs="Arial"/>
          <w:sz w:val="22"/>
          <w:szCs w:val="22"/>
          <w:lang w:val="en-GB"/>
        </w:rPr>
        <w:t>, if any</w:t>
      </w:r>
      <w:r w:rsidR="00864D42">
        <w:rPr>
          <w:rFonts w:ascii="Arial" w:hAnsi="Arial" w:cs="Arial"/>
          <w:sz w:val="22"/>
          <w:szCs w:val="22"/>
          <w:lang w:val="en-GB"/>
        </w:rPr>
        <w:t>?</w:t>
      </w:r>
    </w:p>
    <w:p w14:paraId="6D79287C" w14:textId="77777777" w:rsidR="00864D42" w:rsidRPr="002A37BB" w:rsidRDefault="00864D42" w:rsidP="00864D42">
      <w:pPr>
        <w:jc w:val="both"/>
        <w:rPr>
          <w:rFonts w:ascii="Arial" w:hAnsi="Arial" w:cs="Arial"/>
          <w:sz w:val="22"/>
          <w:szCs w:val="22"/>
          <w:lang w:val="en-GB"/>
        </w:rPr>
      </w:pPr>
    </w:p>
    <w:p w14:paraId="5C130CD7"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1E06E3E" w14:textId="4D9467C6" w:rsidR="00864D42" w:rsidRDefault="004E6C2C" w:rsidP="004E6C2C">
      <w:pPr>
        <w:ind w:left="720"/>
        <w:jc w:val="both"/>
        <w:rPr>
          <w:rFonts w:ascii="Arial" w:hAnsi="Arial" w:cs="Arial"/>
          <w:bCs/>
          <w:sz w:val="22"/>
          <w:szCs w:val="22"/>
          <w:lang w:val="en-GB"/>
        </w:rPr>
      </w:pPr>
      <w:r>
        <w:rPr>
          <w:rFonts w:ascii="Arial" w:hAnsi="Arial" w:cs="Arial"/>
          <w:bCs/>
          <w:sz w:val="22"/>
          <w:szCs w:val="22"/>
          <w:lang w:val="en-GB"/>
        </w:rPr>
        <w:t>Judgments obtained outside New Zealand do not have direct force in New Zealand. Judgments obtained in another jurisdiction are generally enforceable in New Zealand through one of four methods of enforcing foreign judgments in New Zealand depending on the forum the judgment was obtained. The four methods are:</w:t>
      </w:r>
    </w:p>
    <w:p w14:paraId="26133BFA" w14:textId="77777777" w:rsidR="004E6C2C" w:rsidRDefault="004E6C2C" w:rsidP="004E6C2C">
      <w:pPr>
        <w:ind w:left="720"/>
        <w:jc w:val="both"/>
        <w:rPr>
          <w:rFonts w:ascii="Arial" w:hAnsi="Arial" w:cs="Arial"/>
          <w:bCs/>
          <w:sz w:val="22"/>
          <w:szCs w:val="22"/>
          <w:lang w:val="en-GB"/>
        </w:rPr>
      </w:pPr>
    </w:p>
    <w:p w14:paraId="1E94CD4B" w14:textId="4B81F8CF" w:rsidR="004E6C2C" w:rsidRDefault="004E6C2C" w:rsidP="004E6C2C">
      <w:pPr>
        <w:pStyle w:val="ListParagraph"/>
        <w:numPr>
          <w:ilvl w:val="0"/>
          <w:numId w:val="45"/>
        </w:numPr>
        <w:jc w:val="both"/>
        <w:rPr>
          <w:rFonts w:ascii="Arial" w:hAnsi="Arial" w:cs="Arial"/>
          <w:bCs/>
          <w:sz w:val="22"/>
          <w:szCs w:val="22"/>
          <w:lang w:val="en-GB"/>
        </w:rPr>
      </w:pPr>
      <w:proofErr w:type="gramStart"/>
      <w:r>
        <w:rPr>
          <w:rFonts w:ascii="Arial" w:hAnsi="Arial" w:cs="Arial"/>
          <w:bCs/>
          <w:sz w:val="22"/>
          <w:szCs w:val="22"/>
          <w:lang w:val="en-GB"/>
        </w:rPr>
        <w:t>enforcement</w:t>
      </w:r>
      <w:proofErr w:type="gramEnd"/>
      <w:r>
        <w:rPr>
          <w:rFonts w:ascii="Arial" w:hAnsi="Arial" w:cs="Arial"/>
          <w:bCs/>
          <w:sz w:val="22"/>
          <w:szCs w:val="22"/>
          <w:lang w:val="en-GB"/>
        </w:rPr>
        <w:t xml:space="preserve"> under the Reciprocal Enforcement of Judgments Act 1934</w:t>
      </w:r>
      <w:r w:rsidR="00A51F5F">
        <w:rPr>
          <w:rFonts w:ascii="Arial" w:hAnsi="Arial" w:cs="Arial"/>
          <w:bCs/>
          <w:sz w:val="22"/>
          <w:szCs w:val="22"/>
          <w:lang w:val="en-GB"/>
        </w:rPr>
        <w:t xml:space="preserve"> (for judgments obtained from Higher Courts from other countries that have agreed to grant reciprocal rights to be enforced)</w:t>
      </w:r>
      <w:r>
        <w:rPr>
          <w:rFonts w:ascii="Arial" w:hAnsi="Arial" w:cs="Arial"/>
          <w:bCs/>
          <w:sz w:val="22"/>
          <w:szCs w:val="22"/>
          <w:lang w:val="en-GB"/>
        </w:rPr>
        <w:t>;</w:t>
      </w:r>
    </w:p>
    <w:p w14:paraId="4AF0BEE9" w14:textId="11D0BDA9" w:rsidR="004E6C2C" w:rsidRDefault="004E6C2C" w:rsidP="004E6C2C">
      <w:pPr>
        <w:pStyle w:val="ListParagraph"/>
        <w:numPr>
          <w:ilvl w:val="0"/>
          <w:numId w:val="45"/>
        </w:numPr>
        <w:jc w:val="both"/>
        <w:rPr>
          <w:rFonts w:ascii="Arial" w:hAnsi="Arial" w:cs="Arial"/>
          <w:bCs/>
          <w:sz w:val="22"/>
          <w:szCs w:val="22"/>
          <w:lang w:val="en-GB"/>
        </w:rPr>
      </w:pPr>
      <w:proofErr w:type="gramStart"/>
      <w:r>
        <w:rPr>
          <w:rFonts w:ascii="Arial" w:hAnsi="Arial" w:cs="Arial"/>
          <w:bCs/>
          <w:sz w:val="22"/>
          <w:szCs w:val="22"/>
          <w:lang w:val="en-GB"/>
        </w:rPr>
        <w:t>enforcement</w:t>
      </w:r>
      <w:proofErr w:type="gramEnd"/>
      <w:r>
        <w:rPr>
          <w:rFonts w:ascii="Arial" w:hAnsi="Arial" w:cs="Arial"/>
          <w:bCs/>
          <w:sz w:val="22"/>
          <w:szCs w:val="22"/>
          <w:lang w:val="en-GB"/>
        </w:rPr>
        <w:t xml:space="preserve"> under the Enforcement of Commonwealth Judgments Under Senior Courts Act 2016</w:t>
      </w:r>
      <w:r w:rsidR="00A51F5F">
        <w:rPr>
          <w:rFonts w:ascii="Arial" w:hAnsi="Arial" w:cs="Arial"/>
          <w:bCs/>
          <w:sz w:val="22"/>
          <w:szCs w:val="22"/>
          <w:lang w:val="en-GB"/>
        </w:rPr>
        <w:t xml:space="preserve"> (for monetary judgment in the High Court of any Commonwealth Court)</w:t>
      </w:r>
      <w:r>
        <w:rPr>
          <w:rFonts w:ascii="Arial" w:hAnsi="Arial" w:cs="Arial"/>
          <w:bCs/>
          <w:sz w:val="22"/>
          <w:szCs w:val="22"/>
          <w:lang w:val="en-GB"/>
        </w:rPr>
        <w:t>;</w:t>
      </w:r>
    </w:p>
    <w:p w14:paraId="6CE54570" w14:textId="31C75267" w:rsidR="004E6C2C" w:rsidRDefault="00A51F5F" w:rsidP="004E6C2C">
      <w:pPr>
        <w:pStyle w:val="ListParagraph"/>
        <w:numPr>
          <w:ilvl w:val="0"/>
          <w:numId w:val="45"/>
        </w:numPr>
        <w:jc w:val="both"/>
        <w:rPr>
          <w:rFonts w:ascii="Arial" w:hAnsi="Arial" w:cs="Arial"/>
          <w:bCs/>
          <w:sz w:val="22"/>
          <w:szCs w:val="22"/>
          <w:lang w:val="en-GB"/>
        </w:rPr>
      </w:pPr>
      <w:proofErr w:type="gramStart"/>
      <w:r>
        <w:rPr>
          <w:rFonts w:ascii="Arial" w:hAnsi="Arial" w:cs="Arial"/>
          <w:bCs/>
          <w:sz w:val="22"/>
          <w:szCs w:val="22"/>
          <w:lang w:val="en-GB"/>
        </w:rPr>
        <w:t>enforcement</w:t>
      </w:r>
      <w:proofErr w:type="gramEnd"/>
      <w:r>
        <w:rPr>
          <w:rFonts w:ascii="Arial" w:hAnsi="Arial" w:cs="Arial"/>
          <w:bCs/>
          <w:sz w:val="22"/>
          <w:szCs w:val="22"/>
          <w:lang w:val="en-GB"/>
        </w:rPr>
        <w:t xml:space="preserve"> under the Trans-Tasman Proceedings Act 2010 (for judgments obtained in Australia); and</w:t>
      </w:r>
    </w:p>
    <w:p w14:paraId="3A6EE763" w14:textId="46ECAEB2" w:rsidR="00A51F5F" w:rsidRPr="004E6C2C" w:rsidRDefault="00A51F5F" w:rsidP="004E6C2C">
      <w:pPr>
        <w:pStyle w:val="ListParagraph"/>
        <w:numPr>
          <w:ilvl w:val="0"/>
          <w:numId w:val="45"/>
        </w:numPr>
        <w:jc w:val="both"/>
        <w:rPr>
          <w:rFonts w:ascii="Arial" w:hAnsi="Arial" w:cs="Arial"/>
          <w:bCs/>
          <w:sz w:val="22"/>
          <w:szCs w:val="22"/>
          <w:lang w:val="en-GB"/>
        </w:rPr>
      </w:pPr>
      <w:proofErr w:type="gramStart"/>
      <w:r>
        <w:rPr>
          <w:rFonts w:ascii="Arial" w:hAnsi="Arial" w:cs="Arial"/>
          <w:bCs/>
          <w:sz w:val="22"/>
          <w:szCs w:val="22"/>
          <w:lang w:val="en-GB"/>
        </w:rPr>
        <w:t>enforcement</w:t>
      </w:r>
      <w:proofErr w:type="gramEnd"/>
      <w:r>
        <w:rPr>
          <w:rFonts w:ascii="Arial" w:hAnsi="Arial" w:cs="Arial"/>
          <w:bCs/>
          <w:sz w:val="22"/>
          <w:szCs w:val="22"/>
          <w:lang w:val="en-GB"/>
        </w:rPr>
        <w:t xml:space="preserve"> under common law.</w:t>
      </w:r>
      <w:r>
        <w:rPr>
          <w:rStyle w:val="FootnoteReference"/>
          <w:rFonts w:ascii="Arial" w:hAnsi="Arial" w:cs="Arial"/>
          <w:bCs/>
          <w:sz w:val="22"/>
          <w:szCs w:val="22"/>
          <w:lang w:val="en-GB"/>
        </w:rPr>
        <w:footnoteReference w:id="10"/>
      </w: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1266B52" w14:textId="77777777" w:rsidR="00864D42" w:rsidRPr="002A37BB" w:rsidRDefault="00864D42" w:rsidP="00864D42">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9EFF3CC" w14:textId="4BE8B625" w:rsidR="00864D42" w:rsidRDefault="00D60524" w:rsidP="00D60524">
      <w:pPr>
        <w:ind w:left="720"/>
        <w:jc w:val="both"/>
        <w:rPr>
          <w:rFonts w:ascii="Arial" w:hAnsi="Arial" w:cs="Arial"/>
          <w:sz w:val="22"/>
          <w:szCs w:val="22"/>
          <w:shd w:val="clear" w:color="auto" w:fill="FFFFFF"/>
        </w:rPr>
      </w:pPr>
      <w:r>
        <w:rPr>
          <w:rFonts w:ascii="Arial" w:hAnsi="Arial" w:cs="Arial"/>
          <w:sz w:val="22"/>
          <w:szCs w:val="22"/>
          <w:shd w:val="clear" w:color="auto" w:fill="FFFFFF"/>
        </w:rPr>
        <w:t>Voluntary Administration (“</w:t>
      </w:r>
      <w:r w:rsidRPr="00D60524">
        <w:rPr>
          <w:rFonts w:ascii="Arial" w:hAnsi="Arial" w:cs="Arial"/>
          <w:b/>
          <w:sz w:val="22"/>
          <w:szCs w:val="22"/>
          <w:shd w:val="clear" w:color="auto" w:fill="FFFFFF"/>
        </w:rPr>
        <w:t>VA</w:t>
      </w:r>
      <w:r>
        <w:rPr>
          <w:rFonts w:ascii="Arial" w:hAnsi="Arial" w:cs="Arial"/>
          <w:sz w:val="22"/>
          <w:szCs w:val="22"/>
          <w:shd w:val="clear" w:color="auto" w:fill="FFFFFF"/>
        </w:rPr>
        <w:t>”) is modeled on the Australian legislative provisions. The primary objective of VA’s are to maximize the insolvent company’s prospects, or as much as possible of its business, continuing in existence under the terms of a deed of company arrangement (“</w:t>
      </w:r>
      <w:r w:rsidRPr="009C41DB">
        <w:rPr>
          <w:rFonts w:ascii="Arial" w:hAnsi="Arial" w:cs="Arial"/>
          <w:b/>
          <w:sz w:val="22"/>
          <w:szCs w:val="22"/>
          <w:shd w:val="clear" w:color="auto" w:fill="FFFFFF"/>
        </w:rPr>
        <w:t>DOCA</w:t>
      </w:r>
      <w:r>
        <w:rPr>
          <w:rFonts w:ascii="Arial" w:hAnsi="Arial" w:cs="Arial"/>
          <w:sz w:val="22"/>
          <w:szCs w:val="22"/>
          <w:shd w:val="clear" w:color="auto" w:fill="FFFFFF"/>
        </w:rPr>
        <w:t>”)</w:t>
      </w:r>
      <w:r w:rsidR="009C41DB">
        <w:rPr>
          <w:rFonts w:ascii="Arial" w:hAnsi="Arial" w:cs="Arial"/>
          <w:sz w:val="22"/>
          <w:szCs w:val="22"/>
          <w:shd w:val="clear" w:color="auto" w:fill="FFFFFF"/>
        </w:rPr>
        <w:t>. It a DOCA is not possible, the goal is to administer the business and affairs of the company in a way that it results in a better return to creditors than immediate liquidation.</w:t>
      </w:r>
      <w:r w:rsidR="009C41DB">
        <w:rPr>
          <w:rStyle w:val="FootnoteReference"/>
          <w:rFonts w:ascii="Arial" w:hAnsi="Arial" w:cs="Arial"/>
          <w:sz w:val="22"/>
          <w:szCs w:val="22"/>
          <w:shd w:val="clear" w:color="auto" w:fill="FFFFFF"/>
        </w:rPr>
        <w:footnoteReference w:id="11"/>
      </w:r>
    </w:p>
    <w:p w14:paraId="640F8DE4" w14:textId="77777777" w:rsidR="009C41DB" w:rsidRDefault="009C41DB" w:rsidP="00D60524">
      <w:pPr>
        <w:ind w:left="720"/>
        <w:jc w:val="both"/>
        <w:rPr>
          <w:rFonts w:ascii="Arial" w:hAnsi="Arial" w:cs="Arial"/>
          <w:sz w:val="22"/>
          <w:szCs w:val="22"/>
          <w:shd w:val="clear" w:color="auto" w:fill="FFFFFF"/>
        </w:rPr>
      </w:pPr>
    </w:p>
    <w:p w14:paraId="43C35DF6" w14:textId="09BA19F3" w:rsidR="009C41DB" w:rsidRDefault="009C41DB" w:rsidP="00D60524">
      <w:pPr>
        <w:ind w:left="720"/>
        <w:jc w:val="both"/>
        <w:rPr>
          <w:rFonts w:ascii="Arial" w:hAnsi="Arial" w:cs="Arial"/>
          <w:sz w:val="22"/>
          <w:szCs w:val="22"/>
          <w:shd w:val="clear" w:color="auto" w:fill="FFFFFF"/>
        </w:rPr>
      </w:pPr>
      <w:r>
        <w:rPr>
          <w:rFonts w:ascii="Arial" w:hAnsi="Arial" w:cs="Arial"/>
          <w:sz w:val="22"/>
          <w:szCs w:val="22"/>
          <w:shd w:val="clear" w:color="auto" w:fill="FFFFFF"/>
        </w:rPr>
        <w:lastRenderedPageBreak/>
        <w:t>VA has not received as much traction in New Zealand as it has in Australia, possibly because the process lacks preferential status for the Inland Revenue Department (IRD), another possible reason include the larger proportion of small and medium enterprises  (SMEs) in New Zealand are less likely to be able to sustain the costs of a VA.</w:t>
      </w:r>
      <w:r>
        <w:rPr>
          <w:rStyle w:val="FootnoteReference"/>
          <w:rFonts w:ascii="Arial" w:hAnsi="Arial" w:cs="Arial"/>
          <w:sz w:val="22"/>
          <w:szCs w:val="22"/>
          <w:shd w:val="clear" w:color="auto" w:fill="FFFFFF"/>
        </w:rPr>
        <w:footnoteReference w:id="12"/>
      </w:r>
    </w:p>
    <w:p w14:paraId="62FA03C7" w14:textId="77777777" w:rsidR="00397E34" w:rsidRDefault="00397E34" w:rsidP="00D60524">
      <w:pPr>
        <w:ind w:left="720"/>
        <w:jc w:val="both"/>
        <w:rPr>
          <w:rFonts w:ascii="Arial" w:hAnsi="Arial" w:cs="Arial"/>
          <w:sz w:val="22"/>
          <w:szCs w:val="22"/>
          <w:shd w:val="clear" w:color="auto" w:fill="FFFFFF"/>
        </w:rPr>
      </w:pPr>
    </w:p>
    <w:p w14:paraId="2C6FCA2D" w14:textId="5ADDEB8F" w:rsidR="00397E34" w:rsidRDefault="00AB7ADC" w:rsidP="00D60524">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New Zealand has recorded a </w:t>
      </w:r>
      <w:r w:rsidR="001D15B2">
        <w:rPr>
          <w:rFonts w:ascii="Arial" w:hAnsi="Arial" w:cs="Arial"/>
          <w:sz w:val="22"/>
          <w:szCs w:val="22"/>
          <w:shd w:val="clear" w:color="auto" w:fill="FFFFFF"/>
        </w:rPr>
        <w:t>total of 546,735 enterprises in 2019 statistics. Small and medium sized enterprises make up almost 99% of businesses in New Zealand with small businesses making up 97% of all enterprises, employing 29% of the workforce and contributing 26% to the GDP.</w:t>
      </w:r>
      <w:r w:rsidR="001D15B2">
        <w:rPr>
          <w:rStyle w:val="FootnoteReference"/>
          <w:rFonts w:ascii="Arial" w:hAnsi="Arial" w:cs="Arial"/>
          <w:sz w:val="22"/>
          <w:szCs w:val="22"/>
          <w:shd w:val="clear" w:color="auto" w:fill="FFFFFF"/>
        </w:rPr>
        <w:footnoteReference w:id="13"/>
      </w:r>
      <w:r w:rsidR="001D15B2">
        <w:rPr>
          <w:rFonts w:ascii="Arial" w:hAnsi="Arial" w:cs="Arial"/>
          <w:sz w:val="22"/>
          <w:szCs w:val="22"/>
          <w:shd w:val="clear" w:color="auto" w:fill="FFFFFF"/>
        </w:rPr>
        <w:t xml:space="preserve"> Therefore the low rates of VAs in New Zealand as compared to Australia is likely due to the significant number of enterprises being classified as small enterprises. </w:t>
      </w:r>
      <w:r w:rsidR="00236C21">
        <w:rPr>
          <w:rFonts w:ascii="Arial" w:hAnsi="Arial" w:cs="Arial"/>
          <w:sz w:val="22"/>
          <w:szCs w:val="22"/>
          <w:shd w:val="clear" w:color="auto" w:fill="FFFFFF"/>
        </w:rPr>
        <w:t>This is made even more expensive for an already small business in that an administration involves appointment of an administrator, at least two meetings of creditors, costs of the negotiation of the DOCA proposal and administration of the DOCA, a small business may feel that it may be better off skipping the VA and placing itself into liquidation instead.</w:t>
      </w:r>
    </w:p>
    <w:p w14:paraId="019A4D03" w14:textId="77777777" w:rsidR="00E0145A" w:rsidRDefault="00E0145A" w:rsidP="00D60524">
      <w:pPr>
        <w:ind w:left="720"/>
        <w:jc w:val="both"/>
        <w:rPr>
          <w:rFonts w:ascii="Arial" w:hAnsi="Arial" w:cs="Arial"/>
          <w:sz w:val="22"/>
          <w:szCs w:val="22"/>
          <w:shd w:val="clear" w:color="auto" w:fill="FFFFFF"/>
        </w:rPr>
      </w:pPr>
    </w:p>
    <w:p w14:paraId="61FA1461" w14:textId="5F7CE13A" w:rsidR="00EE24D2" w:rsidRDefault="00C65FC4" w:rsidP="00D60524">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In a winding-up, the IRD ranks as fifth priority on certain tax claims, after claims associated with the administration of the winding up including preservation of value assets; employee claims liens, </w:t>
      </w:r>
      <w:proofErr w:type="spellStart"/>
      <w:r>
        <w:rPr>
          <w:rFonts w:ascii="Arial" w:hAnsi="Arial" w:cs="Arial"/>
          <w:sz w:val="22"/>
          <w:szCs w:val="22"/>
          <w:shd w:val="clear" w:color="auto" w:fill="FFFFFF"/>
        </w:rPr>
        <w:t>Kiwisaver</w:t>
      </w:r>
      <w:proofErr w:type="spellEnd"/>
      <w:r>
        <w:rPr>
          <w:rFonts w:ascii="Arial" w:hAnsi="Arial" w:cs="Arial"/>
          <w:sz w:val="22"/>
          <w:szCs w:val="22"/>
          <w:shd w:val="clear" w:color="auto" w:fill="FFFFFF"/>
        </w:rPr>
        <w:t xml:space="preserve"> and claims under various pieces of legislation; sums owed on account of goods paid for on layby; and costs associated with putting together a proposal under sub-part 2, Part 5 of the Insolvency Act (re bankruptcies).</w:t>
      </w:r>
      <w:r>
        <w:rPr>
          <w:rStyle w:val="FootnoteReference"/>
          <w:rFonts w:ascii="Arial" w:hAnsi="Arial" w:cs="Arial"/>
          <w:sz w:val="22"/>
          <w:szCs w:val="22"/>
          <w:shd w:val="clear" w:color="auto" w:fill="FFFFFF"/>
        </w:rPr>
        <w:footnoteReference w:id="14"/>
      </w:r>
    </w:p>
    <w:p w14:paraId="51ECB41D" w14:textId="77777777" w:rsidR="00EE24D2" w:rsidRDefault="00EE24D2" w:rsidP="00D60524">
      <w:pPr>
        <w:ind w:left="720"/>
        <w:jc w:val="both"/>
        <w:rPr>
          <w:rFonts w:ascii="Arial" w:hAnsi="Arial" w:cs="Arial"/>
          <w:sz w:val="22"/>
          <w:szCs w:val="22"/>
          <w:shd w:val="clear" w:color="auto" w:fill="FFFFFF"/>
        </w:rPr>
      </w:pPr>
    </w:p>
    <w:p w14:paraId="17893021" w14:textId="1B2447A7" w:rsidR="00E0145A" w:rsidRDefault="008C5046" w:rsidP="00D60524">
      <w:pPr>
        <w:ind w:left="720"/>
        <w:jc w:val="both"/>
        <w:rPr>
          <w:rFonts w:ascii="Arial" w:hAnsi="Arial" w:cs="Arial"/>
          <w:sz w:val="22"/>
          <w:szCs w:val="22"/>
          <w:shd w:val="clear" w:color="auto" w:fill="FFFFFF"/>
        </w:rPr>
      </w:pPr>
      <w:r>
        <w:rPr>
          <w:rFonts w:ascii="Arial" w:hAnsi="Arial" w:cs="Arial"/>
          <w:sz w:val="22"/>
          <w:szCs w:val="22"/>
          <w:shd w:val="clear" w:color="auto" w:fill="FFFFFF"/>
        </w:rPr>
        <w:t>When a company is placed into VA, the outcome thereof can either result in the company being returned to the directors, being placed into liquidation or executing and implementing a DOCA. Usually the executing and implementing of a DOCA wou</w:t>
      </w:r>
      <w:r w:rsidR="00563064">
        <w:rPr>
          <w:rFonts w:ascii="Arial" w:hAnsi="Arial" w:cs="Arial"/>
          <w:sz w:val="22"/>
          <w:szCs w:val="22"/>
          <w:shd w:val="clear" w:color="auto" w:fill="FFFFFF"/>
        </w:rPr>
        <w:t>l</w:t>
      </w:r>
      <w:r>
        <w:rPr>
          <w:rFonts w:ascii="Arial" w:hAnsi="Arial" w:cs="Arial"/>
          <w:sz w:val="22"/>
          <w:szCs w:val="22"/>
          <w:shd w:val="clear" w:color="auto" w:fill="FFFFFF"/>
        </w:rPr>
        <w:t xml:space="preserve">d </w:t>
      </w:r>
      <w:r w:rsidR="00563064">
        <w:rPr>
          <w:rFonts w:ascii="Arial" w:hAnsi="Arial" w:cs="Arial"/>
          <w:sz w:val="22"/>
          <w:szCs w:val="22"/>
          <w:shd w:val="clear" w:color="auto" w:fill="FFFFFF"/>
        </w:rPr>
        <w:t xml:space="preserve">generally </w:t>
      </w:r>
      <w:r>
        <w:rPr>
          <w:rFonts w:ascii="Arial" w:hAnsi="Arial" w:cs="Arial"/>
          <w:sz w:val="22"/>
          <w:szCs w:val="22"/>
          <w:shd w:val="clear" w:color="auto" w:fill="FFFFFF"/>
        </w:rPr>
        <w:t xml:space="preserve">be the </w:t>
      </w:r>
      <w:r w:rsidR="00563064">
        <w:rPr>
          <w:rFonts w:ascii="Arial" w:hAnsi="Arial" w:cs="Arial"/>
          <w:sz w:val="22"/>
          <w:szCs w:val="22"/>
          <w:shd w:val="clear" w:color="auto" w:fill="FFFFFF"/>
        </w:rPr>
        <w:t>desired outcome for a company (a return to its directors seems unlikely in most cases as the company is placed into VA because it is in financial trouble). The outcome of a VA depends on the decision reached by creditors at a watershed meeting called by the voluntary administrator.</w:t>
      </w:r>
      <w:r w:rsidR="00563064">
        <w:rPr>
          <w:rStyle w:val="FootnoteReference"/>
          <w:rFonts w:ascii="Arial" w:hAnsi="Arial" w:cs="Arial"/>
          <w:sz w:val="22"/>
          <w:szCs w:val="22"/>
          <w:shd w:val="clear" w:color="auto" w:fill="FFFFFF"/>
        </w:rPr>
        <w:footnoteReference w:id="15"/>
      </w:r>
    </w:p>
    <w:p w14:paraId="398E568E" w14:textId="77777777" w:rsidR="00F54BE1" w:rsidRDefault="00F54BE1" w:rsidP="00D60524">
      <w:pPr>
        <w:ind w:left="720"/>
        <w:jc w:val="both"/>
        <w:rPr>
          <w:rFonts w:ascii="Arial" w:hAnsi="Arial" w:cs="Arial"/>
          <w:sz w:val="22"/>
          <w:szCs w:val="22"/>
          <w:shd w:val="clear" w:color="auto" w:fill="FFFFFF"/>
        </w:rPr>
      </w:pPr>
    </w:p>
    <w:p w14:paraId="249B65A5" w14:textId="5C5AA97D" w:rsidR="00F54BE1" w:rsidRDefault="00B65248" w:rsidP="00D60524">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One of the main advantages of a VA is that it provides for a moratorium on commencement of the administration, subject to limited exceptions, enforcement actions against the company or its property are suspended. The main exceptions to the moratorium include secured creditors with </w:t>
      </w:r>
      <w:r w:rsidR="00EF0A33">
        <w:rPr>
          <w:rFonts w:ascii="Arial" w:hAnsi="Arial" w:cs="Arial"/>
          <w:sz w:val="22"/>
          <w:szCs w:val="22"/>
          <w:shd w:val="clear" w:color="auto" w:fill="FFFFFF"/>
        </w:rPr>
        <w:t>security</w:t>
      </w:r>
      <w:r>
        <w:rPr>
          <w:rFonts w:ascii="Arial" w:hAnsi="Arial" w:cs="Arial"/>
          <w:sz w:val="22"/>
          <w:szCs w:val="22"/>
          <w:shd w:val="clear" w:color="auto" w:fill="FFFFFF"/>
        </w:rPr>
        <w:t xml:space="preserve"> </w:t>
      </w:r>
      <w:r w:rsidR="00475503">
        <w:rPr>
          <w:rFonts w:ascii="Arial" w:hAnsi="Arial" w:cs="Arial"/>
          <w:sz w:val="22"/>
          <w:szCs w:val="22"/>
          <w:shd w:val="clear" w:color="auto" w:fill="FFFFFF"/>
        </w:rPr>
        <w:t>over the whole or substantially the whole of the company’s property may enforce their rights for a period of up to 10 working days after commencement of the administration; Secured creditors who commenced enforcement action prior to the appointment; and perishable goods.</w:t>
      </w:r>
      <w:r w:rsidR="00475503">
        <w:rPr>
          <w:rStyle w:val="FootnoteReference"/>
          <w:rFonts w:ascii="Arial" w:hAnsi="Arial" w:cs="Arial"/>
          <w:sz w:val="22"/>
          <w:szCs w:val="22"/>
          <w:shd w:val="clear" w:color="auto" w:fill="FFFFFF"/>
        </w:rPr>
        <w:footnoteReference w:id="16"/>
      </w:r>
      <w:r w:rsidR="00475503">
        <w:rPr>
          <w:rFonts w:ascii="Arial" w:hAnsi="Arial" w:cs="Arial"/>
          <w:sz w:val="22"/>
          <w:szCs w:val="22"/>
          <w:shd w:val="clear" w:color="auto" w:fill="FFFFFF"/>
        </w:rPr>
        <w:t xml:space="preserve"> For this reason, major secured creditors to the company should be consulted and should be supportive of the appointment otherwise an administrator is unlikely to be appointed. Consideration as to whether the company has major secured creditors would accordingly be a key factor in the decision of placing the company into VA.</w:t>
      </w:r>
    </w:p>
    <w:p w14:paraId="40C9EF54" w14:textId="77777777" w:rsidR="003E3DAC" w:rsidRDefault="003E3DAC" w:rsidP="00D60524">
      <w:pPr>
        <w:ind w:left="720"/>
        <w:jc w:val="both"/>
        <w:rPr>
          <w:rFonts w:ascii="Arial" w:hAnsi="Arial" w:cs="Arial"/>
          <w:sz w:val="22"/>
          <w:szCs w:val="22"/>
          <w:shd w:val="clear" w:color="auto" w:fill="FFFFFF"/>
        </w:rPr>
      </w:pPr>
    </w:p>
    <w:p w14:paraId="0EA2A3F2" w14:textId="3D398041" w:rsidR="00236C21" w:rsidRDefault="003E3DAC" w:rsidP="00EE24D2">
      <w:pPr>
        <w:ind w:left="720"/>
        <w:jc w:val="both"/>
        <w:rPr>
          <w:rFonts w:ascii="Arial" w:hAnsi="Arial" w:cs="Arial"/>
          <w:sz w:val="22"/>
          <w:szCs w:val="22"/>
          <w:shd w:val="clear" w:color="auto" w:fill="FFFFFF"/>
        </w:rPr>
      </w:pPr>
      <w:r>
        <w:rPr>
          <w:rFonts w:ascii="Arial" w:hAnsi="Arial" w:cs="Arial"/>
          <w:sz w:val="22"/>
          <w:szCs w:val="22"/>
          <w:shd w:val="clear" w:color="auto" w:fill="FFFFFF"/>
        </w:rPr>
        <w:t>A company should consider VA if it is struggling to meet its payment obligations as and when they fall due, but is not so far gone that it may be considered hopeless to try to save it. If a company need</w:t>
      </w:r>
      <w:r w:rsidR="00236C21">
        <w:rPr>
          <w:rFonts w:ascii="Arial" w:hAnsi="Arial" w:cs="Arial"/>
          <w:sz w:val="22"/>
          <w:szCs w:val="22"/>
          <w:shd w:val="clear" w:color="auto" w:fill="FFFFFF"/>
        </w:rPr>
        <w:t xml:space="preserve">s some breathing room and considers that if it comes to an arrangement with creditors, it can be saved, then the VA is certainly a great means to try to accomplish this. If the VA results in a DOCA, the chances are better </w:t>
      </w:r>
      <w:r w:rsidR="00236C21">
        <w:rPr>
          <w:rFonts w:ascii="Arial" w:hAnsi="Arial" w:cs="Arial"/>
          <w:sz w:val="22"/>
          <w:szCs w:val="22"/>
          <w:shd w:val="clear" w:color="auto" w:fill="FFFFFF"/>
        </w:rPr>
        <w:lastRenderedPageBreak/>
        <w:t xml:space="preserve">for the company’s survivability as it gives the company breathing room and allows the company to negotiate a resolution with its creditors that may result in the company surviving or a better return for its creditors. </w:t>
      </w:r>
      <w:r w:rsidR="00EE24D2">
        <w:rPr>
          <w:rFonts w:ascii="Arial" w:hAnsi="Arial" w:cs="Arial"/>
          <w:sz w:val="22"/>
          <w:szCs w:val="22"/>
          <w:shd w:val="clear" w:color="auto" w:fill="FFFFFF"/>
        </w:rPr>
        <w:t>Placing the company into VA could also assist directors if claims are made against them for insolvent trading as a VA recognizes the struggling financial position of the company and proactive steps are taken to try to save it, or at least try to mitigate the extent of the insolvency.</w:t>
      </w:r>
    </w:p>
    <w:p w14:paraId="107829F9" w14:textId="77777777" w:rsidR="00236C21" w:rsidRPr="00D60524" w:rsidRDefault="00236C21" w:rsidP="00D60524">
      <w:pPr>
        <w:ind w:left="720"/>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1E201153"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was born in </w:t>
      </w:r>
      <w:r w:rsidR="00F06F14">
        <w:rPr>
          <w:rFonts w:ascii="Arial" w:hAnsi="Arial" w:cs="Arial"/>
          <w:bCs/>
          <w:sz w:val="22"/>
          <w:szCs w:val="22"/>
          <w:lang w:val="en-GB"/>
        </w:rPr>
        <w:t>New Zealand</w:t>
      </w:r>
      <w:r w:rsidRPr="00DF7FB9">
        <w:rPr>
          <w:rFonts w:ascii="Arial" w:hAnsi="Arial" w:cs="Arial"/>
          <w:bCs/>
          <w:sz w:val="22"/>
          <w:szCs w:val="22"/>
          <w:lang w:val="en-GB"/>
        </w:rPr>
        <w:t xml:space="preserve">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w:t>
      </w:r>
      <w:r w:rsidR="00C94C09">
        <w:rPr>
          <w:rFonts w:ascii="Arial" w:hAnsi="Arial" w:cs="Arial"/>
          <w:bCs/>
          <w:sz w:val="22"/>
          <w:szCs w:val="22"/>
          <w:lang w:val="en-GB"/>
        </w:rPr>
        <w:t>nited Kingdom</w:t>
      </w:r>
      <w:r w:rsidRPr="00DF7FB9">
        <w:rPr>
          <w:rFonts w:ascii="Arial" w:hAnsi="Arial" w:cs="Arial"/>
          <w:bCs/>
          <w:sz w:val="22"/>
          <w:szCs w:val="22"/>
          <w:lang w:val="en-GB"/>
        </w:rPr>
        <w:t>.</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23CCBB5B"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 xml:space="preserve">He sold </w:t>
      </w:r>
      <w:r w:rsidR="00F06F14">
        <w:rPr>
          <w:rFonts w:ascii="Arial" w:hAnsi="Arial" w:cs="Arial"/>
          <w:bCs/>
          <w:sz w:val="22"/>
          <w:szCs w:val="22"/>
          <w:lang w:val="en-GB"/>
        </w:rPr>
        <w:t>some of his</w:t>
      </w:r>
      <w:r w:rsidRPr="00DF7FB9">
        <w:rPr>
          <w:rFonts w:ascii="Arial" w:hAnsi="Arial" w:cs="Arial"/>
          <w:bCs/>
          <w:sz w:val="22"/>
          <w:szCs w:val="22"/>
          <w:lang w:val="en-GB"/>
        </w:rPr>
        <w:t xml:space="preserve"> business</w:t>
      </w:r>
      <w:r w:rsidR="00F06F14">
        <w:rPr>
          <w:rFonts w:ascii="Arial" w:hAnsi="Arial" w:cs="Arial"/>
          <w:bCs/>
          <w:sz w:val="22"/>
          <w:szCs w:val="22"/>
          <w:lang w:val="en-GB"/>
        </w:rPr>
        <w:t xml:space="preserve"> interests</w:t>
      </w:r>
      <w:r w:rsidRPr="00DF7FB9">
        <w:rPr>
          <w:rFonts w:ascii="Arial" w:hAnsi="Arial" w:cs="Arial"/>
          <w:bCs/>
          <w:sz w:val="22"/>
          <w:szCs w:val="22"/>
          <w:lang w:val="en-GB"/>
        </w:rPr>
        <w:t xml:space="preserve">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73E8B884" w14:textId="1EC68B19" w:rsidR="00F06F14"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w:t>
      </w:r>
      <w:r w:rsidR="00F06F14">
        <w:rPr>
          <w:rFonts w:ascii="Arial" w:hAnsi="Arial" w:cs="Arial"/>
          <w:bCs/>
          <w:sz w:val="22"/>
          <w:szCs w:val="22"/>
          <w:lang w:val="en-GB"/>
        </w:rPr>
        <w:t>:</w:t>
      </w:r>
    </w:p>
    <w:p w14:paraId="41D2FDD9" w14:textId="77777777" w:rsidR="00C94C09" w:rsidRDefault="00C94C09" w:rsidP="00864D42">
      <w:pPr>
        <w:jc w:val="both"/>
        <w:rPr>
          <w:rFonts w:ascii="Arial" w:hAnsi="Arial" w:cs="Arial"/>
          <w:bCs/>
          <w:sz w:val="22"/>
          <w:szCs w:val="22"/>
          <w:lang w:val="en-GB"/>
        </w:rPr>
      </w:pPr>
    </w:p>
    <w:p w14:paraId="75AF6D8A" w14:textId="527C6B90" w:rsidR="00F06F14" w:rsidRDefault="00C94C09">
      <w:pPr>
        <w:pStyle w:val="ListParagraph"/>
        <w:numPr>
          <w:ilvl w:val="0"/>
          <w:numId w:val="44"/>
        </w:numPr>
        <w:jc w:val="both"/>
        <w:rPr>
          <w:rFonts w:ascii="Arial" w:hAnsi="Arial" w:cs="Arial"/>
          <w:bCs/>
          <w:sz w:val="22"/>
          <w:szCs w:val="22"/>
          <w:lang w:val="en-GB"/>
        </w:rPr>
      </w:pPr>
      <w:proofErr w:type="gramStart"/>
      <w:r>
        <w:rPr>
          <w:rFonts w:ascii="Arial" w:hAnsi="Arial" w:cs="Arial"/>
          <w:bCs/>
          <w:sz w:val="22"/>
          <w:szCs w:val="22"/>
          <w:lang w:val="en-GB"/>
        </w:rPr>
        <w:t>h</w:t>
      </w:r>
      <w:r w:rsidR="00F06F14">
        <w:rPr>
          <w:rFonts w:ascii="Arial" w:hAnsi="Arial" w:cs="Arial"/>
          <w:bCs/>
          <w:sz w:val="22"/>
          <w:szCs w:val="22"/>
          <w:lang w:val="en-GB"/>
        </w:rPr>
        <w:t>as</w:t>
      </w:r>
      <w:proofErr w:type="gramEnd"/>
      <w:r w:rsidR="00F06F14">
        <w:rPr>
          <w:rFonts w:ascii="Arial" w:hAnsi="Arial" w:cs="Arial"/>
          <w:bCs/>
          <w:sz w:val="22"/>
          <w:szCs w:val="22"/>
          <w:lang w:val="en-GB"/>
        </w:rPr>
        <w:t xml:space="preserve"> three adult children, </w:t>
      </w:r>
      <w:r>
        <w:rPr>
          <w:rFonts w:ascii="Arial" w:hAnsi="Arial" w:cs="Arial"/>
          <w:bCs/>
          <w:sz w:val="22"/>
          <w:szCs w:val="22"/>
          <w:lang w:val="en-GB"/>
        </w:rPr>
        <w:t>two</w:t>
      </w:r>
      <w:r w:rsidR="00F06F14">
        <w:rPr>
          <w:rFonts w:ascii="Arial" w:hAnsi="Arial" w:cs="Arial"/>
          <w:bCs/>
          <w:sz w:val="22"/>
          <w:szCs w:val="22"/>
          <w:lang w:val="en-GB"/>
        </w:rPr>
        <w:t xml:space="preserve"> of whom are located in New Zealand and one in the UK</w:t>
      </w:r>
      <w:r>
        <w:rPr>
          <w:rFonts w:ascii="Arial" w:hAnsi="Arial" w:cs="Arial"/>
          <w:bCs/>
          <w:sz w:val="22"/>
          <w:szCs w:val="22"/>
          <w:lang w:val="en-GB"/>
        </w:rPr>
        <w:t>;</w:t>
      </w:r>
    </w:p>
    <w:p w14:paraId="6A979F38" w14:textId="77777777" w:rsidR="00C94C09" w:rsidRPr="00C94C09" w:rsidRDefault="00C94C09" w:rsidP="00C94C09">
      <w:pPr>
        <w:ind w:left="420"/>
        <w:jc w:val="both"/>
        <w:rPr>
          <w:rFonts w:ascii="Arial" w:hAnsi="Arial" w:cs="Arial"/>
          <w:bCs/>
          <w:sz w:val="22"/>
          <w:szCs w:val="22"/>
          <w:lang w:val="en-GB"/>
        </w:rPr>
      </w:pPr>
    </w:p>
    <w:p w14:paraId="0EF0A128" w14:textId="5B8AB413" w:rsidR="00F06F14" w:rsidRDefault="00C94C09">
      <w:pPr>
        <w:pStyle w:val="ListParagraph"/>
        <w:numPr>
          <w:ilvl w:val="0"/>
          <w:numId w:val="44"/>
        </w:numPr>
        <w:jc w:val="both"/>
        <w:rPr>
          <w:rFonts w:ascii="Arial" w:hAnsi="Arial" w:cs="Arial"/>
          <w:bCs/>
          <w:sz w:val="22"/>
          <w:szCs w:val="22"/>
          <w:lang w:val="en-GB"/>
        </w:rPr>
      </w:pPr>
      <w:proofErr w:type="gramStart"/>
      <w:r>
        <w:rPr>
          <w:rFonts w:ascii="Arial" w:hAnsi="Arial" w:cs="Arial"/>
          <w:bCs/>
          <w:sz w:val="22"/>
          <w:szCs w:val="22"/>
          <w:lang w:val="en-GB"/>
        </w:rPr>
        <w:t>c</w:t>
      </w:r>
      <w:r w:rsidR="00F06F14">
        <w:rPr>
          <w:rFonts w:ascii="Arial" w:hAnsi="Arial" w:cs="Arial"/>
          <w:bCs/>
          <w:sz w:val="22"/>
          <w:szCs w:val="22"/>
          <w:lang w:val="en-GB"/>
        </w:rPr>
        <w:t>ontinues</w:t>
      </w:r>
      <w:proofErr w:type="gramEnd"/>
      <w:r w:rsidR="00F06F14">
        <w:rPr>
          <w:rFonts w:ascii="Arial" w:hAnsi="Arial" w:cs="Arial"/>
          <w:bCs/>
          <w:sz w:val="22"/>
          <w:szCs w:val="22"/>
          <w:lang w:val="en-GB"/>
        </w:rPr>
        <w:t xml:space="preserve"> to receive income from his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but does not work in New Zealand.  He has no active role in the business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p>
    <w:p w14:paraId="5A40207F" w14:textId="77777777" w:rsidR="00C94C09" w:rsidRPr="00C94C09" w:rsidRDefault="00C94C09" w:rsidP="00C94C09">
      <w:pPr>
        <w:pStyle w:val="ListParagraph"/>
        <w:rPr>
          <w:rFonts w:ascii="Arial" w:hAnsi="Arial" w:cs="Arial"/>
          <w:bCs/>
          <w:sz w:val="22"/>
          <w:szCs w:val="22"/>
          <w:lang w:val="en-GB"/>
        </w:rPr>
      </w:pPr>
    </w:p>
    <w:p w14:paraId="1CD5672D" w14:textId="41E0D01A" w:rsidR="00F06F14" w:rsidRPr="00C94C09" w:rsidRDefault="00C94C09" w:rsidP="00C94C09">
      <w:pPr>
        <w:pStyle w:val="ListParagraph"/>
        <w:numPr>
          <w:ilvl w:val="0"/>
          <w:numId w:val="44"/>
        </w:numPr>
        <w:jc w:val="both"/>
        <w:rPr>
          <w:rFonts w:ascii="Arial" w:hAnsi="Arial" w:cs="Arial"/>
          <w:bCs/>
          <w:sz w:val="22"/>
          <w:szCs w:val="22"/>
          <w:lang w:val="en-GB"/>
        </w:rPr>
      </w:pPr>
      <w:proofErr w:type="gramStart"/>
      <w:r>
        <w:rPr>
          <w:rFonts w:ascii="Arial" w:hAnsi="Arial" w:cs="Arial"/>
          <w:bCs/>
          <w:sz w:val="22"/>
          <w:szCs w:val="22"/>
          <w:lang w:val="en-GB"/>
        </w:rPr>
        <w:t>h</w:t>
      </w:r>
      <w:r w:rsidR="00F06F14">
        <w:rPr>
          <w:rFonts w:ascii="Arial" w:hAnsi="Arial" w:cs="Arial"/>
          <w:bCs/>
          <w:sz w:val="22"/>
          <w:szCs w:val="22"/>
          <w:lang w:val="en-GB"/>
        </w:rPr>
        <w:t>as</w:t>
      </w:r>
      <w:proofErr w:type="gramEnd"/>
      <w:r w:rsidR="00F06F14">
        <w:rPr>
          <w:rFonts w:ascii="Arial" w:hAnsi="Arial" w:cs="Arial"/>
          <w:bCs/>
          <w:sz w:val="22"/>
          <w:szCs w:val="22"/>
          <w:lang w:val="en-GB"/>
        </w:rPr>
        <w:t xml:space="preserve"> retired. Outside of the income he receives from the remaining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xml:space="preserve">, he remains dependent on his wife's income for day to day living.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75F4BB04" w14:textId="17B7B4F8" w:rsidR="0028772E" w:rsidRDefault="007A0DEF" w:rsidP="00864D42">
      <w:pPr>
        <w:jc w:val="both"/>
        <w:rPr>
          <w:rFonts w:ascii="Arial" w:hAnsi="Arial" w:cs="Arial"/>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p>
    <w:p w14:paraId="7DA654D3" w14:textId="7746B53A" w:rsidR="0028772E" w:rsidRDefault="0028772E" w:rsidP="00864D42">
      <w:pPr>
        <w:jc w:val="both"/>
        <w:rPr>
          <w:rFonts w:ascii="Arial" w:hAnsi="Arial" w:cs="Arial"/>
          <w:sz w:val="22"/>
          <w:szCs w:val="22"/>
          <w:lang w:val="en-GB"/>
        </w:rPr>
      </w:pPr>
    </w:p>
    <w:p w14:paraId="6EA35F8A" w14:textId="196CA5B2" w:rsidR="0028772E" w:rsidRDefault="0028772E" w:rsidP="00864D42">
      <w:pPr>
        <w:jc w:val="both"/>
        <w:rPr>
          <w:rFonts w:ascii="Arial" w:hAnsi="Arial" w:cs="Arial"/>
          <w:sz w:val="22"/>
          <w:szCs w:val="22"/>
          <w:lang w:val="en-GB"/>
        </w:rPr>
      </w:pPr>
      <w:r>
        <w:rPr>
          <w:rFonts w:ascii="Arial" w:hAnsi="Arial" w:cs="Arial"/>
          <w:sz w:val="22"/>
          <w:szCs w:val="22"/>
          <w:lang w:val="en-GB"/>
        </w:rPr>
        <w:t xml:space="preserve">What factors point towards the bankruptcy being foreign main proceeding, compared to a foreign non-main proceeding? </w:t>
      </w:r>
    </w:p>
    <w:p w14:paraId="69D0CB37" w14:textId="77777777" w:rsidR="0028772E" w:rsidRDefault="0028772E" w:rsidP="00864D42">
      <w:pPr>
        <w:jc w:val="both"/>
        <w:rPr>
          <w:rFonts w:ascii="Arial" w:hAnsi="Arial" w:cs="Arial"/>
          <w:sz w:val="22"/>
          <w:szCs w:val="22"/>
          <w:lang w:val="en-GB"/>
        </w:rPr>
      </w:pPr>
    </w:p>
    <w:p w14:paraId="5B475FE2"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C3649A0" w14:textId="5359C779" w:rsidR="00864D42" w:rsidRDefault="003C01EE" w:rsidP="00C81756">
      <w:pPr>
        <w:ind w:left="720"/>
        <w:jc w:val="both"/>
        <w:rPr>
          <w:rFonts w:ascii="Arial" w:hAnsi="Arial" w:cs="Arial"/>
          <w:sz w:val="22"/>
          <w:szCs w:val="22"/>
          <w:lang w:val="en-GB"/>
        </w:rPr>
      </w:pPr>
      <w:r>
        <w:rPr>
          <w:rFonts w:ascii="Arial" w:hAnsi="Arial" w:cs="Arial"/>
          <w:sz w:val="22"/>
          <w:szCs w:val="22"/>
          <w:lang w:val="en-GB"/>
        </w:rPr>
        <w:t>Ms Finder may seek assistance in New Zealand to a foreign insolvency through either recognition as assistance provided under common law; or assistance previously provided under section 135 of the Insolvency Act 1967 in respect of bankrupt individuals, now the Insolvency (Cross-border) Act 2006 applies</w:t>
      </w:r>
      <w:r w:rsidR="00C81756">
        <w:rPr>
          <w:rFonts w:ascii="Arial" w:hAnsi="Arial" w:cs="Arial"/>
          <w:sz w:val="22"/>
          <w:szCs w:val="22"/>
          <w:lang w:val="en-GB"/>
        </w:rPr>
        <w:t>.</w:t>
      </w:r>
      <w:r w:rsidR="001D1E03">
        <w:rPr>
          <w:rStyle w:val="FootnoteReference"/>
          <w:rFonts w:ascii="Arial" w:hAnsi="Arial" w:cs="Arial"/>
          <w:sz w:val="22"/>
          <w:szCs w:val="22"/>
          <w:lang w:val="en-GB"/>
        </w:rPr>
        <w:footnoteReference w:id="17"/>
      </w:r>
    </w:p>
    <w:p w14:paraId="7A8EC7BD" w14:textId="77777777" w:rsidR="00C81756" w:rsidRDefault="00C81756" w:rsidP="00C81756">
      <w:pPr>
        <w:ind w:left="720"/>
        <w:jc w:val="both"/>
        <w:rPr>
          <w:rFonts w:ascii="Arial" w:hAnsi="Arial" w:cs="Arial"/>
          <w:sz w:val="22"/>
          <w:szCs w:val="22"/>
          <w:lang w:val="en-GB"/>
        </w:rPr>
      </w:pPr>
    </w:p>
    <w:p w14:paraId="347C5A66" w14:textId="30C37712" w:rsidR="00C81756" w:rsidRDefault="00C81756" w:rsidP="00C81756">
      <w:pPr>
        <w:ind w:left="720"/>
        <w:jc w:val="both"/>
        <w:rPr>
          <w:rFonts w:ascii="Arial" w:hAnsi="Arial" w:cs="Arial"/>
          <w:sz w:val="22"/>
          <w:szCs w:val="22"/>
          <w:lang w:val="en-GB"/>
        </w:rPr>
      </w:pPr>
      <w:r>
        <w:rPr>
          <w:rFonts w:ascii="Arial" w:hAnsi="Arial" w:cs="Arial"/>
          <w:sz w:val="22"/>
          <w:szCs w:val="22"/>
          <w:lang w:val="en-GB"/>
        </w:rPr>
        <w:lastRenderedPageBreak/>
        <w:t>Under the common law process, the Court would recognise the appointment and authority of a foreign insolvency administrator appointed to a debtor in the place of that debtor’s domicile. Recognition would follow as a matter of course unless that a foreign administrator’s appointment was not final, contrary to public policy or breached the rules of natural justice</w:t>
      </w:r>
      <w:r w:rsidR="001D1E03">
        <w:rPr>
          <w:rFonts w:ascii="Arial" w:hAnsi="Arial" w:cs="Arial"/>
          <w:sz w:val="22"/>
          <w:szCs w:val="22"/>
          <w:lang w:val="en-GB"/>
        </w:rPr>
        <w:t>.</w:t>
      </w:r>
      <w:r w:rsidR="001D1E03">
        <w:rPr>
          <w:rStyle w:val="FootnoteReference"/>
          <w:rFonts w:ascii="Arial" w:hAnsi="Arial" w:cs="Arial"/>
          <w:sz w:val="22"/>
          <w:szCs w:val="22"/>
          <w:lang w:val="en-GB"/>
        </w:rPr>
        <w:footnoteReference w:id="18"/>
      </w:r>
      <w:r w:rsidR="00333EB1">
        <w:rPr>
          <w:rFonts w:ascii="Arial" w:hAnsi="Arial" w:cs="Arial"/>
          <w:sz w:val="22"/>
          <w:szCs w:val="22"/>
          <w:lang w:val="en-GB"/>
        </w:rPr>
        <w:t xml:space="preserve"> Once a recognition order is made under common law, New Zealand courts are required at common law to provide assistance to the foreign proceeding</w:t>
      </w:r>
      <w:r w:rsidR="00457F00">
        <w:rPr>
          <w:rFonts w:ascii="Arial" w:hAnsi="Arial" w:cs="Arial"/>
          <w:sz w:val="22"/>
          <w:szCs w:val="22"/>
          <w:lang w:val="en-GB"/>
        </w:rPr>
        <w:t>, governed by New Zealand insolvency law, decided at the discretion of the C</w:t>
      </w:r>
      <w:r w:rsidR="00372952">
        <w:rPr>
          <w:rFonts w:ascii="Arial" w:hAnsi="Arial" w:cs="Arial"/>
          <w:sz w:val="22"/>
          <w:szCs w:val="22"/>
          <w:lang w:val="en-GB"/>
        </w:rPr>
        <w:t>ourt.</w:t>
      </w:r>
      <w:r w:rsidR="00372952">
        <w:rPr>
          <w:rStyle w:val="FootnoteReference"/>
          <w:rFonts w:ascii="Arial" w:hAnsi="Arial" w:cs="Arial"/>
          <w:sz w:val="22"/>
          <w:szCs w:val="22"/>
          <w:lang w:val="en-GB"/>
        </w:rPr>
        <w:footnoteReference w:id="19"/>
      </w:r>
    </w:p>
    <w:p w14:paraId="406A9745" w14:textId="77777777" w:rsidR="00333EB1" w:rsidRDefault="00333EB1" w:rsidP="00C81756">
      <w:pPr>
        <w:ind w:left="720"/>
        <w:jc w:val="both"/>
        <w:rPr>
          <w:rFonts w:ascii="Arial" w:hAnsi="Arial" w:cs="Arial"/>
          <w:sz w:val="22"/>
          <w:szCs w:val="22"/>
          <w:lang w:val="en-GB"/>
        </w:rPr>
      </w:pPr>
    </w:p>
    <w:p w14:paraId="543A1B6A" w14:textId="0BAB92F1" w:rsidR="00333EB1" w:rsidRDefault="008C0482" w:rsidP="00C81756">
      <w:pPr>
        <w:ind w:left="720"/>
        <w:jc w:val="both"/>
        <w:rPr>
          <w:rFonts w:ascii="Arial" w:hAnsi="Arial" w:cs="Arial"/>
          <w:sz w:val="22"/>
          <w:szCs w:val="22"/>
          <w:lang w:val="en-GB"/>
        </w:rPr>
      </w:pPr>
      <w:r>
        <w:rPr>
          <w:rFonts w:ascii="Arial" w:hAnsi="Arial" w:cs="Arial"/>
          <w:sz w:val="22"/>
          <w:szCs w:val="22"/>
          <w:lang w:val="en-GB"/>
        </w:rPr>
        <w:t xml:space="preserve">The facts of this matter are similar to </w:t>
      </w:r>
      <w:r w:rsidRPr="003B3801">
        <w:rPr>
          <w:rFonts w:ascii="Arial" w:hAnsi="Arial" w:cs="Arial"/>
          <w:i/>
          <w:sz w:val="22"/>
          <w:szCs w:val="22"/>
          <w:lang w:val="en-GB"/>
        </w:rPr>
        <w:t>Williams v Simpson</w:t>
      </w:r>
      <w:r>
        <w:rPr>
          <w:rFonts w:ascii="Arial" w:hAnsi="Arial" w:cs="Arial"/>
          <w:sz w:val="22"/>
          <w:szCs w:val="22"/>
          <w:lang w:val="en-GB"/>
        </w:rPr>
        <w:t xml:space="preserve"> [2011] 3 NZLR 380</w:t>
      </w:r>
      <w:r>
        <w:rPr>
          <w:rStyle w:val="FootnoteReference"/>
          <w:rFonts w:ascii="Arial" w:hAnsi="Arial" w:cs="Arial"/>
          <w:sz w:val="22"/>
          <w:szCs w:val="22"/>
          <w:lang w:val="en-GB"/>
        </w:rPr>
        <w:footnoteReference w:id="20"/>
      </w:r>
      <w:r>
        <w:rPr>
          <w:rFonts w:ascii="Arial" w:hAnsi="Arial" w:cs="Arial"/>
          <w:sz w:val="22"/>
          <w:szCs w:val="22"/>
          <w:lang w:val="en-GB"/>
        </w:rPr>
        <w:t>. In this instance, the debtor’s domicile would likely be considered to be New Zealand as the debtor’s habitual residence is in New Zealand, despite the travel to and from the UK, the debtor has rented in the UK and he has returned to in New Zealand habitually. As the common law provides for recognition of an insolvency administrator from where the debtor is domiciled, Ms Finder would probably find difficulty in proving that factor and should instead seek recognition under the Insolvency (Cross-border) Act 2006.</w:t>
      </w:r>
    </w:p>
    <w:p w14:paraId="6392F01C" w14:textId="77777777" w:rsidR="008C0482" w:rsidRDefault="008C0482" w:rsidP="00C81756">
      <w:pPr>
        <w:ind w:left="720"/>
        <w:jc w:val="both"/>
        <w:rPr>
          <w:rFonts w:ascii="Arial" w:hAnsi="Arial" w:cs="Arial"/>
          <w:sz w:val="22"/>
          <w:szCs w:val="22"/>
          <w:lang w:val="en-GB"/>
        </w:rPr>
      </w:pPr>
    </w:p>
    <w:p w14:paraId="17125A49" w14:textId="6D591FA3" w:rsidR="008C0482" w:rsidRDefault="008C0482" w:rsidP="00C81756">
      <w:pPr>
        <w:ind w:left="720"/>
        <w:jc w:val="both"/>
        <w:rPr>
          <w:rFonts w:ascii="Arial" w:hAnsi="Arial" w:cs="Arial"/>
          <w:sz w:val="22"/>
          <w:szCs w:val="22"/>
          <w:lang w:val="en-GB"/>
        </w:rPr>
      </w:pPr>
      <w:r>
        <w:rPr>
          <w:rFonts w:ascii="Arial" w:hAnsi="Arial" w:cs="Arial"/>
          <w:sz w:val="22"/>
          <w:szCs w:val="22"/>
          <w:lang w:val="en-GB"/>
        </w:rPr>
        <w:t>The factors considered for Mr Strong’s centre of main interest (“</w:t>
      </w:r>
      <w:r w:rsidRPr="008C0482">
        <w:rPr>
          <w:rFonts w:ascii="Arial" w:hAnsi="Arial" w:cs="Arial"/>
          <w:b/>
          <w:sz w:val="22"/>
          <w:szCs w:val="22"/>
          <w:lang w:val="en-GB"/>
        </w:rPr>
        <w:t>COMI</w:t>
      </w:r>
      <w:r w:rsidR="00525E7C">
        <w:rPr>
          <w:rFonts w:ascii="Arial" w:hAnsi="Arial" w:cs="Arial"/>
          <w:sz w:val="22"/>
          <w:szCs w:val="22"/>
          <w:lang w:val="en-GB"/>
        </w:rPr>
        <w:t>”) are that he has property in New Zealand, he rented where he lived in the UK, he lived New Zealand for the previous two years. He is reliant on his business interests in the UK for his income but it otherwise reliant on his wife (considering he is placed into bankruptcy in the UK and Ms Finder couldn’t uncover anything further than GBP 5,000, it seems that his business interests in the UK are insignificant), he has no establishment in the UK at the relevant date where he was carrying out non-transitory economic activity.</w:t>
      </w:r>
      <w:r w:rsidR="00525E7C">
        <w:rPr>
          <w:rStyle w:val="FootnoteReference"/>
          <w:rFonts w:ascii="Arial" w:hAnsi="Arial" w:cs="Arial"/>
          <w:sz w:val="22"/>
          <w:szCs w:val="22"/>
          <w:lang w:val="en-GB"/>
        </w:rPr>
        <w:footnoteReference w:id="21"/>
      </w:r>
      <w:r w:rsidR="006079AD">
        <w:rPr>
          <w:rFonts w:ascii="Arial" w:hAnsi="Arial" w:cs="Arial"/>
          <w:sz w:val="22"/>
          <w:szCs w:val="22"/>
          <w:lang w:val="en-GB"/>
        </w:rPr>
        <w:t xml:space="preserve"> Mr Strong’s COMI would be New Zealand and the UK would be a foreign non-main proceeding.</w:t>
      </w:r>
    </w:p>
    <w:p w14:paraId="504FEB7B" w14:textId="77777777" w:rsidR="00525E7C" w:rsidRDefault="00525E7C" w:rsidP="00C81756">
      <w:pPr>
        <w:ind w:left="720"/>
        <w:jc w:val="both"/>
        <w:rPr>
          <w:rFonts w:ascii="Arial" w:hAnsi="Arial" w:cs="Arial"/>
          <w:sz w:val="22"/>
          <w:szCs w:val="22"/>
          <w:lang w:val="en-GB"/>
        </w:rPr>
      </w:pPr>
    </w:p>
    <w:p w14:paraId="7D755C78" w14:textId="40C79160" w:rsidR="00525E7C" w:rsidRPr="003B3801" w:rsidRDefault="00525E7C" w:rsidP="00C81756">
      <w:pPr>
        <w:ind w:left="720"/>
        <w:jc w:val="both"/>
        <w:rPr>
          <w:rFonts w:ascii="Arial" w:hAnsi="Arial" w:cs="Arial"/>
          <w:sz w:val="22"/>
          <w:szCs w:val="22"/>
          <w:lang w:val="en-GB"/>
        </w:rPr>
      </w:pPr>
      <w:r>
        <w:rPr>
          <w:rFonts w:ascii="Arial" w:hAnsi="Arial" w:cs="Arial"/>
          <w:sz w:val="22"/>
          <w:szCs w:val="22"/>
          <w:lang w:val="en-GB"/>
        </w:rPr>
        <w:t xml:space="preserve">Ms Finder should seek assistance under section 8 of the Insolvency (Cross-border) Act 2006. In </w:t>
      </w:r>
      <w:proofErr w:type="gramStart"/>
      <w:r w:rsidRPr="00525E7C">
        <w:rPr>
          <w:rFonts w:ascii="Arial" w:hAnsi="Arial" w:cs="Arial"/>
          <w:i/>
          <w:sz w:val="22"/>
          <w:szCs w:val="22"/>
          <w:lang w:val="en-GB"/>
        </w:rPr>
        <w:t>Williams</w:t>
      </w:r>
      <w:proofErr w:type="gramEnd"/>
      <w:r w:rsidRPr="00525E7C">
        <w:rPr>
          <w:rFonts w:ascii="Arial" w:hAnsi="Arial" w:cs="Arial"/>
          <w:i/>
          <w:sz w:val="22"/>
          <w:szCs w:val="22"/>
          <w:lang w:val="en-GB"/>
        </w:rPr>
        <w:t xml:space="preserve"> v Simpson</w:t>
      </w:r>
      <w:r>
        <w:rPr>
          <w:rFonts w:ascii="Arial" w:hAnsi="Arial" w:cs="Arial"/>
          <w:sz w:val="22"/>
          <w:szCs w:val="22"/>
          <w:lang w:val="en-GB"/>
        </w:rPr>
        <w:t xml:space="preserve">, it was established that the court had jurisdiction to order relief under Article 8 of Schedule 1 to provide assistance </w:t>
      </w:r>
      <w:r w:rsidR="00D82A1E">
        <w:rPr>
          <w:rFonts w:ascii="Arial" w:hAnsi="Arial" w:cs="Arial"/>
          <w:sz w:val="22"/>
          <w:szCs w:val="22"/>
          <w:lang w:val="en-GB"/>
        </w:rPr>
        <w:t>to the English Court by enabling the trustee to realise assets in New Zealand.</w:t>
      </w:r>
      <w:r w:rsidR="00D82A1E">
        <w:rPr>
          <w:rStyle w:val="FootnoteReference"/>
          <w:rFonts w:ascii="Arial" w:hAnsi="Arial" w:cs="Arial"/>
          <w:sz w:val="22"/>
          <w:szCs w:val="22"/>
          <w:lang w:val="en-GB"/>
        </w:rPr>
        <w:footnoteReference w:id="22"/>
      </w: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 xml:space="preserve">What options are available to Ms Finder </w:t>
      </w:r>
      <w:proofErr w:type="gramStart"/>
      <w:r w:rsidRPr="00DF7FB9">
        <w:rPr>
          <w:rFonts w:ascii="Arial" w:hAnsi="Arial" w:cs="Arial"/>
          <w:sz w:val="22"/>
          <w:szCs w:val="22"/>
          <w:lang w:val="en-GB"/>
        </w:rPr>
        <w:t>to:</w:t>
      </w:r>
      <w:proofErr w:type="gramEnd"/>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proofErr w:type="gramStart"/>
      <w:r>
        <w:rPr>
          <w:rFonts w:ascii="Arial" w:hAnsi="Arial" w:cs="Arial"/>
          <w:sz w:val="22"/>
          <w:szCs w:val="22"/>
          <w:lang w:val="en-GB"/>
        </w:rPr>
        <w:t>f</w:t>
      </w:r>
      <w:r w:rsidR="00864D42" w:rsidRPr="00DF7FB9">
        <w:rPr>
          <w:rFonts w:ascii="Arial" w:hAnsi="Arial" w:cs="Arial"/>
          <w:sz w:val="22"/>
          <w:szCs w:val="22"/>
          <w:lang w:val="en-GB"/>
        </w:rPr>
        <w:t>ind</w:t>
      </w:r>
      <w:proofErr w:type="gramEnd"/>
      <w:r w:rsidR="00864D42" w:rsidRPr="00DF7FB9">
        <w:rPr>
          <w:rFonts w:ascii="Arial" w:hAnsi="Arial" w:cs="Arial"/>
          <w:sz w:val="22"/>
          <w:szCs w:val="22"/>
          <w:lang w:val="en-GB"/>
        </w:rPr>
        <w:t xml:space="preserve">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proofErr w:type="gramStart"/>
      <w:r>
        <w:rPr>
          <w:rFonts w:ascii="Arial" w:hAnsi="Arial" w:cs="Arial"/>
          <w:sz w:val="22"/>
          <w:szCs w:val="22"/>
          <w:lang w:val="en-GB"/>
        </w:rPr>
        <w:t>a</w:t>
      </w:r>
      <w:r w:rsidR="00864D42" w:rsidRPr="00DF7FB9">
        <w:rPr>
          <w:rFonts w:ascii="Arial" w:hAnsi="Arial" w:cs="Arial"/>
          <w:sz w:val="22"/>
          <w:szCs w:val="22"/>
          <w:lang w:val="en-GB"/>
        </w:rPr>
        <w:t>ssuming</w:t>
      </w:r>
      <w:proofErr w:type="gramEnd"/>
      <w:r w:rsidR="00864D42" w:rsidRPr="00DF7FB9">
        <w:rPr>
          <w:rFonts w:ascii="Arial" w:hAnsi="Arial" w:cs="Arial"/>
          <w:sz w:val="22"/>
          <w:szCs w:val="22"/>
          <w:lang w:val="en-GB"/>
        </w:rPr>
        <w:t xml:space="preserve">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7514FDD0" w14:textId="06655B1B" w:rsidR="00864D42" w:rsidRDefault="00864D42" w:rsidP="003B3801">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D0E157C" w14:textId="5745601C" w:rsidR="004059DF" w:rsidRDefault="004C1F6B" w:rsidP="004059DF">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Ms Finder could</w:t>
      </w:r>
      <w:r w:rsidR="004059DF">
        <w:rPr>
          <w:rFonts w:ascii="Arial" w:hAnsi="Arial" w:cs="Arial"/>
          <w:sz w:val="22"/>
          <w:szCs w:val="22"/>
          <w:lang w:val="en-GB"/>
        </w:rPr>
        <w:t xml:space="preserve"> seek the court’s assistance for recognition under the Insolvency (Cross-border) Act 2006, including assistance to allow her to interrogate the debtor to </w:t>
      </w:r>
      <w:r w:rsidR="00C83DDB">
        <w:rPr>
          <w:rFonts w:ascii="Arial" w:hAnsi="Arial" w:cs="Arial"/>
          <w:sz w:val="22"/>
          <w:szCs w:val="22"/>
          <w:lang w:val="en-GB"/>
        </w:rPr>
        <w:lastRenderedPageBreak/>
        <w:t>e</w:t>
      </w:r>
      <w:r w:rsidR="004059DF">
        <w:rPr>
          <w:rFonts w:ascii="Arial" w:hAnsi="Arial" w:cs="Arial"/>
          <w:sz w:val="22"/>
          <w:szCs w:val="22"/>
          <w:lang w:val="en-GB"/>
        </w:rPr>
        <w:t xml:space="preserve">stablish </w:t>
      </w:r>
      <w:r>
        <w:rPr>
          <w:rFonts w:ascii="Arial" w:hAnsi="Arial" w:cs="Arial"/>
          <w:sz w:val="22"/>
          <w:szCs w:val="22"/>
          <w:lang w:val="en-GB"/>
        </w:rPr>
        <w:t xml:space="preserve">if the debtor is concealing assets. The High Court can aid in these proceedings as permitted in the Insolvency (Cross-border) Act. </w:t>
      </w:r>
      <w:r>
        <w:rPr>
          <w:rStyle w:val="FootnoteReference"/>
          <w:rFonts w:ascii="Arial" w:hAnsi="Arial" w:cs="Arial"/>
          <w:sz w:val="22"/>
          <w:szCs w:val="22"/>
          <w:lang w:val="en-GB"/>
        </w:rPr>
        <w:footnoteReference w:id="23"/>
      </w:r>
    </w:p>
    <w:p w14:paraId="005B2253" w14:textId="77777777" w:rsidR="004059DF" w:rsidRDefault="004059DF" w:rsidP="004059DF">
      <w:pPr>
        <w:autoSpaceDE w:val="0"/>
        <w:autoSpaceDN w:val="0"/>
        <w:adjustRightInd w:val="0"/>
        <w:ind w:left="720"/>
        <w:jc w:val="both"/>
        <w:rPr>
          <w:rFonts w:ascii="Arial" w:hAnsi="Arial" w:cs="Arial"/>
          <w:sz w:val="22"/>
          <w:szCs w:val="22"/>
          <w:lang w:val="en-GB"/>
        </w:rPr>
      </w:pPr>
    </w:p>
    <w:p w14:paraId="114D7839" w14:textId="31374A4B" w:rsidR="003B3801" w:rsidRDefault="004059DF" w:rsidP="004059DF">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If Ms Finder has reliable information about concealed assets in New Zealand, she could apply for an order for assistance under section 8 of the Insolvency (Cross-</w:t>
      </w:r>
      <w:proofErr w:type="gramStart"/>
      <w:r>
        <w:rPr>
          <w:rFonts w:ascii="Arial" w:hAnsi="Arial" w:cs="Arial"/>
          <w:sz w:val="22"/>
          <w:szCs w:val="22"/>
          <w:lang w:val="en-GB"/>
        </w:rPr>
        <w:t>border</w:t>
      </w:r>
      <w:proofErr w:type="gramEnd"/>
      <w:r>
        <w:rPr>
          <w:rFonts w:ascii="Arial" w:hAnsi="Arial" w:cs="Arial"/>
          <w:sz w:val="22"/>
          <w:szCs w:val="22"/>
          <w:lang w:val="en-GB"/>
        </w:rPr>
        <w:t xml:space="preserve">) Act and seek interim search-and-seizure orders for the assets. This was sought in </w:t>
      </w:r>
      <w:proofErr w:type="gramStart"/>
      <w:r w:rsidRPr="004059DF">
        <w:rPr>
          <w:rFonts w:ascii="Arial" w:hAnsi="Arial" w:cs="Arial"/>
          <w:i/>
          <w:sz w:val="22"/>
          <w:szCs w:val="22"/>
          <w:lang w:val="en-GB"/>
        </w:rPr>
        <w:t>Williams</w:t>
      </w:r>
      <w:proofErr w:type="gramEnd"/>
      <w:r w:rsidRPr="004059DF">
        <w:rPr>
          <w:rFonts w:ascii="Arial" w:hAnsi="Arial" w:cs="Arial"/>
          <w:i/>
          <w:sz w:val="22"/>
          <w:szCs w:val="22"/>
          <w:lang w:val="en-GB"/>
        </w:rPr>
        <w:t xml:space="preserve"> v Simpson</w:t>
      </w:r>
      <w:r>
        <w:rPr>
          <w:rFonts w:ascii="Arial" w:hAnsi="Arial" w:cs="Arial"/>
          <w:sz w:val="22"/>
          <w:szCs w:val="22"/>
          <w:lang w:val="en-GB"/>
        </w:rPr>
        <w:t xml:space="preserve"> and led to the seizure of certain property including gold bullion, foreign currency, computer data and documents found at Mr Simpson’s residence.</w:t>
      </w:r>
      <w:r>
        <w:rPr>
          <w:rStyle w:val="FootnoteReference"/>
          <w:rFonts w:ascii="Arial" w:hAnsi="Arial" w:cs="Arial"/>
          <w:sz w:val="22"/>
          <w:szCs w:val="22"/>
          <w:lang w:val="en-GB"/>
        </w:rPr>
        <w:footnoteReference w:id="24"/>
      </w: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D5E1EF5" w14:textId="51C64C92" w:rsidR="00864D42" w:rsidRDefault="004C1F6B" w:rsidP="004C1F6B">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As the COMI of Mr Strong would be established as New Zealand, it is unlikely that Ms Finder could seek recognition of her appointment as being from a country of a foreign-main proceeding of the debtor. New Zealand has adopted the UNCITRAL Model Law on Cross-Border Insolvency</w:t>
      </w:r>
      <w:r w:rsidR="00F52D8D">
        <w:rPr>
          <w:rFonts w:ascii="Arial" w:hAnsi="Arial" w:cs="Arial"/>
          <w:color w:val="000000" w:themeColor="text1"/>
          <w:sz w:val="22"/>
          <w:szCs w:val="22"/>
          <w:lang w:val="en-GB"/>
        </w:rPr>
        <w:t xml:space="preserve"> (“</w:t>
      </w:r>
      <w:r w:rsidR="00F52D8D" w:rsidRPr="00F52D8D">
        <w:rPr>
          <w:rFonts w:ascii="Arial" w:hAnsi="Arial" w:cs="Arial"/>
          <w:b/>
          <w:color w:val="000000" w:themeColor="text1"/>
          <w:sz w:val="22"/>
          <w:szCs w:val="22"/>
          <w:lang w:val="en-GB"/>
        </w:rPr>
        <w:t>Model Law</w:t>
      </w:r>
      <w:r w:rsidR="00F52D8D">
        <w:rPr>
          <w:rFonts w:ascii="Arial" w:hAnsi="Arial" w:cs="Arial"/>
          <w:color w:val="000000" w:themeColor="text1"/>
          <w:sz w:val="22"/>
          <w:szCs w:val="22"/>
          <w:lang w:val="en-GB"/>
        </w:rPr>
        <w:t>”)</w:t>
      </w:r>
      <w:r>
        <w:rPr>
          <w:rFonts w:ascii="Arial" w:hAnsi="Arial" w:cs="Arial"/>
          <w:color w:val="000000" w:themeColor="text1"/>
          <w:sz w:val="22"/>
          <w:szCs w:val="22"/>
          <w:lang w:val="en-GB"/>
        </w:rPr>
        <w:t>, which resulted in the enactment of the Insolvency (Cross-border) Act 2006, which is a modified form of the Model Law.</w:t>
      </w:r>
      <w:r>
        <w:rPr>
          <w:rStyle w:val="FootnoteReference"/>
          <w:rFonts w:ascii="Arial" w:hAnsi="Arial" w:cs="Arial"/>
          <w:color w:val="000000" w:themeColor="text1"/>
          <w:sz w:val="22"/>
          <w:szCs w:val="22"/>
          <w:lang w:val="en-GB"/>
        </w:rPr>
        <w:footnoteReference w:id="25"/>
      </w:r>
      <w:r w:rsidR="00F52D8D">
        <w:rPr>
          <w:rFonts w:ascii="Arial" w:hAnsi="Arial" w:cs="Arial"/>
          <w:color w:val="000000" w:themeColor="text1"/>
          <w:sz w:val="22"/>
          <w:szCs w:val="22"/>
          <w:lang w:val="en-GB"/>
        </w:rPr>
        <w:t xml:space="preserve"> The Insolvency (Cross-border) Act 2006 provides for liquidation in New Zealand of an overseas company, extends t</w:t>
      </w:r>
      <w:r w:rsidR="009E663B">
        <w:rPr>
          <w:rFonts w:ascii="Arial" w:hAnsi="Arial" w:cs="Arial"/>
          <w:color w:val="000000" w:themeColor="text1"/>
          <w:sz w:val="22"/>
          <w:szCs w:val="22"/>
          <w:lang w:val="en-GB"/>
        </w:rPr>
        <w:t>he power of the High Court to a</w:t>
      </w:r>
      <w:r w:rsidR="00F52D8D">
        <w:rPr>
          <w:rFonts w:ascii="Arial" w:hAnsi="Arial" w:cs="Arial"/>
          <w:color w:val="000000" w:themeColor="text1"/>
          <w:sz w:val="22"/>
          <w:szCs w:val="22"/>
          <w:lang w:val="en-GB"/>
        </w:rPr>
        <w:t>id in all insolvency proceedings</w:t>
      </w:r>
      <w:r w:rsidR="009E663B">
        <w:rPr>
          <w:rFonts w:ascii="Arial" w:hAnsi="Arial" w:cs="Arial"/>
          <w:color w:val="000000" w:themeColor="text1"/>
          <w:sz w:val="22"/>
          <w:szCs w:val="22"/>
          <w:lang w:val="en-GB"/>
        </w:rPr>
        <w:t>.</w:t>
      </w:r>
      <w:r w:rsidR="009E663B">
        <w:rPr>
          <w:rStyle w:val="FootnoteReference"/>
          <w:rFonts w:ascii="Arial" w:hAnsi="Arial" w:cs="Arial"/>
          <w:color w:val="000000" w:themeColor="text1"/>
          <w:sz w:val="22"/>
          <w:szCs w:val="22"/>
          <w:lang w:val="en-GB"/>
        </w:rPr>
        <w:footnoteReference w:id="26"/>
      </w:r>
      <w:r w:rsidR="002F2552">
        <w:rPr>
          <w:rFonts w:ascii="Arial" w:hAnsi="Arial" w:cs="Arial"/>
          <w:color w:val="000000" w:themeColor="text1"/>
          <w:sz w:val="22"/>
          <w:szCs w:val="22"/>
          <w:lang w:val="en-GB"/>
        </w:rPr>
        <w:t xml:space="preserve"> Ms Finder’s would be able to have her appointment recognized pursuant to the Insolvency (Cross-border) Act 2006, despite her jurisdiction being a foreign non-main proceeding.</w:t>
      </w:r>
      <w:bookmarkStart w:id="1" w:name="_GoBack"/>
      <w:bookmarkEnd w:id="1"/>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8E66B" w14:textId="77777777" w:rsidR="00F52D8D" w:rsidRDefault="00F52D8D" w:rsidP="00241B44">
      <w:r>
        <w:separator/>
      </w:r>
    </w:p>
  </w:endnote>
  <w:endnote w:type="continuationSeparator" w:id="0">
    <w:p w14:paraId="09D194ED" w14:textId="77777777" w:rsidR="00F52D8D" w:rsidRDefault="00F52D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52D8D" w:rsidRPr="00FC7B47" w:rsidRDefault="00F52D8D"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52D8D" w:rsidRPr="00FC7B47" w:rsidRDefault="00F52D8D"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F52D8D" w:rsidRPr="009B4976" w:rsidRDefault="00F52D8D" w:rsidP="00481434">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F2552">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30F05E79" w14:textId="5893BBA7" w:rsidR="00F52D8D" w:rsidRPr="009B4976" w:rsidRDefault="00F52D8D" w:rsidP="009B4976">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w:t>
    </w:r>
    <w:r>
      <w:rPr>
        <w:rFonts w:ascii="Arial" w:hAnsi="Arial" w:cs="Arial"/>
        <w:sz w:val="18"/>
        <w:szCs w:val="18"/>
        <w:lang w:val="en-GB"/>
      </w:rPr>
      <w:t>8F.docx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3237" w14:textId="77777777" w:rsidR="00F52D8D" w:rsidRDefault="00F52D8D" w:rsidP="00241B44">
      <w:r>
        <w:separator/>
      </w:r>
    </w:p>
  </w:footnote>
  <w:footnote w:type="continuationSeparator" w:id="0">
    <w:p w14:paraId="1FB7431A" w14:textId="77777777" w:rsidR="00F52D8D" w:rsidRDefault="00F52D8D" w:rsidP="00241B44">
      <w:r>
        <w:continuationSeparator/>
      </w:r>
    </w:p>
  </w:footnote>
  <w:footnote w:id="1">
    <w:p w14:paraId="38752E01" w14:textId="26D82D4A" w:rsidR="00F52D8D" w:rsidRDefault="00F52D8D">
      <w:pPr>
        <w:pStyle w:val="FootnoteText"/>
      </w:pPr>
      <w:r>
        <w:rPr>
          <w:rStyle w:val="FootnoteReference"/>
        </w:rPr>
        <w:footnoteRef/>
      </w:r>
      <w:r>
        <w:t xml:space="preserve"> Van, Lynne, Foundation Certificate in International Insolvency Law Module 8F Guidance Text, New Zealand 2021/2022 (“</w:t>
      </w:r>
      <w:r w:rsidRPr="00A51F5F">
        <w:rPr>
          <w:b/>
        </w:rPr>
        <w:t>Guidance Text</w:t>
      </w:r>
      <w:r>
        <w:t xml:space="preserve">”) pages 40 - 41, 6.4.7.4 </w:t>
      </w:r>
    </w:p>
  </w:footnote>
  <w:footnote w:id="2">
    <w:p w14:paraId="5AB7EABD" w14:textId="1C87D83C" w:rsidR="00F52D8D" w:rsidRDefault="00F52D8D">
      <w:pPr>
        <w:pStyle w:val="FootnoteText"/>
      </w:pPr>
      <w:r>
        <w:rPr>
          <w:rStyle w:val="FootnoteReference"/>
        </w:rPr>
        <w:footnoteRef/>
      </w:r>
      <w:r>
        <w:t xml:space="preserve"> Guidance Text page 41, 6.4.7.5</w:t>
      </w:r>
    </w:p>
  </w:footnote>
  <w:footnote w:id="3">
    <w:p w14:paraId="712F5F60" w14:textId="6858D8FD" w:rsidR="00F52D8D" w:rsidRDefault="00F52D8D">
      <w:pPr>
        <w:pStyle w:val="FootnoteText"/>
      </w:pPr>
      <w:r>
        <w:rPr>
          <w:rStyle w:val="FootnoteReference"/>
        </w:rPr>
        <w:footnoteRef/>
      </w:r>
      <w:r>
        <w:t xml:space="preserve"> Guidance Text page 42, 6.4.7.6</w:t>
      </w:r>
    </w:p>
  </w:footnote>
  <w:footnote w:id="4">
    <w:p w14:paraId="599C61A2" w14:textId="59351014" w:rsidR="00F52D8D" w:rsidRDefault="00F52D8D">
      <w:pPr>
        <w:pStyle w:val="FootnoteText"/>
      </w:pPr>
      <w:r>
        <w:rPr>
          <w:rStyle w:val="FootnoteReference"/>
        </w:rPr>
        <w:footnoteRef/>
      </w:r>
      <w:r>
        <w:t xml:space="preserve"> Guidance Text page 15, 6.1</w:t>
      </w:r>
    </w:p>
  </w:footnote>
  <w:footnote w:id="5">
    <w:p w14:paraId="0AD4F5FF" w14:textId="52CDB651" w:rsidR="00F52D8D" w:rsidRDefault="00F52D8D">
      <w:pPr>
        <w:pStyle w:val="FootnoteText"/>
      </w:pPr>
      <w:r>
        <w:rPr>
          <w:rStyle w:val="FootnoteReference"/>
        </w:rPr>
        <w:footnoteRef/>
      </w:r>
      <w:r>
        <w:t xml:space="preserve"> Guidance Text page 66, 6.6.2</w:t>
      </w:r>
    </w:p>
  </w:footnote>
  <w:footnote w:id="6">
    <w:p w14:paraId="2416789F" w14:textId="5F95BAB7" w:rsidR="00F52D8D" w:rsidRDefault="00F52D8D">
      <w:pPr>
        <w:pStyle w:val="FootnoteText"/>
      </w:pPr>
      <w:r>
        <w:rPr>
          <w:rStyle w:val="FootnoteReference"/>
        </w:rPr>
        <w:footnoteRef/>
      </w:r>
      <w:r>
        <w:t xml:space="preserve"> Guidance Text page 67, 6.6.2</w:t>
      </w:r>
    </w:p>
  </w:footnote>
  <w:footnote w:id="7">
    <w:p w14:paraId="126B7FB5" w14:textId="51F20569" w:rsidR="00F52D8D" w:rsidRDefault="00F52D8D">
      <w:pPr>
        <w:pStyle w:val="FootnoteText"/>
      </w:pPr>
      <w:r>
        <w:rPr>
          <w:rStyle w:val="FootnoteReference"/>
        </w:rPr>
        <w:footnoteRef/>
      </w:r>
      <w:r>
        <w:t xml:space="preserve"> Guidance Text page 66, 6.6.2</w:t>
      </w:r>
    </w:p>
  </w:footnote>
  <w:footnote w:id="8">
    <w:p w14:paraId="0E35F3E9" w14:textId="585F2851" w:rsidR="00F52D8D" w:rsidRDefault="00F52D8D">
      <w:pPr>
        <w:pStyle w:val="FootnoteText"/>
      </w:pPr>
      <w:r>
        <w:rPr>
          <w:rStyle w:val="FootnoteReference"/>
        </w:rPr>
        <w:footnoteRef/>
      </w:r>
      <w:r>
        <w:t xml:space="preserve"> Guidance Text page 68, 6.6.4.2</w:t>
      </w:r>
    </w:p>
  </w:footnote>
  <w:footnote w:id="9">
    <w:p w14:paraId="4FB1231B" w14:textId="33CF1928" w:rsidR="00F52D8D" w:rsidRDefault="00F52D8D">
      <w:pPr>
        <w:pStyle w:val="FootnoteText"/>
      </w:pPr>
      <w:r>
        <w:rPr>
          <w:rStyle w:val="FootnoteReference"/>
        </w:rPr>
        <w:footnoteRef/>
      </w:r>
      <w:r>
        <w:t xml:space="preserve"> Guidance Text page 67, 6.6.3</w:t>
      </w:r>
    </w:p>
  </w:footnote>
  <w:footnote w:id="10">
    <w:p w14:paraId="00F6CEB7" w14:textId="2D2F34EA" w:rsidR="00F52D8D" w:rsidRDefault="00F52D8D">
      <w:pPr>
        <w:pStyle w:val="FootnoteText"/>
      </w:pPr>
      <w:r>
        <w:rPr>
          <w:rStyle w:val="FootnoteReference"/>
        </w:rPr>
        <w:footnoteRef/>
      </w:r>
      <w:r>
        <w:t xml:space="preserve"> Guidance Text page 76, 8.1</w:t>
      </w:r>
    </w:p>
  </w:footnote>
  <w:footnote w:id="11">
    <w:p w14:paraId="39A09710" w14:textId="57EAC189" w:rsidR="00F52D8D" w:rsidRDefault="00F52D8D">
      <w:pPr>
        <w:pStyle w:val="FootnoteText"/>
      </w:pPr>
      <w:r>
        <w:rPr>
          <w:rStyle w:val="FootnoteReference"/>
        </w:rPr>
        <w:footnoteRef/>
      </w:r>
      <w:r>
        <w:t xml:space="preserve"> Guidance Text page 51, 6.5.5.1</w:t>
      </w:r>
    </w:p>
  </w:footnote>
  <w:footnote w:id="12">
    <w:p w14:paraId="43822AA9" w14:textId="4D970C9D" w:rsidR="00F52D8D" w:rsidRDefault="00F52D8D">
      <w:pPr>
        <w:pStyle w:val="FootnoteText"/>
      </w:pPr>
      <w:r>
        <w:rPr>
          <w:rStyle w:val="FootnoteReference"/>
        </w:rPr>
        <w:footnoteRef/>
      </w:r>
      <w:r>
        <w:t xml:space="preserve"> Guidance Text page 51, 6.5.5.1</w:t>
      </w:r>
    </w:p>
  </w:footnote>
  <w:footnote w:id="13">
    <w:p w14:paraId="4275C7AF" w14:textId="6F799FCD" w:rsidR="00F52D8D" w:rsidRDefault="00F52D8D">
      <w:pPr>
        <w:pStyle w:val="FootnoteText"/>
      </w:pPr>
      <w:r>
        <w:rPr>
          <w:rStyle w:val="FootnoteReference"/>
        </w:rPr>
        <w:footnoteRef/>
      </w:r>
      <w:r>
        <w:t xml:space="preserve"> Guidance Text page 2, 3</w:t>
      </w:r>
    </w:p>
  </w:footnote>
  <w:footnote w:id="14">
    <w:p w14:paraId="54D94AAE" w14:textId="54F79C03" w:rsidR="00F52D8D" w:rsidRDefault="00F52D8D">
      <w:pPr>
        <w:pStyle w:val="FootnoteText"/>
      </w:pPr>
      <w:r>
        <w:rPr>
          <w:rStyle w:val="FootnoteReference"/>
        </w:rPr>
        <w:footnoteRef/>
      </w:r>
      <w:r>
        <w:t xml:space="preserve"> Guidance Text page 24 – 25, 6.3.2</w:t>
      </w:r>
    </w:p>
  </w:footnote>
  <w:footnote w:id="15">
    <w:p w14:paraId="59DD97BA" w14:textId="52F26F9C" w:rsidR="00F52D8D" w:rsidRDefault="00F52D8D">
      <w:pPr>
        <w:pStyle w:val="FootnoteText"/>
      </w:pPr>
      <w:r>
        <w:rPr>
          <w:rStyle w:val="FootnoteReference"/>
        </w:rPr>
        <w:footnoteRef/>
      </w:r>
      <w:r>
        <w:t xml:space="preserve"> Guidance Text page 52, 6.5.5.1</w:t>
      </w:r>
    </w:p>
  </w:footnote>
  <w:footnote w:id="16">
    <w:p w14:paraId="366FE5C9" w14:textId="28CB3CD2" w:rsidR="00F52D8D" w:rsidRDefault="00F52D8D">
      <w:pPr>
        <w:pStyle w:val="FootnoteText"/>
      </w:pPr>
      <w:r>
        <w:rPr>
          <w:rStyle w:val="FootnoteReference"/>
        </w:rPr>
        <w:footnoteRef/>
      </w:r>
      <w:r>
        <w:t xml:space="preserve"> Guidance Text page 55, 6.5.5.4</w:t>
      </w:r>
    </w:p>
  </w:footnote>
  <w:footnote w:id="17">
    <w:p w14:paraId="364648D2" w14:textId="48A6E635" w:rsidR="00F52D8D" w:rsidRDefault="00F52D8D">
      <w:pPr>
        <w:pStyle w:val="FootnoteText"/>
      </w:pPr>
      <w:r>
        <w:rPr>
          <w:rStyle w:val="FootnoteReference"/>
        </w:rPr>
        <w:footnoteRef/>
      </w:r>
      <w:r>
        <w:t xml:space="preserve"> Guidance Text page 70, 7.2; page 71, 7.2.4</w:t>
      </w:r>
    </w:p>
  </w:footnote>
  <w:footnote w:id="18">
    <w:p w14:paraId="0A002385" w14:textId="5A6E44FF" w:rsidR="00F52D8D" w:rsidRDefault="00F52D8D">
      <w:pPr>
        <w:pStyle w:val="FootnoteText"/>
      </w:pPr>
      <w:r>
        <w:rPr>
          <w:rStyle w:val="FootnoteReference"/>
        </w:rPr>
        <w:footnoteRef/>
      </w:r>
      <w:r>
        <w:t xml:space="preserve"> Guidance Text page 70, 7.2.1</w:t>
      </w:r>
    </w:p>
  </w:footnote>
  <w:footnote w:id="19">
    <w:p w14:paraId="55BBBB63" w14:textId="1507544B" w:rsidR="00F52D8D" w:rsidRDefault="00F52D8D">
      <w:pPr>
        <w:pStyle w:val="FootnoteText"/>
      </w:pPr>
      <w:r>
        <w:rPr>
          <w:rStyle w:val="FootnoteReference"/>
        </w:rPr>
        <w:footnoteRef/>
      </w:r>
      <w:r>
        <w:t xml:space="preserve"> Guidance Text page 70, 7.2.1</w:t>
      </w:r>
    </w:p>
  </w:footnote>
  <w:footnote w:id="20">
    <w:p w14:paraId="54C8DAF1" w14:textId="4CBF8219" w:rsidR="00F52D8D" w:rsidRDefault="00F52D8D">
      <w:pPr>
        <w:pStyle w:val="FootnoteText"/>
      </w:pPr>
      <w:r>
        <w:rPr>
          <w:rStyle w:val="FootnoteReference"/>
        </w:rPr>
        <w:footnoteRef/>
      </w:r>
      <w:r>
        <w:t xml:space="preserve"> Guidance Text page 73, 7.2.5</w:t>
      </w:r>
    </w:p>
  </w:footnote>
  <w:footnote w:id="21">
    <w:p w14:paraId="18FCF945" w14:textId="3FABB9D9" w:rsidR="00F52D8D" w:rsidRDefault="00F52D8D">
      <w:pPr>
        <w:pStyle w:val="FootnoteText"/>
      </w:pPr>
      <w:r>
        <w:rPr>
          <w:rStyle w:val="FootnoteReference"/>
        </w:rPr>
        <w:footnoteRef/>
      </w:r>
      <w:r>
        <w:t xml:space="preserve"> Guidance Txt page 73, 7.2.5; </w:t>
      </w:r>
      <w:r w:rsidRPr="00525E7C">
        <w:rPr>
          <w:i/>
        </w:rPr>
        <w:t>Williams v Simpson</w:t>
      </w:r>
    </w:p>
  </w:footnote>
  <w:footnote w:id="22">
    <w:p w14:paraId="4320ED89" w14:textId="0241CFAF" w:rsidR="00F52D8D" w:rsidRDefault="00F52D8D">
      <w:pPr>
        <w:pStyle w:val="FootnoteText"/>
      </w:pPr>
      <w:r>
        <w:rPr>
          <w:rStyle w:val="FootnoteReference"/>
        </w:rPr>
        <w:footnoteRef/>
      </w:r>
      <w:r>
        <w:t xml:space="preserve"> Guidance Txt page 73-74, 7.2.5; </w:t>
      </w:r>
      <w:r w:rsidRPr="00525E7C">
        <w:rPr>
          <w:i/>
        </w:rPr>
        <w:t>Williams v Simpson</w:t>
      </w:r>
    </w:p>
  </w:footnote>
  <w:footnote w:id="23">
    <w:p w14:paraId="1B850364" w14:textId="5E683297" w:rsidR="00F52D8D" w:rsidRDefault="00F52D8D">
      <w:pPr>
        <w:pStyle w:val="FootnoteText"/>
      </w:pPr>
      <w:r>
        <w:rPr>
          <w:rStyle w:val="FootnoteReference"/>
        </w:rPr>
        <w:footnoteRef/>
      </w:r>
      <w:r>
        <w:t xml:space="preserve"> Guidance Text page 72, 7.2.4</w:t>
      </w:r>
    </w:p>
  </w:footnote>
  <w:footnote w:id="24">
    <w:p w14:paraId="3129F052" w14:textId="70B4AD45" w:rsidR="00F52D8D" w:rsidRDefault="00F52D8D">
      <w:pPr>
        <w:pStyle w:val="FootnoteText"/>
      </w:pPr>
      <w:r>
        <w:rPr>
          <w:rStyle w:val="FootnoteReference"/>
        </w:rPr>
        <w:footnoteRef/>
      </w:r>
      <w:r>
        <w:t xml:space="preserve"> Guidance Text page 73, 7.2.5; </w:t>
      </w:r>
      <w:r w:rsidRPr="00525E7C">
        <w:rPr>
          <w:i/>
        </w:rPr>
        <w:t>Williams v Simpson</w:t>
      </w:r>
    </w:p>
  </w:footnote>
  <w:footnote w:id="25">
    <w:p w14:paraId="28E4627B" w14:textId="30533A34" w:rsidR="00F52D8D" w:rsidRDefault="00F52D8D">
      <w:pPr>
        <w:pStyle w:val="FootnoteText"/>
      </w:pPr>
      <w:r>
        <w:rPr>
          <w:rStyle w:val="FootnoteReference"/>
        </w:rPr>
        <w:footnoteRef/>
      </w:r>
      <w:r>
        <w:t xml:space="preserve"> Guidance Text page 71, 7.2.3</w:t>
      </w:r>
    </w:p>
  </w:footnote>
  <w:footnote w:id="26">
    <w:p w14:paraId="462CDD31" w14:textId="43AB74FB" w:rsidR="009E663B" w:rsidRDefault="009E663B">
      <w:pPr>
        <w:pStyle w:val="FootnoteText"/>
      </w:pPr>
      <w:r>
        <w:rPr>
          <w:rStyle w:val="FootnoteReference"/>
        </w:rPr>
        <w:footnoteRef/>
      </w:r>
      <w:r>
        <w:t xml:space="preserve"> Guidance Tact page 72, 7.2.4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515D1C49"/>
    <w:multiLevelType w:val="hybridMultilevel"/>
    <w:tmpl w:val="8CCCD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19"/>
  </w:num>
  <w:num w:numId="5">
    <w:abstractNumId w:val="41"/>
  </w:num>
  <w:num w:numId="6">
    <w:abstractNumId w:val="42"/>
  </w:num>
  <w:num w:numId="7">
    <w:abstractNumId w:val="44"/>
  </w:num>
  <w:num w:numId="8">
    <w:abstractNumId w:val="34"/>
  </w:num>
  <w:num w:numId="9">
    <w:abstractNumId w:val="25"/>
  </w:num>
  <w:num w:numId="10">
    <w:abstractNumId w:val="4"/>
  </w:num>
  <w:num w:numId="11">
    <w:abstractNumId w:val="15"/>
  </w:num>
  <w:num w:numId="12">
    <w:abstractNumId w:val="10"/>
  </w:num>
  <w:num w:numId="13">
    <w:abstractNumId w:val="33"/>
  </w:num>
  <w:num w:numId="14">
    <w:abstractNumId w:val="3"/>
  </w:num>
  <w:num w:numId="15">
    <w:abstractNumId w:val="18"/>
  </w:num>
  <w:num w:numId="16">
    <w:abstractNumId w:val="27"/>
  </w:num>
  <w:num w:numId="17">
    <w:abstractNumId w:val="0"/>
  </w:num>
  <w:num w:numId="18">
    <w:abstractNumId w:val="37"/>
  </w:num>
  <w:num w:numId="19">
    <w:abstractNumId w:val="26"/>
  </w:num>
  <w:num w:numId="20">
    <w:abstractNumId w:val="2"/>
  </w:num>
  <w:num w:numId="21">
    <w:abstractNumId w:val="38"/>
  </w:num>
  <w:num w:numId="22">
    <w:abstractNumId w:val="13"/>
  </w:num>
  <w:num w:numId="23">
    <w:abstractNumId w:val="12"/>
  </w:num>
  <w:num w:numId="24">
    <w:abstractNumId w:val="23"/>
  </w:num>
  <w:num w:numId="25">
    <w:abstractNumId w:val="35"/>
  </w:num>
  <w:num w:numId="26">
    <w:abstractNumId w:val="29"/>
  </w:num>
  <w:num w:numId="27">
    <w:abstractNumId w:val="21"/>
  </w:num>
  <w:num w:numId="28">
    <w:abstractNumId w:val="6"/>
  </w:num>
  <w:num w:numId="29">
    <w:abstractNumId w:val="32"/>
  </w:num>
  <w:num w:numId="30">
    <w:abstractNumId w:val="11"/>
  </w:num>
  <w:num w:numId="31">
    <w:abstractNumId w:val="31"/>
  </w:num>
  <w:num w:numId="32">
    <w:abstractNumId w:val="39"/>
  </w:num>
  <w:num w:numId="33">
    <w:abstractNumId w:val="40"/>
  </w:num>
  <w:num w:numId="34">
    <w:abstractNumId w:val="7"/>
  </w:num>
  <w:num w:numId="35">
    <w:abstractNumId w:val="43"/>
  </w:num>
  <w:num w:numId="36">
    <w:abstractNumId w:val="36"/>
  </w:num>
  <w:num w:numId="37">
    <w:abstractNumId w:val="14"/>
  </w:num>
  <w:num w:numId="38">
    <w:abstractNumId w:val="28"/>
  </w:num>
  <w:num w:numId="39">
    <w:abstractNumId w:val="30"/>
  </w:num>
  <w:num w:numId="40">
    <w:abstractNumId w:val="5"/>
  </w:num>
  <w:num w:numId="41">
    <w:abstractNumId w:val="1"/>
  </w:num>
  <w:num w:numId="42">
    <w:abstractNumId w:val="8"/>
  </w:num>
  <w:num w:numId="43">
    <w:abstractNumId w:val="20"/>
  </w:num>
  <w:num w:numId="44">
    <w:abstractNumId w:val="16"/>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0FB"/>
    <w:rsid w:val="0002240F"/>
    <w:rsid w:val="000250C7"/>
    <w:rsid w:val="00026F16"/>
    <w:rsid w:val="00027DF8"/>
    <w:rsid w:val="00037621"/>
    <w:rsid w:val="0004018D"/>
    <w:rsid w:val="00044D46"/>
    <w:rsid w:val="00045088"/>
    <w:rsid w:val="00045904"/>
    <w:rsid w:val="00047A13"/>
    <w:rsid w:val="000502FD"/>
    <w:rsid w:val="00065166"/>
    <w:rsid w:val="000747F0"/>
    <w:rsid w:val="000756F8"/>
    <w:rsid w:val="00076A9F"/>
    <w:rsid w:val="00076E1A"/>
    <w:rsid w:val="00082609"/>
    <w:rsid w:val="000851CC"/>
    <w:rsid w:val="00087F21"/>
    <w:rsid w:val="00093BE8"/>
    <w:rsid w:val="000A407B"/>
    <w:rsid w:val="000A46AA"/>
    <w:rsid w:val="000A68ED"/>
    <w:rsid w:val="000B14BB"/>
    <w:rsid w:val="000B5FF1"/>
    <w:rsid w:val="000B609F"/>
    <w:rsid w:val="000C712B"/>
    <w:rsid w:val="000D5436"/>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B78"/>
    <w:rsid w:val="00181ECC"/>
    <w:rsid w:val="0018267A"/>
    <w:rsid w:val="00182779"/>
    <w:rsid w:val="001830DF"/>
    <w:rsid w:val="0019202F"/>
    <w:rsid w:val="001966D9"/>
    <w:rsid w:val="001A007A"/>
    <w:rsid w:val="001A7E9A"/>
    <w:rsid w:val="001B0F70"/>
    <w:rsid w:val="001B5016"/>
    <w:rsid w:val="001C45FC"/>
    <w:rsid w:val="001D0469"/>
    <w:rsid w:val="001D15B2"/>
    <w:rsid w:val="001D1E03"/>
    <w:rsid w:val="001D29C0"/>
    <w:rsid w:val="001D4862"/>
    <w:rsid w:val="001E172D"/>
    <w:rsid w:val="001E25B9"/>
    <w:rsid w:val="001E49E0"/>
    <w:rsid w:val="001E7B5A"/>
    <w:rsid w:val="001F7412"/>
    <w:rsid w:val="0020090A"/>
    <w:rsid w:val="00202DFE"/>
    <w:rsid w:val="0020725B"/>
    <w:rsid w:val="002110F1"/>
    <w:rsid w:val="0022120D"/>
    <w:rsid w:val="002356EA"/>
    <w:rsid w:val="00236C21"/>
    <w:rsid w:val="0024116D"/>
    <w:rsid w:val="00241B44"/>
    <w:rsid w:val="00241FA3"/>
    <w:rsid w:val="00245EFB"/>
    <w:rsid w:val="002460B1"/>
    <w:rsid w:val="002529A5"/>
    <w:rsid w:val="0025386E"/>
    <w:rsid w:val="002577C4"/>
    <w:rsid w:val="002638B0"/>
    <w:rsid w:val="00263C6F"/>
    <w:rsid w:val="0026647A"/>
    <w:rsid w:val="002668D3"/>
    <w:rsid w:val="0027299F"/>
    <w:rsid w:val="00273F9A"/>
    <w:rsid w:val="00284EBE"/>
    <w:rsid w:val="00285052"/>
    <w:rsid w:val="0028772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F1956"/>
    <w:rsid w:val="002F2552"/>
    <w:rsid w:val="002F3440"/>
    <w:rsid w:val="002F75A3"/>
    <w:rsid w:val="00303C2F"/>
    <w:rsid w:val="003042E1"/>
    <w:rsid w:val="0031167E"/>
    <w:rsid w:val="003144EF"/>
    <w:rsid w:val="00326292"/>
    <w:rsid w:val="00326415"/>
    <w:rsid w:val="00330937"/>
    <w:rsid w:val="00330F31"/>
    <w:rsid w:val="00331944"/>
    <w:rsid w:val="00333EB1"/>
    <w:rsid w:val="00334648"/>
    <w:rsid w:val="0033768C"/>
    <w:rsid w:val="00337938"/>
    <w:rsid w:val="00340769"/>
    <w:rsid w:val="00341AA6"/>
    <w:rsid w:val="00361A0A"/>
    <w:rsid w:val="00364836"/>
    <w:rsid w:val="0036565C"/>
    <w:rsid w:val="0036625E"/>
    <w:rsid w:val="00372952"/>
    <w:rsid w:val="0037465A"/>
    <w:rsid w:val="00382C98"/>
    <w:rsid w:val="0038533C"/>
    <w:rsid w:val="00386568"/>
    <w:rsid w:val="00390B57"/>
    <w:rsid w:val="00391384"/>
    <w:rsid w:val="003948D5"/>
    <w:rsid w:val="00396821"/>
    <w:rsid w:val="00397D3A"/>
    <w:rsid w:val="00397E34"/>
    <w:rsid w:val="003A051E"/>
    <w:rsid w:val="003A29B7"/>
    <w:rsid w:val="003B170F"/>
    <w:rsid w:val="003B3801"/>
    <w:rsid w:val="003B3C5F"/>
    <w:rsid w:val="003B726B"/>
    <w:rsid w:val="003C01EE"/>
    <w:rsid w:val="003C4471"/>
    <w:rsid w:val="003D0A6D"/>
    <w:rsid w:val="003D6409"/>
    <w:rsid w:val="003E0B16"/>
    <w:rsid w:val="003E3DAC"/>
    <w:rsid w:val="003E67D1"/>
    <w:rsid w:val="00403FEE"/>
    <w:rsid w:val="00404329"/>
    <w:rsid w:val="004059DF"/>
    <w:rsid w:val="00405DC1"/>
    <w:rsid w:val="004077D9"/>
    <w:rsid w:val="00415F1F"/>
    <w:rsid w:val="0042108F"/>
    <w:rsid w:val="0042466C"/>
    <w:rsid w:val="00430FED"/>
    <w:rsid w:val="00434A8C"/>
    <w:rsid w:val="00435A61"/>
    <w:rsid w:val="00437297"/>
    <w:rsid w:val="00444284"/>
    <w:rsid w:val="004447E3"/>
    <w:rsid w:val="00445CE6"/>
    <w:rsid w:val="00452C6A"/>
    <w:rsid w:val="004534C2"/>
    <w:rsid w:val="0045446F"/>
    <w:rsid w:val="0045683E"/>
    <w:rsid w:val="00457F00"/>
    <w:rsid w:val="00475503"/>
    <w:rsid w:val="00477C72"/>
    <w:rsid w:val="004807F1"/>
    <w:rsid w:val="00481434"/>
    <w:rsid w:val="00491675"/>
    <w:rsid w:val="00493855"/>
    <w:rsid w:val="004948AB"/>
    <w:rsid w:val="00495E79"/>
    <w:rsid w:val="004A2D83"/>
    <w:rsid w:val="004A57DD"/>
    <w:rsid w:val="004A7B51"/>
    <w:rsid w:val="004A7D71"/>
    <w:rsid w:val="004A7EF3"/>
    <w:rsid w:val="004B11FD"/>
    <w:rsid w:val="004B23A2"/>
    <w:rsid w:val="004B5F86"/>
    <w:rsid w:val="004C1F6B"/>
    <w:rsid w:val="004D1A5A"/>
    <w:rsid w:val="004D2A21"/>
    <w:rsid w:val="004D2C62"/>
    <w:rsid w:val="004D2FFF"/>
    <w:rsid w:val="004D3721"/>
    <w:rsid w:val="004D64F9"/>
    <w:rsid w:val="004E3A6B"/>
    <w:rsid w:val="004E622C"/>
    <w:rsid w:val="004E6C2C"/>
    <w:rsid w:val="004F50CD"/>
    <w:rsid w:val="004F5FDF"/>
    <w:rsid w:val="00501270"/>
    <w:rsid w:val="005177FE"/>
    <w:rsid w:val="005214A4"/>
    <w:rsid w:val="0052263B"/>
    <w:rsid w:val="00524728"/>
    <w:rsid w:val="00525E7C"/>
    <w:rsid w:val="005331CA"/>
    <w:rsid w:val="00537970"/>
    <w:rsid w:val="00540E3A"/>
    <w:rsid w:val="00544127"/>
    <w:rsid w:val="00544221"/>
    <w:rsid w:val="005463A9"/>
    <w:rsid w:val="00552051"/>
    <w:rsid w:val="00553EB2"/>
    <w:rsid w:val="00555B45"/>
    <w:rsid w:val="0055645B"/>
    <w:rsid w:val="00560534"/>
    <w:rsid w:val="00563064"/>
    <w:rsid w:val="0056391B"/>
    <w:rsid w:val="005650E2"/>
    <w:rsid w:val="00567AD7"/>
    <w:rsid w:val="005708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079AD"/>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289C"/>
    <w:rsid w:val="006639DB"/>
    <w:rsid w:val="006661EF"/>
    <w:rsid w:val="00677AEB"/>
    <w:rsid w:val="00680EF2"/>
    <w:rsid w:val="00684AFA"/>
    <w:rsid w:val="00687A1D"/>
    <w:rsid w:val="006906CA"/>
    <w:rsid w:val="00697EA1"/>
    <w:rsid w:val="006A1258"/>
    <w:rsid w:val="006A2646"/>
    <w:rsid w:val="006A6530"/>
    <w:rsid w:val="006B435A"/>
    <w:rsid w:val="006B4C64"/>
    <w:rsid w:val="006C7F1E"/>
    <w:rsid w:val="006D342F"/>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603F5"/>
    <w:rsid w:val="00764DB0"/>
    <w:rsid w:val="0076764D"/>
    <w:rsid w:val="0077498C"/>
    <w:rsid w:val="007809BC"/>
    <w:rsid w:val="00784128"/>
    <w:rsid w:val="00787BCC"/>
    <w:rsid w:val="00791705"/>
    <w:rsid w:val="0079290D"/>
    <w:rsid w:val="00793173"/>
    <w:rsid w:val="00794A92"/>
    <w:rsid w:val="007A0DEF"/>
    <w:rsid w:val="007A2A33"/>
    <w:rsid w:val="007A3E96"/>
    <w:rsid w:val="007B5C89"/>
    <w:rsid w:val="007B5E5A"/>
    <w:rsid w:val="007C1FCC"/>
    <w:rsid w:val="007C6201"/>
    <w:rsid w:val="007D7C92"/>
    <w:rsid w:val="007E1154"/>
    <w:rsid w:val="007E6236"/>
    <w:rsid w:val="007E6BA4"/>
    <w:rsid w:val="007F41F8"/>
    <w:rsid w:val="007F4308"/>
    <w:rsid w:val="007F659B"/>
    <w:rsid w:val="0080454E"/>
    <w:rsid w:val="00804C32"/>
    <w:rsid w:val="00806302"/>
    <w:rsid w:val="00807119"/>
    <w:rsid w:val="00815328"/>
    <w:rsid w:val="0082483F"/>
    <w:rsid w:val="008279C0"/>
    <w:rsid w:val="00841D99"/>
    <w:rsid w:val="00842BF8"/>
    <w:rsid w:val="008453E2"/>
    <w:rsid w:val="00846C93"/>
    <w:rsid w:val="00864D42"/>
    <w:rsid w:val="00867701"/>
    <w:rsid w:val="008723F3"/>
    <w:rsid w:val="00876F56"/>
    <w:rsid w:val="00881DE6"/>
    <w:rsid w:val="008837A6"/>
    <w:rsid w:val="0089145D"/>
    <w:rsid w:val="00896196"/>
    <w:rsid w:val="008A4DF2"/>
    <w:rsid w:val="008A6CFE"/>
    <w:rsid w:val="008B5333"/>
    <w:rsid w:val="008B6223"/>
    <w:rsid w:val="008C0482"/>
    <w:rsid w:val="008C4CD6"/>
    <w:rsid w:val="008C5046"/>
    <w:rsid w:val="008C66E0"/>
    <w:rsid w:val="008E3339"/>
    <w:rsid w:val="008F20FC"/>
    <w:rsid w:val="008F5FFE"/>
    <w:rsid w:val="00905A43"/>
    <w:rsid w:val="00912C79"/>
    <w:rsid w:val="00920BED"/>
    <w:rsid w:val="00921B8C"/>
    <w:rsid w:val="00934868"/>
    <w:rsid w:val="00942123"/>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C41DB"/>
    <w:rsid w:val="009C7A6C"/>
    <w:rsid w:val="009D0811"/>
    <w:rsid w:val="009D0EE1"/>
    <w:rsid w:val="009E20C6"/>
    <w:rsid w:val="009E2AEB"/>
    <w:rsid w:val="009E2E27"/>
    <w:rsid w:val="009E45DF"/>
    <w:rsid w:val="009E4DE3"/>
    <w:rsid w:val="009E663B"/>
    <w:rsid w:val="009F275E"/>
    <w:rsid w:val="00A047EE"/>
    <w:rsid w:val="00A17BCF"/>
    <w:rsid w:val="00A20CED"/>
    <w:rsid w:val="00A2274A"/>
    <w:rsid w:val="00A235B7"/>
    <w:rsid w:val="00A27A7A"/>
    <w:rsid w:val="00A34ABE"/>
    <w:rsid w:val="00A37300"/>
    <w:rsid w:val="00A407EF"/>
    <w:rsid w:val="00A40CCE"/>
    <w:rsid w:val="00A46B4C"/>
    <w:rsid w:val="00A47B16"/>
    <w:rsid w:val="00A5117B"/>
    <w:rsid w:val="00A51F5F"/>
    <w:rsid w:val="00A56D34"/>
    <w:rsid w:val="00A60074"/>
    <w:rsid w:val="00A6627C"/>
    <w:rsid w:val="00A71019"/>
    <w:rsid w:val="00A81029"/>
    <w:rsid w:val="00A845F5"/>
    <w:rsid w:val="00A87B79"/>
    <w:rsid w:val="00A96489"/>
    <w:rsid w:val="00AB2425"/>
    <w:rsid w:val="00AB685C"/>
    <w:rsid w:val="00AB6C2D"/>
    <w:rsid w:val="00AB7ADC"/>
    <w:rsid w:val="00AC08F7"/>
    <w:rsid w:val="00AC2807"/>
    <w:rsid w:val="00AC3839"/>
    <w:rsid w:val="00AC5A93"/>
    <w:rsid w:val="00AC7082"/>
    <w:rsid w:val="00AD4BE8"/>
    <w:rsid w:val="00AF228E"/>
    <w:rsid w:val="00B016A8"/>
    <w:rsid w:val="00B02C56"/>
    <w:rsid w:val="00B1362E"/>
    <w:rsid w:val="00B14819"/>
    <w:rsid w:val="00B15E2F"/>
    <w:rsid w:val="00B17AA9"/>
    <w:rsid w:val="00B36923"/>
    <w:rsid w:val="00B44713"/>
    <w:rsid w:val="00B5036E"/>
    <w:rsid w:val="00B51B95"/>
    <w:rsid w:val="00B56103"/>
    <w:rsid w:val="00B64929"/>
    <w:rsid w:val="00B65248"/>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65FC4"/>
    <w:rsid w:val="00C72848"/>
    <w:rsid w:val="00C7736C"/>
    <w:rsid w:val="00C81756"/>
    <w:rsid w:val="00C82D87"/>
    <w:rsid w:val="00C830EE"/>
    <w:rsid w:val="00C83DDB"/>
    <w:rsid w:val="00C8712A"/>
    <w:rsid w:val="00C902C8"/>
    <w:rsid w:val="00C919D1"/>
    <w:rsid w:val="00C94C09"/>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148DC"/>
    <w:rsid w:val="00D17FDC"/>
    <w:rsid w:val="00D21D8C"/>
    <w:rsid w:val="00D32D86"/>
    <w:rsid w:val="00D53719"/>
    <w:rsid w:val="00D60524"/>
    <w:rsid w:val="00D63EFD"/>
    <w:rsid w:val="00D82A1E"/>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145A"/>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24D2"/>
    <w:rsid w:val="00EE4971"/>
    <w:rsid w:val="00EE6CB0"/>
    <w:rsid w:val="00EF090E"/>
    <w:rsid w:val="00EF0A33"/>
    <w:rsid w:val="00EF5572"/>
    <w:rsid w:val="00F01639"/>
    <w:rsid w:val="00F033DA"/>
    <w:rsid w:val="00F06F14"/>
    <w:rsid w:val="00F13691"/>
    <w:rsid w:val="00F13FB1"/>
    <w:rsid w:val="00F27CD8"/>
    <w:rsid w:val="00F30351"/>
    <w:rsid w:val="00F3323E"/>
    <w:rsid w:val="00F341F4"/>
    <w:rsid w:val="00F34F9D"/>
    <w:rsid w:val="00F35CCE"/>
    <w:rsid w:val="00F45977"/>
    <w:rsid w:val="00F52D8D"/>
    <w:rsid w:val="00F54BE1"/>
    <w:rsid w:val="00F5524B"/>
    <w:rsid w:val="00F60538"/>
    <w:rsid w:val="00F61DD2"/>
    <w:rsid w:val="00F66AFF"/>
    <w:rsid w:val="00F71433"/>
    <w:rsid w:val="00F71B0B"/>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0F5-0BBC-E440-99C7-72620F51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3416</Words>
  <Characters>19473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22844</CharactersWithSpaces>
  <SharedDoc>false</SharedDoc>
  <HyperlinkBase>LMV-N-248-V1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Kaveer Soni</cp:lastModifiedBy>
  <cp:revision>42</cp:revision>
  <cp:lastPrinted>2019-08-27T05:42:00Z</cp:lastPrinted>
  <dcterms:created xsi:type="dcterms:W3CDTF">2022-07-28T04:47:00Z</dcterms:created>
  <dcterms:modified xsi:type="dcterms:W3CDTF">2022-07-31T18:25:00Z</dcterms:modified>
  <cp:category>LMV-N-248-V1</cp:category>
</cp:coreProperties>
</file>