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B72953" w:rsidRDefault="007B0809" w:rsidP="004F49B5">
      <w:pPr>
        <w:pStyle w:val="AODocTxt"/>
        <w:numPr>
          <w:ilvl w:val="0"/>
          <w:numId w:val="2"/>
        </w:numPr>
        <w:spacing w:before="0" w:line="240" w:lineRule="auto"/>
        <w:ind w:left="426"/>
        <w:rPr>
          <w:rFonts w:ascii="Arial" w:hAnsi="Arial" w:cs="Arial"/>
          <w:highlight w:val="yellow"/>
        </w:rPr>
      </w:pPr>
      <w:r w:rsidRPr="00B72953">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B01654" w:rsidRDefault="007B0809" w:rsidP="004F49B5">
      <w:pPr>
        <w:pStyle w:val="AODocTxt"/>
        <w:numPr>
          <w:ilvl w:val="0"/>
          <w:numId w:val="3"/>
        </w:numPr>
        <w:spacing w:before="0" w:line="240" w:lineRule="auto"/>
        <w:ind w:left="426"/>
        <w:rPr>
          <w:rFonts w:ascii="Arial" w:hAnsi="Arial" w:cs="Arial"/>
          <w:highlight w:val="yellow"/>
        </w:rPr>
      </w:pPr>
      <w:r w:rsidRPr="00B01654">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DE4A7D" w:rsidRDefault="007B0809" w:rsidP="004F49B5">
      <w:pPr>
        <w:pStyle w:val="AODocTxt"/>
        <w:numPr>
          <w:ilvl w:val="0"/>
          <w:numId w:val="4"/>
        </w:numPr>
        <w:spacing w:before="0" w:line="240" w:lineRule="auto"/>
        <w:ind w:left="426"/>
        <w:rPr>
          <w:rFonts w:ascii="Arial" w:hAnsi="Arial" w:cs="Arial"/>
          <w:highlight w:val="yellow"/>
        </w:rPr>
      </w:pPr>
      <w:r w:rsidRPr="00DE4A7D">
        <w:rPr>
          <w:rFonts w:ascii="Arial" w:hAnsi="Arial" w:cs="Arial"/>
          <w:highlight w:val="yellow"/>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DE4A7D" w:rsidRDefault="007B0809" w:rsidP="004F49B5">
      <w:pPr>
        <w:pStyle w:val="AODocTxt"/>
        <w:numPr>
          <w:ilvl w:val="0"/>
          <w:numId w:val="5"/>
        </w:numPr>
        <w:spacing w:before="0" w:line="240" w:lineRule="auto"/>
        <w:ind w:left="426"/>
        <w:rPr>
          <w:rFonts w:ascii="Arial" w:hAnsi="Arial" w:cs="Arial"/>
          <w:highlight w:val="yellow"/>
        </w:rPr>
      </w:pPr>
      <w:r w:rsidRPr="00DE4A7D">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DE4A7D" w:rsidRDefault="007B0809" w:rsidP="004F49B5">
      <w:pPr>
        <w:pStyle w:val="AODocTxt"/>
        <w:numPr>
          <w:ilvl w:val="0"/>
          <w:numId w:val="6"/>
        </w:numPr>
        <w:spacing w:before="0" w:line="240" w:lineRule="auto"/>
        <w:ind w:left="426"/>
        <w:rPr>
          <w:rFonts w:ascii="Arial" w:hAnsi="Arial" w:cs="Arial"/>
          <w:highlight w:val="yellow"/>
        </w:rPr>
      </w:pPr>
      <w:r w:rsidRPr="00DE4A7D">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DE4A7D" w:rsidRDefault="007B0809" w:rsidP="004F49B5">
      <w:pPr>
        <w:pStyle w:val="AODocTxt"/>
        <w:numPr>
          <w:ilvl w:val="0"/>
          <w:numId w:val="7"/>
        </w:numPr>
        <w:spacing w:before="0" w:line="240" w:lineRule="auto"/>
        <w:ind w:left="426"/>
        <w:rPr>
          <w:rFonts w:ascii="Arial" w:hAnsi="Arial" w:cs="Arial"/>
          <w:highlight w:val="yellow"/>
        </w:rPr>
      </w:pPr>
      <w:r w:rsidRPr="00DE4A7D">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DE4A7D" w:rsidRDefault="007B0809" w:rsidP="004F49B5">
      <w:pPr>
        <w:pStyle w:val="AODocTxt"/>
        <w:numPr>
          <w:ilvl w:val="0"/>
          <w:numId w:val="8"/>
        </w:numPr>
        <w:spacing w:before="0" w:line="240" w:lineRule="auto"/>
        <w:ind w:left="426"/>
        <w:rPr>
          <w:rFonts w:ascii="Arial" w:hAnsi="Arial" w:cs="Arial"/>
          <w:highlight w:val="yellow"/>
        </w:rPr>
      </w:pPr>
      <w:r w:rsidRPr="00DE4A7D">
        <w:rPr>
          <w:rFonts w:ascii="Arial" w:hAnsi="Arial" w:cs="Arial"/>
          <w:highlight w:val="yellow"/>
        </w:rPr>
        <w:t>The automatic stay applies upon the filing of a petition for recognition.</w:t>
      </w:r>
      <w:r w:rsidR="00F92140" w:rsidRPr="00DE4A7D">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985598" w:rsidRDefault="007B0809" w:rsidP="004F49B5">
      <w:pPr>
        <w:pStyle w:val="AODocTxt"/>
        <w:numPr>
          <w:ilvl w:val="0"/>
          <w:numId w:val="9"/>
        </w:numPr>
        <w:spacing w:before="0" w:line="240" w:lineRule="auto"/>
        <w:ind w:left="426"/>
        <w:rPr>
          <w:rFonts w:ascii="Arial" w:hAnsi="Arial" w:cs="Arial"/>
          <w:highlight w:val="yellow"/>
        </w:rPr>
      </w:pPr>
      <w:r w:rsidRPr="00985598">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985598" w:rsidRDefault="007B0809" w:rsidP="004F49B5">
      <w:pPr>
        <w:pStyle w:val="AODocTxt"/>
        <w:numPr>
          <w:ilvl w:val="0"/>
          <w:numId w:val="10"/>
        </w:numPr>
        <w:spacing w:before="0" w:line="240" w:lineRule="auto"/>
        <w:ind w:left="426"/>
        <w:rPr>
          <w:rFonts w:ascii="Arial" w:hAnsi="Arial" w:cs="Arial"/>
          <w:highlight w:val="yellow"/>
        </w:rPr>
      </w:pPr>
      <w:r w:rsidRPr="00985598">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F93DBB" w:rsidRDefault="007B0809" w:rsidP="004F49B5">
      <w:pPr>
        <w:pStyle w:val="AODocTxt"/>
        <w:numPr>
          <w:ilvl w:val="0"/>
          <w:numId w:val="11"/>
        </w:numPr>
        <w:spacing w:before="0" w:line="240" w:lineRule="auto"/>
        <w:ind w:left="426"/>
        <w:rPr>
          <w:rFonts w:ascii="Arial" w:hAnsi="Arial" w:cs="Arial"/>
        </w:rPr>
      </w:pPr>
      <w:r w:rsidRPr="00F93DBB">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F93DBB" w:rsidRDefault="007B0809" w:rsidP="004F49B5">
      <w:pPr>
        <w:pStyle w:val="AODocTxt"/>
        <w:numPr>
          <w:ilvl w:val="0"/>
          <w:numId w:val="11"/>
        </w:numPr>
        <w:spacing w:before="0" w:line="240" w:lineRule="auto"/>
        <w:ind w:left="426"/>
        <w:rPr>
          <w:rFonts w:ascii="Arial" w:hAnsi="Arial" w:cs="Arial"/>
          <w:highlight w:val="yellow"/>
        </w:rPr>
      </w:pPr>
      <w:r w:rsidRPr="00F93DBB">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213278AA" w:rsidR="00E12EC4" w:rsidRPr="00FF5098" w:rsidRDefault="004F553A"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petition for bankruptcy is commenced by the debtor (e.g. Chapter 11 proceedings are usually commenced voluntarily by the debtor).  An involuntary petition is commenced by a creditor. </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4CF67150" w:rsidR="00E12EC4" w:rsidRDefault="004F553A"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905A6F">
        <w:rPr>
          <w:rFonts w:ascii="Arial" w:hAnsi="Arial" w:cs="Arial"/>
          <w:color w:val="7B7B7B" w:themeColor="accent3" w:themeShade="BF"/>
          <w:sz w:val="22"/>
          <w:szCs w:val="22"/>
          <w:lang w:val="en-GB"/>
        </w:rPr>
        <w:t>wo</w:t>
      </w:r>
      <w:r>
        <w:rPr>
          <w:rFonts w:ascii="Arial" w:hAnsi="Arial" w:cs="Arial"/>
          <w:color w:val="7B7B7B" w:themeColor="accent3" w:themeShade="BF"/>
          <w:sz w:val="22"/>
          <w:szCs w:val="22"/>
          <w:lang w:val="en-GB"/>
        </w:rPr>
        <w:t xml:space="preserve"> potential consequences of a </w:t>
      </w:r>
      <w:r w:rsidR="00972845">
        <w:rPr>
          <w:rFonts w:ascii="Arial" w:hAnsi="Arial" w:cs="Arial"/>
          <w:color w:val="7B7B7B" w:themeColor="accent3" w:themeShade="BF"/>
          <w:sz w:val="22"/>
          <w:szCs w:val="22"/>
          <w:lang w:val="en-GB"/>
        </w:rPr>
        <w:t xml:space="preserve">wilful </w:t>
      </w:r>
      <w:r>
        <w:rPr>
          <w:rFonts w:ascii="Arial" w:hAnsi="Arial" w:cs="Arial"/>
          <w:color w:val="7B7B7B" w:themeColor="accent3" w:themeShade="BF"/>
          <w:sz w:val="22"/>
          <w:szCs w:val="22"/>
          <w:lang w:val="en-GB"/>
        </w:rPr>
        <w:t xml:space="preserve">violation of the automatic stay in bankruptcy proceedings </w:t>
      </w:r>
      <w:r w:rsidR="00905A6F">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w:t>
      </w:r>
    </w:p>
    <w:p w14:paraId="761DD185" w14:textId="078A3E89" w:rsidR="004F553A" w:rsidRDefault="00972845" w:rsidP="004F553A">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w:t>
      </w:r>
      <w:r w:rsidR="00905A6F">
        <w:rPr>
          <w:rFonts w:ascii="Arial" w:hAnsi="Arial" w:cs="Arial"/>
          <w:color w:val="7B7B7B" w:themeColor="accent3" w:themeShade="BF"/>
          <w:sz w:val="22"/>
          <w:szCs w:val="22"/>
          <w:lang w:val="en-GB"/>
        </w:rPr>
        <w:t xml:space="preserve">iability for losses flowing from the violation, for example, legal fees incurred by a party to proceedings wrongfully brought in violation of the automatic stay, or compensation for loss and damage suffered by a party who was unable to </w:t>
      </w:r>
      <w:r w:rsidR="00094155">
        <w:rPr>
          <w:rFonts w:ascii="Arial" w:hAnsi="Arial" w:cs="Arial"/>
          <w:color w:val="7B7B7B" w:themeColor="accent3" w:themeShade="BF"/>
          <w:sz w:val="22"/>
          <w:szCs w:val="22"/>
          <w:lang w:val="en-GB"/>
        </w:rPr>
        <w:t>exercise its rights</w:t>
      </w:r>
      <w:r w:rsidR="00905A6F">
        <w:rPr>
          <w:rFonts w:ascii="Arial" w:hAnsi="Arial" w:cs="Arial"/>
          <w:color w:val="7B7B7B" w:themeColor="accent3" w:themeShade="BF"/>
          <w:sz w:val="22"/>
          <w:szCs w:val="22"/>
          <w:lang w:val="en-GB"/>
        </w:rPr>
        <w:t xml:space="preserve"> in violation of an automatic stay; and</w:t>
      </w:r>
    </w:p>
    <w:p w14:paraId="2890AB1F" w14:textId="5C31F62A" w:rsidR="00905A6F" w:rsidRPr="004F553A" w:rsidRDefault="00F64963" w:rsidP="004F553A">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court imposed sanctions for contempt of court, which may include a fine.</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1E0FD208" w14:textId="77777777" w:rsidR="006B6E1A" w:rsidRDefault="006B6E1A" w:rsidP="00E12EC4">
      <w:pPr>
        <w:jc w:val="both"/>
        <w:rPr>
          <w:rFonts w:ascii="Arial" w:hAnsi="Arial" w:cs="Arial"/>
          <w:color w:val="7B7B7B" w:themeColor="accent3" w:themeShade="BF"/>
          <w:sz w:val="22"/>
          <w:szCs w:val="22"/>
          <w:lang w:val="en-GB"/>
        </w:rPr>
      </w:pPr>
    </w:p>
    <w:p w14:paraId="29A973F3" w14:textId="2B6C694F" w:rsidR="000D77D3" w:rsidRDefault="000D77D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w:t>
      </w:r>
      <w:r w:rsidRPr="000D77D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USC 11, </w:t>
      </w:r>
      <w:r w:rsidRPr="006B6E1A">
        <w:rPr>
          <w:rFonts w:ascii="Arial" w:hAnsi="Arial" w:cs="Arial"/>
          <w:color w:val="7B7B7B" w:themeColor="accent3" w:themeShade="BF"/>
          <w:sz w:val="22"/>
          <w:szCs w:val="22"/>
          <w:lang w:val="en-GB"/>
        </w:rPr>
        <w:t>§112</w:t>
      </w:r>
      <w:r>
        <w:rPr>
          <w:rFonts w:ascii="Arial" w:hAnsi="Arial" w:cs="Arial"/>
          <w:color w:val="7B7B7B" w:themeColor="accent3" w:themeShade="BF"/>
          <w:sz w:val="22"/>
          <w:szCs w:val="22"/>
          <w:lang w:val="en-GB"/>
        </w:rPr>
        <w:t>4(1), a</w:t>
      </w:r>
      <w:r w:rsidR="006B6E1A" w:rsidRPr="006B6E1A">
        <w:rPr>
          <w:rFonts w:ascii="Arial" w:hAnsi="Arial" w:cs="Arial"/>
          <w:color w:val="7B7B7B" w:themeColor="accent3" w:themeShade="BF"/>
          <w:sz w:val="22"/>
          <w:szCs w:val="22"/>
          <w:lang w:val="en-GB"/>
        </w:rPr>
        <w:t xml:space="preserve"> class of claims is impaired if the plan of reorgani</w:t>
      </w:r>
      <w:r w:rsidR="00DF26A0">
        <w:rPr>
          <w:rFonts w:ascii="Arial" w:hAnsi="Arial" w:cs="Arial"/>
          <w:color w:val="7B7B7B" w:themeColor="accent3" w:themeShade="BF"/>
          <w:sz w:val="22"/>
          <w:szCs w:val="22"/>
          <w:lang w:val="en-GB"/>
        </w:rPr>
        <w:t>z</w:t>
      </w:r>
      <w:r w:rsidR="006B6E1A" w:rsidRPr="006B6E1A">
        <w:rPr>
          <w:rFonts w:ascii="Arial" w:hAnsi="Arial" w:cs="Arial"/>
          <w:color w:val="7B7B7B" w:themeColor="accent3" w:themeShade="BF"/>
          <w:sz w:val="22"/>
          <w:szCs w:val="22"/>
          <w:lang w:val="en-GB"/>
        </w:rPr>
        <w:t xml:space="preserve">ation alters the legal, equitable or contractual rights </w:t>
      </w:r>
      <w:r w:rsidR="00B60F14">
        <w:rPr>
          <w:rFonts w:ascii="Arial" w:hAnsi="Arial" w:cs="Arial"/>
          <w:color w:val="7B7B7B" w:themeColor="accent3" w:themeShade="BF"/>
          <w:sz w:val="22"/>
          <w:szCs w:val="22"/>
          <w:lang w:val="en-GB"/>
        </w:rPr>
        <w:t>of</w:t>
      </w:r>
      <w:r w:rsidR="006B6E1A" w:rsidRPr="006B6E1A">
        <w:rPr>
          <w:rFonts w:ascii="Arial" w:hAnsi="Arial" w:cs="Arial"/>
          <w:color w:val="7B7B7B" w:themeColor="accent3" w:themeShade="BF"/>
          <w:sz w:val="22"/>
          <w:szCs w:val="22"/>
          <w:lang w:val="en-GB"/>
        </w:rPr>
        <w:t xml:space="preserve"> the holders</w:t>
      </w:r>
      <w:r w:rsidR="000B1CA9">
        <w:rPr>
          <w:rFonts w:ascii="Arial" w:hAnsi="Arial" w:cs="Arial"/>
          <w:color w:val="7B7B7B" w:themeColor="accent3" w:themeShade="BF"/>
          <w:sz w:val="22"/>
          <w:szCs w:val="22"/>
          <w:lang w:val="en-GB"/>
        </w:rPr>
        <w:t xml:space="preserve"> (</w:t>
      </w:r>
      <w:r w:rsidR="006B6E1A" w:rsidRPr="006B6E1A">
        <w:rPr>
          <w:rFonts w:ascii="Arial" w:hAnsi="Arial" w:cs="Arial"/>
          <w:color w:val="7B7B7B" w:themeColor="accent3" w:themeShade="BF"/>
          <w:sz w:val="22"/>
          <w:szCs w:val="22"/>
          <w:lang w:val="en-GB"/>
        </w:rPr>
        <w:t xml:space="preserve">even if </w:t>
      </w:r>
      <w:r w:rsidR="000B1CA9">
        <w:rPr>
          <w:rFonts w:ascii="Arial" w:hAnsi="Arial" w:cs="Arial"/>
          <w:color w:val="7B7B7B" w:themeColor="accent3" w:themeShade="BF"/>
          <w:sz w:val="22"/>
          <w:szCs w:val="22"/>
          <w:lang w:val="en-GB"/>
        </w:rPr>
        <w:t>the alteration improves those</w:t>
      </w:r>
      <w:r w:rsidR="006B6E1A" w:rsidRPr="006B6E1A">
        <w:rPr>
          <w:rFonts w:ascii="Arial" w:hAnsi="Arial" w:cs="Arial"/>
          <w:color w:val="7B7B7B" w:themeColor="accent3" w:themeShade="BF"/>
          <w:sz w:val="22"/>
          <w:szCs w:val="22"/>
          <w:lang w:val="en-GB"/>
        </w:rPr>
        <w:t xml:space="preserve"> rights</w:t>
      </w:r>
      <w:r w:rsidR="000B1CA9">
        <w:rPr>
          <w:rFonts w:ascii="Arial" w:hAnsi="Arial" w:cs="Arial"/>
          <w:color w:val="7B7B7B" w:themeColor="accent3" w:themeShade="BF"/>
          <w:sz w:val="22"/>
          <w:szCs w:val="22"/>
          <w:lang w:val="en-GB"/>
        </w:rPr>
        <w:t>)</w:t>
      </w:r>
      <w:r w:rsidR="00881332">
        <w:rPr>
          <w:rFonts w:ascii="Arial" w:hAnsi="Arial" w:cs="Arial"/>
          <w:color w:val="7B7B7B" w:themeColor="accent3" w:themeShade="BF"/>
          <w:sz w:val="22"/>
          <w:szCs w:val="22"/>
          <w:lang w:val="en-GB"/>
        </w:rPr>
        <w:t>.  A</w:t>
      </w:r>
      <w:r w:rsidR="00DF78CE">
        <w:rPr>
          <w:rFonts w:ascii="Arial" w:hAnsi="Arial" w:cs="Arial"/>
          <w:color w:val="7B7B7B" w:themeColor="accent3" w:themeShade="BF"/>
          <w:sz w:val="22"/>
          <w:szCs w:val="22"/>
          <w:lang w:val="en-GB"/>
        </w:rPr>
        <w:t xml:space="preserve"> class may be deemed unimpaired</w:t>
      </w:r>
      <w:r w:rsidR="00881332">
        <w:rPr>
          <w:rFonts w:ascii="Arial" w:hAnsi="Arial" w:cs="Arial"/>
          <w:color w:val="7B7B7B" w:themeColor="accent3" w:themeShade="BF"/>
          <w:sz w:val="22"/>
          <w:szCs w:val="22"/>
          <w:lang w:val="en-GB"/>
        </w:rPr>
        <w:t>, however,</w:t>
      </w:r>
      <w:r w:rsidR="00DF78CE">
        <w:rPr>
          <w:rFonts w:ascii="Arial" w:hAnsi="Arial" w:cs="Arial"/>
          <w:color w:val="7B7B7B" w:themeColor="accent3" w:themeShade="BF"/>
          <w:sz w:val="22"/>
          <w:szCs w:val="22"/>
          <w:lang w:val="en-GB"/>
        </w:rPr>
        <w:t xml:space="preserve"> where the plan </w:t>
      </w:r>
      <w:r>
        <w:rPr>
          <w:rFonts w:ascii="Arial" w:hAnsi="Arial" w:cs="Arial"/>
          <w:color w:val="7B7B7B" w:themeColor="accent3" w:themeShade="BF"/>
          <w:sz w:val="22"/>
          <w:szCs w:val="22"/>
          <w:lang w:val="en-GB"/>
        </w:rPr>
        <w:t>cures a default and compensates</w:t>
      </w:r>
      <w:r w:rsidR="009F479A">
        <w:rPr>
          <w:rFonts w:ascii="Arial" w:hAnsi="Arial" w:cs="Arial"/>
          <w:color w:val="7B7B7B" w:themeColor="accent3" w:themeShade="BF"/>
          <w:sz w:val="22"/>
          <w:szCs w:val="22"/>
          <w:lang w:val="en-GB"/>
        </w:rPr>
        <w:t xml:space="preserve"> the holder for any damage suffered as a result of reasonable reliance on the underlying contractual provision or law (</w:t>
      </w:r>
      <w:r w:rsidR="009F479A" w:rsidRPr="006B6E1A">
        <w:rPr>
          <w:rFonts w:ascii="Arial" w:hAnsi="Arial" w:cs="Arial"/>
          <w:color w:val="7B7B7B" w:themeColor="accent3" w:themeShade="BF"/>
          <w:sz w:val="22"/>
          <w:szCs w:val="22"/>
          <w:lang w:val="en-GB"/>
        </w:rPr>
        <w:t>§112</w:t>
      </w:r>
      <w:r w:rsidR="009F479A">
        <w:rPr>
          <w:rFonts w:ascii="Arial" w:hAnsi="Arial" w:cs="Arial"/>
          <w:color w:val="7B7B7B" w:themeColor="accent3" w:themeShade="BF"/>
          <w:sz w:val="22"/>
          <w:szCs w:val="22"/>
          <w:lang w:val="en-GB"/>
        </w:rPr>
        <w:t>4(2)).</w:t>
      </w:r>
    </w:p>
    <w:p w14:paraId="64C88032" w14:textId="77777777" w:rsidR="000D77D3" w:rsidRDefault="000D77D3" w:rsidP="00E12EC4">
      <w:pPr>
        <w:jc w:val="both"/>
        <w:rPr>
          <w:rFonts w:ascii="Arial" w:hAnsi="Arial" w:cs="Arial"/>
          <w:color w:val="7B7B7B" w:themeColor="accent3" w:themeShade="BF"/>
          <w:sz w:val="22"/>
          <w:szCs w:val="22"/>
          <w:lang w:val="en-GB"/>
        </w:rPr>
      </w:pPr>
    </w:p>
    <w:p w14:paraId="4C8655F3" w14:textId="77777777" w:rsidR="00C07CA6" w:rsidRDefault="00C07CA6" w:rsidP="00E12EC4">
      <w:pPr>
        <w:jc w:val="both"/>
        <w:rPr>
          <w:rFonts w:ascii="Arial" w:hAnsi="Arial" w:cs="Arial"/>
          <w:color w:val="7B7B7B" w:themeColor="accent3" w:themeShade="BF"/>
          <w:sz w:val="22"/>
          <w:szCs w:val="22"/>
          <w:lang w:val="en-GB"/>
        </w:rPr>
      </w:pPr>
    </w:p>
    <w:p w14:paraId="4FFE0C42" w14:textId="48009636" w:rsidR="00456858" w:rsidRDefault="00C07CA6"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 holder of an impaired claim is not entitled to vote on a proposed plan when </w:t>
      </w:r>
      <w:r w:rsidR="00510040">
        <w:rPr>
          <w:rFonts w:ascii="Arial" w:hAnsi="Arial" w:cs="Arial"/>
          <w:color w:val="7B7B7B" w:themeColor="accent3" w:themeShade="BF"/>
          <w:sz w:val="22"/>
          <w:szCs w:val="22"/>
          <w:lang w:val="en-GB"/>
        </w:rPr>
        <w:t>the class is</w:t>
      </w:r>
      <w:r w:rsidR="00C373B7">
        <w:rPr>
          <w:rFonts w:ascii="Arial" w:hAnsi="Arial" w:cs="Arial"/>
          <w:color w:val="7B7B7B" w:themeColor="accent3" w:themeShade="BF"/>
          <w:sz w:val="22"/>
          <w:szCs w:val="22"/>
          <w:lang w:val="en-GB"/>
        </w:rPr>
        <w:t xml:space="preserve"> </w:t>
      </w:r>
      <w:r w:rsidR="00C01295">
        <w:rPr>
          <w:rFonts w:ascii="Arial" w:hAnsi="Arial" w:cs="Arial"/>
          <w:color w:val="7B7B7B" w:themeColor="accent3" w:themeShade="BF"/>
          <w:sz w:val="22"/>
          <w:szCs w:val="22"/>
          <w:lang w:val="en-GB"/>
        </w:rPr>
        <w:t>cram</w:t>
      </w:r>
      <w:r w:rsidR="00510040">
        <w:rPr>
          <w:rFonts w:ascii="Arial" w:hAnsi="Arial" w:cs="Arial"/>
          <w:color w:val="7B7B7B" w:themeColor="accent3" w:themeShade="BF"/>
          <w:sz w:val="22"/>
          <w:szCs w:val="22"/>
          <w:lang w:val="en-GB"/>
        </w:rPr>
        <w:t>med</w:t>
      </w:r>
      <w:r w:rsidR="00C01295">
        <w:rPr>
          <w:rFonts w:ascii="Arial" w:hAnsi="Arial" w:cs="Arial"/>
          <w:color w:val="7B7B7B" w:themeColor="accent3" w:themeShade="BF"/>
          <w:sz w:val="22"/>
          <w:szCs w:val="22"/>
          <w:lang w:val="en-GB"/>
        </w:rPr>
        <w:t xml:space="preserve"> dow</w:t>
      </w:r>
      <w:r w:rsidR="00C373B7">
        <w:rPr>
          <w:rFonts w:ascii="Arial" w:hAnsi="Arial" w:cs="Arial"/>
          <w:color w:val="7B7B7B" w:themeColor="accent3" w:themeShade="BF"/>
          <w:sz w:val="22"/>
          <w:szCs w:val="22"/>
          <w:lang w:val="en-GB"/>
        </w:rPr>
        <w:t xml:space="preserve">n </w:t>
      </w:r>
      <w:r w:rsidR="00510040">
        <w:rPr>
          <w:rFonts w:ascii="Arial" w:hAnsi="Arial" w:cs="Arial"/>
          <w:color w:val="7B7B7B" w:themeColor="accent3" w:themeShade="BF"/>
          <w:sz w:val="22"/>
          <w:szCs w:val="22"/>
          <w:lang w:val="en-GB"/>
        </w:rPr>
        <w:t>under §1129(</w:t>
      </w:r>
      <w:r w:rsidR="00F76B7B">
        <w:rPr>
          <w:rFonts w:ascii="Arial" w:hAnsi="Arial" w:cs="Arial"/>
          <w:color w:val="7B7B7B" w:themeColor="accent3" w:themeShade="BF"/>
          <w:sz w:val="22"/>
          <w:szCs w:val="22"/>
          <w:lang w:val="en-GB"/>
        </w:rPr>
        <w:t>b</w:t>
      </w:r>
      <w:r w:rsidR="00510040">
        <w:rPr>
          <w:rFonts w:ascii="Arial" w:hAnsi="Arial" w:cs="Arial"/>
          <w:color w:val="7B7B7B" w:themeColor="accent3" w:themeShade="BF"/>
          <w:sz w:val="22"/>
          <w:szCs w:val="22"/>
          <w:lang w:val="en-GB"/>
        </w:rPr>
        <w:t>)</w:t>
      </w:r>
      <w:r w:rsidR="00C373B7">
        <w:rPr>
          <w:rFonts w:ascii="Arial" w:hAnsi="Arial" w:cs="Arial"/>
          <w:color w:val="7B7B7B" w:themeColor="accent3" w:themeShade="BF"/>
          <w:sz w:val="22"/>
          <w:szCs w:val="22"/>
          <w:lang w:val="en-GB"/>
        </w:rPr>
        <w:t xml:space="preserve">.  </w:t>
      </w:r>
      <w:r w:rsidR="00C30992">
        <w:rPr>
          <w:rFonts w:ascii="Arial" w:hAnsi="Arial" w:cs="Arial"/>
          <w:color w:val="7B7B7B" w:themeColor="accent3" w:themeShade="BF"/>
          <w:sz w:val="22"/>
          <w:szCs w:val="22"/>
          <w:lang w:val="en-GB"/>
        </w:rPr>
        <w:t xml:space="preserve">The procedure is intended to combat the problem of impaired classes of creditors holding out, and thereby effectively vetoing the plan.  </w:t>
      </w:r>
      <w:r w:rsidR="00456858">
        <w:rPr>
          <w:rFonts w:ascii="Arial" w:hAnsi="Arial" w:cs="Arial"/>
          <w:color w:val="7B7B7B" w:themeColor="accent3" w:themeShade="BF"/>
          <w:sz w:val="22"/>
          <w:szCs w:val="22"/>
          <w:lang w:val="en-GB"/>
        </w:rPr>
        <w:t>Pursuant to §1129(b) the court may approve the plan using the cram down procedure (i.e. even though the voting threshold has not been reached for every impaired class) as long as:</w:t>
      </w:r>
    </w:p>
    <w:p w14:paraId="3B9EA866" w14:textId="77777777" w:rsidR="00456858" w:rsidRDefault="00456858" w:rsidP="00456858">
      <w:pPr>
        <w:pStyle w:val="ListParagraph"/>
        <w:numPr>
          <w:ilvl w:val="0"/>
          <w:numId w:val="15"/>
        </w:numPr>
        <w:jc w:val="both"/>
        <w:rPr>
          <w:rFonts w:ascii="Arial" w:hAnsi="Arial" w:cs="Arial"/>
          <w:color w:val="7B7B7B" w:themeColor="accent3" w:themeShade="BF"/>
          <w:sz w:val="22"/>
          <w:szCs w:val="22"/>
          <w:lang w:val="en-GB"/>
        </w:rPr>
      </w:pPr>
      <w:r w:rsidRPr="00456858">
        <w:rPr>
          <w:rFonts w:ascii="Arial" w:hAnsi="Arial" w:cs="Arial"/>
          <w:color w:val="7B7B7B" w:themeColor="accent3" w:themeShade="BF"/>
          <w:sz w:val="22"/>
          <w:szCs w:val="22"/>
          <w:lang w:val="en-GB"/>
        </w:rPr>
        <w:t>the other requirements of</w:t>
      </w:r>
      <w:r w:rsidR="00C30992" w:rsidRPr="00456858">
        <w:rPr>
          <w:rFonts w:ascii="Arial" w:hAnsi="Arial" w:cs="Arial"/>
          <w:color w:val="7B7B7B" w:themeColor="accent3" w:themeShade="BF"/>
          <w:sz w:val="22"/>
          <w:szCs w:val="22"/>
          <w:lang w:val="en-GB"/>
        </w:rPr>
        <w:t xml:space="preserve"> §1129(a)</w:t>
      </w:r>
      <w:r w:rsidRPr="00456858">
        <w:rPr>
          <w:rFonts w:ascii="Arial" w:hAnsi="Arial" w:cs="Arial"/>
          <w:color w:val="7B7B7B" w:themeColor="accent3" w:themeShade="BF"/>
          <w:sz w:val="22"/>
          <w:szCs w:val="22"/>
          <w:lang w:val="en-GB"/>
        </w:rPr>
        <w:t xml:space="preserve"> are met (i.e. </w:t>
      </w:r>
      <w:r>
        <w:rPr>
          <w:rFonts w:ascii="Arial" w:hAnsi="Arial" w:cs="Arial"/>
          <w:color w:val="7B7B7B" w:themeColor="accent3" w:themeShade="BF"/>
          <w:sz w:val="22"/>
          <w:szCs w:val="22"/>
          <w:lang w:val="en-GB"/>
        </w:rPr>
        <w:t xml:space="preserve">all requirements </w:t>
      </w:r>
      <w:r w:rsidRPr="00456858">
        <w:rPr>
          <w:rFonts w:ascii="Arial" w:hAnsi="Arial" w:cs="Arial"/>
          <w:color w:val="7B7B7B" w:themeColor="accent3" w:themeShade="BF"/>
          <w:sz w:val="22"/>
          <w:szCs w:val="22"/>
          <w:lang w:val="en-GB"/>
        </w:rPr>
        <w:t>except §1129(a)(8))</w:t>
      </w:r>
      <w:r>
        <w:rPr>
          <w:rFonts w:ascii="Arial" w:hAnsi="Arial" w:cs="Arial"/>
          <w:color w:val="7B7B7B" w:themeColor="accent3" w:themeShade="BF"/>
          <w:sz w:val="22"/>
          <w:szCs w:val="22"/>
          <w:lang w:val="en-GB"/>
        </w:rPr>
        <w:t xml:space="preserve">; </w:t>
      </w:r>
    </w:p>
    <w:p w14:paraId="498DE954" w14:textId="65D3A60B" w:rsidR="00456858" w:rsidRDefault="00456858" w:rsidP="00456858">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least one impaired class must have voted to accept the plan; and</w:t>
      </w:r>
    </w:p>
    <w:p w14:paraId="2BF594FB" w14:textId="5F48F355" w:rsidR="00C30992" w:rsidRPr="00456858" w:rsidRDefault="00C30992" w:rsidP="00456858">
      <w:pPr>
        <w:pStyle w:val="ListParagraph"/>
        <w:numPr>
          <w:ilvl w:val="0"/>
          <w:numId w:val="15"/>
        </w:numPr>
        <w:jc w:val="both"/>
        <w:rPr>
          <w:rFonts w:ascii="Arial" w:hAnsi="Arial" w:cs="Arial"/>
          <w:color w:val="7B7B7B" w:themeColor="accent3" w:themeShade="BF"/>
          <w:sz w:val="22"/>
          <w:szCs w:val="22"/>
          <w:lang w:val="en-GB"/>
        </w:rPr>
      </w:pPr>
      <w:r w:rsidRPr="00456858">
        <w:rPr>
          <w:rFonts w:ascii="Arial" w:hAnsi="Arial" w:cs="Arial"/>
          <w:color w:val="7B7B7B" w:themeColor="accent3" w:themeShade="BF"/>
          <w:sz w:val="22"/>
          <w:szCs w:val="22"/>
          <w:lang w:val="en-GB"/>
        </w:rPr>
        <w:t xml:space="preserve">the plan does not "discriminate unfairly" and is "fair and equitable" with respect to the dissenting class(es).  </w:t>
      </w:r>
      <w:r w:rsidR="00456858">
        <w:rPr>
          <w:rFonts w:ascii="Arial" w:hAnsi="Arial" w:cs="Arial"/>
          <w:color w:val="7B7B7B" w:themeColor="accent3" w:themeShade="BF"/>
          <w:sz w:val="22"/>
          <w:szCs w:val="22"/>
          <w:lang w:val="en-GB"/>
        </w:rPr>
        <w:t>Factors relevant to</w:t>
      </w:r>
      <w:r w:rsidRPr="00456858">
        <w:rPr>
          <w:rFonts w:ascii="Arial" w:hAnsi="Arial" w:cs="Arial"/>
          <w:color w:val="7B7B7B" w:themeColor="accent3" w:themeShade="BF"/>
          <w:sz w:val="22"/>
          <w:szCs w:val="22"/>
          <w:lang w:val="en-GB"/>
        </w:rPr>
        <w:t xml:space="preserve"> the requirement to be fair and equitable </w:t>
      </w:r>
      <w:r w:rsidR="00456858">
        <w:rPr>
          <w:rFonts w:ascii="Arial" w:hAnsi="Arial" w:cs="Arial"/>
          <w:color w:val="7B7B7B" w:themeColor="accent3" w:themeShade="BF"/>
          <w:sz w:val="22"/>
          <w:szCs w:val="22"/>
          <w:lang w:val="en-GB"/>
        </w:rPr>
        <w:t>are</w:t>
      </w:r>
      <w:r w:rsidRPr="00456858">
        <w:rPr>
          <w:rFonts w:ascii="Arial" w:hAnsi="Arial" w:cs="Arial"/>
          <w:color w:val="7B7B7B" w:themeColor="accent3" w:themeShade="BF"/>
          <w:sz w:val="22"/>
          <w:szCs w:val="22"/>
          <w:lang w:val="en-GB"/>
        </w:rPr>
        <w:t xml:space="preserve"> particularized at §1129(b)(2).</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567EDC30" w14:textId="2F2F91E2" w:rsidR="00E12EC4" w:rsidRDefault="00A6029D"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preference (USC 11, §547).</w:t>
      </w:r>
    </w:p>
    <w:p w14:paraId="23EDCF1A" w14:textId="468A99BB" w:rsidR="00E12EC4" w:rsidRDefault="00E12EC4" w:rsidP="00AC7D6F">
      <w:pPr>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1C3DCEF3" w14:textId="125061AE" w:rsidR="00A6029D" w:rsidRDefault="00A6029D" w:rsidP="00A6029D">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constructive fraudulent conveyance (USC 11, §548(b)).</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564E93F2" w14:textId="1F8E7FBC" w:rsidR="00A6029D" w:rsidRDefault="00A6029D" w:rsidP="00A6029D">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actual fraudulent conveyance (USC 11, §548(a)).</w:t>
      </w:r>
    </w:p>
    <w:p w14:paraId="38C71A73" w14:textId="77777777" w:rsidR="00A6029D" w:rsidRDefault="00A6029D" w:rsidP="00A6029D">
      <w:pPr>
        <w:ind w:firstLine="426"/>
        <w:jc w:val="both"/>
        <w:rPr>
          <w:rFonts w:ascii="Arial" w:hAnsi="Arial" w:cs="Arial"/>
          <w:color w:val="7B7B7B" w:themeColor="accent3" w:themeShade="BF"/>
          <w:sz w:val="22"/>
          <w:szCs w:val="22"/>
          <w:lang w:val="en-GB"/>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7B6806AD" w14:textId="670DA29D" w:rsidR="00B51AF1" w:rsidRDefault="0023011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Supreme Court in </w:t>
      </w:r>
      <w:r>
        <w:rPr>
          <w:rFonts w:ascii="Arial" w:hAnsi="Arial" w:cs="Arial"/>
          <w:i/>
          <w:iCs/>
          <w:color w:val="7B7B7B" w:themeColor="accent3" w:themeShade="BF"/>
          <w:sz w:val="22"/>
          <w:szCs w:val="22"/>
          <w:lang w:val="en-GB"/>
        </w:rPr>
        <w:t>Stern v Marshall</w:t>
      </w:r>
      <w:r>
        <w:rPr>
          <w:rFonts w:ascii="Arial" w:hAnsi="Arial" w:cs="Arial"/>
          <w:color w:val="7B7B7B" w:themeColor="accent3" w:themeShade="BF"/>
          <w:sz w:val="22"/>
          <w:szCs w:val="22"/>
          <w:lang w:val="en-GB"/>
        </w:rPr>
        <w:t xml:space="preserve">, 131 S. Ct. 2594 (2011) considered whether the bankruptcy court had jurisdiction </w:t>
      </w:r>
      <w:r w:rsidR="00151C81">
        <w:rPr>
          <w:rFonts w:ascii="Arial" w:hAnsi="Arial" w:cs="Arial"/>
          <w:color w:val="7B7B7B" w:themeColor="accent3" w:themeShade="BF"/>
          <w:sz w:val="22"/>
          <w:szCs w:val="22"/>
          <w:lang w:val="en-GB"/>
        </w:rPr>
        <w:t xml:space="preserve">under 28 USC §157(b)(1) and (2)(c) </w:t>
      </w:r>
      <w:r>
        <w:rPr>
          <w:rFonts w:ascii="Arial" w:hAnsi="Arial" w:cs="Arial"/>
          <w:color w:val="7B7B7B" w:themeColor="accent3" w:themeShade="BF"/>
          <w:sz w:val="22"/>
          <w:szCs w:val="22"/>
          <w:lang w:val="en-GB"/>
        </w:rPr>
        <w:t xml:space="preserve">to enter judgment on a </w:t>
      </w:r>
      <w:r w:rsidR="003B7B12">
        <w:rPr>
          <w:rFonts w:ascii="Arial" w:hAnsi="Arial" w:cs="Arial"/>
          <w:color w:val="7B7B7B" w:themeColor="accent3" w:themeShade="BF"/>
          <w:sz w:val="22"/>
          <w:szCs w:val="22"/>
          <w:lang w:val="en-GB"/>
        </w:rPr>
        <w:t xml:space="preserve">common law </w:t>
      </w:r>
      <w:r>
        <w:rPr>
          <w:rFonts w:ascii="Arial" w:hAnsi="Arial" w:cs="Arial"/>
          <w:color w:val="7B7B7B" w:themeColor="accent3" w:themeShade="BF"/>
          <w:sz w:val="22"/>
          <w:szCs w:val="22"/>
          <w:lang w:val="en-GB"/>
        </w:rPr>
        <w:t xml:space="preserve">counterclaim for tortious interference.  The Court concluded that the bankruptcy court had no such jurisdiction.  </w:t>
      </w:r>
      <w:r w:rsidR="006E3146">
        <w:rPr>
          <w:rFonts w:ascii="Arial" w:hAnsi="Arial" w:cs="Arial"/>
          <w:color w:val="7B7B7B" w:themeColor="accent3" w:themeShade="BF"/>
          <w:sz w:val="22"/>
          <w:szCs w:val="22"/>
          <w:lang w:val="en-GB"/>
        </w:rPr>
        <w:t xml:space="preserve">The essential reasoning of the Supreme Court was that, as the bankruptcy court is established by ordinary statute and not under Article III of the US Constitution, and </w:t>
      </w:r>
      <w:r w:rsidR="00B51AF1">
        <w:rPr>
          <w:rFonts w:ascii="Arial" w:hAnsi="Arial" w:cs="Arial"/>
          <w:color w:val="7B7B7B" w:themeColor="accent3" w:themeShade="BF"/>
          <w:sz w:val="22"/>
          <w:szCs w:val="22"/>
          <w:lang w:val="en-GB"/>
        </w:rPr>
        <w:t xml:space="preserve">therefore </w:t>
      </w:r>
      <w:r w:rsidR="006E3146">
        <w:rPr>
          <w:rFonts w:ascii="Arial" w:hAnsi="Arial" w:cs="Arial"/>
          <w:color w:val="7B7B7B" w:themeColor="accent3" w:themeShade="BF"/>
          <w:sz w:val="22"/>
          <w:szCs w:val="22"/>
          <w:lang w:val="en-GB"/>
        </w:rPr>
        <w:t xml:space="preserve">the judges in the bankruptcy court have not been appointed pursuant to and in accordance with the constitutional protections and </w:t>
      </w:r>
      <w:r w:rsidR="006E3146" w:rsidRPr="00230117">
        <w:rPr>
          <w:rFonts w:ascii="Arial" w:hAnsi="Arial" w:cs="Arial"/>
          <w:color w:val="7B7B7B" w:themeColor="accent3" w:themeShade="BF"/>
          <w:sz w:val="22"/>
          <w:szCs w:val="22"/>
          <w:lang w:val="en-GB"/>
        </w:rPr>
        <w:t>assurances of independence</w:t>
      </w:r>
      <w:r w:rsidR="006E3146">
        <w:rPr>
          <w:rFonts w:ascii="Arial" w:hAnsi="Arial" w:cs="Arial"/>
          <w:color w:val="7B7B7B" w:themeColor="accent3" w:themeShade="BF"/>
          <w:sz w:val="22"/>
          <w:szCs w:val="22"/>
          <w:lang w:val="en-GB"/>
        </w:rPr>
        <w:t xml:space="preserve"> attendant on Article III, the </w:t>
      </w:r>
      <w:r w:rsidR="0019600A">
        <w:rPr>
          <w:rFonts w:ascii="Arial" w:hAnsi="Arial" w:cs="Arial"/>
          <w:color w:val="7B7B7B" w:themeColor="accent3" w:themeShade="BF"/>
          <w:sz w:val="22"/>
          <w:szCs w:val="22"/>
          <w:lang w:val="en-GB"/>
        </w:rPr>
        <w:t xml:space="preserve">constitutional principle of the separation of powers requires that the </w:t>
      </w:r>
      <w:r w:rsidR="006E3146">
        <w:rPr>
          <w:rFonts w:ascii="Arial" w:hAnsi="Arial" w:cs="Arial"/>
          <w:color w:val="7B7B7B" w:themeColor="accent3" w:themeShade="BF"/>
          <w:sz w:val="22"/>
          <w:szCs w:val="22"/>
          <w:lang w:val="en-GB"/>
        </w:rPr>
        <w:t xml:space="preserve">bankruptcy court’s jurisdiction </w:t>
      </w:r>
      <w:r w:rsidR="0019600A">
        <w:rPr>
          <w:rFonts w:ascii="Arial" w:hAnsi="Arial" w:cs="Arial"/>
          <w:color w:val="7B7B7B" w:themeColor="accent3" w:themeShade="BF"/>
          <w:sz w:val="22"/>
          <w:szCs w:val="22"/>
          <w:lang w:val="en-GB"/>
        </w:rPr>
        <w:t>be</w:t>
      </w:r>
      <w:r w:rsidR="006E3146">
        <w:rPr>
          <w:rFonts w:ascii="Arial" w:hAnsi="Arial" w:cs="Arial"/>
          <w:color w:val="7B7B7B" w:themeColor="accent3" w:themeShade="BF"/>
          <w:sz w:val="22"/>
          <w:szCs w:val="22"/>
          <w:lang w:val="en-GB"/>
        </w:rPr>
        <w:t xml:space="preserve"> limited to a </w:t>
      </w:r>
      <w:r w:rsidR="00B55385">
        <w:rPr>
          <w:rFonts w:ascii="Arial" w:hAnsi="Arial" w:cs="Arial"/>
          <w:color w:val="7B7B7B" w:themeColor="accent3" w:themeShade="BF"/>
          <w:sz w:val="22"/>
          <w:szCs w:val="22"/>
          <w:lang w:val="en-GB"/>
        </w:rPr>
        <w:t>delegated</w:t>
      </w:r>
      <w:r w:rsidR="006E3146">
        <w:rPr>
          <w:rFonts w:ascii="Arial" w:hAnsi="Arial" w:cs="Arial"/>
          <w:color w:val="7B7B7B" w:themeColor="accent3" w:themeShade="BF"/>
          <w:sz w:val="22"/>
          <w:szCs w:val="22"/>
          <w:lang w:val="en-GB"/>
        </w:rPr>
        <w:t xml:space="preserve"> authority to enter </w:t>
      </w:r>
      <w:r w:rsidR="00B55385">
        <w:rPr>
          <w:rFonts w:ascii="Arial" w:hAnsi="Arial" w:cs="Arial"/>
          <w:color w:val="7B7B7B" w:themeColor="accent3" w:themeShade="BF"/>
          <w:sz w:val="22"/>
          <w:szCs w:val="22"/>
          <w:lang w:val="en-GB"/>
        </w:rPr>
        <w:t>a final order</w:t>
      </w:r>
      <w:r w:rsidR="006E3146">
        <w:rPr>
          <w:rFonts w:ascii="Arial" w:hAnsi="Arial" w:cs="Arial"/>
          <w:color w:val="7B7B7B" w:themeColor="accent3" w:themeShade="BF"/>
          <w:sz w:val="22"/>
          <w:szCs w:val="22"/>
          <w:lang w:val="en-GB"/>
        </w:rPr>
        <w:t xml:space="preserve"> on</w:t>
      </w:r>
      <w:r w:rsidR="00B55385">
        <w:rPr>
          <w:rFonts w:ascii="Arial" w:hAnsi="Arial" w:cs="Arial"/>
          <w:color w:val="7B7B7B" w:themeColor="accent3" w:themeShade="BF"/>
          <w:sz w:val="22"/>
          <w:szCs w:val="22"/>
          <w:lang w:val="en-GB"/>
        </w:rPr>
        <w:t xml:space="preserve"> a motion challenging the validity of a petition.  </w:t>
      </w:r>
    </w:p>
    <w:p w14:paraId="68596C0A" w14:textId="77777777" w:rsidR="00B51AF1" w:rsidRDefault="00B51AF1" w:rsidP="005B2A9B">
      <w:pPr>
        <w:jc w:val="both"/>
        <w:rPr>
          <w:rFonts w:ascii="Arial" w:hAnsi="Arial" w:cs="Arial"/>
          <w:color w:val="7B7B7B" w:themeColor="accent3" w:themeShade="BF"/>
          <w:sz w:val="22"/>
          <w:szCs w:val="22"/>
          <w:lang w:val="en-GB"/>
        </w:rPr>
      </w:pPr>
    </w:p>
    <w:p w14:paraId="27EA0372" w14:textId="534CD6F5" w:rsidR="006E3146" w:rsidRDefault="00B5538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judgment represents a further curtailment of the bankruptcy court’s jurisdiction, which had already been narrowed by 1984 amendments to the Bankruptcy Code to cover only “core” matters (where core matters included counterclaims by the estate against creditors).</w:t>
      </w:r>
    </w:p>
    <w:p w14:paraId="3DA8E5B1" w14:textId="77777777" w:rsidR="006E3146" w:rsidRDefault="006E3146" w:rsidP="005B2A9B">
      <w:pPr>
        <w:jc w:val="both"/>
        <w:rPr>
          <w:rFonts w:ascii="Arial" w:hAnsi="Arial" w:cs="Arial"/>
          <w:color w:val="7B7B7B" w:themeColor="accent3" w:themeShade="BF"/>
          <w:sz w:val="22"/>
          <w:szCs w:val="22"/>
          <w:lang w:val="en-GB"/>
        </w:rPr>
      </w:pPr>
    </w:p>
    <w:p w14:paraId="3DDA6A84" w14:textId="35696FB4" w:rsidR="005B2A9B" w:rsidRPr="00230117" w:rsidRDefault="00151C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Going forwards, a bankruptcy court </w:t>
      </w:r>
      <w:r w:rsidR="00F031EF">
        <w:rPr>
          <w:rFonts w:ascii="Arial" w:hAnsi="Arial" w:cs="Arial"/>
          <w:color w:val="7B7B7B" w:themeColor="accent3" w:themeShade="BF"/>
          <w:sz w:val="22"/>
          <w:szCs w:val="22"/>
          <w:lang w:val="en-GB"/>
        </w:rPr>
        <w:t>may</w:t>
      </w:r>
      <w:r>
        <w:rPr>
          <w:rFonts w:ascii="Arial" w:hAnsi="Arial" w:cs="Arial"/>
          <w:color w:val="7B7B7B" w:themeColor="accent3" w:themeShade="BF"/>
          <w:sz w:val="22"/>
          <w:szCs w:val="22"/>
          <w:lang w:val="en-GB"/>
        </w:rPr>
        <w:t xml:space="preserve"> still make substantive findings about a counterclaim, but those findings will not bind the parties unless (1) they so agree, or (2) the bankruptcy court issues a report and recommendation for review by the relevant district court and the district court enters judgment to that effect</w:t>
      </w:r>
      <w:r w:rsidR="008656E6">
        <w:rPr>
          <w:rFonts w:ascii="Arial" w:hAnsi="Arial" w:cs="Arial"/>
          <w:color w:val="7B7B7B" w:themeColor="accent3" w:themeShade="BF"/>
          <w:sz w:val="22"/>
          <w:szCs w:val="22"/>
          <w:lang w:val="en-GB"/>
        </w:rPr>
        <w:t xml:space="preserve"> (Fed R Bankr P 8018.1)</w:t>
      </w:r>
      <w:r>
        <w:rPr>
          <w:rFonts w:ascii="Arial" w:hAnsi="Arial" w:cs="Arial"/>
          <w:color w:val="7B7B7B" w:themeColor="accent3" w:themeShade="BF"/>
          <w:sz w:val="22"/>
          <w:szCs w:val="22"/>
          <w:lang w:val="en-GB"/>
        </w:rPr>
        <w:t xml:space="preserve">. </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7F20BE16" w:rsidR="005B2A9B" w:rsidRDefault="000C595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11 USC, §1521(a)(7) avoidance actions are not available to a foreign representative in Chapter 15 proceedings (i.e. relief under 11 USC §§522, 544, 545, 547, 548, 550 and 724(a)).</w:t>
      </w:r>
    </w:p>
    <w:p w14:paraId="26294B3B" w14:textId="1937DCF2" w:rsidR="000C5952" w:rsidRDefault="000C5952" w:rsidP="005B2A9B">
      <w:pPr>
        <w:jc w:val="both"/>
        <w:rPr>
          <w:rFonts w:ascii="Arial" w:hAnsi="Arial" w:cs="Arial"/>
          <w:color w:val="7B7B7B" w:themeColor="accent3" w:themeShade="BF"/>
          <w:sz w:val="22"/>
          <w:szCs w:val="22"/>
          <w:lang w:val="en-GB"/>
        </w:rPr>
      </w:pPr>
    </w:p>
    <w:p w14:paraId="0F23E079" w14:textId="37045D8F" w:rsidR="000C5952" w:rsidRPr="00FF5098" w:rsidRDefault="000C595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may, however, obtain equivalent relief</w:t>
      </w:r>
      <w:r w:rsidR="005274A3">
        <w:rPr>
          <w:rFonts w:ascii="Arial" w:hAnsi="Arial" w:cs="Arial"/>
          <w:color w:val="7B7B7B" w:themeColor="accent3" w:themeShade="BF"/>
          <w:sz w:val="22"/>
          <w:szCs w:val="22"/>
          <w:lang w:val="en-GB"/>
        </w:rPr>
        <w:t xml:space="preserve"> under state law (e.g. by a fraud claim) or</w:t>
      </w:r>
      <w:r w:rsidR="001B2074" w:rsidRPr="001B2074">
        <w:rPr>
          <w:rFonts w:ascii="Arial" w:hAnsi="Arial" w:cs="Arial"/>
          <w:color w:val="7B7B7B" w:themeColor="accent3" w:themeShade="BF"/>
          <w:sz w:val="22"/>
          <w:szCs w:val="22"/>
          <w:lang w:val="en-GB"/>
        </w:rPr>
        <w:t xml:space="preserve"> </w:t>
      </w:r>
      <w:r w:rsidR="001B2074">
        <w:rPr>
          <w:rFonts w:ascii="Arial" w:hAnsi="Arial" w:cs="Arial"/>
          <w:color w:val="7B7B7B" w:themeColor="accent3" w:themeShade="BF"/>
          <w:sz w:val="22"/>
          <w:szCs w:val="22"/>
          <w:lang w:val="en-GB"/>
        </w:rPr>
        <w:t>foreign law</w:t>
      </w:r>
      <w:r w:rsidR="005274A3">
        <w:rPr>
          <w:rFonts w:ascii="Arial" w:hAnsi="Arial" w:cs="Arial"/>
          <w:color w:val="7B7B7B" w:themeColor="accent3" w:themeShade="BF"/>
          <w:sz w:val="22"/>
          <w:szCs w:val="22"/>
          <w:lang w:val="en-GB"/>
        </w:rPr>
        <w:t xml:space="preserve"> </w:t>
      </w:r>
      <w:r w:rsidR="00496C2B">
        <w:rPr>
          <w:rFonts w:ascii="Arial" w:hAnsi="Arial" w:cs="Arial"/>
          <w:color w:val="7B7B7B" w:themeColor="accent3" w:themeShade="BF"/>
          <w:sz w:val="22"/>
          <w:szCs w:val="22"/>
          <w:lang w:val="en-GB"/>
        </w:rPr>
        <w:t>(</w:t>
      </w:r>
      <w:r w:rsidR="005274A3">
        <w:rPr>
          <w:rFonts w:ascii="Arial" w:hAnsi="Arial" w:cs="Arial"/>
          <w:color w:val="7B7B7B" w:themeColor="accent3" w:themeShade="BF"/>
          <w:sz w:val="22"/>
          <w:szCs w:val="22"/>
          <w:lang w:val="en-GB"/>
        </w:rPr>
        <w:t xml:space="preserve">e.g. </w:t>
      </w:r>
      <w:r w:rsidR="00496C2B">
        <w:rPr>
          <w:rFonts w:ascii="Arial" w:hAnsi="Arial" w:cs="Arial"/>
          <w:color w:val="7B7B7B" w:themeColor="accent3" w:themeShade="BF"/>
          <w:sz w:val="22"/>
          <w:szCs w:val="22"/>
          <w:lang w:val="en-GB"/>
        </w:rPr>
        <w:t>pursuant to</w:t>
      </w:r>
      <w:r w:rsidR="005274A3">
        <w:rPr>
          <w:rFonts w:ascii="Arial" w:hAnsi="Arial" w:cs="Arial"/>
          <w:color w:val="7B7B7B" w:themeColor="accent3" w:themeShade="BF"/>
          <w:sz w:val="22"/>
          <w:szCs w:val="22"/>
          <w:lang w:val="en-GB"/>
        </w:rPr>
        <w:t xml:space="preserve"> a contractual governing law clause</w:t>
      </w:r>
      <w:r w:rsidR="00496C2B">
        <w:rPr>
          <w:rFonts w:ascii="Arial" w:hAnsi="Arial" w:cs="Arial"/>
          <w:color w:val="7B7B7B" w:themeColor="accent3" w:themeShade="BF"/>
          <w:sz w:val="22"/>
          <w:szCs w:val="22"/>
          <w:lang w:val="en-GB"/>
        </w:rPr>
        <w:t>)</w:t>
      </w:r>
      <w:r w:rsidR="005274A3">
        <w:rPr>
          <w:rFonts w:ascii="Arial" w:hAnsi="Arial" w:cs="Arial"/>
          <w:color w:val="7B7B7B" w:themeColor="accent3" w:themeShade="BF"/>
          <w:sz w:val="22"/>
          <w:szCs w:val="22"/>
          <w:lang w:val="en-GB"/>
        </w:rPr>
        <w:t xml:space="preserve">.  The foreign representative may also obtain equivalent relief by commencing plenary proceedings under Chapter 7 or 11 </w:t>
      </w:r>
      <w:r w:rsidR="00CE40AE">
        <w:rPr>
          <w:rFonts w:ascii="Arial" w:hAnsi="Arial" w:cs="Arial"/>
          <w:color w:val="7B7B7B" w:themeColor="accent3" w:themeShade="BF"/>
          <w:sz w:val="22"/>
          <w:szCs w:val="22"/>
          <w:lang w:val="en-GB"/>
        </w:rPr>
        <w:t>following recognition of the foreign proceedings (</w:t>
      </w:r>
      <w:r w:rsidR="005274A3">
        <w:rPr>
          <w:rFonts w:ascii="Arial" w:hAnsi="Arial" w:cs="Arial"/>
          <w:color w:val="7B7B7B" w:themeColor="accent3" w:themeShade="BF"/>
          <w:sz w:val="22"/>
          <w:szCs w:val="22"/>
          <w:lang w:val="en-GB"/>
        </w:rPr>
        <w:t>11 USC, §1523(a)</w:t>
      </w:r>
      <w:r w:rsidR="00CE40AE">
        <w:rPr>
          <w:rFonts w:ascii="Arial" w:hAnsi="Arial" w:cs="Arial"/>
          <w:color w:val="7B7B7B" w:themeColor="accent3" w:themeShade="BF"/>
          <w:sz w:val="22"/>
          <w:szCs w:val="22"/>
          <w:lang w:val="en-GB"/>
        </w:rPr>
        <w:t>)</w:t>
      </w:r>
      <w:r w:rsidR="005274A3">
        <w:rPr>
          <w:rFonts w:ascii="Arial" w:hAnsi="Arial" w:cs="Arial"/>
          <w:color w:val="7B7B7B" w:themeColor="accent3" w:themeShade="BF"/>
          <w:sz w:val="22"/>
          <w:szCs w:val="22"/>
          <w:lang w:val="en-GB"/>
        </w:rPr>
        <w:t xml:space="preserve">. </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1944A835" w:rsidR="005B2A9B" w:rsidRDefault="00C6221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 orders are orders which dispose of all issues, leaving nothing further to be decided.  Final orders may be appealed as of right</w:t>
      </w:r>
      <w:r w:rsidR="006A4904">
        <w:rPr>
          <w:rFonts w:ascii="Arial" w:hAnsi="Arial" w:cs="Arial"/>
          <w:color w:val="7B7B7B" w:themeColor="accent3" w:themeShade="BF"/>
          <w:sz w:val="22"/>
          <w:szCs w:val="22"/>
          <w:lang w:val="en-GB"/>
        </w:rPr>
        <w:t>.</w:t>
      </w:r>
    </w:p>
    <w:p w14:paraId="457D1C88" w14:textId="6BBC5F60" w:rsidR="00C6221C" w:rsidRDefault="00C6221C" w:rsidP="005B2A9B">
      <w:pPr>
        <w:jc w:val="both"/>
        <w:rPr>
          <w:rFonts w:ascii="Arial" w:hAnsi="Arial" w:cs="Arial"/>
          <w:color w:val="7B7B7B" w:themeColor="accent3" w:themeShade="BF"/>
          <w:sz w:val="22"/>
          <w:szCs w:val="22"/>
          <w:lang w:val="en-GB"/>
        </w:rPr>
      </w:pPr>
    </w:p>
    <w:p w14:paraId="34A3DB24" w14:textId="3FF5A1E4" w:rsidR="00C6221C" w:rsidRDefault="00C6221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Interlocutory orders, by contrast, resolve </w:t>
      </w:r>
      <w:r w:rsidR="006A4904">
        <w:rPr>
          <w:rFonts w:ascii="Arial" w:hAnsi="Arial" w:cs="Arial"/>
          <w:color w:val="7B7B7B" w:themeColor="accent3" w:themeShade="BF"/>
          <w:sz w:val="22"/>
          <w:szCs w:val="22"/>
          <w:lang w:val="en-GB"/>
        </w:rPr>
        <w:t xml:space="preserve">only </w:t>
      </w:r>
      <w:r>
        <w:rPr>
          <w:rFonts w:ascii="Arial" w:hAnsi="Arial" w:cs="Arial"/>
          <w:color w:val="7B7B7B" w:themeColor="accent3" w:themeShade="BF"/>
          <w:sz w:val="22"/>
          <w:szCs w:val="22"/>
          <w:lang w:val="en-GB"/>
        </w:rPr>
        <w:t xml:space="preserve">some issues or claims in the proceedings.  </w:t>
      </w:r>
      <w:r w:rsidR="00866622">
        <w:rPr>
          <w:rFonts w:ascii="Arial" w:hAnsi="Arial" w:cs="Arial"/>
          <w:color w:val="7B7B7B" w:themeColor="accent3" w:themeShade="BF"/>
          <w:sz w:val="22"/>
          <w:szCs w:val="22"/>
          <w:lang w:val="en-GB"/>
        </w:rPr>
        <w:t xml:space="preserve">Interlocutory orders may be appealed with leave of the appellate court, with the exception of orders extending the period of exclusivity to propose a plan, which are appealable as of right (28 USC, §158(a)(2)).  The Supreme Court held in </w:t>
      </w:r>
      <w:r w:rsidR="00866622">
        <w:rPr>
          <w:rFonts w:ascii="Arial" w:hAnsi="Arial" w:cs="Arial"/>
          <w:i/>
          <w:iCs/>
          <w:color w:val="7B7B7B" w:themeColor="accent3" w:themeShade="BF"/>
          <w:sz w:val="22"/>
          <w:szCs w:val="22"/>
          <w:lang w:val="en-GB"/>
        </w:rPr>
        <w:t xml:space="preserve">Bullard v Blue Hills Bank </w:t>
      </w:r>
      <w:r w:rsidR="00866622">
        <w:rPr>
          <w:rFonts w:ascii="Arial" w:hAnsi="Arial" w:cs="Arial"/>
          <w:color w:val="7B7B7B" w:themeColor="accent3" w:themeShade="BF"/>
          <w:sz w:val="22"/>
          <w:szCs w:val="22"/>
          <w:lang w:val="en-GB"/>
        </w:rPr>
        <w:t>135 S Ct 1686 (2015) that a bankruptcy order resolving a discrete dispute is a final order for appeals purposes.</w:t>
      </w:r>
    </w:p>
    <w:p w14:paraId="136486E7" w14:textId="1297FECC" w:rsidR="00866622" w:rsidRDefault="00866622" w:rsidP="005B2A9B">
      <w:pPr>
        <w:jc w:val="both"/>
        <w:rPr>
          <w:rFonts w:ascii="Arial" w:hAnsi="Arial" w:cs="Arial"/>
          <w:color w:val="7B7B7B" w:themeColor="accent3" w:themeShade="BF"/>
          <w:sz w:val="22"/>
          <w:szCs w:val="22"/>
          <w:lang w:val="en-GB"/>
        </w:rPr>
      </w:pPr>
    </w:p>
    <w:p w14:paraId="6C169865" w14:textId="42644EFE" w:rsidR="00866622" w:rsidRPr="00866622" w:rsidRDefault="0086662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Generally, appeals from bankruptcy court orders, whether final or interlocutory orders, are heard by the relevant district court.  The First, Sixth, Eighth, Ninth and Tenth Circuits have elected to form Bankruptcy Appellate Panels</w:t>
      </w:r>
      <w:r w:rsidR="000B6905">
        <w:rPr>
          <w:rFonts w:ascii="Arial" w:hAnsi="Arial" w:cs="Arial"/>
          <w:color w:val="7B7B7B" w:themeColor="accent3" w:themeShade="BF"/>
          <w:sz w:val="22"/>
          <w:szCs w:val="22"/>
          <w:lang w:val="en-GB"/>
        </w:rPr>
        <w:t xml:space="preserve"> (BAP),</w:t>
      </w:r>
      <w:r>
        <w:rPr>
          <w:rFonts w:ascii="Arial" w:hAnsi="Arial" w:cs="Arial"/>
          <w:color w:val="7B7B7B" w:themeColor="accent3" w:themeShade="BF"/>
          <w:sz w:val="22"/>
          <w:szCs w:val="22"/>
          <w:lang w:val="en-GB"/>
        </w:rPr>
        <w:t xml:space="preserve"> however, pursuant to 28 USC §158(b).</w:t>
      </w:r>
      <w:r w:rsidR="000B6905">
        <w:rPr>
          <w:rFonts w:ascii="Arial" w:hAnsi="Arial" w:cs="Arial"/>
          <w:color w:val="7B7B7B" w:themeColor="accent3" w:themeShade="BF"/>
          <w:sz w:val="22"/>
          <w:szCs w:val="22"/>
          <w:lang w:val="en-GB"/>
        </w:rPr>
        <w:t xml:space="preserve">  As a result, direct appeals from bankruptcy court orders in those circuits will be heard by the relevant BAP and not by the district court.  </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2565C4F7" w14:textId="75438D65" w:rsidR="006A4904" w:rsidRDefault="00B131F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Delaware, directors owe fiduciary dut</w:t>
      </w:r>
      <w:r w:rsidR="00047FDC">
        <w:rPr>
          <w:rFonts w:ascii="Arial" w:hAnsi="Arial" w:cs="Arial"/>
          <w:color w:val="7B7B7B" w:themeColor="accent3" w:themeShade="BF"/>
          <w:sz w:val="22"/>
          <w:szCs w:val="22"/>
          <w:lang w:val="en-GB"/>
        </w:rPr>
        <w:t>ies of care and loyalty</w:t>
      </w:r>
      <w:r>
        <w:rPr>
          <w:rFonts w:ascii="Arial" w:hAnsi="Arial" w:cs="Arial"/>
          <w:color w:val="7B7B7B" w:themeColor="accent3" w:themeShade="BF"/>
          <w:sz w:val="22"/>
          <w:szCs w:val="22"/>
          <w:lang w:val="en-GB"/>
        </w:rPr>
        <w:t xml:space="preserve"> (from the Latin </w:t>
      </w:r>
      <w:r>
        <w:rPr>
          <w:rFonts w:ascii="Arial" w:hAnsi="Arial" w:cs="Arial"/>
          <w:i/>
          <w:iCs/>
          <w:color w:val="7B7B7B" w:themeColor="accent3" w:themeShade="BF"/>
          <w:sz w:val="22"/>
          <w:szCs w:val="22"/>
          <w:lang w:val="en-GB"/>
        </w:rPr>
        <w:t>fiduciarius</w:t>
      </w:r>
      <w:r>
        <w:rPr>
          <w:rFonts w:ascii="Arial" w:hAnsi="Arial" w:cs="Arial"/>
          <w:color w:val="7B7B7B" w:themeColor="accent3" w:themeShade="BF"/>
          <w:sz w:val="22"/>
          <w:szCs w:val="22"/>
          <w:lang w:val="en-GB"/>
        </w:rPr>
        <w:t>, meaning in trust or entrusted)</w:t>
      </w:r>
      <w:r w:rsidR="00A8180E">
        <w:rPr>
          <w:rFonts w:ascii="Arial" w:hAnsi="Arial" w:cs="Arial"/>
          <w:color w:val="7B7B7B" w:themeColor="accent3" w:themeShade="BF"/>
          <w:sz w:val="22"/>
          <w:szCs w:val="22"/>
          <w:lang w:val="en-GB"/>
        </w:rPr>
        <w:t xml:space="preserve">.  The essence of </w:t>
      </w:r>
      <w:r w:rsidR="00047FDC">
        <w:rPr>
          <w:rFonts w:ascii="Arial" w:hAnsi="Arial" w:cs="Arial"/>
          <w:color w:val="7B7B7B" w:themeColor="accent3" w:themeShade="BF"/>
          <w:sz w:val="22"/>
          <w:szCs w:val="22"/>
          <w:lang w:val="en-GB"/>
        </w:rPr>
        <w:t>a</w:t>
      </w:r>
      <w:r w:rsidR="00A8180E">
        <w:rPr>
          <w:rFonts w:ascii="Arial" w:hAnsi="Arial" w:cs="Arial"/>
          <w:color w:val="7B7B7B" w:themeColor="accent3" w:themeShade="BF"/>
          <w:sz w:val="22"/>
          <w:szCs w:val="22"/>
          <w:lang w:val="en-GB"/>
        </w:rPr>
        <w:t xml:space="preserve"> fiduciary obligation is that the director gives his full loyalty to the </w:t>
      </w:r>
      <w:r w:rsidR="00047FDC">
        <w:rPr>
          <w:rFonts w:ascii="Arial" w:hAnsi="Arial" w:cs="Arial"/>
          <w:color w:val="7B7B7B" w:themeColor="accent3" w:themeShade="BF"/>
          <w:sz w:val="22"/>
          <w:szCs w:val="22"/>
          <w:lang w:val="en-GB"/>
        </w:rPr>
        <w:t>corporation</w:t>
      </w:r>
      <w:r w:rsidR="00A8180E">
        <w:rPr>
          <w:rFonts w:ascii="Arial" w:hAnsi="Arial" w:cs="Arial"/>
          <w:color w:val="7B7B7B" w:themeColor="accent3" w:themeShade="BF"/>
          <w:sz w:val="22"/>
          <w:szCs w:val="22"/>
          <w:lang w:val="en-GB"/>
        </w:rPr>
        <w:t xml:space="preserve"> </w:t>
      </w:r>
      <w:r w:rsidR="00047FDC">
        <w:rPr>
          <w:rFonts w:ascii="Arial" w:hAnsi="Arial" w:cs="Arial"/>
          <w:color w:val="7B7B7B" w:themeColor="accent3" w:themeShade="BF"/>
          <w:sz w:val="22"/>
          <w:szCs w:val="22"/>
          <w:lang w:val="en-GB"/>
        </w:rPr>
        <w:t>and acts in the corporation’s best interests</w:t>
      </w:r>
      <w:r w:rsidR="006A4904">
        <w:rPr>
          <w:rFonts w:ascii="Arial" w:hAnsi="Arial" w:cs="Arial"/>
          <w:color w:val="7B7B7B" w:themeColor="accent3" w:themeShade="BF"/>
          <w:sz w:val="22"/>
          <w:szCs w:val="22"/>
          <w:lang w:val="en-GB"/>
        </w:rPr>
        <w:t xml:space="preserve"> (above</w:t>
      </w:r>
      <w:r w:rsidR="00A8180E">
        <w:rPr>
          <w:rFonts w:ascii="Arial" w:hAnsi="Arial" w:cs="Arial"/>
          <w:color w:val="7B7B7B" w:themeColor="accent3" w:themeShade="BF"/>
          <w:sz w:val="22"/>
          <w:szCs w:val="22"/>
          <w:lang w:val="en-GB"/>
        </w:rPr>
        <w:t xml:space="preserve"> his own </w:t>
      </w:r>
      <w:r w:rsidR="00A8180E">
        <w:rPr>
          <w:rFonts w:ascii="Arial" w:hAnsi="Arial" w:cs="Arial"/>
          <w:color w:val="7B7B7B" w:themeColor="accent3" w:themeShade="BF"/>
          <w:sz w:val="22"/>
          <w:szCs w:val="22"/>
          <w:lang w:val="en-GB"/>
        </w:rPr>
        <w:lastRenderedPageBreak/>
        <w:t>interests and those of any other person</w:t>
      </w:r>
      <w:r w:rsidR="006A4904">
        <w:rPr>
          <w:rFonts w:ascii="Arial" w:hAnsi="Arial" w:cs="Arial"/>
          <w:color w:val="7B7B7B" w:themeColor="accent3" w:themeShade="BF"/>
          <w:sz w:val="22"/>
          <w:szCs w:val="22"/>
          <w:lang w:val="en-GB"/>
        </w:rPr>
        <w:t>)</w:t>
      </w:r>
      <w:r w:rsidR="00A8180E">
        <w:rPr>
          <w:rFonts w:ascii="Arial" w:hAnsi="Arial" w:cs="Arial"/>
          <w:color w:val="7B7B7B" w:themeColor="accent3" w:themeShade="BF"/>
          <w:sz w:val="22"/>
          <w:szCs w:val="22"/>
          <w:lang w:val="en-GB"/>
        </w:rPr>
        <w:t xml:space="preserve">.  </w:t>
      </w:r>
      <w:r w:rsidR="00047FDC">
        <w:rPr>
          <w:rFonts w:ascii="Arial" w:hAnsi="Arial" w:cs="Arial"/>
          <w:color w:val="7B7B7B" w:themeColor="accent3" w:themeShade="BF"/>
          <w:sz w:val="22"/>
          <w:szCs w:val="22"/>
          <w:lang w:val="en-GB"/>
        </w:rPr>
        <w:t xml:space="preserve">The overarching duties of care and loyalty give rise to a range of subsidiary duties, including duties of good faith, oversight and disclosure.  </w:t>
      </w:r>
    </w:p>
    <w:p w14:paraId="1CA62B5A" w14:textId="77777777" w:rsidR="006A4904" w:rsidRDefault="006A4904" w:rsidP="005B2A9B">
      <w:pPr>
        <w:jc w:val="both"/>
        <w:rPr>
          <w:rFonts w:ascii="Arial" w:hAnsi="Arial" w:cs="Arial"/>
          <w:color w:val="7B7B7B" w:themeColor="accent3" w:themeShade="BF"/>
          <w:sz w:val="22"/>
          <w:szCs w:val="22"/>
          <w:lang w:val="en-GB"/>
        </w:rPr>
      </w:pPr>
    </w:p>
    <w:p w14:paraId="0A3CA678" w14:textId="3310328F" w:rsidR="00735579" w:rsidRDefault="00047FD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duty of care requires informed, deliberative decision-making taking into account all material information which is reasonably available to the director.  The duty of loyalty requires independent and dis</w:t>
      </w:r>
      <w:r w:rsidR="006220B5">
        <w:rPr>
          <w:rFonts w:ascii="Arial" w:hAnsi="Arial" w:cs="Arial"/>
          <w:color w:val="7B7B7B" w:themeColor="accent3" w:themeShade="BF"/>
          <w:sz w:val="22"/>
          <w:szCs w:val="22"/>
          <w:lang w:val="en-GB"/>
        </w:rPr>
        <w:t>interested action (i.e. free of any conflict of interest, except</w:t>
      </w:r>
      <w:r w:rsidR="000D0008">
        <w:rPr>
          <w:rFonts w:ascii="Arial" w:hAnsi="Arial" w:cs="Arial"/>
          <w:color w:val="7B7B7B" w:themeColor="accent3" w:themeShade="BF"/>
          <w:sz w:val="22"/>
          <w:szCs w:val="22"/>
          <w:lang w:val="en-GB"/>
        </w:rPr>
        <w:t xml:space="preserve"> a</w:t>
      </w:r>
      <w:r w:rsidR="006220B5">
        <w:rPr>
          <w:rFonts w:ascii="Arial" w:hAnsi="Arial" w:cs="Arial"/>
          <w:color w:val="7B7B7B" w:themeColor="accent3" w:themeShade="BF"/>
          <w:sz w:val="22"/>
          <w:szCs w:val="22"/>
          <w:lang w:val="en-GB"/>
        </w:rPr>
        <w:t xml:space="preserve"> possible benefit as a shareholder)</w:t>
      </w:r>
      <w:r w:rsidR="000D000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in good faith, with an honest belief that the action is in the best interests of the corporation and its shareholders. </w:t>
      </w:r>
    </w:p>
    <w:p w14:paraId="16DF6FC6" w14:textId="14CFB46E" w:rsidR="006220B5" w:rsidRDefault="006220B5" w:rsidP="005B2A9B">
      <w:pPr>
        <w:jc w:val="both"/>
        <w:rPr>
          <w:rFonts w:ascii="Arial" w:hAnsi="Arial" w:cs="Arial"/>
          <w:color w:val="7B7B7B" w:themeColor="accent3" w:themeShade="BF"/>
          <w:sz w:val="22"/>
          <w:szCs w:val="22"/>
          <w:lang w:val="en-GB"/>
        </w:rPr>
      </w:pPr>
    </w:p>
    <w:p w14:paraId="7F49ADF5" w14:textId="0D3BB349" w:rsidR="006220B5" w:rsidRDefault="006220B5" w:rsidP="007710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Directors in Delaware</w:t>
      </w:r>
      <w:r w:rsidR="006A436C">
        <w:rPr>
          <w:rFonts w:ascii="Arial" w:hAnsi="Arial" w:cs="Arial"/>
          <w:color w:val="7B7B7B" w:themeColor="accent3" w:themeShade="BF"/>
          <w:sz w:val="22"/>
          <w:szCs w:val="22"/>
          <w:lang w:val="en-GB"/>
        </w:rPr>
        <w:t xml:space="preserve"> generally</w:t>
      </w:r>
      <w:r>
        <w:rPr>
          <w:rFonts w:ascii="Arial" w:hAnsi="Arial" w:cs="Arial"/>
          <w:color w:val="7B7B7B" w:themeColor="accent3" w:themeShade="BF"/>
          <w:sz w:val="22"/>
          <w:szCs w:val="22"/>
          <w:lang w:val="en-GB"/>
        </w:rPr>
        <w:t xml:space="preserve"> enjoy the protection of the Business Judgment Rule (BJR), which is a rebuttable presumption that, in making any decision, a director has complied with his or her fiduciary duties.  The burden is on the plaintiff to </w:t>
      </w:r>
      <w:r w:rsidR="006A436C">
        <w:rPr>
          <w:rFonts w:ascii="Arial" w:hAnsi="Arial" w:cs="Arial"/>
          <w:color w:val="7B7B7B" w:themeColor="accent3" w:themeShade="BF"/>
          <w:sz w:val="22"/>
          <w:szCs w:val="22"/>
          <w:lang w:val="en-GB"/>
        </w:rPr>
        <w:t xml:space="preserve">rebut the presumption by showing that </w:t>
      </w:r>
      <w:r>
        <w:rPr>
          <w:rFonts w:ascii="Arial" w:hAnsi="Arial" w:cs="Arial"/>
          <w:color w:val="7B7B7B" w:themeColor="accent3" w:themeShade="BF"/>
          <w:sz w:val="22"/>
          <w:szCs w:val="22"/>
          <w:lang w:val="en-GB"/>
        </w:rPr>
        <w:t xml:space="preserve">the director was not </w:t>
      </w:r>
      <w:r w:rsidR="006A436C">
        <w:rPr>
          <w:rFonts w:ascii="Arial" w:hAnsi="Arial" w:cs="Arial"/>
          <w:color w:val="7B7B7B" w:themeColor="accent3" w:themeShade="BF"/>
          <w:sz w:val="22"/>
          <w:szCs w:val="22"/>
          <w:lang w:val="en-GB"/>
        </w:rPr>
        <w:t>reasonably</w:t>
      </w:r>
      <w:r>
        <w:rPr>
          <w:rFonts w:ascii="Arial" w:hAnsi="Arial" w:cs="Arial"/>
          <w:color w:val="7B7B7B" w:themeColor="accent3" w:themeShade="BF"/>
          <w:sz w:val="22"/>
          <w:szCs w:val="22"/>
          <w:lang w:val="en-GB"/>
        </w:rPr>
        <w:t xml:space="preserve"> informed, </w:t>
      </w:r>
      <w:r w:rsidR="00C56BBC">
        <w:rPr>
          <w:rFonts w:ascii="Arial" w:hAnsi="Arial" w:cs="Arial"/>
          <w:color w:val="7B7B7B" w:themeColor="accent3" w:themeShade="BF"/>
          <w:sz w:val="22"/>
          <w:szCs w:val="22"/>
          <w:lang w:val="en-GB"/>
        </w:rPr>
        <w:t xml:space="preserve">or </w:t>
      </w:r>
      <w:r w:rsidR="006A436C">
        <w:rPr>
          <w:rFonts w:ascii="Arial" w:hAnsi="Arial" w:cs="Arial"/>
          <w:color w:val="7B7B7B" w:themeColor="accent3" w:themeShade="BF"/>
          <w:sz w:val="22"/>
          <w:szCs w:val="22"/>
          <w:lang w:val="en-GB"/>
        </w:rPr>
        <w:t xml:space="preserve">had no honest belief that he or she was acting in the corporation’s best interests, or </w:t>
      </w:r>
      <w:r>
        <w:rPr>
          <w:rFonts w:ascii="Arial" w:hAnsi="Arial" w:cs="Arial"/>
          <w:color w:val="7B7B7B" w:themeColor="accent3" w:themeShade="BF"/>
          <w:sz w:val="22"/>
          <w:szCs w:val="22"/>
          <w:lang w:val="en-GB"/>
        </w:rPr>
        <w:t xml:space="preserve">acted in bad faith </w:t>
      </w:r>
      <w:r w:rsidR="00C56BBC">
        <w:rPr>
          <w:rFonts w:ascii="Arial" w:hAnsi="Arial" w:cs="Arial"/>
          <w:color w:val="7B7B7B" w:themeColor="accent3" w:themeShade="BF"/>
          <w:sz w:val="22"/>
          <w:szCs w:val="22"/>
          <w:lang w:val="en-GB"/>
        </w:rPr>
        <w:t>(</w:t>
      </w:r>
      <w:r w:rsidR="006A436C">
        <w:rPr>
          <w:rFonts w:ascii="Arial" w:hAnsi="Arial" w:cs="Arial"/>
          <w:color w:val="7B7B7B" w:themeColor="accent3" w:themeShade="BF"/>
          <w:sz w:val="22"/>
          <w:szCs w:val="22"/>
          <w:lang w:val="en-GB"/>
        </w:rPr>
        <w:t xml:space="preserve">e.g. </w:t>
      </w:r>
      <w:r>
        <w:rPr>
          <w:rFonts w:ascii="Arial" w:hAnsi="Arial" w:cs="Arial"/>
          <w:color w:val="7B7B7B" w:themeColor="accent3" w:themeShade="BF"/>
          <w:sz w:val="22"/>
          <w:szCs w:val="22"/>
          <w:lang w:val="en-GB"/>
        </w:rPr>
        <w:t>by consciously disregarding a known duty</w:t>
      </w:r>
      <w:r w:rsidR="00C56BB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6A436C">
        <w:rPr>
          <w:rFonts w:ascii="Arial" w:hAnsi="Arial" w:cs="Arial"/>
          <w:color w:val="7B7B7B" w:themeColor="accent3" w:themeShade="BF"/>
          <w:sz w:val="22"/>
          <w:szCs w:val="22"/>
          <w:lang w:val="en-GB"/>
        </w:rPr>
        <w:t xml:space="preserve"> Absent the plaintiff successfully rebutting the BJR presumption, a director will not be liable unless he or she is shown to have been grossly negligent.</w:t>
      </w:r>
      <w:r w:rsidR="00771080">
        <w:rPr>
          <w:rFonts w:ascii="Arial" w:hAnsi="Arial" w:cs="Arial"/>
          <w:color w:val="7B7B7B" w:themeColor="accent3" w:themeShade="BF"/>
          <w:sz w:val="22"/>
          <w:szCs w:val="22"/>
          <w:lang w:val="en-GB"/>
        </w:rPr>
        <w:t xml:space="preserve">  </w:t>
      </w:r>
      <w:r w:rsidR="00771080" w:rsidRPr="00771080">
        <w:rPr>
          <w:rFonts w:ascii="Arial" w:hAnsi="Arial" w:cs="Arial"/>
          <w:color w:val="7B7B7B" w:themeColor="accent3" w:themeShade="BF"/>
          <w:sz w:val="22"/>
          <w:szCs w:val="22"/>
          <w:lang w:val="en-GB"/>
        </w:rPr>
        <w:t xml:space="preserve">In certain circumstances, more rigorous standards </w:t>
      </w:r>
      <w:r w:rsidR="00CF2866">
        <w:rPr>
          <w:rFonts w:ascii="Arial" w:hAnsi="Arial" w:cs="Arial"/>
          <w:color w:val="7B7B7B" w:themeColor="accent3" w:themeShade="BF"/>
          <w:sz w:val="22"/>
          <w:szCs w:val="22"/>
          <w:lang w:val="en-GB"/>
        </w:rPr>
        <w:t xml:space="preserve">of </w:t>
      </w:r>
      <w:r w:rsidR="00CF2866" w:rsidRPr="00771080">
        <w:rPr>
          <w:rFonts w:ascii="Arial" w:hAnsi="Arial" w:cs="Arial"/>
          <w:color w:val="7B7B7B" w:themeColor="accent3" w:themeShade="BF"/>
          <w:sz w:val="22"/>
          <w:szCs w:val="22"/>
          <w:lang w:val="en-GB"/>
        </w:rPr>
        <w:t>enhanced scrutiny</w:t>
      </w:r>
      <w:r w:rsidR="00CF2866">
        <w:rPr>
          <w:rFonts w:ascii="Arial" w:hAnsi="Arial" w:cs="Arial"/>
          <w:color w:val="7B7B7B" w:themeColor="accent3" w:themeShade="BF"/>
          <w:sz w:val="22"/>
          <w:szCs w:val="22"/>
          <w:lang w:val="en-GB"/>
        </w:rPr>
        <w:t xml:space="preserve">, compelling justification or entire fairness </w:t>
      </w:r>
      <w:r w:rsidR="00771080" w:rsidRPr="00771080">
        <w:rPr>
          <w:rFonts w:ascii="Arial" w:hAnsi="Arial" w:cs="Arial"/>
          <w:color w:val="7B7B7B" w:themeColor="accent3" w:themeShade="BF"/>
          <w:sz w:val="22"/>
          <w:szCs w:val="22"/>
          <w:lang w:val="en-GB"/>
        </w:rPr>
        <w:t>may have to be</w:t>
      </w:r>
      <w:r w:rsidR="00771080">
        <w:rPr>
          <w:rFonts w:ascii="Arial" w:hAnsi="Arial" w:cs="Arial"/>
          <w:color w:val="7B7B7B" w:themeColor="accent3" w:themeShade="BF"/>
          <w:sz w:val="22"/>
          <w:szCs w:val="22"/>
          <w:lang w:val="en-GB"/>
        </w:rPr>
        <w:t xml:space="preserve"> </w:t>
      </w:r>
      <w:r w:rsidR="00771080" w:rsidRPr="00771080">
        <w:rPr>
          <w:rFonts w:ascii="Arial" w:hAnsi="Arial" w:cs="Arial"/>
          <w:color w:val="7B7B7B" w:themeColor="accent3" w:themeShade="BF"/>
          <w:sz w:val="22"/>
          <w:szCs w:val="22"/>
          <w:lang w:val="en-GB"/>
        </w:rPr>
        <w:t>satisfied by directors to avoid a breach of duty or liability.</w:t>
      </w:r>
    </w:p>
    <w:p w14:paraId="2C8C91B3" w14:textId="77777777" w:rsidR="00B131F5" w:rsidRDefault="00B131F5" w:rsidP="005B2A9B">
      <w:pPr>
        <w:jc w:val="both"/>
        <w:rPr>
          <w:rFonts w:ascii="Arial" w:hAnsi="Arial" w:cs="Arial"/>
          <w:color w:val="7B7B7B" w:themeColor="accent3" w:themeShade="BF"/>
          <w:sz w:val="22"/>
          <w:szCs w:val="22"/>
          <w:lang w:val="en-GB"/>
        </w:rPr>
      </w:pPr>
    </w:p>
    <w:p w14:paraId="19935379" w14:textId="1F45A05C" w:rsidR="005B2A9B" w:rsidRPr="00FF5098" w:rsidRDefault="00A8180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Both in the ordinary course of business and when the company is potentially or actually insolvent</w:t>
      </w:r>
      <w:r w:rsidR="007D0EC4">
        <w:rPr>
          <w:rFonts w:ascii="Arial" w:hAnsi="Arial" w:cs="Arial"/>
          <w:color w:val="7B7B7B" w:themeColor="accent3" w:themeShade="BF"/>
          <w:sz w:val="22"/>
          <w:szCs w:val="22"/>
          <w:lang w:val="en-GB"/>
        </w:rPr>
        <w:t>, directors in Delaware owe their fiduciary duties to the company and its shareholders</w:t>
      </w:r>
      <w:r>
        <w:rPr>
          <w:rFonts w:ascii="Arial" w:hAnsi="Arial" w:cs="Arial"/>
          <w:color w:val="7B7B7B" w:themeColor="accent3" w:themeShade="BF"/>
          <w:sz w:val="22"/>
          <w:szCs w:val="22"/>
          <w:lang w:val="en-GB"/>
        </w:rPr>
        <w:t>.  This stands in contrast to some other common law jurisdictions</w:t>
      </w:r>
      <w:r w:rsidR="007D0EC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which have found that directors’ fiduciary duties to shareholders end with the onset of insolvency, on the basis that</w:t>
      </w:r>
      <w:r w:rsidR="007D0EC4">
        <w:rPr>
          <w:rFonts w:ascii="Arial" w:hAnsi="Arial" w:cs="Arial"/>
          <w:color w:val="7B7B7B" w:themeColor="accent3" w:themeShade="BF"/>
          <w:sz w:val="22"/>
          <w:szCs w:val="22"/>
          <w:lang w:val="en-GB"/>
        </w:rPr>
        <w:t xml:space="preserve"> the shareholders no </w:t>
      </w:r>
      <w:r>
        <w:rPr>
          <w:rFonts w:ascii="Arial" w:hAnsi="Arial" w:cs="Arial"/>
          <w:color w:val="7B7B7B" w:themeColor="accent3" w:themeShade="BF"/>
          <w:sz w:val="22"/>
          <w:szCs w:val="22"/>
          <w:lang w:val="en-GB"/>
        </w:rPr>
        <w:t xml:space="preserve">longer have any </w:t>
      </w:r>
      <w:r w:rsidR="007D0EC4">
        <w:rPr>
          <w:rFonts w:ascii="Arial" w:hAnsi="Arial" w:cs="Arial"/>
          <w:color w:val="7B7B7B" w:themeColor="accent3" w:themeShade="BF"/>
          <w:sz w:val="22"/>
          <w:szCs w:val="22"/>
          <w:lang w:val="en-GB"/>
        </w:rPr>
        <w:t>real economic interest in the affairs of the company</w:t>
      </w:r>
      <w:r>
        <w:rPr>
          <w:rFonts w:ascii="Arial" w:hAnsi="Arial" w:cs="Arial"/>
          <w:color w:val="7B7B7B" w:themeColor="accent3" w:themeShade="BF"/>
          <w:sz w:val="22"/>
          <w:szCs w:val="22"/>
          <w:lang w:val="en-GB"/>
        </w:rPr>
        <w:t xml:space="preserve"> after that point</w:t>
      </w:r>
      <w:r w:rsidR="007D0EC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It should be stressed that d</w:t>
      </w:r>
      <w:r w:rsidR="007D0EC4">
        <w:rPr>
          <w:rFonts w:ascii="Arial" w:hAnsi="Arial" w:cs="Arial"/>
          <w:color w:val="7B7B7B" w:themeColor="accent3" w:themeShade="BF"/>
          <w:sz w:val="22"/>
          <w:szCs w:val="22"/>
          <w:lang w:val="en-GB"/>
        </w:rPr>
        <w:t>irectors in Delaware owe no fiduciary duties to creditors</w:t>
      </w:r>
      <w:r>
        <w:rPr>
          <w:rFonts w:ascii="Arial" w:hAnsi="Arial" w:cs="Arial"/>
          <w:color w:val="7B7B7B" w:themeColor="accent3" w:themeShade="BF"/>
          <w:sz w:val="22"/>
          <w:szCs w:val="22"/>
          <w:lang w:val="en-GB"/>
        </w:rPr>
        <w:t>,</w:t>
      </w:r>
      <w:r w:rsidR="007D0EC4">
        <w:rPr>
          <w:rFonts w:ascii="Arial" w:hAnsi="Arial" w:cs="Arial"/>
          <w:color w:val="7B7B7B" w:themeColor="accent3" w:themeShade="BF"/>
          <w:sz w:val="22"/>
          <w:szCs w:val="22"/>
          <w:lang w:val="en-GB"/>
        </w:rPr>
        <w:t xml:space="preserve"> even “in the zone of insolvency” or </w:t>
      </w:r>
      <w:r>
        <w:rPr>
          <w:rFonts w:ascii="Arial" w:hAnsi="Arial" w:cs="Arial"/>
          <w:color w:val="7B7B7B" w:themeColor="accent3" w:themeShade="BF"/>
          <w:sz w:val="22"/>
          <w:szCs w:val="22"/>
          <w:lang w:val="en-GB"/>
        </w:rPr>
        <w:t xml:space="preserve">upon </w:t>
      </w:r>
      <w:r w:rsidR="007D0EC4">
        <w:rPr>
          <w:rFonts w:ascii="Arial" w:hAnsi="Arial" w:cs="Arial"/>
          <w:color w:val="7B7B7B" w:themeColor="accent3" w:themeShade="BF"/>
          <w:sz w:val="22"/>
          <w:szCs w:val="22"/>
          <w:lang w:val="en-GB"/>
        </w:rPr>
        <w:t>actual insolvency (</w:t>
      </w:r>
      <w:r w:rsidR="007D0EC4">
        <w:rPr>
          <w:rFonts w:ascii="Arial" w:hAnsi="Arial" w:cs="Arial"/>
          <w:i/>
          <w:iCs/>
          <w:color w:val="7B7B7B" w:themeColor="accent3" w:themeShade="BF"/>
          <w:sz w:val="22"/>
          <w:szCs w:val="22"/>
          <w:lang w:val="en-GB"/>
        </w:rPr>
        <w:t>North Am</w:t>
      </w:r>
      <w:r w:rsidR="00B131F5">
        <w:rPr>
          <w:rFonts w:ascii="Arial" w:hAnsi="Arial" w:cs="Arial"/>
          <w:i/>
          <w:iCs/>
          <w:color w:val="7B7B7B" w:themeColor="accent3" w:themeShade="BF"/>
          <w:sz w:val="22"/>
          <w:szCs w:val="22"/>
          <w:lang w:val="en-GB"/>
        </w:rPr>
        <w:t>erican</w:t>
      </w:r>
      <w:r w:rsidR="007D0EC4">
        <w:rPr>
          <w:rFonts w:ascii="Arial" w:hAnsi="Arial" w:cs="Arial"/>
          <w:i/>
          <w:iCs/>
          <w:color w:val="7B7B7B" w:themeColor="accent3" w:themeShade="BF"/>
          <w:sz w:val="22"/>
          <w:szCs w:val="22"/>
          <w:lang w:val="en-GB"/>
        </w:rPr>
        <w:t xml:space="preserve"> Catholic Educational Programming Foundation, Inc v Gheewalla</w:t>
      </w:r>
      <w:r w:rsidR="007D0EC4">
        <w:rPr>
          <w:rFonts w:ascii="Arial" w:hAnsi="Arial" w:cs="Arial"/>
          <w:color w:val="7B7B7B" w:themeColor="accent3" w:themeShade="BF"/>
          <w:sz w:val="22"/>
          <w:szCs w:val="22"/>
          <w:lang w:val="en-GB"/>
        </w:rPr>
        <w:t xml:space="preserve">, </w:t>
      </w:r>
      <w:r w:rsidR="00B64ACA">
        <w:rPr>
          <w:rFonts w:ascii="Arial" w:hAnsi="Arial" w:cs="Arial"/>
          <w:color w:val="7B7B7B" w:themeColor="accent3" w:themeShade="BF"/>
          <w:sz w:val="22"/>
          <w:szCs w:val="22"/>
          <w:lang w:val="en-GB"/>
        </w:rPr>
        <w:t>930 A.2d 92, 103 (Del 2007)</w:t>
      </w:r>
      <w:r w:rsidR="007D0EC4">
        <w:rPr>
          <w:rFonts w:ascii="Arial" w:hAnsi="Arial" w:cs="Arial"/>
          <w:color w:val="7B7B7B" w:themeColor="accent3" w:themeShade="BF"/>
          <w:sz w:val="22"/>
          <w:szCs w:val="22"/>
          <w:lang w:val="en-GB"/>
        </w:rPr>
        <w:t xml:space="preserve">).  </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62CF576F" w14:textId="77777777" w:rsidR="008C12EF" w:rsidRDefault="008C12EF" w:rsidP="005B2A9B">
      <w:pPr>
        <w:jc w:val="both"/>
        <w:rPr>
          <w:rFonts w:ascii="Arial" w:hAnsi="Arial" w:cs="Arial"/>
          <w:color w:val="7B7B7B" w:themeColor="accent3" w:themeShade="BF"/>
          <w:sz w:val="22"/>
          <w:szCs w:val="22"/>
          <w:lang w:val="en-GB"/>
        </w:rPr>
      </w:pPr>
    </w:p>
    <w:p w14:paraId="19E14C84" w14:textId="5B0EAA0B" w:rsidR="00264DF9" w:rsidRPr="003D52BF" w:rsidRDefault="00264DF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English scheme of arrangement is within scope of </w:t>
      </w:r>
      <w:r w:rsidR="008C12EF">
        <w:rPr>
          <w:rFonts w:ascii="Arial" w:hAnsi="Arial" w:cs="Arial"/>
          <w:color w:val="7B7B7B" w:themeColor="accent3" w:themeShade="BF"/>
          <w:sz w:val="22"/>
          <w:szCs w:val="22"/>
          <w:lang w:val="en-GB"/>
        </w:rPr>
        <w:t>“foreign proceeding” as defined by 11 USC, §101(23).  Therefore</w:t>
      </w:r>
      <w:r w:rsidR="001E1FE8">
        <w:rPr>
          <w:rFonts w:ascii="Arial" w:hAnsi="Arial" w:cs="Arial"/>
          <w:color w:val="7B7B7B" w:themeColor="accent3" w:themeShade="BF"/>
          <w:sz w:val="22"/>
          <w:szCs w:val="22"/>
          <w:lang w:val="en-GB"/>
        </w:rPr>
        <w:t>,</w:t>
      </w:r>
      <w:r w:rsidR="008C12EF">
        <w:rPr>
          <w:rFonts w:ascii="Arial" w:hAnsi="Arial" w:cs="Arial"/>
          <w:color w:val="7B7B7B" w:themeColor="accent3" w:themeShade="BF"/>
          <w:sz w:val="22"/>
          <w:szCs w:val="22"/>
          <w:lang w:val="en-GB"/>
        </w:rPr>
        <w:t xml:space="preserve"> the central question in this case is whether the English scheme constitutes “main” or “non-main” foreign proceedings. </w:t>
      </w:r>
      <w:r>
        <w:rPr>
          <w:rFonts w:ascii="Arial" w:hAnsi="Arial" w:cs="Arial"/>
          <w:color w:val="7B7B7B" w:themeColor="accent3" w:themeShade="BF"/>
          <w:sz w:val="22"/>
          <w:szCs w:val="22"/>
          <w:lang w:val="en-GB"/>
        </w:rPr>
        <w:t xml:space="preserve"> </w:t>
      </w:r>
      <w:r w:rsidR="008C12EF">
        <w:rPr>
          <w:rFonts w:ascii="Arial" w:hAnsi="Arial" w:cs="Arial"/>
          <w:color w:val="7B7B7B" w:themeColor="accent3" w:themeShade="BF"/>
          <w:sz w:val="22"/>
          <w:szCs w:val="22"/>
          <w:lang w:val="en-GB"/>
        </w:rPr>
        <w:t>These concepts are defined at 11 USC, §1502(4)-(5).  In summary, a main proceeding is one in a jurisdiction where the debtor has its center of main interests (COMI) and a non-main proceeding is one in a jurisdiction where the debtor has an establishment.  If the debtor has</w:t>
      </w:r>
      <w:r w:rsidR="008C12EF" w:rsidRPr="008C12EF">
        <w:rPr>
          <w:rFonts w:ascii="Arial" w:hAnsi="Arial" w:cs="Arial"/>
          <w:color w:val="7B7B7B" w:themeColor="accent3" w:themeShade="BF"/>
          <w:sz w:val="22"/>
          <w:szCs w:val="22"/>
          <w:lang w:val="en-GB"/>
        </w:rPr>
        <w:t xml:space="preserve"> </w:t>
      </w:r>
      <w:r w:rsidR="008C12EF">
        <w:rPr>
          <w:rFonts w:ascii="Arial" w:hAnsi="Arial" w:cs="Arial"/>
          <w:color w:val="7B7B7B" w:themeColor="accent3" w:themeShade="BF"/>
          <w:sz w:val="22"/>
          <w:szCs w:val="22"/>
          <w:lang w:val="en-GB"/>
        </w:rPr>
        <w:t xml:space="preserve">neither its COMI nor an establishment in the jurisdiction of the foreign proceeding, </w:t>
      </w:r>
      <w:r w:rsidR="003D52BF">
        <w:rPr>
          <w:rFonts w:ascii="Arial" w:hAnsi="Arial" w:cs="Arial"/>
          <w:color w:val="7B7B7B" w:themeColor="accent3" w:themeShade="BF"/>
          <w:sz w:val="22"/>
          <w:szCs w:val="22"/>
          <w:lang w:val="en-GB"/>
        </w:rPr>
        <w:t xml:space="preserve">recognition will not be granted under Chapter 15 (see e.g. </w:t>
      </w:r>
      <w:r w:rsidR="003D52BF">
        <w:rPr>
          <w:rFonts w:ascii="Arial" w:hAnsi="Arial" w:cs="Arial"/>
          <w:i/>
          <w:iCs/>
          <w:color w:val="7B7B7B" w:themeColor="accent3" w:themeShade="BF"/>
          <w:sz w:val="22"/>
          <w:szCs w:val="22"/>
          <w:lang w:val="en-GB"/>
        </w:rPr>
        <w:t xml:space="preserve">In re Bear Sterns High-Grade Structured Credit Strategies Master Fund </w:t>
      </w:r>
      <w:r w:rsidR="003D52BF">
        <w:rPr>
          <w:rFonts w:ascii="Arial" w:hAnsi="Arial" w:cs="Arial"/>
          <w:color w:val="7B7B7B" w:themeColor="accent3" w:themeShade="BF"/>
          <w:sz w:val="22"/>
          <w:szCs w:val="22"/>
          <w:lang w:val="en-GB"/>
        </w:rPr>
        <w:t>374 BR 122 (Bankr SDNY 2007)</w:t>
      </w:r>
      <w:r w:rsidR="00371125">
        <w:rPr>
          <w:rFonts w:ascii="Arial" w:hAnsi="Arial" w:cs="Arial"/>
          <w:color w:val="7B7B7B" w:themeColor="accent3" w:themeShade="BF"/>
          <w:sz w:val="22"/>
          <w:szCs w:val="22"/>
          <w:lang w:val="en-GB"/>
        </w:rPr>
        <w:t>)</w:t>
      </w:r>
      <w:r w:rsidR="003D52BF">
        <w:rPr>
          <w:rFonts w:ascii="Arial" w:hAnsi="Arial" w:cs="Arial"/>
          <w:color w:val="7B7B7B" w:themeColor="accent3" w:themeShade="BF"/>
          <w:sz w:val="22"/>
          <w:szCs w:val="22"/>
          <w:lang w:val="en-GB"/>
        </w:rPr>
        <w:t>.</w:t>
      </w:r>
    </w:p>
    <w:p w14:paraId="2F02CE72" w14:textId="19B6A7BC" w:rsidR="00264DF9" w:rsidRDefault="00264DF9" w:rsidP="005B2A9B">
      <w:pPr>
        <w:jc w:val="both"/>
        <w:rPr>
          <w:rFonts w:ascii="Arial" w:hAnsi="Arial" w:cs="Arial"/>
          <w:color w:val="7B7B7B" w:themeColor="accent3" w:themeShade="BF"/>
          <w:sz w:val="22"/>
          <w:szCs w:val="22"/>
          <w:lang w:val="en-GB"/>
        </w:rPr>
      </w:pPr>
    </w:p>
    <w:p w14:paraId="395D39CF" w14:textId="5FCF8469" w:rsidR="00505DB2" w:rsidRDefault="00505DB2" w:rsidP="00505D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concept of COMI is derived from European Union law and is not a US notion.  It has been imported directly from the UNCITRAL Model Law on Cross-Border Insolvency 1997 (Article 2(b)).  </w:t>
      </w:r>
      <w:r w:rsidR="004714B1">
        <w:rPr>
          <w:rFonts w:ascii="Arial" w:hAnsi="Arial" w:cs="Arial"/>
          <w:color w:val="7B7B7B" w:themeColor="accent3" w:themeShade="BF"/>
          <w:sz w:val="22"/>
          <w:szCs w:val="22"/>
          <w:lang w:val="en-GB"/>
        </w:rPr>
        <w:t xml:space="preserve">COMI is to be determined at the date of the filing of the US recognition petition, not the </w:t>
      </w:r>
      <w:r w:rsidR="004714B1">
        <w:rPr>
          <w:rFonts w:ascii="Arial" w:hAnsi="Arial" w:cs="Arial"/>
          <w:color w:val="7B7B7B" w:themeColor="accent3" w:themeShade="BF"/>
          <w:sz w:val="22"/>
          <w:szCs w:val="22"/>
          <w:lang w:val="en-GB"/>
        </w:rPr>
        <w:lastRenderedPageBreak/>
        <w:t xml:space="preserve">commencement of the foreign proceedings which are the subject of the petition.  </w:t>
      </w:r>
      <w:r w:rsidR="00882B94">
        <w:rPr>
          <w:rFonts w:ascii="Arial" w:hAnsi="Arial" w:cs="Arial"/>
          <w:color w:val="7B7B7B" w:themeColor="accent3" w:themeShade="BF"/>
          <w:sz w:val="22"/>
          <w:szCs w:val="22"/>
          <w:lang w:val="en-GB"/>
        </w:rPr>
        <w:t>11 USC, §</w:t>
      </w:r>
      <w:r w:rsidR="004714B1">
        <w:rPr>
          <w:rFonts w:ascii="Arial" w:hAnsi="Arial" w:cs="Arial"/>
          <w:color w:val="7B7B7B" w:themeColor="accent3" w:themeShade="BF"/>
          <w:sz w:val="22"/>
          <w:szCs w:val="22"/>
          <w:lang w:val="en-GB"/>
        </w:rPr>
        <w:t>1516(c)</w:t>
      </w:r>
      <w:r w:rsidR="00882B94">
        <w:rPr>
          <w:rFonts w:ascii="Arial" w:hAnsi="Arial" w:cs="Arial"/>
          <w:color w:val="7B7B7B" w:themeColor="accent3" w:themeShade="BF"/>
          <w:sz w:val="22"/>
          <w:szCs w:val="22"/>
          <w:lang w:val="en-GB"/>
        </w:rPr>
        <w:t xml:space="preserve"> creates a presumption that the place of incorporation is the COMI, but that is </w:t>
      </w:r>
      <w:r w:rsidR="004714B1">
        <w:rPr>
          <w:rFonts w:ascii="Arial" w:hAnsi="Arial" w:cs="Arial"/>
          <w:color w:val="7B7B7B" w:themeColor="accent3" w:themeShade="BF"/>
          <w:sz w:val="22"/>
          <w:szCs w:val="22"/>
          <w:lang w:val="en-GB"/>
        </w:rPr>
        <w:t xml:space="preserve">expressed to be </w:t>
      </w:r>
      <w:r w:rsidR="00882B94">
        <w:rPr>
          <w:rFonts w:ascii="Arial" w:hAnsi="Arial" w:cs="Arial"/>
          <w:color w:val="7B7B7B" w:themeColor="accent3" w:themeShade="BF"/>
          <w:sz w:val="22"/>
          <w:szCs w:val="22"/>
          <w:lang w:val="en-GB"/>
        </w:rPr>
        <w:t>rebuttable</w:t>
      </w:r>
      <w:r w:rsidR="004714B1">
        <w:rPr>
          <w:rFonts w:ascii="Arial" w:hAnsi="Arial" w:cs="Arial"/>
          <w:color w:val="7B7B7B" w:themeColor="accent3" w:themeShade="BF"/>
          <w:sz w:val="22"/>
          <w:szCs w:val="22"/>
          <w:lang w:val="en-GB"/>
        </w:rPr>
        <w:t xml:space="preserve"> (“In the absence of evidence to the contrary…”)</w:t>
      </w:r>
      <w:r w:rsidR="00882B94">
        <w:rPr>
          <w:rFonts w:ascii="Arial" w:hAnsi="Arial" w:cs="Arial"/>
          <w:color w:val="7B7B7B" w:themeColor="accent3" w:themeShade="BF"/>
          <w:sz w:val="22"/>
          <w:szCs w:val="22"/>
          <w:lang w:val="en-GB"/>
        </w:rPr>
        <w:t xml:space="preserve">.  </w:t>
      </w:r>
      <w:r w:rsidR="004714B1">
        <w:rPr>
          <w:rFonts w:ascii="Arial" w:hAnsi="Arial" w:cs="Arial"/>
          <w:color w:val="7B7B7B" w:themeColor="accent3" w:themeShade="BF"/>
          <w:sz w:val="22"/>
          <w:szCs w:val="22"/>
          <w:lang w:val="en-GB"/>
        </w:rPr>
        <w:t>T</w:t>
      </w:r>
      <w:r w:rsidR="00882B94">
        <w:rPr>
          <w:rFonts w:ascii="Arial" w:hAnsi="Arial" w:cs="Arial"/>
          <w:color w:val="7B7B7B" w:themeColor="accent3" w:themeShade="BF"/>
          <w:sz w:val="22"/>
          <w:szCs w:val="22"/>
          <w:lang w:val="en-GB"/>
        </w:rPr>
        <w:t>he factors which the court weighs in deciding where the debtor’s COMI is located should be ascertainable by third parties on the basis of objective evidence (</w:t>
      </w:r>
      <w:r w:rsidR="00882B94" w:rsidRPr="00882B94">
        <w:rPr>
          <w:rFonts w:ascii="Arial" w:hAnsi="Arial" w:cs="Arial"/>
          <w:i/>
          <w:iCs/>
          <w:color w:val="7B7B7B" w:themeColor="accent3" w:themeShade="BF"/>
          <w:sz w:val="22"/>
          <w:szCs w:val="22"/>
          <w:lang w:val="en-GB"/>
        </w:rPr>
        <w:t>Morning Mist Holdings Ltd v Krys (In re Fairfield Sentry Ltd)</w:t>
      </w:r>
      <w:r w:rsidR="00882B94">
        <w:rPr>
          <w:rFonts w:ascii="Arial" w:hAnsi="Arial" w:cs="Arial"/>
          <w:color w:val="7B7B7B" w:themeColor="accent3" w:themeShade="BF"/>
          <w:sz w:val="22"/>
          <w:szCs w:val="22"/>
          <w:lang w:val="en-GB"/>
        </w:rPr>
        <w:t xml:space="preserve">, 714 F.3d 127, 133-134 (2d Cir 2013).  </w:t>
      </w:r>
    </w:p>
    <w:p w14:paraId="3717A14A" w14:textId="20935200" w:rsidR="00F24CAD" w:rsidRDefault="00F24CAD" w:rsidP="00505DB2">
      <w:pPr>
        <w:jc w:val="both"/>
        <w:rPr>
          <w:rFonts w:ascii="Arial" w:hAnsi="Arial" w:cs="Arial"/>
          <w:color w:val="7B7B7B" w:themeColor="accent3" w:themeShade="BF"/>
          <w:sz w:val="22"/>
          <w:szCs w:val="22"/>
          <w:lang w:val="en-GB"/>
        </w:rPr>
      </w:pPr>
    </w:p>
    <w:p w14:paraId="4EBD93BB" w14:textId="766731A5" w:rsidR="00F24CAD" w:rsidRPr="00F24CAD" w:rsidRDefault="00F24CAD" w:rsidP="00505D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Guidance on the factors which might be relevant </w:t>
      </w:r>
      <w:r w:rsidR="001E1FE8">
        <w:rPr>
          <w:rFonts w:ascii="Arial" w:hAnsi="Arial" w:cs="Arial"/>
          <w:color w:val="7B7B7B" w:themeColor="accent3" w:themeShade="BF"/>
          <w:sz w:val="22"/>
          <w:szCs w:val="22"/>
          <w:lang w:val="en-GB"/>
        </w:rPr>
        <w:t xml:space="preserve">to the determination of COMI </w:t>
      </w:r>
      <w:r w:rsidR="00EF4E12">
        <w:rPr>
          <w:rFonts w:ascii="Arial" w:hAnsi="Arial" w:cs="Arial"/>
          <w:color w:val="7B7B7B" w:themeColor="accent3" w:themeShade="BF"/>
          <w:sz w:val="22"/>
          <w:szCs w:val="22"/>
          <w:lang w:val="en-GB"/>
        </w:rPr>
        <w:t>can be</w:t>
      </w:r>
      <w:r>
        <w:rPr>
          <w:rFonts w:ascii="Arial" w:hAnsi="Arial" w:cs="Arial"/>
          <w:color w:val="7B7B7B" w:themeColor="accent3" w:themeShade="BF"/>
          <w:sz w:val="22"/>
          <w:szCs w:val="22"/>
          <w:lang w:val="en-GB"/>
        </w:rPr>
        <w:t xml:space="preserve"> found in </w:t>
      </w:r>
      <w:r>
        <w:rPr>
          <w:rFonts w:ascii="Arial" w:hAnsi="Arial" w:cs="Arial"/>
          <w:i/>
          <w:iCs/>
          <w:color w:val="7B7B7B" w:themeColor="accent3" w:themeShade="BF"/>
          <w:sz w:val="22"/>
          <w:szCs w:val="22"/>
          <w:lang w:val="en-GB"/>
        </w:rPr>
        <w:t>In re Sphinx Ltd</w:t>
      </w:r>
      <w:r>
        <w:rPr>
          <w:rFonts w:ascii="Arial" w:hAnsi="Arial" w:cs="Arial"/>
          <w:color w:val="7B7B7B" w:themeColor="accent3" w:themeShade="BF"/>
          <w:sz w:val="22"/>
          <w:szCs w:val="22"/>
          <w:lang w:val="en-GB"/>
        </w:rPr>
        <w:t>, 351 BR 103 (Bankr SDNY 2006)</w:t>
      </w:r>
      <w:r w:rsidR="00E1319C">
        <w:rPr>
          <w:rFonts w:ascii="Arial" w:hAnsi="Arial" w:cs="Arial"/>
          <w:color w:val="7B7B7B" w:themeColor="accent3" w:themeShade="BF"/>
          <w:sz w:val="22"/>
          <w:szCs w:val="22"/>
          <w:lang w:val="en-GB"/>
        </w:rPr>
        <w:t xml:space="preserve">, </w:t>
      </w:r>
      <w:r w:rsidR="00D46305">
        <w:rPr>
          <w:rFonts w:ascii="Arial" w:hAnsi="Arial" w:cs="Arial"/>
          <w:color w:val="7B7B7B" w:themeColor="accent3" w:themeShade="BF"/>
          <w:sz w:val="22"/>
          <w:szCs w:val="22"/>
          <w:lang w:val="en-GB"/>
        </w:rPr>
        <w:t xml:space="preserve">which concerned </w:t>
      </w:r>
      <w:r w:rsidR="00E1319C">
        <w:rPr>
          <w:rFonts w:ascii="Arial" w:hAnsi="Arial" w:cs="Arial"/>
          <w:color w:val="7B7B7B" w:themeColor="accent3" w:themeShade="BF"/>
          <w:sz w:val="22"/>
          <w:szCs w:val="22"/>
          <w:lang w:val="en-GB"/>
        </w:rPr>
        <w:t>a dispute over recognition of Cayman Islands insolvency proceedings which turned on whether those proceedings were main or non-main (at 117)</w:t>
      </w:r>
      <w:r>
        <w:rPr>
          <w:rFonts w:ascii="Arial" w:hAnsi="Arial" w:cs="Arial"/>
          <w:color w:val="7B7B7B" w:themeColor="accent3" w:themeShade="BF"/>
          <w:sz w:val="22"/>
          <w:szCs w:val="22"/>
          <w:lang w:val="en-GB"/>
        </w:rPr>
        <w:t xml:space="preserve">.  </w:t>
      </w:r>
      <w:r w:rsidR="00E1319C">
        <w:rPr>
          <w:rFonts w:ascii="Arial" w:hAnsi="Arial" w:cs="Arial"/>
          <w:color w:val="7B7B7B" w:themeColor="accent3" w:themeShade="BF"/>
          <w:sz w:val="22"/>
          <w:szCs w:val="22"/>
          <w:lang w:val="en-GB"/>
        </w:rPr>
        <w:t>The court observed at 117 that the Bankruptcy Code “</w:t>
      </w:r>
      <w:r w:rsidR="00E1319C" w:rsidRPr="00E1319C">
        <w:rPr>
          <w:rFonts w:ascii="Arial" w:hAnsi="Arial" w:cs="Arial"/>
          <w:color w:val="7B7B7B" w:themeColor="accent3" w:themeShade="BF"/>
          <w:sz w:val="22"/>
          <w:szCs w:val="22"/>
          <w:lang w:val="en-GB"/>
        </w:rPr>
        <w:t>provides considerable but not complete direction</w:t>
      </w:r>
      <w:r w:rsidR="00E1319C">
        <w:rPr>
          <w:rFonts w:ascii="Arial" w:hAnsi="Arial" w:cs="Arial"/>
          <w:color w:val="7B7B7B" w:themeColor="accent3" w:themeShade="BF"/>
          <w:sz w:val="22"/>
          <w:szCs w:val="22"/>
          <w:lang w:val="en-GB"/>
        </w:rPr>
        <w:t>…</w:t>
      </w:r>
      <w:r w:rsidR="00E1319C" w:rsidRPr="00E1319C">
        <w:t xml:space="preserve"> </w:t>
      </w:r>
      <w:r w:rsidR="00E1319C" w:rsidRPr="00E1319C">
        <w:rPr>
          <w:rFonts w:ascii="Arial" w:hAnsi="Arial" w:cs="Arial"/>
          <w:color w:val="7B7B7B" w:themeColor="accent3" w:themeShade="BF"/>
          <w:sz w:val="22"/>
          <w:szCs w:val="22"/>
          <w:lang w:val="en-GB"/>
        </w:rPr>
        <w:t>The Bankruptcy Code does not state the type of evidence required to rebut the presumption that the COMI is the debtor</w:t>
      </w:r>
      <w:r w:rsidR="00FD2B6D">
        <w:rPr>
          <w:rFonts w:ascii="Arial" w:hAnsi="Arial" w:cs="Arial"/>
          <w:color w:val="7B7B7B" w:themeColor="accent3" w:themeShade="BF"/>
          <w:sz w:val="22"/>
          <w:szCs w:val="22"/>
          <w:lang w:val="en-GB"/>
        </w:rPr>
        <w:t>’</w:t>
      </w:r>
      <w:r w:rsidR="00E1319C" w:rsidRPr="00E1319C">
        <w:rPr>
          <w:rFonts w:ascii="Arial" w:hAnsi="Arial" w:cs="Arial"/>
          <w:color w:val="7B7B7B" w:themeColor="accent3" w:themeShade="BF"/>
          <w:sz w:val="22"/>
          <w:szCs w:val="22"/>
          <w:lang w:val="en-GB"/>
        </w:rPr>
        <w:t xml:space="preserve">s place of registration or incorporation. </w:t>
      </w:r>
      <w:r w:rsidR="00713F3B">
        <w:rPr>
          <w:rFonts w:ascii="Arial" w:hAnsi="Arial" w:cs="Arial"/>
          <w:color w:val="7B7B7B" w:themeColor="accent3" w:themeShade="BF"/>
          <w:sz w:val="22"/>
          <w:szCs w:val="22"/>
          <w:lang w:val="en-GB"/>
        </w:rPr>
        <w:t xml:space="preserve"> </w:t>
      </w:r>
      <w:r w:rsidR="00E1319C" w:rsidRPr="00E1319C">
        <w:rPr>
          <w:rFonts w:ascii="Arial" w:hAnsi="Arial" w:cs="Arial"/>
          <w:color w:val="7B7B7B" w:themeColor="accent3" w:themeShade="BF"/>
          <w:sz w:val="22"/>
          <w:szCs w:val="22"/>
          <w:lang w:val="en-GB"/>
        </w:rPr>
        <w:t>Various factors, singly or combined, could be relevant to such a determination: the location of the debtor</w:t>
      </w:r>
      <w:r w:rsidR="00FD2B6D">
        <w:rPr>
          <w:rFonts w:ascii="Arial" w:hAnsi="Arial" w:cs="Arial"/>
          <w:color w:val="7B7B7B" w:themeColor="accent3" w:themeShade="BF"/>
          <w:sz w:val="22"/>
          <w:szCs w:val="22"/>
          <w:lang w:val="en-GB"/>
        </w:rPr>
        <w:t>’</w:t>
      </w:r>
      <w:r w:rsidR="00E1319C" w:rsidRPr="00E1319C">
        <w:rPr>
          <w:rFonts w:ascii="Arial" w:hAnsi="Arial" w:cs="Arial"/>
          <w:color w:val="7B7B7B" w:themeColor="accent3" w:themeShade="BF"/>
          <w:sz w:val="22"/>
          <w:szCs w:val="22"/>
          <w:lang w:val="en-GB"/>
        </w:rPr>
        <w:t>s headquarters; the location of those who actually manage the debtor (which, conceivably could be the headquarters of a holding company); the location of the debtor</w:t>
      </w:r>
      <w:r w:rsidR="00FD2B6D">
        <w:rPr>
          <w:rFonts w:ascii="Arial" w:hAnsi="Arial" w:cs="Arial"/>
          <w:color w:val="7B7B7B" w:themeColor="accent3" w:themeShade="BF"/>
          <w:sz w:val="22"/>
          <w:szCs w:val="22"/>
          <w:lang w:val="en-GB"/>
        </w:rPr>
        <w:t>’</w:t>
      </w:r>
      <w:r w:rsidR="00E1319C" w:rsidRPr="00E1319C">
        <w:rPr>
          <w:rFonts w:ascii="Arial" w:hAnsi="Arial" w:cs="Arial"/>
          <w:color w:val="7B7B7B" w:themeColor="accent3" w:themeShade="BF"/>
          <w:sz w:val="22"/>
          <w:szCs w:val="22"/>
          <w:lang w:val="en-GB"/>
        </w:rPr>
        <w:t>s primary assets; the location of the majority of the debtor</w:t>
      </w:r>
      <w:r w:rsidR="00FD2B6D">
        <w:rPr>
          <w:rFonts w:ascii="Arial" w:hAnsi="Arial" w:cs="Arial"/>
          <w:color w:val="7B7B7B" w:themeColor="accent3" w:themeShade="BF"/>
          <w:sz w:val="22"/>
          <w:szCs w:val="22"/>
          <w:lang w:val="en-GB"/>
        </w:rPr>
        <w:t>’</w:t>
      </w:r>
      <w:r w:rsidR="00E1319C" w:rsidRPr="00E1319C">
        <w:rPr>
          <w:rFonts w:ascii="Arial" w:hAnsi="Arial" w:cs="Arial"/>
          <w:color w:val="7B7B7B" w:themeColor="accent3" w:themeShade="BF"/>
          <w:sz w:val="22"/>
          <w:szCs w:val="22"/>
          <w:lang w:val="en-GB"/>
        </w:rPr>
        <w:t>s creditors or of a majority of the creditors who would be affected by the case; and/or the jurisdiction whose law would apply to most disputes.</w:t>
      </w:r>
      <w:r w:rsidR="00E1319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court cautioned that these factors should not be applied “mechanically”, but interpreted “</w:t>
      </w:r>
      <w:r w:rsidRPr="00F24CAD">
        <w:rPr>
          <w:rFonts w:ascii="Arial" w:hAnsi="Arial" w:cs="Arial"/>
          <w:color w:val="7B7B7B" w:themeColor="accent3" w:themeShade="BF"/>
          <w:sz w:val="22"/>
          <w:szCs w:val="22"/>
          <w:lang w:val="en-GB"/>
        </w:rPr>
        <w:t>in light of chapter 15</w:t>
      </w:r>
      <w:r w:rsidR="00FD2B6D">
        <w:rPr>
          <w:rFonts w:ascii="Arial" w:hAnsi="Arial" w:cs="Arial"/>
          <w:color w:val="7B7B7B" w:themeColor="accent3" w:themeShade="BF"/>
          <w:sz w:val="22"/>
          <w:szCs w:val="22"/>
          <w:lang w:val="en-GB"/>
        </w:rPr>
        <w:t>’</w:t>
      </w:r>
      <w:r w:rsidRPr="00F24CAD">
        <w:rPr>
          <w:rFonts w:ascii="Arial" w:hAnsi="Arial" w:cs="Arial"/>
          <w:color w:val="7B7B7B" w:themeColor="accent3" w:themeShade="BF"/>
          <w:sz w:val="22"/>
          <w:szCs w:val="22"/>
          <w:lang w:val="en-GB"/>
        </w:rPr>
        <w:t>s emphasis on protecting the reasonable interests of parties in interest pursuant to fair procedures and the maximization of the debtor</w:t>
      </w:r>
      <w:r w:rsidR="00FD2B6D">
        <w:rPr>
          <w:rFonts w:ascii="Arial" w:hAnsi="Arial" w:cs="Arial"/>
          <w:color w:val="7B7B7B" w:themeColor="accent3" w:themeShade="BF"/>
          <w:sz w:val="22"/>
          <w:szCs w:val="22"/>
          <w:lang w:val="en-GB"/>
        </w:rPr>
        <w:t>’</w:t>
      </w:r>
      <w:r w:rsidRPr="00F24CAD">
        <w:rPr>
          <w:rFonts w:ascii="Arial" w:hAnsi="Arial" w:cs="Arial"/>
          <w:color w:val="7B7B7B" w:themeColor="accent3" w:themeShade="BF"/>
          <w:sz w:val="22"/>
          <w:szCs w:val="22"/>
          <w:lang w:val="en-GB"/>
        </w:rPr>
        <w:t>s valu</w:t>
      </w:r>
      <w:r>
        <w:rPr>
          <w:rFonts w:ascii="Arial" w:hAnsi="Arial" w:cs="Arial"/>
          <w:color w:val="7B7B7B" w:themeColor="accent3" w:themeShade="BF"/>
          <w:sz w:val="22"/>
          <w:szCs w:val="22"/>
          <w:lang w:val="en-GB"/>
        </w:rPr>
        <w:t>e”.</w:t>
      </w:r>
      <w:r w:rsidR="00713F3B">
        <w:rPr>
          <w:rFonts w:ascii="Arial" w:hAnsi="Arial" w:cs="Arial"/>
          <w:color w:val="7B7B7B" w:themeColor="accent3" w:themeShade="BF"/>
          <w:sz w:val="22"/>
          <w:szCs w:val="22"/>
          <w:lang w:val="en-GB"/>
        </w:rPr>
        <w:t xml:space="preserve">  Foreign case law on the application of COMI may also be taken into account by the US courts, pursuant to 11 USC, §1508 (e.g. in </w:t>
      </w:r>
      <w:r w:rsidR="00713F3B">
        <w:rPr>
          <w:rFonts w:ascii="Arial" w:hAnsi="Arial" w:cs="Arial"/>
          <w:i/>
          <w:iCs/>
          <w:color w:val="7B7B7B" w:themeColor="accent3" w:themeShade="BF"/>
          <w:sz w:val="22"/>
          <w:szCs w:val="22"/>
          <w:lang w:val="en-GB"/>
        </w:rPr>
        <w:t>In re Sphinx</w:t>
      </w:r>
      <w:r w:rsidR="00713F3B">
        <w:rPr>
          <w:rFonts w:ascii="Arial" w:hAnsi="Arial" w:cs="Arial"/>
          <w:color w:val="7B7B7B" w:themeColor="accent3" w:themeShade="BF"/>
          <w:sz w:val="22"/>
          <w:szCs w:val="22"/>
          <w:lang w:val="en-GB"/>
        </w:rPr>
        <w:t xml:space="preserve">, the court considered the </w:t>
      </w:r>
      <w:r w:rsidR="00713F3B">
        <w:rPr>
          <w:rFonts w:ascii="Arial" w:hAnsi="Arial" w:cs="Arial"/>
          <w:i/>
          <w:iCs/>
          <w:color w:val="7B7B7B" w:themeColor="accent3" w:themeShade="BF"/>
          <w:sz w:val="22"/>
          <w:szCs w:val="22"/>
          <w:lang w:val="en-GB"/>
        </w:rPr>
        <w:t>Eurofood</w:t>
      </w:r>
      <w:r w:rsidR="00713F3B">
        <w:rPr>
          <w:rFonts w:ascii="Arial" w:hAnsi="Arial" w:cs="Arial"/>
          <w:color w:val="7B7B7B" w:themeColor="accent3" w:themeShade="BF"/>
          <w:sz w:val="22"/>
          <w:szCs w:val="22"/>
          <w:lang w:val="en-GB"/>
        </w:rPr>
        <w:t xml:space="preserve"> decision of the European Court of Justice).  </w:t>
      </w:r>
    </w:p>
    <w:p w14:paraId="600BE490" w14:textId="77777777" w:rsidR="00505DB2" w:rsidRDefault="00505DB2" w:rsidP="00505DB2">
      <w:pPr>
        <w:jc w:val="both"/>
        <w:rPr>
          <w:rFonts w:ascii="Arial" w:hAnsi="Arial" w:cs="Arial"/>
          <w:color w:val="7B7B7B" w:themeColor="accent3" w:themeShade="BF"/>
          <w:sz w:val="22"/>
          <w:szCs w:val="22"/>
          <w:lang w:val="en-GB"/>
        </w:rPr>
      </w:pPr>
    </w:p>
    <w:p w14:paraId="73550CA3" w14:textId="1F5F5080" w:rsidR="00505DB2" w:rsidRDefault="00505DB2" w:rsidP="00505D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Establishment is defined in the Model Law</w:t>
      </w:r>
      <w:r w:rsidR="000842F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Article 2(f)</w:t>
      </w:r>
      <w:r w:rsidR="000842F9">
        <w:rPr>
          <w:rFonts w:ascii="Arial" w:hAnsi="Arial" w:cs="Arial"/>
          <w:color w:val="7B7B7B" w:themeColor="accent3" w:themeShade="BF"/>
          <w:sz w:val="22"/>
          <w:szCs w:val="22"/>
          <w:lang w:val="en-GB"/>
        </w:rPr>
        <w:t>).  This definition has been transposed almost verbatim into US law at 11 USC, §1502(2), which</w:t>
      </w:r>
      <w:r>
        <w:rPr>
          <w:rFonts w:ascii="Arial" w:hAnsi="Arial" w:cs="Arial"/>
          <w:color w:val="7B7B7B" w:themeColor="accent3" w:themeShade="BF"/>
          <w:sz w:val="22"/>
          <w:szCs w:val="22"/>
          <w:lang w:val="en-GB"/>
        </w:rPr>
        <w:t xml:space="preserve"> provides that </w:t>
      </w:r>
      <w:r w:rsidR="000842F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establishment</w:t>
      </w:r>
      <w:r w:rsidR="000842F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means </w:t>
      </w:r>
      <w:r w:rsidRPr="00505DB2">
        <w:rPr>
          <w:rFonts w:ascii="Arial" w:hAnsi="Arial" w:cs="Arial"/>
          <w:color w:val="7B7B7B" w:themeColor="accent3" w:themeShade="BF"/>
          <w:sz w:val="22"/>
          <w:szCs w:val="22"/>
          <w:lang w:val="en-GB"/>
        </w:rPr>
        <w:t>any place of operations where the debtor</w:t>
      </w:r>
      <w:r>
        <w:rPr>
          <w:rFonts w:ascii="Arial" w:hAnsi="Arial" w:cs="Arial"/>
          <w:color w:val="7B7B7B" w:themeColor="accent3" w:themeShade="BF"/>
          <w:sz w:val="22"/>
          <w:szCs w:val="22"/>
          <w:lang w:val="en-GB"/>
        </w:rPr>
        <w:t xml:space="preserve"> </w:t>
      </w:r>
      <w:r w:rsidRPr="00505DB2">
        <w:rPr>
          <w:rFonts w:ascii="Arial" w:hAnsi="Arial" w:cs="Arial"/>
          <w:color w:val="7B7B7B" w:themeColor="accent3" w:themeShade="BF"/>
          <w:sz w:val="22"/>
          <w:szCs w:val="22"/>
          <w:lang w:val="en-GB"/>
        </w:rPr>
        <w:t>carries out a non-transitory economic activity</w:t>
      </w:r>
      <w:r w:rsidR="000842F9">
        <w:rPr>
          <w:rFonts w:ascii="Arial" w:hAnsi="Arial" w:cs="Arial"/>
          <w:color w:val="7B7B7B" w:themeColor="accent3" w:themeShade="BF"/>
          <w:sz w:val="22"/>
          <w:szCs w:val="22"/>
          <w:lang w:val="en-GB"/>
        </w:rPr>
        <w:t>.</w:t>
      </w:r>
    </w:p>
    <w:p w14:paraId="5254D64E" w14:textId="77777777" w:rsidR="00505DB2" w:rsidRDefault="00505DB2" w:rsidP="005B2A9B">
      <w:pPr>
        <w:jc w:val="both"/>
        <w:rPr>
          <w:rFonts w:ascii="Arial" w:hAnsi="Arial" w:cs="Arial"/>
          <w:color w:val="7B7B7B" w:themeColor="accent3" w:themeShade="BF"/>
          <w:sz w:val="22"/>
          <w:szCs w:val="22"/>
          <w:lang w:val="en-GB"/>
        </w:rPr>
      </w:pPr>
    </w:p>
    <w:p w14:paraId="2AA1E732" w14:textId="04413F33" w:rsidR="005B2A9B" w:rsidRDefault="00FD2B6D" w:rsidP="009E446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Applying those definitions to the facts of this case, the court will presume that Gambling Corp’s COMI is in Greece</w:t>
      </w:r>
      <w:r w:rsidR="00C03A16">
        <w:rPr>
          <w:rFonts w:ascii="Arial" w:hAnsi="Arial" w:cs="Arial"/>
          <w:color w:val="7B7B7B" w:themeColor="accent3" w:themeShade="BF"/>
          <w:sz w:val="22"/>
          <w:szCs w:val="22"/>
          <w:lang w:val="en-GB"/>
        </w:rPr>
        <w:t>, because that is its place of incorporation (§1516(c)).</w:t>
      </w:r>
      <w:r w:rsidR="00F22EBD">
        <w:rPr>
          <w:rFonts w:ascii="Arial" w:hAnsi="Arial" w:cs="Arial"/>
          <w:color w:val="7B7B7B" w:themeColor="accent3" w:themeShade="BF"/>
          <w:sz w:val="22"/>
          <w:szCs w:val="22"/>
          <w:lang w:val="en-GB"/>
        </w:rPr>
        <w:t xml:space="preserve">  It seems improbable that the presumption would be rebutted in circumstances where Gambling Corp’s principal place of business is also in Greece.  For this reason, I exclude the possibility of recognition of the English scheme as</w:t>
      </w:r>
      <w:r w:rsidR="005F42CC">
        <w:rPr>
          <w:rFonts w:ascii="Arial" w:hAnsi="Arial" w:cs="Arial"/>
          <w:color w:val="7B7B7B" w:themeColor="accent3" w:themeShade="BF"/>
          <w:sz w:val="22"/>
          <w:szCs w:val="22"/>
          <w:lang w:val="en-GB"/>
        </w:rPr>
        <w:t xml:space="preserve"> a</w:t>
      </w:r>
      <w:r w:rsidR="00F22EBD">
        <w:rPr>
          <w:rFonts w:ascii="Arial" w:hAnsi="Arial" w:cs="Arial"/>
          <w:color w:val="7B7B7B" w:themeColor="accent3" w:themeShade="BF"/>
          <w:sz w:val="22"/>
          <w:szCs w:val="22"/>
          <w:lang w:val="en-GB"/>
        </w:rPr>
        <w:t xml:space="preserve"> foreign main proceeding.  The COMI is in Greece.</w:t>
      </w:r>
    </w:p>
    <w:p w14:paraId="259045C5" w14:textId="2AD16492" w:rsidR="00F22EBD" w:rsidRDefault="00F22EBD" w:rsidP="009E4467">
      <w:pPr>
        <w:jc w:val="both"/>
        <w:rPr>
          <w:rFonts w:ascii="Arial" w:hAnsi="Arial" w:cs="Arial"/>
          <w:color w:val="7B7B7B" w:themeColor="accent3" w:themeShade="BF"/>
          <w:sz w:val="22"/>
          <w:szCs w:val="22"/>
          <w:lang w:val="en-GB"/>
        </w:rPr>
      </w:pPr>
    </w:p>
    <w:p w14:paraId="2785174B" w14:textId="77777777" w:rsidR="00977587" w:rsidRDefault="00F22EBD" w:rsidP="009E446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Consequently, in order to obtain recognition of the English scheme, the foreign representative must show that </w:t>
      </w:r>
      <w:r w:rsidR="00FD7253">
        <w:rPr>
          <w:rFonts w:ascii="Arial" w:hAnsi="Arial" w:cs="Arial"/>
          <w:color w:val="7B7B7B" w:themeColor="accent3" w:themeShade="BF"/>
          <w:sz w:val="22"/>
          <w:szCs w:val="22"/>
          <w:lang w:val="en-GB"/>
        </w:rPr>
        <w:t>Gambling Corp has an establishment in England</w:t>
      </w:r>
      <w:r w:rsidR="00E434FA">
        <w:rPr>
          <w:rFonts w:ascii="Arial" w:hAnsi="Arial" w:cs="Arial"/>
          <w:color w:val="7B7B7B" w:themeColor="accent3" w:themeShade="BF"/>
          <w:sz w:val="22"/>
          <w:szCs w:val="22"/>
          <w:lang w:val="en-GB"/>
        </w:rPr>
        <w:t xml:space="preserve"> and Wales</w:t>
      </w:r>
      <w:r w:rsidR="00FD7253">
        <w:rPr>
          <w:rFonts w:ascii="Arial" w:hAnsi="Arial" w:cs="Arial"/>
          <w:color w:val="7B7B7B" w:themeColor="accent3" w:themeShade="BF"/>
          <w:sz w:val="22"/>
          <w:szCs w:val="22"/>
          <w:lang w:val="en-GB"/>
        </w:rPr>
        <w:t xml:space="preserve">.  The question states that Gambling Corp operates casinos and betting parlours in London, among other international locations, and that Gambling Corp’s corporate bonds are governed by English law.  It is possible that the latter might arguably reflect an economic connection with England and Wales sufficient to constitute an establishment, but such a loose interpretation of “establishment” would not be consistent with the international approach to non-main proceedings, particularly the European Union approach which was adopted in the Model Law itself and which requires, at Article 2(d) of the </w:t>
      </w:r>
      <w:r w:rsidR="00E434FA">
        <w:rPr>
          <w:rFonts w:ascii="Arial" w:hAnsi="Arial" w:cs="Arial"/>
          <w:color w:val="7B7B7B" w:themeColor="accent3" w:themeShade="BF"/>
          <w:sz w:val="22"/>
          <w:szCs w:val="22"/>
          <w:lang w:val="en-GB"/>
        </w:rPr>
        <w:t>M</w:t>
      </w:r>
      <w:r w:rsidR="00FD7253">
        <w:rPr>
          <w:rFonts w:ascii="Arial" w:hAnsi="Arial" w:cs="Arial"/>
          <w:color w:val="7B7B7B" w:themeColor="accent3" w:themeShade="BF"/>
          <w:sz w:val="22"/>
          <w:szCs w:val="22"/>
          <w:lang w:val="en-GB"/>
        </w:rPr>
        <w:t xml:space="preserve">odel </w:t>
      </w:r>
      <w:r w:rsidR="00E434FA">
        <w:rPr>
          <w:rFonts w:ascii="Arial" w:hAnsi="Arial" w:cs="Arial"/>
          <w:color w:val="7B7B7B" w:themeColor="accent3" w:themeShade="BF"/>
          <w:sz w:val="22"/>
          <w:szCs w:val="22"/>
          <w:lang w:val="en-GB"/>
        </w:rPr>
        <w:t>L</w:t>
      </w:r>
      <w:r w:rsidR="00FD7253">
        <w:rPr>
          <w:rFonts w:ascii="Arial" w:hAnsi="Arial" w:cs="Arial"/>
          <w:color w:val="7B7B7B" w:themeColor="accent3" w:themeShade="BF"/>
          <w:sz w:val="22"/>
          <w:szCs w:val="22"/>
          <w:lang w:val="en-GB"/>
        </w:rPr>
        <w:t xml:space="preserve">aw, “human means and goods or services” to be used in the </w:t>
      </w:r>
      <w:r w:rsidR="00E434FA">
        <w:rPr>
          <w:rFonts w:ascii="Arial" w:hAnsi="Arial" w:cs="Arial"/>
          <w:color w:val="7B7B7B" w:themeColor="accent3" w:themeShade="BF"/>
          <w:sz w:val="22"/>
          <w:szCs w:val="22"/>
          <w:lang w:val="en-GB"/>
        </w:rPr>
        <w:t>territory</w:t>
      </w:r>
      <w:r w:rsidR="00FD7253">
        <w:rPr>
          <w:rFonts w:ascii="Arial" w:hAnsi="Arial" w:cs="Arial"/>
          <w:color w:val="7B7B7B" w:themeColor="accent3" w:themeShade="BF"/>
          <w:sz w:val="22"/>
          <w:szCs w:val="22"/>
          <w:lang w:val="en-GB"/>
        </w:rPr>
        <w:t xml:space="preserve"> of </w:t>
      </w:r>
      <w:r w:rsidR="00E434FA">
        <w:rPr>
          <w:rFonts w:ascii="Arial" w:hAnsi="Arial" w:cs="Arial"/>
          <w:color w:val="7B7B7B" w:themeColor="accent3" w:themeShade="BF"/>
          <w:sz w:val="22"/>
          <w:szCs w:val="22"/>
          <w:lang w:val="en-GB"/>
        </w:rPr>
        <w:t xml:space="preserve">the </w:t>
      </w:r>
      <w:r w:rsidR="00FD7253">
        <w:rPr>
          <w:rFonts w:ascii="Arial" w:hAnsi="Arial" w:cs="Arial"/>
          <w:color w:val="7B7B7B" w:themeColor="accent3" w:themeShade="BF"/>
          <w:sz w:val="22"/>
          <w:szCs w:val="22"/>
          <w:lang w:val="en-GB"/>
        </w:rPr>
        <w:t xml:space="preserve">establishment.  Fortunately it is not necessary to determine the sufficiency of the English law bonds, because </w:t>
      </w:r>
      <w:r w:rsidR="009F098C">
        <w:rPr>
          <w:rFonts w:ascii="Arial" w:hAnsi="Arial" w:cs="Arial"/>
          <w:color w:val="7B7B7B" w:themeColor="accent3" w:themeShade="BF"/>
          <w:sz w:val="22"/>
          <w:szCs w:val="22"/>
          <w:lang w:val="en-GB"/>
        </w:rPr>
        <w:t xml:space="preserve">Gambling Corp’s operational activities in London are likely enough to prove that Gambling Corp does have an establishment in England and Wales.  The operation of the casino(s) in London will be a matter which is provable by objective evidence (i.e. the casino premises, insurance and regulatory/compliance documentation, employment and/or subcontractor contracts, worker uniforms, UK bank account(s) and/or other financial commitments, perhaps UK promotional materials such as billboards in London).  Moreover, these are matters which will be readily ascertainable by third parties.  </w:t>
      </w:r>
    </w:p>
    <w:p w14:paraId="749876FF" w14:textId="77777777" w:rsidR="00977587" w:rsidRDefault="00977587" w:rsidP="009E4467">
      <w:pPr>
        <w:jc w:val="both"/>
        <w:rPr>
          <w:rFonts w:ascii="Arial" w:hAnsi="Arial" w:cs="Arial"/>
          <w:color w:val="7B7B7B" w:themeColor="accent3" w:themeShade="BF"/>
          <w:sz w:val="22"/>
          <w:szCs w:val="22"/>
          <w:lang w:val="en-GB"/>
        </w:rPr>
      </w:pPr>
    </w:p>
    <w:p w14:paraId="3E0BEBE3" w14:textId="37DB56AA" w:rsidR="00F22EBD" w:rsidRPr="009E4467" w:rsidRDefault="009F098C" w:rsidP="009E446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Does this evidence satisfy the requirement of non-transitory economic activity in England and Wales?  The question does not explain how long the London operation has been running, so further instructions would be required on this.  If the London operation has been running for more than 3-6 months, there would in my view be a strong case that </w:t>
      </w:r>
      <w:r w:rsidR="0028756C">
        <w:rPr>
          <w:rFonts w:ascii="Arial" w:hAnsi="Arial" w:cs="Arial"/>
          <w:color w:val="7B7B7B" w:themeColor="accent3" w:themeShade="BF"/>
          <w:sz w:val="22"/>
          <w:szCs w:val="22"/>
          <w:lang w:val="en-GB"/>
        </w:rPr>
        <w:t>Gambling Corp has an establishment in England and Wales which would entitle the foreign representative to have an English scheme recognised in the US.</w:t>
      </w:r>
    </w:p>
    <w:p w14:paraId="10761242" w14:textId="1819FA2B" w:rsidR="009E4467" w:rsidRDefault="009E4467" w:rsidP="00323167">
      <w:pPr>
        <w:pStyle w:val="AODocTxt"/>
        <w:spacing w:before="0" w:line="240" w:lineRule="auto"/>
        <w:rPr>
          <w:rFonts w:ascii="Arial" w:hAnsi="Arial" w:cs="Arial"/>
        </w:rPr>
      </w:pPr>
    </w:p>
    <w:p w14:paraId="379EFBE5" w14:textId="77777777" w:rsidR="00977587" w:rsidRPr="00323167" w:rsidRDefault="00977587"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0CBBAAA3" w:rsidR="005B2A9B" w:rsidRPr="00087ACA" w:rsidRDefault="00087ACA" w:rsidP="005B2A9B">
      <w:pPr>
        <w:jc w:val="both"/>
        <w:rPr>
          <w:rFonts w:ascii="Arial" w:hAnsi="Arial" w:cs="Arial"/>
          <w:color w:val="7B7B7B" w:themeColor="accent3" w:themeShade="BF"/>
          <w:sz w:val="22"/>
          <w:szCs w:val="22"/>
          <w:u w:val="single"/>
          <w:lang w:val="en-GB"/>
        </w:rPr>
      </w:pPr>
      <w:r w:rsidRPr="00087ACA">
        <w:rPr>
          <w:rFonts w:ascii="Arial" w:hAnsi="Arial" w:cs="Arial"/>
          <w:color w:val="7B7B7B" w:themeColor="accent3" w:themeShade="BF"/>
          <w:sz w:val="22"/>
          <w:szCs w:val="22"/>
          <w:u w:val="single"/>
          <w:lang w:val="en-GB"/>
        </w:rPr>
        <w:t xml:space="preserve">A: Civil proceedings in progress in Texas </w:t>
      </w:r>
    </w:p>
    <w:p w14:paraId="751C2CCA" w14:textId="54EF2E1A" w:rsidR="00087ACA" w:rsidRDefault="00087ACA" w:rsidP="005B2A9B">
      <w:pPr>
        <w:jc w:val="both"/>
        <w:rPr>
          <w:rFonts w:ascii="Arial" w:hAnsi="Arial" w:cs="Arial"/>
          <w:color w:val="7B7B7B" w:themeColor="accent3" w:themeShade="BF"/>
          <w:sz w:val="22"/>
          <w:szCs w:val="22"/>
          <w:lang w:val="en-GB"/>
        </w:rPr>
      </w:pPr>
    </w:p>
    <w:p w14:paraId="157DA8DB" w14:textId="588B9EEB" w:rsidR="00087ACA" w:rsidRDefault="008959F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11 USC, §362(a</w:t>
      </w:r>
      <w:r w:rsidR="00B95082">
        <w:rPr>
          <w:rFonts w:ascii="Arial" w:hAnsi="Arial" w:cs="Arial"/>
          <w:color w:val="7B7B7B" w:themeColor="accent3" w:themeShade="BF"/>
          <w:sz w:val="22"/>
          <w:szCs w:val="22"/>
          <w:lang w:val="en-GB"/>
        </w:rPr>
        <w:t xml:space="preserve">)(1) imposes a worldwide automatic stay on </w:t>
      </w:r>
      <w:r w:rsidR="00B95082">
        <w:rPr>
          <w:rFonts w:ascii="Arial" w:hAnsi="Arial" w:cs="Arial"/>
          <w:i/>
          <w:iCs/>
          <w:color w:val="7B7B7B" w:themeColor="accent3" w:themeShade="BF"/>
          <w:sz w:val="22"/>
          <w:szCs w:val="22"/>
          <w:lang w:val="en-GB"/>
        </w:rPr>
        <w:t>inter alia</w:t>
      </w:r>
      <w:r w:rsidR="00B95082">
        <w:rPr>
          <w:rFonts w:ascii="Arial" w:hAnsi="Arial" w:cs="Arial"/>
          <w:color w:val="7B7B7B" w:themeColor="accent3" w:themeShade="BF"/>
          <w:sz w:val="22"/>
          <w:szCs w:val="22"/>
          <w:lang w:val="en-GB"/>
        </w:rPr>
        <w:t xml:space="preserve"> “the…continuation…of a judicial…action or proceeding against the debtor </w:t>
      </w:r>
      <w:r w:rsidR="00B95082" w:rsidRPr="00B95082">
        <w:rPr>
          <w:rFonts w:ascii="Arial" w:hAnsi="Arial" w:cs="Arial"/>
          <w:color w:val="7B7B7B" w:themeColor="accent3" w:themeShade="BF"/>
          <w:sz w:val="22"/>
          <w:szCs w:val="22"/>
          <w:lang w:val="en-GB"/>
        </w:rPr>
        <w:t xml:space="preserve">that was </w:t>
      </w:r>
      <w:r w:rsidR="00B95082">
        <w:rPr>
          <w:rFonts w:ascii="Arial" w:hAnsi="Arial" w:cs="Arial"/>
          <w:color w:val="7B7B7B" w:themeColor="accent3" w:themeShade="BF"/>
          <w:sz w:val="22"/>
          <w:szCs w:val="22"/>
          <w:lang w:val="en-GB"/>
        </w:rPr>
        <w:t>…</w:t>
      </w:r>
      <w:r w:rsidR="00B95082" w:rsidRPr="00B95082">
        <w:rPr>
          <w:rFonts w:ascii="Arial" w:hAnsi="Arial" w:cs="Arial"/>
          <w:color w:val="7B7B7B" w:themeColor="accent3" w:themeShade="BF"/>
          <w:sz w:val="22"/>
          <w:szCs w:val="22"/>
          <w:lang w:val="en-GB"/>
        </w:rPr>
        <w:t xml:space="preserve"> commenced before the commencement of the </w:t>
      </w:r>
      <w:r w:rsidR="00B95082">
        <w:rPr>
          <w:rFonts w:ascii="Arial" w:hAnsi="Arial" w:cs="Arial"/>
          <w:color w:val="7B7B7B" w:themeColor="accent3" w:themeShade="BF"/>
          <w:sz w:val="22"/>
          <w:szCs w:val="22"/>
          <w:lang w:val="en-GB"/>
        </w:rPr>
        <w:t>[bankruptcy petition]”.  Accordingly, ShipCo’s civil claim must be stayed upon the filing of the Chapter 11 petition.</w:t>
      </w:r>
    </w:p>
    <w:p w14:paraId="5D07A8EB" w14:textId="7C72D8A8" w:rsidR="00087ACA" w:rsidRDefault="00087ACA" w:rsidP="005B2A9B">
      <w:pPr>
        <w:jc w:val="both"/>
        <w:rPr>
          <w:rFonts w:ascii="Arial" w:hAnsi="Arial" w:cs="Arial"/>
          <w:color w:val="7B7B7B" w:themeColor="accent3" w:themeShade="BF"/>
          <w:sz w:val="22"/>
          <w:szCs w:val="22"/>
          <w:lang w:val="en-GB"/>
        </w:rPr>
      </w:pPr>
    </w:p>
    <w:p w14:paraId="2ACDDF41" w14:textId="5D589B57" w:rsidR="00087ACA" w:rsidRPr="00087ACA" w:rsidRDefault="00087ACA" w:rsidP="005B2A9B">
      <w:pPr>
        <w:jc w:val="both"/>
        <w:rPr>
          <w:rFonts w:ascii="Arial" w:hAnsi="Arial" w:cs="Arial"/>
          <w:color w:val="7B7B7B" w:themeColor="accent3" w:themeShade="BF"/>
          <w:sz w:val="22"/>
          <w:szCs w:val="22"/>
          <w:u w:val="single"/>
          <w:lang w:val="en-GB"/>
        </w:rPr>
      </w:pPr>
      <w:r w:rsidRPr="00087ACA">
        <w:rPr>
          <w:rFonts w:ascii="Arial" w:hAnsi="Arial" w:cs="Arial"/>
          <w:color w:val="7B7B7B" w:themeColor="accent3" w:themeShade="BF"/>
          <w:sz w:val="22"/>
          <w:szCs w:val="22"/>
          <w:u w:val="single"/>
          <w:lang w:val="en-GB"/>
        </w:rPr>
        <w:t>B: DOJ investigation</w:t>
      </w:r>
    </w:p>
    <w:p w14:paraId="42751A52" w14:textId="217F8658" w:rsidR="00087ACA" w:rsidRDefault="00087ACA" w:rsidP="005B2A9B">
      <w:pPr>
        <w:jc w:val="both"/>
        <w:rPr>
          <w:rFonts w:ascii="Arial" w:hAnsi="Arial" w:cs="Arial"/>
          <w:color w:val="7B7B7B" w:themeColor="accent3" w:themeShade="BF"/>
          <w:sz w:val="22"/>
          <w:szCs w:val="22"/>
          <w:lang w:val="en-GB"/>
        </w:rPr>
      </w:pPr>
    </w:p>
    <w:p w14:paraId="3451AD8B" w14:textId="2A126B74" w:rsidR="00087ACA" w:rsidRDefault="00A86C0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assume for the purpose of answering this question that contravening US sanctions is a criminal offence in the US.  If that is correct then the filing of a Chapter 11 petition would have no impact on the DOJ’s investigation and any subsequent prosecution.  This is because 11 USC, §362(b)(1) exempts </w:t>
      </w:r>
      <w:r w:rsidRPr="00A86C06">
        <w:rPr>
          <w:rFonts w:ascii="Arial" w:hAnsi="Arial" w:cs="Arial"/>
          <w:color w:val="7B7B7B" w:themeColor="accent3" w:themeShade="BF"/>
          <w:sz w:val="22"/>
          <w:szCs w:val="22"/>
          <w:lang w:val="en-GB"/>
        </w:rPr>
        <w:t>the commencement or continuation of a criminal action or proceeding against the debtor</w:t>
      </w:r>
      <w:r>
        <w:rPr>
          <w:rFonts w:ascii="Arial" w:hAnsi="Arial" w:cs="Arial"/>
          <w:color w:val="7B7B7B" w:themeColor="accent3" w:themeShade="BF"/>
          <w:sz w:val="22"/>
          <w:szCs w:val="22"/>
          <w:lang w:val="en-GB"/>
        </w:rPr>
        <w:t xml:space="preserve"> from the automatic stay under §362(a).</w:t>
      </w:r>
    </w:p>
    <w:p w14:paraId="4EA76A64" w14:textId="77777777" w:rsidR="00087ACA" w:rsidRDefault="00087ACA" w:rsidP="005B2A9B">
      <w:pPr>
        <w:jc w:val="both"/>
        <w:rPr>
          <w:rFonts w:ascii="Arial" w:hAnsi="Arial" w:cs="Arial"/>
          <w:color w:val="7B7B7B" w:themeColor="accent3" w:themeShade="BF"/>
          <w:sz w:val="22"/>
          <w:szCs w:val="22"/>
          <w:lang w:val="en-GB"/>
        </w:rPr>
      </w:pPr>
    </w:p>
    <w:p w14:paraId="754C6623" w14:textId="77F59A5F" w:rsidR="00087ACA" w:rsidRPr="00087ACA" w:rsidRDefault="00087ACA" w:rsidP="005B2A9B">
      <w:pPr>
        <w:jc w:val="both"/>
        <w:rPr>
          <w:rFonts w:ascii="Arial" w:hAnsi="Arial" w:cs="Arial"/>
          <w:color w:val="7B7B7B" w:themeColor="accent3" w:themeShade="BF"/>
          <w:sz w:val="22"/>
          <w:szCs w:val="22"/>
          <w:u w:val="single"/>
          <w:lang w:val="en-GB"/>
        </w:rPr>
      </w:pPr>
      <w:r w:rsidRPr="00087ACA">
        <w:rPr>
          <w:rFonts w:ascii="Arial" w:hAnsi="Arial" w:cs="Arial"/>
          <w:color w:val="7B7B7B" w:themeColor="accent3" w:themeShade="BF"/>
          <w:sz w:val="22"/>
          <w:szCs w:val="22"/>
          <w:u w:val="single"/>
          <w:lang w:val="en-GB"/>
        </w:rPr>
        <w:t>C: Foreclosure in the Philippines</w:t>
      </w:r>
    </w:p>
    <w:p w14:paraId="243023DA" w14:textId="65DC270D" w:rsidR="00087ACA" w:rsidRDefault="00087ACA" w:rsidP="005B2A9B">
      <w:pPr>
        <w:jc w:val="both"/>
        <w:rPr>
          <w:rFonts w:ascii="Arial" w:hAnsi="Arial" w:cs="Arial"/>
          <w:color w:val="7B7B7B" w:themeColor="accent3" w:themeShade="BF"/>
          <w:sz w:val="22"/>
          <w:szCs w:val="22"/>
          <w:lang w:val="en-GB"/>
        </w:rPr>
      </w:pPr>
    </w:p>
    <w:p w14:paraId="48008203" w14:textId="39C082B7" w:rsidR="00087ACA" w:rsidRDefault="00BC0E2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automatic stay under </w:t>
      </w:r>
      <w:r>
        <w:rPr>
          <w:rFonts w:ascii="Arial" w:hAnsi="Arial" w:cs="Arial"/>
          <w:color w:val="7B7B7B" w:themeColor="accent3" w:themeShade="BF"/>
          <w:sz w:val="22"/>
          <w:szCs w:val="22"/>
          <w:lang w:val="en-GB"/>
        </w:rPr>
        <w:t>11 USC, § 362(a)</w:t>
      </w:r>
      <w:r>
        <w:rPr>
          <w:rFonts w:ascii="Arial" w:hAnsi="Arial" w:cs="Arial"/>
          <w:color w:val="7B7B7B" w:themeColor="accent3" w:themeShade="BF"/>
          <w:sz w:val="22"/>
          <w:szCs w:val="22"/>
          <w:lang w:val="en-GB"/>
        </w:rPr>
        <w:t xml:space="preserve"> has </w:t>
      </w:r>
      <w:r w:rsidR="0077698E">
        <w:rPr>
          <w:rFonts w:ascii="Arial" w:hAnsi="Arial" w:cs="Arial"/>
          <w:color w:val="7B7B7B" w:themeColor="accent3" w:themeShade="BF"/>
          <w:sz w:val="22"/>
          <w:szCs w:val="22"/>
          <w:lang w:val="en-GB"/>
        </w:rPr>
        <w:t xml:space="preserve">worldwide </w:t>
      </w:r>
      <w:r>
        <w:rPr>
          <w:rFonts w:ascii="Arial" w:hAnsi="Arial" w:cs="Arial"/>
          <w:color w:val="7B7B7B" w:themeColor="accent3" w:themeShade="BF"/>
          <w:sz w:val="22"/>
          <w:szCs w:val="22"/>
          <w:lang w:val="en-GB"/>
        </w:rPr>
        <w:t xml:space="preserve">effect and </w:t>
      </w:r>
      <w:r w:rsidR="00F068F8">
        <w:rPr>
          <w:rFonts w:ascii="Arial" w:hAnsi="Arial" w:cs="Arial"/>
          <w:color w:val="7B7B7B" w:themeColor="accent3" w:themeShade="BF"/>
          <w:sz w:val="22"/>
          <w:szCs w:val="22"/>
          <w:lang w:val="en-GB"/>
        </w:rPr>
        <w:t xml:space="preserve">stops all foreclosure actions and lawsuits (unless it falls under an exemption, e.g. </w:t>
      </w:r>
      <w:r w:rsidR="005377C8">
        <w:rPr>
          <w:rFonts w:ascii="Arial" w:hAnsi="Arial" w:cs="Arial"/>
          <w:color w:val="7B7B7B" w:themeColor="accent3" w:themeShade="BF"/>
          <w:sz w:val="22"/>
          <w:szCs w:val="22"/>
          <w:lang w:val="en-GB"/>
        </w:rPr>
        <w:t xml:space="preserve">a swap agreement; the exceptions do not appear to be applicable to USA Bank’s position).  </w:t>
      </w:r>
      <w:r w:rsidR="0077698E">
        <w:rPr>
          <w:rFonts w:ascii="Arial" w:hAnsi="Arial" w:cs="Arial"/>
          <w:color w:val="7B7B7B" w:themeColor="accent3" w:themeShade="BF"/>
          <w:sz w:val="22"/>
          <w:szCs w:val="22"/>
          <w:lang w:val="en-GB"/>
        </w:rPr>
        <w:t xml:space="preserve">For this reason, USA Bank would not be able to </w:t>
      </w:r>
      <w:r w:rsidR="005377C8">
        <w:rPr>
          <w:rFonts w:ascii="Arial" w:hAnsi="Arial" w:cs="Arial"/>
          <w:color w:val="7B7B7B" w:themeColor="accent3" w:themeShade="BF"/>
          <w:sz w:val="22"/>
          <w:szCs w:val="22"/>
          <w:lang w:val="en-GB"/>
        </w:rPr>
        <w:t>foreclose on</w:t>
      </w:r>
      <w:r w:rsidR="0077698E">
        <w:rPr>
          <w:rFonts w:ascii="Arial" w:hAnsi="Arial" w:cs="Arial"/>
          <w:color w:val="7B7B7B" w:themeColor="accent3" w:themeShade="BF"/>
          <w:sz w:val="22"/>
          <w:szCs w:val="22"/>
          <w:lang w:val="en-GB"/>
        </w:rPr>
        <w:t xml:space="preserve"> Oil Corp’s refinery in the Philippines following the filing of a Chapter 11 petition.</w:t>
      </w:r>
      <w:r w:rsidR="00407796">
        <w:rPr>
          <w:rFonts w:ascii="Arial" w:hAnsi="Arial" w:cs="Arial"/>
          <w:color w:val="7B7B7B" w:themeColor="accent3" w:themeShade="BF"/>
          <w:sz w:val="22"/>
          <w:szCs w:val="22"/>
          <w:lang w:val="en-GB"/>
        </w:rPr>
        <w:t xml:space="preserve">  </w:t>
      </w:r>
      <w:r w:rsidR="00C377C1">
        <w:rPr>
          <w:rFonts w:ascii="Arial" w:hAnsi="Arial" w:cs="Arial"/>
          <w:color w:val="7B7B7B" w:themeColor="accent3" w:themeShade="BF"/>
          <w:sz w:val="22"/>
          <w:szCs w:val="22"/>
          <w:lang w:val="en-GB"/>
        </w:rPr>
        <w:t>This conclusion is consistent with the aim of Chapter 11 proceedings, which is to give a debtor time and ability to restructure its business</w:t>
      </w:r>
      <w:r w:rsidR="00AC755F">
        <w:rPr>
          <w:rFonts w:ascii="Arial" w:hAnsi="Arial" w:cs="Arial"/>
          <w:color w:val="7B7B7B" w:themeColor="accent3" w:themeShade="BF"/>
          <w:sz w:val="22"/>
          <w:szCs w:val="22"/>
          <w:lang w:val="en-GB"/>
        </w:rPr>
        <w:t xml:space="preserve"> to facilitate a clean start. </w:t>
      </w:r>
    </w:p>
    <w:p w14:paraId="49D31B27" w14:textId="2291A1FF" w:rsidR="00087ACA" w:rsidRPr="00087ACA" w:rsidRDefault="00087ACA" w:rsidP="005B2A9B">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lang w:val="en-GB"/>
        </w:rPr>
        <w:br/>
      </w:r>
      <w:r w:rsidRPr="00087ACA">
        <w:rPr>
          <w:rFonts w:ascii="Arial" w:hAnsi="Arial" w:cs="Arial"/>
          <w:color w:val="7B7B7B" w:themeColor="accent3" w:themeShade="BF"/>
          <w:sz w:val="22"/>
          <w:szCs w:val="22"/>
          <w:u w:val="single"/>
          <w:lang w:val="en-GB"/>
        </w:rPr>
        <w:t>D:  Texan eviction proceedings not yet commenced</w:t>
      </w:r>
    </w:p>
    <w:p w14:paraId="384B8C59" w14:textId="45540B0C" w:rsidR="00087ACA" w:rsidRDefault="00087ACA" w:rsidP="005B2A9B">
      <w:pPr>
        <w:jc w:val="both"/>
        <w:rPr>
          <w:rFonts w:ascii="Arial" w:hAnsi="Arial" w:cs="Arial"/>
          <w:color w:val="7B7B7B" w:themeColor="accent3" w:themeShade="BF"/>
          <w:sz w:val="22"/>
          <w:szCs w:val="22"/>
          <w:lang w:val="en-GB"/>
        </w:rPr>
      </w:pPr>
    </w:p>
    <w:p w14:paraId="4438A799" w14:textId="6B23B6C1" w:rsidR="00087ACA" w:rsidRDefault="00BC0E2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he automatic stay under 11 USC, § 362(a) </w:t>
      </w:r>
      <w:r>
        <w:rPr>
          <w:rFonts w:ascii="Arial" w:hAnsi="Arial" w:cs="Arial"/>
          <w:color w:val="7B7B7B" w:themeColor="accent3" w:themeShade="BF"/>
          <w:sz w:val="22"/>
          <w:szCs w:val="22"/>
          <w:lang w:val="en-GB"/>
        </w:rPr>
        <w:t>also prevents new proceedings being commenced</w:t>
      </w:r>
      <w:r w:rsidR="00EC5F96">
        <w:rPr>
          <w:rFonts w:ascii="Arial" w:hAnsi="Arial" w:cs="Arial"/>
          <w:color w:val="7B7B7B" w:themeColor="accent3" w:themeShade="BF"/>
          <w:sz w:val="22"/>
          <w:szCs w:val="22"/>
          <w:lang w:val="en-GB"/>
        </w:rPr>
        <w:t xml:space="preserve">.  For this reason, the landlord would not be able to commence eviction proceedings against Oil Corp following the filing of a Chapter 11 petition. </w:t>
      </w:r>
    </w:p>
    <w:p w14:paraId="6742B999" w14:textId="7B659E91" w:rsidR="00323167" w:rsidRPr="00087ACA" w:rsidRDefault="00323167" w:rsidP="00087ACA">
      <w:pPr>
        <w:jc w:val="both"/>
        <w:rPr>
          <w:rFonts w:ascii="Arial" w:hAnsi="Arial" w:cs="Arial"/>
          <w:color w:val="7B7B7B" w:themeColor="accent3" w:themeShade="BF"/>
          <w:sz w:val="22"/>
          <w:szCs w:val="22"/>
          <w:lang w:val="en-GB"/>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lastRenderedPageBreak/>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13721E38" w14:textId="77777777" w:rsidR="00CE0B91" w:rsidRDefault="00CE0B91" w:rsidP="005B2A9B">
      <w:pPr>
        <w:jc w:val="both"/>
        <w:rPr>
          <w:rFonts w:ascii="Arial" w:hAnsi="Arial" w:cs="Arial"/>
          <w:color w:val="7B7B7B" w:themeColor="accent3" w:themeShade="BF"/>
          <w:sz w:val="22"/>
          <w:szCs w:val="22"/>
          <w:lang w:val="en-GB"/>
        </w:rPr>
      </w:pPr>
    </w:p>
    <w:p w14:paraId="7CD3925E" w14:textId="4AB6E898" w:rsidR="00CE0B91" w:rsidRPr="00CE0B91" w:rsidRDefault="00CE0B91" w:rsidP="005B2A9B">
      <w:pPr>
        <w:jc w:val="both"/>
        <w:rPr>
          <w:rFonts w:ascii="Arial" w:hAnsi="Arial" w:cs="Arial"/>
          <w:color w:val="7B7B7B" w:themeColor="accent3" w:themeShade="BF"/>
          <w:sz w:val="22"/>
          <w:szCs w:val="22"/>
          <w:u w:val="single"/>
          <w:lang w:val="en-GB"/>
        </w:rPr>
      </w:pPr>
      <w:r w:rsidRPr="00CE0B91">
        <w:rPr>
          <w:rFonts w:ascii="Arial" w:hAnsi="Arial" w:cs="Arial"/>
          <w:color w:val="7B7B7B" w:themeColor="accent3" w:themeShade="BF"/>
          <w:sz w:val="22"/>
          <w:szCs w:val="22"/>
          <w:u w:val="single"/>
          <w:lang w:val="en-GB"/>
        </w:rPr>
        <w:t>A: Trademark license assignment</w:t>
      </w:r>
    </w:p>
    <w:p w14:paraId="1EE2F1DD" w14:textId="77777777" w:rsidR="00CE0B91" w:rsidRDefault="00CE0B91" w:rsidP="005B2A9B">
      <w:pPr>
        <w:jc w:val="both"/>
        <w:rPr>
          <w:rFonts w:ascii="Arial" w:hAnsi="Arial" w:cs="Arial"/>
          <w:color w:val="7B7B7B" w:themeColor="accent3" w:themeShade="BF"/>
          <w:sz w:val="22"/>
          <w:szCs w:val="22"/>
          <w:lang w:val="en-GB"/>
        </w:rPr>
      </w:pPr>
    </w:p>
    <w:p w14:paraId="661EABE9" w14:textId="5EB9F5C5" w:rsidR="00CE0B91" w:rsidRPr="001245E2" w:rsidRDefault="00CE0B9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Oil Corp</w:t>
      </w:r>
      <w:r w:rsidR="008E28BB">
        <w:rPr>
          <w:rFonts w:ascii="Arial" w:hAnsi="Arial" w:cs="Arial"/>
          <w:color w:val="7B7B7B" w:themeColor="accent3" w:themeShade="BF"/>
          <w:sz w:val="22"/>
          <w:szCs w:val="22"/>
          <w:lang w:val="en-GB"/>
        </w:rPr>
        <w:t xml:space="preserve"> may </w:t>
      </w:r>
      <w:r>
        <w:rPr>
          <w:rFonts w:ascii="Arial" w:hAnsi="Arial" w:cs="Arial"/>
          <w:color w:val="7B7B7B" w:themeColor="accent3" w:themeShade="BF"/>
          <w:sz w:val="22"/>
          <w:szCs w:val="22"/>
          <w:lang w:val="en-GB"/>
        </w:rPr>
        <w:t xml:space="preserve">assign the trademark license if it obtains the consent of the license counterparty, Plastic Corp.  11 USC, §365(a) permits the assumption and assignment of executory contracts, however §365(c)(1) </w:t>
      </w:r>
      <w:r w:rsidR="00931302">
        <w:rPr>
          <w:rFonts w:ascii="Arial" w:hAnsi="Arial" w:cs="Arial"/>
          <w:color w:val="7B7B7B" w:themeColor="accent3" w:themeShade="BF"/>
          <w:sz w:val="22"/>
          <w:szCs w:val="22"/>
          <w:lang w:val="en-GB"/>
        </w:rPr>
        <w:t>prevents the assignment of</w:t>
      </w:r>
      <w:r>
        <w:rPr>
          <w:rFonts w:ascii="Arial" w:hAnsi="Arial" w:cs="Arial"/>
          <w:color w:val="7B7B7B" w:themeColor="accent3" w:themeShade="BF"/>
          <w:sz w:val="22"/>
          <w:szCs w:val="22"/>
          <w:lang w:val="en-GB"/>
        </w:rPr>
        <w:t xml:space="preserve"> contracts </w:t>
      </w:r>
      <w:r w:rsidR="00931302">
        <w:rPr>
          <w:rFonts w:ascii="Arial" w:hAnsi="Arial" w:cs="Arial"/>
          <w:color w:val="7B7B7B" w:themeColor="accent3" w:themeShade="BF"/>
          <w:sz w:val="22"/>
          <w:szCs w:val="22"/>
          <w:lang w:val="en-GB"/>
        </w:rPr>
        <w:t>whose</w:t>
      </w:r>
      <w:r>
        <w:rPr>
          <w:rFonts w:ascii="Arial" w:hAnsi="Arial" w:cs="Arial"/>
          <w:color w:val="7B7B7B" w:themeColor="accent3" w:themeShade="BF"/>
          <w:sz w:val="22"/>
          <w:szCs w:val="22"/>
          <w:lang w:val="en-GB"/>
        </w:rPr>
        <w:t xml:space="preserve"> applicable law </w:t>
      </w:r>
      <w:r w:rsidRPr="00CE0B91">
        <w:rPr>
          <w:rFonts w:ascii="Arial" w:hAnsi="Arial" w:cs="Arial"/>
          <w:color w:val="7B7B7B" w:themeColor="accent3" w:themeShade="BF"/>
          <w:sz w:val="22"/>
          <w:szCs w:val="22"/>
          <w:lang w:val="en-GB"/>
        </w:rPr>
        <w:t>excuses the non</w:t>
      </w:r>
      <w:r w:rsidR="00931302">
        <w:rPr>
          <w:rFonts w:ascii="Arial" w:hAnsi="Arial" w:cs="Arial"/>
          <w:color w:val="7B7B7B" w:themeColor="accent3" w:themeShade="BF"/>
          <w:sz w:val="22"/>
          <w:szCs w:val="22"/>
          <w:lang w:val="en-GB"/>
        </w:rPr>
        <w:t>-</w:t>
      </w:r>
      <w:r w:rsidRPr="00CE0B91">
        <w:rPr>
          <w:rFonts w:ascii="Arial" w:hAnsi="Arial" w:cs="Arial"/>
          <w:color w:val="7B7B7B" w:themeColor="accent3" w:themeShade="BF"/>
          <w:sz w:val="22"/>
          <w:szCs w:val="22"/>
          <w:lang w:val="en-GB"/>
        </w:rPr>
        <w:t>debtor contracting party from accepting performance from a</w:t>
      </w:r>
      <w:r w:rsidR="008E28BB">
        <w:rPr>
          <w:rFonts w:ascii="Arial" w:hAnsi="Arial" w:cs="Arial"/>
          <w:color w:val="7B7B7B" w:themeColor="accent3" w:themeShade="BF"/>
          <w:sz w:val="22"/>
          <w:szCs w:val="22"/>
          <w:lang w:val="en-GB"/>
        </w:rPr>
        <w:t xml:space="preserve">n entity </w:t>
      </w:r>
      <w:r w:rsidRPr="00CE0B91">
        <w:rPr>
          <w:rFonts w:ascii="Arial" w:hAnsi="Arial" w:cs="Arial"/>
          <w:color w:val="7B7B7B" w:themeColor="accent3" w:themeShade="BF"/>
          <w:sz w:val="22"/>
          <w:szCs w:val="22"/>
          <w:lang w:val="en-GB"/>
        </w:rPr>
        <w:t xml:space="preserve">other than the debtor. </w:t>
      </w:r>
      <w:r>
        <w:rPr>
          <w:rFonts w:ascii="Arial" w:hAnsi="Arial" w:cs="Arial"/>
          <w:color w:val="7B7B7B" w:themeColor="accent3" w:themeShade="BF"/>
          <w:sz w:val="22"/>
          <w:szCs w:val="22"/>
          <w:lang w:val="en-GB"/>
        </w:rPr>
        <w:t xml:space="preserve"> T</w:t>
      </w:r>
      <w:r w:rsidRPr="00CE0B91">
        <w:rPr>
          <w:rFonts w:ascii="Arial" w:hAnsi="Arial" w:cs="Arial"/>
          <w:color w:val="7B7B7B" w:themeColor="accent3" w:themeShade="BF"/>
          <w:sz w:val="22"/>
          <w:szCs w:val="22"/>
          <w:lang w:val="en-GB"/>
        </w:rPr>
        <w:t xml:space="preserve">he Court of Appeals for the Seventh Circuit in </w:t>
      </w:r>
      <w:r w:rsidRPr="00CE0B91">
        <w:rPr>
          <w:rFonts w:ascii="Arial" w:hAnsi="Arial" w:cs="Arial"/>
          <w:i/>
          <w:iCs/>
          <w:color w:val="7B7B7B" w:themeColor="accent3" w:themeShade="BF"/>
          <w:sz w:val="22"/>
          <w:szCs w:val="22"/>
          <w:lang w:val="en-GB"/>
        </w:rPr>
        <w:t>In re XMH Corp</w:t>
      </w:r>
      <w:r>
        <w:rPr>
          <w:rFonts w:ascii="Arial" w:hAnsi="Arial" w:cs="Arial"/>
          <w:color w:val="7B7B7B" w:themeColor="accent3" w:themeShade="BF"/>
          <w:sz w:val="22"/>
          <w:szCs w:val="22"/>
          <w:lang w:val="en-GB"/>
        </w:rPr>
        <w:t>,</w:t>
      </w:r>
      <w:r w:rsidRPr="00CE0B91">
        <w:rPr>
          <w:rFonts w:ascii="Arial" w:hAnsi="Arial" w:cs="Arial"/>
          <w:color w:val="7B7B7B" w:themeColor="accent3" w:themeShade="BF"/>
          <w:sz w:val="22"/>
          <w:szCs w:val="22"/>
          <w:lang w:val="en-GB"/>
        </w:rPr>
        <w:t xml:space="preserve"> 647 F.3d 690 (7</w:t>
      </w:r>
      <w:r w:rsidRPr="00CE0B91">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w:t>
      </w:r>
      <w:r w:rsidRPr="00CE0B91">
        <w:rPr>
          <w:rFonts w:ascii="Arial" w:hAnsi="Arial" w:cs="Arial"/>
          <w:color w:val="7B7B7B" w:themeColor="accent3" w:themeShade="BF"/>
          <w:sz w:val="22"/>
          <w:szCs w:val="22"/>
          <w:lang w:val="en-GB"/>
        </w:rPr>
        <w:t>Cir. 2011) relied on th</w:t>
      </w:r>
      <w:r>
        <w:rPr>
          <w:rFonts w:ascii="Arial" w:hAnsi="Arial" w:cs="Arial"/>
          <w:color w:val="7B7B7B" w:themeColor="accent3" w:themeShade="BF"/>
          <w:sz w:val="22"/>
          <w:szCs w:val="22"/>
          <w:lang w:val="en-GB"/>
        </w:rPr>
        <w:t xml:space="preserve">e </w:t>
      </w:r>
      <w:r w:rsidRPr="00CE0B91">
        <w:rPr>
          <w:rFonts w:ascii="Arial" w:hAnsi="Arial" w:cs="Arial"/>
          <w:color w:val="7B7B7B" w:themeColor="accent3" w:themeShade="BF"/>
          <w:sz w:val="22"/>
          <w:szCs w:val="22"/>
          <w:lang w:val="en-GB"/>
        </w:rPr>
        <w:t>applicable law</w:t>
      </w:r>
      <w:r>
        <w:rPr>
          <w:rFonts w:ascii="Arial" w:hAnsi="Arial" w:cs="Arial"/>
          <w:color w:val="7B7B7B" w:themeColor="accent3" w:themeShade="BF"/>
          <w:sz w:val="22"/>
          <w:szCs w:val="22"/>
          <w:lang w:val="en-GB"/>
        </w:rPr>
        <w:t xml:space="preserve"> </w:t>
      </w:r>
      <w:r w:rsidRPr="00CE0B91">
        <w:rPr>
          <w:rFonts w:ascii="Arial" w:hAnsi="Arial" w:cs="Arial"/>
          <w:color w:val="7B7B7B" w:themeColor="accent3" w:themeShade="BF"/>
          <w:sz w:val="22"/>
          <w:szCs w:val="22"/>
          <w:lang w:val="en-GB"/>
        </w:rPr>
        <w:t>exception in laying down a</w:t>
      </w:r>
      <w:r>
        <w:rPr>
          <w:rFonts w:ascii="Arial" w:hAnsi="Arial" w:cs="Arial"/>
          <w:color w:val="7B7B7B" w:themeColor="accent3" w:themeShade="BF"/>
          <w:sz w:val="22"/>
          <w:szCs w:val="22"/>
          <w:lang w:val="en-GB"/>
        </w:rPr>
        <w:t xml:space="preserve"> “</w:t>
      </w:r>
      <w:r w:rsidRPr="00CE0B91">
        <w:rPr>
          <w:rFonts w:ascii="Arial" w:hAnsi="Arial" w:cs="Arial"/>
          <w:color w:val="7B7B7B" w:themeColor="accent3" w:themeShade="BF"/>
          <w:sz w:val="22"/>
          <w:szCs w:val="22"/>
          <w:lang w:val="en-GB"/>
        </w:rPr>
        <w:t>universal rule</w:t>
      </w:r>
      <w:r>
        <w:rPr>
          <w:rFonts w:ascii="Arial" w:hAnsi="Arial" w:cs="Arial"/>
          <w:color w:val="7B7B7B" w:themeColor="accent3" w:themeShade="BF"/>
          <w:sz w:val="22"/>
          <w:szCs w:val="22"/>
          <w:lang w:val="en-GB"/>
        </w:rPr>
        <w:t>”</w:t>
      </w:r>
      <w:r w:rsidRPr="00CE0B91">
        <w:rPr>
          <w:rFonts w:ascii="Arial" w:hAnsi="Arial" w:cs="Arial"/>
          <w:color w:val="7B7B7B" w:themeColor="accent3" w:themeShade="BF"/>
          <w:sz w:val="22"/>
          <w:szCs w:val="22"/>
          <w:lang w:val="en-GB"/>
        </w:rPr>
        <w:t xml:space="preserve"> that a trademark license may not be assigned to a third party without the licensor</w:t>
      </w:r>
      <w:r w:rsidR="00834317">
        <w:rPr>
          <w:rFonts w:ascii="Arial" w:hAnsi="Arial" w:cs="Arial"/>
          <w:color w:val="7B7B7B" w:themeColor="accent3" w:themeShade="BF"/>
          <w:sz w:val="22"/>
          <w:szCs w:val="22"/>
          <w:lang w:val="en-GB"/>
        </w:rPr>
        <w:t>’</w:t>
      </w:r>
      <w:r w:rsidRPr="00CE0B91">
        <w:rPr>
          <w:rFonts w:ascii="Arial" w:hAnsi="Arial" w:cs="Arial"/>
          <w:color w:val="7B7B7B" w:themeColor="accent3" w:themeShade="BF"/>
          <w:sz w:val="22"/>
          <w:szCs w:val="22"/>
          <w:lang w:val="en-GB"/>
        </w:rPr>
        <w:t>s consent.</w:t>
      </w:r>
      <w:r w:rsidR="001245E2">
        <w:rPr>
          <w:rFonts w:ascii="Arial" w:hAnsi="Arial" w:cs="Arial"/>
          <w:color w:val="7B7B7B" w:themeColor="accent3" w:themeShade="BF"/>
          <w:sz w:val="22"/>
          <w:szCs w:val="22"/>
          <w:lang w:val="en-GB"/>
        </w:rPr>
        <w:t xml:space="preserve">  (See similarly the Delaware case of </w:t>
      </w:r>
      <w:r w:rsidR="001245E2">
        <w:rPr>
          <w:rFonts w:ascii="Arial" w:hAnsi="Arial" w:cs="Arial"/>
          <w:i/>
          <w:iCs/>
          <w:color w:val="7B7B7B" w:themeColor="accent3" w:themeShade="BF"/>
          <w:sz w:val="22"/>
          <w:szCs w:val="22"/>
          <w:lang w:val="en-GB"/>
        </w:rPr>
        <w:t>In re trump Entertainment Resorts, Inc</w:t>
      </w:r>
      <w:r w:rsidR="001245E2">
        <w:rPr>
          <w:rFonts w:ascii="Arial" w:hAnsi="Arial" w:cs="Arial"/>
          <w:color w:val="7B7B7B" w:themeColor="accent3" w:themeShade="BF"/>
          <w:sz w:val="22"/>
          <w:szCs w:val="22"/>
          <w:lang w:val="en-GB"/>
        </w:rPr>
        <w:t>, 526 BR 116 (Bankr D Del 2015)).</w:t>
      </w:r>
    </w:p>
    <w:p w14:paraId="6861DA34" w14:textId="77777777" w:rsidR="00CE0B91" w:rsidRDefault="00CE0B91" w:rsidP="005B2A9B">
      <w:pPr>
        <w:jc w:val="both"/>
        <w:rPr>
          <w:rFonts w:ascii="Arial" w:hAnsi="Arial" w:cs="Arial"/>
          <w:color w:val="7B7B7B" w:themeColor="accent3" w:themeShade="BF"/>
          <w:sz w:val="22"/>
          <w:szCs w:val="22"/>
          <w:lang w:val="en-GB"/>
        </w:rPr>
      </w:pPr>
    </w:p>
    <w:p w14:paraId="7B163DF6" w14:textId="04E53654" w:rsidR="00CE0B91" w:rsidRPr="00CE0B91" w:rsidRDefault="00CE0B91" w:rsidP="005B2A9B">
      <w:pPr>
        <w:jc w:val="both"/>
        <w:rPr>
          <w:rFonts w:ascii="Arial" w:hAnsi="Arial" w:cs="Arial"/>
          <w:color w:val="7B7B7B" w:themeColor="accent3" w:themeShade="BF"/>
          <w:sz w:val="22"/>
          <w:szCs w:val="22"/>
          <w:u w:val="single"/>
          <w:lang w:val="en-GB"/>
        </w:rPr>
      </w:pPr>
      <w:r w:rsidRPr="00CE0B91">
        <w:rPr>
          <w:rFonts w:ascii="Arial" w:hAnsi="Arial" w:cs="Arial"/>
          <w:color w:val="7B7B7B" w:themeColor="accent3" w:themeShade="BF"/>
          <w:sz w:val="22"/>
          <w:szCs w:val="22"/>
          <w:u w:val="single"/>
          <w:lang w:val="en-GB"/>
        </w:rPr>
        <w:t>B: Patent licenses rejection</w:t>
      </w:r>
    </w:p>
    <w:p w14:paraId="0BDED538" w14:textId="0CFCE4BF" w:rsidR="00CE0B91" w:rsidRDefault="00CE0B91" w:rsidP="005B2A9B">
      <w:pPr>
        <w:jc w:val="both"/>
        <w:rPr>
          <w:rFonts w:ascii="Arial" w:hAnsi="Arial" w:cs="Arial"/>
          <w:color w:val="7B7B7B" w:themeColor="accent3" w:themeShade="BF"/>
          <w:sz w:val="22"/>
          <w:szCs w:val="22"/>
          <w:lang w:val="en-GB"/>
        </w:rPr>
      </w:pPr>
    </w:p>
    <w:p w14:paraId="523FCA9F" w14:textId="37FCBBB3" w:rsidR="00931302" w:rsidRDefault="00A46A8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Oil Corp may reject the patent licenses without Plastic Corp’s consent, </w:t>
      </w:r>
      <w:r w:rsidR="007E118F">
        <w:rPr>
          <w:rFonts w:ascii="Arial" w:hAnsi="Arial" w:cs="Arial"/>
          <w:color w:val="7B7B7B" w:themeColor="accent3" w:themeShade="BF"/>
          <w:sz w:val="22"/>
          <w:szCs w:val="22"/>
          <w:lang w:val="en-GB"/>
        </w:rPr>
        <w:t>however</w:t>
      </w:r>
      <w:r>
        <w:rPr>
          <w:rFonts w:ascii="Arial" w:hAnsi="Arial" w:cs="Arial"/>
          <w:color w:val="7B7B7B" w:themeColor="accent3" w:themeShade="BF"/>
          <w:sz w:val="22"/>
          <w:szCs w:val="22"/>
          <w:lang w:val="en-GB"/>
        </w:rPr>
        <w:t xml:space="preserve"> it may yield little benefit from such action.  In </w:t>
      </w:r>
      <w:r>
        <w:rPr>
          <w:rFonts w:ascii="Arial" w:hAnsi="Arial" w:cs="Arial"/>
          <w:i/>
          <w:iCs/>
          <w:color w:val="7B7B7B" w:themeColor="accent3" w:themeShade="BF"/>
          <w:sz w:val="22"/>
          <w:szCs w:val="22"/>
          <w:lang w:val="en-GB"/>
        </w:rPr>
        <w:t>Mission Product Holdings, Inc v Tempnology, LLC (Tempnology)</w:t>
      </w:r>
      <w:r>
        <w:rPr>
          <w:rFonts w:ascii="Arial" w:hAnsi="Arial" w:cs="Arial"/>
          <w:color w:val="7B7B7B" w:themeColor="accent3" w:themeShade="BF"/>
          <w:sz w:val="22"/>
          <w:szCs w:val="22"/>
          <w:lang w:val="en-GB"/>
        </w:rPr>
        <w:t xml:space="preserve">, </w:t>
      </w:r>
      <w:r w:rsidRPr="00A46A86">
        <w:rPr>
          <w:rFonts w:ascii="Arial" w:hAnsi="Arial" w:cs="Arial"/>
          <w:color w:val="7B7B7B" w:themeColor="accent3" w:themeShade="BF"/>
          <w:sz w:val="22"/>
          <w:szCs w:val="22"/>
          <w:lang w:val="en-GB"/>
        </w:rPr>
        <w:t>139 S. Ct. 1652 (2019)</w:t>
      </w:r>
      <w:r>
        <w:rPr>
          <w:rFonts w:ascii="Arial" w:hAnsi="Arial" w:cs="Arial"/>
          <w:color w:val="7B7B7B" w:themeColor="accent3" w:themeShade="BF"/>
          <w:sz w:val="22"/>
          <w:szCs w:val="22"/>
          <w:lang w:val="en-GB"/>
        </w:rPr>
        <w:t>, the Supreme Court held</w:t>
      </w:r>
      <w:r w:rsidR="00931302">
        <w:rPr>
          <w:rFonts w:ascii="Arial" w:hAnsi="Arial" w:cs="Arial"/>
          <w:color w:val="7B7B7B" w:themeColor="accent3" w:themeShade="BF"/>
          <w:sz w:val="22"/>
          <w:szCs w:val="22"/>
          <w:lang w:val="en-GB"/>
        </w:rPr>
        <w:t xml:space="preserve"> at 1666</w:t>
      </w:r>
      <w:r>
        <w:rPr>
          <w:rFonts w:ascii="Arial" w:hAnsi="Arial" w:cs="Arial"/>
          <w:color w:val="7B7B7B" w:themeColor="accent3" w:themeShade="BF"/>
          <w:sz w:val="22"/>
          <w:szCs w:val="22"/>
          <w:lang w:val="en-GB"/>
        </w:rPr>
        <w:t xml:space="preserve"> that</w:t>
      </w:r>
      <w:r w:rsidR="0093130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572738FF" w14:textId="77777777" w:rsidR="00931302" w:rsidRDefault="00931302" w:rsidP="00931302">
      <w:pPr>
        <w:ind w:left="720"/>
        <w:jc w:val="both"/>
        <w:rPr>
          <w:rFonts w:ascii="Arial" w:hAnsi="Arial" w:cs="Arial"/>
          <w:color w:val="7B7B7B" w:themeColor="accent3" w:themeShade="BF"/>
          <w:sz w:val="22"/>
          <w:szCs w:val="22"/>
          <w:lang w:val="en-GB"/>
        </w:rPr>
      </w:pPr>
    </w:p>
    <w:p w14:paraId="5CE01D6C" w14:textId="43626FC3" w:rsidR="00CE0B91" w:rsidRPr="00A46A86" w:rsidRDefault="00931302" w:rsidP="00931302">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931302">
        <w:rPr>
          <w:rFonts w:ascii="Arial" w:hAnsi="Arial" w:cs="Arial"/>
          <w:color w:val="7B7B7B" w:themeColor="accent3" w:themeShade="BF"/>
          <w:sz w:val="22"/>
          <w:szCs w:val="22"/>
          <w:lang w:val="en-GB"/>
        </w:rPr>
        <w:t>under Section 365, a debtor’s rejection of an executory contract in bankruptcy has the same effect as a breach outside of bankruptcy. Such an act cannot rescind rights that the contract previously granted. Here, that construction of Section 365 means that the debtor-licensor’s rejection cannot revoke the trademark license</w:t>
      </w:r>
      <w:r w:rsidR="00ED024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
    <w:p w14:paraId="47BF1B2B" w14:textId="09822C5F" w:rsidR="00CE0B91" w:rsidRDefault="00CE0B91" w:rsidP="005B2A9B">
      <w:pPr>
        <w:jc w:val="both"/>
        <w:rPr>
          <w:rFonts w:ascii="Arial" w:hAnsi="Arial" w:cs="Arial"/>
          <w:color w:val="7B7B7B" w:themeColor="accent3" w:themeShade="BF"/>
          <w:sz w:val="22"/>
          <w:szCs w:val="22"/>
          <w:lang w:val="en-GB"/>
        </w:rPr>
      </w:pPr>
    </w:p>
    <w:p w14:paraId="0D0D45DC" w14:textId="1AB561A9" w:rsidR="00931302" w:rsidRDefault="0093130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Accordingly, while rejection would expose Oil Corp to liability for breach of contract, it would not bring the patent license agreement to an end.  It would therefore not achieve Oil Corp’s goal of giving the purchaser of the patents the exclusive right to use them.  Oil Corp would be better advised to negotiate an amendment to the patent license agreement which brings about the early termination of the agreement.  </w:t>
      </w:r>
    </w:p>
    <w:p w14:paraId="15E4D05E" w14:textId="77777777" w:rsidR="00CE0B91" w:rsidRDefault="00CE0B91" w:rsidP="005B2A9B">
      <w:pPr>
        <w:jc w:val="both"/>
        <w:rPr>
          <w:rFonts w:ascii="Arial" w:hAnsi="Arial" w:cs="Arial"/>
          <w:color w:val="7B7B7B" w:themeColor="accent3" w:themeShade="BF"/>
          <w:sz w:val="22"/>
          <w:szCs w:val="22"/>
          <w:lang w:val="en-GB"/>
        </w:rPr>
      </w:pPr>
    </w:p>
    <w:p w14:paraId="54D1B250" w14:textId="2CD21368" w:rsidR="00CE0B91" w:rsidRPr="00CE0B91" w:rsidRDefault="00CE0B91" w:rsidP="005B2A9B">
      <w:pPr>
        <w:jc w:val="both"/>
        <w:rPr>
          <w:rFonts w:ascii="Arial" w:hAnsi="Arial" w:cs="Arial"/>
          <w:color w:val="7B7B7B" w:themeColor="accent3" w:themeShade="BF"/>
          <w:sz w:val="22"/>
          <w:szCs w:val="22"/>
          <w:u w:val="single"/>
          <w:lang w:val="en-GB"/>
        </w:rPr>
      </w:pPr>
      <w:r w:rsidRPr="00CE0B91">
        <w:rPr>
          <w:rFonts w:ascii="Arial" w:hAnsi="Arial" w:cs="Arial"/>
          <w:color w:val="7B7B7B" w:themeColor="accent3" w:themeShade="BF"/>
          <w:sz w:val="22"/>
          <w:szCs w:val="22"/>
          <w:u w:val="single"/>
          <w:lang w:val="en-GB"/>
        </w:rPr>
        <w:t>C: Manufacturing facility sale</w:t>
      </w:r>
    </w:p>
    <w:p w14:paraId="1BA433E0" w14:textId="77777777" w:rsidR="00CE0B91" w:rsidRDefault="00CE0B91" w:rsidP="005B2A9B">
      <w:pPr>
        <w:jc w:val="both"/>
        <w:rPr>
          <w:rFonts w:ascii="Arial" w:hAnsi="Arial" w:cs="Arial"/>
          <w:color w:val="7B7B7B" w:themeColor="accent3" w:themeShade="BF"/>
          <w:sz w:val="22"/>
          <w:szCs w:val="22"/>
          <w:lang w:val="en-GB"/>
        </w:rPr>
      </w:pPr>
    </w:p>
    <w:p w14:paraId="57926EBB" w14:textId="434616B9" w:rsidR="00CE0B91" w:rsidRDefault="000F60D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Oil Corp is able to sell the manufacturing facility under 11 USC §363(f) </w:t>
      </w:r>
      <w:r w:rsidR="00F11E70">
        <w:rPr>
          <w:rFonts w:ascii="Arial" w:hAnsi="Arial" w:cs="Arial"/>
          <w:color w:val="7B7B7B" w:themeColor="accent3" w:themeShade="BF"/>
          <w:sz w:val="22"/>
          <w:szCs w:val="22"/>
          <w:lang w:val="en-GB"/>
        </w:rPr>
        <w:t>free and clear of USA Bank’s lien in any of the following circumstances:</w:t>
      </w:r>
    </w:p>
    <w:p w14:paraId="0A854EDF" w14:textId="77777777" w:rsidR="00F11E70" w:rsidRDefault="00F11E70" w:rsidP="005B2A9B">
      <w:pPr>
        <w:jc w:val="both"/>
        <w:rPr>
          <w:rFonts w:ascii="Arial" w:hAnsi="Arial" w:cs="Arial"/>
          <w:color w:val="7B7B7B" w:themeColor="accent3" w:themeShade="BF"/>
          <w:sz w:val="22"/>
          <w:szCs w:val="22"/>
          <w:lang w:val="en-GB"/>
        </w:rPr>
      </w:pPr>
    </w:p>
    <w:p w14:paraId="15421447" w14:textId="6EA72ED0" w:rsidR="00F11E70" w:rsidRDefault="00F11E70" w:rsidP="00F11E70">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applicable non-bankruptcy law permits sale of such property;</w:t>
      </w:r>
    </w:p>
    <w:p w14:paraId="1EBBD195" w14:textId="30D7245E" w:rsidR="00F11E70" w:rsidRDefault="00F11E70" w:rsidP="00F11E70">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USA Bank consents;</w:t>
      </w:r>
    </w:p>
    <w:p w14:paraId="16E80C4F" w14:textId="775285A8" w:rsidR="00F11E70" w:rsidRDefault="00F11E70" w:rsidP="005B2A9B">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USA Bank’s interest is a lien and the price at which the facility is to be sold is greater than the aggregate value of all liens on the facility</w:t>
      </w:r>
      <w:r w:rsidR="002435F1">
        <w:rPr>
          <w:rFonts w:ascii="Arial" w:hAnsi="Arial" w:cs="Arial"/>
          <w:color w:val="7B7B7B" w:themeColor="accent3" w:themeShade="BF"/>
          <w:sz w:val="22"/>
          <w:szCs w:val="22"/>
          <w:lang w:val="en-GB"/>
        </w:rPr>
        <w:t xml:space="preserve"> (in most jurisdictions in the US, aggregate value is interpreted as meaning aggregate face value</w:t>
      </w:r>
      <w:r w:rsidR="000C5099">
        <w:rPr>
          <w:rFonts w:ascii="Arial" w:hAnsi="Arial" w:cs="Arial"/>
          <w:color w:val="7B7B7B" w:themeColor="accent3" w:themeShade="BF"/>
          <w:sz w:val="22"/>
          <w:szCs w:val="22"/>
          <w:lang w:val="en-GB"/>
        </w:rPr>
        <w:t>, not economic value</w:t>
      </w:r>
      <w:r w:rsidR="002435F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
    <w:p w14:paraId="46C8832C" w14:textId="2C7A94EF" w:rsidR="00CE0B91" w:rsidRDefault="00F11E70" w:rsidP="005B2A9B">
      <w:pPr>
        <w:pStyle w:val="ListParagraph"/>
        <w:numPr>
          <w:ilvl w:val="0"/>
          <w:numId w:val="16"/>
        </w:numPr>
        <w:jc w:val="both"/>
        <w:rPr>
          <w:rFonts w:ascii="Arial" w:hAnsi="Arial" w:cs="Arial"/>
          <w:color w:val="7B7B7B" w:themeColor="accent3" w:themeShade="BF"/>
          <w:sz w:val="22"/>
          <w:szCs w:val="22"/>
          <w:lang w:val="en-GB"/>
        </w:rPr>
      </w:pPr>
      <w:r w:rsidRPr="00F11E70">
        <w:rPr>
          <w:rFonts w:ascii="Arial" w:hAnsi="Arial" w:cs="Arial"/>
          <w:color w:val="7B7B7B" w:themeColor="accent3" w:themeShade="BF"/>
          <w:sz w:val="22"/>
          <w:szCs w:val="22"/>
          <w:lang w:val="en-GB"/>
        </w:rPr>
        <w:t>USA Bank’s interest</w:t>
      </w:r>
      <w:r>
        <w:rPr>
          <w:rFonts w:ascii="Arial" w:hAnsi="Arial" w:cs="Arial"/>
          <w:color w:val="7B7B7B" w:themeColor="accent3" w:themeShade="BF"/>
          <w:sz w:val="22"/>
          <w:szCs w:val="22"/>
          <w:lang w:val="en-GB"/>
        </w:rPr>
        <w:t xml:space="preserve"> is in </w:t>
      </w:r>
      <w:r>
        <w:rPr>
          <w:rFonts w:ascii="Arial" w:hAnsi="Arial" w:cs="Arial"/>
          <w:i/>
          <w:iCs/>
          <w:color w:val="7B7B7B" w:themeColor="accent3" w:themeShade="BF"/>
          <w:sz w:val="22"/>
          <w:szCs w:val="22"/>
          <w:lang w:val="en-GB"/>
        </w:rPr>
        <w:t>bona fide</w:t>
      </w:r>
      <w:r>
        <w:rPr>
          <w:rFonts w:ascii="Arial" w:hAnsi="Arial" w:cs="Arial"/>
          <w:color w:val="7B7B7B" w:themeColor="accent3" w:themeShade="BF"/>
          <w:sz w:val="22"/>
          <w:szCs w:val="22"/>
          <w:lang w:val="en-GB"/>
        </w:rPr>
        <w:t xml:space="preserve"> dispute; or</w:t>
      </w:r>
    </w:p>
    <w:p w14:paraId="54F635D4" w14:textId="72E27CD0" w:rsidR="00F11E70" w:rsidRDefault="00F11E70" w:rsidP="005B2A9B">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USA Bank could be compelled, in a legal or equitable proceeding, to accept a money satisfaction of the lien.</w:t>
      </w:r>
    </w:p>
    <w:p w14:paraId="75DB2DF2" w14:textId="02AD8DBA" w:rsidR="00F11E70" w:rsidRDefault="00F11E70" w:rsidP="00F11E70">
      <w:pPr>
        <w:jc w:val="both"/>
        <w:rPr>
          <w:rFonts w:ascii="Arial" w:hAnsi="Arial" w:cs="Arial"/>
          <w:color w:val="7B7B7B" w:themeColor="accent3" w:themeShade="BF"/>
          <w:sz w:val="22"/>
          <w:szCs w:val="22"/>
          <w:lang w:val="en-GB"/>
        </w:rPr>
      </w:pPr>
    </w:p>
    <w:p w14:paraId="5722D9D5" w14:textId="79DC29F8" w:rsidR="00F11E70" w:rsidRPr="00F11E70" w:rsidRDefault="00F11E70" w:rsidP="00F11E7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Thus it will be seen that the consent of USA Bank to the sale of the facility is not essential, as long as one of the other conditions listed above applies.  Th</w:t>
      </w:r>
      <w:r w:rsidR="006B74C8">
        <w:rPr>
          <w:rFonts w:ascii="Arial" w:hAnsi="Arial" w:cs="Arial"/>
          <w:color w:val="7B7B7B" w:themeColor="accent3" w:themeShade="BF"/>
          <w:sz w:val="22"/>
          <w:szCs w:val="22"/>
          <w:lang w:val="en-GB"/>
        </w:rPr>
        <w:t>erefore</w:t>
      </w:r>
      <w:r>
        <w:rPr>
          <w:rFonts w:ascii="Arial" w:hAnsi="Arial" w:cs="Arial"/>
          <w:color w:val="7B7B7B" w:themeColor="accent3" w:themeShade="BF"/>
          <w:sz w:val="22"/>
          <w:szCs w:val="22"/>
          <w:lang w:val="en-GB"/>
        </w:rPr>
        <w:t xml:space="preserve">, if the sale price of the facility exceeds USD 500 million plus the value of any other </w:t>
      </w:r>
      <w:r w:rsidR="0032007F">
        <w:rPr>
          <w:rFonts w:ascii="Arial" w:hAnsi="Arial" w:cs="Arial"/>
          <w:color w:val="7B7B7B" w:themeColor="accent3" w:themeShade="BF"/>
          <w:sz w:val="22"/>
          <w:szCs w:val="22"/>
          <w:lang w:val="en-GB"/>
        </w:rPr>
        <w:t>liens on the facility, the court would likely approve the sale even if USA Bank objects.  Clearly, however, a sale with USA Bank’s consent pursuant to §363(f)(2) would be the most straightforward route.</w:t>
      </w:r>
      <w:r w:rsidR="00E93C10">
        <w:rPr>
          <w:rFonts w:ascii="Arial" w:hAnsi="Arial" w:cs="Arial"/>
          <w:color w:val="7B7B7B" w:themeColor="accent3" w:themeShade="BF"/>
          <w:sz w:val="22"/>
          <w:szCs w:val="22"/>
          <w:lang w:val="en-GB"/>
        </w:rPr>
        <w:t xml:space="preserve">  If the </w:t>
      </w:r>
      <w:r w:rsidR="006C6103">
        <w:rPr>
          <w:rFonts w:ascii="Arial" w:hAnsi="Arial" w:cs="Arial"/>
          <w:color w:val="7B7B7B" w:themeColor="accent3" w:themeShade="BF"/>
          <w:sz w:val="22"/>
          <w:szCs w:val="22"/>
          <w:lang w:val="en-GB"/>
        </w:rPr>
        <w:t>facility is sold then USA Bank’s interest will attach to the proceeds of sale.</w:t>
      </w:r>
    </w:p>
    <w:p w14:paraId="2FF13841" w14:textId="77777777" w:rsidR="00CE0B91" w:rsidRDefault="00CE0B91" w:rsidP="005B2A9B">
      <w:pPr>
        <w:jc w:val="both"/>
        <w:rPr>
          <w:rFonts w:ascii="Arial" w:hAnsi="Arial" w:cs="Arial"/>
          <w:color w:val="7B7B7B" w:themeColor="accent3" w:themeShade="BF"/>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52BF" w14:textId="77777777" w:rsidR="008D04AF" w:rsidRDefault="008D04AF" w:rsidP="00241B44">
      <w:r>
        <w:separator/>
      </w:r>
    </w:p>
  </w:endnote>
  <w:endnote w:type="continuationSeparator" w:id="0">
    <w:p w14:paraId="678B7640" w14:textId="77777777" w:rsidR="008D04AF" w:rsidRDefault="008D04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51634852" w:rsidR="00241FA3" w:rsidRPr="009B4976" w:rsidRDefault="004C5D51" w:rsidP="009B4976">
    <w:pPr>
      <w:pStyle w:val="Footer"/>
      <w:ind w:right="360"/>
      <w:rPr>
        <w:rFonts w:ascii="Arial" w:hAnsi="Arial" w:cs="Arial"/>
        <w:sz w:val="18"/>
        <w:szCs w:val="18"/>
        <w:lang w:val="en-GB"/>
      </w:rPr>
    </w:pPr>
    <w:r w:rsidRPr="004C5D51">
      <w:rPr>
        <w:rFonts w:ascii="Arial" w:hAnsi="Arial" w:cs="Arial"/>
        <w:sz w:val="18"/>
        <w:szCs w:val="18"/>
        <w:lang w:val="en-GB"/>
      </w:rPr>
      <w:t>202122-577</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6A0E" w14:textId="77777777" w:rsidR="004C5D51" w:rsidRDefault="004C5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F1EA" w14:textId="77777777" w:rsidR="008D04AF" w:rsidRDefault="008D04AF" w:rsidP="00241B44">
      <w:r>
        <w:separator/>
      </w:r>
    </w:p>
  </w:footnote>
  <w:footnote w:type="continuationSeparator" w:id="0">
    <w:p w14:paraId="142DAC77" w14:textId="77777777" w:rsidR="008D04AF" w:rsidRDefault="008D04A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E2B9" w14:textId="77777777" w:rsidR="004C5D51" w:rsidRDefault="004C5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3E13" w14:textId="77777777" w:rsidR="004C5D51" w:rsidRDefault="004C5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73F7" w14:textId="77777777" w:rsidR="004C5D51" w:rsidRDefault="004C5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23C55"/>
    <w:multiLevelType w:val="hybridMultilevel"/>
    <w:tmpl w:val="E020F018"/>
    <w:lvl w:ilvl="0" w:tplc="6206E8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51B3C"/>
    <w:multiLevelType w:val="hybridMultilevel"/>
    <w:tmpl w:val="DD78F69A"/>
    <w:lvl w:ilvl="0" w:tplc="11006D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BD4038"/>
    <w:multiLevelType w:val="hybridMultilevel"/>
    <w:tmpl w:val="96A858CA"/>
    <w:lvl w:ilvl="0" w:tplc="9CCAA1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8733841">
    <w:abstractNumId w:val="11"/>
  </w:num>
  <w:num w:numId="2" w16cid:durableId="1010254050">
    <w:abstractNumId w:val="13"/>
  </w:num>
  <w:num w:numId="3" w16cid:durableId="1001396124">
    <w:abstractNumId w:val="2"/>
  </w:num>
  <w:num w:numId="4" w16cid:durableId="855733397">
    <w:abstractNumId w:val="4"/>
  </w:num>
  <w:num w:numId="5" w16cid:durableId="2003895565">
    <w:abstractNumId w:val="5"/>
  </w:num>
  <w:num w:numId="6" w16cid:durableId="1075468648">
    <w:abstractNumId w:val="14"/>
  </w:num>
  <w:num w:numId="7" w16cid:durableId="142279207">
    <w:abstractNumId w:val="3"/>
  </w:num>
  <w:num w:numId="8" w16cid:durableId="859121671">
    <w:abstractNumId w:val="15"/>
  </w:num>
  <w:num w:numId="9" w16cid:durableId="2093813124">
    <w:abstractNumId w:val="6"/>
  </w:num>
  <w:num w:numId="10" w16cid:durableId="1484270946">
    <w:abstractNumId w:val="12"/>
  </w:num>
  <w:num w:numId="11" w16cid:durableId="1561402073">
    <w:abstractNumId w:val="8"/>
  </w:num>
  <w:num w:numId="12" w16cid:durableId="223880670">
    <w:abstractNumId w:val="10"/>
  </w:num>
  <w:num w:numId="13" w16cid:durableId="815606979">
    <w:abstractNumId w:val="0"/>
  </w:num>
  <w:num w:numId="14" w16cid:durableId="1394766756">
    <w:abstractNumId w:val="1"/>
  </w:num>
  <w:num w:numId="15" w16cid:durableId="1758205829">
    <w:abstractNumId w:val="7"/>
  </w:num>
  <w:num w:numId="16" w16cid:durableId="61343879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DA7"/>
    <w:rsid w:val="00021FC2"/>
    <w:rsid w:val="00022E00"/>
    <w:rsid w:val="000250C7"/>
    <w:rsid w:val="00026F16"/>
    <w:rsid w:val="00037621"/>
    <w:rsid w:val="00037671"/>
    <w:rsid w:val="00044D46"/>
    <w:rsid w:val="00045088"/>
    <w:rsid w:val="00045904"/>
    <w:rsid w:val="00047FDC"/>
    <w:rsid w:val="000502FD"/>
    <w:rsid w:val="00062146"/>
    <w:rsid w:val="00065166"/>
    <w:rsid w:val="00082609"/>
    <w:rsid w:val="000842F9"/>
    <w:rsid w:val="000851CC"/>
    <w:rsid w:val="0008659A"/>
    <w:rsid w:val="00087ACA"/>
    <w:rsid w:val="00093BE8"/>
    <w:rsid w:val="00094155"/>
    <w:rsid w:val="00097B45"/>
    <w:rsid w:val="00097C3D"/>
    <w:rsid w:val="000A407B"/>
    <w:rsid w:val="000A636A"/>
    <w:rsid w:val="000A68ED"/>
    <w:rsid w:val="000B1CA9"/>
    <w:rsid w:val="000B5FF1"/>
    <w:rsid w:val="000B609F"/>
    <w:rsid w:val="000B6905"/>
    <w:rsid w:val="000C4C5B"/>
    <w:rsid w:val="000C5099"/>
    <w:rsid w:val="000C5952"/>
    <w:rsid w:val="000D0008"/>
    <w:rsid w:val="000D55A8"/>
    <w:rsid w:val="000D77D3"/>
    <w:rsid w:val="000E4841"/>
    <w:rsid w:val="000F1677"/>
    <w:rsid w:val="000F3D6C"/>
    <w:rsid w:val="000F60D8"/>
    <w:rsid w:val="000F7FC2"/>
    <w:rsid w:val="00101707"/>
    <w:rsid w:val="00102CC9"/>
    <w:rsid w:val="0011473D"/>
    <w:rsid w:val="00115C85"/>
    <w:rsid w:val="0012224B"/>
    <w:rsid w:val="00123855"/>
    <w:rsid w:val="001245E2"/>
    <w:rsid w:val="00126A4D"/>
    <w:rsid w:val="0014171F"/>
    <w:rsid w:val="0014622C"/>
    <w:rsid w:val="00151C81"/>
    <w:rsid w:val="00152348"/>
    <w:rsid w:val="0015456D"/>
    <w:rsid w:val="00155FA2"/>
    <w:rsid w:val="00160679"/>
    <w:rsid w:val="00161F1B"/>
    <w:rsid w:val="00162829"/>
    <w:rsid w:val="00180548"/>
    <w:rsid w:val="00180AC4"/>
    <w:rsid w:val="00180CCE"/>
    <w:rsid w:val="0018267A"/>
    <w:rsid w:val="00182779"/>
    <w:rsid w:val="001830DF"/>
    <w:rsid w:val="0019600A"/>
    <w:rsid w:val="001966D9"/>
    <w:rsid w:val="001A7E9A"/>
    <w:rsid w:val="001B0F70"/>
    <w:rsid w:val="001B2074"/>
    <w:rsid w:val="001B3066"/>
    <w:rsid w:val="001B5016"/>
    <w:rsid w:val="001C45FC"/>
    <w:rsid w:val="001D0469"/>
    <w:rsid w:val="001D4862"/>
    <w:rsid w:val="001E1FE8"/>
    <w:rsid w:val="001E25B9"/>
    <w:rsid w:val="001E49E0"/>
    <w:rsid w:val="001E7B5A"/>
    <w:rsid w:val="001F7412"/>
    <w:rsid w:val="00202DFE"/>
    <w:rsid w:val="0020725B"/>
    <w:rsid w:val="002110F1"/>
    <w:rsid w:val="00223917"/>
    <w:rsid w:val="00230117"/>
    <w:rsid w:val="0024116D"/>
    <w:rsid w:val="00241B44"/>
    <w:rsid w:val="00241FA3"/>
    <w:rsid w:val="002435F1"/>
    <w:rsid w:val="00245EFB"/>
    <w:rsid w:val="0025386E"/>
    <w:rsid w:val="00256B74"/>
    <w:rsid w:val="002638B0"/>
    <w:rsid w:val="00264DF9"/>
    <w:rsid w:val="0026647A"/>
    <w:rsid w:val="002668D3"/>
    <w:rsid w:val="0027299F"/>
    <w:rsid w:val="00284EBE"/>
    <w:rsid w:val="0028756C"/>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E420C"/>
    <w:rsid w:val="002F1956"/>
    <w:rsid w:val="002F3440"/>
    <w:rsid w:val="002F75A3"/>
    <w:rsid w:val="00301D2B"/>
    <w:rsid w:val="00303C2F"/>
    <w:rsid w:val="003144EF"/>
    <w:rsid w:val="0032007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1125"/>
    <w:rsid w:val="0037465A"/>
    <w:rsid w:val="00382C98"/>
    <w:rsid w:val="0038533C"/>
    <w:rsid w:val="00386568"/>
    <w:rsid w:val="00390B57"/>
    <w:rsid w:val="003948D5"/>
    <w:rsid w:val="00396821"/>
    <w:rsid w:val="00397D3A"/>
    <w:rsid w:val="003A051E"/>
    <w:rsid w:val="003A75F4"/>
    <w:rsid w:val="003B170F"/>
    <w:rsid w:val="003B3C5F"/>
    <w:rsid w:val="003B7184"/>
    <w:rsid w:val="003B7B12"/>
    <w:rsid w:val="003C4471"/>
    <w:rsid w:val="003C53FE"/>
    <w:rsid w:val="003D0A6D"/>
    <w:rsid w:val="003D52BF"/>
    <w:rsid w:val="003E0B16"/>
    <w:rsid w:val="003E67D1"/>
    <w:rsid w:val="00404329"/>
    <w:rsid w:val="00405DC1"/>
    <w:rsid w:val="00407796"/>
    <w:rsid w:val="00415F1F"/>
    <w:rsid w:val="0042108F"/>
    <w:rsid w:val="004248F6"/>
    <w:rsid w:val="004273B0"/>
    <w:rsid w:val="00430FED"/>
    <w:rsid w:val="00434A8C"/>
    <w:rsid w:val="0043645C"/>
    <w:rsid w:val="00437297"/>
    <w:rsid w:val="00444284"/>
    <w:rsid w:val="00445CE6"/>
    <w:rsid w:val="004534C2"/>
    <w:rsid w:val="0045446F"/>
    <w:rsid w:val="00455018"/>
    <w:rsid w:val="0045683E"/>
    <w:rsid w:val="00456858"/>
    <w:rsid w:val="004714B1"/>
    <w:rsid w:val="00477C72"/>
    <w:rsid w:val="0048227A"/>
    <w:rsid w:val="00484AD7"/>
    <w:rsid w:val="00491675"/>
    <w:rsid w:val="00493855"/>
    <w:rsid w:val="00495E79"/>
    <w:rsid w:val="00496C2B"/>
    <w:rsid w:val="004A57DD"/>
    <w:rsid w:val="004A7B51"/>
    <w:rsid w:val="004A7D71"/>
    <w:rsid w:val="004A7EF3"/>
    <w:rsid w:val="004B11FD"/>
    <w:rsid w:val="004B23A2"/>
    <w:rsid w:val="004C5D51"/>
    <w:rsid w:val="004D1A5A"/>
    <w:rsid w:val="004D2FFF"/>
    <w:rsid w:val="004D3721"/>
    <w:rsid w:val="004D64F9"/>
    <w:rsid w:val="004E3A6B"/>
    <w:rsid w:val="004E5AF5"/>
    <w:rsid w:val="004E622C"/>
    <w:rsid w:val="004F49B5"/>
    <w:rsid w:val="004F553A"/>
    <w:rsid w:val="004F5FDF"/>
    <w:rsid w:val="004F7B99"/>
    <w:rsid w:val="00505DB2"/>
    <w:rsid w:val="00510040"/>
    <w:rsid w:val="00515810"/>
    <w:rsid w:val="005177FE"/>
    <w:rsid w:val="0052263B"/>
    <w:rsid w:val="005232FE"/>
    <w:rsid w:val="00524728"/>
    <w:rsid w:val="005274A3"/>
    <w:rsid w:val="005331CA"/>
    <w:rsid w:val="005377C8"/>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4B7D"/>
    <w:rsid w:val="005E6076"/>
    <w:rsid w:val="005E7008"/>
    <w:rsid w:val="005F026D"/>
    <w:rsid w:val="005F2AEA"/>
    <w:rsid w:val="005F2D0B"/>
    <w:rsid w:val="005F42CC"/>
    <w:rsid w:val="005F4B31"/>
    <w:rsid w:val="00610388"/>
    <w:rsid w:val="00610AC7"/>
    <w:rsid w:val="00612CA5"/>
    <w:rsid w:val="006153EC"/>
    <w:rsid w:val="006203A0"/>
    <w:rsid w:val="00621A17"/>
    <w:rsid w:val="006220B5"/>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436C"/>
    <w:rsid w:val="006A4904"/>
    <w:rsid w:val="006A6530"/>
    <w:rsid w:val="006B3571"/>
    <w:rsid w:val="006B435A"/>
    <w:rsid w:val="006B4C64"/>
    <w:rsid w:val="006B6E1A"/>
    <w:rsid w:val="006B74C8"/>
    <w:rsid w:val="006C6103"/>
    <w:rsid w:val="006D6BD5"/>
    <w:rsid w:val="006E079B"/>
    <w:rsid w:val="006E3146"/>
    <w:rsid w:val="006E481A"/>
    <w:rsid w:val="006E5298"/>
    <w:rsid w:val="006F4A78"/>
    <w:rsid w:val="006F734A"/>
    <w:rsid w:val="00700D83"/>
    <w:rsid w:val="00704852"/>
    <w:rsid w:val="007074E9"/>
    <w:rsid w:val="00713DA4"/>
    <w:rsid w:val="00713F3B"/>
    <w:rsid w:val="00714BF1"/>
    <w:rsid w:val="00717C2C"/>
    <w:rsid w:val="00721383"/>
    <w:rsid w:val="0073158B"/>
    <w:rsid w:val="007333CC"/>
    <w:rsid w:val="0073399A"/>
    <w:rsid w:val="00735579"/>
    <w:rsid w:val="007603F5"/>
    <w:rsid w:val="00764DB0"/>
    <w:rsid w:val="0076764D"/>
    <w:rsid w:val="00771080"/>
    <w:rsid w:val="0077498C"/>
    <w:rsid w:val="0077698E"/>
    <w:rsid w:val="007777EB"/>
    <w:rsid w:val="00777C53"/>
    <w:rsid w:val="007809BC"/>
    <w:rsid w:val="00784128"/>
    <w:rsid w:val="00787BCC"/>
    <w:rsid w:val="00793173"/>
    <w:rsid w:val="007A2A33"/>
    <w:rsid w:val="007B0809"/>
    <w:rsid w:val="007B5C89"/>
    <w:rsid w:val="007C1FCC"/>
    <w:rsid w:val="007C6201"/>
    <w:rsid w:val="007C6FF3"/>
    <w:rsid w:val="007D0192"/>
    <w:rsid w:val="007D0EC4"/>
    <w:rsid w:val="007D7C92"/>
    <w:rsid w:val="007E1154"/>
    <w:rsid w:val="007E118F"/>
    <w:rsid w:val="007E6BA4"/>
    <w:rsid w:val="007F12AB"/>
    <w:rsid w:val="007F41F8"/>
    <w:rsid w:val="007F659B"/>
    <w:rsid w:val="0080454E"/>
    <w:rsid w:val="00804C32"/>
    <w:rsid w:val="00805305"/>
    <w:rsid w:val="00806302"/>
    <w:rsid w:val="00807119"/>
    <w:rsid w:val="0082483F"/>
    <w:rsid w:val="008279C0"/>
    <w:rsid w:val="00834317"/>
    <w:rsid w:val="00834F92"/>
    <w:rsid w:val="008656E6"/>
    <w:rsid w:val="00866622"/>
    <w:rsid w:val="008723F3"/>
    <w:rsid w:val="00881332"/>
    <w:rsid w:val="00881DE6"/>
    <w:rsid w:val="00882B94"/>
    <w:rsid w:val="008837A6"/>
    <w:rsid w:val="0089145D"/>
    <w:rsid w:val="008959F6"/>
    <w:rsid w:val="00895EF1"/>
    <w:rsid w:val="008A4DF2"/>
    <w:rsid w:val="008A6CFE"/>
    <w:rsid w:val="008A771D"/>
    <w:rsid w:val="008B5333"/>
    <w:rsid w:val="008B6223"/>
    <w:rsid w:val="008C12EF"/>
    <w:rsid w:val="008C66E0"/>
    <w:rsid w:val="008D04AF"/>
    <w:rsid w:val="008E28BB"/>
    <w:rsid w:val="008E3339"/>
    <w:rsid w:val="008F20FC"/>
    <w:rsid w:val="008F5FFE"/>
    <w:rsid w:val="00902FA7"/>
    <w:rsid w:val="00905A43"/>
    <w:rsid w:val="00905A6F"/>
    <w:rsid w:val="00912C79"/>
    <w:rsid w:val="00921B8C"/>
    <w:rsid w:val="0092565E"/>
    <w:rsid w:val="00931302"/>
    <w:rsid w:val="0093467C"/>
    <w:rsid w:val="00942123"/>
    <w:rsid w:val="0095207B"/>
    <w:rsid w:val="00962045"/>
    <w:rsid w:val="00972845"/>
    <w:rsid w:val="00977587"/>
    <w:rsid w:val="00980E61"/>
    <w:rsid w:val="00985598"/>
    <w:rsid w:val="00991428"/>
    <w:rsid w:val="00992676"/>
    <w:rsid w:val="009954B2"/>
    <w:rsid w:val="00996691"/>
    <w:rsid w:val="009B0723"/>
    <w:rsid w:val="009B07AD"/>
    <w:rsid w:val="009B0883"/>
    <w:rsid w:val="009B15E2"/>
    <w:rsid w:val="009B4976"/>
    <w:rsid w:val="009C0B8E"/>
    <w:rsid w:val="009C1BC8"/>
    <w:rsid w:val="009C2442"/>
    <w:rsid w:val="009C4A13"/>
    <w:rsid w:val="009D0811"/>
    <w:rsid w:val="009D0EE1"/>
    <w:rsid w:val="009D132D"/>
    <w:rsid w:val="009E2AEB"/>
    <w:rsid w:val="009E2E27"/>
    <w:rsid w:val="009E4467"/>
    <w:rsid w:val="009E45DF"/>
    <w:rsid w:val="009E4DE3"/>
    <w:rsid w:val="009F04DC"/>
    <w:rsid w:val="009F098C"/>
    <w:rsid w:val="009F275E"/>
    <w:rsid w:val="009F479A"/>
    <w:rsid w:val="00A024E7"/>
    <w:rsid w:val="00A0473D"/>
    <w:rsid w:val="00A047EE"/>
    <w:rsid w:val="00A2274A"/>
    <w:rsid w:val="00A235B7"/>
    <w:rsid w:val="00A27A7A"/>
    <w:rsid w:val="00A3165E"/>
    <w:rsid w:val="00A31E66"/>
    <w:rsid w:val="00A34ABE"/>
    <w:rsid w:val="00A407EF"/>
    <w:rsid w:val="00A46A86"/>
    <w:rsid w:val="00A46B4C"/>
    <w:rsid w:val="00A5117B"/>
    <w:rsid w:val="00A56D34"/>
    <w:rsid w:val="00A60074"/>
    <w:rsid w:val="00A6029D"/>
    <w:rsid w:val="00A65E8C"/>
    <w:rsid w:val="00A6627C"/>
    <w:rsid w:val="00A71019"/>
    <w:rsid w:val="00A81029"/>
    <w:rsid w:val="00A8180E"/>
    <w:rsid w:val="00A86C06"/>
    <w:rsid w:val="00A94F58"/>
    <w:rsid w:val="00A95463"/>
    <w:rsid w:val="00A96489"/>
    <w:rsid w:val="00AA7BE3"/>
    <w:rsid w:val="00AB1B65"/>
    <w:rsid w:val="00AB2425"/>
    <w:rsid w:val="00AB685C"/>
    <w:rsid w:val="00AB6C2D"/>
    <w:rsid w:val="00AC08F7"/>
    <w:rsid w:val="00AC3839"/>
    <w:rsid w:val="00AC7082"/>
    <w:rsid w:val="00AC755F"/>
    <w:rsid w:val="00AC7D6F"/>
    <w:rsid w:val="00AD4BE8"/>
    <w:rsid w:val="00AF228E"/>
    <w:rsid w:val="00B01654"/>
    <w:rsid w:val="00B016A8"/>
    <w:rsid w:val="00B10961"/>
    <w:rsid w:val="00B131F5"/>
    <w:rsid w:val="00B14819"/>
    <w:rsid w:val="00B15E2F"/>
    <w:rsid w:val="00B17AA9"/>
    <w:rsid w:val="00B227D9"/>
    <w:rsid w:val="00B27E6E"/>
    <w:rsid w:val="00B44713"/>
    <w:rsid w:val="00B51AF1"/>
    <w:rsid w:val="00B55385"/>
    <w:rsid w:val="00B56103"/>
    <w:rsid w:val="00B60F14"/>
    <w:rsid w:val="00B64929"/>
    <w:rsid w:val="00B64ACA"/>
    <w:rsid w:val="00B72953"/>
    <w:rsid w:val="00B736DF"/>
    <w:rsid w:val="00B743D6"/>
    <w:rsid w:val="00B74FBD"/>
    <w:rsid w:val="00B77F46"/>
    <w:rsid w:val="00B82586"/>
    <w:rsid w:val="00B829A3"/>
    <w:rsid w:val="00B84615"/>
    <w:rsid w:val="00B86DB1"/>
    <w:rsid w:val="00B87869"/>
    <w:rsid w:val="00B95082"/>
    <w:rsid w:val="00B9639B"/>
    <w:rsid w:val="00BB0F2B"/>
    <w:rsid w:val="00BC0E24"/>
    <w:rsid w:val="00BD4A58"/>
    <w:rsid w:val="00BD7337"/>
    <w:rsid w:val="00BE4FF3"/>
    <w:rsid w:val="00BF10A1"/>
    <w:rsid w:val="00BF50F7"/>
    <w:rsid w:val="00C01295"/>
    <w:rsid w:val="00C02F29"/>
    <w:rsid w:val="00C03A16"/>
    <w:rsid w:val="00C07CA6"/>
    <w:rsid w:val="00C20AFE"/>
    <w:rsid w:val="00C22A25"/>
    <w:rsid w:val="00C30992"/>
    <w:rsid w:val="00C35671"/>
    <w:rsid w:val="00C35B77"/>
    <w:rsid w:val="00C362AA"/>
    <w:rsid w:val="00C373B7"/>
    <w:rsid w:val="00C376EB"/>
    <w:rsid w:val="00C377C1"/>
    <w:rsid w:val="00C46A92"/>
    <w:rsid w:val="00C46EC1"/>
    <w:rsid w:val="00C52796"/>
    <w:rsid w:val="00C53E2C"/>
    <w:rsid w:val="00C550C8"/>
    <w:rsid w:val="00C56B61"/>
    <w:rsid w:val="00C56BBC"/>
    <w:rsid w:val="00C606C3"/>
    <w:rsid w:val="00C620F4"/>
    <w:rsid w:val="00C6221C"/>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0C0F"/>
    <w:rsid w:val="00CC175B"/>
    <w:rsid w:val="00CC4818"/>
    <w:rsid w:val="00CC5335"/>
    <w:rsid w:val="00CC5BA4"/>
    <w:rsid w:val="00CD4998"/>
    <w:rsid w:val="00CE0B91"/>
    <w:rsid w:val="00CE1035"/>
    <w:rsid w:val="00CE40AE"/>
    <w:rsid w:val="00CE6E50"/>
    <w:rsid w:val="00CF2819"/>
    <w:rsid w:val="00CF2866"/>
    <w:rsid w:val="00CF4F9D"/>
    <w:rsid w:val="00CF70DC"/>
    <w:rsid w:val="00D041E0"/>
    <w:rsid w:val="00D14336"/>
    <w:rsid w:val="00D148DC"/>
    <w:rsid w:val="00D17FDC"/>
    <w:rsid w:val="00D21021"/>
    <w:rsid w:val="00D21D8C"/>
    <w:rsid w:val="00D316F2"/>
    <w:rsid w:val="00D46305"/>
    <w:rsid w:val="00D51744"/>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4A7D"/>
    <w:rsid w:val="00DE5357"/>
    <w:rsid w:val="00DE6633"/>
    <w:rsid w:val="00DF158F"/>
    <w:rsid w:val="00DF26A0"/>
    <w:rsid w:val="00DF75F8"/>
    <w:rsid w:val="00DF78CE"/>
    <w:rsid w:val="00DF7A3A"/>
    <w:rsid w:val="00E00C00"/>
    <w:rsid w:val="00E07C5A"/>
    <w:rsid w:val="00E12EC4"/>
    <w:rsid w:val="00E1319C"/>
    <w:rsid w:val="00E15BA9"/>
    <w:rsid w:val="00E16C37"/>
    <w:rsid w:val="00E26E10"/>
    <w:rsid w:val="00E26E19"/>
    <w:rsid w:val="00E30E60"/>
    <w:rsid w:val="00E31DF3"/>
    <w:rsid w:val="00E434FA"/>
    <w:rsid w:val="00E450A4"/>
    <w:rsid w:val="00E506BE"/>
    <w:rsid w:val="00E55547"/>
    <w:rsid w:val="00E6302B"/>
    <w:rsid w:val="00E6452F"/>
    <w:rsid w:val="00E64F45"/>
    <w:rsid w:val="00E6742D"/>
    <w:rsid w:val="00E71CB0"/>
    <w:rsid w:val="00E77C3D"/>
    <w:rsid w:val="00E90991"/>
    <w:rsid w:val="00E909F0"/>
    <w:rsid w:val="00E90D47"/>
    <w:rsid w:val="00E93993"/>
    <w:rsid w:val="00E93C10"/>
    <w:rsid w:val="00E9597C"/>
    <w:rsid w:val="00EA0913"/>
    <w:rsid w:val="00EA5B00"/>
    <w:rsid w:val="00EB146B"/>
    <w:rsid w:val="00EB45AC"/>
    <w:rsid w:val="00EC441F"/>
    <w:rsid w:val="00EC4755"/>
    <w:rsid w:val="00EC5F96"/>
    <w:rsid w:val="00ED0247"/>
    <w:rsid w:val="00ED0BC4"/>
    <w:rsid w:val="00ED447D"/>
    <w:rsid w:val="00ED738F"/>
    <w:rsid w:val="00ED74BC"/>
    <w:rsid w:val="00EE4971"/>
    <w:rsid w:val="00EF090E"/>
    <w:rsid w:val="00EF4E12"/>
    <w:rsid w:val="00EF5572"/>
    <w:rsid w:val="00F031EF"/>
    <w:rsid w:val="00F033DA"/>
    <w:rsid w:val="00F068F8"/>
    <w:rsid w:val="00F11E70"/>
    <w:rsid w:val="00F13691"/>
    <w:rsid w:val="00F13FB1"/>
    <w:rsid w:val="00F22EBD"/>
    <w:rsid w:val="00F24CAD"/>
    <w:rsid w:val="00F27CD8"/>
    <w:rsid w:val="00F30351"/>
    <w:rsid w:val="00F3323E"/>
    <w:rsid w:val="00F341F4"/>
    <w:rsid w:val="00F34F9D"/>
    <w:rsid w:val="00F35CCE"/>
    <w:rsid w:val="00F5524B"/>
    <w:rsid w:val="00F60538"/>
    <w:rsid w:val="00F61DD2"/>
    <w:rsid w:val="00F64963"/>
    <w:rsid w:val="00F66AFF"/>
    <w:rsid w:val="00F71433"/>
    <w:rsid w:val="00F76B7B"/>
    <w:rsid w:val="00F92140"/>
    <w:rsid w:val="00F93DBB"/>
    <w:rsid w:val="00F97C5B"/>
    <w:rsid w:val="00FA3D50"/>
    <w:rsid w:val="00FB7FBD"/>
    <w:rsid w:val="00FC374A"/>
    <w:rsid w:val="00FC43EC"/>
    <w:rsid w:val="00FC7AC7"/>
    <w:rsid w:val="00FC7B47"/>
    <w:rsid w:val="00FD035C"/>
    <w:rsid w:val="00FD1A35"/>
    <w:rsid w:val="00FD2B6D"/>
    <w:rsid w:val="00FD2EA4"/>
    <w:rsid w:val="00FD36C5"/>
    <w:rsid w:val="00FD6310"/>
    <w:rsid w:val="00FD7253"/>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33050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05384639">
      <w:bodyDiv w:val="1"/>
      <w:marLeft w:val="0"/>
      <w:marRight w:val="0"/>
      <w:marTop w:val="0"/>
      <w:marBottom w:val="0"/>
      <w:divBdr>
        <w:top w:val="none" w:sz="0" w:space="0" w:color="auto"/>
        <w:left w:val="none" w:sz="0" w:space="0" w:color="auto"/>
        <w:bottom w:val="none" w:sz="0" w:space="0" w:color="auto"/>
        <w:right w:val="none" w:sz="0" w:space="0" w:color="auto"/>
      </w:divBdr>
      <w:divsChild>
        <w:div w:id="756438610">
          <w:marLeft w:val="0"/>
          <w:marRight w:val="0"/>
          <w:marTop w:val="0"/>
          <w:marBottom w:val="0"/>
          <w:divBdr>
            <w:top w:val="none" w:sz="0" w:space="0" w:color="auto"/>
            <w:left w:val="none" w:sz="0" w:space="0" w:color="auto"/>
            <w:bottom w:val="none" w:sz="0" w:space="0" w:color="auto"/>
            <w:right w:val="none" w:sz="0" w:space="0" w:color="auto"/>
          </w:divBdr>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59990945">
      <w:bodyDiv w:val="1"/>
      <w:marLeft w:val="0"/>
      <w:marRight w:val="0"/>
      <w:marTop w:val="0"/>
      <w:marBottom w:val="0"/>
      <w:divBdr>
        <w:top w:val="none" w:sz="0" w:space="0" w:color="auto"/>
        <w:left w:val="none" w:sz="0" w:space="0" w:color="auto"/>
        <w:bottom w:val="none" w:sz="0" w:space="0" w:color="auto"/>
        <w:right w:val="none" w:sz="0" w:space="0" w:color="auto"/>
      </w:divBdr>
      <w:divsChild>
        <w:div w:id="2104261833">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4840</Words>
  <Characters>27590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Fiona Whiteside</cp:lastModifiedBy>
  <cp:revision>25</cp:revision>
  <cp:lastPrinted>2019-08-27T05:42:00Z</cp:lastPrinted>
  <dcterms:created xsi:type="dcterms:W3CDTF">2022-07-31T15:05:00Z</dcterms:created>
  <dcterms:modified xsi:type="dcterms:W3CDTF">2022-07-31T18:18:00Z</dcterms:modified>
</cp:coreProperties>
</file>