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5B3875" w:rsidRDefault="00A6325B" w:rsidP="006F4751">
      <w:pPr>
        <w:pStyle w:val="ListParagraph"/>
        <w:numPr>
          <w:ilvl w:val="1"/>
          <w:numId w:val="5"/>
        </w:numPr>
        <w:ind w:left="426"/>
        <w:jc w:val="both"/>
        <w:rPr>
          <w:rFonts w:ascii="Arial" w:hAnsi="Arial" w:cs="Arial"/>
          <w:sz w:val="22"/>
          <w:szCs w:val="22"/>
          <w:highlight w:val="yellow"/>
          <w:lang w:val="en-GB"/>
        </w:rPr>
      </w:pPr>
      <w:r w:rsidRPr="005B3875">
        <w:rPr>
          <w:rFonts w:ascii="Arial" w:hAnsi="Arial" w:cs="Arial"/>
          <w:sz w:val="22"/>
          <w:szCs w:val="22"/>
          <w:highlight w:val="yellow"/>
          <w:lang w:val="en-GB"/>
        </w:rPr>
        <w:t>a</w:t>
      </w:r>
      <w:r w:rsidR="00286642" w:rsidRPr="005B3875">
        <w:rPr>
          <w:rFonts w:ascii="Arial" w:hAnsi="Arial" w:cs="Arial"/>
          <w:sz w:val="22"/>
          <w:szCs w:val="22"/>
          <w:highlight w:val="yellow"/>
          <w:lang w:val="en-GB"/>
        </w:rPr>
        <w:t>ny of the above</w:t>
      </w:r>
      <w:r w:rsidRPr="005B3875">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5B3875" w:rsidRDefault="005D093D" w:rsidP="009578F6">
      <w:pPr>
        <w:pStyle w:val="ListParagraph"/>
        <w:numPr>
          <w:ilvl w:val="0"/>
          <w:numId w:val="6"/>
        </w:numPr>
        <w:ind w:left="426"/>
        <w:jc w:val="both"/>
        <w:rPr>
          <w:rFonts w:ascii="Arial" w:hAnsi="Arial" w:cs="Arial"/>
          <w:sz w:val="22"/>
          <w:szCs w:val="22"/>
          <w:highlight w:val="yellow"/>
          <w:lang w:val="en-GB"/>
        </w:rPr>
      </w:pPr>
      <w:r w:rsidRPr="005B3875">
        <w:rPr>
          <w:rFonts w:ascii="Arial" w:hAnsi="Arial" w:cs="Arial"/>
          <w:sz w:val="22"/>
          <w:szCs w:val="22"/>
          <w:highlight w:val="yellow"/>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015EF9" w:rsidRDefault="00B81F6E" w:rsidP="006F4751">
      <w:pPr>
        <w:pStyle w:val="ListParagraph"/>
        <w:numPr>
          <w:ilvl w:val="1"/>
          <w:numId w:val="7"/>
        </w:numPr>
        <w:ind w:left="426"/>
        <w:jc w:val="both"/>
        <w:rPr>
          <w:rFonts w:ascii="Arial" w:hAnsi="Arial" w:cs="Arial"/>
          <w:sz w:val="22"/>
          <w:szCs w:val="22"/>
          <w:highlight w:val="yellow"/>
          <w:lang w:val="en-GB"/>
        </w:rPr>
      </w:pPr>
      <w:r w:rsidRPr="00015EF9">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69026A" w:rsidRDefault="00FE53A3" w:rsidP="009578F6">
      <w:pPr>
        <w:pStyle w:val="ListParagraph"/>
        <w:numPr>
          <w:ilvl w:val="0"/>
          <w:numId w:val="8"/>
        </w:numPr>
        <w:ind w:left="426"/>
        <w:jc w:val="both"/>
        <w:rPr>
          <w:rFonts w:ascii="Arial" w:hAnsi="Arial" w:cs="Arial"/>
          <w:sz w:val="22"/>
          <w:szCs w:val="22"/>
          <w:highlight w:val="yellow"/>
          <w:lang w:val="en-GB"/>
        </w:rPr>
      </w:pPr>
      <w:r w:rsidRPr="0069026A">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69026A" w:rsidRDefault="0041438F" w:rsidP="009578F6">
      <w:pPr>
        <w:pStyle w:val="ListParagraph"/>
        <w:numPr>
          <w:ilvl w:val="0"/>
          <w:numId w:val="9"/>
        </w:numPr>
        <w:ind w:left="426"/>
        <w:jc w:val="both"/>
        <w:rPr>
          <w:rFonts w:ascii="Arial" w:hAnsi="Arial" w:cs="Arial"/>
          <w:sz w:val="22"/>
          <w:szCs w:val="22"/>
          <w:highlight w:val="yellow"/>
          <w:lang w:val="en-GB"/>
        </w:rPr>
      </w:pPr>
      <w:r w:rsidRPr="0069026A">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21E748FE" w:rsidR="006F4751" w:rsidRPr="005F6EDF" w:rsidRDefault="006F4751" w:rsidP="009578F6">
      <w:pPr>
        <w:pStyle w:val="ListParagraph"/>
        <w:numPr>
          <w:ilvl w:val="0"/>
          <w:numId w:val="10"/>
        </w:numPr>
        <w:ind w:left="426"/>
        <w:jc w:val="both"/>
        <w:rPr>
          <w:rFonts w:ascii="Arial" w:hAnsi="Arial" w:cs="Arial"/>
          <w:sz w:val="22"/>
          <w:szCs w:val="22"/>
          <w:highlight w:val="yellow"/>
          <w:lang w:val="en-GB"/>
        </w:rPr>
      </w:pPr>
      <w:r w:rsidRPr="005F6EDF">
        <w:rPr>
          <w:rFonts w:ascii="Arial" w:hAnsi="Arial" w:cs="Arial"/>
          <w:sz w:val="22"/>
          <w:szCs w:val="22"/>
          <w:highlight w:val="yellow"/>
          <w:lang w:val="en-GB"/>
        </w:rPr>
        <w:t>none of above.</w:t>
      </w:r>
    </w:p>
    <w:p w14:paraId="40E8079F" w14:textId="77777777" w:rsidR="005F6EDF" w:rsidRPr="005F6EDF" w:rsidRDefault="005F6EDF" w:rsidP="005F6EDF">
      <w:pPr>
        <w:jc w:val="both"/>
        <w:rPr>
          <w:rFonts w:ascii="Arial" w:hAnsi="Arial" w:cs="Arial"/>
          <w:sz w:val="22"/>
          <w:szCs w:val="22"/>
          <w:lang w:val="en-GB"/>
        </w:rPr>
      </w:pP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B75CB"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EB75CB">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22660E" w:rsidRDefault="00B22016" w:rsidP="00B22016">
      <w:pPr>
        <w:pStyle w:val="ListParagraph"/>
        <w:numPr>
          <w:ilvl w:val="1"/>
          <w:numId w:val="14"/>
        </w:numPr>
        <w:ind w:left="426"/>
        <w:jc w:val="both"/>
        <w:rPr>
          <w:rFonts w:ascii="Arial" w:hAnsi="Arial" w:cs="Arial"/>
          <w:sz w:val="22"/>
          <w:szCs w:val="22"/>
          <w:highlight w:val="yellow"/>
          <w:lang w:val="en-GB"/>
        </w:rPr>
      </w:pPr>
      <w:r w:rsidRPr="0022660E">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22660E" w:rsidRDefault="005D54B3" w:rsidP="005D54B3">
      <w:pPr>
        <w:pStyle w:val="ListParagraph"/>
        <w:numPr>
          <w:ilvl w:val="0"/>
          <w:numId w:val="15"/>
        </w:numPr>
        <w:ind w:left="426"/>
        <w:jc w:val="both"/>
        <w:rPr>
          <w:rFonts w:ascii="Arial" w:hAnsi="Arial" w:cs="Arial"/>
          <w:sz w:val="22"/>
          <w:szCs w:val="22"/>
          <w:highlight w:val="yellow"/>
          <w:lang w:val="en-GB"/>
        </w:rPr>
      </w:pPr>
      <w:r w:rsidRPr="0022660E">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64BA8BDD" w:rsid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3947B3E" w14:textId="77777777" w:rsidR="0022660E" w:rsidRPr="0022660E" w:rsidRDefault="0022660E" w:rsidP="0022660E">
      <w:pPr>
        <w:jc w:val="both"/>
        <w:rPr>
          <w:rFonts w:ascii="Arial" w:hAnsi="Arial" w:cs="Arial"/>
          <w:sz w:val="22"/>
          <w:szCs w:val="22"/>
          <w:lang w:val="en-GB"/>
        </w:rPr>
      </w:pPr>
    </w:p>
    <w:p w14:paraId="616C1975" w14:textId="189D0F5C" w:rsidR="009578F6" w:rsidRPr="009F03D8" w:rsidRDefault="009578F6" w:rsidP="009578F6">
      <w:pPr>
        <w:pStyle w:val="ListParagraph"/>
        <w:numPr>
          <w:ilvl w:val="0"/>
          <w:numId w:val="18"/>
        </w:numPr>
        <w:ind w:left="426"/>
        <w:jc w:val="both"/>
        <w:rPr>
          <w:rFonts w:ascii="Arial" w:hAnsi="Arial" w:cs="Arial"/>
          <w:sz w:val="22"/>
          <w:szCs w:val="22"/>
          <w:highlight w:val="yellow"/>
          <w:lang w:val="en-GB"/>
        </w:rPr>
      </w:pPr>
      <w:r w:rsidRPr="009F03D8">
        <w:rPr>
          <w:rFonts w:ascii="Arial" w:hAnsi="Arial" w:cs="Arial"/>
          <w:sz w:val="22"/>
          <w:szCs w:val="22"/>
          <w:highlight w:val="yellow"/>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872434E" w14:textId="3730271C" w:rsidR="00BF5746" w:rsidRPr="009F03D8" w:rsidRDefault="009578F6" w:rsidP="009F03D8">
      <w:pPr>
        <w:pStyle w:val="ListParagraph"/>
        <w:numPr>
          <w:ilvl w:val="0"/>
          <w:numId w:val="18"/>
        </w:numPr>
        <w:ind w:left="426"/>
        <w:jc w:val="both"/>
        <w:rPr>
          <w:rFonts w:ascii="Arial" w:hAnsi="Arial" w:cs="Arial"/>
          <w:sz w:val="22"/>
          <w:szCs w:val="22"/>
          <w:lang w:val="en-GB"/>
        </w:rPr>
      </w:pPr>
      <w:r w:rsidRPr="00E76657">
        <w:rPr>
          <w:rFonts w:ascii="Arial" w:hAnsi="Arial" w:cs="Arial"/>
          <w:sz w:val="22"/>
          <w:szCs w:val="22"/>
          <w:lang w:val="en-GB"/>
        </w:rPr>
        <w:t>None of the above.</w:t>
      </w: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47227CF3" w14:textId="49F761EC" w:rsidR="00E15753" w:rsidRDefault="00E15753" w:rsidP="00737749">
      <w:pPr>
        <w:ind w:left="720" w:hanging="720"/>
        <w:jc w:val="both"/>
        <w:rPr>
          <w:rFonts w:ascii="Arial" w:hAnsi="Arial" w:cs="Arial"/>
          <w:color w:val="808080" w:themeColor="background1" w:themeShade="80"/>
          <w:sz w:val="22"/>
          <w:szCs w:val="22"/>
          <w:lang w:val="en-GB"/>
        </w:rPr>
      </w:pPr>
    </w:p>
    <w:p w14:paraId="3274831C" w14:textId="2F160A6A" w:rsidR="00CD6606" w:rsidRDefault="00CD6606" w:rsidP="00CD6606">
      <w:pPr>
        <w:jc w:val="both"/>
        <w:rPr>
          <w:rFonts w:ascii="Arial" w:hAnsi="Arial" w:cs="Arial"/>
          <w:sz w:val="22"/>
          <w:szCs w:val="22"/>
          <w:lang w:val="en-GB"/>
        </w:rPr>
      </w:pPr>
      <w:r>
        <w:rPr>
          <w:rFonts w:ascii="Arial" w:hAnsi="Arial" w:cs="Arial"/>
          <w:sz w:val="22"/>
          <w:szCs w:val="22"/>
          <w:lang w:val="en-GB"/>
        </w:rPr>
        <w:t xml:space="preserve">For the Hong Kong Court to exercise its bankruptcy jurisdiction over a debter, the debtor must be an individual, and pursuant to section 4 of the </w:t>
      </w:r>
      <w:r w:rsidR="00A6669C">
        <w:rPr>
          <w:rFonts w:ascii="Arial" w:hAnsi="Arial" w:cs="Arial"/>
          <w:sz w:val="22"/>
          <w:szCs w:val="22"/>
          <w:lang w:val="en-GB"/>
        </w:rPr>
        <w:t xml:space="preserve">Bankruptcy Ordinance (Cap 6) </w:t>
      </w:r>
      <w:r>
        <w:rPr>
          <w:rFonts w:ascii="Arial" w:hAnsi="Arial" w:cs="Arial"/>
          <w:sz w:val="22"/>
          <w:szCs w:val="22"/>
          <w:lang w:val="en-GB"/>
        </w:rPr>
        <w:t>(“BO”) must:</w:t>
      </w:r>
    </w:p>
    <w:p w14:paraId="1A6E30B5" w14:textId="104F56F0" w:rsidR="00CD6606" w:rsidRDefault="00CD6606" w:rsidP="00737749">
      <w:pPr>
        <w:ind w:left="720" w:hanging="720"/>
        <w:jc w:val="both"/>
        <w:rPr>
          <w:rFonts w:ascii="Arial" w:hAnsi="Arial" w:cs="Arial"/>
          <w:sz w:val="22"/>
          <w:szCs w:val="22"/>
          <w:lang w:val="en-GB"/>
        </w:rPr>
      </w:pPr>
    </w:p>
    <w:p w14:paraId="4EC6FE18" w14:textId="1C17664E" w:rsidR="00CD6606" w:rsidRDefault="00CD6606" w:rsidP="00CD6606">
      <w:pPr>
        <w:pStyle w:val="ListParagraph"/>
        <w:numPr>
          <w:ilvl w:val="0"/>
          <w:numId w:val="28"/>
        </w:numPr>
        <w:jc w:val="both"/>
        <w:rPr>
          <w:rFonts w:ascii="Arial" w:hAnsi="Arial" w:cs="Arial"/>
          <w:sz w:val="22"/>
          <w:szCs w:val="22"/>
          <w:lang w:val="en-GB"/>
        </w:rPr>
      </w:pPr>
      <w:r>
        <w:rPr>
          <w:rFonts w:ascii="Arial" w:hAnsi="Arial" w:cs="Arial"/>
          <w:sz w:val="22"/>
          <w:szCs w:val="22"/>
          <w:lang w:val="en-GB"/>
        </w:rPr>
        <w:t>be domiciled in Hong Kong;</w:t>
      </w:r>
    </w:p>
    <w:p w14:paraId="6605B7A3" w14:textId="77777777" w:rsidR="008F05DB" w:rsidRDefault="00CD6606" w:rsidP="008F05DB">
      <w:pPr>
        <w:pStyle w:val="ListParagraph"/>
        <w:numPr>
          <w:ilvl w:val="0"/>
          <w:numId w:val="28"/>
        </w:numPr>
        <w:jc w:val="both"/>
        <w:rPr>
          <w:rFonts w:ascii="Arial" w:hAnsi="Arial" w:cs="Arial"/>
          <w:sz w:val="22"/>
          <w:szCs w:val="22"/>
          <w:lang w:val="en-GB"/>
        </w:rPr>
      </w:pPr>
      <w:r>
        <w:rPr>
          <w:rFonts w:ascii="Arial" w:hAnsi="Arial" w:cs="Arial"/>
          <w:sz w:val="22"/>
          <w:szCs w:val="22"/>
          <w:lang w:val="en-GB"/>
        </w:rPr>
        <w:t xml:space="preserve">be personally present in Hong Kong on the day on which the petition is presenter; or </w:t>
      </w:r>
    </w:p>
    <w:p w14:paraId="348748E7" w14:textId="3274C46A" w:rsidR="00CD6606" w:rsidRDefault="00CD6606" w:rsidP="008F05DB">
      <w:pPr>
        <w:pStyle w:val="ListParagraph"/>
        <w:numPr>
          <w:ilvl w:val="0"/>
          <w:numId w:val="28"/>
        </w:numPr>
        <w:jc w:val="both"/>
        <w:rPr>
          <w:rFonts w:ascii="Arial" w:hAnsi="Arial" w:cs="Arial"/>
          <w:sz w:val="22"/>
          <w:szCs w:val="22"/>
          <w:lang w:val="en-GB"/>
        </w:rPr>
      </w:pPr>
      <w:r w:rsidRPr="008F05DB">
        <w:rPr>
          <w:rFonts w:ascii="Arial" w:hAnsi="Arial" w:cs="Arial"/>
          <w:sz w:val="22"/>
          <w:szCs w:val="22"/>
          <w:lang w:val="en-GB"/>
        </w:rPr>
        <w:t xml:space="preserve">any time in the period of three (3) years ending </w:t>
      </w:r>
      <w:r w:rsidR="008F05DB">
        <w:rPr>
          <w:rFonts w:ascii="Arial" w:hAnsi="Arial" w:cs="Arial"/>
          <w:sz w:val="22"/>
          <w:szCs w:val="22"/>
          <w:lang w:val="en-GB"/>
        </w:rPr>
        <w:t>w</w:t>
      </w:r>
      <w:r w:rsidRPr="008F05DB">
        <w:rPr>
          <w:rFonts w:ascii="Arial" w:hAnsi="Arial" w:cs="Arial"/>
          <w:sz w:val="22"/>
          <w:szCs w:val="22"/>
          <w:lang w:val="en-GB"/>
        </w:rPr>
        <w:t>ith that day</w:t>
      </w:r>
      <w:r w:rsidR="008F05DB">
        <w:rPr>
          <w:rFonts w:ascii="Arial" w:hAnsi="Arial" w:cs="Arial"/>
          <w:sz w:val="22"/>
          <w:szCs w:val="22"/>
          <w:lang w:val="en-GB"/>
        </w:rPr>
        <w:t>:</w:t>
      </w:r>
    </w:p>
    <w:p w14:paraId="449FEDE0" w14:textId="3B348B2E" w:rsidR="008F05DB" w:rsidRDefault="008F05DB" w:rsidP="008F05DB">
      <w:pPr>
        <w:pStyle w:val="ListParagraph"/>
        <w:numPr>
          <w:ilvl w:val="1"/>
          <w:numId w:val="28"/>
        </w:numPr>
        <w:jc w:val="both"/>
        <w:rPr>
          <w:rFonts w:ascii="Arial" w:hAnsi="Arial" w:cs="Arial"/>
          <w:sz w:val="22"/>
          <w:szCs w:val="22"/>
          <w:lang w:val="en-GB"/>
        </w:rPr>
      </w:pPr>
      <w:r>
        <w:rPr>
          <w:rFonts w:ascii="Arial" w:hAnsi="Arial" w:cs="Arial"/>
          <w:sz w:val="22"/>
          <w:szCs w:val="22"/>
          <w:lang w:val="en-GB"/>
        </w:rPr>
        <w:t>have been ordinarily resident, or have had a place of residence in Hong Kong; or</w:t>
      </w:r>
    </w:p>
    <w:p w14:paraId="69CC2472" w14:textId="0B60B2A4" w:rsidR="008F05DB" w:rsidRPr="008F05DB" w:rsidRDefault="008F05DB" w:rsidP="008F05DB">
      <w:pPr>
        <w:pStyle w:val="ListParagraph"/>
        <w:numPr>
          <w:ilvl w:val="1"/>
          <w:numId w:val="28"/>
        </w:numPr>
        <w:jc w:val="both"/>
        <w:rPr>
          <w:rFonts w:ascii="Arial" w:hAnsi="Arial" w:cs="Arial"/>
          <w:sz w:val="22"/>
          <w:szCs w:val="22"/>
          <w:lang w:val="en-GB"/>
        </w:rPr>
      </w:pPr>
      <w:r>
        <w:rPr>
          <w:rFonts w:ascii="Arial" w:hAnsi="Arial" w:cs="Arial"/>
          <w:sz w:val="22"/>
          <w:szCs w:val="22"/>
          <w:lang w:val="en-GB"/>
        </w:rPr>
        <w:t>have carries on business in Hong Kong.</w:t>
      </w:r>
    </w:p>
    <w:p w14:paraId="1F1047AF" w14:textId="0658DCD9" w:rsidR="00E15753" w:rsidRPr="00E15753" w:rsidRDefault="00E15753" w:rsidP="00CD6606">
      <w:pPr>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36C0E842" w14:textId="17B1EA50" w:rsidR="00193428" w:rsidRDefault="00193428" w:rsidP="002A37BB">
      <w:pPr>
        <w:ind w:left="720" w:hanging="720"/>
        <w:jc w:val="both"/>
        <w:rPr>
          <w:rFonts w:ascii="Arial" w:hAnsi="Arial" w:cs="Arial"/>
          <w:sz w:val="22"/>
          <w:szCs w:val="22"/>
          <w:lang w:val="en-GB"/>
        </w:rPr>
      </w:pPr>
    </w:p>
    <w:p w14:paraId="1F76C366" w14:textId="41EF339D" w:rsidR="008F05DB" w:rsidRDefault="0042699E" w:rsidP="002A37BB">
      <w:pPr>
        <w:ind w:left="720" w:hanging="720"/>
        <w:jc w:val="both"/>
        <w:rPr>
          <w:rFonts w:ascii="Arial" w:hAnsi="Arial" w:cs="Arial"/>
          <w:sz w:val="22"/>
          <w:szCs w:val="22"/>
          <w:lang w:val="en-GB"/>
        </w:rPr>
      </w:pPr>
      <w:r>
        <w:rPr>
          <w:rFonts w:ascii="Arial" w:hAnsi="Arial" w:cs="Arial"/>
          <w:sz w:val="22"/>
          <w:szCs w:val="22"/>
          <w:lang w:val="en-GB"/>
        </w:rPr>
        <w:t xml:space="preserve">In order to wind up an unregistered company in Hong Kong, the petitioner must satisfy that the company is sufficiently connected to Hong Kong by satisfying the three core requirements set out in the Hong Kong Court of Final Appeal’s (“CFA”) decision in </w:t>
      </w:r>
      <w:r>
        <w:rPr>
          <w:rFonts w:ascii="Arial" w:hAnsi="Arial" w:cs="Arial"/>
          <w:i/>
          <w:iCs/>
          <w:sz w:val="22"/>
          <w:szCs w:val="22"/>
          <w:lang w:val="en-GB"/>
        </w:rPr>
        <w:t>Re Yung Knee.</w:t>
      </w:r>
      <w:r>
        <w:rPr>
          <w:rFonts w:ascii="Arial" w:hAnsi="Arial" w:cs="Arial"/>
          <w:sz w:val="22"/>
          <w:szCs w:val="22"/>
          <w:lang w:val="en-GB"/>
        </w:rPr>
        <w:t xml:space="preserve">  The three core requirements are:</w:t>
      </w:r>
    </w:p>
    <w:p w14:paraId="461692C8" w14:textId="6B09DEAA" w:rsidR="0042699E" w:rsidRDefault="0042699E" w:rsidP="002A37BB">
      <w:pPr>
        <w:ind w:left="720" w:hanging="720"/>
        <w:jc w:val="both"/>
        <w:rPr>
          <w:rFonts w:ascii="Arial" w:hAnsi="Arial" w:cs="Arial"/>
          <w:sz w:val="22"/>
          <w:szCs w:val="22"/>
          <w:lang w:val="en-GB"/>
        </w:rPr>
      </w:pPr>
    </w:p>
    <w:p w14:paraId="74B0220E" w14:textId="5F5BEB04" w:rsidR="0042699E" w:rsidRDefault="0042699E" w:rsidP="0042699E">
      <w:pPr>
        <w:pStyle w:val="ListParagraph"/>
        <w:numPr>
          <w:ilvl w:val="0"/>
          <w:numId w:val="29"/>
        </w:numPr>
        <w:jc w:val="both"/>
        <w:rPr>
          <w:rFonts w:ascii="Arial" w:hAnsi="Arial" w:cs="Arial"/>
          <w:sz w:val="22"/>
          <w:szCs w:val="22"/>
          <w:lang w:val="en-GB"/>
        </w:rPr>
      </w:pPr>
      <w:r>
        <w:rPr>
          <w:rFonts w:ascii="Arial" w:hAnsi="Arial" w:cs="Arial"/>
          <w:sz w:val="22"/>
          <w:szCs w:val="22"/>
          <w:lang w:val="en-GB"/>
        </w:rPr>
        <w:t>there must be sufficient connection with Hong Kong (not necessarily meaning the presence of assets within the jurisdiction);</w:t>
      </w:r>
    </w:p>
    <w:p w14:paraId="6453EF23" w14:textId="51DE8968" w:rsidR="0042699E" w:rsidRDefault="0042699E" w:rsidP="0042699E">
      <w:pPr>
        <w:pStyle w:val="ListParagraph"/>
        <w:numPr>
          <w:ilvl w:val="0"/>
          <w:numId w:val="29"/>
        </w:numPr>
        <w:jc w:val="both"/>
        <w:rPr>
          <w:rFonts w:ascii="Arial" w:hAnsi="Arial" w:cs="Arial"/>
          <w:sz w:val="22"/>
          <w:szCs w:val="22"/>
          <w:lang w:val="en-GB"/>
        </w:rPr>
      </w:pPr>
      <w:r>
        <w:rPr>
          <w:rFonts w:ascii="Arial" w:hAnsi="Arial" w:cs="Arial"/>
          <w:sz w:val="22"/>
          <w:szCs w:val="22"/>
          <w:lang w:val="en-GB"/>
        </w:rPr>
        <w:t>there must be a reasonable possibility that the winding up order would benefit those applying for it; and</w:t>
      </w:r>
    </w:p>
    <w:p w14:paraId="614A3BE3" w14:textId="719539E6" w:rsidR="0042699E" w:rsidRPr="0042699E" w:rsidRDefault="0042699E" w:rsidP="0042699E">
      <w:pPr>
        <w:pStyle w:val="ListParagraph"/>
        <w:numPr>
          <w:ilvl w:val="0"/>
          <w:numId w:val="29"/>
        </w:numPr>
        <w:jc w:val="both"/>
        <w:rPr>
          <w:rFonts w:ascii="Arial" w:hAnsi="Arial" w:cs="Arial"/>
          <w:sz w:val="22"/>
          <w:szCs w:val="22"/>
          <w:lang w:val="en-GB"/>
        </w:rPr>
      </w:pPr>
      <w:r>
        <w:rPr>
          <w:rFonts w:ascii="Arial" w:hAnsi="Arial" w:cs="Arial"/>
          <w:sz w:val="22"/>
          <w:szCs w:val="22"/>
          <w:lang w:val="en-GB"/>
        </w:rPr>
        <w:t>the court must be able to exercise jurisdiction over one or more persons interested in the distribution of the company’s assets.</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73BA0D33" w14:textId="1EDC8314" w:rsidR="00893B7C" w:rsidRDefault="00893B7C" w:rsidP="002A37BB">
      <w:pPr>
        <w:ind w:left="720" w:hanging="720"/>
        <w:jc w:val="both"/>
        <w:rPr>
          <w:rFonts w:ascii="Arial" w:hAnsi="Arial" w:cs="Arial"/>
          <w:color w:val="7B7B7B" w:themeColor="accent3" w:themeShade="BF"/>
          <w:sz w:val="22"/>
          <w:szCs w:val="22"/>
          <w:lang w:val="en-GB"/>
        </w:rPr>
      </w:pPr>
    </w:p>
    <w:p w14:paraId="5D97A203" w14:textId="2BC141DC" w:rsidR="000D4401" w:rsidRDefault="000D4401" w:rsidP="0070416C">
      <w:pPr>
        <w:jc w:val="both"/>
        <w:rPr>
          <w:rFonts w:ascii="Arial" w:hAnsi="Arial" w:cs="Arial"/>
          <w:sz w:val="22"/>
          <w:szCs w:val="22"/>
          <w:lang w:val="en-GB"/>
        </w:rPr>
      </w:pPr>
      <w:r>
        <w:rPr>
          <w:rFonts w:ascii="Arial" w:hAnsi="Arial" w:cs="Arial"/>
          <w:sz w:val="22"/>
          <w:szCs w:val="22"/>
          <w:lang w:val="en-GB"/>
        </w:rPr>
        <w:t>The appointment of a provisional liquidator is outlined at section 193 of the CWUMPO.</w:t>
      </w:r>
    </w:p>
    <w:p w14:paraId="39229A06" w14:textId="77777777" w:rsidR="000D4401" w:rsidRDefault="000D4401" w:rsidP="0070416C">
      <w:pPr>
        <w:jc w:val="both"/>
        <w:rPr>
          <w:rFonts w:ascii="Arial" w:hAnsi="Arial" w:cs="Arial"/>
          <w:sz w:val="22"/>
          <w:szCs w:val="22"/>
          <w:lang w:val="en-GB"/>
        </w:rPr>
      </w:pPr>
    </w:p>
    <w:p w14:paraId="3619BC3D" w14:textId="26C85A94" w:rsidR="000D4401" w:rsidRDefault="0070416C" w:rsidP="000D4401">
      <w:pPr>
        <w:jc w:val="both"/>
        <w:rPr>
          <w:rFonts w:ascii="Arial" w:hAnsi="Arial" w:cs="Arial"/>
          <w:sz w:val="22"/>
          <w:szCs w:val="22"/>
          <w:lang w:val="en-GB"/>
        </w:rPr>
      </w:pPr>
      <w:r>
        <w:rPr>
          <w:rFonts w:ascii="Arial" w:hAnsi="Arial" w:cs="Arial"/>
          <w:sz w:val="22"/>
          <w:szCs w:val="22"/>
          <w:lang w:val="en-GB"/>
        </w:rPr>
        <w:t xml:space="preserve">An application to appoint a provisional liquidator may be made at any time after a petition has been presented.  In urgent cases, the application may be made at the same time as the petition.  </w:t>
      </w:r>
      <w:r w:rsidR="000D4401">
        <w:rPr>
          <w:rFonts w:ascii="Arial" w:hAnsi="Arial" w:cs="Arial"/>
          <w:sz w:val="22"/>
          <w:szCs w:val="22"/>
          <w:lang w:val="en-GB"/>
        </w:rPr>
        <w:t xml:space="preserve">The Hong Kong Courts have found in </w:t>
      </w:r>
      <w:r w:rsidR="000D4401">
        <w:rPr>
          <w:rFonts w:ascii="Arial" w:hAnsi="Arial" w:cs="Arial"/>
          <w:i/>
          <w:iCs/>
          <w:sz w:val="22"/>
          <w:szCs w:val="22"/>
          <w:lang w:val="en-GB"/>
        </w:rPr>
        <w:t xml:space="preserve">Re </w:t>
      </w:r>
      <w:r w:rsidR="006F070D">
        <w:rPr>
          <w:rFonts w:ascii="Arial" w:hAnsi="Arial" w:cs="Arial"/>
          <w:i/>
          <w:iCs/>
          <w:sz w:val="22"/>
          <w:szCs w:val="22"/>
          <w:lang w:val="en-GB"/>
        </w:rPr>
        <w:t xml:space="preserve">Kong Wah Hldings Ltd &amp; Anor [2001[ </w:t>
      </w:r>
      <w:r w:rsidR="006F070D" w:rsidRPr="006F070D">
        <w:rPr>
          <w:rFonts w:ascii="Arial" w:hAnsi="Arial" w:cs="Arial"/>
          <w:sz w:val="22"/>
          <w:szCs w:val="22"/>
          <w:lang w:val="en-GB"/>
        </w:rPr>
        <w:t xml:space="preserve">that </w:t>
      </w:r>
      <w:r w:rsidR="000D4401" w:rsidRPr="006F070D">
        <w:rPr>
          <w:rFonts w:ascii="Arial" w:hAnsi="Arial" w:cs="Arial"/>
          <w:sz w:val="22"/>
          <w:szCs w:val="22"/>
          <w:lang w:val="en-GB"/>
        </w:rPr>
        <w:t>it</w:t>
      </w:r>
      <w:r w:rsidR="000D4401">
        <w:rPr>
          <w:rFonts w:ascii="Arial" w:hAnsi="Arial" w:cs="Arial"/>
          <w:sz w:val="22"/>
          <w:szCs w:val="22"/>
          <w:lang w:val="en-GB"/>
        </w:rPr>
        <w:t xml:space="preserve"> is not appropriate to appoint a provisional liquidator </w:t>
      </w:r>
      <w:r w:rsidR="000D4401" w:rsidRPr="000D4401">
        <w:rPr>
          <w:rFonts w:ascii="Arial" w:hAnsi="Arial" w:cs="Arial"/>
          <w:sz w:val="22"/>
          <w:szCs w:val="22"/>
          <w:lang w:val="en-GB"/>
        </w:rPr>
        <w:t xml:space="preserve">immediately prior to winding up to avoid </w:t>
      </w:r>
      <w:r w:rsidR="000D4401" w:rsidRPr="000D4401">
        <w:rPr>
          <w:rFonts w:ascii="Arial" w:hAnsi="Arial" w:cs="Arial"/>
          <w:sz w:val="22"/>
          <w:szCs w:val="22"/>
          <w:lang w:val="en-GB"/>
        </w:rPr>
        <w:lastRenderedPageBreak/>
        <w:t>having the Official Receiver as provisional liquidator upon the winding up order being made</w:t>
      </w:r>
      <w:r w:rsidR="000D4401">
        <w:rPr>
          <w:rFonts w:ascii="Arial" w:hAnsi="Arial" w:cs="Arial"/>
          <w:sz w:val="22"/>
          <w:szCs w:val="22"/>
          <w:lang w:val="en-GB"/>
        </w:rPr>
        <w:t>.</w:t>
      </w:r>
      <w:r w:rsidR="006F070D">
        <w:rPr>
          <w:rFonts w:ascii="Arial" w:hAnsi="Arial" w:cs="Arial"/>
          <w:sz w:val="22"/>
          <w:szCs w:val="22"/>
          <w:lang w:val="en-GB"/>
        </w:rPr>
        <w:t xml:space="preserve"> As per </w:t>
      </w:r>
      <w:r w:rsidR="006F070D">
        <w:rPr>
          <w:rFonts w:ascii="Arial" w:hAnsi="Arial" w:cs="Arial"/>
          <w:i/>
          <w:iCs/>
          <w:sz w:val="22"/>
          <w:szCs w:val="22"/>
          <w:lang w:val="en-GB"/>
        </w:rPr>
        <w:t>Re Texxan Industries Ltd (in Liq) [1990]</w:t>
      </w:r>
      <w:r w:rsidR="006F070D">
        <w:rPr>
          <w:rFonts w:ascii="Arial" w:hAnsi="Arial" w:cs="Arial"/>
          <w:sz w:val="22"/>
          <w:szCs w:val="22"/>
          <w:lang w:val="en-GB"/>
        </w:rPr>
        <w:t>, the court also has jurisdiction to appoint a provisional liquidator despite the appointment of voluntary liquidators.</w:t>
      </w:r>
    </w:p>
    <w:p w14:paraId="6F47A9DE" w14:textId="2B4C9C24" w:rsidR="006F070D" w:rsidRDefault="006F070D" w:rsidP="000D4401">
      <w:pPr>
        <w:jc w:val="both"/>
        <w:rPr>
          <w:rFonts w:ascii="Arial" w:hAnsi="Arial" w:cs="Arial"/>
          <w:sz w:val="22"/>
          <w:szCs w:val="22"/>
          <w:lang w:val="en-GB"/>
        </w:rPr>
      </w:pPr>
    </w:p>
    <w:p w14:paraId="350ED989" w14:textId="3C996BD8" w:rsidR="006F070D" w:rsidRDefault="006F070D" w:rsidP="000D4401">
      <w:pPr>
        <w:jc w:val="both"/>
        <w:rPr>
          <w:rFonts w:ascii="Arial" w:hAnsi="Arial" w:cs="Arial"/>
          <w:sz w:val="22"/>
          <w:szCs w:val="22"/>
          <w:lang w:val="en-GB"/>
        </w:rPr>
      </w:pPr>
      <w:r>
        <w:rPr>
          <w:rFonts w:ascii="Arial" w:hAnsi="Arial" w:cs="Arial"/>
          <w:sz w:val="22"/>
          <w:szCs w:val="22"/>
          <w:lang w:val="en-GB"/>
        </w:rPr>
        <w:t>For a provisional liquidator to be appointed, there must be sufficient circumstances justifying the appointment.  For example, if there is a risk that assets will be dissipated, or otherwise be in jeopardy, before a winding up order is made.  The court may consider factors such as commercial realities, the degree of urgency, the need for the order and the balance of convenience.</w:t>
      </w:r>
    </w:p>
    <w:p w14:paraId="53629A03" w14:textId="08BB4860" w:rsidR="006F070D" w:rsidRDefault="006F070D" w:rsidP="000D4401">
      <w:pPr>
        <w:jc w:val="both"/>
        <w:rPr>
          <w:rFonts w:ascii="Arial" w:hAnsi="Arial" w:cs="Arial"/>
          <w:sz w:val="22"/>
          <w:szCs w:val="22"/>
          <w:lang w:val="en-GB"/>
        </w:rPr>
      </w:pPr>
    </w:p>
    <w:p w14:paraId="13D431D7" w14:textId="3FDC2213" w:rsidR="006F070D" w:rsidRPr="000D4401" w:rsidRDefault="006F070D" w:rsidP="000D4401">
      <w:pPr>
        <w:jc w:val="both"/>
        <w:rPr>
          <w:rFonts w:ascii="Arial" w:hAnsi="Arial" w:cs="Arial"/>
          <w:sz w:val="22"/>
          <w:szCs w:val="22"/>
          <w:lang w:val="en-GB"/>
        </w:rPr>
      </w:pPr>
      <w:r>
        <w:rPr>
          <w:rFonts w:ascii="Arial" w:hAnsi="Arial" w:cs="Arial"/>
          <w:sz w:val="22"/>
          <w:szCs w:val="22"/>
          <w:lang w:val="en-GB"/>
        </w:rPr>
        <w:t>The purpose of appointing a provisional liquidator is to preserve the assets in the period after the petition is presented but before the order is made</w:t>
      </w:r>
      <w:r w:rsidR="002B4528">
        <w:rPr>
          <w:rFonts w:ascii="Arial" w:hAnsi="Arial" w:cs="Arial"/>
          <w:sz w:val="22"/>
          <w:szCs w:val="22"/>
          <w:lang w:val="en-GB"/>
        </w:rPr>
        <w:t>.  The provisional liquidator does not actually realise those assets, unless doing so would be necessary to preserve those assets value.  A provisional liquidator may also be appointed to facilitate a restructuring proposal, although that cannot be the sole reason for their appointment.</w:t>
      </w: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57CBC3D6" w14:textId="2B2FD951" w:rsidR="005D446E" w:rsidRDefault="005D446E" w:rsidP="00E14FA7">
      <w:pPr>
        <w:jc w:val="both"/>
        <w:rPr>
          <w:rFonts w:ascii="Arial" w:hAnsi="Arial" w:cs="Arial"/>
          <w:color w:val="808080" w:themeColor="background1" w:themeShade="80"/>
          <w:sz w:val="22"/>
          <w:szCs w:val="22"/>
          <w:lang w:val="en-GB"/>
        </w:rPr>
      </w:pPr>
    </w:p>
    <w:p w14:paraId="392DD40E" w14:textId="2B546978" w:rsidR="00ED263D" w:rsidRDefault="0057501B" w:rsidP="00E14FA7">
      <w:pPr>
        <w:jc w:val="both"/>
        <w:rPr>
          <w:rFonts w:ascii="Arial" w:hAnsi="Arial" w:cs="Arial"/>
          <w:sz w:val="22"/>
          <w:szCs w:val="22"/>
          <w:lang w:val="en-GB"/>
        </w:rPr>
      </w:pPr>
      <w:r>
        <w:rPr>
          <w:rFonts w:ascii="Arial" w:hAnsi="Arial" w:cs="Arial"/>
          <w:sz w:val="22"/>
          <w:szCs w:val="22"/>
          <w:lang w:val="en-GB"/>
        </w:rPr>
        <w:t>A liquidator is able to take action in relation to an unfair preference pursuant to section 266, 266A and 266B of the CWUMPO in order to ensure that the assets of the company are fairly distributed between the creditors.  The unfair preference provisions prevent creditors from being placed in a better position than they ordinarily would have been upon a company’s insolvency.</w:t>
      </w:r>
    </w:p>
    <w:p w14:paraId="0D0F9F06" w14:textId="77777777" w:rsidR="00ED263D" w:rsidRDefault="00ED263D" w:rsidP="00E14FA7">
      <w:pPr>
        <w:jc w:val="both"/>
        <w:rPr>
          <w:rFonts w:ascii="Arial" w:hAnsi="Arial" w:cs="Arial"/>
          <w:sz w:val="22"/>
          <w:szCs w:val="22"/>
          <w:lang w:val="en-GB"/>
        </w:rPr>
      </w:pPr>
    </w:p>
    <w:p w14:paraId="5C50808E" w14:textId="4A50BAC8" w:rsidR="0057501B" w:rsidRDefault="0057501B" w:rsidP="00E14FA7">
      <w:pPr>
        <w:jc w:val="both"/>
        <w:rPr>
          <w:rFonts w:ascii="Arial" w:hAnsi="Arial" w:cs="Arial"/>
          <w:sz w:val="22"/>
          <w:szCs w:val="22"/>
          <w:lang w:val="en-GB"/>
        </w:rPr>
      </w:pPr>
      <w:r>
        <w:rPr>
          <w:rFonts w:ascii="Arial" w:hAnsi="Arial" w:cs="Arial"/>
          <w:sz w:val="22"/>
          <w:szCs w:val="22"/>
          <w:lang w:val="en-GB"/>
        </w:rPr>
        <w:t>In order</w:t>
      </w:r>
      <w:r w:rsidR="00ED263D">
        <w:rPr>
          <w:rFonts w:ascii="Arial" w:hAnsi="Arial" w:cs="Arial"/>
          <w:sz w:val="22"/>
          <w:szCs w:val="22"/>
          <w:lang w:val="en-GB"/>
        </w:rPr>
        <w:t xml:space="preserve"> for a liquidator to successfully make a claim for an unfair preference, the liquidator must prove:</w:t>
      </w:r>
    </w:p>
    <w:p w14:paraId="161A7A74" w14:textId="10D867EB" w:rsidR="00ED263D" w:rsidRDefault="00ED263D" w:rsidP="00E14FA7">
      <w:pPr>
        <w:jc w:val="both"/>
        <w:rPr>
          <w:rFonts w:ascii="Arial" w:hAnsi="Arial" w:cs="Arial"/>
          <w:sz w:val="22"/>
          <w:szCs w:val="22"/>
          <w:lang w:val="en-GB"/>
        </w:rPr>
      </w:pPr>
    </w:p>
    <w:p w14:paraId="5917698D" w14:textId="1F002AE7" w:rsidR="00ED263D" w:rsidRDefault="00ED263D" w:rsidP="00ED263D">
      <w:pPr>
        <w:pStyle w:val="ListParagraph"/>
        <w:numPr>
          <w:ilvl w:val="0"/>
          <w:numId w:val="31"/>
        </w:numPr>
        <w:jc w:val="both"/>
        <w:rPr>
          <w:rFonts w:ascii="Arial" w:hAnsi="Arial" w:cs="Arial"/>
          <w:sz w:val="22"/>
          <w:szCs w:val="22"/>
          <w:lang w:val="en-GB"/>
        </w:rPr>
      </w:pPr>
      <w:r>
        <w:rPr>
          <w:rFonts w:ascii="Arial" w:hAnsi="Arial" w:cs="Arial"/>
          <w:sz w:val="22"/>
          <w:szCs w:val="22"/>
          <w:lang w:val="en-GB"/>
        </w:rPr>
        <w:t>the transaction was entered into:</w:t>
      </w:r>
    </w:p>
    <w:p w14:paraId="647AA141" w14:textId="0329C06D" w:rsidR="00ED263D" w:rsidRDefault="00ED263D" w:rsidP="00ED263D">
      <w:pPr>
        <w:pStyle w:val="ListParagraph"/>
        <w:numPr>
          <w:ilvl w:val="1"/>
          <w:numId w:val="31"/>
        </w:numPr>
        <w:jc w:val="both"/>
        <w:rPr>
          <w:rFonts w:ascii="Arial" w:hAnsi="Arial" w:cs="Arial"/>
          <w:sz w:val="22"/>
          <w:szCs w:val="22"/>
          <w:lang w:val="en-GB"/>
        </w:rPr>
      </w:pPr>
      <w:r>
        <w:rPr>
          <w:rFonts w:ascii="Arial" w:hAnsi="Arial" w:cs="Arial"/>
          <w:sz w:val="22"/>
          <w:szCs w:val="22"/>
          <w:lang w:val="en-GB"/>
        </w:rPr>
        <w:t>during a period of six (6) months prior to the commencement of winding up; or</w:t>
      </w:r>
    </w:p>
    <w:p w14:paraId="5CF0F58A" w14:textId="37290A06" w:rsidR="00ED263D" w:rsidRDefault="00ED263D" w:rsidP="00ED263D">
      <w:pPr>
        <w:pStyle w:val="ListParagraph"/>
        <w:numPr>
          <w:ilvl w:val="1"/>
          <w:numId w:val="31"/>
        </w:numPr>
        <w:jc w:val="both"/>
        <w:rPr>
          <w:rFonts w:ascii="Arial" w:hAnsi="Arial" w:cs="Arial"/>
          <w:sz w:val="22"/>
          <w:szCs w:val="22"/>
          <w:lang w:val="en-GB"/>
        </w:rPr>
      </w:pPr>
      <w:r>
        <w:rPr>
          <w:rFonts w:ascii="Arial" w:hAnsi="Arial" w:cs="Arial"/>
          <w:sz w:val="22"/>
          <w:szCs w:val="22"/>
          <w:lang w:val="en-GB"/>
        </w:rPr>
        <w:t>during a period of two (2) years prior to the commencement of winding up where the beneficiary under the transaction was a person connected to the company</w:t>
      </w:r>
      <w:r w:rsidR="00EC4965">
        <w:rPr>
          <w:rFonts w:ascii="Arial" w:hAnsi="Arial" w:cs="Arial"/>
          <w:sz w:val="22"/>
          <w:szCs w:val="22"/>
          <w:lang w:val="en-GB"/>
        </w:rPr>
        <w:t>;</w:t>
      </w:r>
    </w:p>
    <w:p w14:paraId="6F940176" w14:textId="1BC2A430" w:rsidR="00ED263D" w:rsidRDefault="00385F79" w:rsidP="00ED263D">
      <w:pPr>
        <w:pStyle w:val="ListParagraph"/>
        <w:numPr>
          <w:ilvl w:val="0"/>
          <w:numId w:val="31"/>
        </w:numPr>
        <w:jc w:val="both"/>
        <w:rPr>
          <w:rFonts w:ascii="Arial" w:hAnsi="Arial" w:cs="Arial"/>
          <w:sz w:val="22"/>
          <w:szCs w:val="22"/>
          <w:lang w:val="en-GB"/>
        </w:rPr>
      </w:pPr>
      <w:r>
        <w:rPr>
          <w:rFonts w:ascii="Arial" w:hAnsi="Arial" w:cs="Arial"/>
          <w:sz w:val="22"/>
          <w:szCs w:val="22"/>
          <w:lang w:val="en-GB"/>
        </w:rPr>
        <w:t>a</w:t>
      </w:r>
      <w:r w:rsidR="00ED263D">
        <w:rPr>
          <w:rFonts w:ascii="Arial" w:hAnsi="Arial" w:cs="Arial"/>
          <w:sz w:val="22"/>
          <w:szCs w:val="22"/>
          <w:lang w:val="en-GB"/>
        </w:rPr>
        <w:t>t the time of the transaction, the company was unable to pay its debts or became unable to pay its debts as a result of the transaction concerned;</w:t>
      </w:r>
    </w:p>
    <w:p w14:paraId="5A417784" w14:textId="593B6B55" w:rsidR="00385F79" w:rsidRDefault="00385F79" w:rsidP="00385F79">
      <w:pPr>
        <w:pStyle w:val="ListParagraph"/>
        <w:numPr>
          <w:ilvl w:val="1"/>
          <w:numId w:val="31"/>
        </w:numPr>
        <w:jc w:val="both"/>
        <w:rPr>
          <w:rFonts w:ascii="Arial" w:hAnsi="Arial" w:cs="Arial"/>
          <w:sz w:val="22"/>
          <w:szCs w:val="22"/>
          <w:lang w:val="en-GB"/>
        </w:rPr>
      </w:pPr>
      <w:r>
        <w:rPr>
          <w:rFonts w:ascii="Arial" w:hAnsi="Arial" w:cs="Arial"/>
          <w:sz w:val="22"/>
          <w:szCs w:val="22"/>
          <w:lang w:val="en-GB"/>
        </w:rPr>
        <w:t>This criterion is presumed against a recipient who is a person connected with the company if her or she is an ‘associate’ of the company or if he or she is an ‘associate’ of a director or shadow director of the company</w:t>
      </w:r>
      <w:r w:rsidR="00EC4965">
        <w:rPr>
          <w:rFonts w:ascii="Arial" w:hAnsi="Arial" w:cs="Arial"/>
          <w:sz w:val="22"/>
          <w:szCs w:val="22"/>
          <w:lang w:val="en-GB"/>
        </w:rPr>
        <w:t>; and</w:t>
      </w:r>
    </w:p>
    <w:p w14:paraId="2C7CEF11" w14:textId="3F0A859D" w:rsidR="00ED263D" w:rsidRPr="009C24EB" w:rsidRDefault="00385F79" w:rsidP="00E14FA7">
      <w:pPr>
        <w:pStyle w:val="ListParagraph"/>
        <w:numPr>
          <w:ilvl w:val="0"/>
          <w:numId w:val="31"/>
        </w:numPr>
        <w:jc w:val="both"/>
        <w:rPr>
          <w:rFonts w:ascii="Arial" w:hAnsi="Arial" w:cs="Arial"/>
          <w:sz w:val="22"/>
          <w:szCs w:val="22"/>
          <w:lang w:val="en-GB"/>
        </w:rPr>
      </w:pPr>
      <w:r>
        <w:rPr>
          <w:rFonts w:ascii="Arial" w:hAnsi="Arial" w:cs="Arial"/>
          <w:sz w:val="22"/>
          <w:szCs w:val="22"/>
          <w:lang w:val="en-GB"/>
        </w:rPr>
        <w:t>that the company was ‘influenced by a desire’</w:t>
      </w:r>
      <w:r w:rsidR="00EC4965">
        <w:rPr>
          <w:rFonts w:ascii="Arial" w:hAnsi="Arial" w:cs="Arial"/>
          <w:sz w:val="22"/>
          <w:szCs w:val="22"/>
          <w:lang w:val="en-GB"/>
        </w:rPr>
        <w:t xml:space="preserve"> to improve the creditors position in the relevant liquidation.</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6A381B90" w14:textId="11B49C5F" w:rsidR="003E220B" w:rsidRDefault="003E220B" w:rsidP="00E14FA7">
      <w:pPr>
        <w:jc w:val="both"/>
        <w:rPr>
          <w:rFonts w:ascii="Arial" w:hAnsi="Arial" w:cs="Arial"/>
          <w:color w:val="7B7B7B" w:themeColor="accent3" w:themeShade="BF"/>
          <w:sz w:val="22"/>
          <w:szCs w:val="22"/>
          <w:lang w:val="en-GB"/>
        </w:rPr>
      </w:pPr>
    </w:p>
    <w:p w14:paraId="47753496" w14:textId="143F533A" w:rsidR="00CF054D" w:rsidRDefault="00CF054D" w:rsidP="00E14FA7">
      <w:pPr>
        <w:jc w:val="both"/>
        <w:rPr>
          <w:rFonts w:ascii="Arial" w:hAnsi="Arial" w:cs="Arial"/>
          <w:sz w:val="22"/>
          <w:szCs w:val="22"/>
          <w:lang w:val="en-GB"/>
        </w:rPr>
      </w:pPr>
      <w:r>
        <w:rPr>
          <w:rFonts w:ascii="Arial" w:hAnsi="Arial" w:cs="Arial"/>
          <w:sz w:val="22"/>
          <w:szCs w:val="22"/>
          <w:lang w:val="en-GB"/>
        </w:rPr>
        <w:lastRenderedPageBreak/>
        <w:t xml:space="preserve">The People’s Republic of Chine </w:t>
      </w:r>
      <w:r w:rsidR="006766CA">
        <w:rPr>
          <w:rFonts w:ascii="Arial" w:hAnsi="Arial" w:cs="Arial"/>
          <w:sz w:val="22"/>
          <w:szCs w:val="22"/>
          <w:lang w:val="en-GB"/>
        </w:rPr>
        <w:t>resumed sovereignty over Hong Kong from 1 July 1997, pursuant to a Sin-British Joint declaration signed in 1984 and ratified in 1985 (“the Joint Declaration”).  Pursuant to the Joint declaration, upon the PRC resuming sovereignty over Hong Kong, Hong Kong would become a Special Administrative Region of the PRC with a high degree of autonomy.  This resulted in Hong Kong remaining responsible for certain aspects of their territory including the legal system, which retains the British Common Law Approach.</w:t>
      </w:r>
      <w:r w:rsidR="0055705A">
        <w:rPr>
          <w:rFonts w:ascii="Arial" w:hAnsi="Arial" w:cs="Arial"/>
          <w:sz w:val="22"/>
          <w:szCs w:val="22"/>
          <w:lang w:val="en-GB"/>
        </w:rPr>
        <w:t xml:space="preserve">  In short, since 1 July 1997 Hong Kong has operated under Deng Xiaipong’s principle of “One Country, Two Systems”.</w:t>
      </w:r>
    </w:p>
    <w:p w14:paraId="391D7A07" w14:textId="3ADF3682" w:rsidR="006766CA" w:rsidRDefault="006766CA" w:rsidP="00E14FA7">
      <w:pPr>
        <w:jc w:val="both"/>
        <w:rPr>
          <w:rFonts w:ascii="Arial" w:hAnsi="Arial" w:cs="Arial"/>
          <w:sz w:val="22"/>
          <w:szCs w:val="22"/>
          <w:lang w:val="en-GB"/>
        </w:rPr>
      </w:pPr>
    </w:p>
    <w:p w14:paraId="203AFC82" w14:textId="1CFDCBBB" w:rsidR="006766CA" w:rsidRDefault="00584E14" w:rsidP="00E14FA7">
      <w:pPr>
        <w:jc w:val="both"/>
        <w:rPr>
          <w:rFonts w:ascii="Arial" w:hAnsi="Arial" w:cs="Arial"/>
          <w:sz w:val="22"/>
          <w:szCs w:val="22"/>
          <w:lang w:val="en-GB"/>
        </w:rPr>
      </w:pPr>
      <w:r>
        <w:rPr>
          <w:rFonts w:ascii="Arial" w:hAnsi="Arial" w:cs="Arial"/>
          <w:sz w:val="22"/>
          <w:szCs w:val="22"/>
          <w:lang w:val="en-GB"/>
        </w:rPr>
        <w:t xml:space="preserve">After the handover to the PRC, the laws in Hong Kong in force as at 30 June 1997 continued to apply in Hong Kong only insofar that they are not declared by the Standing Committee of the National People’s Congress </w:t>
      </w:r>
      <w:r w:rsidR="00556E12">
        <w:rPr>
          <w:rFonts w:ascii="Arial" w:hAnsi="Arial" w:cs="Arial"/>
          <w:sz w:val="22"/>
          <w:szCs w:val="22"/>
          <w:lang w:val="en-GB"/>
        </w:rPr>
        <w:t xml:space="preserve">(“the Standing Committee”) </w:t>
      </w:r>
      <w:r>
        <w:rPr>
          <w:rFonts w:ascii="Arial" w:hAnsi="Arial" w:cs="Arial"/>
          <w:sz w:val="22"/>
          <w:szCs w:val="22"/>
          <w:lang w:val="en-GB"/>
        </w:rPr>
        <w:t xml:space="preserve">to contravene the Basic Law.  The Basic Law </w:t>
      </w:r>
      <w:r w:rsidR="00556E12">
        <w:rPr>
          <w:rFonts w:ascii="Arial" w:hAnsi="Arial" w:cs="Arial"/>
          <w:sz w:val="22"/>
          <w:szCs w:val="22"/>
          <w:lang w:val="en-GB"/>
        </w:rPr>
        <w:t xml:space="preserve">operates as Hong Kong’s constitution and was promulgated by the PRC.  In preparation for the handover, the Standing Committee declared that </w:t>
      </w:r>
      <w:r w:rsidR="00556E12">
        <w:rPr>
          <w:rFonts w:ascii="Arial" w:hAnsi="Arial" w:cs="Arial"/>
          <w:i/>
          <w:iCs/>
          <w:sz w:val="22"/>
          <w:szCs w:val="22"/>
          <w:lang w:val="en-GB"/>
        </w:rPr>
        <w:t xml:space="preserve">“the laws previously in force in Hong Kong, which include the common law, rules of equity, ordinances, subsidiary legislation and customary law, except </w:t>
      </w:r>
      <w:r w:rsidR="007366CE">
        <w:rPr>
          <w:rFonts w:ascii="Arial" w:hAnsi="Arial" w:cs="Arial"/>
          <w:i/>
          <w:iCs/>
          <w:sz w:val="22"/>
          <w:szCs w:val="22"/>
          <w:lang w:val="en-GB"/>
        </w:rPr>
        <w:t>those</w:t>
      </w:r>
      <w:r w:rsidR="00556E12">
        <w:rPr>
          <w:rFonts w:ascii="Arial" w:hAnsi="Arial" w:cs="Arial"/>
          <w:i/>
          <w:iCs/>
          <w:sz w:val="22"/>
          <w:szCs w:val="22"/>
          <w:lang w:val="en-GB"/>
        </w:rPr>
        <w:t xml:space="preserve"> which contravene the Basic Law, are to be adopted as the </w:t>
      </w:r>
      <w:r w:rsidR="007366CE">
        <w:rPr>
          <w:rFonts w:ascii="Arial" w:hAnsi="Arial" w:cs="Arial"/>
          <w:i/>
          <w:iCs/>
          <w:sz w:val="22"/>
          <w:szCs w:val="22"/>
          <w:lang w:val="en-GB"/>
        </w:rPr>
        <w:t>laws</w:t>
      </w:r>
      <w:r w:rsidR="00556E12">
        <w:rPr>
          <w:rFonts w:ascii="Arial" w:hAnsi="Arial" w:cs="Arial"/>
          <w:i/>
          <w:iCs/>
          <w:sz w:val="22"/>
          <w:szCs w:val="22"/>
          <w:lang w:val="en-GB"/>
        </w:rPr>
        <w:t xml:space="preserve"> of Hong Kong”.</w:t>
      </w:r>
    </w:p>
    <w:p w14:paraId="4D50EBC5" w14:textId="3471BA83" w:rsidR="00556E12" w:rsidRDefault="00556E12" w:rsidP="00E14FA7">
      <w:pPr>
        <w:jc w:val="both"/>
        <w:rPr>
          <w:rFonts w:ascii="Arial" w:hAnsi="Arial" w:cs="Arial"/>
          <w:sz w:val="22"/>
          <w:szCs w:val="22"/>
          <w:lang w:val="en-GB"/>
        </w:rPr>
      </w:pPr>
    </w:p>
    <w:p w14:paraId="0A0CF42F" w14:textId="20638D90" w:rsidR="00556E12" w:rsidRPr="00556E12" w:rsidRDefault="00556E12" w:rsidP="00E14FA7">
      <w:pPr>
        <w:jc w:val="both"/>
        <w:rPr>
          <w:rFonts w:ascii="Arial" w:hAnsi="Arial" w:cs="Arial"/>
          <w:sz w:val="22"/>
          <w:szCs w:val="22"/>
          <w:lang w:val="en-GB"/>
        </w:rPr>
      </w:pPr>
      <w:r>
        <w:rPr>
          <w:rFonts w:ascii="Arial" w:hAnsi="Arial" w:cs="Arial"/>
          <w:sz w:val="22"/>
          <w:szCs w:val="22"/>
          <w:lang w:val="en-GB"/>
        </w:rPr>
        <w:t xml:space="preserve">Accordingly, Hong Kong’s individual insolvency laws are contained in the Bankruptcy Ordinance (Cap 6), as supplemented by the Bankruptcy Rules (Cap 6A) and Hong Kong’s corporate insolvency laws are contained </w:t>
      </w:r>
      <w:r w:rsidR="007366CE">
        <w:rPr>
          <w:rFonts w:ascii="Arial" w:hAnsi="Arial" w:cs="Arial"/>
          <w:sz w:val="22"/>
          <w:szCs w:val="22"/>
          <w:lang w:val="en-GB"/>
        </w:rPr>
        <w:t>in the Companies (Winding Up and Miscellaneous Previsions) Ordinance (Cap 232), as supplemented by the Companies (Winding Up) Rules (Cap 32H).</w:t>
      </w:r>
    </w:p>
    <w:p w14:paraId="25A85158" w14:textId="77777777" w:rsidR="00CF054D" w:rsidRDefault="00CF054D" w:rsidP="00E14FA7">
      <w:pPr>
        <w:jc w:val="both"/>
        <w:rPr>
          <w:rFonts w:ascii="Arial" w:hAnsi="Arial" w:cs="Arial"/>
          <w:sz w:val="22"/>
          <w:szCs w:val="22"/>
          <w:lang w:val="en-GB"/>
        </w:rPr>
      </w:pPr>
    </w:p>
    <w:p w14:paraId="0A914B15" w14:textId="4DF2C441" w:rsidR="003E220B" w:rsidRDefault="007366CE" w:rsidP="00E14FA7">
      <w:pPr>
        <w:jc w:val="both"/>
        <w:rPr>
          <w:rFonts w:ascii="Arial" w:hAnsi="Arial" w:cs="Arial"/>
          <w:sz w:val="22"/>
          <w:szCs w:val="22"/>
          <w:lang w:val="en-GB"/>
        </w:rPr>
      </w:pPr>
      <w:r>
        <w:rPr>
          <w:rFonts w:ascii="Arial" w:hAnsi="Arial" w:cs="Arial"/>
          <w:sz w:val="22"/>
          <w:szCs w:val="22"/>
          <w:lang w:val="en-GB"/>
        </w:rPr>
        <w:t>Therefore, Hong Kong and the Mainland PRC remain as two separate judicial systems and the arrangements available to deal with cross-border insolvency will differ between the two (2) jurisdictions.</w:t>
      </w:r>
    </w:p>
    <w:p w14:paraId="708485D6" w14:textId="77777777" w:rsidR="007366CE" w:rsidRDefault="007366CE"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60ADAAB6" w14:textId="73B39184" w:rsidR="00711999" w:rsidRDefault="00711999" w:rsidP="00E14FA7">
      <w:pPr>
        <w:jc w:val="both"/>
        <w:rPr>
          <w:rFonts w:ascii="Arial" w:hAnsi="Arial" w:cs="Arial"/>
          <w:color w:val="808080" w:themeColor="background1" w:themeShade="80"/>
          <w:sz w:val="22"/>
          <w:szCs w:val="22"/>
          <w:lang w:val="en-GB"/>
        </w:rPr>
      </w:pPr>
    </w:p>
    <w:p w14:paraId="27400C22" w14:textId="2011DD17" w:rsidR="00C64953" w:rsidRDefault="00C057FC" w:rsidP="00E14FA7">
      <w:pPr>
        <w:jc w:val="both"/>
        <w:rPr>
          <w:rFonts w:ascii="Arial" w:hAnsi="Arial" w:cs="Arial"/>
          <w:sz w:val="22"/>
          <w:szCs w:val="22"/>
          <w:lang w:val="en-GB"/>
        </w:rPr>
      </w:pPr>
      <w:r>
        <w:rPr>
          <w:rFonts w:ascii="Arial" w:hAnsi="Arial" w:cs="Arial"/>
          <w:sz w:val="22"/>
          <w:szCs w:val="22"/>
          <w:lang w:val="en-GB"/>
        </w:rPr>
        <w:t>A scheme of arrangement is a statutory mechanism under Hong Kong law which allows companies to make binding compromises or arrangements with their members and / or creditors (or any class of them), including adjustment of debts owed to its creditors or reduction of share capital.</w:t>
      </w:r>
      <w:r w:rsidR="00C64953">
        <w:rPr>
          <w:rFonts w:ascii="Arial" w:hAnsi="Arial" w:cs="Arial"/>
          <w:sz w:val="22"/>
          <w:szCs w:val="22"/>
          <w:lang w:val="en-GB"/>
        </w:rPr>
        <w:t xml:space="preserve">  </w:t>
      </w:r>
      <w:r w:rsidR="00054F6C">
        <w:rPr>
          <w:rFonts w:ascii="Arial" w:hAnsi="Arial" w:cs="Arial"/>
          <w:sz w:val="22"/>
          <w:szCs w:val="22"/>
          <w:lang w:val="en-GB"/>
        </w:rPr>
        <w:t xml:space="preserve">For debt restructuring purposes a scheme of arrangement enable companies and their creditors to compromise or adjust debts if stipulated majorities of the relevant creditors approve the same and the court sanction such an arrangement.  </w:t>
      </w:r>
      <w:r w:rsidR="0066432B">
        <w:rPr>
          <w:rFonts w:ascii="Arial" w:hAnsi="Arial" w:cs="Arial"/>
          <w:sz w:val="22"/>
          <w:szCs w:val="22"/>
          <w:lang w:val="en-GB"/>
        </w:rPr>
        <w:t>The statute for s</w:t>
      </w:r>
      <w:r w:rsidR="00054F6C">
        <w:rPr>
          <w:rFonts w:ascii="Arial" w:hAnsi="Arial" w:cs="Arial"/>
          <w:sz w:val="22"/>
          <w:szCs w:val="22"/>
          <w:lang w:val="en-GB"/>
        </w:rPr>
        <w:t xml:space="preserve">chemes of arrangement are </w:t>
      </w:r>
      <w:r w:rsidR="0066432B">
        <w:rPr>
          <w:rFonts w:ascii="Arial" w:hAnsi="Arial" w:cs="Arial"/>
          <w:sz w:val="22"/>
          <w:szCs w:val="22"/>
          <w:lang w:val="en-GB"/>
        </w:rPr>
        <w:t>contained din Part 13, division 2 of the Companies Ordinance (primarily section 668 to 677) and the procedure relating to the application s necessary to effect a scheme of arrangement is governed by O.102 r2 and r5 of the Rules of the High Court.</w:t>
      </w:r>
    </w:p>
    <w:p w14:paraId="37675173" w14:textId="11AC6A7E" w:rsidR="00054F6C" w:rsidRDefault="00054F6C" w:rsidP="00E14FA7">
      <w:pPr>
        <w:jc w:val="both"/>
        <w:rPr>
          <w:rFonts w:ascii="Arial" w:hAnsi="Arial" w:cs="Arial"/>
          <w:sz w:val="22"/>
          <w:szCs w:val="22"/>
          <w:lang w:val="en-GB"/>
        </w:rPr>
      </w:pPr>
    </w:p>
    <w:p w14:paraId="1E7E22B7" w14:textId="5805C9EB" w:rsidR="00054F6C" w:rsidRDefault="00054F6C" w:rsidP="00E14FA7">
      <w:pPr>
        <w:jc w:val="both"/>
        <w:rPr>
          <w:rFonts w:ascii="Arial" w:hAnsi="Arial" w:cs="Arial"/>
          <w:sz w:val="22"/>
          <w:szCs w:val="22"/>
          <w:lang w:val="en-GB"/>
        </w:rPr>
      </w:pPr>
      <w:r>
        <w:rPr>
          <w:rFonts w:ascii="Arial" w:hAnsi="Arial" w:cs="Arial"/>
          <w:sz w:val="22"/>
          <w:szCs w:val="22"/>
          <w:lang w:val="en-GB"/>
        </w:rPr>
        <w:t>Some pros of a scheme of arrangement are:</w:t>
      </w:r>
    </w:p>
    <w:p w14:paraId="7120268B" w14:textId="79738B18" w:rsidR="00054F6C" w:rsidRDefault="00054F6C" w:rsidP="00E14FA7">
      <w:pPr>
        <w:jc w:val="both"/>
        <w:rPr>
          <w:rFonts w:ascii="Arial" w:hAnsi="Arial" w:cs="Arial"/>
          <w:sz w:val="22"/>
          <w:szCs w:val="22"/>
          <w:lang w:val="en-GB"/>
        </w:rPr>
      </w:pPr>
    </w:p>
    <w:p w14:paraId="60AC076F" w14:textId="49094F0B" w:rsidR="00054F6C" w:rsidRDefault="00FC6205" w:rsidP="00054F6C">
      <w:pPr>
        <w:pStyle w:val="ListParagraph"/>
        <w:numPr>
          <w:ilvl w:val="0"/>
          <w:numId w:val="32"/>
        </w:numPr>
        <w:jc w:val="both"/>
        <w:rPr>
          <w:rFonts w:ascii="Arial" w:hAnsi="Arial" w:cs="Arial"/>
          <w:sz w:val="22"/>
          <w:szCs w:val="22"/>
          <w:lang w:val="en-GB"/>
        </w:rPr>
      </w:pPr>
      <w:r>
        <w:rPr>
          <w:rFonts w:ascii="Arial" w:hAnsi="Arial" w:cs="Arial"/>
          <w:sz w:val="22"/>
          <w:szCs w:val="22"/>
          <w:lang w:val="en-GB"/>
        </w:rPr>
        <w:t xml:space="preserve">a company does not require 100% of the relevant creditors approval to contractually vary their debt.  </w:t>
      </w:r>
      <w:r w:rsidR="009E28BF">
        <w:rPr>
          <w:rFonts w:ascii="Arial" w:hAnsi="Arial" w:cs="Arial"/>
          <w:sz w:val="22"/>
          <w:szCs w:val="22"/>
          <w:lang w:val="en-GB"/>
        </w:rPr>
        <w:t xml:space="preserve">In a scheme of arrangement, the scheme is considered approved by the scheme creditors’ meeting if it is supported by a majority in number representing 75% by value of the creditors present and voting.  </w:t>
      </w:r>
      <w:r w:rsidR="00C55442">
        <w:rPr>
          <w:rFonts w:ascii="Arial" w:hAnsi="Arial" w:cs="Arial"/>
          <w:sz w:val="22"/>
          <w:szCs w:val="22"/>
          <w:lang w:val="en-GB"/>
        </w:rPr>
        <w:t>A scheme of arrangement is therefore helpful where it would be difficult or impossible to seek unanimous consent of all creditors, or, where there may be hold out creditors who seek an unfair advantage as against a substantial majority of similarly ranked creditors.</w:t>
      </w:r>
    </w:p>
    <w:p w14:paraId="0433C39E" w14:textId="34B52875" w:rsidR="00054F6C" w:rsidRDefault="009E2A1B" w:rsidP="00054F6C">
      <w:pPr>
        <w:pStyle w:val="ListParagraph"/>
        <w:numPr>
          <w:ilvl w:val="0"/>
          <w:numId w:val="32"/>
        </w:numPr>
        <w:jc w:val="both"/>
        <w:rPr>
          <w:rFonts w:ascii="Arial" w:hAnsi="Arial" w:cs="Arial"/>
          <w:sz w:val="22"/>
          <w:szCs w:val="22"/>
          <w:lang w:val="en-GB"/>
        </w:rPr>
      </w:pPr>
      <w:r>
        <w:rPr>
          <w:rFonts w:ascii="Arial" w:hAnsi="Arial" w:cs="Arial"/>
          <w:sz w:val="22"/>
          <w:szCs w:val="22"/>
          <w:lang w:val="en-GB"/>
        </w:rPr>
        <w:lastRenderedPageBreak/>
        <w:t xml:space="preserve">Companies can continue </w:t>
      </w:r>
      <w:r w:rsidR="005631FD">
        <w:rPr>
          <w:rFonts w:ascii="Arial" w:hAnsi="Arial" w:cs="Arial"/>
          <w:sz w:val="22"/>
          <w:szCs w:val="22"/>
          <w:lang w:val="en-GB"/>
        </w:rPr>
        <w:t>trading following implementation of a scheme of arrangement.</w:t>
      </w:r>
    </w:p>
    <w:p w14:paraId="161DA05E" w14:textId="19A240DD" w:rsidR="00C55442" w:rsidRDefault="00C55442" w:rsidP="00C55442">
      <w:pPr>
        <w:jc w:val="both"/>
        <w:rPr>
          <w:rFonts w:ascii="Arial" w:hAnsi="Arial" w:cs="Arial"/>
          <w:sz w:val="22"/>
          <w:szCs w:val="22"/>
          <w:lang w:val="en-GB"/>
        </w:rPr>
      </w:pPr>
    </w:p>
    <w:p w14:paraId="009F2339" w14:textId="053A441A" w:rsidR="00C55442" w:rsidRDefault="00C55442" w:rsidP="00C55442">
      <w:pPr>
        <w:jc w:val="both"/>
        <w:rPr>
          <w:rFonts w:ascii="Arial" w:hAnsi="Arial" w:cs="Arial"/>
          <w:sz w:val="22"/>
          <w:szCs w:val="22"/>
          <w:lang w:val="en-GB"/>
        </w:rPr>
      </w:pPr>
      <w:r>
        <w:rPr>
          <w:rFonts w:ascii="Arial" w:hAnsi="Arial" w:cs="Arial"/>
          <w:sz w:val="22"/>
          <w:szCs w:val="22"/>
          <w:lang w:val="en-GB"/>
        </w:rPr>
        <w:t>Come cons of a scheme of arrangement are:</w:t>
      </w:r>
    </w:p>
    <w:p w14:paraId="2753523E" w14:textId="4286E239" w:rsidR="00C55442" w:rsidRDefault="00C55442" w:rsidP="00C55442">
      <w:pPr>
        <w:jc w:val="both"/>
        <w:rPr>
          <w:rFonts w:ascii="Arial" w:hAnsi="Arial" w:cs="Arial"/>
          <w:sz w:val="22"/>
          <w:szCs w:val="22"/>
          <w:lang w:val="en-GB"/>
        </w:rPr>
      </w:pPr>
    </w:p>
    <w:p w14:paraId="4BA18C68" w14:textId="40B9B77E" w:rsidR="00C55442" w:rsidRDefault="002C2B7C" w:rsidP="00C55442">
      <w:pPr>
        <w:pStyle w:val="ListParagraph"/>
        <w:numPr>
          <w:ilvl w:val="0"/>
          <w:numId w:val="33"/>
        </w:numPr>
        <w:jc w:val="both"/>
        <w:rPr>
          <w:rFonts w:ascii="Arial" w:hAnsi="Arial" w:cs="Arial"/>
          <w:sz w:val="22"/>
          <w:szCs w:val="22"/>
          <w:lang w:val="en-GB"/>
        </w:rPr>
      </w:pPr>
      <w:r>
        <w:rPr>
          <w:rFonts w:ascii="Arial" w:hAnsi="Arial" w:cs="Arial"/>
          <w:sz w:val="22"/>
          <w:szCs w:val="22"/>
          <w:lang w:val="en-GB"/>
        </w:rPr>
        <w:t>in a</w:t>
      </w:r>
      <w:r w:rsidR="00C55442">
        <w:rPr>
          <w:rFonts w:ascii="Arial" w:hAnsi="Arial" w:cs="Arial"/>
          <w:sz w:val="22"/>
          <w:szCs w:val="22"/>
          <w:lang w:val="en-GB"/>
        </w:rPr>
        <w:t xml:space="preserve"> scheme of arrangement </w:t>
      </w:r>
      <w:r>
        <w:rPr>
          <w:rFonts w:ascii="Arial" w:hAnsi="Arial" w:cs="Arial"/>
          <w:sz w:val="22"/>
          <w:szCs w:val="22"/>
          <w:lang w:val="en-GB"/>
        </w:rPr>
        <w:t>it is not immediately obvious that releases in favour of third parties, such as guarantors, should be available through the scheme mechanism.  The practice has developed that a company, through a scheme, may cause the release of its creditors’ claims under guarantees provided by third parties where the guarantees are in respect of the debt being compromised under the scheme.</w:t>
      </w:r>
      <w:r w:rsidR="009E28BF">
        <w:rPr>
          <w:rFonts w:ascii="Arial" w:hAnsi="Arial" w:cs="Arial"/>
          <w:sz w:val="22"/>
          <w:szCs w:val="22"/>
          <w:lang w:val="en-GB"/>
        </w:rPr>
        <w:t xml:space="preserve">  The Hong Kong court has permitted third party releases in appropriate circumstances (</w:t>
      </w:r>
      <w:r w:rsidR="009E28BF">
        <w:rPr>
          <w:rFonts w:ascii="Arial" w:hAnsi="Arial" w:cs="Arial"/>
          <w:i/>
          <w:iCs/>
          <w:sz w:val="22"/>
          <w:szCs w:val="22"/>
          <w:lang w:val="en-GB"/>
        </w:rPr>
        <w:t>Kaisa and Winsway</w:t>
      </w:r>
      <w:r w:rsidR="009E28BF">
        <w:rPr>
          <w:rFonts w:ascii="Arial" w:hAnsi="Arial" w:cs="Arial"/>
          <w:sz w:val="22"/>
          <w:szCs w:val="22"/>
          <w:lang w:val="en-GB"/>
        </w:rPr>
        <w:t xml:space="preserve"> decisions).</w:t>
      </w:r>
    </w:p>
    <w:p w14:paraId="3EAE95AF" w14:textId="57706F8F" w:rsidR="002C2B7C" w:rsidRPr="00C55442" w:rsidRDefault="00EC4483" w:rsidP="00C55442">
      <w:pPr>
        <w:pStyle w:val="ListParagraph"/>
        <w:numPr>
          <w:ilvl w:val="0"/>
          <w:numId w:val="33"/>
        </w:numPr>
        <w:jc w:val="both"/>
        <w:rPr>
          <w:rFonts w:ascii="Arial" w:hAnsi="Arial" w:cs="Arial"/>
          <w:sz w:val="22"/>
          <w:szCs w:val="22"/>
          <w:lang w:val="en-GB"/>
        </w:rPr>
      </w:pPr>
      <w:r>
        <w:rPr>
          <w:rFonts w:ascii="Arial" w:hAnsi="Arial" w:cs="Arial"/>
          <w:sz w:val="22"/>
          <w:szCs w:val="22"/>
          <w:lang w:val="en-GB"/>
        </w:rPr>
        <w:t xml:space="preserve">With reference to </w:t>
      </w:r>
      <w:r>
        <w:rPr>
          <w:rFonts w:ascii="Arial" w:hAnsi="Arial" w:cs="Arial"/>
          <w:i/>
          <w:iCs/>
          <w:sz w:val="22"/>
          <w:szCs w:val="22"/>
          <w:lang w:val="en-GB"/>
        </w:rPr>
        <w:t>Anthony Gibbs &amp; sons v Societe Industrielle et Commerciale des Metaux,</w:t>
      </w:r>
      <w:r>
        <w:rPr>
          <w:rFonts w:ascii="Arial" w:hAnsi="Arial" w:cs="Arial"/>
          <w:sz w:val="22"/>
          <w:szCs w:val="22"/>
          <w:lang w:val="en-GB"/>
        </w:rPr>
        <w:t xml:space="preserve"> a scheme of arrangement seeking to compromise or vary an existing debt will only have real and substantive effect if the debt is discharged under the governing law of the debt.  Therefore, foreign debts will not be discharged in the respective foreign jurisdiction.</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D4B838"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292D979B" w14:textId="4C84A80B"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09EFCFC9" w14:textId="319A28DB" w:rsidR="008A6539" w:rsidRDefault="008A6539" w:rsidP="00E14FA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Given Mr Chan’s comment that Mountainview Limited (“Mountainview”) is “unlikely to be able to continue business”, the best option for Mr Chan is to consider voluntary liquidation, so final settlement can be reached with his creditors and any other </w:t>
      </w:r>
      <w:r w:rsidR="00F842CC">
        <w:rPr>
          <w:rFonts w:ascii="Arial" w:hAnsi="Arial" w:cs="Arial"/>
          <w:sz w:val="22"/>
          <w:szCs w:val="22"/>
          <w:lang w:val="en-GB"/>
        </w:rPr>
        <w:t>stakeholders,</w:t>
      </w:r>
      <w:r>
        <w:rPr>
          <w:rFonts w:ascii="Arial" w:hAnsi="Arial" w:cs="Arial"/>
          <w:sz w:val="22"/>
          <w:szCs w:val="22"/>
          <w:lang w:val="en-GB"/>
        </w:rPr>
        <w:t xml:space="preserve"> and the company can be deregistered.  </w:t>
      </w:r>
      <w:r w:rsidR="002D7ECA">
        <w:rPr>
          <w:rFonts w:ascii="Arial" w:hAnsi="Arial" w:cs="Arial"/>
          <w:sz w:val="22"/>
          <w:szCs w:val="22"/>
          <w:lang w:val="en-GB"/>
        </w:rPr>
        <w:t xml:space="preserve">Mr Chan is aware of Mountainview’s financial distress and should take action to wind up the company prior to a creditor applying for the winding up of Mountainview to the Court.  </w:t>
      </w:r>
      <w:r>
        <w:rPr>
          <w:rFonts w:ascii="Arial" w:hAnsi="Arial" w:cs="Arial"/>
          <w:sz w:val="22"/>
          <w:szCs w:val="22"/>
          <w:lang w:val="en-GB"/>
        </w:rPr>
        <w:t>There are two (2) types of voluntary liquidation, members’ voluntary liquidation (“MVL”) and creditor</w:t>
      </w:r>
      <w:r w:rsidR="00D23394">
        <w:rPr>
          <w:rFonts w:ascii="Arial" w:hAnsi="Arial" w:cs="Arial"/>
          <w:sz w:val="22"/>
          <w:szCs w:val="22"/>
          <w:lang w:val="en-GB"/>
        </w:rPr>
        <w:t>s’</w:t>
      </w:r>
      <w:r>
        <w:rPr>
          <w:rFonts w:ascii="Arial" w:hAnsi="Arial" w:cs="Arial"/>
          <w:sz w:val="22"/>
          <w:szCs w:val="22"/>
          <w:lang w:val="en-GB"/>
        </w:rPr>
        <w:t xml:space="preserve"> voluntary liquidation (“CVL”).</w:t>
      </w:r>
    </w:p>
    <w:p w14:paraId="665763E2" w14:textId="419FCBA3" w:rsidR="008A6539" w:rsidRDefault="008A6539" w:rsidP="00E14FA7">
      <w:pPr>
        <w:autoSpaceDE w:val="0"/>
        <w:autoSpaceDN w:val="0"/>
        <w:adjustRightInd w:val="0"/>
        <w:jc w:val="both"/>
        <w:rPr>
          <w:rFonts w:ascii="Arial" w:hAnsi="Arial" w:cs="Arial"/>
          <w:sz w:val="22"/>
          <w:szCs w:val="22"/>
          <w:lang w:val="en-GB"/>
        </w:rPr>
      </w:pPr>
    </w:p>
    <w:p w14:paraId="2A5413B1" w14:textId="4F6BBE35" w:rsidR="008A6539" w:rsidRDefault="00D23394" w:rsidP="00E14FA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Pursuant to section 233(1) of the CWUMPO, an MVL is a procedure which is used where the company is able to settle its liabilities within </w:t>
      </w:r>
      <w:r w:rsidR="000305C0">
        <w:rPr>
          <w:rFonts w:ascii="Arial" w:hAnsi="Arial" w:cs="Arial"/>
          <w:sz w:val="22"/>
          <w:szCs w:val="22"/>
          <w:lang w:val="en-GB"/>
        </w:rPr>
        <w:t>twelve (</w:t>
      </w:r>
      <w:r>
        <w:rPr>
          <w:rFonts w:ascii="Arial" w:hAnsi="Arial" w:cs="Arial"/>
          <w:sz w:val="22"/>
          <w:szCs w:val="22"/>
          <w:lang w:val="en-GB"/>
        </w:rPr>
        <w:t>12</w:t>
      </w:r>
      <w:r w:rsidR="000305C0">
        <w:rPr>
          <w:rFonts w:ascii="Arial" w:hAnsi="Arial" w:cs="Arial"/>
          <w:sz w:val="22"/>
          <w:szCs w:val="22"/>
          <w:lang w:val="en-GB"/>
        </w:rPr>
        <w:t>)</w:t>
      </w:r>
      <w:r>
        <w:rPr>
          <w:rFonts w:ascii="Arial" w:hAnsi="Arial" w:cs="Arial"/>
          <w:sz w:val="22"/>
          <w:szCs w:val="22"/>
          <w:lang w:val="en-GB"/>
        </w:rPr>
        <w:t xml:space="preserve"> months of the commencement of the liquidation.  In an MVL, the director(s) will be required to sign a declaration of solvency.  The appointed liquidators take over control of the business from the director(s) and investigate the company’s affairs (including the conduct of the director(s)</w:t>
      </w:r>
      <w:r w:rsidR="000C26F0">
        <w:rPr>
          <w:rFonts w:ascii="Arial" w:hAnsi="Arial" w:cs="Arial"/>
          <w:sz w:val="22"/>
          <w:szCs w:val="22"/>
          <w:lang w:val="en-GB"/>
        </w:rPr>
        <w:t>) and</w:t>
      </w:r>
      <w:r>
        <w:rPr>
          <w:rFonts w:ascii="Arial" w:hAnsi="Arial" w:cs="Arial"/>
          <w:sz w:val="22"/>
          <w:szCs w:val="22"/>
          <w:lang w:val="en-GB"/>
        </w:rPr>
        <w:t xml:space="preserve"> realise the assets in order to pay the company’s creditors (in full), distributing any surplus to the shareholders</w:t>
      </w:r>
      <w:r w:rsidR="000C26F0">
        <w:rPr>
          <w:rFonts w:ascii="Arial" w:hAnsi="Arial" w:cs="Arial"/>
          <w:sz w:val="22"/>
          <w:szCs w:val="22"/>
          <w:lang w:val="en-GB"/>
        </w:rPr>
        <w:t xml:space="preserve"> (section 256 of the CWUMPO)</w:t>
      </w:r>
      <w:r>
        <w:rPr>
          <w:rFonts w:ascii="Arial" w:hAnsi="Arial" w:cs="Arial"/>
          <w:sz w:val="22"/>
          <w:szCs w:val="22"/>
          <w:lang w:val="en-GB"/>
        </w:rPr>
        <w:t>.</w:t>
      </w:r>
    </w:p>
    <w:p w14:paraId="354AA3ED" w14:textId="0B7F96F7" w:rsidR="000C26F0" w:rsidRDefault="000C26F0" w:rsidP="00E14FA7">
      <w:pPr>
        <w:autoSpaceDE w:val="0"/>
        <w:autoSpaceDN w:val="0"/>
        <w:adjustRightInd w:val="0"/>
        <w:jc w:val="both"/>
        <w:rPr>
          <w:rFonts w:ascii="Arial" w:hAnsi="Arial" w:cs="Arial"/>
          <w:sz w:val="22"/>
          <w:szCs w:val="22"/>
          <w:lang w:val="en-GB"/>
        </w:rPr>
      </w:pPr>
    </w:p>
    <w:p w14:paraId="38CF295E" w14:textId="736CD68F" w:rsidR="000C26F0" w:rsidRDefault="000C26F0" w:rsidP="00E14FA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Pursuant to section 233(4) of the CWUMPO, a </w:t>
      </w:r>
      <w:r w:rsidR="007E3CE4">
        <w:rPr>
          <w:rFonts w:ascii="Arial" w:hAnsi="Arial" w:cs="Arial"/>
          <w:sz w:val="22"/>
          <w:szCs w:val="22"/>
          <w:lang w:val="en-GB"/>
        </w:rPr>
        <w:t>CVL is where a company places itself into liquidation but it is not solvent.  The directors will convene a meeting of shareholders in order to pass a special resolution for the winding up of the company.  The CVL commences on the date of the shareholder resolution.  After the appointment a creditors meeting is held within 14 days (section 241(a) of the CWUMPO) where a statement of affairs for the company is presented (section 241 (3A)</w:t>
      </w:r>
      <w:r w:rsidR="000305C0">
        <w:rPr>
          <w:rFonts w:ascii="Arial" w:hAnsi="Arial" w:cs="Arial"/>
          <w:sz w:val="22"/>
          <w:szCs w:val="22"/>
          <w:lang w:val="en-GB"/>
        </w:rPr>
        <w:t xml:space="preserve"> </w:t>
      </w:r>
      <w:r w:rsidR="007E3CE4">
        <w:rPr>
          <w:rFonts w:ascii="Arial" w:hAnsi="Arial" w:cs="Arial"/>
          <w:sz w:val="22"/>
          <w:szCs w:val="22"/>
          <w:lang w:val="en-GB"/>
        </w:rPr>
        <w:t xml:space="preserve">of the CWUMPO).  </w:t>
      </w:r>
      <w:r w:rsidR="002D7ECA">
        <w:rPr>
          <w:rFonts w:ascii="Arial" w:hAnsi="Arial" w:cs="Arial"/>
          <w:sz w:val="22"/>
          <w:szCs w:val="22"/>
          <w:lang w:val="en-GB"/>
        </w:rPr>
        <w:t>Pursuant to section 242 of the CWUMPO, a</w:t>
      </w:r>
      <w:r w:rsidR="007E3CE4">
        <w:rPr>
          <w:rFonts w:ascii="Arial" w:hAnsi="Arial" w:cs="Arial"/>
          <w:sz w:val="22"/>
          <w:szCs w:val="22"/>
          <w:lang w:val="en-GB"/>
        </w:rPr>
        <w:t xml:space="preserve">t the creditors meeting, the creditors </w:t>
      </w:r>
      <w:r w:rsidR="002D7ECA">
        <w:rPr>
          <w:rFonts w:ascii="Arial" w:hAnsi="Arial" w:cs="Arial"/>
          <w:sz w:val="22"/>
          <w:szCs w:val="22"/>
          <w:lang w:val="en-GB"/>
        </w:rPr>
        <w:t xml:space="preserve">will nominate and vote for the appointment of a liquidator, </w:t>
      </w:r>
      <w:r w:rsidR="002D7ECA">
        <w:rPr>
          <w:rFonts w:ascii="Arial" w:hAnsi="Arial" w:cs="Arial"/>
          <w:sz w:val="22"/>
          <w:szCs w:val="22"/>
          <w:lang w:val="en-GB"/>
        </w:rPr>
        <w:lastRenderedPageBreak/>
        <w:t xml:space="preserve">and the </w:t>
      </w:r>
      <w:r w:rsidR="007E3CE4">
        <w:rPr>
          <w:rFonts w:ascii="Arial" w:hAnsi="Arial" w:cs="Arial"/>
          <w:sz w:val="22"/>
          <w:szCs w:val="22"/>
          <w:lang w:val="en-GB"/>
        </w:rPr>
        <w:t xml:space="preserve">liquidator </w:t>
      </w:r>
      <w:r w:rsidR="002D7ECA">
        <w:rPr>
          <w:rFonts w:ascii="Arial" w:hAnsi="Arial" w:cs="Arial"/>
          <w:sz w:val="22"/>
          <w:szCs w:val="22"/>
          <w:lang w:val="en-GB"/>
        </w:rPr>
        <w:t xml:space="preserve">will receive </w:t>
      </w:r>
      <w:r w:rsidR="007E3CE4">
        <w:rPr>
          <w:rFonts w:ascii="Arial" w:hAnsi="Arial" w:cs="Arial"/>
          <w:sz w:val="22"/>
          <w:szCs w:val="22"/>
          <w:lang w:val="en-GB"/>
        </w:rPr>
        <w:t>his full powers to conduct the liquidation.  The director(s) are not required to sign a declaration of solvency in a CVL.</w:t>
      </w:r>
    </w:p>
    <w:p w14:paraId="377F3AFE" w14:textId="2706FA04" w:rsidR="007E3CE4" w:rsidRDefault="007E3CE4" w:rsidP="00E14FA7">
      <w:pPr>
        <w:autoSpaceDE w:val="0"/>
        <w:autoSpaceDN w:val="0"/>
        <w:adjustRightInd w:val="0"/>
        <w:jc w:val="both"/>
        <w:rPr>
          <w:rFonts w:ascii="Arial" w:hAnsi="Arial" w:cs="Arial"/>
          <w:sz w:val="22"/>
          <w:szCs w:val="22"/>
          <w:lang w:val="en-GB"/>
        </w:rPr>
      </w:pPr>
    </w:p>
    <w:p w14:paraId="51B239D4" w14:textId="39367BAD" w:rsidR="007E3CE4" w:rsidRPr="008A6539" w:rsidRDefault="002D7ECA" w:rsidP="00E14FA7">
      <w:pPr>
        <w:autoSpaceDE w:val="0"/>
        <w:autoSpaceDN w:val="0"/>
        <w:adjustRightInd w:val="0"/>
        <w:jc w:val="both"/>
        <w:rPr>
          <w:rFonts w:ascii="Arial" w:hAnsi="Arial" w:cs="Arial"/>
          <w:sz w:val="22"/>
          <w:szCs w:val="22"/>
          <w:lang w:val="en-GB"/>
        </w:rPr>
      </w:pPr>
      <w:r>
        <w:rPr>
          <w:rFonts w:ascii="Arial" w:hAnsi="Arial" w:cs="Arial"/>
          <w:sz w:val="22"/>
          <w:szCs w:val="22"/>
          <w:lang w:val="en-GB"/>
        </w:rPr>
        <w:t>If Mountainview is solvent, Mr Chan should commence and MVL.  If Mountain view is insolvent, Mr Chan should commence a CVL.  The primary advantage to both and MVL and CVL compared to a compulsory (court) liquidation, is there will be less involvement from the court, which will save costs for Mountainview, Mr Chan and the creditors of Mountainview.</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5E8F92C5" w14:textId="14AC6B28"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360C8261" w14:textId="77777777" w:rsidR="0074096F" w:rsidRDefault="00ED51BA" w:rsidP="00E11A40">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GLF has </w:t>
      </w:r>
      <w:r w:rsidR="00A51160">
        <w:rPr>
          <w:rFonts w:ascii="Arial" w:hAnsi="Arial" w:cs="Arial"/>
          <w:sz w:val="22"/>
          <w:szCs w:val="22"/>
          <w:lang w:val="en-GB"/>
        </w:rPr>
        <w:t xml:space="preserve">executed an agreement with </w:t>
      </w:r>
      <w:r>
        <w:rPr>
          <w:rFonts w:ascii="Arial" w:hAnsi="Arial" w:cs="Arial"/>
          <w:sz w:val="22"/>
          <w:szCs w:val="22"/>
          <w:lang w:val="en-GB"/>
        </w:rPr>
        <w:t>Kite</w:t>
      </w:r>
      <w:r w:rsidR="00E11A40">
        <w:rPr>
          <w:rFonts w:ascii="Arial" w:hAnsi="Arial" w:cs="Arial"/>
          <w:sz w:val="22"/>
          <w:szCs w:val="22"/>
          <w:lang w:val="en-GB"/>
        </w:rPr>
        <w:t xml:space="preserve"> in which Kite has provided a fixed charge over their</w:t>
      </w:r>
      <w:r>
        <w:rPr>
          <w:rFonts w:ascii="Arial" w:hAnsi="Arial" w:cs="Arial"/>
          <w:sz w:val="22"/>
          <w:szCs w:val="22"/>
          <w:lang w:val="en-GB"/>
        </w:rPr>
        <w:t xml:space="preserve"> receivables</w:t>
      </w:r>
      <w:r w:rsidR="00E11A40">
        <w:rPr>
          <w:rFonts w:ascii="Arial" w:hAnsi="Arial" w:cs="Arial"/>
          <w:sz w:val="22"/>
          <w:szCs w:val="22"/>
          <w:lang w:val="en-GB"/>
        </w:rPr>
        <w:t xml:space="preserve"> to GLF</w:t>
      </w:r>
      <w:r>
        <w:rPr>
          <w:rFonts w:ascii="Arial" w:hAnsi="Arial" w:cs="Arial"/>
          <w:sz w:val="22"/>
          <w:szCs w:val="22"/>
          <w:lang w:val="en-GB"/>
        </w:rPr>
        <w:t xml:space="preserve">.  </w:t>
      </w:r>
      <w:r w:rsidR="00E11A40">
        <w:rPr>
          <w:rFonts w:ascii="Arial" w:hAnsi="Arial" w:cs="Arial"/>
          <w:sz w:val="22"/>
          <w:szCs w:val="22"/>
          <w:lang w:val="en-GB"/>
        </w:rPr>
        <w:t xml:space="preserve">However, in order for a charge to be recognised as a fixed charge, rather than a floating charge, GLF must demonstrate control over the charged assets (the receivables) and that Kite is not permitted to freely deal with the receivables as though they were subject to the fixed charge. This is prevalent in the cases of </w:t>
      </w:r>
      <w:r w:rsidR="00E11A40">
        <w:rPr>
          <w:rFonts w:ascii="Arial" w:hAnsi="Arial" w:cs="Arial"/>
          <w:i/>
          <w:iCs/>
          <w:sz w:val="22"/>
          <w:szCs w:val="22"/>
          <w:lang w:val="en-GB"/>
        </w:rPr>
        <w:t xml:space="preserve">National Westminster Bank plc v Spectrum Plus Limited and others, </w:t>
      </w:r>
      <w:r w:rsidR="00E11A40">
        <w:rPr>
          <w:rFonts w:ascii="Arial" w:hAnsi="Arial" w:cs="Arial"/>
          <w:sz w:val="22"/>
          <w:szCs w:val="22"/>
          <w:lang w:val="en-GB"/>
        </w:rPr>
        <w:t xml:space="preserve">and, </w:t>
      </w:r>
      <w:r w:rsidR="00E11A40">
        <w:rPr>
          <w:rFonts w:ascii="Arial" w:hAnsi="Arial" w:cs="Arial"/>
          <w:i/>
          <w:iCs/>
          <w:sz w:val="22"/>
          <w:szCs w:val="22"/>
          <w:lang w:val="en-GB"/>
        </w:rPr>
        <w:t xml:space="preserve">Re Harmony Care Homes Limited (in administrative receivership) </w:t>
      </w:r>
      <w:r w:rsidR="00E11A40">
        <w:rPr>
          <w:rFonts w:ascii="Arial" w:hAnsi="Arial" w:cs="Arial"/>
          <w:sz w:val="22"/>
          <w:szCs w:val="22"/>
          <w:lang w:val="en-GB"/>
        </w:rPr>
        <w:t xml:space="preserve">which held that a fixed charge may be obtained over receivables, and the proceeds of those receivables paid into a bank account) only if the secured party has sufficient control over those proceeds.  </w:t>
      </w:r>
    </w:p>
    <w:p w14:paraId="2CEB8C2D" w14:textId="77777777" w:rsidR="0074096F" w:rsidRDefault="0074096F" w:rsidP="00E11A40">
      <w:pPr>
        <w:autoSpaceDE w:val="0"/>
        <w:autoSpaceDN w:val="0"/>
        <w:adjustRightInd w:val="0"/>
        <w:jc w:val="both"/>
        <w:rPr>
          <w:rFonts w:ascii="Arial" w:hAnsi="Arial" w:cs="Arial"/>
          <w:sz w:val="22"/>
          <w:szCs w:val="22"/>
          <w:lang w:val="en-GB"/>
        </w:rPr>
      </w:pPr>
    </w:p>
    <w:p w14:paraId="7415C066" w14:textId="79CC12C3" w:rsidR="0074096F" w:rsidRDefault="00E11A40" w:rsidP="0074096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Sufficient control is generally demonstrated by </w:t>
      </w:r>
      <w:r w:rsidR="0074096F">
        <w:rPr>
          <w:rFonts w:ascii="Arial" w:hAnsi="Arial" w:cs="Arial"/>
          <w:sz w:val="22"/>
          <w:szCs w:val="22"/>
          <w:lang w:val="en-GB"/>
        </w:rPr>
        <w:t xml:space="preserve">the entity holding the fixed charge </w:t>
      </w:r>
      <w:r w:rsidR="0074096F" w:rsidRPr="0074096F">
        <w:rPr>
          <w:rFonts w:ascii="Arial" w:hAnsi="Arial" w:cs="Arial"/>
          <w:sz w:val="22"/>
          <w:szCs w:val="22"/>
          <w:lang w:val="en-GB"/>
        </w:rPr>
        <w:t>blocking the account into which the proceeds of the</w:t>
      </w:r>
      <w:r w:rsidR="0074096F">
        <w:rPr>
          <w:rFonts w:ascii="Arial" w:hAnsi="Arial" w:cs="Arial"/>
          <w:sz w:val="22"/>
          <w:szCs w:val="22"/>
          <w:lang w:val="en-GB"/>
        </w:rPr>
        <w:t xml:space="preserve"> </w:t>
      </w:r>
      <w:r w:rsidR="0074096F" w:rsidRPr="0074096F">
        <w:rPr>
          <w:rFonts w:ascii="Arial" w:hAnsi="Arial" w:cs="Arial"/>
          <w:sz w:val="22"/>
          <w:szCs w:val="22"/>
          <w:lang w:val="en-GB"/>
        </w:rPr>
        <w:t xml:space="preserve">receivables are paid so that the </w:t>
      </w:r>
      <w:r w:rsidR="0074096F">
        <w:rPr>
          <w:rFonts w:ascii="Arial" w:hAnsi="Arial" w:cs="Arial"/>
          <w:sz w:val="22"/>
          <w:szCs w:val="22"/>
          <w:lang w:val="en-GB"/>
        </w:rPr>
        <w:t xml:space="preserve">charger (in this case Kite) </w:t>
      </w:r>
      <w:r w:rsidR="0074096F" w:rsidRPr="0074096F">
        <w:rPr>
          <w:rFonts w:ascii="Arial" w:hAnsi="Arial" w:cs="Arial"/>
          <w:sz w:val="22"/>
          <w:szCs w:val="22"/>
          <w:lang w:val="en-GB"/>
        </w:rPr>
        <w:t>will not have the authority to withdraw funds from</w:t>
      </w:r>
      <w:r w:rsidR="0074096F">
        <w:rPr>
          <w:rFonts w:ascii="Arial" w:hAnsi="Arial" w:cs="Arial"/>
          <w:sz w:val="22"/>
          <w:szCs w:val="22"/>
          <w:lang w:val="en-GB"/>
        </w:rPr>
        <w:t xml:space="preserve"> </w:t>
      </w:r>
      <w:r w:rsidR="0074096F" w:rsidRPr="0074096F">
        <w:rPr>
          <w:rFonts w:ascii="Arial" w:hAnsi="Arial" w:cs="Arial"/>
          <w:sz w:val="22"/>
          <w:szCs w:val="22"/>
          <w:lang w:val="en-GB"/>
        </w:rPr>
        <w:t xml:space="preserve">the account without first obtaining the chargee's </w:t>
      </w:r>
      <w:r w:rsidR="0074096F">
        <w:rPr>
          <w:rFonts w:ascii="Arial" w:hAnsi="Arial" w:cs="Arial"/>
          <w:sz w:val="22"/>
          <w:szCs w:val="22"/>
          <w:lang w:val="en-GB"/>
        </w:rPr>
        <w:t xml:space="preserve">(GLF’s) </w:t>
      </w:r>
      <w:r w:rsidR="0074096F" w:rsidRPr="0074096F">
        <w:rPr>
          <w:rFonts w:ascii="Arial" w:hAnsi="Arial" w:cs="Arial"/>
          <w:sz w:val="22"/>
          <w:szCs w:val="22"/>
          <w:lang w:val="en-GB"/>
        </w:rPr>
        <w:t>consent for withdrawal. The secured party will be the sole</w:t>
      </w:r>
      <w:r w:rsidR="0074096F">
        <w:rPr>
          <w:rFonts w:ascii="Arial" w:hAnsi="Arial" w:cs="Arial"/>
          <w:sz w:val="22"/>
          <w:szCs w:val="22"/>
          <w:lang w:val="en-GB"/>
        </w:rPr>
        <w:t xml:space="preserve"> </w:t>
      </w:r>
      <w:r w:rsidR="0074096F" w:rsidRPr="0074096F">
        <w:rPr>
          <w:rFonts w:ascii="Arial" w:hAnsi="Arial" w:cs="Arial"/>
          <w:sz w:val="22"/>
          <w:szCs w:val="22"/>
          <w:lang w:val="en-GB"/>
        </w:rPr>
        <w:t>authorised signatory with rights to direct activities in relation to the account and the account bank should</w:t>
      </w:r>
      <w:r w:rsidR="0074096F">
        <w:rPr>
          <w:rFonts w:ascii="Arial" w:hAnsi="Arial" w:cs="Arial"/>
          <w:sz w:val="22"/>
          <w:szCs w:val="22"/>
          <w:lang w:val="en-GB"/>
        </w:rPr>
        <w:t xml:space="preserve"> </w:t>
      </w:r>
      <w:r w:rsidR="0074096F" w:rsidRPr="0074096F">
        <w:rPr>
          <w:rFonts w:ascii="Arial" w:hAnsi="Arial" w:cs="Arial"/>
          <w:sz w:val="22"/>
          <w:szCs w:val="22"/>
          <w:lang w:val="en-GB"/>
        </w:rPr>
        <w:t>agree to only take instructions from the secured party with respect to the account.</w:t>
      </w:r>
      <w:r w:rsidR="0074096F">
        <w:rPr>
          <w:rFonts w:ascii="Arial" w:hAnsi="Arial" w:cs="Arial"/>
          <w:sz w:val="22"/>
          <w:szCs w:val="22"/>
          <w:lang w:val="en-GB"/>
        </w:rPr>
        <w:t xml:space="preserve">  Alternatively, the chargee can open a new account with similar restrictions.</w:t>
      </w:r>
    </w:p>
    <w:p w14:paraId="24F8B6C2" w14:textId="7487E3F3" w:rsidR="0074096F" w:rsidRDefault="0074096F" w:rsidP="0074096F">
      <w:pPr>
        <w:autoSpaceDE w:val="0"/>
        <w:autoSpaceDN w:val="0"/>
        <w:adjustRightInd w:val="0"/>
        <w:jc w:val="both"/>
        <w:rPr>
          <w:rFonts w:ascii="Arial" w:hAnsi="Arial" w:cs="Arial"/>
          <w:sz w:val="22"/>
          <w:szCs w:val="22"/>
          <w:lang w:val="en-GB"/>
        </w:rPr>
      </w:pPr>
    </w:p>
    <w:p w14:paraId="1C40D951" w14:textId="0B7AA2F5" w:rsidR="0074096F" w:rsidRDefault="0074096F" w:rsidP="0074096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No separate account has been opened for payment of Kite’s receivables subject to </w:t>
      </w:r>
      <w:r w:rsidR="001A6CCD">
        <w:rPr>
          <w:rFonts w:ascii="Arial" w:hAnsi="Arial" w:cs="Arial"/>
          <w:sz w:val="22"/>
          <w:szCs w:val="22"/>
          <w:lang w:val="en-GB"/>
        </w:rPr>
        <w:t xml:space="preserve">GLFs </w:t>
      </w:r>
      <w:r>
        <w:rPr>
          <w:rFonts w:ascii="Arial" w:hAnsi="Arial" w:cs="Arial"/>
          <w:sz w:val="22"/>
          <w:szCs w:val="22"/>
          <w:lang w:val="en-GB"/>
        </w:rPr>
        <w:t>fixed charge.  Additionally, Kite has continued to be paid receivables into its normal operating account.  Therefore, GLF has not exercised sufficient control and the fixed charge may need to be recategorised as a floating charge.</w:t>
      </w:r>
    </w:p>
    <w:p w14:paraId="6152552F" w14:textId="1B4DD5C3" w:rsidR="0043265D" w:rsidRDefault="0043265D" w:rsidP="0074096F">
      <w:pPr>
        <w:autoSpaceDE w:val="0"/>
        <w:autoSpaceDN w:val="0"/>
        <w:adjustRightInd w:val="0"/>
        <w:jc w:val="both"/>
        <w:rPr>
          <w:rFonts w:ascii="Arial" w:hAnsi="Arial" w:cs="Arial"/>
          <w:sz w:val="22"/>
          <w:szCs w:val="22"/>
          <w:lang w:val="en-GB"/>
        </w:rPr>
      </w:pPr>
    </w:p>
    <w:p w14:paraId="3A3EAF6C" w14:textId="45D18E5A" w:rsidR="00B526FA" w:rsidRDefault="001712E0" w:rsidP="0074096F">
      <w:pPr>
        <w:autoSpaceDE w:val="0"/>
        <w:autoSpaceDN w:val="0"/>
        <w:adjustRightInd w:val="0"/>
        <w:jc w:val="both"/>
        <w:rPr>
          <w:rFonts w:ascii="Arial" w:hAnsi="Arial" w:cs="Arial"/>
          <w:sz w:val="22"/>
          <w:szCs w:val="22"/>
          <w:lang w:val="en-GB"/>
        </w:rPr>
      </w:pPr>
      <w:r>
        <w:rPr>
          <w:rFonts w:ascii="Arial" w:hAnsi="Arial" w:cs="Arial"/>
          <w:sz w:val="22"/>
          <w:szCs w:val="22"/>
          <w:lang w:val="en-GB"/>
        </w:rPr>
        <w:t>However, even if GLFs fixed charge is recategorized as a floating charge their appointment as receiver over the receivables will still stand</w:t>
      </w:r>
      <w:r w:rsidR="00B526FA">
        <w:rPr>
          <w:rFonts w:ascii="Arial" w:hAnsi="Arial" w:cs="Arial"/>
          <w:sz w:val="22"/>
          <w:szCs w:val="22"/>
          <w:lang w:val="en-GB"/>
        </w:rPr>
        <w:t>, but the priority of payments will change</w:t>
      </w:r>
      <w:r>
        <w:rPr>
          <w:rFonts w:ascii="Arial" w:hAnsi="Arial" w:cs="Arial"/>
          <w:sz w:val="22"/>
          <w:szCs w:val="22"/>
          <w:lang w:val="en-GB"/>
        </w:rPr>
        <w:t>.  The liquidation of Kite, will not affect the receiver’s right to hold, sell and realise the accounts receivable.  The realisations made by the receiver out of the receivables</w:t>
      </w:r>
      <w:r w:rsidR="00B526FA">
        <w:rPr>
          <w:rFonts w:ascii="Arial" w:hAnsi="Arial" w:cs="Arial"/>
          <w:sz w:val="22"/>
          <w:szCs w:val="22"/>
          <w:lang w:val="en-GB"/>
        </w:rPr>
        <w:t xml:space="preserve"> are not available to the liquidator of Kite for payment of the liquidation expenses (section 265(3B) of the CWUMPO).  However, pursuant to section 79of the CWUMPO, were realisations are made out of the assets covered by a floating charge, those realisation must first be used to meet claims of preferential creditors.</w:t>
      </w:r>
    </w:p>
    <w:p w14:paraId="58CF25E4" w14:textId="77777777" w:rsidR="00B526FA" w:rsidRDefault="00B526FA" w:rsidP="0074096F">
      <w:pPr>
        <w:autoSpaceDE w:val="0"/>
        <w:autoSpaceDN w:val="0"/>
        <w:adjustRightInd w:val="0"/>
        <w:jc w:val="both"/>
        <w:rPr>
          <w:rFonts w:ascii="Arial" w:hAnsi="Arial" w:cs="Arial"/>
          <w:sz w:val="22"/>
          <w:szCs w:val="22"/>
          <w:lang w:val="en-GB"/>
        </w:rPr>
      </w:pPr>
    </w:p>
    <w:p w14:paraId="24B04D50" w14:textId="71637D44" w:rsidR="00767D87" w:rsidRPr="00ED4357" w:rsidRDefault="00B526FA" w:rsidP="00E14FA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Accordingly, the liquidator of Kite cannot insist that the receiver hand over realisations from the receivables in order to meet </w:t>
      </w:r>
      <w:r w:rsidR="0067349A">
        <w:rPr>
          <w:rFonts w:ascii="Arial" w:hAnsi="Arial" w:cs="Arial"/>
          <w:sz w:val="22"/>
          <w:szCs w:val="22"/>
          <w:lang w:val="en-GB"/>
        </w:rPr>
        <w:t>the costs and expenses of the liquidation and to pay a partial distribution to creditors of the liquidation.</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lastRenderedPageBreak/>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6660A733" w14:textId="182D5D49" w:rsidR="003765EF" w:rsidRDefault="003765EF" w:rsidP="00E14FA7">
      <w:pPr>
        <w:jc w:val="both"/>
        <w:rPr>
          <w:rFonts w:ascii="Arial" w:hAnsi="Arial" w:cs="Arial"/>
          <w:color w:val="000000" w:themeColor="text1"/>
          <w:sz w:val="22"/>
          <w:szCs w:val="22"/>
          <w:lang w:val="en-GB"/>
        </w:rPr>
      </w:pPr>
    </w:p>
    <w:p w14:paraId="1F60880C" w14:textId="22263C07" w:rsidR="00D020C6" w:rsidRDefault="00D020C6"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liquidator’s concern that all assets vest in Mr Qi when SPL becomes insolvent is a</w:t>
      </w:r>
      <w:r w:rsidR="00126320">
        <w:rPr>
          <w:rFonts w:ascii="Arial" w:hAnsi="Arial" w:cs="Arial"/>
          <w:color w:val="000000" w:themeColor="text1"/>
          <w:sz w:val="22"/>
          <w:szCs w:val="22"/>
          <w:lang w:val="en-GB"/>
        </w:rPr>
        <w:t xml:space="preserve"> legal argument that should be settled in the BVI Court, prior to proceeding with the liquidation generally.  Given the winding up order was granted, the BVI Court was satisfied that it was appropriate to wind up SPL as at the date of the order and based on the evidence.</w:t>
      </w:r>
      <w:r w:rsidR="0081295D">
        <w:rPr>
          <w:rFonts w:ascii="Arial" w:hAnsi="Arial" w:cs="Arial"/>
          <w:color w:val="000000" w:themeColor="text1"/>
          <w:sz w:val="22"/>
          <w:szCs w:val="22"/>
          <w:lang w:val="en-GB"/>
        </w:rPr>
        <w:t xml:space="preserve">  However, if the circumstances have changed, the liquidator needs to consider this with the BVI Court prior to taking steps in Hong Kong as any potential application to the Hong Kong Court may be rejected on this basis.</w:t>
      </w:r>
    </w:p>
    <w:p w14:paraId="778EB69D" w14:textId="77777777" w:rsidR="00D020C6" w:rsidRDefault="00D020C6" w:rsidP="00E14FA7">
      <w:pPr>
        <w:jc w:val="both"/>
        <w:rPr>
          <w:rFonts w:ascii="Arial" w:hAnsi="Arial" w:cs="Arial"/>
          <w:color w:val="000000" w:themeColor="text1"/>
          <w:sz w:val="22"/>
          <w:szCs w:val="22"/>
          <w:lang w:val="en-GB"/>
        </w:rPr>
      </w:pPr>
    </w:p>
    <w:p w14:paraId="3813F954" w14:textId="6428FD4C" w:rsidR="0050195A" w:rsidRDefault="00126320"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Regarding the steps that can be take generally, t</w:t>
      </w:r>
      <w:r w:rsidR="0050195A">
        <w:rPr>
          <w:rFonts w:ascii="Arial" w:hAnsi="Arial" w:cs="Arial"/>
          <w:color w:val="000000" w:themeColor="text1"/>
          <w:sz w:val="22"/>
          <w:szCs w:val="22"/>
          <w:lang w:val="en-GB"/>
        </w:rPr>
        <w:t xml:space="preserve">here is no legislation in Hong Kong to recognise a foreign liquidation or foreign liquidators.  Common law principles have been used and developed to allow a foreign liquidator to be recognised in in Hong Kong, where it will assist the foreign liquidation.  </w:t>
      </w:r>
    </w:p>
    <w:p w14:paraId="2C379285" w14:textId="6AFCB515" w:rsidR="0050195A" w:rsidRDefault="0050195A" w:rsidP="00E14FA7">
      <w:pPr>
        <w:jc w:val="both"/>
        <w:rPr>
          <w:rFonts w:ascii="Arial" w:hAnsi="Arial" w:cs="Arial"/>
          <w:color w:val="000000" w:themeColor="text1"/>
          <w:sz w:val="22"/>
          <w:szCs w:val="22"/>
          <w:lang w:val="en-GB"/>
        </w:rPr>
      </w:pPr>
    </w:p>
    <w:p w14:paraId="7BBBCC61" w14:textId="1773DD92" w:rsidR="0050195A" w:rsidRDefault="0050195A"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This process will require the court of the foreign liquidation (BVI) to send a letter of request for the recognition to the Hong Kong Court.  </w:t>
      </w:r>
    </w:p>
    <w:p w14:paraId="5307E84E" w14:textId="7167D000" w:rsidR="0050195A" w:rsidRDefault="0050195A" w:rsidP="00E14FA7">
      <w:pPr>
        <w:jc w:val="both"/>
        <w:rPr>
          <w:rFonts w:ascii="Arial" w:hAnsi="Arial" w:cs="Arial"/>
          <w:color w:val="000000" w:themeColor="text1"/>
          <w:sz w:val="22"/>
          <w:szCs w:val="22"/>
          <w:lang w:val="en-GB"/>
        </w:rPr>
      </w:pPr>
    </w:p>
    <w:p w14:paraId="4FCA844F" w14:textId="77777777" w:rsidR="00826DC3" w:rsidRDefault="0050195A"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principle surrounding the common law recognition is that, if successful, the Hong Kong court will make an order permitting the liquidator of SPL to take steps in Hong Kong as if appointed there, provided that the power sought to be exercised is available in both the BVI and in Hong Kong.</w:t>
      </w:r>
      <w:r w:rsidR="00126320">
        <w:rPr>
          <w:rFonts w:ascii="Arial" w:hAnsi="Arial" w:cs="Arial"/>
          <w:color w:val="000000" w:themeColor="text1"/>
          <w:sz w:val="22"/>
          <w:szCs w:val="22"/>
          <w:lang w:val="en-GB"/>
        </w:rPr>
        <w:t xml:space="preserve">  </w:t>
      </w:r>
    </w:p>
    <w:p w14:paraId="2E747D28" w14:textId="45F221AD" w:rsidR="00826DC3" w:rsidRDefault="00826DC3" w:rsidP="00E14FA7">
      <w:pPr>
        <w:jc w:val="both"/>
        <w:rPr>
          <w:rFonts w:ascii="Arial" w:hAnsi="Arial" w:cs="Arial"/>
          <w:color w:val="000000" w:themeColor="text1"/>
          <w:sz w:val="22"/>
          <w:szCs w:val="22"/>
          <w:lang w:val="en-GB"/>
        </w:rPr>
      </w:pPr>
    </w:p>
    <w:p w14:paraId="392FCF75" w14:textId="77777777" w:rsidR="007044FC" w:rsidRDefault="00826DC3" w:rsidP="007044FC">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Hong Kong Court may also grant a recognition order that permits the liquidator of SPL to seek the production of documents from Mr Zhang (director) and Mr Wong (bookkeeper).  </w:t>
      </w:r>
    </w:p>
    <w:p w14:paraId="6BFB7724" w14:textId="77777777" w:rsidR="007044FC" w:rsidRDefault="007044FC" w:rsidP="007044FC">
      <w:pPr>
        <w:jc w:val="both"/>
        <w:rPr>
          <w:rFonts w:ascii="Arial" w:hAnsi="Arial" w:cs="Arial"/>
          <w:color w:val="000000" w:themeColor="text1"/>
          <w:sz w:val="22"/>
          <w:szCs w:val="22"/>
          <w:lang w:val="en-GB"/>
        </w:rPr>
      </w:pPr>
    </w:p>
    <w:p w14:paraId="7A367DF6" w14:textId="42203208" w:rsidR="007044FC" w:rsidRDefault="007044FC" w:rsidP="007044FC">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As outlined in </w:t>
      </w:r>
      <w:r>
        <w:rPr>
          <w:rFonts w:ascii="Arial" w:hAnsi="Arial" w:cs="Arial"/>
          <w:i/>
          <w:iCs/>
          <w:color w:val="000000" w:themeColor="text1"/>
          <w:sz w:val="22"/>
          <w:szCs w:val="22"/>
          <w:lang w:val="en-GB"/>
        </w:rPr>
        <w:t xml:space="preserve">Bay Capital, </w:t>
      </w:r>
      <w:r>
        <w:rPr>
          <w:rFonts w:ascii="Arial" w:hAnsi="Arial" w:cs="Arial"/>
          <w:color w:val="000000" w:themeColor="text1"/>
          <w:sz w:val="22"/>
          <w:szCs w:val="22"/>
          <w:lang w:val="en-GB"/>
        </w:rPr>
        <w:t>the Hong Kong Bank of the Company should readily assist the SPL liquidator in providing records for the bank account held.  If the SPL liquidator wishes to deal with any assets held with the Hong Kong bank, the SPL liquidator will have to apply for a specific recognition order in that regard (</w:t>
      </w:r>
      <w:r>
        <w:rPr>
          <w:rFonts w:ascii="Arial" w:hAnsi="Arial" w:cs="Arial"/>
          <w:i/>
          <w:iCs/>
          <w:color w:val="000000" w:themeColor="text1"/>
          <w:sz w:val="22"/>
          <w:szCs w:val="22"/>
          <w:lang w:val="en-GB"/>
        </w:rPr>
        <w:t>Re China Liumena New Materials Corp (in Provisional Liquidation)</w:t>
      </w:r>
      <w:r>
        <w:rPr>
          <w:rFonts w:ascii="Arial" w:hAnsi="Arial" w:cs="Arial"/>
          <w:color w:val="000000" w:themeColor="text1"/>
          <w:sz w:val="22"/>
          <w:szCs w:val="22"/>
          <w:lang w:val="en-GB"/>
        </w:rPr>
        <w:t>.</w:t>
      </w:r>
    </w:p>
    <w:p w14:paraId="46F1C2F1" w14:textId="3F1D33FD" w:rsidR="0050195A" w:rsidRDefault="0050195A" w:rsidP="00E14FA7">
      <w:pPr>
        <w:jc w:val="both"/>
        <w:rPr>
          <w:rFonts w:ascii="Arial" w:hAnsi="Arial" w:cs="Arial"/>
          <w:color w:val="000000" w:themeColor="text1"/>
          <w:sz w:val="22"/>
          <w:szCs w:val="22"/>
          <w:lang w:val="en-GB"/>
        </w:rPr>
      </w:pPr>
    </w:p>
    <w:p w14:paraId="5E6046A0" w14:textId="63C393D0" w:rsidR="0050195A" w:rsidRDefault="0050195A"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Another option available to the SPL l</w:t>
      </w:r>
      <w:r w:rsidR="00D020C6">
        <w:rPr>
          <w:rFonts w:ascii="Arial" w:hAnsi="Arial" w:cs="Arial"/>
          <w:color w:val="000000" w:themeColor="text1"/>
          <w:sz w:val="22"/>
          <w:szCs w:val="22"/>
          <w:lang w:val="en-GB"/>
        </w:rPr>
        <w:t>iquidator is an ancillary liquidation.</w:t>
      </w:r>
      <w:r w:rsidR="00E10FB8">
        <w:rPr>
          <w:rFonts w:ascii="Arial" w:hAnsi="Arial" w:cs="Arial"/>
          <w:color w:val="000000" w:themeColor="text1"/>
          <w:sz w:val="22"/>
          <w:szCs w:val="22"/>
          <w:lang w:val="en-GB"/>
        </w:rPr>
        <w:t xml:space="preserve">  An ancillary liquidation (if successful) would provide the SPL liquidator with the same powers a ‘Hong Kong Liquidator’ would receive.  The Hong Kong Court must consider the three core principles as set out in the decision ins </w:t>
      </w:r>
      <w:r w:rsidR="00E10FB8">
        <w:rPr>
          <w:rFonts w:ascii="Arial" w:hAnsi="Arial" w:cs="Arial"/>
          <w:i/>
          <w:iCs/>
          <w:color w:val="000000" w:themeColor="text1"/>
          <w:sz w:val="22"/>
          <w:szCs w:val="22"/>
          <w:lang w:val="en-GB"/>
        </w:rPr>
        <w:t>Re Yung Kee</w:t>
      </w:r>
      <w:r w:rsidR="00E10FB8">
        <w:rPr>
          <w:rFonts w:ascii="Arial" w:hAnsi="Arial" w:cs="Arial"/>
          <w:color w:val="000000" w:themeColor="text1"/>
          <w:sz w:val="22"/>
          <w:szCs w:val="22"/>
          <w:lang w:val="en-GB"/>
        </w:rPr>
        <w:t xml:space="preserve"> in order to grant an ancillary winding up order:</w:t>
      </w:r>
    </w:p>
    <w:p w14:paraId="6ADD962C" w14:textId="51D710F1" w:rsidR="00E10FB8" w:rsidRDefault="00E10FB8" w:rsidP="00E14FA7">
      <w:pPr>
        <w:jc w:val="both"/>
        <w:rPr>
          <w:rFonts w:ascii="Arial" w:hAnsi="Arial" w:cs="Arial"/>
          <w:color w:val="000000" w:themeColor="text1"/>
          <w:sz w:val="22"/>
          <w:szCs w:val="22"/>
          <w:lang w:val="en-GB"/>
        </w:rPr>
      </w:pPr>
    </w:p>
    <w:p w14:paraId="42B1CA3D" w14:textId="1430FA8C" w:rsidR="00E10FB8" w:rsidRDefault="00E10FB8" w:rsidP="006E1B57">
      <w:pPr>
        <w:pStyle w:val="ListParagraph"/>
        <w:numPr>
          <w:ilvl w:val="0"/>
          <w:numId w:val="3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There must be sufficient connection with Hong Kong</w:t>
      </w:r>
      <w:r w:rsidR="006E1B57">
        <w:rPr>
          <w:rFonts w:ascii="Arial" w:hAnsi="Arial" w:cs="Arial"/>
          <w:color w:val="000000" w:themeColor="text1"/>
          <w:sz w:val="22"/>
          <w:szCs w:val="22"/>
          <w:lang w:val="en-GB"/>
        </w:rPr>
        <w:t xml:space="preserve"> (not necessarily meaning the presence of assets within the jurisdiction);</w:t>
      </w:r>
    </w:p>
    <w:p w14:paraId="3608873B" w14:textId="2C572C18" w:rsidR="006E1B57" w:rsidRDefault="006E1B57" w:rsidP="006E1B57">
      <w:pPr>
        <w:pStyle w:val="ListParagraph"/>
        <w:numPr>
          <w:ilvl w:val="0"/>
          <w:numId w:val="3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There must be a reasonable possibility that the winding up order would benefit those applying for it; and</w:t>
      </w:r>
    </w:p>
    <w:p w14:paraId="2743583B" w14:textId="53744BD3" w:rsidR="006E1B57" w:rsidRDefault="006E1B57" w:rsidP="006E1B57">
      <w:pPr>
        <w:pStyle w:val="ListParagraph"/>
        <w:numPr>
          <w:ilvl w:val="0"/>
          <w:numId w:val="3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court must be able to exercise jurisdiction over one or more persons interested in the distribution of the company’s assets.</w:t>
      </w:r>
    </w:p>
    <w:p w14:paraId="2F8DBC96" w14:textId="554C239C" w:rsidR="006E1B57" w:rsidRDefault="006E1B57" w:rsidP="006E1B57">
      <w:pPr>
        <w:jc w:val="both"/>
        <w:rPr>
          <w:rFonts w:ascii="Arial" w:hAnsi="Arial" w:cs="Arial"/>
          <w:color w:val="000000" w:themeColor="text1"/>
          <w:sz w:val="22"/>
          <w:szCs w:val="22"/>
          <w:lang w:val="en-GB"/>
        </w:rPr>
      </w:pPr>
    </w:p>
    <w:p w14:paraId="64FEFF4C" w14:textId="2356FA31" w:rsidR="006E1B57" w:rsidRDefault="006E1B57" w:rsidP="006E1B5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In the case of SPL:</w:t>
      </w:r>
    </w:p>
    <w:p w14:paraId="5AC8E4D8" w14:textId="68001167" w:rsidR="006E1B57" w:rsidRDefault="006E1B57" w:rsidP="006E1B57">
      <w:pPr>
        <w:jc w:val="both"/>
        <w:rPr>
          <w:rFonts w:ascii="Arial" w:hAnsi="Arial" w:cs="Arial"/>
          <w:color w:val="000000" w:themeColor="text1"/>
          <w:sz w:val="22"/>
          <w:szCs w:val="22"/>
          <w:lang w:val="en-GB"/>
        </w:rPr>
      </w:pPr>
    </w:p>
    <w:p w14:paraId="65A87B93" w14:textId="373F2384" w:rsidR="006E1B57" w:rsidRDefault="006E1B57" w:rsidP="006E1B57">
      <w:pPr>
        <w:pStyle w:val="ListParagraph"/>
        <w:numPr>
          <w:ilvl w:val="0"/>
          <w:numId w:val="37"/>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FA is governed by Hong Kong Law.  Additionally, Mr Zhang (the independent director) and Mr Wong (the bookkeeper) reside in Hong Kong and Mr Qi is believed to reside in Hong Kong;</w:t>
      </w:r>
    </w:p>
    <w:p w14:paraId="0C425619" w14:textId="7E94DB74" w:rsidR="006E1B57" w:rsidRDefault="006E1B57" w:rsidP="006E1B57">
      <w:pPr>
        <w:pStyle w:val="ListParagraph"/>
        <w:numPr>
          <w:ilvl w:val="0"/>
          <w:numId w:val="37"/>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The winding up order would benefit the SPL liquidator as the SPL liquidator will be able to:</w:t>
      </w:r>
    </w:p>
    <w:p w14:paraId="2FB3E5A8" w14:textId="7A2381A3" w:rsidR="006E1B57" w:rsidRDefault="006E1B57" w:rsidP="006E1B57">
      <w:pPr>
        <w:pStyle w:val="ListParagraph"/>
        <w:numPr>
          <w:ilvl w:val="1"/>
          <w:numId w:val="37"/>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Deal with any potential assets with the Hong Kong Bank;</w:t>
      </w:r>
    </w:p>
    <w:p w14:paraId="3F314459" w14:textId="2A859D25" w:rsidR="006E1B57" w:rsidRDefault="00C07EAF" w:rsidP="006E1B57">
      <w:pPr>
        <w:pStyle w:val="ListParagraph"/>
        <w:numPr>
          <w:ilvl w:val="1"/>
          <w:numId w:val="37"/>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Pursue the records held by Mr Zhang and Mr Wong; and</w:t>
      </w:r>
    </w:p>
    <w:p w14:paraId="62EA7087" w14:textId="7555DDC2" w:rsidR="00C07EAF" w:rsidRPr="006E1B57" w:rsidRDefault="00C07EAF" w:rsidP="006E1B57">
      <w:pPr>
        <w:pStyle w:val="ListParagraph"/>
        <w:numPr>
          <w:ilvl w:val="1"/>
          <w:numId w:val="37"/>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Have further jurisdiction to deal with the potential assets in Mainland China.</w:t>
      </w:r>
    </w:p>
    <w:p w14:paraId="2E16A0F3" w14:textId="3EE6ED59" w:rsidR="0050195A" w:rsidRDefault="0050195A" w:rsidP="00E14FA7">
      <w:pPr>
        <w:jc w:val="both"/>
        <w:rPr>
          <w:rFonts w:ascii="Arial" w:hAnsi="Arial" w:cs="Arial"/>
          <w:color w:val="000000" w:themeColor="text1"/>
          <w:sz w:val="22"/>
          <w:szCs w:val="22"/>
          <w:lang w:val="en-GB"/>
        </w:rPr>
      </w:pPr>
    </w:p>
    <w:p w14:paraId="24FB40BF" w14:textId="255A8F85" w:rsidR="003765EF" w:rsidRDefault="00C07EAF"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In May 2021 a cooperation mechanism was introduced between Hong Kong and certain Mainland China areas.  Those areas are:</w:t>
      </w:r>
    </w:p>
    <w:p w14:paraId="1E40A1D5" w14:textId="308D2AEB" w:rsidR="00C07EAF" w:rsidRDefault="00C07EAF" w:rsidP="00E14FA7">
      <w:pPr>
        <w:jc w:val="both"/>
        <w:rPr>
          <w:rFonts w:ascii="Arial" w:hAnsi="Arial" w:cs="Arial"/>
          <w:color w:val="000000" w:themeColor="text1"/>
          <w:sz w:val="22"/>
          <w:szCs w:val="22"/>
          <w:lang w:val="en-GB"/>
        </w:rPr>
      </w:pPr>
    </w:p>
    <w:p w14:paraId="32B4383D" w14:textId="4BDD02AD" w:rsidR="00C07EAF" w:rsidRDefault="00C07EAF" w:rsidP="00C07EAF">
      <w:pPr>
        <w:pStyle w:val="ListParagraph"/>
        <w:numPr>
          <w:ilvl w:val="0"/>
          <w:numId w:val="38"/>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Shanghai Municipality;</w:t>
      </w:r>
    </w:p>
    <w:p w14:paraId="78BC8E19" w14:textId="707BB6E4" w:rsidR="00C07EAF" w:rsidRDefault="00C07EAF" w:rsidP="00C07EAF">
      <w:pPr>
        <w:pStyle w:val="ListParagraph"/>
        <w:numPr>
          <w:ilvl w:val="0"/>
          <w:numId w:val="38"/>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Xiamen Municipality of Fujian Province; and</w:t>
      </w:r>
    </w:p>
    <w:p w14:paraId="116C652F" w14:textId="17C11547" w:rsidR="00C07EAF" w:rsidRDefault="00C07EAF" w:rsidP="00C07EAF">
      <w:pPr>
        <w:pStyle w:val="ListParagraph"/>
        <w:numPr>
          <w:ilvl w:val="0"/>
          <w:numId w:val="38"/>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Shenzhen Municipality of Guangdong Province.</w:t>
      </w:r>
    </w:p>
    <w:p w14:paraId="655A0AD9" w14:textId="77777777" w:rsidR="00C07EAF" w:rsidRPr="00C07EAF" w:rsidRDefault="00C07EAF" w:rsidP="00C07EAF">
      <w:pPr>
        <w:jc w:val="both"/>
        <w:rPr>
          <w:rFonts w:ascii="Arial" w:hAnsi="Arial" w:cs="Arial"/>
          <w:color w:val="000000" w:themeColor="text1"/>
          <w:sz w:val="22"/>
          <w:szCs w:val="22"/>
          <w:lang w:val="en-GB"/>
        </w:rPr>
      </w:pPr>
    </w:p>
    <w:p w14:paraId="1586B10C" w14:textId="4FBD1B51" w:rsidR="004B550E" w:rsidRDefault="004B550E"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new cooperation mechanism relates to ‘Hong Kong Insolvency Proceedings” which means any collective insolvency proceedings commenced under CWUMPO or the CO.  Additionally, the debtor’s centre of main interest must be in Hong Kong.</w:t>
      </w:r>
    </w:p>
    <w:p w14:paraId="24CDD52F" w14:textId="07783A74" w:rsidR="004B550E" w:rsidRDefault="004B550E" w:rsidP="00E14FA7">
      <w:pPr>
        <w:jc w:val="both"/>
        <w:rPr>
          <w:rFonts w:ascii="Arial" w:hAnsi="Arial" w:cs="Arial"/>
          <w:color w:val="000000" w:themeColor="text1"/>
          <w:sz w:val="22"/>
          <w:szCs w:val="22"/>
          <w:lang w:val="en-GB"/>
        </w:rPr>
      </w:pPr>
    </w:p>
    <w:p w14:paraId="2A672778" w14:textId="27638F47" w:rsidR="004B550E" w:rsidRDefault="004B550E"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SPL’s</w:t>
      </w:r>
      <w:r w:rsidR="005C0690">
        <w:rPr>
          <w:rFonts w:ascii="Arial" w:hAnsi="Arial" w:cs="Arial"/>
          <w:color w:val="000000" w:themeColor="text1"/>
          <w:sz w:val="22"/>
          <w:szCs w:val="22"/>
          <w:lang w:val="en-GB"/>
        </w:rPr>
        <w:t xml:space="preserve"> recognition in Hong Kong (either through a recognition order or ancillary liquidation)</w:t>
      </w:r>
      <w:r w:rsidR="00946D74">
        <w:rPr>
          <w:rFonts w:ascii="Arial" w:hAnsi="Arial" w:cs="Arial"/>
          <w:color w:val="000000" w:themeColor="text1"/>
          <w:sz w:val="22"/>
          <w:szCs w:val="22"/>
          <w:lang w:val="en-GB"/>
        </w:rPr>
        <w:t>, would not meet the requirements of a ‘Hong Kong Insolvency Proceeding’.  SPL is a company registered in the BVI and therefore it is likely that its centre of main interest is not in Hong Kong.</w:t>
      </w:r>
    </w:p>
    <w:p w14:paraId="073873BC" w14:textId="1BBCAE58" w:rsidR="00946D74" w:rsidRDefault="00946D74" w:rsidP="00E14FA7">
      <w:pPr>
        <w:jc w:val="both"/>
        <w:rPr>
          <w:rFonts w:ascii="Arial" w:hAnsi="Arial" w:cs="Arial"/>
          <w:color w:val="000000" w:themeColor="text1"/>
          <w:sz w:val="22"/>
          <w:szCs w:val="22"/>
          <w:lang w:val="en-GB"/>
        </w:rPr>
      </w:pPr>
    </w:p>
    <w:p w14:paraId="4D74D1F2" w14:textId="5365EF36" w:rsidR="00946D74" w:rsidRDefault="00946D74"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Therefore, the SPL liquidator would have to apply directly to the relevant Court in Mainland China in respect of the potential assets.</w:t>
      </w:r>
    </w:p>
    <w:p w14:paraId="5CA84D80" w14:textId="77777777" w:rsidR="004B550E" w:rsidRPr="00E14FA7" w:rsidRDefault="004B550E"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E49E" w14:textId="77777777" w:rsidR="00082602" w:rsidRDefault="00082602" w:rsidP="00241B44">
      <w:r>
        <w:separator/>
      </w:r>
    </w:p>
  </w:endnote>
  <w:endnote w:type="continuationSeparator" w:id="0">
    <w:p w14:paraId="3FD639E6" w14:textId="77777777" w:rsidR="00082602" w:rsidRDefault="000826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4F69E046" w:rsidR="00241FA3"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76657">
      <w:rPr>
        <w:rFonts w:ascii="Arial" w:hAnsi="Arial" w:cs="Arial"/>
        <w:sz w:val="18"/>
        <w:szCs w:val="18"/>
        <w:lang w:val="en-GB"/>
      </w:rPr>
      <w:t>ID</w:t>
    </w:r>
    <w:r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81CA" w14:textId="77777777" w:rsidR="00082602" w:rsidRDefault="00082602" w:rsidP="00241B44">
      <w:r>
        <w:separator/>
      </w:r>
    </w:p>
  </w:footnote>
  <w:footnote w:type="continuationSeparator" w:id="0">
    <w:p w14:paraId="442EC746" w14:textId="77777777" w:rsidR="00082602" w:rsidRDefault="0008260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E145" w14:textId="5311C7E0" w:rsidR="00C37842" w:rsidRDefault="00C37842">
    <w:pPr>
      <w:pStyle w:val="Header"/>
    </w:pPr>
    <w:r>
      <w:rPr>
        <w:noProof/>
      </w:rPr>
      <mc:AlternateContent>
        <mc:Choice Requires="wps">
          <w:drawing>
            <wp:anchor distT="0" distB="0" distL="114300" distR="114300" simplePos="0" relativeHeight="251659264" behindDoc="0" locked="0" layoutInCell="0" allowOverlap="1" wp14:anchorId="6C2DCA71" wp14:editId="16991A57">
              <wp:simplePos x="0" y="0"/>
              <wp:positionH relativeFrom="page">
                <wp:posOffset>0</wp:posOffset>
              </wp:positionH>
              <wp:positionV relativeFrom="page">
                <wp:posOffset>190500</wp:posOffset>
              </wp:positionV>
              <wp:extent cx="7560310" cy="252095"/>
              <wp:effectExtent l="0" t="0" r="0" b="14605"/>
              <wp:wrapNone/>
              <wp:docPr id="1" name="MSIPCMceb6440f90d4f74ad27a61b8"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9583A" w14:textId="392611F7" w:rsidR="00C37842" w:rsidRPr="00C37842" w:rsidRDefault="00C37842" w:rsidP="00C37842">
                          <w:pPr>
                            <w:jc w:val="right"/>
                            <w:rPr>
                              <w:rFonts w:ascii="Arial" w:hAnsi="Arial" w:cs="Arial"/>
                              <w:color w:val="000000"/>
                              <w:sz w:val="16"/>
                            </w:rPr>
                          </w:pPr>
                          <w:r w:rsidRPr="00C3784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C2DCA71" id="_x0000_t202" coordsize="21600,21600" o:spt="202" path="m,l,21600r21600,l21600,xe">
              <v:stroke joinstyle="miter"/>
              <v:path gradientshapeok="t" o:connecttype="rect"/>
            </v:shapetype>
            <v:shape id="MSIPCMceb6440f90d4f74ad27a61b8"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5DF9583A" w14:textId="392611F7" w:rsidR="00C37842" w:rsidRPr="00C37842" w:rsidRDefault="00C37842" w:rsidP="00C37842">
                    <w:pPr>
                      <w:jc w:val="right"/>
                      <w:rPr>
                        <w:rFonts w:ascii="Arial" w:hAnsi="Arial" w:cs="Arial"/>
                        <w:color w:val="000000"/>
                        <w:sz w:val="16"/>
                      </w:rPr>
                    </w:pPr>
                    <w:r w:rsidRPr="00C37842">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BC4B" w14:textId="75AD7E75" w:rsidR="00C37842" w:rsidRDefault="00C37842">
    <w:pPr>
      <w:pStyle w:val="Header"/>
    </w:pPr>
    <w:r>
      <w:rPr>
        <w:noProof/>
      </w:rPr>
      <mc:AlternateContent>
        <mc:Choice Requires="wps">
          <w:drawing>
            <wp:anchor distT="0" distB="0" distL="114300" distR="114300" simplePos="0" relativeHeight="251660288" behindDoc="0" locked="0" layoutInCell="0" allowOverlap="1" wp14:anchorId="1BD93E4D" wp14:editId="3DB7FCCB">
              <wp:simplePos x="0" y="0"/>
              <wp:positionH relativeFrom="page">
                <wp:posOffset>0</wp:posOffset>
              </wp:positionH>
              <wp:positionV relativeFrom="page">
                <wp:posOffset>190500</wp:posOffset>
              </wp:positionV>
              <wp:extent cx="7560310" cy="252095"/>
              <wp:effectExtent l="0" t="0" r="0" b="14605"/>
              <wp:wrapNone/>
              <wp:docPr id="2" name="MSIPCMa7f7434da5f142aadbc3c8a1"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CF90E1" w14:textId="3A249794" w:rsidR="00C37842" w:rsidRPr="00C37842" w:rsidRDefault="00C37842" w:rsidP="00C37842">
                          <w:pPr>
                            <w:jc w:val="right"/>
                            <w:rPr>
                              <w:rFonts w:ascii="Arial" w:hAnsi="Arial" w:cs="Arial"/>
                              <w:color w:val="000000"/>
                              <w:sz w:val="16"/>
                            </w:rPr>
                          </w:pPr>
                          <w:r w:rsidRPr="00C3784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BD93E4D" id="_x0000_t202" coordsize="21600,21600" o:spt="202" path="m,l,21600r21600,l21600,xe">
              <v:stroke joinstyle="miter"/>
              <v:path gradientshapeok="t" o:connecttype="rect"/>
            </v:shapetype>
            <v:shape id="MSIPCMa7f7434da5f142aadbc3c8a1"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2FCF90E1" w14:textId="3A249794" w:rsidR="00C37842" w:rsidRPr="00C37842" w:rsidRDefault="00C37842" w:rsidP="00C37842">
                    <w:pPr>
                      <w:jc w:val="right"/>
                      <w:rPr>
                        <w:rFonts w:ascii="Arial" w:hAnsi="Arial" w:cs="Arial"/>
                        <w:color w:val="000000"/>
                        <w:sz w:val="16"/>
                      </w:rPr>
                    </w:pPr>
                    <w:r w:rsidRPr="00C37842">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D131D"/>
    <w:multiLevelType w:val="hybridMultilevel"/>
    <w:tmpl w:val="7E8C3124"/>
    <w:lvl w:ilvl="0" w:tplc="BAD29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E43EB"/>
    <w:multiLevelType w:val="hybridMultilevel"/>
    <w:tmpl w:val="8028EFA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3C24B8"/>
    <w:multiLevelType w:val="hybridMultilevel"/>
    <w:tmpl w:val="916A21B2"/>
    <w:lvl w:ilvl="0" w:tplc="8AC2D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3743F"/>
    <w:multiLevelType w:val="hybridMultilevel"/>
    <w:tmpl w:val="8028EFAA"/>
    <w:lvl w:ilvl="0" w:tplc="BAD29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B4263"/>
    <w:multiLevelType w:val="hybridMultilevel"/>
    <w:tmpl w:val="4AC62222"/>
    <w:lvl w:ilvl="0" w:tplc="1716E41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25089"/>
    <w:multiLevelType w:val="hybridMultilevel"/>
    <w:tmpl w:val="B824F25E"/>
    <w:lvl w:ilvl="0" w:tplc="4B3ED8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5361FA"/>
    <w:multiLevelType w:val="hybridMultilevel"/>
    <w:tmpl w:val="859E6CCA"/>
    <w:lvl w:ilvl="0" w:tplc="D276965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91FCC"/>
    <w:multiLevelType w:val="hybridMultilevel"/>
    <w:tmpl w:val="45C05DE6"/>
    <w:lvl w:ilvl="0" w:tplc="2996C6D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3C4107"/>
    <w:multiLevelType w:val="hybridMultilevel"/>
    <w:tmpl w:val="51F6AFC0"/>
    <w:lvl w:ilvl="0" w:tplc="A768C45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F67734F"/>
    <w:multiLevelType w:val="hybridMultilevel"/>
    <w:tmpl w:val="CA442A36"/>
    <w:lvl w:ilvl="0" w:tplc="BAD299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36D68"/>
    <w:multiLevelType w:val="hybridMultilevel"/>
    <w:tmpl w:val="080AE6A2"/>
    <w:lvl w:ilvl="0" w:tplc="050CEF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6667257">
    <w:abstractNumId w:val="35"/>
  </w:num>
  <w:num w:numId="2" w16cid:durableId="271322828">
    <w:abstractNumId w:val="33"/>
  </w:num>
  <w:num w:numId="3" w16cid:durableId="1396049592">
    <w:abstractNumId w:val="19"/>
  </w:num>
  <w:num w:numId="4" w16cid:durableId="596325443">
    <w:abstractNumId w:val="23"/>
  </w:num>
  <w:num w:numId="5" w16cid:durableId="309139740">
    <w:abstractNumId w:val="14"/>
  </w:num>
  <w:num w:numId="6" w16cid:durableId="1811481382">
    <w:abstractNumId w:val="13"/>
  </w:num>
  <w:num w:numId="7" w16cid:durableId="1025207177">
    <w:abstractNumId w:val="11"/>
  </w:num>
  <w:num w:numId="8" w16cid:durableId="1206134614">
    <w:abstractNumId w:val="22"/>
  </w:num>
  <w:num w:numId="9" w16cid:durableId="1009212994">
    <w:abstractNumId w:val="4"/>
  </w:num>
  <w:num w:numId="10" w16cid:durableId="1487087862">
    <w:abstractNumId w:val="29"/>
  </w:num>
  <w:num w:numId="11" w16cid:durableId="1689410710">
    <w:abstractNumId w:val="18"/>
  </w:num>
  <w:num w:numId="12" w16cid:durableId="1148593551">
    <w:abstractNumId w:val="24"/>
  </w:num>
  <w:num w:numId="13" w16cid:durableId="1173184287">
    <w:abstractNumId w:val="37"/>
  </w:num>
  <w:num w:numId="14" w16cid:durableId="915089016">
    <w:abstractNumId w:val="30"/>
  </w:num>
  <w:num w:numId="15" w16cid:durableId="731929354">
    <w:abstractNumId w:val="26"/>
  </w:num>
  <w:num w:numId="16" w16cid:durableId="1279331833">
    <w:abstractNumId w:val="25"/>
  </w:num>
  <w:num w:numId="17" w16cid:durableId="472798841">
    <w:abstractNumId w:val="7"/>
  </w:num>
  <w:num w:numId="18" w16cid:durableId="1786078611">
    <w:abstractNumId w:val="36"/>
  </w:num>
  <w:num w:numId="19" w16cid:durableId="1905026938">
    <w:abstractNumId w:val="31"/>
  </w:num>
  <w:num w:numId="20" w16cid:durableId="392237871">
    <w:abstractNumId w:val="34"/>
  </w:num>
  <w:num w:numId="21" w16cid:durableId="859121235">
    <w:abstractNumId w:val="17"/>
  </w:num>
  <w:num w:numId="22" w16cid:durableId="1169833466">
    <w:abstractNumId w:val="20"/>
  </w:num>
  <w:num w:numId="23" w16cid:durableId="1071662719">
    <w:abstractNumId w:val="0"/>
  </w:num>
  <w:num w:numId="24" w16cid:durableId="1085765889">
    <w:abstractNumId w:val="32"/>
  </w:num>
  <w:num w:numId="25" w16cid:durableId="872426236">
    <w:abstractNumId w:val="10"/>
  </w:num>
  <w:num w:numId="26" w16cid:durableId="756707392">
    <w:abstractNumId w:val="2"/>
  </w:num>
  <w:num w:numId="27" w16cid:durableId="1336231029">
    <w:abstractNumId w:val="3"/>
  </w:num>
  <w:num w:numId="28" w16cid:durableId="542835768">
    <w:abstractNumId w:val="9"/>
  </w:num>
  <w:num w:numId="29" w16cid:durableId="408695765">
    <w:abstractNumId w:val="12"/>
  </w:num>
  <w:num w:numId="30" w16cid:durableId="616644460">
    <w:abstractNumId w:val="6"/>
  </w:num>
  <w:num w:numId="31" w16cid:durableId="51343998">
    <w:abstractNumId w:val="16"/>
  </w:num>
  <w:num w:numId="32" w16cid:durableId="527525087">
    <w:abstractNumId w:val="28"/>
  </w:num>
  <w:num w:numId="33" w16cid:durableId="862018431">
    <w:abstractNumId w:val="8"/>
  </w:num>
  <w:num w:numId="34" w16cid:durableId="206454029">
    <w:abstractNumId w:val="15"/>
  </w:num>
  <w:num w:numId="35" w16cid:durableId="137842361">
    <w:abstractNumId w:val="21"/>
  </w:num>
  <w:num w:numId="36" w16cid:durableId="1397049270">
    <w:abstractNumId w:val="5"/>
  </w:num>
  <w:num w:numId="37" w16cid:durableId="1602911569">
    <w:abstractNumId w:val="27"/>
  </w:num>
  <w:num w:numId="38" w16cid:durableId="10361956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5EF9"/>
    <w:rsid w:val="000168DB"/>
    <w:rsid w:val="00020557"/>
    <w:rsid w:val="00021FC2"/>
    <w:rsid w:val="000250C7"/>
    <w:rsid w:val="00026F16"/>
    <w:rsid w:val="000305C0"/>
    <w:rsid w:val="00037621"/>
    <w:rsid w:val="00044D46"/>
    <w:rsid w:val="00045088"/>
    <w:rsid w:val="00045904"/>
    <w:rsid w:val="00046FA0"/>
    <w:rsid w:val="000502FD"/>
    <w:rsid w:val="0005076F"/>
    <w:rsid w:val="00054F6C"/>
    <w:rsid w:val="00057102"/>
    <w:rsid w:val="00062893"/>
    <w:rsid w:val="00065166"/>
    <w:rsid w:val="00074890"/>
    <w:rsid w:val="00082602"/>
    <w:rsid w:val="00082609"/>
    <w:rsid w:val="000851CC"/>
    <w:rsid w:val="00087F21"/>
    <w:rsid w:val="00093BE8"/>
    <w:rsid w:val="000A1AC9"/>
    <w:rsid w:val="000A407B"/>
    <w:rsid w:val="000A463E"/>
    <w:rsid w:val="000A68ED"/>
    <w:rsid w:val="000B05A3"/>
    <w:rsid w:val="000B1C00"/>
    <w:rsid w:val="000B5FF1"/>
    <w:rsid w:val="000B609F"/>
    <w:rsid w:val="000C26F0"/>
    <w:rsid w:val="000D4401"/>
    <w:rsid w:val="000D55A8"/>
    <w:rsid w:val="000E4841"/>
    <w:rsid w:val="000E7B06"/>
    <w:rsid w:val="000F1677"/>
    <w:rsid w:val="000F3D6C"/>
    <w:rsid w:val="00100999"/>
    <w:rsid w:val="00101707"/>
    <w:rsid w:val="00102CC9"/>
    <w:rsid w:val="0010593A"/>
    <w:rsid w:val="0011473D"/>
    <w:rsid w:val="00115C85"/>
    <w:rsid w:val="00123305"/>
    <w:rsid w:val="00123855"/>
    <w:rsid w:val="00126320"/>
    <w:rsid w:val="00126A4D"/>
    <w:rsid w:val="0014171F"/>
    <w:rsid w:val="00142B28"/>
    <w:rsid w:val="0014622C"/>
    <w:rsid w:val="00152348"/>
    <w:rsid w:val="0015456D"/>
    <w:rsid w:val="00155FA2"/>
    <w:rsid w:val="00161F1B"/>
    <w:rsid w:val="00162829"/>
    <w:rsid w:val="00165552"/>
    <w:rsid w:val="001712E0"/>
    <w:rsid w:val="00180548"/>
    <w:rsid w:val="00180AC4"/>
    <w:rsid w:val="00180CCE"/>
    <w:rsid w:val="00181AD4"/>
    <w:rsid w:val="0018267A"/>
    <w:rsid w:val="00182779"/>
    <w:rsid w:val="001830DF"/>
    <w:rsid w:val="001844D8"/>
    <w:rsid w:val="001914A3"/>
    <w:rsid w:val="00193428"/>
    <w:rsid w:val="001966D9"/>
    <w:rsid w:val="001A007A"/>
    <w:rsid w:val="001A6CCD"/>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7FA"/>
    <w:rsid w:val="00225ADF"/>
    <w:rsid w:val="0022660E"/>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B4528"/>
    <w:rsid w:val="002C13C8"/>
    <w:rsid w:val="002C2B7C"/>
    <w:rsid w:val="002C3547"/>
    <w:rsid w:val="002C6462"/>
    <w:rsid w:val="002D0021"/>
    <w:rsid w:val="002D299D"/>
    <w:rsid w:val="002D30E7"/>
    <w:rsid w:val="002D3473"/>
    <w:rsid w:val="002D7ECA"/>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5F79"/>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2699E"/>
    <w:rsid w:val="00430FED"/>
    <w:rsid w:val="0043265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B550E"/>
    <w:rsid w:val="004D1A5A"/>
    <w:rsid w:val="004D2FFF"/>
    <w:rsid w:val="004D3721"/>
    <w:rsid w:val="004D64F9"/>
    <w:rsid w:val="004E3A6B"/>
    <w:rsid w:val="004E622C"/>
    <w:rsid w:val="004F5FDF"/>
    <w:rsid w:val="0050195A"/>
    <w:rsid w:val="005051E4"/>
    <w:rsid w:val="005177FE"/>
    <w:rsid w:val="0052263B"/>
    <w:rsid w:val="005234E4"/>
    <w:rsid w:val="00524728"/>
    <w:rsid w:val="005331CA"/>
    <w:rsid w:val="00537970"/>
    <w:rsid w:val="00540E3A"/>
    <w:rsid w:val="00544127"/>
    <w:rsid w:val="005463A9"/>
    <w:rsid w:val="00553EB2"/>
    <w:rsid w:val="00556E12"/>
    <w:rsid w:val="0055705A"/>
    <w:rsid w:val="00560534"/>
    <w:rsid w:val="005631FD"/>
    <w:rsid w:val="0056391B"/>
    <w:rsid w:val="005650E2"/>
    <w:rsid w:val="00567AD7"/>
    <w:rsid w:val="0057501B"/>
    <w:rsid w:val="00575B2D"/>
    <w:rsid w:val="005778B6"/>
    <w:rsid w:val="005833D0"/>
    <w:rsid w:val="005846F3"/>
    <w:rsid w:val="00584E14"/>
    <w:rsid w:val="0058622F"/>
    <w:rsid w:val="00592F82"/>
    <w:rsid w:val="005A0CCA"/>
    <w:rsid w:val="005A6FF2"/>
    <w:rsid w:val="005A726D"/>
    <w:rsid w:val="005B3875"/>
    <w:rsid w:val="005B67AC"/>
    <w:rsid w:val="005B79F4"/>
    <w:rsid w:val="005C0690"/>
    <w:rsid w:val="005C2443"/>
    <w:rsid w:val="005D093D"/>
    <w:rsid w:val="005D14EB"/>
    <w:rsid w:val="005D16DD"/>
    <w:rsid w:val="005D43E0"/>
    <w:rsid w:val="005D446E"/>
    <w:rsid w:val="005D54B3"/>
    <w:rsid w:val="005D58A3"/>
    <w:rsid w:val="005E1B79"/>
    <w:rsid w:val="005E6076"/>
    <w:rsid w:val="005E7008"/>
    <w:rsid w:val="005F026D"/>
    <w:rsid w:val="005F2AEA"/>
    <w:rsid w:val="005F2D0B"/>
    <w:rsid w:val="005F38FD"/>
    <w:rsid w:val="005F4B31"/>
    <w:rsid w:val="005F6EDF"/>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432B"/>
    <w:rsid w:val="006661EF"/>
    <w:rsid w:val="0067349A"/>
    <w:rsid w:val="006766CA"/>
    <w:rsid w:val="00677AEB"/>
    <w:rsid w:val="00680EF2"/>
    <w:rsid w:val="00687A1D"/>
    <w:rsid w:val="0069026A"/>
    <w:rsid w:val="00690B0B"/>
    <w:rsid w:val="00691F79"/>
    <w:rsid w:val="00692834"/>
    <w:rsid w:val="00697EA1"/>
    <w:rsid w:val="006A2646"/>
    <w:rsid w:val="006A6530"/>
    <w:rsid w:val="006B435A"/>
    <w:rsid w:val="006B4C64"/>
    <w:rsid w:val="006B5069"/>
    <w:rsid w:val="006D02CE"/>
    <w:rsid w:val="006D6BD5"/>
    <w:rsid w:val="006E1B57"/>
    <w:rsid w:val="006E481A"/>
    <w:rsid w:val="006E5298"/>
    <w:rsid w:val="006F070D"/>
    <w:rsid w:val="006F22B2"/>
    <w:rsid w:val="006F4751"/>
    <w:rsid w:val="006F4A78"/>
    <w:rsid w:val="006F734A"/>
    <w:rsid w:val="00700D83"/>
    <w:rsid w:val="007020B5"/>
    <w:rsid w:val="0070416C"/>
    <w:rsid w:val="007044FC"/>
    <w:rsid w:val="00704852"/>
    <w:rsid w:val="007074E9"/>
    <w:rsid w:val="0071143E"/>
    <w:rsid w:val="00711999"/>
    <w:rsid w:val="00713DA4"/>
    <w:rsid w:val="00714BF1"/>
    <w:rsid w:val="00721383"/>
    <w:rsid w:val="0073158B"/>
    <w:rsid w:val="007333CC"/>
    <w:rsid w:val="0073399A"/>
    <w:rsid w:val="007366CE"/>
    <w:rsid w:val="00737749"/>
    <w:rsid w:val="0074096F"/>
    <w:rsid w:val="00740DAD"/>
    <w:rsid w:val="00742110"/>
    <w:rsid w:val="007454FF"/>
    <w:rsid w:val="00753649"/>
    <w:rsid w:val="007603F5"/>
    <w:rsid w:val="00764DB0"/>
    <w:rsid w:val="0076764D"/>
    <w:rsid w:val="00767D87"/>
    <w:rsid w:val="0077498C"/>
    <w:rsid w:val="007767A0"/>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B84"/>
    <w:rsid w:val="007E1E1F"/>
    <w:rsid w:val="007E3CE4"/>
    <w:rsid w:val="007E6BA4"/>
    <w:rsid w:val="007F39C7"/>
    <w:rsid w:val="007F41F8"/>
    <w:rsid w:val="007F659B"/>
    <w:rsid w:val="008023B6"/>
    <w:rsid w:val="00802E21"/>
    <w:rsid w:val="0080454E"/>
    <w:rsid w:val="00804C32"/>
    <w:rsid w:val="00806302"/>
    <w:rsid w:val="00807119"/>
    <w:rsid w:val="0081295D"/>
    <w:rsid w:val="0081669A"/>
    <w:rsid w:val="0082483F"/>
    <w:rsid w:val="00826DC3"/>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539"/>
    <w:rsid w:val="008A6CFE"/>
    <w:rsid w:val="008B5333"/>
    <w:rsid w:val="008B6223"/>
    <w:rsid w:val="008C66E0"/>
    <w:rsid w:val="008E3339"/>
    <w:rsid w:val="008F05DB"/>
    <w:rsid w:val="008F20FC"/>
    <w:rsid w:val="008F4673"/>
    <w:rsid w:val="008F5FFE"/>
    <w:rsid w:val="00905A43"/>
    <w:rsid w:val="00912C79"/>
    <w:rsid w:val="00921B8C"/>
    <w:rsid w:val="009232C0"/>
    <w:rsid w:val="009337CE"/>
    <w:rsid w:val="00942123"/>
    <w:rsid w:val="00946D74"/>
    <w:rsid w:val="0095207B"/>
    <w:rsid w:val="009578F6"/>
    <w:rsid w:val="00962045"/>
    <w:rsid w:val="00966B3B"/>
    <w:rsid w:val="00980E61"/>
    <w:rsid w:val="0098256E"/>
    <w:rsid w:val="00991428"/>
    <w:rsid w:val="00992676"/>
    <w:rsid w:val="009954B2"/>
    <w:rsid w:val="00996691"/>
    <w:rsid w:val="009A3A68"/>
    <w:rsid w:val="009A3AB7"/>
    <w:rsid w:val="009A4513"/>
    <w:rsid w:val="009B0207"/>
    <w:rsid w:val="009B0723"/>
    <w:rsid w:val="009B07AD"/>
    <w:rsid w:val="009B0883"/>
    <w:rsid w:val="009B15E2"/>
    <w:rsid w:val="009B4171"/>
    <w:rsid w:val="009B4976"/>
    <w:rsid w:val="009C0B8E"/>
    <w:rsid w:val="009C1BC8"/>
    <w:rsid w:val="009C2442"/>
    <w:rsid w:val="009C24EB"/>
    <w:rsid w:val="009D0811"/>
    <w:rsid w:val="009D0EE1"/>
    <w:rsid w:val="009D34C9"/>
    <w:rsid w:val="009E28BF"/>
    <w:rsid w:val="009E2A1B"/>
    <w:rsid w:val="009E2AEB"/>
    <w:rsid w:val="009E2E27"/>
    <w:rsid w:val="009E45DF"/>
    <w:rsid w:val="009E4DE3"/>
    <w:rsid w:val="009F03D8"/>
    <w:rsid w:val="009F275E"/>
    <w:rsid w:val="009F2AB6"/>
    <w:rsid w:val="009F5016"/>
    <w:rsid w:val="00A0319B"/>
    <w:rsid w:val="00A047EE"/>
    <w:rsid w:val="00A2274A"/>
    <w:rsid w:val="00A235B7"/>
    <w:rsid w:val="00A27A7A"/>
    <w:rsid w:val="00A303C9"/>
    <w:rsid w:val="00A34ABE"/>
    <w:rsid w:val="00A407EF"/>
    <w:rsid w:val="00A46B4C"/>
    <w:rsid w:val="00A51160"/>
    <w:rsid w:val="00A5117B"/>
    <w:rsid w:val="00A56D34"/>
    <w:rsid w:val="00A60074"/>
    <w:rsid w:val="00A6325B"/>
    <w:rsid w:val="00A6627C"/>
    <w:rsid w:val="00A6669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D7B89"/>
    <w:rsid w:val="00AF228E"/>
    <w:rsid w:val="00B016A8"/>
    <w:rsid w:val="00B14819"/>
    <w:rsid w:val="00B15E2F"/>
    <w:rsid w:val="00B17AA9"/>
    <w:rsid w:val="00B22016"/>
    <w:rsid w:val="00B25814"/>
    <w:rsid w:val="00B44713"/>
    <w:rsid w:val="00B46A79"/>
    <w:rsid w:val="00B51B95"/>
    <w:rsid w:val="00B526FA"/>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A799E"/>
    <w:rsid w:val="00BB0ACA"/>
    <w:rsid w:val="00BB0F2B"/>
    <w:rsid w:val="00BB16E8"/>
    <w:rsid w:val="00BB48AA"/>
    <w:rsid w:val="00BC2EDB"/>
    <w:rsid w:val="00BD2F2E"/>
    <w:rsid w:val="00BE4FF3"/>
    <w:rsid w:val="00BF04AE"/>
    <w:rsid w:val="00BF50F7"/>
    <w:rsid w:val="00BF5746"/>
    <w:rsid w:val="00C02F29"/>
    <w:rsid w:val="00C057FC"/>
    <w:rsid w:val="00C07EAF"/>
    <w:rsid w:val="00C17718"/>
    <w:rsid w:val="00C20AFE"/>
    <w:rsid w:val="00C22A25"/>
    <w:rsid w:val="00C328C8"/>
    <w:rsid w:val="00C35671"/>
    <w:rsid w:val="00C35B77"/>
    <w:rsid w:val="00C376EB"/>
    <w:rsid w:val="00C37842"/>
    <w:rsid w:val="00C44889"/>
    <w:rsid w:val="00C46A92"/>
    <w:rsid w:val="00C46EC1"/>
    <w:rsid w:val="00C52796"/>
    <w:rsid w:val="00C53E2C"/>
    <w:rsid w:val="00C550C8"/>
    <w:rsid w:val="00C55442"/>
    <w:rsid w:val="00C55824"/>
    <w:rsid w:val="00C56B61"/>
    <w:rsid w:val="00C606C3"/>
    <w:rsid w:val="00C620F4"/>
    <w:rsid w:val="00C64953"/>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12DC"/>
    <w:rsid w:val="00CD4998"/>
    <w:rsid w:val="00CD6606"/>
    <w:rsid w:val="00CE1035"/>
    <w:rsid w:val="00CE6C50"/>
    <w:rsid w:val="00CE6E50"/>
    <w:rsid w:val="00CE7AFA"/>
    <w:rsid w:val="00CF054D"/>
    <w:rsid w:val="00CF1E7A"/>
    <w:rsid w:val="00CF2819"/>
    <w:rsid w:val="00CF4F9D"/>
    <w:rsid w:val="00CF70DC"/>
    <w:rsid w:val="00D020C6"/>
    <w:rsid w:val="00D027D9"/>
    <w:rsid w:val="00D148DC"/>
    <w:rsid w:val="00D17FDC"/>
    <w:rsid w:val="00D21D8C"/>
    <w:rsid w:val="00D23394"/>
    <w:rsid w:val="00D27A96"/>
    <w:rsid w:val="00D423E5"/>
    <w:rsid w:val="00D53719"/>
    <w:rsid w:val="00D5475D"/>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0FB8"/>
    <w:rsid w:val="00E11A40"/>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B75CB"/>
    <w:rsid w:val="00EC0C75"/>
    <w:rsid w:val="00EC2126"/>
    <w:rsid w:val="00EC3D7B"/>
    <w:rsid w:val="00EC441F"/>
    <w:rsid w:val="00EC4483"/>
    <w:rsid w:val="00EC4755"/>
    <w:rsid w:val="00EC4965"/>
    <w:rsid w:val="00ED0BC4"/>
    <w:rsid w:val="00ED263D"/>
    <w:rsid w:val="00ED4357"/>
    <w:rsid w:val="00ED447D"/>
    <w:rsid w:val="00ED51BA"/>
    <w:rsid w:val="00EE1A64"/>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842CC"/>
    <w:rsid w:val="00F946AC"/>
    <w:rsid w:val="00F97C5B"/>
    <w:rsid w:val="00FA0C0B"/>
    <w:rsid w:val="00FA3D50"/>
    <w:rsid w:val="00FB44D4"/>
    <w:rsid w:val="00FB7FBD"/>
    <w:rsid w:val="00FC374A"/>
    <w:rsid w:val="00FC6205"/>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13</Pages>
  <Words>5397</Words>
  <Characters>26555</Characters>
  <Application>Microsoft Office Word</Application>
  <DocSecurity>0</DocSecurity>
  <Lines>663</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Bryce Doran</cp:lastModifiedBy>
  <cp:revision>35</cp:revision>
  <cp:lastPrinted>2020-06-08T04:09:00Z</cp:lastPrinted>
  <dcterms:created xsi:type="dcterms:W3CDTF">2022-07-26T03:33:00Z</dcterms:created>
  <dcterms:modified xsi:type="dcterms:W3CDTF">2022-07-31T16:59:00Z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MSIP_Label_785837b0-ed5a-4fd4-94ae-ef361c98d083_Enabled">
    <vt:lpwstr>true</vt:lpwstr>
  </property>
  <property fmtid="{D5CDD505-2E9C-101B-9397-08002B2CF9AE}" pid="17" name="MSIP_Label_785837b0-ed5a-4fd4-94ae-ef361c98d083_SetDate">
    <vt:lpwstr>2022-07-31T16:59:56Z</vt:lpwstr>
  </property>
  <property fmtid="{D5CDD505-2E9C-101B-9397-08002B2CF9AE}" pid="18" name="MSIP_Label_785837b0-ed5a-4fd4-94ae-ef361c98d083_Method">
    <vt:lpwstr>Standard</vt:lpwstr>
  </property>
  <property fmtid="{D5CDD505-2E9C-101B-9397-08002B2CF9AE}" pid="19" name="MSIP_Label_785837b0-ed5a-4fd4-94ae-ef361c98d083_Name">
    <vt:lpwstr>785837b0-ed5a-4fd4-94ae-ef361c98d083</vt:lpwstr>
  </property>
  <property fmtid="{D5CDD505-2E9C-101B-9397-08002B2CF9AE}" pid="20" name="MSIP_Label_785837b0-ed5a-4fd4-94ae-ef361c98d083_SiteId">
    <vt:lpwstr>b723253f-7281-4adc-bc1c-fc9ef3674d78</vt:lpwstr>
  </property>
  <property fmtid="{D5CDD505-2E9C-101B-9397-08002B2CF9AE}" pid="21" name="MSIP_Label_785837b0-ed5a-4fd4-94ae-ef361c98d083_ActionId">
    <vt:lpwstr>546f49f4-f7d2-4246-a879-93e8318a35b6</vt:lpwstr>
  </property>
  <property fmtid="{D5CDD505-2E9C-101B-9397-08002B2CF9AE}" pid="22" name="MSIP_Label_785837b0-ed5a-4fd4-94ae-ef361c98d083_ContentBits">
    <vt:lpwstr>1</vt:lpwstr>
  </property>
</Properties>
</file>