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C3529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C35292">
        <w:rPr>
          <w:rFonts w:ascii="Arial" w:eastAsia="MS Mincho" w:hAnsi="Arial" w:cs="Arial"/>
          <w:sz w:val="22"/>
          <w:szCs w:val="22"/>
          <w:highlight w:val="yellow"/>
          <w:lang w:val="en-GB"/>
        </w:rPr>
        <w:t xml:space="preserve">On the </w:t>
      </w:r>
      <w:r w:rsidR="009C2D45" w:rsidRPr="00C35292">
        <w:rPr>
          <w:rFonts w:ascii="Arial" w:eastAsia="MS Mincho" w:hAnsi="Arial" w:cs="Arial"/>
          <w:sz w:val="22"/>
          <w:szCs w:val="22"/>
          <w:highlight w:val="yellow"/>
          <w:lang w:val="en-GB"/>
        </w:rPr>
        <w:t>date the qualifying resolution is passed</w:t>
      </w:r>
      <w:r w:rsidRPr="00C3529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Pr="00BC6BF7" w:rsidRDefault="00516777" w:rsidP="00E87B1B">
      <w:pPr>
        <w:pStyle w:val="ListParagraph"/>
        <w:numPr>
          <w:ilvl w:val="0"/>
          <w:numId w:val="14"/>
        </w:numPr>
        <w:ind w:left="426"/>
        <w:jc w:val="both"/>
        <w:rPr>
          <w:rFonts w:ascii="Arial" w:hAnsi="Arial" w:cs="Arial"/>
          <w:sz w:val="22"/>
          <w:szCs w:val="22"/>
          <w:highlight w:val="yellow"/>
          <w:lang w:val="en-GB"/>
        </w:rPr>
      </w:pPr>
      <w:r w:rsidRPr="00BC6BF7">
        <w:rPr>
          <w:rFonts w:ascii="Arial" w:hAnsi="Arial" w:cs="Arial"/>
          <w:sz w:val="22"/>
          <w:szCs w:val="22"/>
          <w:highlight w:val="yellow"/>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490697" w:rsidRDefault="00617A39" w:rsidP="001B77C3">
      <w:pPr>
        <w:pStyle w:val="ListParagraph"/>
        <w:numPr>
          <w:ilvl w:val="0"/>
          <w:numId w:val="15"/>
        </w:numPr>
        <w:ind w:left="426"/>
        <w:jc w:val="both"/>
        <w:rPr>
          <w:rFonts w:ascii="Arial" w:hAnsi="Arial" w:cs="Arial"/>
          <w:sz w:val="22"/>
          <w:szCs w:val="22"/>
          <w:highlight w:val="yellow"/>
          <w:lang w:val="en-GB"/>
        </w:rPr>
      </w:pPr>
      <w:r w:rsidRPr="00490697">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4B3151" w:rsidRDefault="00802DB8" w:rsidP="00966035">
      <w:pPr>
        <w:pStyle w:val="ListParagraph"/>
        <w:numPr>
          <w:ilvl w:val="0"/>
          <w:numId w:val="16"/>
        </w:numPr>
        <w:ind w:left="426"/>
        <w:jc w:val="both"/>
        <w:rPr>
          <w:rFonts w:ascii="Arial" w:hAnsi="Arial" w:cs="Arial"/>
          <w:sz w:val="22"/>
          <w:szCs w:val="22"/>
          <w:highlight w:val="yellow"/>
          <w:lang w:val="en-GB"/>
        </w:rPr>
      </w:pPr>
      <w:r w:rsidRPr="004B3151">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C435EA"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C435EA">
        <w:rPr>
          <w:rFonts w:ascii="Arial" w:hAnsi="Arial" w:cs="Arial"/>
          <w:sz w:val="22"/>
          <w:szCs w:val="22"/>
          <w:highlight w:val="yellow"/>
          <w:lang w:val="en-GB"/>
        </w:rPr>
        <w:t>He</w:t>
      </w:r>
      <w:r w:rsidR="00903504" w:rsidRPr="00C435EA">
        <w:rPr>
          <w:rFonts w:ascii="Arial" w:hAnsi="Arial" w:cs="Arial"/>
          <w:sz w:val="22"/>
          <w:szCs w:val="22"/>
          <w:highlight w:val="yellow"/>
          <w:lang w:val="en-GB"/>
        </w:rPr>
        <w:t xml:space="preserve"> or she</w:t>
      </w:r>
      <w:r w:rsidRPr="00C435EA">
        <w:rPr>
          <w:rFonts w:ascii="Arial" w:hAnsi="Arial" w:cs="Arial"/>
          <w:sz w:val="22"/>
          <w:szCs w:val="22"/>
          <w:highlight w:val="yellow"/>
          <w:lang w:val="en-GB"/>
        </w:rPr>
        <w:t xml:space="preserve"> is a licenced insolvency practitioner; has given written consent to act; </w:t>
      </w:r>
      <w:r w:rsidR="00903504" w:rsidRPr="00C435EA">
        <w:rPr>
          <w:rFonts w:ascii="Arial" w:hAnsi="Arial" w:cs="Arial"/>
          <w:sz w:val="22"/>
          <w:szCs w:val="22"/>
          <w:highlight w:val="yellow"/>
          <w:lang w:val="en-GB"/>
        </w:rPr>
        <w:t xml:space="preserve">is </w:t>
      </w:r>
      <w:r w:rsidRPr="00C435EA">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C435EA">
        <w:rPr>
          <w:rFonts w:ascii="Arial" w:hAnsi="Arial" w:cs="Arial"/>
          <w:sz w:val="22"/>
          <w:szCs w:val="22"/>
          <w:highlight w:val="yellow"/>
          <w:lang w:val="en-GB"/>
        </w:rPr>
        <w:t xml:space="preserve"> or her</w:t>
      </w:r>
      <w:r w:rsidRPr="00C435EA">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C435EA"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C435EA">
        <w:rPr>
          <w:rFonts w:ascii="Arial" w:hAnsi="Arial" w:cs="Arial"/>
          <w:sz w:val="22"/>
          <w:szCs w:val="22"/>
          <w:highlight w:val="yellow"/>
          <w:lang w:val="en-GB"/>
        </w:rPr>
        <w:t>Within 12 months of the date of judgment</w:t>
      </w:r>
      <w:r w:rsidR="0027374E" w:rsidRPr="00C435EA">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B96ACC" w:rsidRDefault="00665098" w:rsidP="0027374E">
      <w:pPr>
        <w:pStyle w:val="ListParagraph"/>
        <w:numPr>
          <w:ilvl w:val="0"/>
          <w:numId w:val="19"/>
        </w:numPr>
        <w:ind w:left="426"/>
        <w:jc w:val="both"/>
        <w:rPr>
          <w:rFonts w:ascii="Arial" w:hAnsi="Arial" w:cs="Arial"/>
          <w:sz w:val="22"/>
          <w:szCs w:val="22"/>
          <w:highlight w:val="yellow"/>
          <w:lang w:val="en-GB"/>
        </w:rPr>
      </w:pPr>
      <w:r w:rsidRPr="00B96ACC">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8C5A17" w:rsidRDefault="00B54DB9" w:rsidP="002649C2">
      <w:pPr>
        <w:pStyle w:val="ListParagraph"/>
        <w:numPr>
          <w:ilvl w:val="0"/>
          <w:numId w:val="20"/>
        </w:numPr>
        <w:ind w:left="426"/>
        <w:jc w:val="both"/>
        <w:rPr>
          <w:rFonts w:ascii="Arial" w:hAnsi="Arial" w:cs="Arial"/>
          <w:sz w:val="22"/>
          <w:szCs w:val="22"/>
          <w:highlight w:val="yellow"/>
          <w:lang w:val="en-GB"/>
        </w:rPr>
      </w:pPr>
      <w:r w:rsidRPr="008C5A17">
        <w:rPr>
          <w:rFonts w:ascii="Arial" w:hAnsi="Arial" w:cs="Arial"/>
          <w:sz w:val="22"/>
          <w:szCs w:val="22"/>
          <w:highlight w:val="yellow"/>
          <w:lang w:val="en-GB"/>
        </w:rPr>
        <w:t>Two (</w:t>
      </w:r>
      <w:r w:rsidR="00802DB8" w:rsidRPr="008C5A17">
        <w:rPr>
          <w:rFonts w:ascii="Arial" w:hAnsi="Arial" w:cs="Arial"/>
          <w:sz w:val="22"/>
          <w:szCs w:val="22"/>
          <w:highlight w:val="yellow"/>
          <w:lang w:val="en-GB"/>
        </w:rPr>
        <w:t>2</w:t>
      </w:r>
      <w:r w:rsidRPr="008C5A17">
        <w:rPr>
          <w:rFonts w:ascii="Arial" w:hAnsi="Arial" w:cs="Arial"/>
          <w:sz w:val="22"/>
          <w:szCs w:val="22"/>
          <w:highlight w:val="yellow"/>
          <w:lang w:val="en-GB"/>
        </w:rPr>
        <w:t>)</w:t>
      </w:r>
      <w:r w:rsidR="00802DB8" w:rsidRPr="008C5A17">
        <w:rPr>
          <w:rFonts w:ascii="Arial" w:hAnsi="Arial" w:cs="Arial"/>
          <w:sz w:val="22"/>
          <w:szCs w:val="22"/>
          <w:highlight w:val="yellow"/>
          <w:lang w:val="en-GB"/>
        </w:rPr>
        <w:t xml:space="preserve"> years prior to the onset of insolvency</w:t>
      </w:r>
      <w:r w:rsidR="00CE62E7" w:rsidRPr="008C5A17">
        <w:rPr>
          <w:rFonts w:ascii="Arial" w:hAnsi="Arial" w:cs="Arial"/>
          <w:sz w:val="22"/>
          <w:szCs w:val="22"/>
          <w:highlight w:val="yellow"/>
          <w:lang w:val="en-GB"/>
        </w:rPr>
        <w:t xml:space="preserve"> and ending on the appointment of the liquidator</w:t>
      </w:r>
      <w:r w:rsidR="009859BA" w:rsidRPr="008C5A17">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8C5A17" w:rsidRDefault="00936614" w:rsidP="002649C2">
      <w:pPr>
        <w:pStyle w:val="ListParagraph"/>
        <w:numPr>
          <w:ilvl w:val="0"/>
          <w:numId w:val="21"/>
        </w:numPr>
        <w:ind w:left="426"/>
        <w:jc w:val="both"/>
        <w:rPr>
          <w:rFonts w:ascii="Arial" w:hAnsi="Arial" w:cs="Arial"/>
          <w:sz w:val="22"/>
          <w:szCs w:val="22"/>
          <w:highlight w:val="yellow"/>
          <w:lang w:val="en-GB"/>
        </w:rPr>
      </w:pPr>
      <w:r w:rsidRPr="008C5A17">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Pr="003B4863" w:rsidRDefault="00A52262" w:rsidP="002649C2">
      <w:pPr>
        <w:pStyle w:val="ListParagraph"/>
        <w:numPr>
          <w:ilvl w:val="0"/>
          <w:numId w:val="22"/>
        </w:numPr>
        <w:ind w:left="426"/>
        <w:jc w:val="both"/>
        <w:rPr>
          <w:rFonts w:ascii="Arial" w:hAnsi="Arial" w:cs="Arial"/>
          <w:sz w:val="22"/>
          <w:szCs w:val="22"/>
          <w:lang w:val="en-GB"/>
        </w:rPr>
      </w:pPr>
      <w:r w:rsidRPr="003B4863">
        <w:rPr>
          <w:rFonts w:ascii="Arial" w:hAnsi="Arial" w:cs="Arial"/>
          <w:sz w:val="22"/>
          <w:szCs w:val="22"/>
          <w:lang w:val="en-GB"/>
        </w:rPr>
        <w:t xml:space="preserve">When the directors of the company pass the resolution </w:t>
      </w:r>
      <w:r w:rsidR="005707AC" w:rsidRPr="003B4863">
        <w:rPr>
          <w:rFonts w:ascii="Arial" w:hAnsi="Arial" w:cs="Arial"/>
          <w:sz w:val="22"/>
          <w:szCs w:val="22"/>
          <w:lang w:val="en-GB"/>
        </w:rPr>
        <w:t>appointing</w:t>
      </w:r>
      <w:r w:rsidRPr="003B4863">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3B4863" w:rsidRDefault="00A52262" w:rsidP="002649C2">
      <w:pPr>
        <w:pStyle w:val="ListParagraph"/>
        <w:numPr>
          <w:ilvl w:val="0"/>
          <w:numId w:val="22"/>
        </w:numPr>
        <w:ind w:left="426"/>
        <w:jc w:val="both"/>
        <w:rPr>
          <w:rFonts w:ascii="Arial" w:hAnsi="Arial" w:cs="Arial"/>
          <w:sz w:val="22"/>
          <w:szCs w:val="22"/>
          <w:highlight w:val="yellow"/>
          <w:lang w:val="en-GB"/>
        </w:rPr>
      </w:pPr>
      <w:r w:rsidRPr="003B4863">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77777777" w:rsidR="009B07AD" w:rsidRPr="008065CE" w:rsidRDefault="009B07AD"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C8CE2A2" w14:textId="50D05D78" w:rsidR="00020557" w:rsidRDefault="00020557" w:rsidP="008065CE">
      <w:pPr>
        <w:jc w:val="both"/>
        <w:rPr>
          <w:rFonts w:ascii="Arial" w:hAnsi="Arial" w:cs="Arial"/>
          <w:sz w:val="22"/>
          <w:szCs w:val="22"/>
          <w:lang w:val="en-GB"/>
        </w:rPr>
      </w:pPr>
    </w:p>
    <w:p w14:paraId="649EB1EA" w14:textId="4CD1E1A9" w:rsidR="00234FB3" w:rsidRDefault="00800FA4" w:rsidP="008065CE">
      <w:pPr>
        <w:jc w:val="both"/>
        <w:rPr>
          <w:rFonts w:ascii="Arial" w:hAnsi="Arial" w:cs="Arial"/>
          <w:sz w:val="22"/>
          <w:szCs w:val="22"/>
          <w:lang w:val="en-GB"/>
        </w:rPr>
      </w:pPr>
      <w:r>
        <w:rPr>
          <w:rFonts w:ascii="Arial" w:hAnsi="Arial" w:cs="Arial"/>
          <w:sz w:val="22"/>
          <w:szCs w:val="22"/>
          <w:lang w:val="en-GB"/>
        </w:rPr>
        <w:t>A voluntary liquidator can be appointed over a company pursuant to Part XII of the Business Companies Act 2004 if:</w:t>
      </w:r>
    </w:p>
    <w:p w14:paraId="70BB87B8" w14:textId="65529CD8" w:rsidR="00800FA4" w:rsidRDefault="00800FA4" w:rsidP="008065CE">
      <w:pPr>
        <w:jc w:val="both"/>
        <w:rPr>
          <w:rFonts w:ascii="Arial" w:hAnsi="Arial" w:cs="Arial"/>
          <w:sz w:val="22"/>
          <w:szCs w:val="22"/>
          <w:lang w:val="en-GB"/>
        </w:rPr>
      </w:pPr>
    </w:p>
    <w:p w14:paraId="2D58062D" w14:textId="7C4F24F1" w:rsidR="00800FA4" w:rsidRDefault="00800FA4" w:rsidP="00800FA4">
      <w:pPr>
        <w:pStyle w:val="ListParagraph"/>
        <w:numPr>
          <w:ilvl w:val="0"/>
          <w:numId w:val="23"/>
        </w:numPr>
        <w:jc w:val="both"/>
        <w:rPr>
          <w:rFonts w:ascii="Arial" w:hAnsi="Arial" w:cs="Arial"/>
          <w:sz w:val="22"/>
          <w:szCs w:val="22"/>
          <w:lang w:val="en-GB"/>
        </w:rPr>
      </w:pPr>
      <w:r>
        <w:rPr>
          <w:rFonts w:ascii="Arial" w:hAnsi="Arial" w:cs="Arial"/>
          <w:sz w:val="22"/>
          <w:szCs w:val="22"/>
          <w:lang w:val="en-GB"/>
        </w:rPr>
        <w:t>It has no liabilities; or</w:t>
      </w:r>
    </w:p>
    <w:p w14:paraId="034925EB" w14:textId="61992FF6" w:rsidR="00800FA4" w:rsidRPr="00800FA4" w:rsidRDefault="00800FA4" w:rsidP="00800FA4">
      <w:pPr>
        <w:pStyle w:val="ListParagraph"/>
        <w:numPr>
          <w:ilvl w:val="0"/>
          <w:numId w:val="23"/>
        </w:numPr>
        <w:jc w:val="both"/>
        <w:rPr>
          <w:rFonts w:ascii="Arial" w:hAnsi="Arial" w:cs="Arial"/>
          <w:sz w:val="22"/>
          <w:szCs w:val="22"/>
          <w:lang w:val="en-GB"/>
        </w:rPr>
      </w:pPr>
      <w:r>
        <w:rPr>
          <w:rFonts w:ascii="Arial" w:hAnsi="Arial" w:cs="Arial"/>
          <w:sz w:val="22"/>
          <w:szCs w:val="22"/>
          <w:lang w:val="en-GB"/>
        </w:rPr>
        <w:t>If it is able to pay its debts as they fall due and the value of the assets is equal to or exceeds its liabilities.</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9873F62" w14:textId="160DCF3D" w:rsidR="0006486C" w:rsidRDefault="009B07AD" w:rsidP="0006486C">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45102435" w14:textId="2AD4253D" w:rsidR="0006486C" w:rsidRDefault="0006486C" w:rsidP="0006486C">
      <w:pPr>
        <w:jc w:val="both"/>
        <w:rPr>
          <w:rFonts w:ascii="Arial" w:hAnsi="Arial" w:cs="Arial"/>
          <w:sz w:val="22"/>
          <w:szCs w:val="22"/>
          <w:lang w:val="en-GB"/>
        </w:rPr>
      </w:pPr>
    </w:p>
    <w:p w14:paraId="4377E944" w14:textId="325F3241" w:rsidR="00800FA4" w:rsidRDefault="0006486C" w:rsidP="0006486C">
      <w:pPr>
        <w:jc w:val="both"/>
        <w:rPr>
          <w:rFonts w:ascii="Arial" w:hAnsi="Arial" w:cs="Arial"/>
          <w:sz w:val="22"/>
          <w:szCs w:val="22"/>
          <w:lang w:val="en-GB"/>
        </w:rPr>
      </w:pPr>
      <w:r>
        <w:rPr>
          <w:rFonts w:ascii="Arial" w:hAnsi="Arial" w:cs="Arial"/>
          <w:sz w:val="22"/>
          <w:szCs w:val="22"/>
          <w:lang w:val="en-GB"/>
        </w:rPr>
        <w:t xml:space="preserve">Pursuant to section 289(2) of the Virgin Islands Insolvency Act (“the </w:t>
      </w:r>
      <w:r w:rsidR="00CD2AE0">
        <w:rPr>
          <w:rFonts w:ascii="Arial" w:hAnsi="Arial" w:cs="Arial"/>
          <w:sz w:val="22"/>
          <w:szCs w:val="22"/>
          <w:lang w:val="en-GB"/>
        </w:rPr>
        <w:t xml:space="preserve">Insolvency </w:t>
      </w:r>
      <w:r>
        <w:rPr>
          <w:rFonts w:ascii="Arial" w:hAnsi="Arial" w:cs="Arial"/>
          <w:sz w:val="22"/>
          <w:szCs w:val="22"/>
          <w:lang w:val="en-GB"/>
        </w:rPr>
        <w:t>Act”) here a liquidator is appointed to a BVI incorporated company by the Court, a person who is or has been an officer of that company is deemed to have committed an offence under the fraudulent conduct provisions if he or she has:</w:t>
      </w:r>
    </w:p>
    <w:p w14:paraId="7E8C026A" w14:textId="5C458794" w:rsidR="0006486C" w:rsidRDefault="0006486C" w:rsidP="0006486C">
      <w:pPr>
        <w:jc w:val="both"/>
        <w:rPr>
          <w:rFonts w:ascii="Arial" w:hAnsi="Arial" w:cs="Arial"/>
          <w:sz w:val="22"/>
          <w:szCs w:val="22"/>
          <w:lang w:val="en-GB"/>
        </w:rPr>
      </w:pPr>
    </w:p>
    <w:p w14:paraId="7D120424" w14:textId="2CE4DE09" w:rsidR="00A27898" w:rsidRPr="00A27898" w:rsidRDefault="00A27898" w:rsidP="00A27898">
      <w:pPr>
        <w:pStyle w:val="ListParagraph"/>
        <w:numPr>
          <w:ilvl w:val="0"/>
          <w:numId w:val="24"/>
        </w:numPr>
        <w:jc w:val="both"/>
        <w:rPr>
          <w:rFonts w:ascii="Arial" w:hAnsi="Arial" w:cs="Arial"/>
          <w:sz w:val="22"/>
          <w:szCs w:val="22"/>
          <w:lang w:val="en-GB"/>
        </w:rPr>
      </w:pPr>
      <w:r w:rsidRPr="00A27898">
        <w:rPr>
          <w:rFonts w:ascii="Arial" w:hAnsi="Arial" w:cs="Arial"/>
          <w:sz w:val="22"/>
          <w:szCs w:val="22"/>
          <w:lang w:val="en-GB"/>
        </w:rPr>
        <w:t>made or caused to be made any gift or transfer of, or charge on, or</w:t>
      </w:r>
      <w:r>
        <w:rPr>
          <w:rFonts w:ascii="Arial" w:hAnsi="Arial" w:cs="Arial"/>
          <w:sz w:val="22"/>
          <w:szCs w:val="22"/>
          <w:lang w:val="en-GB"/>
        </w:rPr>
        <w:t xml:space="preserve"> </w:t>
      </w:r>
      <w:r w:rsidRPr="00A27898">
        <w:rPr>
          <w:rFonts w:ascii="Arial" w:hAnsi="Arial" w:cs="Arial"/>
          <w:sz w:val="22"/>
          <w:szCs w:val="22"/>
          <w:lang w:val="en-GB"/>
        </w:rPr>
        <w:t>has caused, permitted or acquiesced in the levying of any</w:t>
      </w:r>
      <w:r>
        <w:rPr>
          <w:rFonts w:ascii="Arial" w:hAnsi="Arial" w:cs="Arial"/>
          <w:sz w:val="22"/>
          <w:szCs w:val="22"/>
          <w:lang w:val="en-GB"/>
        </w:rPr>
        <w:t xml:space="preserve"> </w:t>
      </w:r>
      <w:r w:rsidRPr="00A27898">
        <w:rPr>
          <w:rFonts w:ascii="Arial" w:hAnsi="Arial" w:cs="Arial"/>
          <w:sz w:val="22"/>
          <w:szCs w:val="22"/>
          <w:lang w:val="en-GB"/>
        </w:rPr>
        <w:t>execution against the company’s assets; or</w:t>
      </w:r>
    </w:p>
    <w:p w14:paraId="726F2855" w14:textId="4AFB23BA" w:rsidR="0006486C" w:rsidRPr="00A27898" w:rsidRDefault="00A27898" w:rsidP="00A27898">
      <w:pPr>
        <w:pStyle w:val="ListParagraph"/>
        <w:numPr>
          <w:ilvl w:val="0"/>
          <w:numId w:val="24"/>
        </w:numPr>
        <w:jc w:val="both"/>
        <w:rPr>
          <w:rFonts w:ascii="Arial" w:hAnsi="Arial" w:cs="Arial"/>
          <w:sz w:val="22"/>
          <w:szCs w:val="22"/>
          <w:lang w:val="en-GB"/>
        </w:rPr>
      </w:pPr>
      <w:r w:rsidRPr="00A27898">
        <w:rPr>
          <w:rFonts w:ascii="Arial" w:hAnsi="Arial" w:cs="Arial"/>
          <w:sz w:val="22"/>
          <w:szCs w:val="22"/>
          <w:lang w:val="en-GB"/>
        </w:rPr>
        <w:t>has concealed or removed any of the company’s assets since, or</w:t>
      </w:r>
      <w:r>
        <w:rPr>
          <w:rFonts w:ascii="Arial" w:hAnsi="Arial" w:cs="Arial"/>
          <w:sz w:val="22"/>
          <w:szCs w:val="22"/>
          <w:lang w:val="en-GB"/>
        </w:rPr>
        <w:t xml:space="preserve"> </w:t>
      </w:r>
      <w:r w:rsidRPr="00A27898">
        <w:rPr>
          <w:rFonts w:ascii="Arial" w:hAnsi="Arial" w:cs="Arial"/>
          <w:sz w:val="22"/>
          <w:szCs w:val="22"/>
          <w:lang w:val="en-GB"/>
        </w:rPr>
        <w:t>within, 60 days of the date of any unsatisfied judgment or order</w:t>
      </w:r>
      <w:r>
        <w:rPr>
          <w:rFonts w:ascii="Arial" w:hAnsi="Arial" w:cs="Arial"/>
          <w:sz w:val="22"/>
          <w:szCs w:val="22"/>
          <w:lang w:val="en-GB"/>
        </w:rPr>
        <w:t xml:space="preserve"> </w:t>
      </w:r>
      <w:r w:rsidRPr="00A27898">
        <w:rPr>
          <w:rFonts w:ascii="Arial" w:hAnsi="Arial" w:cs="Arial"/>
          <w:sz w:val="22"/>
          <w:szCs w:val="22"/>
          <w:lang w:val="en-GB"/>
        </w:rPr>
        <w:t>for the payment of money obtained against the company.</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77777777" w:rsidR="00C72848" w:rsidRPr="008065CE" w:rsidRDefault="00C7284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79685A90" w14:textId="77777777" w:rsidR="006643A7" w:rsidRDefault="006643A7" w:rsidP="008065CE">
      <w:pPr>
        <w:jc w:val="both"/>
        <w:rPr>
          <w:rFonts w:ascii="Arial" w:hAnsi="Arial" w:cs="Arial"/>
          <w:bCs/>
          <w:sz w:val="22"/>
          <w:szCs w:val="22"/>
          <w:lang w:val="en-GB"/>
        </w:rPr>
      </w:pPr>
    </w:p>
    <w:p w14:paraId="41FACE18" w14:textId="7595D4EC" w:rsidR="000B0380" w:rsidRDefault="006643A7" w:rsidP="008065CE">
      <w:pPr>
        <w:jc w:val="both"/>
        <w:rPr>
          <w:rFonts w:ascii="Arial" w:hAnsi="Arial" w:cs="Arial"/>
          <w:bCs/>
          <w:i/>
          <w:iCs/>
          <w:sz w:val="22"/>
          <w:szCs w:val="22"/>
          <w:lang w:val="en-GB"/>
        </w:rPr>
      </w:pPr>
      <w:r>
        <w:rPr>
          <w:rFonts w:ascii="Arial" w:hAnsi="Arial" w:cs="Arial"/>
          <w:bCs/>
          <w:sz w:val="22"/>
          <w:szCs w:val="22"/>
          <w:lang w:val="en-GB"/>
        </w:rPr>
        <w:t xml:space="preserve">Part XIX of the </w:t>
      </w:r>
      <w:r w:rsidR="00CD2AE0">
        <w:rPr>
          <w:rFonts w:ascii="Arial" w:hAnsi="Arial" w:cs="Arial"/>
          <w:bCs/>
          <w:sz w:val="22"/>
          <w:szCs w:val="22"/>
          <w:lang w:val="en-GB"/>
        </w:rPr>
        <w:t xml:space="preserve">Insolvency </w:t>
      </w:r>
      <w:r>
        <w:rPr>
          <w:rFonts w:ascii="Arial" w:hAnsi="Arial" w:cs="Arial"/>
          <w:bCs/>
          <w:sz w:val="22"/>
          <w:szCs w:val="22"/>
          <w:lang w:val="en-GB"/>
        </w:rPr>
        <w:t xml:space="preserve">Act outlines the </w:t>
      </w:r>
      <w:r w:rsidR="0052156D">
        <w:rPr>
          <w:rFonts w:ascii="Arial" w:hAnsi="Arial" w:cs="Arial"/>
          <w:bCs/>
          <w:sz w:val="22"/>
          <w:szCs w:val="22"/>
          <w:lang w:val="en-GB"/>
        </w:rPr>
        <w:t>primary framework for the powers provided to the BVI Court to make orders in aid of foreign insolvency proceedings.  The BVI Court can recognise certain foreign insolvency proceedings and provide assistance to foreign representatives.  Section 467</w:t>
      </w:r>
      <w:r w:rsidR="00040E37">
        <w:rPr>
          <w:rFonts w:ascii="Arial" w:hAnsi="Arial" w:cs="Arial"/>
          <w:bCs/>
          <w:sz w:val="22"/>
          <w:szCs w:val="22"/>
          <w:lang w:val="en-GB"/>
        </w:rPr>
        <w:t>(3)</w:t>
      </w:r>
      <w:r w:rsidR="0052156D">
        <w:rPr>
          <w:rFonts w:ascii="Arial" w:hAnsi="Arial" w:cs="Arial"/>
          <w:bCs/>
          <w:sz w:val="22"/>
          <w:szCs w:val="22"/>
          <w:lang w:val="en-GB"/>
        </w:rPr>
        <w:t xml:space="preserve"> of the </w:t>
      </w:r>
      <w:r w:rsidR="00CD2AE0">
        <w:rPr>
          <w:rFonts w:ascii="Arial" w:hAnsi="Arial" w:cs="Arial"/>
          <w:bCs/>
          <w:sz w:val="22"/>
          <w:szCs w:val="22"/>
          <w:lang w:val="en-GB"/>
        </w:rPr>
        <w:t xml:space="preserve">Insolvency </w:t>
      </w:r>
      <w:r w:rsidR="0052156D">
        <w:rPr>
          <w:rFonts w:ascii="Arial" w:hAnsi="Arial" w:cs="Arial"/>
          <w:bCs/>
          <w:sz w:val="22"/>
          <w:szCs w:val="22"/>
          <w:lang w:val="en-GB"/>
        </w:rPr>
        <w:t xml:space="preserve">Act outlines certain relief / orders which the BVI Court can make including to </w:t>
      </w:r>
      <w:r w:rsidR="0052156D">
        <w:rPr>
          <w:rFonts w:ascii="Arial" w:hAnsi="Arial" w:cs="Arial"/>
          <w:bCs/>
          <w:i/>
          <w:iCs/>
          <w:sz w:val="22"/>
          <w:szCs w:val="22"/>
          <w:lang w:val="en-GB"/>
        </w:rPr>
        <w:t>“make such order or grant such other relief as it considers appropriate”.</w:t>
      </w:r>
    </w:p>
    <w:p w14:paraId="16E4BB8B" w14:textId="5FFB794B" w:rsidR="0052156D" w:rsidRDefault="0052156D" w:rsidP="008065CE">
      <w:pPr>
        <w:jc w:val="both"/>
        <w:rPr>
          <w:rFonts w:ascii="Arial" w:hAnsi="Arial" w:cs="Arial"/>
          <w:bCs/>
          <w:sz w:val="22"/>
          <w:szCs w:val="22"/>
          <w:lang w:val="en-GB"/>
        </w:rPr>
      </w:pPr>
    </w:p>
    <w:p w14:paraId="4D691C1F" w14:textId="7C118420" w:rsidR="0052156D" w:rsidRPr="0052156D" w:rsidRDefault="00040E37" w:rsidP="008065CE">
      <w:pPr>
        <w:jc w:val="both"/>
        <w:rPr>
          <w:rFonts w:ascii="Arial" w:hAnsi="Arial" w:cs="Arial"/>
          <w:bCs/>
          <w:sz w:val="22"/>
          <w:szCs w:val="22"/>
          <w:lang w:val="en-GB"/>
        </w:rPr>
      </w:pPr>
      <w:r>
        <w:rPr>
          <w:rFonts w:ascii="Arial" w:hAnsi="Arial" w:cs="Arial"/>
          <w:bCs/>
          <w:sz w:val="22"/>
          <w:szCs w:val="22"/>
          <w:lang w:val="en-GB"/>
        </w:rPr>
        <w:t>Section 467(5) allows the BVI Court to apply the law of the BVI or the law applicable in respect to the foreign proceeding.</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lastRenderedPageBreak/>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77777777" w:rsidR="00802DB8" w:rsidRPr="008065CE" w:rsidRDefault="00802DB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7F95D219" w14:textId="68A15461" w:rsidR="00802DB8" w:rsidRDefault="00802DB8" w:rsidP="008065CE">
      <w:pPr>
        <w:jc w:val="both"/>
        <w:rPr>
          <w:rFonts w:ascii="Arial" w:hAnsi="Arial" w:cs="Arial"/>
          <w:bCs/>
          <w:sz w:val="22"/>
          <w:szCs w:val="22"/>
          <w:lang w:val="en-GB"/>
        </w:rPr>
      </w:pPr>
    </w:p>
    <w:p w14:paraId="071441AB" w14:textId="464FDCA0" w:rsidR="000E3B1E" w:rsidRDefault="000E3B1E" w:rsidP="008065CE">
      <w:pPr>
        <w:jc w:val="both"/>
        <w:rPr>
          <w:rFonts w:ascii="Arial" w:hAnsi="Arial" w:cs="Arial"/>
          <w:bCs/>
          <w:sz w:val="22"/>
          <w:szCs w:val="22"/>
          <w:lang w:val="en-GB"/>
        </w:rPr>
      </w:pPr>
      <w:r>
        <w:rPr>
          <w:rFonts w:ascii="Arial" w:hAnsi="Arial" w:cs="Arial"/>
          <w:bCs/>
          <w:sz w:val="22"/>
          <w:szCs w:val="22"/>
          <w:lang w:val="en-GB"/>
        </w:rPr>
        <w:t>That statutory tests to determine whether a company is insolvent in the BVI are:</w:t>
      </w:r>
    </w:p>
    <w:p w14:paraId="0955CB59" w14:textId="3B66CF1A" w:rsidR="000E3B1E" w:rsidRDefault="000E3B1E" w:rsidP="008065CE">
      <w:pPr>
        <w:jc w:val="both"/>
        <w:rPr>
          <w:rFonts w:ascii="Arial" w:hAnsi="Arial" w:cs="Arial"/>
          <w:bCs/>
          <w:sz w:val="22"/>
          <w:szCs w:val="22"/>
          <w:lang w:val="en-GB"/>
        </w:rPr>
      </w:pPr>
    </w:p>
    <w:p w14:paraId="7223F401" w14:textId="48EDDA17" w:rsidR="000E3B1E" w:rsidRDefault="000E3B1E" w:rsidP="000E3B1E">
      <w:pPr>
        <w:pStyle w:val="ListParagraph"/>
        <w:numPr>
          <w:ilvl w:val="0"/>
          <w:numId w:val="25"/>
        </w:numPr>
        <w:jc w:val="both"/>
        <w:rPr>
          <w:rFonts w:ascii="Arial" w:hAnsi="Arial" w:cs="Arial"/>
          <w:bCs/>
          <w:sz w:val="22"/>
          <w:szCs w:val="22"/>
          <w:lang w:val="en-GB"/>
        </w:rPr>
      </w:pPr>
      <w:r>
        <w:rPr>
          <w:rFonts w:ascii="Arial" w:hAnsi="Arial" w:cs="Arial"/>
          <w:bCs/>
          <w:sz w:val="22"/>
          <w:szCs w:val="22"/>
          <w:lang w:val="en-GB"/>
        </w:rPr>
        <w:t xml:space="preserve">It is proved to the satisfaction of the Court that a company is unable to pay its debts as they fall due (section 8(c)(ii) of the </w:t>
      </w:r>
      <w:r w:rsidR="00CD2AE0">
        <w:rPr>
          <w:rFonts w:ascii="Arial" w:hAnsi="Arial" w:cs="Arial"/>
          <w:bCs/>
          <w:sz w:val="22"/>
          <w:szCs w:val="22"/>
          <w:lang w:val="en-GB"/>
        </w:rPr>
        <w:t xml:space="preserve">Insolvency </w:t>
      </w:r>
      <w:r>
        <w:rPr>
          <w:rFonts w:ascii="Arial" w:hAnsi="Arial" w:cs="Arial"/>
          <w:bCs/>
          <w:sz w:val="22"/>
          <w:szCs w:val="22"/>
          <w:lang w:val="en-GB"/>
        </w:rPr>
        <w:t xml:space="preserve">Act).  The English case of </w:t>
      </w:r>
      <w:r>
        <w:rPr>
          <w:rFonts w:ascii="Arial" w:hAnsi="Arial" w:cs="Arial"/>
          <w:bCs/>
          <w:i/>
          <w:iCs/>
          <w:sz w:val="22"/>
          <w:szCs w:val="22"/>
          <w:lang w:val="en-GB"/>
        </w:rPr>
        <w:t xml:space="preserve">Cornhill Insurance Plc v Improvement Services Limited </w:t>
      </w:r>
      <w:r>
        <w:rPr>
          <w:rFonts w:ascii="Arial" w:hAnsi="Arial" w:cs="Arial"/>
          <w:bCs/>
          <w:sz w:val="22"/>
          <w:szCs w:val="22"/>
          <w:lang w:val="en-GB"/>
        </w:rPr>
        <w:t>sets out that the inability to pay a debt that is due and not disputed is sufficient evidence of insolvent.</w:t>
      </w:r>
    </w:p>
    <w:p w14:paraId="052714FC" w14:textId="055BB132" w:rsidR="000E3B1E" w:rsidRDefault="000E3B1E" w:rsidP="000E3B1E">
      <w:pPr>
        <w:pStyle w:val="ListParagraph"/>
        <w:numPr>
          <w:ilvl w:val="0"/>
          <w:numId w:val="25"/>
        </w:numPr>
        <w:jc w:val="both"/>
        <w:rPr>
          <w:rFonts w:ascii="Arial" w:hAnsi="Arial" w:cs="Arial"/>
          <w:bCs/>
          <w:sz w:val="22"/>
          <w:szCs w:val="22"/>
          <w:lang w:val="en-GB"/>
        </w:rPr>
      </w:pPr>
      <w:r>
        <w:rPr>
          <w:rFonts w:ascii="Arial" w:hAnsi="Arial" w:cs="Arial"/>
          <w:bCs/>
          <w:sz w:val="22"/>
          <w:szCs w:val="22"/>
          <w:lang w:val="en-GB"/>
        </w:rPr>
        <w:t>It is proved to the satisfaction of the Court that the value of the company’s liabilities exceeds the value of its asset, also known as balance sheet insolvency (section</w:t>
      </w:r>
      <w:r w:rsidR="00CD2AE0">
        <w:rPr>
          <w:rFonts w:ascii="Arial" w:hAnsi="Arial" w:cs="Arial"/>
          <w:bCs/>
          <w:sz w:val="22"/>
          <w:szCs w:val="22"/>
          <w:lang w:val="en-GB"/>
        </w:rPr>
        <w:t xml:space="preserve"> 8(1)(c)(i) of the Insolvency Act).  Section 10(1) and (2) set out the definitions of what would constitute a liability in this regard.</w:t>
      </w:r>
    </w:p>
    <w:p w14:paraId="0AF9D5E4" w14:textId="7117C3FF" w:rsidR="00CD2AE0" w:rsidRDefault="00CD2AE0" w:rsidP="000E3B1E">
      <w:pPr>
        <w:pStyle w:val="ListParagraph"/>
        <w:numPr>
          <w:ilvl w:val="0"/>
          <w:numId w:val="25"/>
        </w:numPr>
        <w:jc w:val="both"/>
        <w:rPr>
          <w:rFonts w:ascii="Arial" w:hAnsi="Arial" w:cs="Arial"/>
          <w:bCs/>
          <w:sz w:val="22"/>
          <w:szCs w:val="22"/>
          <w:lang w:val="en-GB"/>
        </w:rPr>
      </w:pPr>
      <w:r>
        <w:rPr>
          <w:rFonts w:ascii="Arial" w:hAnsi="Arial" w:cs="Arial"/>
          <w:bCs/>
          <w:sz w:val="22"/>
          <w:szCs w:val="22"/>
          <w:lang w:val="en-GB"/>
        </w:rPr>
        <w:t>A company fails to satisfy, wholly or partly, execution or other process issued on a judgement, decree or order of the BVI Court in favour of a creditors of a company.</w:t>
      </w:r>
    </w:p>
    <w:p w14:paraId="37C6FBEF" w14:textId="191C2089" w:rsidR="00CD2AE0" w:rsidRPr="000E3B1E" w:rsidRDefault="00CD2AE0" w:rsidP="000E3B1E">
      <w:pPr>
        <w:pStyle w:val="ListParagraph"/>
        <w:numPr>
          <w:ilvl w:val="0"/>
          <w:numId w:val="25"/>
        </w:numPr>
        <w:jc w:val="both"/>
        <w:rPr>
          <w:rFonts w:ascii="Arial" w:hAnsi="Arial" w:cs="Arial"/>
          <w:bCs/>
          <w:sz w:val="22"/>
          <w:szCs w:val="22"/>
          <w:lang w:val="en-GB"/>
        </w:rPr>
      </w:pPr>
      <w:r>
        <w:rPr>
          <w:rFonts w:ascii="Arial" w:hAnsi="Arial" w:cs="Arial"/>
          <w:bCs/>
          <w:sz w:val="22"/>
          <w:szCs w:val="22"/>
          <w:lang w:val="en-GB"/>
        </w:rPr>
        <w:t>If a company fails to comply with a statutory demand and it is not successfully set aside under section 156 or 157 of the Insolvency Act.</w:t>
      </w:r>
    </w:p>
    <w:p w14:paraId="29EFB323" w14:textId="77777777" w:rsidR="000E3B1E" w:rsidRDefault="000E3B1E" w:rsidP="008065CE">
      <w:pPr>
        <w:jc w:val="both"/>
        <w:rPr>
          <w:rFonts w:ascii="Arial" w:hAnsi="Arial" w:cs="Arial"/>
          <w:bCs/>
          <w:sz w:val="22"/>
          <w:szCs w:val="22"/>
          <w:lang w:val="en-GB"/>
        </w:rPr>
      </w:pPr>
    </w:p>
    <w:p w14:paraId="102EFB63" w14:textId="3943B1FE" w:rsidR="0078106D" w:rsidRPr="008065CE" w:rsidRDefault="000E3B1E" w:rsidP="008065CE">
      <w:pPr>
        <w:jc w:val="both"/>
        <w:rPr>
          <w:rFonts w:ascii="Arial" w:hAnsi="Arial" w:cs="Arial"/>
          <w:bCs/>
          <w:sz w:val="22"/>
          <w:szCs w:val="22"/>
          <w:lang w:val="en-GB"/>
        </w:rPr>
      </w:pPr>
      <w:r>
        <w:rPr>
          <w:rFonts w:ascii="Arial" w:hAnsi="Arial" w:cs="Arial"/>
          <w:bCs/>
          <w:sz w:val="22"/>
          <w:szCs w:val="22"/>
          <w:lang w:val="en-GB"/>
        </w:rPr>
        <w:t xml:space="preserve">The Court retains residual discretion as to whether it should find that a </w:t>
      </w:r>
      <w:r w:rsidR="0016460E">
        <w:rPr>
          <w:rFonts w:ascii="Arial" w:hAnsi="Arial" w:cs="Arial"/>
          <w:bCs/>
          <w:sz w:val="22"/>
          <w:szCs w:val="22"/>
          <w:lang w:val="en-GB"/>
        </w:rPr>
        <w:t>company</w:t>
      </w:r>
      <w:r>
        <w:rPr>
          <w:rFonts w:ascii="Arial" w:hAnsi="Arial" w:cs="Arial"/>
          <w:bCs/>
          <w:sz w:val="22"/>
          <w:szCs w:val="22"/>
          <w:lang w:val="en-GB"/>
        </w:rPr>
        <w:t xml:space="preserve"> is insolvent.</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77777777" w:rsidR="00544127" w:rsidRPr="008065CE" w:rsidRDefault="00DF75F8" w:rsidP="008065CE">
      <w:pPr>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6909B5A2" w14:textId="572CE7EF" w:rsidR="00544127" w:rsidRDefault="00544127" w:rsidP="008065CE">
      <w:pPr>
        <w:ind w:left="720" w:hanging="720"/>
        <w:jc w:val="both"/>
        <w:rPr>
          <w:rFonts w:ascii="Arial" w:hAnsi="Arial" w:cs="Arial"/>
          <w:sz w:val="22"/>
          <w:szCs w:val="22"/>
          <w:lang w:val="en-GB"/>
        </w:rPr>
      </w:pPr>
    </w:p>
    <w:p w14:paraId="70CAA3D2" w14:textId="45FE6BC3" w:rsidR="000050C2" w:rsidRDefault="0096533A" w:rsidP="0096533A">
      <w:pPr>
        <w:jc w:val="both"/>
        <w:rPr>
          <w:rFonts w:ascii="Arial" w:hAnsi="Arial" w:cs="Arial"/>
          <w:sz w:val="22"/>
          <w:szCs w:val="22"/>
          <w:lang w:val="en-GB"/>
        </w:rPr>
      </w:pPr>
      <w:r>
        <w:rPr>
          <w:rFonts w:ascii="Arial" w:hAnsi="Arial" w:cs="Arial"/>
          <w:sz w:val="22"/>
          <w:szCs w:val="22"/>
          <w:lang w:val="en-GB"/>
        </w:rPr>
        <w:t>Pursuant to section 232 of the Insolvency Act, the liquidation of a company terminates on the first occurring of:</w:t>
      </w:r>
    </w:p>
    <w:p w14:paraId="4C7902D6" w14:textId="596EB444" w:rsidR="0096533A" w:rsidRDefault="0096533A" w:rsidP="008065CE">
      <w:pPr>
        <w:ind w:left="720" w:hanging="720"/>
        <w:jc w:val="both"/>
        <w:rPr>
          <w:rFonts w:ascii="Arial" w:hAnsi="Arial" w:cs="Arial"/>
          <w:sz w:val="22"/>
          <w:szCs w:val="22"/>
          <w:lang w:val="en-GB"/>
        </w:rPr>
      </w:pPr>
    </w:p>
    <w:p w14:paraId="07067D75" w14:textId="092027FE" w:rsidR="0096533A" w:rsidRDefault="0096533A" w:rsidP="0096533A">
      <w:pPr>
        <w:pStyle w:val="ListParagraph"/>
        <w:numPr>
          <w:ilvl w:val="0"/>
          <w:numId w:val="26"/>
        </w:numPr>
        <w:jc w:val="both"/>
        <w:rPr>
          <w:rFonts w:ascii="Arial" w:hAnsi="Arial" w:cs="Arial"/>
          <w:sz w:val="22"/>
          <w:szCs w:val="22"/>
          <w:lang w:val="en-GB"/>
        </w:rPr>
      </w:pPr>
      <w:r>
        <w:rPr>
          <w:rFonts w:ascii="Arial" w:hAnsi="Arial" w:cs="Arial"/>
          <w:sz w:val="22"/>
          <w:szCs w:val="22"/>
          <w:lang w:val="en-GB"/>
        </w:rPr>
        <w:t>the making of the BVI Court of an order termination the liquidation, or such later date as may be specified in the order;</w:t>
      </w:r>
    </w:p>
    <w:p w14:paraId="31AAE6F5" w14:textId="43F24970" w:rsidR="0096533A" w:rsidRDefault="0096533A" w:rsidP="0096533A">
      <w:pPr>
        <w:pStyle w:val="ListParagraph"/>
        <w:numPr>
          <w:ilvl w:val="0"/>
          <w:numId w:val="26"/>
        </w:numPr>
        <w:jc w:val="both"/>
        <w:rPr>
          <w:rFonts w:ascii="Arial" w:hAnsi="Arial" w:cs="Arial"/>
          <w:sz w:val="22"/>
          <w:szCs w:val="22"/>
          <w:lang w:val="en-GB"/>
        </w:rPr>
      </w:pPr>
      <w:r>
        <w:rPr>
          <w:rFonts w:ascii="Arial" w:hAnsi="Arial" w:cs="Arial"/>
          <w:sz w:val="22"/>
          <w:szCs w:val="22"/>
          <w:lang w:val="en-GB"/>
        </w:rPr>
        <w:t>the filing by the liquidator of a certificate of compliance with the provisions of section 234(2) as modified by the BVI Court under section 234(4), if appropriate; or</w:t>
      </w:r>
    </w:p>
    <w:p w14:paraId="6D7480AC" w14:textId="3E32E633" w:rsidR="0096533A" w:rsidRPr="0096533A" w:rsidRDefault="0096533A" w:rsidP="0096533A">
      <w:pPr>
        <w:pStyle w:val="ListParagraph"/>
        <w:numPr>
          <w:ilvl w:val="0"/>
          <w:numId w:val="26"/>
        </w:numPr>
        <w:jc w:val="both"/>
        <w:rPr>
          <w:rFonts w:ascii="Arial" w:hAnsi="Arial" w:cs="Arial"/>
          <w:sz w:val="22"/>
          <w:szCs w:val="22"/>
          <w:lang w:val="en-GB"/>
        </w:rPr>
      </w:pPr>
      <w:r>
        <w:rPr>
          <w:rFonts w:ascii="Arial" w:hAnsi="Arial" w:cs="Arial"/>
          <w:sz w:val="22"/>
          <w:szCs w:val="22"/>
          <w:lang w:val="en-GB"/>
        </w:rPr>
        <w:t xml:space="preserve">the making by the BVI Court of an order </w:t>
      </w:r>
      <w:r w:rsidR="00061187">
        <w:rPr>
          <w:rFonts w:ascii="Arial" w:hAnsi="Arial" w:cs="Arial"/>
          <w:sz w:val="22"/>
          <w:szCs w:val="22"/>
          <w:lang w:val="en-GB"/>
        </w:rPr>
        <w:t xml:space="preserve">under section 234(4) </w:t>
      </w:r>
      <w:r>
        <w:rPr>
          <w:rFonts w:ascii="Arial" w:hAnsi="Arial" w:cs="Arial"/>
          <w:sz w:val="22"/>
          <w:szCs w:val="22"/>
          <w:lang w:val="en-GB"/>
        </w:rPr>
        <w:t>exempting the liquidator from compliance</w:t>
      </w:r>
      <w:r w:rsidR="00061187">
        <w:rPr>
          <w:rFonts w:ascii="Arial" w:hAnsi="Arial" w:cs="Arial"/>
          <w:sz w:val="22"/>
          <w:szCs w:val="22"/>
          <w:lang w:val="en-GB"/>
        </w:rPr>
        <w:t xml:space="preserve"> under section 234(2) or such later date as may be specified in the order.</w:t>
      </w:r>
    </w:p>
    <w:p w14:paraId="348A02E3" w14:textId="33B88CAB" w:rsidR="00D17FDC" w:rsidRDefault="00D17FDC" w:rsidP="008065CE">
      <w:pPr>
        <w:ind w:left="720" w:hanging="720"/>
        <w:jc w:val="both"/>
        <w:rPr>
          <w:rFonts w:ascii="Arial" w:hAnsi="Arial" w:cs="Arial"/>
          <w:sz w:val="22"/>
          <w:szCs w:val="22"/>
          <w:lang w:val="en-GB"/>
        </w:rPr>
      </w:pPr>
    </w:p>
    <w:p w14:paraId="49F93F1B" w14:textId="4A5733E9" w:rsidR="0093759E" w:rsidRDefault="0093759E" w:rsidP="0093759E">
      <w:pPr>
        <w:jc w:val="both"/>
        <w:rPr>
          <w:rFonts w:ascii="Arial" w:hAnsi="Arial" w:cs="Arial"/>
          <w:sz w:val="22"/>
          <w:szCs w:val="22"/>
          <w:lang w:val="en-GB"/>
        </w:rPr>
      </w:pPr>
      <w:r>
        <w:rPr>
          <w:rFonts w:ascii="Arial" w:hAnsi="Arial" w:cs="Arial"/>
          <w:sz w:val="22"/>
          <w:szCs w:val="22"/>
          <w:lang w:val="en-GB"/>
        </w:rPr>
        <w:t>As discussed further below, section 234(2) and (4) of the Insolvency Act refer to the preparation of a final report.</w:t>
      </w:r>
    </w:p>
    <w:p w14:paraId="0DB58060" w14:textId="77777777" w:rsidR="0093759E" w:rsidRDefault="0093759E" w:rsidP="008065CE">
      <w:pPr>
        <w:ind w:left="720" w:hanging="720"/>
        <w:jc w:val="both"/>
        <w:rPr>
          <w:rFonts w:ascii="Arial" w:hAnsi="Arial" w:cs="Arial"/>
          <w:sz w:val="22"/>
          <w:szCs w:val="22"/>
          <w:lang w:val="en-GB"/>
        </w:rPr>
      </w:pPr>
    </w:p>
    <w:p w14:paraId="0C8CA6A6" w14:textId="0FD0A284" w:rsidR="0093759E" w:rsidRDefault="0093759E" w:rsidP="005700FA">
      <w:pPr>
        <w:jc w:val="both"/>
        <w:rPr>
          <w:rFonts w:ascii="Arial" w:hAnsi="Arial" w:cs="Arial"/>
          <w:sz w:val="22"/>
          <w:szCs w:val="22"/>
          <w:lang w:val="en-GB"/>
        </w:rPr>
      </w:pPr>
      <w:r>
        <w:rPr>
          <w:rFonts w:ascii="Arial" w:hAnsi="Arial" w:cs="Arial"/>
          <w:sz w:val="22"/>
          <w:szCs w:val="22"/>
          <w:lang w:val="en-GB"/>
        </w:rPr>
        <w:t>Section 233</w:t>
      </w:r>
      <w:r w:rsidR="00725942">
        <w:rPr>
          <w:rFonts w:ascii="Arial" w:hAnsi="Arial" w:cs="Arial"/>
          <w:sz w:val="22"/>
          <w:szCs w:val="22"/>
          <w:lang w:val="en-GB"/>
        </w:rPr>
        <w:t xml:space="preserve"> of the Insolvency Act</w:t>
      </w:r>
      <w:r>
        <w:rPr>
          <w:rFonts w:ascii="Arial" w:hAnsi="Arial" w:cs="Arial"/>
          <w:sz w:val="22"/>
          <w:szCs w:val="22"/>
          <w:lang w:val="en-GB"/>
        </w:rPr>
        <w:t xml:space="preserve"> outlines that on the application of a liquidator, a creditor, a director or a member of a company, or the official receiver, the BVI Court may at any time after the appointment of the liquidator of a </w:t>
      </w:r>
      <w:r w:rsidR="005700FA">
        <w:rPr>
          <w:rFonts w:ascii="Arial" w:hAnsi="Arial" w:cs="Arial"/>
          <w:sz w:val="22"/>
          <w:szCs w:val="22"/>
          <w:lang w:val="en-GB"/>
        </w:rPr>
        <w:t>company</w:t>
      </w:r>
      <w:r>
        <w:rPr>
          <w:rFonts w:ascii="Arial" w:hAnsi="Arial" w:cs="Arial"/>
          <w:sz w:val="22"/>
          <w:szCs w:val="22"/>
          <w:lang w:val="en-GB"/>
        </w:rPr>
        <w:t>, make an order terminating the liquidation if it is just and equitable to do so.</w:t>
      </w:r>
    </w:p>
    <w:p w14:paraId="1585D401" w14:textId="77777777" w:rsidR="0093759E" w:rsidRDefault="0093759E" w:rsidP="008065CE">
      <w:pPr>
        <w:ind w:left="720" w:hanging="720"/>
        <w:jc w:val="both"/>
        <w:rPr>
          <w:rFonts w:ascii="Arial" w:hAnsi="Arial" w:cs="Arial"/>
          <w:sz w:val="22"/>
          <w:szCs w:val="22"/>
          <w:lang w:val="en-GB"/>
        </w:rPr>
      </w:pPr>
    </w:p>
    <w:p w14:paraId="755F0D94" w14:textId="233EE168" w:rsidR="00725942" w:rsidRDefault="00725942" w:rsidP="0093759E">
      <w:pPr>
        <w:jc w:val="both"/>
        <w:rPr>
          <w:rFonts w:ascii="Arial" w:hAnsi="Arial" w:cs="Arial"/>
          <w:sz w:val="22"/>
          <w:szCs w:val="22"/>
          <w:lang w:val="en-GB"/>
        </w:rPr>
      </w:pPr>
      <w:r>
        <w:rPr>
          <w:rFonts w:ascii="Arial" w:hAnsi="Arial" w:cs="Arial"/>
          <w:sz w:val="22"/>
          <w:szCs w:val="22"/>
          <w:lang w:val="en-GB"/>
        </w:rPr>
        <w:t xml:space="preserve">Pursuant to </w:t>
      </w:r>
      <w:r w:rsidR="0096533A">
        <w:rPr>
          <w:rFonts w:ascii="Arial" w:hAnsi="Arial" w:cs="Arial"/>
          <w:sz w:val="22"/>
          <w:szCs w:val="22"/>
          <w:lang w:val="en-GB"/>
        </w:rPr>
        <w:t xml:space="preserve">Section 234(2) of the </w:t>
      </w:r>
      <w:r w:rsidR="00061187">
        <w:rPr>
          <w:rFonts w:ascii="Arial" w:hAnsi="Arial" w:cs="Arial"/>
          <w:sz w:val="22"/>
          <w:szCs w:val="22"/>
          <w:lang w:val="en-GB"/>
        </w:rPr>
        <w:t>I</w:t>
      </w:r>
      <w:r w:rsidR="0096533A">
        <w:rPr>
          <w:rFonts w:ascii="Arial" w:hAnsi="Arial" w:cs="Arial"/>
          <w:sz w:val="22"/>
          <w:szCs w:val="22"/>
          <w:lang w:val="en-GB"/>
        </w:rPr>
        <w:t xml:space="preserve">nsolvency </w:t>
      </w:r>
      <w:r w:rsidR="00061187">
        <w:rPr>
          <w:rFonts w:ascii="Arial" w:hAnsi="Arial" w:cs="Arial"/>
          <w:sz w:val="22"/>
          <w:szCs w:val="22"/>
          <w:lang w:val="en-GB"/>
        </w:rPr>
        <w:t>A</w:t>
      </w:r>
      <w:r w:rsidR="0096533A">
        <w:rPr>
          <w:rFonts w:ascii="Arial" w:hAnsi="Arial" w:cs="Arial"/>
          <w:sz w:val="22"/>
          <w:szCs w:val="22"/>
          <w:lang w:val="en-GB"/>
        </w:rPr>
        <w:t>ct</w:t>
      </w:r>
      <w:r>
        <w:rPr>
          <w:rFonts w:ascii="Arial" w:hAnsi="Arial" w:cs="Arial"/>
          <w:sz w:val="22"/>
          <w:szCs w:val="22"/>
          <w:lang w:val="en-GB"/>
        </w:rPr>
        <w:t xml:space="preserve">, the liquidator is required to prepare his final report as soon as practicable after completing his </w:t>
      </w:r>
      <w:r w:rsidR="00377905">
        <w:rPr>
          <w:rFonts w:ascii="Arial" w:hAnsi="Arial" w:cs="Arial"/>
          <w:sz w:val="22"/>
          <w:szCs w:val="22"/>
          <w:lang w:val="en-GB"/>
        </w:rPr>
        <w:t xml:space="preserve">/ </w:t>
      </w:r>
      <w:r>
        <w:rPr>
          <w:rFonts w:ascii="Arial" w:hAnsi="Arial" w:cs="Arial"/>
          <w:sz w:val="22"/>
          <w:szCs w:val="22"/>
          <w:lang w:val="en-GB"/>
        </w:rPr>
        <w:t xml:space="preserve">her duties.  Such report must be sent to every admitted creditor and every member of the company.  A copy </w:t>
      </w:r>
      <w:r w:rsidR="00377905">
        <w:rPr>
          <w:rFonts w:ascii="Arial" w:hAnsi="Arial" w:cs="Arial"/>
          <w:sz w:val="22"/>
          <w:szCs w:val="22"/>
          <w:lang w:val="en-GB"/>
        </w:rPr>
        <w:t>o</w:t>
      </w:r>
      <w:r>
        <w:rPr>
          <w:rFonts w:ascii="Arial" w:hAnsi="Arial" w:cs="Arial"/>
          <w:sz w:val="22"/>
          <w:szCs w:val="22"/>
          <w:lang w:val="en-GB"/>
        </w:rPr>
        <w:t xml:space="preserve">f the final report must also be filed with </w:t>
      </w:r>
      <w:r w:rsidR="001C56F1">
        <w:rPr>
          <w:rFonts w:ascii="Arial" w:hAnsi="Arial" w:cs="Arial"/>
          <w:sz w:val="22"/>
          <w:szCs w:val="22"/>
          <w:lang w:val="en-GB"/>
        </w:rPr>
        <w:t>the BVI Registrar of Corporate Affairs (“</w:t>
      </w:r>
      <w:r>
        <w:rPr>
          <w:rFonts w:ascii="Arial" w:hAnsi="Arial" w:cs="Arial"/>
          <w:sz w:val="22"/>
          <w:szCs w:val="22"/>
          <w:lang w:val="en-GB"/>
        </w:rPr>
        <w:t>the Registrar</w:t>
      </w:r>
      <w:r w:rsidR="001C56F1">
        <w:rPr>
          <w:rFonts w:ascii="Arial" w:hAnsi="Arial" w:cs="Arial"/>
          <w:sz w:val="22"/>
          <w:szCs w:val="22"/>
          <w:lang w:val="en-GB"/>
        </w:rPr>
        <w:t>”)</w:t>
      </w:r>
      <w:r>
        <w:rPr>
          <w:rFonts w:ascii="Arial" w:hAnsi="Arial" w:cs="Arial"/>
          <w:sz w:val="22"/>
          <w:szCs w:val="22"/>
          <w:lang w:val="en-GB"/>
        </w:rPr>
        <w:t xml:space="preserve">.  The requirements for certain statements to be included in the final report are outlined in section 234(3) of the </w:t>
      </w:r>
      <w:r>
        <w:rPr>
          <w:rFonts w:ascii="Arial" w:hAnsi="Arial" w:cs="Arial"/>
          <w:sz w:val="22"/>
          <w:szCs w:val="22"/>
          <w:lang w:val="en-GB"/>
        </w:rPr>
        <w:lastRenderedPageBreak/>
        <w:t xml:space="preserve">Insolvency Act.  Section 234(4) of the Insolvency Act also allows the liquidator to make an application to the BVI Court to either exempt compliance with section 234(2)(a) </w:t>
      </w:r>
      <w:r w:rsidR="00956341">
        <w:rPr>
          <w:rFonts w:ascii="Arial" w:hAnsi="Arial" w:cs="Arial"/>
          <w:sz w:val="22"/>
          <w:szCs w:val="22"/>
          <w:lang w:val="en-GB"/>
        </w:rPr>
        <w:t xml:space="preserve">Insolvency Act </w:t>
      </w:r>
      <w:r>
        <w:rPr>
          <w:rFonts w:ascii="Arial" w:hAnsi="Arial" w:cs="Arial"/>
          <w:sz w:val="22"/>
          <w:szCs w:val="22"/>
          <w:lang w:val="en-GB"/>
        </w:rPr>
        <w:t xml:space="preserve">or modify the application of </w:t>
      </w:r>
      <w:r w:rsidR="00956341">
        <w:rPr>
          <w:rFonts w:ascii="Arial" w:hAnsi="Arial" w:cs="Arial"/>
          <w:sz w:val="22"/>
          <w:szCs w:val="22"/>
          <w:lang w:val="en-GB"/>
        </w:rPr>
        <w:t>section 234(2) of the Insolvency Act.</w:t>
      </w:r>
    </w:p>
    <w:p w14:paraId="2E25D71C" w14:textId="77777777" w:rsidR="00725942" w:rsidRDefault="00725942" w:rsidP="0093759E">
      <w:pPr>
        <w:jc w:val="both"/>
        <w:rPr>
          <w:rFonts w:ascii="Arial" w:hAnsi="Arial" w:cs="Arial"/>
          <w:sz w:val="22"/>
          <w:szCs w:val="22"/>
          <w:lang w:val="en-GB"/>
        </w:rPr>
      </w:pPr>
    </w:p>
    <w:p w14:paraId="7FDFB366" w14:textId="3897D54D" w:rsidR="0093759E" w:rsidRDefault="00956341" w:rsidP="0093759E">
      <w:pPr>
        <w:jc w:val="both"/>
        <w:rPr>
          <w:rFonts w:ascii="Arial" w:hAnsi="Arial" w:cs="Arial"/>
          <w:sz w:val="22"/>
          <w:szCs w:val="22"/>
          <w:lang w:val="en-GB"/>
        </w:rPr>
      </w:pPr>
      <w:r>
        <w:rPr>
          <w:rFonts w:ascii="Arial" w:hAnsi="Arial" w:cs="Arial"/>
          <w:sz w:val="22"/>
          <w:szCs w:val="22"/>
          <w:lang w:val="en-GB"/>
        </w:rPr>
        <w:t xml:space="preserve">Finally, section 235 of the Insolvency Act relates to release of a liquidator.  A liquidator can apply for their release when their appointment ends.  The effect of a release is that the liquidator is discharged from all liability in respect of any act or default in relation to </w:t>
      </w:r>
      <w:r w:rsidR="00CD4C65">
        <w:rPr>
          <w:rFonts w:ascii="Arial" w:hAnsi="Arial" w:cs="Arial"/>
          <w:sz w:val="22"/>
          <w:szCs w:val="22"/>
          <w:lang w:val="en-GB"/>
        </w:rPr>
        <w:t>their administration of the Company.  Notwithstanding a release under section 235 of the Insolvency Act, the Court can still make an order under section 254 of the Insolvency Act, s</w:t>
      </w:r>
      <w:r w:rsidR="00CD4C65" w:rsidRPr="00CD4C65">
        <w:rPr>
          <w:rFonts w:ascii="Arial" w:hAnsi="Arial" w:cs="Arial"/>
          <w:sz w:val="22"/>
          <w:szCs w:val="22"/>
          <w:lang w:val="en-GB"/>
        </w:rPr>
        <w:t>ummary remedy against delinquent officers and others</w:t>
      </w:r>
      <w:r w:rsidR="00CD4C65">
        <w:rPr>
          <w:rFonts w:ascii="Arial" w:hAnsi="Arial" w:cs="Arial"/>
          <w:sz w:val="22"/>
          <w:szCs w:val="22"/>
          <w:lang w:val="en-GB"/>
        </w:rPr>
        <w:t>, against the liquidator.</w:t>
      </w:r>
    </w:p>
    <w:p w14:paraId="38403815" w14:textId="77777777" w:rsidR="0096533A" w:rsidRPr="008065CE" w:rsidRDefault="0096533A"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77777777" w:rsidR="00DF75F8" w:rsidRPr="008065CE" w:rsidRDefault="00DF75F8" w:rsidP="008065CE">
      <w:pPr>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E8766F5" w14:textId="33DEB620" w:rsidR="00962045" w:rsidRDefault="00962045" w:rsidP="008065CE">
      <w:pPr>
        <w:jc w:val="both"/>
        <w:rPr>
          <w:rFonts w:ascii="Arial" w:hAnsi="Arial" w:cs="Arial"/>
          <w:sz w:val="22"/>
          <w:szCs w:val="22"/>
          <w:shd w:val="clear" w:color="auto" w:fill="FFFFFF"/>
          <w:lang w:val="en-GB"/>
        </w:rPr>
      </w:pPr>
    </w:p>
    <w:p w14:paraId="01FDCA96" w14:textId="2F709E01" w:rsidR="00576F61" w:rsidRDefault="00CB3BE2" w:rsidP="008065CE">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Section 483 of the Insolvency Act allows an individual resident outside of the BVI to be appointed to act as an insolvency practitioner and sets out detailed requirements for the overseas insolvency practitioner to be appointed.</w:t>
      </w:r>
      <w:r w:rsidR="00646EAA">
        <w:rPr>
          <w:rFonts w:ascii="Arial" w:hAnsi="Arial" w:cs="Arial"/>
          <w:sz w:val="22"/>
          <w:szCs w:val="22"/>
          <w:shd w:val="clear" w:color="auto" w:fill="FFFFFF"/>
          <w:lang w:val="en-GB"/>
        </w:rPr>
        <w:t xml:space="preserve">  The overseas insolvency practitioner must be appointed jointly with a BVI licences insolvency practitioner.</w:t>
      </w:r>
    </w:p>
    <w:p w14:paraId="0E6A64A2" w14:textId="22A34D48" w:rsidR="00646EAA" w:rsidRDefault="00646EAA" w:rsidP="008065CE">
      <w:pPr>
        <w:jc w:val="both"/>
        <w:rPr>
          <w:rFonts w:ascii="Arial" w:hAnsi="Arial" w:cs="Arial"/>
          <w:sz w:val="22"/>
          <w:szCs w:val="22"/>
          <w:shd w:val="clear" w:color="auto" w:fill="FFFFFF"/>
          <w:lang w:val="en-GB"/>
        </w:rPr>
      </w:pPr>
    </w:p>
    <w:p w14:paraId="6DD87FFF" w14:textId="18E58C54" w:rsidR="00646EAA" w:rsidRDefault="00646EAA" w:rsidP="008065CE">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Section 483 of the Insolvency Act also outlines that where an overseas insolvency practitioner is appointed by the BVI Court, the BVI Court or the person appointing the overseas insolvency practitioner must be satisfied that:</w:t>
      </w:r>
    </w:p>
    <w:p w14:paraId="39451EA6" w14:textId="2BB59F9F" w:rsidR="00646EAA" w:rsidRDefault="00646EAA" w:rsidP="008065CE">
      <w:pPr>
        <w:jc w:val="both"/>
        <w:rPr>
          <w:rFonts w:ascii="Arial" w:hAnsi="Arial" w:cs="Arial"/>
          <w:sz w:val="22"/>
          <w:szCs w:val="22"/>
          <w:shd w:val="clear" w:color="auto" w:fill="FFFFFF"/>
          <w:lang w:val="en-GB"/>
        </w:rPr>
      </w:pPr>
    </w:p>
    <w:p w14:paraId="71B95E04" w14:textId="7F00D2AA" w:rsidR="00646EAA" w:rsidRDefault="00646EAA" w:rsidP="00646EAA">
      <w:pPr>
        <w:pStyle w:val="ListParagraph"/>
        <w:numPr>
          <w:ilvl w:val="0"/>
          <w:numId w:val="27"/>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overseas insolvency practitioner has sufficient qualifications and experience to act in the insolvency proceeding</w:t>
      </w:r>
      <w:r w:rsidR="001C56F1">
        <w:rPr>
          <w:rFonts w:ascii="Arial" w:hAnsi="Arial" w:cs="Arial"/>
          <w:sz w:val="22"/>
          <w:szCs w:val="22"/>
          <w:shd w:val="clear" w:color="auto" w:fill="FFFFFF"/>
          <w:lang w:val="en-GB"/>
        </w:rPr>
        <w:t xml:space="preserve"> in respect of which the appointment is made;</w:t>
      </w:r>
    </w:p>
    <w:p w14:paraId="5D9EBDF7" w14:textId="7D9F1D79" w:rsidR="001C56F1" w:rsidRDefault="001C56F1" w:rsidP="00646EAA">
      <w:pPr>
        <w:pStyle w:val="ListParagraph"/>
        <w:numPr>
          <w:ilvl w:val="0"/>
          <w:numId w:val="27"/>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overseas insolvency practitioner has given written consent in the prescribed form;</w:t>
      </w:r>
    </w:p>
    <w:p w14:paraId="5C3AB4F9" w14:textId="67E0E7A5" w:rsidR="001C56F1" w:rsidRDefault="001C56F1" w:rsidP="00646EAA">
      <w:pPr>
        <w:pStyle w:val="ListParagraph"/>
        <w:numPr>
          <w:ilvl w:val="0"/>
          <w:numId w:val="27"/>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overseas insolvency practitioner is not disqualified from holding a licence under section 477;</w:t>
      </w:r>
    </w:p>
    <w:p w14:paraId="48C72F85" w14:textId="33A29051" w:rsidR="001C56F1" w:rsidRDefault="001C56F1" w:rsidP="00646EAA">
      <w:pPr>
        <w:pStyle w:val="ListParagraph"/>
        <w:numPr>
          <w:ilvl w:val="0"/>
          <w:numId w:val="27"/>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overseas insolvency practitioner is not disqualified from acting in the case of a company or a foreign company; and</w:t>
      </w:r>
    </w:p>
    <w:p w14:paraId="7E874325" w14:textId="4A661377" w:rsidR="001C56F1" w:rsidRPr="00646EAA" w:rsidRDefault="001C56F1" w:rsidP="00646EAA">
      <w:pPr>
        <w:pStyle w:val="ListParagraph"/>
        <w:numPr>
          <w:ilvl w:val="0"/>
          <w:numId w:val="27"/>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there is in force such security for the proper performance of the overseas insolvency practitioner functions as may be specified in the Regulations</w:t>
      </w:r>
      <w:r w:rsidR="00CB3FE0">
        <w:rPr>
          <w:rFonts w:ascii="Arial" w:hAnsi="Arial" w:cs="Arial"/>
          <w:sz w:val="22"/>
          <w:szCs w:val="22"/>
          <w:shd w:val="clear" w:color="auto" w:fill="FFFFFF"/>
          <w:lang w:val="en-GB"/>
        </w:rPr>
        <w:t>.</w:t>
      </w:r>
    </w:p>
    <w:p w14:paraId="0A2C97CB" w14:textId="6BC80D67" w:rsidR="00CB3BE2" w:rsidRDefault="00CB3BE2" w:rsidP="008065CE">
      <w:pPr>
        <w:jc w:val="both"/>
        <w:rPr>
          <w:rFonts w:ascii="Arial" w:hAnsi="Arial" w:cs="Arial"/>
          <w:sz w:val="22"/>
          <w:szCs w:val="22"/>
          <w:shd w:val="clear" w:color="auto" w:fill="FFFFFF"/>
          <w:lang w:val="en-GB"/>
        </w:rPr>
      </w:pPr>
    </w:p>
    <w:p w14:paraId="74B70D45" w14:textId="556B70FC" w:rsidR="00CB3BE2" w:rsidRDefault="00CB3FE0" w:rsidP="008065CE">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A creditor might consider appointing an overseas insolvency practitioner in circumstances where a company has substantial assets outside of the BVI.  The appointment of an overseas insolvency practitioner in the jurisdiction where a company has significant assets may be helpful in managing the assets and reducing costs </w:t>
      </w:r>
      <w:r w:rsidR="0086686E">
        <w:rPr>
          <w:rFonts w:ascii="Arial" w:hAnsi="Arial" w:cs="Arial"/>
          <w:sz w:val="22"/>
          <w:szCs w:val="22"/>
          <w:shd w:val="clear" w:color="auto" w:fill="FFFFFF"/>
          <w:lang w:val="en-GB"/>
        </w:rPr>
        <w:t>of travel and acquiring local expertise.  This is particularly helpful in long-running liquidations which involve multiple disputes in different jurisdictions.</w:t>
      </w:r>
    </w:p>
    <w:p w14:paraId="15DA528F" w14:textId="739DF7B6" w:rsidR="0086686E" w:rsidRDefault="0086686E" w:rsidP="008065CE">
      <w:pPr>
        <w:jc w:val="both"/>
        <w:rPr>
          <w:rFonts w:ascii="Arial" w:hAnsi="Arial" w:cs="Arial"/>
          <w:sz w:val="22"/>
          <w:szCs w:val="22"/>
          <w:shd w:val="clear" w:color="auto" w:fill="FFFFFF"/>
          <w:lang w:val="en-GB"/>
        </w:rPr>
      </w:pPr>
    </w:p>
    <w:p w14:paraId="40F774AB" w14:textId="77777777" w:rsidR="005552AD" w:rsidRDefault="0086686E" w:rsidP="008065CE">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In order to appoint an overseas insolvency practitioner, the overseas insolvency practitioner must meet the requirements set out above pursuant to section 483 of the Insolvency Act.  </w:t>
      </w:r>
      <w:r w:rsidR="005552AD">
        <w:rPr>
          <w:rFonts w:ascii="Arial" w:hAnsi="Arial" w:cs="Arial"/>
          <w:sz w:val="22"/>
          <w:szCs w:val="22"/>
          <w:shd w:val="clear" w:color="auto" w:fill="FFFFFF"/>
          <w:lang w:val="en-GB"/>
        </w:rPr>
        <w:t xml:space="preserve">The liquidator will then make an application to the BVI Court for the appointment of the overseas insolvency practitioner.  </w:t>
      </w:r>
    </w:p>
    <w:p w14:paraId="6C7D1EA2" w14:textId="77777777" w:rsidR="005552AD" w:rsidRDefault="005552AD" w:rsidP="008065CE">
      <w:pPr>
        <w:jc w:val="both"/>
        <w:rPr>
          <w:rFonts w:ascii="Arial" w:hAnsi="Arial" w:cs="Arial"/>
          <w:sz w:val="22"/>
          <w:szCs w:val="22"/>
          <w:shd w:val="clear" w:color="auto" w:fill="FFFFFF"/>
          <w:lang w:val="en-GB"/>
        </w:rPr>
      </w:pPr>
    </w:p>
    <w:p w14:paraId="0E34F110" w14:textId="70439A23" w:rsidR="0086686E" w:rsidRDefault="0086686E" w:rsidP="008065CE">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lastRenderedPageBreak/>
        <w:t>Prior written notice must also be provided to the Financial Services Commission (“</w:t>
      </w:r>
      <w:r w:rsidRPr="0086686E">
        <w:rPr>
          <w:rFonts w:ascii="Arial" w:hAnsi="Arial" w:cs="Arial"/>
          <w:sz w:val="22"/>
          <w:szCs w:val="22"/>
          <w:shd w:val="clear" w:color="auto" w:fill="FFFFFF"/>
          <w:lang w:val="en-GB"/>
        </w:rPr>
        <w:t>FSC</w:t>
      </w:r>
      <w:r>
        <w:rPr>
          <w:rFonts w:ascii="Arial" w:hAnsi="Arial" w:cs="Arial"/>
          <w:sz w:val="22"/>
          <w:szCs w:val="22"/>
          <w:shd w:val="clear" w:color="auto" w:fill="FFFFFF"/>
          <w:lang w:val="en-GB"/>
        </w:rPr>
        <w:t>”).  Pursuant to section 484 of the Act, the FSC has the power to appear at the hearing for the proposed appointment of the overseas insolvency practitioner and object to the appointment.</w:t>
      </w: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77777777" w:rsidR="00802DB8" w:rsidRPr="008065CE" w:rsidRDefault="00802DB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5FB2E645" w14:textId="0051919F" w:rsidR="00802DB8" w:rsidRDefault="00802DB8" w:rsidP="008065CE">
      <w:pPr>
        <w:jc w:val="both"/>
        <w:rPr>
          <w:rFonts w:ascii="Arial" w:hAnsi="Arial" w:cs="Arial"/>
          <w:sz w:val="22"/>
          <w:szCs w:val="22"/>
          <w:shd w:val="clear" w:color="auto" w:fill="FFFFFF"/>
          <w:lang w:val="en-GB"/>
        </w:rPr>
      </w:pPr>
    </w:p>
    <w:p w14:paraId="544C2BEC" w14:textId="3AB99CAF" w:rsidR="00576F61" w:rsidRDefault="000663F9" w:rsidP="008065CE">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Pursuant to section 211(1) of the Insolvency Act, a secured creditor is able to:</w:t>
      </w:r>
    </w:p>
    <w:p w14:paraId="2B4894CD" w14:textId="1A814BD3" w:rsidR="000663F9" w:rsidRDefault="000663F9" w:rsidP="008065CE">
      <w:pPr>
        <w:jc w:val="both"/>
        <w:rPr>
          <w:rFonts w:ascii="Arial" w:hAnsi="Arial" w:cs="Arial"/>
          <w:sz w:val="22"/>
          <w:szCs w:val="22"/>
          <w:shd w:val="clear" w:color="auto" w:fill="FFFFFF"/>
          <w:lang w:val="en-GB"/>
        </w:rPr>
      </w:pPr>
    </w:p>
    <w:p w14:paraId="6D469ED6" w14:textId="6E8B8853" w:rsidR="000663F9" w:rsidRDefault="000663F9" w:rsidP="000663F9">
      <w:pPr>
        <w:pStyle w:val="ListParagraph"/>
        <w:numPr>
          <w:ilvl w:val="0"/>
          <w:numId w:val="28"/>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value the assets subject to the security interest and claim in the liquidation of a company as an unsecured creditor for the balance of his or her debt; or</w:t>
      </w:r>
    </w:p>
    <w:p w14:paraId="386A53B3" w14:textId="77777777" w:rsidR="00365A5E" w:rsidRDefault="000663F9" w:rsidP="000663F9">
      <w:pPr>
        <w:pStyle w:val="ListParagraph"/>
        <w:numPr>
          <w:ilvl w:val="0"/>
          <w:numId w:val="28"/>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surrender the security interest to the liquidator for the general benefit of creditors and claim in the liquidation as an unsecured creditor for the whole amount of the debt, but a secured creditor is not obliged to do either</w:t>
      </w:r>
      <w:r w:rsidR="00365A5E">
        <w:rPr>
          <w:rFonts w:ascii="Arial" w:hAnsi="Arial" w:cs="Arial"/>
          <w:sz w:val="22"/>
          <w:szCs w:val="22"/>
          <w:shd w:val="clear" w:color="auto" w:fill="FFFFFF"/>
          <w:lang w:val="en-GB"/>
        </w:rPr>
        <w:t>.</w:t>
      </w:r>
    </w:p>
    <w:p w14:paraId="11581A8D" w14:textId="4C17D480" w:rsidR="00365A5E" w:rsidRDefault="00365A5E" w:rsidP="00365A5E">
      <w:pPr>
        <w:jc w:val="both"/>
        <w:rPr>
          <w:rFonts w:ascii="Arial" w:hAnsi="Arial" w:cs="Arial"/>
          <w:sz w:val="22"/>
          <w:szCs w:val="22"/>
          <w:shd w:val="clear" w:color="auto" w:fill="FFFFFF"/>
          <w:lang w:val="en-GB"/>
        </w:rPr>
      </w:pPr>
    </w:p>
    <w:p w14:paraId="494006CB" w14:textId="35B81573" w:rsidR="008A37CC" w:rsidRDefault="008A37CC" w:rsidP="00365A5E">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Section 211(2) of the Insolvency Act provides the protection to the secured creditor to apply to the liquidator at any time to amend the value the secured asset, ensuring the subsequent value of the secured creditors potential unsecured claim.  However, section 211(4) of the Insolvency Act allows the liquidator </w:t>
      </w:r>
      <w:r w:rsidR="00FF46BE">
        <w:rPr>
          <w:rFonts w:ascii="Arial" w:hAnsi="Arial" w:cs="Arial"/>
          <w:sz w:val="22"/>
          <w:szCs w:val="22"/>
          <w:shd w:val="clear" w:color="auto" w:fill="FFFFFF"/>
          <w:lang w:val="en-GB"/>
        </w:rPr>
        <w:t>to require the secured asset to be offered for sale if the liquidator is dissatisfied with the value placed on the secured asset.</w:t>
      </w:r>
    </w:p>
    <w:p w14:paraId="29C8DC46" w14:textId="77777777" w:rsidR="008A37CC" w:rsidRDefault="008A37CC" w:rsidP="00365A5E">
      <w:pPr>
        <w:jc w:val="both"/>
        <w:rPr>
          <w:rFonts w:ascii="Arial" w:hAnsi="Arial" w:cs="Arial"/>
          <w:sz w:val="22"/>
          <w:szCs w:val="22"/>
          <w:shd w:val="clear" w:color="auto" w:fill="FFFFFF"/>
          <w:lang w:val="en-GB"/>
        </w:rPr>
      </w:pPr>
    </w:p>
    <w:p w14:paraId="08EE49A5" w14:textId="6693FCF9" w:rsidR="000663F9" w:rsidRPr="000663F9" w:rsidRDefault="00365A5E" w:rsidP="000663F9">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Pursuant to section 175(2) secured creditors are not strictly classed as creditors or considered as participating in the insolvency process.</w:t>
      </w:r>
      <w:r w:rsidR="008A37CC">
        <w:rPr>
          <w:rFonts w:ascii="Arial" w:hAnsi="Arial" w:cs="Arial"/>
          <w:sz w:val="22"/>
          <w:szCs w:val="22"/>
          <w:shd w:val="clear" w:color="auto" w:fill="FFFFFF"/>
          <w:lang w:val="en-GB"/>
        </w:rPr>
        <w:t xml:space="preserve">  Therefore, there are no timelines for a secured creditor to enforce a secured claim.</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77777777" w:rsidR="001A007A" w:rsidRPr="008065CE" w:rsidRDefault="001A007A" w:rsidP="008065CE">
      <w:pPr>
        <w:autoSpaceDE w:val="0"/>
        <w:autoSpaceDN w:val="0"/>
        <w:adjustRightInd w:val="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5F78024A" w14:textId="161DF319" w:rsidR="00A10AFA" w:rsidRDefault="00A10AFA" w:rsidP="008065CE">
      <w:pPr>
        <w:jc w:val="both"/>
        <w:rPr>
          <w:rFonts w:ascii="Arial" w:hAnsi="Arial" w:cs="Arial"/>
          <w:sz w:val="22"/>
          <w:szCs w:val="22"/>
          <w:lang w:val="en-GB"/>
        </w:rPr>
      </w:pPr>
    </w:p>
    <w:p w14:paraId="0CD8F43A" w14:textId="2C6964AD" w:rsidR="00D866DB" w:rsidRDefault="00D866DB" w:rsidP="008065CE">
      <w:pPr>
        <w:jc w:val="both"/>
        <w:rPr>
          <w:rFonts w:ascii="Arial" w:hAnsi="Arial" w:cs="Arial"/>
          <w:sz w:val="22"/>
          <w:szCs w:val="22"/>
          <w:lang w:val="en-GB"/>
        </w:rPr>
      </w:pPr>
      <w:r>
        <w:rPr>
          <w:rFonts w:ascii="Arial" w:hAnsi="Arial" w:cs="Arial"/>
          <w:sz w:val="22"/>
          <w:szCs w:val="22"/>
          <w:lang w:val="en-GB"/>
        </w:rPr>
        <w:t>From a practical standpoint, the enforcement of a foreign judgement in the BVI is only effective to the extent that the Expat Properties Limited (“Expat”) has assets in the BVI, against which Pinforth Holdings Limited (“Pinforth”) can enforce the judgement.  Pinforth have identified that Expat have significant assets in the BVI.</w:t>
      </w:r>
      <w:r w:rsidR="00464A51">
        <w:rPr>
          <w:rFonts w:ascii="Arial" w:hAnsi="Arial" w:cs="Arial"/>
          <w:sz w:val="22"/>
          <w:szCs w:val="22"/>
          <w:lang w:val="en-GB"/>
        </w:rPr>
        <w:t xml:space="preserve">  </w:t>
      </w:r>
      <w:r>
        <w:rPr>
          <w:rFonts w:ascii="Arial" w:hAnsi="Arial" w:cs="Arial"/>
          <w:sz w:val="22"/>
          <w:szCs w:val="22"/>
          <w:lang w:val="en-GB"/>
        </w:rPr>
        <w:t xml:space="preserve">Therefore, </w:t>
      </w:r>
      <w:r w:rsidR="00464A51">
        <w:rPr>
          <w:rFonts w:ascii="Arial" w:hAnsi="Arial" w:cs="Arial"/>
          <w:sz w:val="22"/>
          <w:szCs w:val="22"/>
          <w:lang w:val="en-GB"/>
        </w:rPr>
        <w:t>it is worthwhile for Pinforth to consider enforcement of their foreign judgement debt in the BVI.</w:t>
      </w:r>
    </w:p>
    <w:p w14:paraId="6247FCB7" w14:textId="7EB6D756" w:rsidR="00464A51" w:rsidRDefault="00464A51" w:rsidP="008065CE">
      <w:pPr>
        <w:jc w:val="both"/>
        <w:rPr>
          <w:rFonts w:ascii="Arial" w:hAnsi="Arial" w:cs="Arial"/>
          <w:sz w:val="22"/>
          <w:szCs w:val="22"/>
          <w:lang w:val="en-GB"/>
        </w:rPr>
      </w:pPr>
    </w:p>
    <w:p w14:paraId="0D0EDC4E" w14:textId="06D89B27" w:rsidR="0005251F" w:rsidRDefault="00464A51" w:rsidP="008065CE">
      <w:pPr>
        <w:jc w:val="both"/>
        <w:rPr>
          <w:rFonts w:ascii="Arial" w:hAnsi="Arial" w:cs="Arial"/>
          <w:sz w:val="22"/>
          <w:szCs w:val="22"/>
          <w:lang w:val="en-GB"/>
        </w:rPr>
      </w:pPr>
      <w:r>
        <w:rPr>
          <w:rFonts w:ascii="Arial" w:hAnsi="Arial" w:cs="Arial"/>
          <w:sz w:val="22"/>
          <w:szCs w:val="22"/>
          <w:lang w:val="en-GB"/>
        </w:rPr>
        <w:t>Under section 2(1) of the Reciprocal Enforcement Judgements Act (1922) (“the 1992 Act”) the word ‘judgement’ is defined as</w:t>
      </w:r>
      <w:r w:rsidR="00EA45E0">
        <w:rPr>
          <w:rFonts w:ascii="Arial" w:hAnsi="Arial" w:cs="Arial"/>
          <w:sz w:val="22"/>
          <w:szCs w:val="22"/>
          <w:lang w:val="en-GB"/>
        </w:rPr>
        <w:t xml:space="preserve"> any judgement or order </w:t>
      </w:r>
      <w:r w:rsidR="00E038BD">
        <w:rPr>
          <w:rFonts w:ascii="Arial" w:hAnsi="Arial" w:cs="Arial"/>
          <w:sz w:val="22"/>
          <w:szCs w:val="22"/>
          <w:lang w:val="en-GB"/>
        </w:rPr>
        <w:t>g</w:t>
      </w:r>
      <w:r w:rsidR="00EA45E0">
        <w:rPr>
          <w:rFonts w:ascii="Arial" w:hAnsi="Arial" w:cs="Arial"/>
          <w:sz w:val="22"/>
          <w:szCs w:val="22"/>
          <w:lang w:val="en-GB"/>
        </w:rPr>
        <w:t xml:space="preserve">iven or made by a court in any </w:t>
      </w:r>
      <w:r w:rsidR="00E038BD">
        <w:rPr>
          <w:rFonts w:ascii="Arial" w:hAnsi="Arial" w:cs="Arial"/>
          <w:sz w:val="22"/>
          <w:szCs w:val="22"/>
          <w:lang w:val="en-GB"/>
        </w:rPr>
        <w:t xml:space="preserve">civil proceedings, where before or after the passing of the 1992 Act, whereby any sum of money is payable.  The judgement debt awarded to Pinfold </w:t>
      </w:r>
      <w:r w:rsidR="0005251F">
        <w:rPr>
          <w:rFonts w:ascii="Arial" w:hAnsi="Arial" w:cs="Arial"/>
          <w:sz w:val="22"/>
          <w:szCs w:val="22"/>
          <w:lang w:val="en-GB"/>
        </w:rPr>
        <w:t xml:space="preserve">(“the Judgement”) </w:t>
      </w:r>
      <w:r w:rsidR="00E038BD">
        <w:rPr>
          <w:rFonts w:ascii="Arial" w:hAnsi="Arial" w:cs="Arial"/>
          <w:sz w:val="22"/>
          <w:szCs w:val="22"/>
          <w:lang w:val="en-GB"/>
        </w:rPr>
        <w:t>meets the definition of a judgement pursuant to the 1992 Act</w:t>
      </w:r>
      <w:r w:rsidR="00807D61">
        <w:rPr>
          <w:rFonts w:ascii="Arial" w:hAnsi="Arial" w:cs="Arial"/>
          <w:sz w:val="22"/>
          <w:szCs w:val="22"/>
          <w:lang w:val="en-GB"/>
        </w:rPr>
        <w:t xml:space="preserve"> as it is for the conclusive amount of US$4,500,000</w:t>
      </w:r>
      <w:r w:rsidR="00E038BD">
        <w:rPr>
          <w:rFonts w:ascii="Arial" w:hAnsi="Arial" w:cs="Arial"/>
          <w:sz w:val="22"/>
          <w:szCs w:val="22"/>
          <w:lang w:val="en-GB"/>
        </w:rPr>
        <w:t>.</w:t>
      </w:r>
      <w:r w:rsidR="0005251F">
        <w:rPr>
          <w:rFonts w:ascii="Arial" w:hAnsi="Arial" w:cs="Arial"/>
          <w:sz w:val="22"/>
          <w:szCs w:val="22"/>
          <w:lang w:val="en-GB"/>
        </w:rPr>
        <w:t xml:space="preserve">  The </w:t>
      </w:r>
      <w:r w:rsidR="0005251F">
        <w:rPr>
          <w:rFonts w:ascii="Arial" w:hAnsi="Arial" w:cs="Arial"/>
          <w:sz w:val="22"/>
          <w:szCs w:val="22"/>
          <w:lang w:val="en-GB"/>
        </w:rPr>
        <w:lastRenderedPageBreak/>
        <w:t xml:space="preserve">Judgement also meets the requirement set out in section 3(1) of the 1992 Act </w:t>
      </w:r>
      <w:r w:rsidR="00492BA3">
        <w:rPr>
          <w:rFonts w:ascii="Arial" w:hAnsi="Arial" w:cs="Arial"/>
          <w:sz w:val="22"/>
          <w:szCs w:val="22"/>
          <w:lang w:val="en-GB"/>
        </w:rPr>
        <w:t xml:space="preserve">in </w:t>
      </w:r>
      <w:r w:rsidR="0005251F">
        <w:rPr>
          <w:rFonts w:ascii="Arial" w:hAnsi="Arial" w:cs="Arial"/>
          <w:sz w:val="22"/>
          <w:szCs w:val="22"/>
          <w:lang w:val="en-GB"/>
        </w:rPr>
        <w:t>that it was given in the High Court of England Wales and Northern Ireland.</w:t>
      </w:r>
    </w:p>
    <w:p w14:paraId="075EFAED" w14:textId="61CCFD35" w:rsidR="0005251F" w:rsidRDefault="0005251F" w:rsidP="008065CE">
      <w:pPr>
        <w:jc w:val="both"/>
        <w:rPr>
          <w:rFonts w:ascii="Arial" w:hAnsi="Arial" w:cs="Arial"/>
          <w:sz w:val="22"/>
          <w:szCs w:val="22"/>
          <w:lang w:val="en-GB"/>
        </w:rPr>
      </w:pPr>
    </w:p>
    <w:p w14:paraId="6184D310" w14:textId="1D125EE6" w:rsidR="00492BA3" w:rsidRDefault="00492BA3" w:rsidP="009D048A">
      <w:pPr>
        <w:jc w:val="both"/>
        <w:rPr>
          <w:rFonts w:ascii="Arial" w:hAnsi="Arial" w:cs="Arial"/>
          <w:sz w:val="22"/>
          <w:szCs w:val="22"/>
          <w:lang w:val="en-GB"/>
        </w:rPr>
      </w:pPr>
      <w:r>
        <w:rPr>
          <w:rFonts w:ascii="Arial" w:hAnsi="Arial" w:cs="Arial"/>
          <w:sz w:val="22"/>
          <w:szCs w:val="22"/>
          <w:lang w:val="en-GB"/>
        </w:rPr>
        <w:t xml:space="preserve">Should Pinforth choose to register the judgement in the BVI, Pinforth will have to apply to the BVI Court under </w:t>
      </w:r>
      <w:r w:rsidR="00711E9D">
        <w:rPr>
          <w:rFonts w:ascii="Arial" w:hAnsi="Arial" w:cs="Arial"/>
          <w:sz w:val="22"/>
          <w:szCs w:val="22"/>
          <w:lang w:val="en-GB"/>
        </w:rPr>
        <w:t xml:space="preserve">the ECSC Civil Procedure Rules 2000 </w:t>
      </w:r>
      <w:r>
        <w:rPr>
          <w:rFonts w:ascii="Arial" w:hAnsi="Arial" w:cs="Arial"/>
          <w:sz w:val="22"/>
          <w:szCs w:val="22"/>
          <w:lang w:val="en-GB"/>
        </w:rPr>
        <w:t>(“</w:t>
      </w:r>
      <w:r w:rsidRPr="00711E9D">
        <w:rPr>
          <w:rFonts w:ascii="Arial" w:hAnsi="Arial" w:cs="Arial"/>
          <w:sz w:val="22"/>
          <w:szCs w:val="22"/>
          <w:lang w:val="en-GB"/>
        </w:rPr>
        <w:t>CPR</w:t>
      </w:r>
      <w:r>
        <w:rPr>
          <w:rFonts w:ascii="Arial" w:hAnsi="Arial" w:cs="Arial"/>
          <w:sz w:val="22"/>
          <w:szCs w:val="22"/>
          <w:lang w:val="en-GB"/>
        </w:rPr>
        <w:t xml:space="preserve">”) Part 72.  The application by Pinforth must contain certain prescribed information </w:t>
      </w:r>
      <w:r w:rsidR="009D048A">
        <w:rPr>
          <w:rFonts w:ascii="Arial" w:hAnsi="Arial" w:cs="Arial"/>
          <w:sz w:val="22"/>
          <w:szCs w:val="22"/>
          <w:lang w:val="en-GB"/>
        </w:rPr>
        <w:t>and exhibit duly authenticated copy of the judgement and details of any interest that has become due under the law of England.  The application by Pinforth may be made without providing notice to Expat.</w:t>
      </w:r>
    </w:p>
    <w:p w14:paraId="3B515FD9" w14:textId="3BD6E38B" w:rsidR="00D12CC6" w:rsidRDefault="00D12CC6" w:rsidP="009D048A">
      <w:pPr>
        <w:jc w:val="both"/>
        <w:rPr>
          <w:rFonts w:ascii="Arial" w:hAnsi="Arial" w:cs="Arial"/>
          <w:sz w:val="22"/>
          <w:szCs w:val="22"/>
          <w:lang w:val="en-GB"/>
        </w:rPr>
      </w:pPr>
    </w:p>
    <w:p w14:paraId="3DE431EC" w14:textId="3D1BCB5B" w:rsidR="00D12CC6" w:rsidRDefault="00D12CC6" w:rsidP="009D048A">
      <w:pPr>
        <w:jc w:val="both"/>
        <w:rPr>
          <w:rFonts w:ascii="Arial" w:hAnsi="Arial" w:cs="Arial"/>
          <w:sz w:val="22"/>
          <w:szCs w:val="22"/>
          <w:lang w:val="en-GB"/>
        </w:rPr>
      </w:pPr>
      <w:r>
        <w:rPr>
          <w:rFonts w:ascii="Arial" w:hAnsi="Arial" w:cs="Arial"/>
          <w:sz w:val="22"/>
          <w:szCs w:val="22"/>
          <w:lang w:val="en-GB"/>
        </w:rPr>
        <w:t>Section 3(2) of the 1992 Act outlines the events in which the BVI Court will not order a judgement to be registered</w:t>
      </w:r>
      <w:r w:rsidR="007D6E2A">
        <w:rPr>
          <w:rFonts w:ascii="Arial" w:hAnsi="Arial" w:cs="Arial"/>
          <w:sz w:val="22"/>
          <w:szCs w:val="22"/>
          <w:lang w:val="en-GB"/>
        </w:rPr>
        <w:t>.  In the scenario of Pinforth and Expat, the BVI Court will not order the judgement to be registered if:</w:t>
      </w:r>
    </w:p>
    <w:p w14:paraId="1BFF7421" w14:textId="3216DE98" w:rsidR="00D12CC6" w:rsidRDefault="00D12CC6" w:rsidP="009D048A">
      <w:pPr>
        <w:jc w:val="both"/>
        <w:rPr>
          <w:rFonts w:ascii="Arial" w:hAnsi="Arial" w:cs="Arial"/>
          <w:sz w:val="22"/>
          <w:szCs w:val="22"/>
          <w:lang w:val="en-GB"/>
        </w:rPr>
      </w:pPr>
    </w:p>
    <w:p w14:paraId="3266476F" w14:textId="473618DE" w:rsidR="00D12CC6" w:rsidRDefault="007D6E2A" w:rsidP="00D12CC6">
      <w:pPr>
        <w:pStyle w:val="ListParagraph"/>
        <w:numPr>
          <w:ilvl w:val="0"/>
          <w:numId w:val="31"/>
        </w:numPr>
        <w:jc w:val="both"/>
        <w:rPr>
          <w:rFonts w:ascii="Arial" w:hAnsi="Arial" w:cs="Arial"/>
          <w:sz w:val="22"/>
          <w:szCs w:val="22"/>
          <w:lang w:val="en-GB"/>
        </w:rPr>
      </w:pPr>
      <w:r>
        <w:rPr>
          <w:rFonts w:ascii="Arial" w:hAnsi="Arial" w:cs="Arial"/>
          <w:sz w:val="22"/>
          <w:szCs w:val="22"/>
          <w:lang w:val="en-GB"/>
        </w:rPr>
        <w:t xml:space="preserve">the High </w:t>
      </w:r>
      <w:r w:rsidR="007C6BDD">
        <w:rPr>
          <w:rFonts w:ascii="Arial" w:hAnsi="Arial" w:cs="Arial"/>
          <w:sz w:val="22"/>
          <w:szCs w:val="22"/>
          <w:lang w:val="en-GB"/>
        </w:rPr>
        <w:t>C</w:t>
      </w:r>
      <w:r>
        <w:rPr>
          <w:rFonts w:ascii="Arial" w:hAnsi="Arial" w:cs="Arial"/>
          <w:sz w:val="22"/>
          <w:szCs w:val="22"/>
          <w:lang w:val="en-GB"/>
        </w:rPr>
        <w:t>ourt of England Wales and Northern Ireland acted without jurisdiction;</w:t>
      </w:r>
    </w:p>
    <w:p w14:paraId="18F3F0A2" w14:textId="4B86BE6D" w:rsidR="007D6E2A" w:rsidRDefault="007C6BDD" w:rsidP="00D12CC6">
      <w:pPr>
        <w:pStyle w:val="ListParagraph"/>
        <w:numPr>
          <w:ilvl w:val="0"/>
          <w:numId w:val="31"/>
        </w:numPr>
        <w:jc w:val="both"/>
        <w:rPr>
          <w:rFonts w:ascii="Arial" w:hAnsi="Arial" w:cs="Arial"/>
          <w:sz w:val="22"/>
          <w:szCs w:val="22"/>
          <w:lang w:val="en-GB"/>
        </w:rPr>
      </w:pPr>
      <w:r>
        <w:rPr>
          <w:rFonts w:ascii="Arial" w:hAnsi="Arial" w:cs="Arial"/>
          <w:sz w:val="22"/>
          <w:szCs w:val="22"/>
          <w:lang w:val="en-GB"/>
        </w:rPr>
        <w:t>Expat</w:t>
      </w:r>
      <w:r w:rsidR="007D6E2A">
        <w:rPr>
          <w:rFonts w:ascii="Arial" w:hAnsi="Arial" w:cs="Arial"/>
          <w:sz w:val="22"/>
          <w:szCs w:val="22"/>
          <w:lang w:val="en-GB"/>
        </w:rPr>
        <w:t xml:space="preserve">, being a person who was neither carrying on business nor ordinarily resident within the jurisdiction of the </w:t>
      </w:r>
      <w:r>
        <w:rPr>
          <w:rFonts w:ascii="Arial" w:hAnsi="Arial" w:cs="Arial"/>
          <w:sz w:val="22"/>
          <w:szCs w:val="22"/>
          <w:lang w:val="en-GB"/>
        </w:rPr>
        <w:t>High Court of England Wales and Northern Ireland, did not voluntary appear or otherwise submit or agree to submit to the jurisdiction of High Court of England Wales and Northern Ireland;</w:t>
      </w:r>
    </w:p>
    <w:p w14:paraId="0B4436CA" w14:textId="3FF0D118" w:rsidR="007C6BDD" w:rsidRDefault="007C6BDD" w:rsidP="00D12CC6">
      <w:pPr>
        <w:pStyle w:val="ListParagraph"/>
        <w:numPr>
          <w:ilvl w:val="0"/>
          <w:numId w:val="31"/>
        </w:numPr>
        <w:jc w:val="both"/>
        <w:rPr>
          <w:rFonts w:ascii="Arial" w:hAnsi="Arial" w:cs="Arial"/>
          <w:sz w:val="22"/>
          <w:szCs w:val="22"/>
          <w:lang w:val="en-GB"/>
        </w:rPr>
      </w:pPr>
      <w:r>
        <w:rPr>
          <w:rFonts w:ascii="Arial" w:hAnsi="Arial" w:cs="Arial"/>
          <w:sz w:val="22"/>
          <w:szCs w:val="22"/>
          <w:lang w:val="en-GB"/>
        </w:rPr>
        <w:t>Expat was not duly served with the process of High Court of England Wales and Northern Ireland and did not appear, notwithstanding that Expat is ordinarily resident or carrying on a business within the jurisdiction of the High Court of England Wales and Northern Ireland or agreed to submit to the jurisdiction of High Court of England Wales and Northern Ireland;</w:t>
      </w:r>
    </w:p>
    <w:p w14:paraId="1492633B" w14:textId="7B2F6A48" w:rsidR="007C6BDD" w:rsidRDefault="007C6BDD" w:rsidP="00D12CC6">
      <w:pPr>
        <w:pStyle w:val="ListParagraph"/>
        <w:numPr>
          <w:ilvl w:val="0"/>
          <w:numId w:val="31"/>
        </w:numPr>
        <w:jc w:val="both"/>
        <w:rPr>
          <w:rFonts w:ascii="Arial" w:hAnsi="Arial" w:cs="Arial"/>
          <w:sz w:val="22"/>
          <w:szCs w:val="22"/>
          <w:lang w:val="en-GB"/>
        </w:rPr>
      </w:pPr>
      <w:r>
        <w:rPr>
          <w:rFonts w:ascii="Arial" w:hAnsi="Arial" w:cs="Arial"/>
          <w:sz w:val="22"/>
          <w:szCs w:val="22"/>
          <w:lang w:val="en-GB"/>
        </w:rPr>
        <w:t>The judgement was obtained fraudulently;</w:t>
      </w:r>
    </w:p>
    <w:p w14:paraId="650D33DB" w14:textId="2EBB0BD7" w:rsidR="007C6BDD" w:rsidRDefault="007C6BDD" w:rsidP="00D12CC6">
      <w:pPr>
        <w:pStyle w:val="ListParagraph"/>
        <w:numPr>
          <w:ilvl w:val="0"/>
          <w:numId w:val="31"/>
        </w:numPr>
        <w:jc w:val="both"/>
        <w:rPr>
          <w:rFonts w:ascii="Arial" w:hAnsi="Arial" w:cs="Arial"/>
          <w:sz w:val="22"/>
          <w:szCs w:val="22"/>
          <w:lang w:val="en-GB"/>
        </w:rPr>
      </w:pPr>
      <w:r>
        <w:rPr>
          <w:rFonts w:ascii="Arial" w:hAnsi="Arial" w:cs="Arial"/>
          <w:sz w:val="22"/>
          <w:szCs w:val="22"/>
          <w:lang w:val="en-GB"/>
        </w:rPr>
        <w:t>Expat satisfied the BVI Court that an appeal is pending or that Expat is entitled to or intends to appeal; or</w:t>
      </w:r>
    </w:p>
    <w:p w14:paraId="58C1FBAA" w14:textId="1173F8CE" w:rsidR="007C6BDD" w:rsidRDefault="007C6BDD" w:rsidP="00D12CC6">
      <w:pPr>
        <w:pStyle w:val="ListParagraph"/>
        <w:numPr>
          <w:ilvl w:val="0"/>
          <w:numId w:val="31"/>
        </w:numPr>
        <w:jc w:val="both"/>
        <w:rPr>
          <w:rFonts w:ascii="Arial" w:hAnsi="Arial" w:cs="Arial"/>
          <w:sz w:val="22"/>
          <w:szCs w:val="22"/>
          <w:lang w:val="en-GB"/>
        </w:rPr>
      </w:pPr>
      <w:r>
        <w:rPr>
          <w:rFonts w:ascii="Arial" w:hAnsi="Arial" w:cs="Arial"/>
          <w:sz w:val="22"/>
          <w:szCs w:val="22"/>
          <w:lang w:val="en-GB"/>
        </w:rPr>
        <w:t>The judgement related to a cause of action which for reasons of public policy could not have been entertained by the BVI Court.</w:t>
      </w:r>
    </w:p>
    <w:p w14:paraId="55979C89" w14:textId="7E494B6E" w:rsidR="00D12CC6" w:rsidRDefault="00D12CC6" w:rsidP="00D12CC6">
      <w:pPr>
        <w:jc w:val="both"/>
        <w:rPr>
          <w:rFonts w:ascii="Arial" w:hAnsi="Arial" w:cs="Arial"/>
          <w:sz w:val="22"/>
          <w:szCs w:val="22"/>
          <w:lang w:val="en-GB"/>
        </w:rPr>
      </w:pPr>
    </w:p>
    <w:p w14:paraId="5CDFB4A5" w14:textId="2DB41339" w:rsidR="00D12CC6" w:rsidRPr="00D12CC6" w:rsidRDefault="00D12CC6" w:rsidP="00D12CC6">
      <w:pPr>
        <w:jc w:val="both"/>
        <w:rPr>
          <w:rFonts w:ascii="Arial" w:hAnsi="Arial" w:cs="Arial"/>
          <w:sz w:val="22"/>
          <w:szCs w:val="22"/>
          <w:lang w:val="en-GB"/>
        </w:rPr>
      </w:pPr>
      <w:r>
        <w:rPr>
          <w:rFonts w:ascii="Arial" w:hAnsi="Arial" w:cs="Arial"/>
          <w:sz w:val="22"/>
          <w:szCs w:val="22"/>
          <w:lang w:val="en-GB"/>
        </w:rPr>
        <w:t>Based on the facts presented, Pinforth does not meet any of the events under section 3(2) of the 1992 Act.</w:t>
      </w:r>
    </w:p>
    <w:p w14:paraId="5ADBBB29" w14:textId="3AA8015E" w:rsidR="00492BA3" w:rsidRDefault="00492BA3" w:rsidP="008065CE">
      <w:pPr>
        <w:jc w:val="both"/>
        <w:rPr>
          <w:rFonts w:ascii="Arial" w:hAnsi="Arial" w:cs="Arial"/>
          <w:sz w:val="22"/>
          <w:szCs w:val="22"/>
          <w:lang w:val="en-GB"/>
        </w:rPr>
      </w:pPr>
    </w:p>
    <w:p w14:paraId="5A493516" w14:textId="1183EBBC" w:rsidR="00492BA3" w:rsidRDefault="009D048A" w:rsidP="008065CE">
      <w:pPr>
        <w:jc w:val="both"/>
        <w:rPr>
          <w:rFonts w:ascii="Arial" w:hAnsi="Arial" w:cs="Arial"/>
          <w:sz w:val="22"/>
          <w:szCs w:val="22"/>
          <w:lang w:val="en-GB"/>
        </w:rPr>
      </w:pPr>
      <w:r>
        <w:rPr>
          <w:rFonts w:ascii="Arial" w:hAnsi="Arial" w:cs="Arial"/>
          <w:sz w:val="22"/>
          <w:szCs w:val="22"/>
          <w:lang w:val="en-GB"/>
        </w:rPr>
        <w:t xml:space="preserve">If the judgement is duly registered under the 1992 Act, from the date of registration, the judgement </w:t>
      </w:r>
      <w:r w:rsidR="008F000D">
        <w:rPr>
          <w:rFonts w:ascii="Arial" w:hAnsi="Arial" w:cs="Arial"/>
          <w:sz w:val="22"/>
          <w:szCs w:val="22"/>
          <w:lang w:val="en-GB"/>
        </w:rPr>
        <w:t>will be treated as being of the same force and effect as if the judgement had been made in the BVI Court.  All the remedies available under the CPR will be available to Pinforth, including (CPT 45.2):</w:t>
      </w:r>
    </w:p>
    <w:p w14:paraId="0CF75601" w14:textId="07AB1B84" w:rsidR="008F000D" w:rsidRDefault="008F000D" w:rsidP="008065CE">
      <w:pPr>
        <w:jc w:val="both"/>
        <w:rPr>
          <w:rFonts w:ascii="Arial" w:hAnsi="Arial" w:cs="Arial"/>
          <w:sz w:val="22"/>
          <w:szCs w:val="22"/>
          <w:lang w:val="en-GB"/>
        </w:rPr>
      </w:pPr>
    </w:p>
    <w:p w14:paraId="4A4B3E71" w14:textId="5FA1139B" w:rsidR="008F000D" w:rsidRDefault="008F000D" w:rsidP="008F000D">
      <w:pPr>
        <w:pStyle w:val="ListParagraph"/>
        <w:numPr>
          <w:ilvl w:val="0"/>
          <w:numId w:val="30"/>
        </w:numPr>
        <w:jc w:val="both"/>
        <w:rPr>
          <w:rFonts w:ascii="Arial" w:hAnsi="Arial" w:cs="Arial"/>
          <w:sz w:val="22"/>
          <w:szCs w:val="22"/>
          <w:lang w:val="en-GB"/>
        </w:rPr>
      </w:pPr>
      <w:r>
        <w:rPr>
          <w:rFonts w:ascii="Arial" w:hAnsi="Arial" w:cs="Arial"/>
          <w:sz w:val="22"/>
          <w:szCs w:val="22"/>
          <w:lang w:val="en-GB"/>
        </w:rPr>
        <w:t>a charging order;</w:t>
      </w:r>
    </w:p>
    <w:p w14:paraId="417A1A05" w14:textId="41BFB949" w:rsidR="008F000D" w:rsidRDefault="008F000D" w:rsidP="008F000D">
      <w:pPr>
        <w:pStyle w:val="ListParagraph"/>
        <w:numPr>
          <w:ilvl w:val="0"/>
          <w:numId w:val="30"/>
        </w:numPr>
        <w:jc w:val="both"/>
        <w:rPr>
          <w:rFonts w:ascii="Arial" w:hAnsi="Arial" w:cs="Arial"/>
          <w:sz w:val="22"/>
          <w:szCs w:val="22"/>
          <w:lang w:val="en-GB"/>
        </w:rPr>
      </w:pPr>
      <w:r>
        <w:rPr>
          <w:rFonts w:ascii="Arial" w:hAnsi="Arial" w:cs="Arial"/>
          <w:sz w:val="22"/>
          <w:szCs w:val="22"/>
          <w:lang w:val="en-GB"/>
        </w:rPr>
        <w:t>a garnishee order;</w:t>
      </w:r>
    </w:p>
    <w:p w14:paraId="7333FFCE" w14:textId="58EE7B82" w:rsidR="008F000D" w:rsidRDefault="008F000D" w:rsidP="008F000D">
      <w:pPr>
        <w:pStyle w:val="ListParagraph"/>
        <w:numPr>
          <w:ilvl w:val="0"/>
          <w:numId w:val="30"/>
        </w:numPr>
        <w:jc w:val="both"/>
        <w:rPr>
          <w:rFonts w:ascii="Arial" w:hAnsi="Arial" w:cs="Arial"/>
          <w:sz w:val="22"/>
          <w:szCs w:val="22"/>
          <w:lang w:val="en-GB"/>
        </w:rPr>
      </w:pPr>
      <w:r>
        <w:rPr>
          <w:rFonts w:ascii="Arial" w:hAnsi="Arial" w:cs="Arial"/>
          <w:sz w:val="22"/>
          <w:szCs w:val="22"/>
          <w:lang w:val="en-GB"/>
        </w:rPr>
        <w:t>a judgement summons;</w:t>
      </w:r>
    </w:p>
    <w:p w14:paraId="5005167F" w14:textId="16F69C11" w:rsidR="008F000D" w:rsidRDefault="008F000D" w:rsidP="008F000D">
      <w:pPr>
        <w:pStyle w:val="ListParagraph"/>
        <w:numPr>
          <w:ilvl w:val="0"/>
          <w:numId w:val="30"/>
        </w:numPr>
        <w:jc w:val="both"/>
        <w:rPr>
          <w:rFonts w:ascii="Arial" w:hAnsi="Arial" w:cs="Arial"/>
          <w:sz w:val="22"/>
          <w:szCs w:val="22"/>
          <w:lang w:val="en-GB"/>
        </w:rPr>
      </w:pPr>
      <w:r>
        <w:rPr>
          <w:rFonts w:ascii="Arial" w:hAnsi="Arial" w:cs="Arial"/>
          <w:sz w:val="22"/>
          <w:szCs w:val="22"/>
          <w:lang w:val="en-GB"/>
        </w:rPr>
        <w:t>an order for seizure of sale of goods; and</w:t>
      </w:r>
    </w:p>
    <w:p w14:paraId="0DCE0907" w14:textId="4CFD3260" w:rsidR="008F000D" w:rsidRPr="008F000D" w:rsidRDefault="008F000D" w:rsidP="008F000D">
      <w:pPr>
        <w:pStyle w:val="ListParagraph"/>
        <w:numPr>
          <w:ilvl w:val="0"/>
          <w:numId w:val="30"/>
        </w:numPr>
        <w:jc w:val="both"/>
        <w:rPr>
          <w:rFonts w:ascii="Arial" w:hAnsi="Arial" w:cs="Arial"/>
          <w:sz w:val="22"/>
          <w:szCs w:val="22"/>
          <w:lang w:val="en-GB"/>
        </w:rPr>
      </w:pPr>
      <w:r>
        <w:rPr>
          <w:rFonts w:ascii="Arial" w:hAnsi="Arial" w:cs="Arial"/>
          <w:sz w:val="22"/>
          <w:szCs w:val="22"/>
          <w:lang w:val="en-GB"/>
        </w:rPr>
        <w:t>the appointment of a receiver.</w:t>
      </w:r>
    </w:p>
    <w:p w14:paraId="0E1EAC8F" w14:textId="77777777" w:rsidR="00492BA3" w:rsidRDefault="00492BA3" w:rsidP="008065CE">
      <w:pPr>
        <w:jc w:val="both"/>
        <w:rPr>
          <w:rFonts w:ascii="Arial" w:hAnsi="Arial" w:cs="Arial"/>
          <w:sz w:val="22"/>
          <w:szCs w:val="22"/>
          <w:lang w:val="en-GB"/>
        </w:rPr>
      </w:pPr>
    </w:p>
    <w:p w14:paraId="69885144" w14:textId="4D008A3C" w:rsidR="00492BA3" w:rsidRPr="00EB62C6" w:rsidRDefault="00492BA3" w:rsidP="008065CE">
      <w:pPr>
        <w:jc w:val="both"/>
        <w:rPr>
          <w:rFonts w:ascii="Arial" w:hAnsi="Arial" w:cs="Arial"/>
          <w:sz w:val="22"/>
          <w:szCs w:val="22"/>
          <w:lang w:val="en-GB"/>
        </w:rPr>
      </w:pPr>
      <w:r>
        <w:rPr>
          <w:rFonts w:ascii="Arial" w:hAnsi="Arial" w:cs="Arial"/>
          <w:sz w:val="22"/>
          <w:szCs w:val="22"/>
          <w:lang w:val="en-GB"/>
        </w:rPr>
        <w:t>Based on the above</w:t>
      </w:r>
      <w:r w:rsidR="00CD2B27">
        <w:rPr>
          <w:rFonts w:ascii="Arial" w:hAnsi="Arial" w:cs="Arial"/>
          <w:sz w:val="22"/>
          <w:szCs w:val="22"/>
          <w:lang w:val="en-GB"/>
        </w:rPr>
        <w:t xml:space="preserve"> analysis</w:t>
      </w:r>
      <w:r>
        <w:rPr>
          <w:rFonts w:ascii="Arial" w:hAnsi="Arial" w:cs="Arial"/>
          <w:sz w:val="22"/>
          <w:szCs w:val="22"/>
          <w:lang w:val="en-GB"/>
        </w:rPr>
        <w:t>, Pinforth should apply to the BVI Court to enforce the judgement</w:t>
      </w:r>
      <w:r w:rsidR="008F000D">
        <w:rPr>
          <w:rFonts w:ascii="Arial" w:hAnsi="Arial" w:cs="Arial"/>
          <w:sz w:val="22"/>
          <w:szCs w:val="22"/>
          <w:lang w:val="en-GB"/>
        </w:rPr>
        <w:t xml:space="preserve"> and to pursue the assets of Expat located in the BVI</w:t>
      </w:r>
      <w:r>
        <w:rPr>
          <w:rFonts w:ascii="Arial" w:hAnsi="Arial" w:cs="Arial"/>
          <w:sz w:val="22"/>
          <w:szCs w:val="22"/>
          <w:lang w:val="en-GB"/>
        </w:rPr>
        <w:t>.</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w:t>
      </w:r>
      <w:r w:rsidR="00F07A01">
        <w:rPr>
          <w:rFonts w:ascii="Arial" w:hAnsi="Arial" w:cs="Arial"/>
          <w:sz w:val="22"/>
          <w:szCs w:val="22"/>
          <w:lang w:val="en-GB"/>
        </w:rPr>
        <w:lastRenderedPageBreak/>
        <w:t>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77777777" w:rsidR="002D3473" w:rsidRPr="008065CE" w:rsidRDefault="002D3473" w:rsidP="008065CE">
      <w:pPr>
        <w:autoSpaceDE w:val="0"/>
        <w:autoSpaceDN w:val="0"/>
        <w:adjustRightInd w:val="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bookmarkEnd w:id="0"/>
    <w:p w14:paraId="12934F08" w14:textId="75F50D8E" w:rsidR="0077498C" w:rsidRDefault="0077498C" w:rsidP="008065CE">
      <w:pPr>
        <w:jc w:val="both"/>
        <w:rPr>
          <w:rFonts w:ascii="Arial" w:hAnsi="Arial" w:cs="Arial"/>
          <w:color w:val="000000" w:themeColor="text1"/>
          <w:sz w:val="22"/>
          <w:szCs w:val="22"/>
          <w:lang w:val="en-GB"/>
        </w:rPr>
      </w:pPr>
    </w:p>
    <w:p w14:paraId="5515FFBD" w14:textId="6F7B8564" w:rsidR="000A7AFC" w:rsidRDefault="000A7AFC" w:rsidP="008065C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Pursuant to section 446 of the Insolvency Act, Abbeydale as a foreign creditor, has the same rights regarding the commencement of, and participation in, a BVI insolvency proceeding as BVI creditors.</w:t>
      </w:r>
    </w:p>
    <w:p w14:paraId="638F62E0" w14:textId="6E4804C7" w:rsidR="000A7AFC" w:rsidRDefault="000A7AFC" w:rsidP="008065CE">
      <w:pPr>
        <w:jc w:val="both"/>
        <w:rPr>
          <w:rFonts w:ascii="Arial" w:hAnsi="Arial" w:cs="Arial"/>
          <w:color w:val="000000" w:themeColor="text1"/>
          <w:sz w:val="22"/>
          <w:szCs w:val="22"/>
          <w:lang w:val="en-GB"/>
        </w:rPr>
      </w:pPr>
    </w:p>
    <w:p w14:paraId="69EBFC4B" w14:textId="2FD5C716" w:rsidR="00A57D52" w:rsidRDefault="00A57D52" w:rsidP="00A57D5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Because Abbeydale has loaned the money to Debdobcker for purchase of the property located on Necker Island (“the Property”), it is likely that Abbeydale is a secured creditor and has a security interest over the Property.  Security interests are outlined in section 161 to 163 of the BCA.</w:t>
      </w:r>
    </w:p>
    <w:p w14:paraId="374376AD" w14:textId="322CA2F7" w:rsidR="00A57D52" w:rsidRDefault="00A57D52" w:rsidP="00A57D52">
      <w:pPr>
        <w:jc w:val="both"/>
        <w:rPr>
          <w:rFonts w:ascii="Arial" w:hAnsi="Arial" w:cs="Arial"/>
          <w:color w:val="000000" w:themeColor="text1"/>
          <w:sz w:val="22"/>
          <w:szCs w:val="22"/>
          <w:lang w:val="en-GB"/>
        </w:rPr>
      </w:pPr>
    </w:p>
    <w:p w14:paraId="7574A895" w14:textId="33C82372" w:rsidR="00A57D52" w:rsidRDefault="00A57D52" w:rsidP="00A57D5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Generally, the Insolvency Act allows for three broad groups of insolvency proceedings:</w:t>
      </w:r>
    </w:p>
    <w:p w14:paraId="20049A7E" w14:textId="6BA79196" w:rsidR="00A57D52" w:rsidRDefault="00A57D52" w:rsidP="00A57D52">
      <w:pPr>
        <w:jc w:val="both"/>
        <w:rPr>
          <w:rFonts w:ascii="Arial" w:hAnsi="Arial" w:cs="Arial"/>
          <w:color w:val="000000" w:themeColor="text1"/>
          <w:sz w:val="22"/>
          <w:szCs w:val="22"/>
          <w:lang w:val="en-GB"/>
        </w:rPr>
      </w:pPr>
    </w:p>
    <w:p w14:paraId="16892214" w14:textId="5FE53D67" w:rsidR="00A57D52" w:rsidRDefault="00A57D52" w:rsidP="00A57D52">
      <w:pPr>
        <w:pStyle w:val="ListParagraph"/>
        <w:numPr>
          <w:ilvl w:val="0"/>
          <w:numId w:val="3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Corporate Liquidation;</w:t>
      </w:r>
    </w:p>
    <w:p w14:paraId="78717B65" w14:textId="754E4B01" w:rsidR="00A57D52" w:rsidRDefault="00A57D52" w:rsidP="00A57D52">
      <w:pPr>
        <w:pStyle w:val="ListParagraph"/>
        <w:numPr>
          <w:ilvl w:val="0"/>
          <w:numId w:val="3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Receivership; and</w:t>
      </w:r>
    </w:p>
    <w:p w14:paraId="57A0541B" w14:textId="742B07E1" w:rsidR="00A57D52" w:rsidRDefault="00A57D52" w:rsidP="00A57D52">
      <w:pPr>
        <w:pStyle w:val="ListParagraph"/>
        <w:numPr>
          <w:ilvl w:val="0"/>
          <w:numId w:val="3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Corporate Rescue.</w:t>
      </w:r>
    </w:p>
    <w:p w14:paraId="31DA323C" w14:textId="7CA8FF55" w:rsidR="00A57D52" w:rsidRDefault="00A57D52" w:rsidP="00A57D52">
      <w:pPr>
        <w:jc w:val="both"/>
        <w:rPr>
          <w:rFonts w:ascii="Arial" w:hAnsi="Arial" w:cs="Arial"/>
          <w:color w:val="000000" w:themeColor="text1"/>
          <w:sz w:val="22"/>
          <w:szCs w:val="22"/>
          <w:lang w:val="en-GB"/>
        </w:rPr>
      </w:pPr>
    </w:p>
    <w:p w14:paraId="7A586878" w14:textId="4922E12A" w:rsidR="00A57D52" w:rsidRPr="00A57D52" w:rsidRDefault="00A57D52" w:rsidP="00A57D52">
      <w:pPr>
        <w:jc w:val="both"/>
        <w:rPr>
          <w:rFonts w:ascii="Arial" w:hAnsi="Arial" w:cs="Arial"/>
          <w:color w:val="000000" w:themeColor="text1"/>
          <w:sz w:val="22"/>
          <w:szCs w:val="22"/>
          <w:u w:val="single"/>
          <w:lang w:val="en-GB"/>
        </w:rPr>
      </w:pPr>
      <w:r>
        <w:rPr>
          <w:rFonts w:ascii="Arial" w:hAnsi="Arial" w:cs="Arial"/>
          <w:color w:val="000000" w:themeColor="text1"/>
          <w:sz w:val="22"/>
          <w:szCs w:val="22"/>
          <w:u w:val="single"/>
          <w:lang w:val="en-GB"/>
        </w:rPr>
        <w:t>Corporate Liquidation</w:t>
      </w:r>
    </w:p>
    <w:p w14:paraId="308F1F3F" w14:textId="5A24E804" w:rsidR="004828AD" w:rsidRDefault="004828AD" w:rsidP="004828AD">
      <w:pPr>
        <w:jc w:val="both"/>
        <w:rPr>
          <w:rFonts w:ascii="Arial" w:hAnsi="Arial" w:cs="Arial"/>
          <w:color w:val="000000" w:themeColor="text1"/>
          <w:sz w:val="22"/>
          <w:szCs w:val="22"/>
          <w:lang w:val="en-GB"/>
        </w:rPr>
      </w:pPr>
    </w:p>
    <w:p w14:paraId="76565C80" w14:textId="4911A0D5" w:rsidR="004828AD" w:rsidRPr="004828AD" w:rsidRDefault="00A57D52" w:rsidP="004828AD">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As Abbeydale are a ‘secured creditor’, they do not meet the definition of a ‘creditor’ under section 9 of the Insolvency Act and therefore does not qualify as one of the parties able to make petition to wind up Denbdoncker pursuant to section 162 of the Insolvency Act.</w:t>
      </w:r>
    </w:p>
    <w:p w14:paraId="065CC2A7" w14:textId="4B03BD3B" w:rsidR="000A7AFC" w:rsidRDefault="000A7AFC" w:rsidP="008065CE">
      <w:pPr>
        <w:jc w:val="both"/>
        <w:rPr>
          <w:rFonts w:ascii="Arial" w:hAnsi="Arial" w:cs="Arial"/>
          <w:color w:val="000000" w:themeColor="text1"/>
          <w:sz w:val="22"/>
          <w:szCs w:val="22"/>
          <w:lang w:val="en-GB"/>
        </w:rPr>
      </w:pPr>
    </w:p>
    <w:p w14:paraId="697F5C71" w14:textId="0325804C" w:rsidR="00824514" w:rsidRPr="00824514" w:rsidRDefault="00824514" w:rsidP="008065CE">
      <w:pPr>
        <w:jc w:val="both"/>
        <w:rPr>
          <w:rFonts w:ascii="Arial" w:hAnsi="Arial" w:cs="Arial"/>
          <w:color w:val="000000" w:themeColor="text1"/>
          <w:sz w:val="22"/>
          <w:szCs w:val="22"/>
          <w:u w:val="single"/>
          <w:lang w:val="en-GB"/>
        </w:rPr>
      </w:pPr>
      <w:r w:rsidRPr="00FD2C3B">
        <w:rPr>
          <w:rFonts w:ascii="Arial" w:hAnsi="Arial" w:cs="Arial"/>
          <w:color w:val="000000" w:themeColor="text1"/>
          <w:sz w:val="22"/>
          <w:szCs w:val="22"/>
          <w:u w:val="single"/>
          <w:lang w:val="en-GB"/>
        </w:rPr>
        <w:t>Receivership</w:t>
      </w:r>
    </w:p>
    <w:p w14:paraId="66AC1AA9" w14:textId="50B78673" w:rsidR="00824514" w:rsidRDefault="00824514" w:rsidP="008065CE">
      <w:pPr>
        <w:jc w:val="both"/>
        <w:rPr>
          <w:rFonts w:ascii="Arial" w:hAnsi="Arial" w:cs="Arial"/>
          <w:color w:val="000000" w:themeColor="text1"/>
          <w:sz w:val="22"/>
          <w:szCs w:val="22"/>
          <w:lang w:val="en-GB"/>
        </w:rPr>
      </w:pPr>
    </w:p>
    <w:p w14:paraId="2BADD561" w14:textId="432B05CA" w:rsidR="00824514" w:rsidRDefault="00BA1792" w:rsidP="008065C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Abbeydale can either appoint a receiver (i) by the Court on an application; or (ii) under a debenture.  Should Abbeydale appoint a receiver over the Property by application to the Court, </w:t>
      </w:r>
      <w:r w:rsidR="00FD2C3B">
        <w:rPr>
          <w:rFonts w:ascii="Arial" w:hAnsi="Arial" w:cs="Arial"/>
          <w:color w:val="000000" w:themeColor="text1"/>
          <w:sz w:val="22"/>
          <w:szCs w:val="22"/>
          <w:lang w:val="en-GB"/>
        </w:rPr>
        <w:t xml:space="preserve">under section 117 of the Insolvency Act, </w:t>
      </w:r>
      <w:r>
        <w:rPr>
          <w:rFonts w:ascii="Arial" w:hAnsi="Arial" w:cs="Arial"/>
          <w:color w:val="000000" w:themeColor="text1"/>
          <w:sz w:val="22"/>
          <w:szCs w:val="22"/>
          <w:lang w:val="en-GB"/>
        </w:rPr>
        <w:t>the receiver’s powers will be dictated by the order appointing them.</w:t>
      </w:r>
    </w:p>
    <w:p w14:paraId="48CBF34F" w14:textId="5341F0B8" w:rsidR="00EE3286" w:rsidRDefault="00EE3286" w:rsidP="008065CE">
      <w:pPr>
        <w:jc w:val="both"/>
        <w:rPr>
          <w:rFonts w:ascii="Arial" w:hAnsi="Arial" w:cs="Arial"/>
          <w:color w:val="000000" w:themeColor="text1"/>
          <w:sz w:val="22"/>
          <w:szCs w:val="22"/>
          <w:lang w:val="en-GB"/>
        </w:rPr>
      </w:pPr>
    </w:p>
    <w:p w14:paraId="23BCA693" w14:textId="38382E75" w:rsidR="00EE3286" w:rsidRDefault="00EE3286" w:rsidP="008065C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If the receiver is appointed out of Court, pursuant to section 139 of the insolvency Act, the receivers powers will be those assigned to them by Abbeydale.</w:t>
      </w:r>
    </w:p>
    <w:p w14:paraId="353F46EE" w14:textId="5E5B029D" w:rsidR="00824514" w:rsidRDefault="00824514" w:rsidP="008065CE">
      <w:pPr>
        <w:jc w:val="both"/>
        <w:rPr>
          <w:rFonts w:ascii="Arial" w:hAnsi="Arial" w:cs="Arial"/>
          <w:color w:val="000000" w:themeColor="text1"/>
          <w:sz w:val="22"/>
          <w:szCs w:val="22"/>
          <w:lang w:val="en-GB"/>
        </w:rPr>
      </w:pPr>
    </w:p>
    <w:p w14:paraId="64801F25" w14:textId="38311CB1" w:rsidR="00EE3286" w:rsidRDefault="00EE3286" w:rsidP="008065C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either case, the receiver will have the powers to take control and </w:t>
      </w:r>
      <w:r w:rsidR="00FD2C3B">
        <w:rPr>
          <w:rFonts w:ascii="Arial" w:hAnsi="Arial" w:cs="Arial"/>
          <w:color w:val="000000" w:themeColor="text1"/>
          <w:sz w:val="22"/>
          <w:szCs w:val="22"/>
          <w:lang w:val="en-GB"/>
        </w:rPr>
        <w:t>of the Property and realise the same for the benefit of Abbeydale, should that be the best solution for Abbeydale as the secured creditor.</w:t>
      </w:r>
    </w:p>
    <w:p w14:paraId="4D0E9A84" w14:textId="77777777" w:rsidR="00EE3286" w:rsidRDefault="00EE3286" w:rsidP="008065CE">
      <w:pPr>
        <w:jc w:val="both"/>
        <w:rPr>
          <w:rFonts w:ascii="Arial" w:hAnsi="Arial" w:cs="Arial"/>
          <w:color w:val="000000" w:themeColor="text1"/>
          <w:sz w:val="22"/>
          <w:szCs w:val="22"/>
          <w:lang w:val="en-GB"/>
        </w:rPr>
      </w:pPr>
    </w:p>
    <w:p w14:paraId="6AA45412" w14:textId="440D0F19" w:rsidR="00824514" w:rsidRPr="00824514" w:rsidRDefault="00824514" w:rsidP="008065CE">
      <w:pPr>
        <w:jc w:val="both"/>
        <w:rPr>
          <w:rFonts w:ascii="Arial" w:hAnsi="Arial" w:cs="Arial"/>
          <w:color w:val="000000" w:themeColor="text1"/>
          <w:sz w:val="22"/>
          <w:szCs w:val="22"/>
          <w:u w:val="single"/>
          <w:lang w:val="en-GB"/>
        </w:rPr>
      </w:pPr>
      <w:r>
        <w:rPr>
          <w:rFonts w:ascii="Arial" w:hAnsi="Arial" w:cs="Arial"/>
          <w:color w:val="000000" w:themeColor="text1"/>
          <w:sz w:val="22"/>
          <w:szCs w:val="22"/>
          <w:u w:val="single"/>
          <w:lang w:val="en-GB"/>
        </w:rPr>
        <w:t>Corporate Rescue</w:t>
      </w:r>
    </w:p>
    <w:p w14:paraId="0E334A51" w14:textId="44090088" w:rsidR="00824514" w:rsidRDefault="00824514" w:rsidP="008065CE">
      <w:pPr>
        <w:jc w:val="both"/>
        <w:rPr>
          <w:rFonts w:ascii="Arial" w:hAnsi="Arial" w:cs="Arial"/>
          <w:color w:val="000000" w:themeColor="text1"/>
          <w:sz w:val="22"/>
          <w:szCs w:val="22"/>
          <w:lang w:val="en-GB"/>
        </w:rPr>
      </w:pPr>
    </w:p>
    <w:p w14:paraId="28664211" w14:textId="24CFB478" w:rsidR="00824514" w:rsidRPr="00824514" w:rsidRDefault="00824514" w:rsidP="008065C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facts and circumstances are not conducive to a corporate rescue.</w:t>
      </w:r>
    </w:p>
    <w:p w14:paraId="29DF3864" w14:textId="77777777" w:rsidR="00824514" w:rsidRPr="00824514" w:rsidRDefault="00824514" w:rsidP="008065CE">
      <w:pPr>
        <w:jc w:val="both"/>
        <w:rPr>
          <w:rFonts w:ascii="Arial" w:hAnsi="Arial" w:cs="Arial"/>
          <w:color w:val="000000" w:themeColor="text1"/>
          <w:sz w:val="22"/>
          <w:szCs w:val="22"/>
          <w:u w:val="single"/>
          <w:lang w:val="en-GB"/>
        </w:rPr>
      </w:pPr>
    </w:p>
    <w:p w14:paraId="473F76A9" w14:textId="3D388067" w:rsidR="000725C3" w:rsidRPr="008065CE" w:rsidRDefault="00824514" w:rsidP="008065C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Accordingly, should Abbeydale wish to enforce their debt within the BVI insolvency system, they would be best placed to appoint a receiver over the Property through the BVI Court.</w:t>
      </w: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BD40" w14:textId="77777777" w:rsidR="00151275" w:rsidRDefault="00151275" w:rsidP="00241B44">
      <w:r>
        <w:separator/>
      </w:r>
    </w:p>
  </w:endnote>
  <w:endnote w:type="continuationSeparator" w:id="0">
    <w:p w14:paraId="423B1FFD" w14:textId="77777777" w:rsidR="00151275" w:rsidRDefault="0015127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040430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462AE">
      <w:rPr>
        <w:rFonts w:ascii="Arial" w:hAnsi="Arial" w:cs="Arial"/>
        <w:sz w:val="18"/>
        <w:szCs w:val="18"/>
        <w:lang w:val="en-GB"/>
      </w:rPr>
      <w:t>ID</w:t>
    </w:r>
    <w:r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AFC4" w14:textId="77777777" w:rsidR="00151275" w:rsidRDefault="00151275" w:rsidP="00241B44">
      <w:r>
        <w:separator/>
      </w:r>
    </w:p>
  </w:footnote>
  <w:footnote w:type="continuationSeparator" w:id="0">
    <w:p w14:paraId="5C1E8C7B" w14:textId="77777777" w:rsidR="00151275" w:rsidRDefault="0015127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1379" w14:textId="65B7977D" w:rsidR="00C347F7" w:rsidRDefault="00C347F7">
    <w:pPr>
      <w:pStyle w:val="Header"/>
    </w:pPr>
    <w:r>
      <w:rPr>
        <w:noProof/>
      </w:rPr>
      <mc:AlternateContent>
        <mc:Choice Requires="wps">
          <w:drawing>
            <wp:anchor distT="0" distB="0" distL="114300" distR="114300" simplePos="0" relativeHeight="251659264" behindDoc="0" locked="0" layoutInCell="0" allowOverlap="1" wp14:anchorId="4F3B8202" wp14:editId="231D5350">
              <wp:simplePos x="0" y="0"/>
              <wp:positionH relativeFrom="page">
                <wp:posOffset>0</wp:posOffset>
              </wp:positionH>
              <wp:positionV relativeFrom="page">
                <wp:posOffset>190500</wp:posOffset>
              </wp:positionV>
              <wp:extent cx="7560310" cy="252095"/>
              <wp:effectExtent l="0" t="0" r="0" b="14605"/>
              <wp:wrapNone/>
              <wp:docPr id="1" name="MSIPCM1d744980922a1ae53f0a2a42"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EC1567" w14:textId="3B9053CF" w:rsidR="00C347F7" w:rsidRPr="00C347F7" w:rsidRDefault="00C347F7" w:rsidP="00C347F7">
                          <w:pPr>
                            <w:jc w:val="right"/>
                            <w:rPr>
                              <w:rFonts w:ascii="Arial" w:hAnsi="Arial" w:cs="Arial"/>
                              <w:color w:val="000000"/>
                              <w:sz w:val="16"/>
                            </w:rPr>
                          </w:pPr>
                          <w:r w:rsidRPr="00C347F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F3B8202" id="_x0000_t202" coordsize="21600,21600" o:spt="202" path="m,l,21600r21600,l21600,xe">
              <v:stroke joinstyle="miter"/>
              <v:path gradientshapeok="t" o:connecttype="rect"/>
            </v:shapetype>
            <v:shape id="MSIPCM1d744980922a1ae53f0a2a42"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04EC1567" w14:textId="3B9053CF" w:rsidR="00C347F7" w:rsidRPr="00C347F7" w:rsidRDefault="00C347F7" w:rsidP="00C347F7">
                    <w:pPr>
                      <w:jc w:val="right"/>
                      <w:rPr>
                        <w:rFonts w:ascii="Arial" w:hAnsi="Arial" w:cs="Arial"/>
                        <w:color w:val="000000"/>
                        <w:sz w:val="16"/>
                      </w:rPr>
                    </w:pPr>
                    <w:r w:rsidRPr="00C347F7">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B2B7" w14:textId="470746F2" w:rsidR="00C347F7" w:rsidRDefault="00C347F7">
    <w:pPr>
      <w:pStyle w:val="Header"/>
    </w:pPr>
    <w:r>
      <w:rPr>
        <w:noProof/>
      </w:rPr>
      <mc:AlternateContent>
        <mc:Choice Requires="wps">
          <w:drawing>
            <wp:anchor distT="0" distB="0" distL="114300" distR="114300" simplePos="0" relativeHeight="251660288" behindDoc="0" locked="0" layoutInCell="0" allowOverlap="1" wp14:anchorId="7D398861" wp14:editId="18B8AAE8">
              <wp:simplePos x="0" y="0"/>
              <wp:positionH relativeFrom="page">
                <wp:posOffset>0</wp:posOffset>
              </wp:positionH>
              <wp:positionV relativeFrom="page">
                <wp:posOffset>190500</wp:posOffset>
              </wp:positionV>
              <wp:extent cx="7560310" cy="252095"/>
              <wp:effectExtent l="0" t="0" r="0" b="14605"/>
              <wp:wrapNone/>
              <wp:docPr id="2" name="MSIPCM2ef04317be8ceded8d3c88a7"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27851D" w14:textId="7ED41084" w:rsidR="00C347F7" w:rsidRPr="00C347F7" w:rsidRDefault="00C347F7" w:rsidP="00C347F7">
                          <w:pPr>
                            <w:jc w:val="right"/>
                            <w:rPr>
                              <w:rFonts w:ascii="Arial" w:hAnsi="Arial" w:cs="Arial"/>
                              <w:color w:val="000000"/>
                              <w:sz w:val="16"/>
                            </w:rPr>
                          </w:pPr>
                          <w:r w:rsidRPr="00C347F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D398861" id="_x0000_t202" coordsize="21600,21600" o:spt="202" path="m,l,21600r21600,l21600,xe">
              <v:stroke joinstyle="miter"/>
              <v:path gradientshapeok="t" o:connecttype="rect"/>
            </v:shapetype>
            <v:shape id="MSIPCM2ef04317be8ceded8d3c88a7"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6527851D" w14:textId="7ED41084" w:rsidR="00C347F7" w:rsidRPr="00C347F7" w:rsidRDefault="00C347F7" w:rsidP="00C347F7">
                    <w:pPr>
                      <w:jc w:val="right"/>
                      <w:rPr>
                        <w:rFonts w:ascii="Arial" w:hAnsi="Arial" w:cs="Arial"/>
                        <w:color w:val="000000"/>
                        <w:sz w:val="16"/>
                      </w:rPr>
                    </w:pPr>
                    <w:r w:rsidRPr="00C347F7">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44499"/>
    <w:multiLevelType w:val="hybridMultilevel"/>
    <w:tmpl w:val="57C0F284"/>
    <w:lvl w:ilvl="0" w:tplc="5470D7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A688D"/>
    <w:multiLevelType w:val="hybridMultilevel"/>
    <w:tmpl w:val="D37CD6EE"/>
    <w:lvl w:ilvl="0" w:tplc="AA0C2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E3983"/>
    <w:multiLevelType w:val="hybridMultilevel"/>
    <w:tmpl w:val="03BCA8F2"/>
    <w:lvl w:ilvl="0" w:tplc="95AC4E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575CB"/>
    <w:multiLevelType w:val="hybridMultilevel"/>
    <w:tmpl w:val="D7380016"/>
    <w:lvl w:ilvl="0" w:tplc="2F424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B4A76"/>
    <w:multiLevelType w:val="hybridMultilevel"/>
    <w:tmpl w:val="665AFEAA"/>
    <w:lvl w:ilvl="0" w:tplc="9DD6A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3E72"/>
    <w:multiLevelType w:val="hybridMultilevel"/>
    <w:tmpl w:val="5D3EB0AE"/>
    <w:lvl w:ilvl="0" w:tplc="D570A8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F036E"/>
    <w:multiLevelType w:val="hybridMultilevel"/>
    <w:tmpl w:val="0EEE0EFE"/>
    <w:lvl w:ilvl="0" w:tplc="9634C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2F6CD6"/>
    <w:multiLevelType w:val="hybridMultilevel"/>
    <w:tmpl w:val="836AE954"/>
    <w:lvl w:ilvl="0" w:tplc="DA8823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C55ED1"/>
    <w:multiLevelType w:val="hybridMultilevel"/>
    <w:tmpl w:val="1C2AFC90"/>
    <w:lvl w:ilvl="0" w:tplc="C3401C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236B8F"/>
    <w:multiLevelType w:val="hybridMultilevel"/>
    <w:tmpl w:val="6D0E2D60"/>
    <w:lvl w:ilvl="0" w:tplc="57D27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26E62"/>
    <w:multiLevelType w:val="hybridMultilevel"/>
    <w:tmpl w:val="70E8FA5C"/>
    <w:lvl w:ilvl="0" w:tplc="8F705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E65076"/>
    <w:multiLevelType w:val="hybridMultilevel"/>
    <w:tmpl w:val="A1F238DA"/>
    <w:lvl w:ilvl="0" w:tplc="6D282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845620">
    <w:abstractNumId w:val="24"/>
  </w:num>
  <w:num w:numId="2" w16cid:durableId="801315107">
    <w:abstractNumId w:val="31"/>
  </w:num>
  <w:num w:numId="3" w16cid:durableId="1448744329">
    <w:abstractNumId w:val="11"/>
  </w:num>
  <w:num w:numId="4" w16cid:durableId="1150488065">
    <w:abstractNumId w:val="18"/>
  </w:num>
  <w:num w:numId="5" w16cid:durableId="614749146">
    <w:abstractNumId w:val="4"/>
  </w:num>
  <w:num w:numId="6" w16cid:durableId="234516971">
    <w:abstractNumId w:val="12"/>
  </w:num>
  <w:num w:numId="7" w16cid:durableId="1873346779">
    <w:abstractNumId w:val="21"/>
  </w:num>
  <w:num w:numId="8" w16cid:durableId="1259755685">
    <w:abstractNumId w:val="27"/>
  </w:num>
  <w:num w:numId="9" w16cid:durableId="1139421376">
    <w:abstractNumId w:val="17"/>
  </w:num>
  <w:num w:numId="10" w16cid:durableId="1044450755">
    <w:abstractNumId w:val="13"/>
  </w:num>
  <w:num w:numId="11" w16cid:durableId="2052411335">
    <w:abstractNumId w:val="0"/>
  </w:num>
  <w:num w:numId="12" w16cid:durableId="442699480">
    <w:abstractNumId w:val="25"/>
  </w:num>
  <w:num w:numId="13" w16cid:durableId="232131163">
    <w:abstractNumId w:val="29"/>
  </w:num>
  <w:num w:numId="14" w16cid:durableId="550924591">
    <w:abstractNumId w:val="8"/>
  </w:num>
  <w:num w:numId="15" w16cid:durableId="909193305">
    <w:abstractNumId w:val="23"/>
  </w:num>
  <w:num w:numId="16" w16cid:durableId="1612006803">
    <w:abstractNumId w:val="5"/>
  </w:num>
  <w:num w:numId="17" w16cid:durableId="1205286141">
    <w:abstractNumId w:val="9"/>
  </w:num>
  <w:num w:numId="18" w16cid:durableId="1544364646">
    <w:abstractNumId w:val="26"/>
  </w:num>
  <w:num w:numId="19" w16cid:durableId="2045015227">
    <w:abstractNumId w:val="10"/>
  </w:num>
  <w:num w:numId="20" w16cid:durableId="325934851">
    <w:abstractNumId w:val="22"/>
  </w:num>
  <w:num w:numId="21" w16cid:durableId="1324427251">
    <w:abstractNumId w:val="30"/>
  </w:num>
  <w:num w:numId="22" w16cid:durableId="1743716449">
    <w:abstractNumId w:val="3"/>
  </w:num>
  <w:num w:numId="23" w16cid:durableId="1718508881">
    <w:abstractNumId w:val="33"/>
  </w:num>
  <w:num w:numId="24" w16cid:durableId="206845002">
    <w:abstractNumId w:val="16"/>
  </w:num>
  <w:num w:numId="25" w16cid:durableId="2070182395">
    <w:abstractNumId w:val="15"/>
  </w:num>
  <w:num w:numId="26" w16cid:durableId="1588079196">
    <w:abstractNumId w:val="6"/>
  </w:num>
  <w:num w:numId="27" w16cid:durableId="1698313164">
    <w:abstractNumId w:val="20"/>
  </w:num>
  <w:num w:numId="28" w16cid:durableId="153574380">
    <w:abstractNumId w:val="28"/>
  </w:num>
  <w:num w:numId="29" w16cid:durableId="1693341836">
    <w:abstractNumId w:val="32"/>
  </w:num>
  <w:num w:numId="30" w16cid:durableId="1688290383">
    <w:abstractNumId w:val="2"/>
  </w:num>
  <w:num w:numId="31" w16cid:durableId="1324698045">
    <w:abstractNumId w:val="1"/>
  </w:num>
  <w:num w:numId="32" w16cid:durableId="1334995020">
    <w:abstractNumId w:val="19"/>
  </w:num>
  <w:num w:numId="33" w16cid:durableId="176578696">
    <w:abstractNumId w:val="7"/>
  </w:num>
  <w:num w:numId="34" w16cid:durableId="15570111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0C2"/>
    <w:rsid w:val="00007BF3"/>
    <w:rsid w:val="00010BA0"/>
    <w:rsid w:val="00016E59"/>
    <w:rsid w:val="00020557"/>
    <w:rsid w:val="00021FC2"/>
    <w:rsid w:val="000250C7"/>
    <w:rsid w:val="00026F16"/>
    <w:rsid w:val="00037621"/>
    <w:rsid w:val="00040E37"/>
    <w:rsid w:val="00044D46"/>
    <w:rsid w:val="00045088"/>
    <w:rsid w:val="0004534E"/>
    <w:rsid w:val="00045717"/>
    <w:rsid w:val="00045904"/>
    <w:rsid w:val="000502FD"/>
    <w:rsid w:val="0005251F"/>
    <w:rsid w:val="00053BC1"/>
    <w:rsid w:val="00060B3E"/>
    <w:rsid w:val="00061187"/>
    <w:rsid w:val="0006486C"/>
    <w:rsid w:val="00065166"/>
    <w:rsid w:val="000663F9"/>
    <w:rsid w:val="000725C3"/>
    <w:rsid w:val="00074353"/>
    <w:rsid w:val="00082609"/>
    <w:rsid w:val="000851CC"/>
    <w:rsid w:val="000867D0"/>
    <w:rsid w:val="00087F21"/>
    <w:rsid w:val="00093BE8"/>
    <w:rsid w:val="000A407B"/>
    <w:rsid w:val="000A68ED"/>
    <w:rsid w:val="000A7AFC"/>
    <w:rsid w:val="000B0380"/>
    <w:rsid w:val="000B5FF1"/>
    <w:rsid w:val="000B609F"/>
    <w:rsid w:val="000C07F7"/>
    <w:rsid w:val="000D55A8"/>
    <w:rsid w:val="000E1E96"/>
    <w:rsid w:val="000E3B1E"/>
    <w:rsid w:val="000E4841"/>
    <w:rsid w:val="000F1677"/>
    <w:rsid w:val="000F3D6C"/>
    <w:rsid w:val="00101707"/>
    <w:rsid w:val="00102CC9"/>
    <w:rsid w:val="0010593A"/>
    <w:rsid w:val="0011473D"/>
    <w:rsid w:val="00115C85"/>
    <w:rsid w:val="00123855"/>
    <w:rsid w:val="00126A4D"/>
    <w:rsid w:val="0014171F"/>
    <w:rsid w:val="0014622C"/>
    <w:rsid w:val="00151275"/>
    <w:rsid w:val="00152348"/>
    <w:rsid w:val="0015289B"/>
    <w:rsid w:val="0015456D"/>
    <w:rsid w:val="00155FA2"/>
    <w:rsid w:val="001618B3"/>
    <w:rsid w:val="00161F1B"/>
    <w:rsid w:val="00162829"/>
    <w:rsid w:val="0016460E"/>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1"/>
    <w:rsid w:val="001D0469"/>
    <w:rsid w:val="001D29C0"/>
    <w:rsid w:val="001D4862"/>
    <w:rsid w:val="001E1A4E"/>
    <w:rsid w:val="001E25B9"/>
    <w:rsid w:val="001E49E0"/>
    <w:rsid w:val="001E7B5A"/>
    <w:rsid w:val="001F7412"/>
    <w:rsid w:val="0020090A"/>
    <w:rsid w:val="00200F5F"/>
    <w:rsid w:val="00202DFE"/>
    <w:rsid w:val="0020725B"/>
    <w:rsid w:val="002110F1"/>
    <w:rsid w:val="00230F65"/>
    <w:rsid w:val="00234FB3"/>
    <w:rsid w:val="002356EA"/>
    <w:rsid w:val="0024116D"/>
    <w:rsid w:val="00241B44"/>
    <w:rsid w:val="00241FA3"/>
    <w:rsid w:val="00245DE8"/>
    <w:rsid w:val="00245EFB"/>
    <w:rsid w:val="00251D57"/>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05ECC"/>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5A5E"/>
    <w:rsid w:val="0036625E"/>
    <w:rsid w:val="0037465A"/>
    <w:rsid w:val="00377905"/>
    <w:rsid w:val="0038082F"/>
    <w:rsid w:val="00382C98"/>
    <w:rsid w:val="0038364E"/>
    <w:rsid w:val="0038533C"/>
    <w:rsid w:val="00386568"/>
    <w:rsid w:val="00390B57"/>
    <w:rsid w:val="003948D5"/>
    <w:rsid w:val="00396821"/>
    <w:rsid w:val="00397D3A"/>
    <w:rsid w:val="00397EAE"/>
    <w:rsid w:val="003A051E"/>
    <w:rsid w:val="003B170F"/>
    <w:rsid w:val="003B3C5F"/>
    <w:rsid w:val="003B4863"/>
    <w:rsid w:val="003C4471"/>
    <w:rsid w:val="003D0A6D"/>
    <w:rsid w:val="003E0B16"/>
    <w:rsid w:val="003E3836"/>
    <w:rsid w:val="003E67D1"/>
    <w:rsid w:val="003F28F5"/>
    <w:rsid w:val="00404329"/>
    <w:rsid w:val="00404E66"/>
    <w:rsid w:val="00405DC1"/>
    <w:rsid w:val="00415F1F"/>
    <w:rsid w:val="0041718C"/>
    <w:rsid w:val="0042108F"/>
    <w:rsid w:val="00430FED"/>
    <w:rsid w:val="00434A8C"/>
    <w:rsid w:val="00437297"/>
    <w:rsid w:val="00444284"/>
    <w:rsid w:val="00445CE6"/>
    <w:rsid w:val="00445E9E"/>
    <w:rsid w:val="004534C2"/>
    <w:rsid w:val="0045446F"/>
    <w:rsid w:val="0045683E"/>
    <w:rsid w:val="00464A51"/>
    <w:rsid w:val="0047211B"/>
    <w:rsid w:val="00477C72"/>
    <w:rsid w:val="004828AD"/>
    <w:rsid w:val="00490697"/>
    <w:rsid w:val="00491675"/>
    <w:rsid w:val="00492BA3"/>
    <w:rsid w:val="00493855"/>
    <w:rsid w:val="00495E79"/>
    <w:rsid w:val="004A2D83"/>
    <w:rsid w:val="004A57DD"/>
    <w:rsid w:val="004A7B51"/>
    <w:rsid w:val="004A7D71"/>
    <w:rsid w:val="004A7EF3"/>
    <w:rsid w:val="004B11FD"/>
    <w:rsid w:val="004B23A2"/>
    <w:rsid w:val="004B3151"/>
    <w:rsid w:val="004C7F7E"/>
    <w:rsid w:val="004D1A5A"/>
    <w:rsid w:val="004D2FFF"/>
    <w:rsid w:val="004D3721"/>
    <w:rsid w:val="004D64F9"/>
    <w:rsid w:val="004E3A6B"/>
    <w:rsid w:val="004E622C"/>
    <w:rsid w:val="004F5FDF"/>
    <w:rsid w:val="004F7504"/>
    <w:rsid w:val="00511CB4"/>
    <w:rsid w:val="00516777"/>
    <w:rsid w:val="005177FE"/>
    <w:rsid w:val="0052156D"/>
    <w:rsid w:val="00521625"/>
    <w:rsid w:val="0052263B"/>
    <w:rsid w:val="00524728"/>
    <w:rsid w:val="005331CA"/>
    <w:rsid w:val="00537970"/>
    <w:rsid w:val="00540E3A"/>
    <w:rsid w:val="00540FB5"/>
    <w:rsid w:val="00544127"/>
    <w:rsid w:val="005463A9"/>
    <w:rsid w:val="00553EB2"/>
    <w:rsid w:val="005552AD"/>
    <w:rsid w:val="005563EB"/>
    <w:rsid w:val="00560534"/>
    <w:rsid w:val="0056391B"/>
    <w:rsid w:val="005650E2"/>
    <w:rsid w:val="00567AD7"/>
    <w:rsid w:val="005700FA"/>
    <w:rsid w:val="005707AC"/>
    <w:rsid w:val="00575B2D"/>
    <w:rsid w:val="00576F61"/>
    <w:rsid w:val="005833D0"/>
    <w:rsid w:val="005846F3"/>
    <w:rsid w:val="0058622F"/>
    <w:rsid w:val="00592F82"/>
    <w:rsid w:val="005A0CCA"/>
    <w:rsid w:val="005A4EAB"/>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0110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46EAA"/>
    <w:rsid w:val="00654C2F"/>
    <w:rsid w:val="00657087"/>
    <w:rsid w:val="006639DB"/>
    <w:rsid w:val="006643A7"/>
    <w:rsid w:val="00665098"/>
    <w:rsid w:val="006652A7"/>
    <w:rsid w:val="006661EF"/>
    <w:rsid w:val="00666DF9"/>
    <w:rsid w:val="00672CAB"/>
    <w:rsid w:val="00677AEB"/>
    <w:rsid w:val="00680EF2"/>
    <w:rsid w:val="00687A1D"/>
    <w:rsid w:val="00690A51"/>
    <w:rsid w:val="00697EA1"/>
    <w:rsid w:val="006A2646"/>
    <w:rsid w:val="006A6530"/>
    <w:rsid w:val="006A6BCE"/>
    <w:rsid w:val="006B435A"/>
    <w:rsid w:val="006B4C64"/>
    <w:rsid w:val="006C1B3D"/>
    <w:rsid w:val="006C36EC"/>
    <w:rsid w:val="006D20D5"/>
    <w:rsid w:val="006D6BD5"/>
    <w:rsid w:val="006E481A"/>
    <w:rsid w:val="006E5298"/>
    <w:rsid w:val="006F4A78"/>
    <w:rsid w:val="006F734A"/>
    <w:rsid w:val="00700D83"/>
    <w:rsid w:val="00704852"/>
    <w:rsid w:val="007074E9"/>
    <w:rsid w:val="00711E9D"/>
    <w:rsid w:val="00713DA4"/>
    <w:rsid w:val="00714BF1"/>
    <w:rsid w:val="00721383"/>
    <w:rsid w:val="00725942"/>
    <w:rsid w:val="0073158B"/>
    <w:rsid w:val="007333CC"/>
    <w:rsid w:val="0073399A"/>
    <w:rsid w:val="00740DAD"/>
    <w:rsid w:val="00755234"/>
    <w:rsid w:val="007603F5"/>
    <w:rsid w:val="00764DB0"/>
    <w:rsid w:val="00766F06"/>
    <w:rsid w:val="0076764D"/>
    <w:rsid w:val="0077498C"/>
    <w:rsid w:val="007809BC"/>
    <w:rsid w:val="0078106D"/>
    <w:rsid w:val="00784128"/>
    <w:rsid w:val="00787BCC"/>
    <w:rsid w:val="00793173"/>
    <w:rsid w:val="007A2A33"/>
    <w:rsid w:val="007B483F"/>
    <w:rsid w:val="007B5462"/>
    <w:rsid w:val="007B5C89"/>
    <w:rsid w:val="007C1FCC"/>
    <w:rsid w:val="007C6201"/>
    <w:rsid w:val="007C6BDD"/>
    <w:rsid w:val="007D2A74"/>
    <w:rsid w:val="007D6E2A"/>
    <w:rsid w:val="007D7C92"/>
    <w:rsid w:val="007E1154"/>
    <w:rsid w:val="007E6BA4"/>
    <w:rsid w:val="007F41F8"/>
    <w:rsid w:val="007F659B"/>
    <w:rsid w:val="007F7451"/>
    <w:rsid w:val="00800FA4"/>
    <w:rsid w:val="00802DB8"/>
    <w:rsid w:val="0080454E"/>
    <w:rsid w:val="00804C32"/>
    <w:rsid w:val="00806302"/>
    <w:rsid w:val="008065CE"/>
    <w:rsid w:val="00806ABF"/>
    <w:rsid w:val="00807119"/>
    <w:rsid w:val="00807D61"/>
    <w:rsid w:val="00824514"/>
    <w:rsid w:val="0082483F"/>
    <w:rsid w:val="008279C0"/>
    <w:rsid w:val="00843E87"/>
    <w:rsid w:val="00847A92"/>
    <w:rsid w:val="0086686E"/>
    <w:rsid w:val="00867701"/>
    <w:rsid w:val="008723F3"/>
    <w:rsid w:val="00876F56"/>
    <w:rsid w:val="00881DE6"/>
    <w:rsid w:val="00883702"/>
    <w:rsid w:val="008837A6"/>
    <w:rsid w:val="0089145D"/>
    <w:rsid w:val="008A37CC"/>
    <w:rsid w:val="008A4DF2"/>
    <w:rsid w:val="008A6CFE"/>
    <w:rsid w:val="008B5333"/>
    <w:rsid w:val="008B6223"/>
    <w:rsid w:val="008C0297"/>
    <w:rsid w:val="008C5A17"/>
    <w:rsid w:val="008C6118"/>
    <w:rsid w:val="008C66E0"/>
    <w:rsid w:val="008D4C1A"/>
    <w:rsid w:val="008E3339"/>
    <w:rsid w:val="008E3696"/>
    <w:rsid w:val="008E73F9"/>
    <w:rsid w:val="008F000D"/>
    <w:rsid w:val="008F20FC"/>
    <w:rsid w:val="008F5FFE"/>
    <w:rsid w:val="00903504"/>
    <w:rsid w:val="00905A43"/>
    <w:rsid w:val="00912C79"/>
    <w:rsid w:val="00921B8C"/>
    <w:rsid w:val="0093454D"/>
    <w:rsid w:val="00936614"/>
    <w:rsid w:val="0093759E"/>
    <w:rsid w:val="00942123"/>
    <w:rsid w:val="0095207B"/>
    <w:rsid w:val="00956341"/>
    <w:rsid w:val="00961106"/>
    <w:rsid w:val="00962045"/>
    <w:rsid w:val="0096533A"/>
    <w:rsid w:val="00966035"/>
    <w:rsid w:val="00980E61"/>
    <w:rsid w:val="009859BA"/>
    <w:rsid w:val="00991428"/>
    <w:rsid w:val="00992676"/>
    <w:rsid w:val="009954B2"/>
    <w:rsid w:val="00996691"/>
    <w:rsid w:val="009A3AB7"/>
    <w:rsid w:val="009A6BB0"/>
    <w:rsid w:val="009B0723"/>
    <w:rsid w:val="009B07AD"/>
    <w:rsid w:val="009B0883"/>
    <w:rsid w:val="009B15E2"/>
    <w:rsid w:val="009B1F07"/>
    <w:rsid w:val="009B4976"/>
    <w:rsid w:val="009C0B8E"/>
    <w:rsid w:val="009C1BC8"/>
    <w:rsid w:val="009C2442"/>
    <w:rsid w:val="009C2D45"/>
    <w:rsid w:val="009D048A"/>
    <w:rsid w:val="009D0811"/>
    <w:rsid w:val="009D0EE1"/>
    <w:rsid w:val="009E2AEB"/>
    <w:rsid w:val="009E2E27"/>
    <w:rsid w:val="009E45DF"/>
    <w:rsid w:val="009E4DE3"/>
    <w:rsid w:val="009F275E"/>
    <w:rsid w:val="009F4C21"/>
    <w:rsid w:val="00A047EE"/>
    <w:rsid w:val="00A07CC0"/>
    <w:rsid w:val="00A10AFA"/>
    <w:rsid w:val="00A20FE8"/>
    <w:rsid w:val="00A2274A"/>
    <w:rsid w:val="00A235B7"/>
    <w:rsid w:val="00A27898"/>
    <w:rsid w:val="00A27A7A"/>
    <w:rsid w:val="00A31249"/>
    <w:rsid w:val="00A316E8"/>
    <w:rsid w:val="00A34ABE"/>
    <w:rsid w:val="00A407EF"/>
    <w:rsid w:val="00A46B4C"/>
    <w:rsid w:val="00A5117B"/>
    <w:rsid w:val="00A52262"/>
    <w:rsid w:val="00A56D34"/>
    <w:rsid w:val="00A57D52"/>
    <w:rsid w:val="00A60074"/>
    <w:rsid w:val="00A6627C"/>
    <w:rsid w:val="00A71019"/>
    <w:rsid w:val="00A81029"/>
    <w:rsid w:val="00A845F5"/>
    <w:rsid w:val="00A96489"/>
    <w:rsid w:val="00AA32DF"/>
    <w:rsid w:val="00AB2425"/>
    <w:rsid w:val="00AB685C"/>
    <w:rsid w:val="00AB6C2D"/>
    <w:rsid w:val="00AC08F7"/>
    <w:rsid w:val="00AC3839"/>
    <w:rsid w:val="00AC7082"/>
    <w:rsid w:val="00AD4BE8"/>
    <w:rsid w:val="00AD6B0B"/>
    <w:rsid w:val="00AF228E"/>
    <w:rsid w:val="00AF2D54"/>
    <w:rsid w:val="00AF69E4"/>
    <w:rsid w:val="00B016A8"/>
    <w:rsid w:val="00B0219D"/>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5EC3"/>
    <w:rsid w:val="00B769EA"/>
    <w:rsid w:val="00B77F46"/>
    <w:rsid w:val="00B806A8"/>
    <w:rsid w:val="00B82586"/>
    <w:rsid w:val="00B829A3"/>
    <w:rsid w:val="00B86DB1"/>
    <w:rsid w:val="00B87869"/>
    <w:rsid w:val="00B9639B"/>
    <w:rsid w:val="00B96ACC"/>
    <w:rsid w:val="00BA1792"/>
    <w:rsid w:val="00BA1DB6"/>
    <w:rsid w:val="00BA4849"/>
    <w:rsid w:val="00BB0F2B"/>
    <w:rsid w:val="00BC6BF7"/>
    <w:rsid w:val="00BE325E"/>
    <w:rsid w:val="00BE4FF3"/>
    <w:rsid w:val="00BF1207"/>
    <w:rsid w:val="00BF50F7"/>
    <w:rsid w:val="00C02F29"/>
    <w:rsid w:val="00C17718"/>
    <w:rsid w:val="00C20AFE"/>
    <w:rsid w:val="00C22A25"/>
    <w:rsid w:val="00C23529"/>
    <w:rsid w:val="00C26BB2"/>
    <w:rsid w:val="00C347F7"/>
    <w:rsid w:val="00C35292"/>
    <w:rsid w:val="00C35671"/>
    <w:rsid w:val="00C35B77"/>
    <w:rsid w:val="00C376EB"/>
    <w:rsid w:val="00C435EA"/>
    <w:rsid w:val="00C46A92"/>
    <w:rsid w:val="00C46EC1"/>
    <w:rsid w:val="00C501A6"/>
    <w:rsid w:val="00C523DF"/>
    <w:rsid w:val="00C52796"/>
    <w:rsid w:val="00C53E2C"/>
    <w:rsid w:val="00C550C8"/>
    <w:rsid w:val="00C55824"/>
    <w:rsid w:val="00C56B61"/>
    <w:rsid w:val="00C606C3"/>
    <w:rsid w:val="00C613BC"/>
    <w:rsid w:val="00C620F4"/>
    <w:rsid w:val="00C71E41"/>
    <w:rsid w:val="00C72848"/>
    <w:rsid w:val="00C7736C"/>
    <w:rsid w:val="00C82D87"/>
    <w:rsid w:val="00C8712A"/>
    <w:rsid w:val="00C902C8"/>
    <w:rsid w:val="00C919D1"/>
    <w:rsid w:val="00C963D3"/>
    <w:rsid w:val="00CA76DF"/>
    <w:rsid w:val="00CB1983"/>
    <w:rsid w:val="00CB2CBB"/>
    <w:rsid w:val="00CB3BE2"/>
    <w:rsid w:val="00CB3FE0"/>
    <w:rsid w:val="00CB58D9"/>
    <w:rsid w:val="00CB7CAC"/>
    <w:rsid w:val="00CC5335"/>
    <w:rsid w:val="00CC5BA4"/>
    <w:rsid w:val="00CD2AE0"/>
    <w:rsid w:val="00CD2B27"/>
    <w:rsid w:val="00CD37F1"/>
    <w:rsid w:val="00CD4998"/>
    <w:rsid w:val="00CD4C65"/>
    <w:rsid w:val="00CE1035"/>
    <w:rsid w:val="00CE4337"/>
    <w:rsid w:val="00CE5535"/>
    <w:rsid w:val="00CE62E7"/>
    <w:rsid w:val="00CE6E50"/>
    <w:rsid w:val="00CF2819"/>
    <w:rsid w:val="00CF4F9D"/>
    <w:rsid w:val="00CF70DC"/>
    <w:rsid w:val="00D008AF"/>
    <w:rsid w:val="00D048D5"/>
    <w:rsid w:val="00D12CC6"/>
    <w:rsid w:val="00D148DC"/>
    <w:rsid w:val="00D17FDC"/>
    <w:rsid w:val="00D21D8C"/>
    <w:rsid w:val="00D52412"/>
    <w:rsid w:val="00D5259E"/>
    <w:rsid w:val="00D53719"/>
    <w:rsid w:val="00D61985"/>
    <w:rsid w:val="00D63EFD"/>
    <w:rsid w:val="00D657A7"/>
    <w:rsid w:val="00D7001E"/>
    <w:rsid w:val="00D84752"/>
    <w:rsid w:val="00D866DB"/>
    <w:rsid w:val="00D86B3B"/>
    <w:rsid w:val="00D8748A"/>
    <w:rsid w:val="00D91FD8"/>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4A23"/>
    <w:rsid w:val="00DE6633"/>
    <w:rsid w:val="00DF305A"/>
    <w:rsid w:val="00DF75F8"/>
    <w:rsid w:val="00DF7A3A"/>
    <w:rsid w:val="00E00C00"/>
    <w:rsid w:val="00E038BD"/>
    <w:rsid w:val="00E07C5A"/>
    <w:rsid w:val="00E106D1"/>
    <w:rsid w:val="00E15BA9"/>
    <w:rsid w:val="00E26E19"/>
    <w:rsid w:val="00E31DF3"/>
    <w:rsid w:val="00E450A4"/>
    <w:rsid w:val="00E45902"/>
    <w:rsid w:val="00E462AE"/>
    <w:rsid w:val="00E506BE"/>
    <w:rsid w:val="00E55547"/>
    <w:rsid w:val="00E627E6"/>
    <w:rsid w:val="00E6302B"/>
    <w:rsid w:val="00E6452F"/>
    <w:rsid w:val="00E64F45"/>
    <w:rsid w:val="00E6742D"/>
    <w:rsid w:val="00E704B9"/>
    <w:rsid w:val="00E71CB0"/>
    <w:rsid w:val="00E77C3D"/>
    <w:rsid w:val="00E87B1B"/>
    <w:rsid w:val="00E90991"/>
    <w:rsid w:val="00E909F0"/>
    <w:rsid w:val="00E90D47"/>
    <w:rsid w:val="00E93993"/>
    <w:rsid w:val="00E9597C"/>
    <w:rsid w:val="00EA0913"/>
    <w:rsid w:val="00EA45E0"/>
    <w:rsid w:val="00EA5B00"/>
    <w:rsid w:val="00EB146B"/>
    <w:rsid w:val="00EB45AC"/>
    <w:rsid w:val="00EB62C6"/>
    <w:rsid w:val="00EC441F"/>
    <w:rsid w:val="00EC4755"/>
    <w:rsid w:val="00ED0BC4"/>
    <w:rsid w:val="00ED447D"/>
    <w:rsid w:val="00EE3286"/>
    <w:rsid w:val="00EE4971"/>
    <w:rsid w:val="00EE6CB0"/>
    <w:rsid w:val="00EF090E"/>
    <w:rsid w:val="00EF0E65"/>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C3B"/>
    <w:rsid w:val="00FD2EA4"/>
    <w:rsid w:val="00FD36C5"/>
    <w:rsid w:val="00FD6310"/>
    <w:rsid w:val="00FD7C7B"/>
    <w:rsid w:val="00FE09A6"/>
    <w:rsid w:val="00FE1D12"/>
    <w:rsid w:val="00FE2122"/>
    <w:rsid w:val="00FE2A86"/>
    <w:rsid w:val="00FE2C88"/>
    <w:rsid w:val="00FE2DE2"/>
    <w:rsid w:val="00FF296F"/>
    <w:rsid w:val="00FF46BE"/>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4234</Words>
  <Characters>21171</Characters>
  <Application>Microsoft Office Word</Application>
  <DocSecurity>0</DocSecurity>
  <Lines>588</Lines>
  <Paragraphs>213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Bryce Doran</cp:lastModifiedBy>
  <cp:revision>58</cp:revision>
  <cp:lastPrinted>2019-08-27T05:42:00Z</cp:lastPrinted>
  <dcterms:created xsi:type="dcterms:W3CDTF">2022-07-24T18:12:00Z</dcterms:created>
  <dcterms:modified xsi:type="dcterms:W3CDTF">2022-07-31T16:55:00Z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2022-07-31T16:55:49Z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302867da-68b3-40e6-b518-7c7881353b9e</vt:lpwstr>
  </property>
  <property fmtid="{D5CDD505-2E9C-101B-9397-08002B2CF9AE}" pid="8" name="MSIP_Label_785837b0-ed5a-4fd4-94ae-ef361c98d083_ContentBits">
    <vt:lpwstr>1</vt:lpwstr>
  </property>
</Properties>
</file>