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a3"/>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1E05D8" w:rsidRDefault="00AD12C7" w:rsidP="00265D2D">
      <w:pPr>
        <w:pStyle w:val="a3"/>
        <w:numPr>
          <w:ilvl w:val="0"/>
          <w:numId w:val="11"/>
        </w:numPr>
        <w:ind w:left="426"/>
        <w:jc w:val="both"/>
        <w:rPr>
          <w:rFonts w:ascii="Arial" w:hAnsi="Arial" w:cs="Arial"/>
          <w:sz w:val="22"/>
          <w:szCs w:val="22"/>
          <w:highlight w:val="yellow"/>
          <w:lang w:val="en-GB"/>
        </w:rPr>
      </w:pPr>
      <w:r w:rsidRPr="001E05D8">
        <w:rPr>
          <w:rFonts w:ascii="Arial" w:hAnsi="Arial" w:cs="Arial"/>
          <w:sz w:val="22"/>
          <w:szCs w:val="22"/>
          <w:highlight w:val="yellow"/>
          <w:lang w:val="en-GB"/>
        </w:rPr>
        <w:t>apply to the court for the decision to be reversed or varied</w:t>
      </w:r>
      <w:r w:rsidR="005A2E18" w:rsidRPr="001E05D8">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1E05D8" w:rsidRDefault="005A2E18" w:rsidP="00265D2D">
      <w:pPr>
        <w:pStyle w:val="a3"/>
        <w:numPr>
          <w:ilvl w:val="0"/>
          <w:numId w:val="12"/>
        </w:numPr>
        <w:ind w:left="426"/>
        <w:rPr>
          <w:rFonts w:ascii="Arial" w:hAnsi="Arial" w:cs="Arial"/>
          <w:sz w:val="22"/>
          <w:szCs w:val="22"/>
          <w:highlight w:val="yellow"/>
          <w:lang w:val="en-GB"/>
        </w:rPr>
      </w:pPr>
      <w:r w:rsidRPr="001E05D8">
        <w:rPr>
          <w:rFonts w:ascii="Arial" w:hAnsi="Arial" w:cs="Arial"/>
          <w:sz w:val="22"/>
          <w:szCs w:val="22"/>
          <w:highlight w:val="yellow"/>
          <w:lang w:val="en-GB"/>
        </w:rPr>
        <w:t>R</w:t>
      </w:r>
      <w:r w:rsidR="00AD12C7" w:rsidRPr="001E05D8">
        <w:rPr>
          <w:rFonts w:ascii="Arial" w:hAnsi="Arial" w:cs="Arial"/>
          <w:sz w:val="22"/>
          <w:szCs w:val="22"/>
          <w:highlight w:val="yellow"/>
          <w:lang w:val="en-GB"/>
        </w:rPr>
        <w:t>eceivership</w:t>
      </w:r>
      <w:r w:rsidRPr="001E05D8">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a3"/>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7464D3" w:rsidRDefault="0089536F" w:rsidP="00265D2D">
      <w:pPr>
        <w:pStyle w:val="a3"/>
        <w:numPr>
          <w:ilvl w:val="0"/>
          <w:numId w:val="13"/>
        </w:numPr>
        <w:ind w:left="426"/>
        <w:jc w:val="both"/>
        <w:rPr>
          <w:rFonts w:ascii="Arial" w:hAnsi="Arial" w:cs="Arial"/>
          <w:sz w:val="22"/>
          <w:szCs w:val="22"/>
          <w:highlight w:val="yellow"/>
          <w:lang w:val="en-GB"/>
        </w:rPr>
      </w:pPr>
      <w:r w:rsidRPr="007464D3">
        <w:rPr>
          <w:rFonts w:ascii="Arial" w:hAnsi="Arial" w:cs="Arial"/>
          <w:sz w:val="22"/>
          <w:szCs w:val="22"/>
          <w:highlight w:val="yellow"/>
          <w:lang w:val="en-GB"/>
        </w:rPr>
        <w:t>creditors’ scheme of arrangement</w:t>
      </w:r>
      <w:r w:rsidR="00265D2D" w:rsidRPr="007464D3">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Pr="00CB5C5E" w:rsidRDefault="0089536F" w:rsidP="00265D2D">
      <w:pPr>
        <w:pStyle w:val="a3"/>
        <w:numPr>
          <w:ilvl w:val="0"/>
          <w:numId w:val="13"/>
        </w:numPr>
        <w:ind w:left="426"/>
        <w:jc w:val="both"/>
        <w:rPr>
          <w:rFonts w:ascii="Arial" w:hAnsi="Arial" w:cs="Arial"/>
          <w:sz w:val="22"/>
          <w:szCs w:val="22"/>
          <w:lang w:val="en-GB"/>
        </w:rPr>
      </w:pPr>
      <w:r w:rsidRPr="00CB5C5E">
        <w:rPr>
          <w:rFonts w:ascii="Arial" w:hAnsi="Arial" w:cs="Arial"/>
          <w:sz w:val="22"/>
          <w:szCs w:val="22"/>
          <w:lang w:val="en-GB"/>
        </w:rPr>
        <w:t>creditors’ voluntary liquidation</w:t>
      </w:r>
      <w:r w:rsidR="00265D2D" w:rsidRPr="00CB5C5E">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a3"/>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120E16" w:rsidRDefault="00321D73" w:rsidP="00265D2D">
      <w:pPr>
        <w:pStyle w:val="a3"/>
        <w:numPr>
          <w:ilvl w:val="0"/>
          <w:numId w:val="14"/>
        </w:numPr>
        <w:ind w:left="426"/>
        <w:rPr>
          <w:rFonts w:ascii="Arial" w:hAnsi="Arial" w:cs="Arial"/>
          <w:sz w:val="22"/>
          <w:szCs w:val="22"/>
          <w:highlight w:val="yellow"/>
          <w:lang w:val="en-GB"/>
        </w:rPr>
      </w:pPr>
      <w:r w:rsidRPr="00120E16">
        <w:rPr>
          <w:rFonts w:ascii="Arial" w:hAnsi="Arial" w:cs="Arial"/>
          <w:sz w:val="22"/>
          <w:szCs w:val="22"/>
          <w:highlight w:val="yellow"/>
          <w:lang w:val="en-GB"/>
        </w:rPr>
        <w:t>A</w:t>
      </w:r>
      <w:r w:rsidR="000D2487" w:rsidRPr="00120E16">
        <w:rPr>
          <w:rFonts w:ascii="Arial" w:hAnsi="Arial" w:cs="Arial"/>
          <w:sz w:val="22"/>
          <w:szCs w:val="22"/>
          <w:highlight w:val="yellow"/>
          <w:lang w:val="en-GB"/>
        </w:rPr>
        <w:t xml:space="preserve"> small business restructuring plan</w:t>
      </w:r>
      <w:r w:rsidR="00265D2D" w:rsidRPr="00120E16">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a3"/>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a3"/>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Pr="00120E16" w:rsidRDefault="00FB4C6B" w:rsidP="00265D2D">
      <w:pPr>
        <w:pStyle w:val="a3"/>
        <w:numPr>
          <w:ilvl w:val="0"/>
          <w:numId w:val="15"/>
        </w:numPr>
        <w:ind w:left="426"/>
        <w:rPr>
          <w:rFonts w:ascii="Arial" w:hAnsi="Arial" w:cs="Arial"/>
          <w:sz w:val="22"/>
          <w:szCs w:val="22"/>
          <w:highlight w:val="yellow"/>
          <w:lang w:val="en-GB"/>
        </w:rPr>
      </w:pPr>
      <w:r w:rsidRPr="00120E16">
        <w:rPr>
          <w:rFonts w:ascii="Arial" w:hAnsi="Arial" w:cs="Arial"/>
          <w:sz w:val="22"/>
          <w:szCs w:val="22"/>
          <w:highlight w:val="yellow"/>
          <w:lang w:val="en-GB"/>
        </w:rPr>
        <w:t>The bankrupt’s family home</w:t>
      </w:r>
      <w:r w:rsidR="007B3A5E" w:rsidRPr="00120E16">
        <w:rPr>
          <w:rFonts w:ascii="Arial" w:hAnsi="Arial" w:cs="Arial"/>
          <w:sz w:val="22"/>
          <w:szCs w:val="22"/>
          <w:highlight w:val="yellow"/>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B3A5E" w:rsidRDefault="007B3A5E" w:rsidP="00265D2D">
      <w:pPr>
        <w:pStyle w:val="a3"/>
        <w:numPr>
          <w:ilvl w:val="0"/>
          <w:numId w:val="15"/>
        </w:numPr>
        <w:autoSpaceDE w:val="0"/>
        <w:autoSpaceDN w:val="0"/>
        <w:adjustRightInd w:val="0"/>
        <w:ind w:left="426"/>
        <w:jc w:val="both"/>
        <w:rPr>
          <w:rFonts w:ascii="Arial" w:hAnsi="Arial" w:cs="Arial"/>
          <w:sz w:val="22"/>
          <w:szCs w:val="22"/>
        </w:rPr>
      </w:pPr>
      <w:r>
        <w:rPr>
          <w:rFonts w:ascii="Arial" w:hAnsi="Arial" w:cs="Arial"/>
          <w:sz w:val="22"/>
          <w:szCs w:val="22"/>
          <w:lang w:val="en-GB"/>
        </w:rPr>
        <w:t>S</w:t>
      </w:r>
      <w:r w:rsidR="00AD12C7" w:rsidRPr="007B3A5E">
        <w:rPr>
          <w:rFonts w:ascii="Arial" w:hAnsi="Arial" w:cs="Arial"/>
          <w:sz w:val="22"/>
          <w:szCs w:val="22"/>
          <w:lang w:val="en-GB"/>
        </w:rPr>
        <w:t>uperannuation funds</w:t>
      </w:r>
      <w:r>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2D64B4" w:rsidRDefault="007B3A5E" w:rsidP="00265D2D">
      <w:pPr>
        <w:pStyle w:val="a3"/>
        <w:numPr>
          <w:ilvl w:val="0"/>
          <w:numId w:val="16"/>
        </w:numPr>
        <w:ind w:left="426"/>
        <w:jc w:val="both"/>
        <w:rPr>
          <w:rFonts w:ascii="Arial" w:hAnsi="Arial" w:cs="Arial"/>
          <w:sz w:val="22"/>
          <w:szCs w:val="22"/>
          <w:highlight w:val="yellow"/>
          <w:lang w:val="en-GB"/>
        </w:rPr>
      </w:pPr>
      <w:r w:rsidRPr="002D64B4">
        <w:rPr>
          <w:rFonts w:ascii="Arial" w:hAnsi="Arial" w:cs="Arial"/>
          <w:sz w:val="22"/>
          <w:szCs w:val="22"/>
          <w:highlight w:val="yellow"/>
          <w:lang w:val="en-GB"/>
        </w:rPr>
        <w:t>T</w:t>
      </w:r>
      <w:r w:rsidR="00AD12C7" w:rsidRPr="002D64B4">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D64B4" w:rsidRDefault="00265D2D" w:rsidP="00265D2D">
      <w:pPr>
        <w:ind w:left="66"/>
        <w:jc w:val="both"/>
        <w:rPr>
          <w:rFonts w:ascii="Arial" w:hAnsi="Arial" w:cs="Arial"/>
          <w:sz w:val="22"/>
          <w:szCs w:val="22"/>
          <w:lang w:val="en-GB"/>
        </w:rPr>
      </w:pPr>
    </w:p>
    <w:p w14:paraId="4AD7C72C" w14:textId="49071E0B" w:rsidR="00AD12C7"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a3"/>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a3"/>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FC5347" w:rsidRDefault="0089536F" w:rsidP="00265D2D">
      <w:pPr>
        <w:pStyle w:val="a3"/>
        <w:numPr>
          <w:ilvl w:val="0"/>
          <w:numId w:val="17"/>
        </w:numPr>
        <w:ind w:left="426"/>
        <w:rPr>
          <w:rFonts w:ascii="Arial" w:hAnsi="Arial" w:cs="Arial"/>
          <w:sz w:val="22"/>
          <w:szCs w:val="22"/>
          <w:highlight w:val="yellow"/>
          <w:lang w:val="en-GB"/>
        </w:rPr>
      </w:pPr>
      <w:r w:rsidRPr="00FC5347">
        <w:rPr>
          <w:rFonts w:ascii="Arial" w:hAnsi="Arial" w:cs="Arial"/>
          <w:sz w:val="22"/>
          <w:szCs w:val="22"/>
          <w:highlight w:val="yellow"/>
          <w:lang w:val="en-GB"/>
        </w:rPr>
        <w:t>the directors resolve that the company is insolvent or likely to become insolvent.</w:t>
      </w: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Pr="00C16EB4" w:rsidRDefault="00AD12C7" w:rsidP="00265D2D">
      <w:pPr>
        <w:pStyle w:val="a3"/>
        <w:numPr>
          <w:ilvl w:val="0"/>
          <w:numId w:val="19"/>
        </w:numPr>
        <w:ind w:left="426"/>
        <w:jc w:val="both"/>
        <w:rPr>
          <w:rFonts w:ascii="Arial" w:hAnsi="Arial" w:cs="Arial"/>
          <w:sz w:val="22"/>
          <w:szCs w:val="22"/>
          <w:highlight w:val="yellow"/>
          <w:lang w:val="en-GB"/>
        </w:rPr>
      </w:pPr>
      <w:r w:rsidRPr="00C16EB4">
        <w:rPr>
          <w:rFonts w:ascii="Arial" w:hAnsi="Arial" w:cs="Arial"/>
          <w:sz w:val="22"/>
          <w:szCs w:val="22"/>
          <w:highlight w:val="yellow"/>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a3"/>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a3"/>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7A1F60" w:rsidRDefault="00416D2B" w:rsidP="00265D2D">
      <w:pPr>
        <w:pStyle w:val="a3"/>
        <w:numPr>
          <w:ilvl w:val="0"/>
          <w:numId w:val="20"/>
        </w:numPr>
        <w:ind w:left="426"/>
        <w:jc w:val="both"/>
        <w:rPr>
          <w:rFonts w:ascii="Arial" w:hAnsi="Arial" w:cs="Arial"/>
          <w:sz w:val="22"/>
          <w:szCs w:val="22"/>
          <w:highlight w:val="yellow"/>
          <w:lang w:val="en-GB"/>
        </w:rPr>
      </w:pPr>
      <w:r w:rsidRPr="007A1F60">
        <w:rPr>
          <w:rFonts w:ascii="Arial" w:hAnsi="Arial" w:cs="Arial"/>
          <w:sz w:val="22"/>
          <w:szCs w:val="22"/>
          <w:highlight w:val="yellow"/>
          <w:lang w:val="en-GB"/>
        </w:rPr>
        <w:t>T</w:t>
      </w:r>
      <w:r w:rsidR="002476AF" w:rsidRPr="007A1F60">
        <w:rPr>
          <w:rFonts w:ascii="Arial" w:hAnsi="Arial" w:cs="Arial"/>
          <w:sz w:val="22"/>
          <w:szCs w:val="22"/>
          <w:highlight w:val="yellow"/>
          <w:lang w:val="en-GB"/>
        </w:rPr>
        <w:t xml:space="preserve">he part dealing with receivers, and other controllers, of property of </w:t>
      </w:r>
      <w:r w:rsidRPr="007A1F60">
        <w:rPr>
          <w:rFonts w:ascii="Arial" w:hAnsi="Arial" w:cs="Arial"/>
          <w:sz w:val="22"/>
          <w:szCs w:val="22"/>
          <w:highlight w:val="yellow"/>
          <w:lang w:val="en-GB"/>
        </w:rPr>
        <w:t xml:space="preserve">the </w:t>
      </w:r>
      <w:r w:rsidR="002476AF" w:rsidRPr="007A1F60">
        <w:rPr>
          <w:rFonts w:ascii="Arial" w:hAnsi="Arial" w:cs="Arial"/>
          <w:sz w:val="22"/>
          <w:szCs w:val="22"/>
          <w:highlight w:val="yellow"/>
          <w:lang w:val="en-GB"/>
        </w:rPr>
        <w:t>corporation</w:t>
      </w:r>
      <w:r w:rsidRPr="007A1F60">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a3"/>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7A1F60" w:rsidRDefault="002476AF" w:rsidP="00265D2D">
      <w:pPr>
        <w:pStyle w:val="a3"/>
        <w:numPr>
          <w:ilvl w:val="0"/>
          <w:numId w:val="21"/>
        </w:numPr>
        <w:ind w:left="426"/>
        <w:jc w:val="both"/>
        <w:rPr>
          <w:rFonts w:ascii="Arial" w:hAnsi="Arial" w:cs="Arial"/>
          <w:sz w:val="22"/>
          <w:szCs w:val="22"/>
          <w:highlight w:val="yellow"/>
          <w:lang w:val="en-GB"/>
        </w:rPr>
      </w:pPr>
      <w:r w:rsidRPr="007A1F60">
        <w:rPr>
          <w:rFonts w:ascii="Arial" w:hAnsi="Arial" w:cs="Arial"/>
          <w:sz w:val="22"/>
          <w:szCs w:val="22"/>
          <w:highlight w:val="yellow"/>
          <w:lang w:val="en-GB"/>
        </w:rPr>
        <w:t xml:space="preserve">simplified </w:t>
      </w:r>
      <w:r w:rsidR="008235B7" w:rsidRPr="007A1F60">
        <w:rPr>
          <w:rFonts w:ascii="Arial" w:hAnsi="Arial" w:cs="Arial"/>
          <w:sz w:val="22"/>
          <w:szCs w:val="22"/>
          <w:highlight w:val="yellow"/>
          <w:lang w:val="en-GB"/>
        </w:rPr>
        <w:t>restructuring and liquidation regimes for small companies</w:t>
      </w:r>
      <w:r w:rsidRPr="007A1F60">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a3"/>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a3"/>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28E0C044"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 xml:space="preserve">reversed by a bankruptcy trustee and describe the circumstances in which such a transaction will not be </w:t>
      </w:r>
      <w:r w:rsidR="00ED6606">
        <w:rPr>
          <w:rFonts w:ascii="Arial" w:hAnsi="Arial" w:cs="Arial"/>
          <w:sz w:val="22"/>
          <w:szCs w:val="22"/>
          <w:lang w:val="en-GB"/>
        </w:rPr>
        <w:t>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0A0E4C51" w:rsidR="009B07AD" w:rsidRPr="00ED6606" w:rsidRDefault="00D017F4" w:rsidP="00920DC1">
      <w:pPr>
        <w:jc w:val="both"/>
        <w:rPr>
          <w:rFonts w:ascii="Arial" w:hAnsi="Arial" w:cs="Arial"/>
          <w:sz w:val="22"/>
          <w:szCs w:val="22"/>
          <w:lang w:val="en-GB"/>
        </w:rPr>
      </w:pPr>
      <w:r w:rsidRPr="00ED6606">
        <w:rPr>
          <w:rFonts w:ascii="Arial" w:hAnsi="Arial" w:cs="Arial"/>
          <w:sz w:val="22"/>
          <w:szCs w:val="22"/>
          <w:lang w:val="en-GB"/>
        </w:rPr>
        <w:t>The following three types of voidable transactions can be reversed by a bankruptcy trustee:</w:t>
      </w:r>
    </w:p>
    <w:p w14:paraId="2883C6E4" w14:textId="5CE5EF38" w:rsidR="00CE3A90" w:rsidRPr="00ED6606" w:rsidRDefault="00D017F4" w:rsidP="00684170">
      <w:pPr>
        <w:jc w:val="both"/>
        <w:rPr>
          <w:rFonts w:ascii="Arial" w:eastAsia="宋体" w:hAnsi="Arial" w:cs="Arial"/>
          <w:sz w:val="22"/>
          <w:szCs w:val="22"/>
          <w:lang w:val="en-GB" w:eastAsia="zh-CN"/>
        </w:rPr>
      </w:pPr>
      <w:r w:rsidRPr="00ED6606">
        <w:rPr>
          <w:rFonts w:ascii="Arial" w:hAnsi="Arial" w:cs="Arial"/>
          <w:sz w:val="22"/>
          <w:szCs w:val="22"/>
          <w:lang w:val="en-GB"/>
        </w:rPr>
        <w:t>1.</w:t>
      </w:r>
      <w:r w:rsidR="005949EF" w:rsidRPr="00ED6606">
        <w:rPr>
          <w:rFonts w:ascii="Arial" w:hAnsi="Arial" w:cs="Arial"/>
          <w:sz w:val="22"/>
          <w:szCs w:val="22"/>
          <w:lang w:val="en-GB"/>
        </w:rPr>
        <w:t>Undervalue transactions</w:t>
      </w:r>
      <w:r w:rsidR="00566A29">
        <w:rPr>
          <w:rFonts w:ascii="Arial" w:hAnsi="Arial" w:cs="Arial"/>
          <w:sz w:val="22"/>
          <w:szCs w:val="22"/>
          <w:lang w:val="en-GB"/>
        </w:rPr>
        <w:t xml:space="preserve"> (</w:t>
      </w:r>
      <w:r w:rsidR="00920DC1" w:rsidRPr="00ED6606">
        <w:rPr>
          <w:rFonts w:ascii="Arial" w:hAnsi="Arial" w:cs="Arial"/>
          <w:sz w:val="22"/>
          <w:szCs w:val="22"/>
          <w:lang w:val="en-GB"/>
        </w:rPr>
        <w:t xml:space="preserve">section 120 of the </w:t>
      </w:r>
      <w:r w:rsidR="00045E8F" w:rsidRPr="00ED6606">
        <w:rPr>
          <w:rFonts w:ascii="Arial" w:hAnsi="Arial" w:cs="Arial"/>
          <w:sz w:val="22"/>
          <w:szCs w:val="22"/>
          <w:lang w:val="en-GB"/>
        </w:rPr>
        <w:t>B</w:t>
      </w:r>
      <w:r w:rsidR="00920DC1" w:rsidRPr="00ED6606">
        <w:rPr>
          <w:rFonts w:ascii="Arial" w:hAnsi="Arial" w:cs="Arial"/>
          <w:sz w:val="22"/>
          <w:szCs w:val="22"/>
          <w:lang w:val="en-GB"/>
        </w:rPr>
        <w:t xml:space="preserve">ankruptcy </w:t>
      </w:r>
      <w:r w:rsidR="00045E8F" w:rsidRPr="00ED6606">
        <w:rPr>
          <w:rFonts w:ascii="Arial" w:hAnsi="Arial" w:cs="Arial"/>
          <w:sz w:val="22"/>
          <w:szCs w:val="22"/>
          <w:lang w:val="en-GB"/>
        </w:rPr>
        <w:t>A</w:t>
      </w:r>
      <w:r w:rsidR="00920DC1" w:rsidRPr="00ED6606">
        <w:rPr>
          <w:rFonts w:ascii="Arial" w:hAnsi="Arial" w:cs="Arial"/>
          <w:sz w:val="22"/>
          <w:szCs w:val="22"/>
          <w:lang w:val="en-GB"/>
        </w:rPr>
        <w:t>ct</w:t>
      </w:r>
      <w:r w:rsidR="00566A29">
        <w:rPr>
          <w:rFonts w:ascii="Arial" w:hAnsi="Arial" w:cs="Arial"/>
          <w:sz w:val="22"/>
          <w:szCs w:val="22"/>
          <w:lang w:val="en-GB"/>
        </w:rPr>
        <w:t>)</w:t>
      </w:r>
      <w:r w:rsidR="00920DC1" w:rsidRPr="00ED6606">
        <w:rPr>
          <w:rFonts w:ascii="Arial" w:hAnsi="Arial" w:cs="Arial"/>
          <w:sz w:val="22"/>
          <w:szCs w:val="22"/>
          <w:lang w:val="en-GB"/>
        </w:rPr>
        <w:t xml:space="preserve">. </w:t>
      </w:r>
      <w:r w:rsidR="00492C0A" w:rsidRPr="00ED6606">
        <w:rPr>
          <w:rFonts w:ascii="Arial" w:hAnsi="Arial" w:cs="Arial"/>
          <w:sz w:val="22"/>
          <w:szCs w:val="22"/>
          <w:lang w:val="en-GB"/>
        </w:rPr>
        <w:t>In order to recover an undervalued transaction,</w:t>
      </w:r>
      <w:r w:rsidR="00E54D1D" w:rsidRPr="00ED6606">
        <w:rPr>
          <w:rFonts w:ascii="Arial" w:hAnsi="Arial" w:cs="Arial"/>
          <w:sz w:val="22"/>
          <w:szCs w:val="22"/>
          <w:lang w:val="en-GB"/>
        </w:rPr>
        <w:t xml:space="preserve"> two conditions need to be satisfied</w:t>
      </w:r>
      <w:r w:rsidR="00684170" w:rsidRPr="00ED6606">
        <w:rPr>
          <w:rFonts w:ascii="Arial" w:hAnsi="Arial" w:cs="Arial"/>
          <w:sz w:val="22"/>
          <w:szCs w:val="22"/>
          <w:lang w:val="en-GB"/>
        </w:rPr>
        <w:t>:(a)</w:t>
      </w:r>
      <w:r w:rsidR="00CE3A90" w:rsidRPr="00ED6606">
        <w:rPr>
          <w:rFonts w:ascii="Arial" w:hAnsi="Arial" w:cs="Arial"/>
          <w:sz w:val="22"/>
          <w:szCs w:val="22"/>
          <w:lang w:val="en-GB"/>
        </w:rPr>
        <w:t xml:space="preserve"> </w:t>
      </w:r>
      <w:r w:rsidR="00684170" w:rsidRPr="00ED6606">
        <w:rPr>
          <w:rFonts w:ascii="Arial" w:hAnsi="Arial" w:cs="Arial"/>
          <w:sz w:val="22"/>
          <w:szCs w:val="22"/>
          <w:lang w:val="en-GB"/>
        </w:rPr>
        <w:t>the</w:t>
      </w:r>
      <w:r w:rsidR="00CE3A90" w:rsidRPr="00ED6606">
        <w:rPr>
          <w:rFonts w:ascii="Arial" w:hAnsi="Arial" w:cs="Arial"/>
          <w:sz w:val="22"/>
          <w:szCs w:val="22"/>
          <w:lang w:val="en-GB"/>
        </w:rPr>
        <w:t xml:space="preserve"> </w:t>
      </w:r>
      <w:r w:rsidR="00684170" w:rsidRPr="00ED6606">
        <w:rPr>
          <w:rFonts w:ascii="Arial" w:hAnsi="Arial" w:cs="Arial"/>
          <w:sz w:val="22"/>
          <w:szCs w:val="22"/>
          <w:lang w:val="en-GB"/>
        </w:rPr>
        <w:t xml:space="preserve">transfer took place in the period beginning 5 years before the commencement of the bankruptcy and ending on the date of the bankruptcy; (b) the transferee gave no consideration for the transfer or gave consideration of less value than the market value of the property. </w:t>
      </w:r>
    </w:p>
    <w:p w14:paraId="61926723" w14:textId="28CF6A89" w:rsidR="00D017F4" w:rsidRPr="00ED6606" w:rsidRDefault="00ED6606" w:rsidP="009A4250">
      <w:pPr>
        <w:jc w:val="both"/>
        <w:rPr>
          <w:rFonts w:ascii="Arial" w:hAnsi="Arial" w:cs="Arial"/>
          <w:sz w:val="22"/>
          <w:szCs w:val="22"/>
          <w:lang w:val="en-GB"/>
        </w:rPr>
      </w:pPr>
      <w:r w:rsidRPr="00ED6606">
        <w:rPr>
          <w:rFonts w:ascii="Arial" w:hAnsi="Arial" w:cs="Arial"/>
          <w:sz w:val="22"/>
          <w:szCs w:val="22"/>
          <w:lang w:val="en-GB"/>
        </w:rPr>
        <w:t>Further, a</w:t>
      </w:r>
      <w:r w:rsidR="00684170" w:rsidRPr="00ED6606">
        <w:rPr>
          <w:rFonts w:ascii="Arial" w:hAnsi="Arial" w:cs="Arial"/>
          <w:sz w:val="22"/>
          <w:szCs w:val="22"/>
          <w:lang w:val="en-GB"/>
        </w:rPr>
        <w:t>s to the irreversible circumstances</w:t>
      </w:r>
      <w:r w:rsidR="00CE3A90" w:rsidRPr="00ED6606">
        <w:rPr>
          <w:rFonts w:ascii="Arial" w:hAnsi="Arial" w:cs="Arial"/>
          <w:sz w:val="22"/>
          <w:szCs w:val="22"/>
          <w:lang w:val="en-GB"/>
        </w:rPr>
        <w:t xml:space="preserve"> for</w:t>
      </w:r>
      <w:r w:rsidRPr="00ED6606">
        <w:rPr>
          <w:rFonts w:ascii="Arial" w:hAnsi="Arial" w:cs="Arial"/>
          <w:sz w:val="22"/>
          <w:szCs w:val="22"/>
          <w:lang w:val="en-GB"/>
        </w:rPr>
        <w:t xml:space="preserve"> an u</w:t>
      </w:r>
      <w:r w:rsidR="00CE3A90" w:rsidRPr="00ED6606">
        <w:rPr>
          <w:rFonts w:ascii="Arial" w:hAnsi="Arial" w:cs="Arial"/>
          <w:sz w:val="22"/>
          <w:szCs w:val="22"/>
          <w:lang w:val="en-GB"/>
        </w:rPr>
        <w:t>ndervalue transaction</w:t>
      </w:r>
      <w:r w:rsidR="00684170" w:rsidRPr="00ED6606">
        <w:rPr>
          <w:rFonts w:ascii="Arial" w:hAnsi="Arial" w:cs="Arial"/>
          <w:sz w:val="22"/>
          <w:szCs w:val="22"/>
          <w:lang w:val="en-GB"/>
        </w:rPr>
        <w:t>,</w:t>
      </w:r>
      <w:r w:rsidR="00920DC1" w:rsidRPr="00ED6606">
        <w:rPr>
          <w:rFonts w:ascii="Arial" w:hAnsi="Arial" w:cs="Arial"/>
          <w:sz w:val="22"/>
          <w:szCs w:val="22"/>
          <w:lang w:val="en-GB"/>
        </w:rPr>
        <w:t xml:space="preserve"> subsection 120</w:t>
      </w:r>
      <w:r>
        <w:rPr>
          <w:rFonts w:ascii="Arial" w:eastAsia="宋体" w:hAnsi="Arial" w:cs="Arial" w:hint="eastAsia"/>
          <w:sz w:val="22"/>
          <w:szCs w:val="22"/>
          <w:lang w:val="en-GB" w:eastAsia="zh-CN"/>
        </w:rPr>
        <w:t>(</w:t>
      </w:r>
      <w:r w:rsidR="00920DC1" w:rsidRPr="00ED6606">
        <w:rPr>
          <w:rFonts w:ascii="Arial" w:hAnsi="Arial" w:cs="Arial"/>
          <w:sz w:val="22"/>
          <w:szCs w:val="22"/>
          <w:lang w:val="en-GB"/>
        </w:rPr>
        <w:t>2</w:t>
      </w:r>
      <w:r>
        <w:rPr>
          <w:rFonts w:ascii="Arial" w:hAnsi="Arial" w:cs="Arial"/>
          <w:sz w:val="22"/>
          <w:szCs w:val="22"/>
          <w:lang w:val="en-GB"/>
        </w:rPr>
        <w:t>)</w:t>
      </w:r>
      <w:r>
        <w:rPr>
          <w:rFonts w:ascii="Arial" w:eastAsia="宋体" w:hAnsi="Arial" w:cs="Arial"/>
          <w:sz w:val="22"/>
          <w:szCs w:val="22"/>
          <w:lang w:val="en-GB" w:eastAsia="zh-CN"/>
        </w:rPr>
        <w:t xml:space="preserve"> </w:t>
      </w:r>
      <w:r w:rsidR="00684170" w:rsidRPr="00ED6606">
        <w:rPr>
          <w:rFonts w:ascii="Arial" w:hAnsi="Arial" w:cs="Arial"/>
          <w:sz w:val="22"/>
          <w:szCs w:val="22"/>
          <w:lang w:val="en-GB"/>
        </w:rPr>
        <w:t xml:space="preserve">of the bankruptcy act provided </w:t>
      </w:r>
      <w:r>
        <w:rPr>
          <w:rFonts w:ascii="Arial" w:hAnsi="Arial" w:cs="Arial"/>
          <w:sz w:val="22"/>
          <w:szCs w:val="22"/>
          <w:lang w:val="en-GB"/>
        </w:rPr>
        <w:t>that the following</w:t>
      </w:r>
      <w:r w:rsidR="00492C0A" w:rsidRPr="00ED6606">
        <w:rPr>
          <w:rFonts w:ascii="Arial" w:hAnsi="Arial" w:cs="Arial"/>
          <w:sz w:val="22"/>
          <w:szCs w:val="22"/>
          <w:lang w:val="en-GB"/>
        </w:rPr>
        <w:t xml:space="preserve"> types of transaction</w:t>
      </w:r>
      <w:r>
        <w:rPr>
          <w:rFonts w:ascii="Arial" w:hAnsi="Arial" w:cs="Arial"/>
          <w:sz w:val="22"/>
          <w:szCs w:val="22"/>
          <w:lang w:val="en-GB"/>
        </w:rPr>
        <w:t>s</w:t>
      </w:r>
      <w:r w:rsidR="00492C0A" w:rsidRPr="00ED6606">
        <w:rPr>
          <w:rFonts w:ascii="Arial" w:hAnsi="Arial" w:cs="Arial"/>
          <w:sz w:val="22"/>
          <w:szCs w:val="22"/>
          <w:lang w:val="en-GB"/>
        </w:rPr>
        <w:t xml:space="preserve"> are not reversable:</w:t>
      </w:r>
      <w:r>
        <w:rPr>
          <w:rFonts w:ascii="Arial" w:hAnsi="Arial" w:cs="Arial"/>
          <w:sz w:val="22"/>
          <w:szCs w:val="22"/>
          <w:lang w:val="en-GB"/>
        </w:rPr>
        <w:t xml:space="preserve"> </w:t>
      </w:r>
      <w:r w:rsidR="00920DC1" w:rsidRPr="00ED6606">
        <w:rPr>
          <w:rFonts w:ascii="Arial" w:hAnsi="Arial" w:cs="Arial"/>
          <w:sz w:val="22"/>
          <w:szCs w:val="22"/>
          <w:lang w:val="en-GB"/>
        </w:rPr>
        <w:t>(a) a payment of tax payable under a law of the Commonwealth or of a State or Territory; (b) a transfer to meet all or part of a liability under a maintenance agreement or a maintenance order; (c) a transfer of property under a debt agreement; (d) a transfer of property if the transfer is of a kind described in the regulations</w:t>
      </w:r>
      <w:r w:rsidR="00492C0A" w:rsidRPr="00ED6606">
        <w:rPr>
          <w:rFonts w:ascii="Arial" w:hAnsi="Arial" w:cs="Arial"/>
          <w:sz w:val="22"/>
          <w:szCs w:val="22"/>
          <w:lang w:val="en-GB"/>
        </w:rPr>
        <w:t>.</w:t>
      </w:r>
      <w:r w:rsidR="00684170" w:rsidRPr="00ED6606">
        <w:rPr>
          <w:rFonts w:ascii="Arial" w:hAnsi="Arial" w:cs="Arial"/>
          <w:sz w:val="22"/>
          <w:szCs w:val="22"/>
          <w:lang w:val="en-GB"/>
        </w:rPr>
        <w:t xml:space="preserve"> And as a defence </w:t>
      </w:r>
      <w:r w:rsidR="00CE3A90" w:rsidRPr="00ED6606">
        <w:rPr>
          <w:rFonts w:ascii="Arial" w:hAnsi="Arial" w:cs="Arial"/>
          <w:sz w:val="22"/>
          <w:szCs w:val="22"/>
          <w:lang w:val="en-GB"/>
        </w:rPr>
        <w:t xml:space="preserve">for the </w:t>
      </w:r>
      <w:r w:rsidR="002A548A" w:rsidRPr="00ED6606">
        <w:rPr>
          <w:rFonts w:ascii="Arial" w:hAnsi="Arial" w:cs="Arial"/>
          <w:sz w:val="22"/>
          <w:szCs w:val="22"/>
          <w:lang w:val="en-GB"/>
        </w:rPr>
        <w:t>transferee</w:t>
      </w:r>
      <w:r w:rsidR="00CE3A90" w:rsidRPr="00ED6606">
        <w:rPr>
          <w:rFonts w:ascii="Arial" w:hAnsi="Arial" w:cs="Arial"/>
          <w:sz w:val="22"/>
          <w:szCs w:val="22"/>
          <w:lang w:val="en-GB"/>
        </w:rPr>
        <w:t>, according to subsection 120(3),</w:t>
      </w:r>
      <w:r w:rsidR="009A4250" w:rsidRPr="00ED6606">
        <w:rPr>
          <w:rFonts w:ascii="Arial" w:hAnsi="Arial" w:cs="Arial"/>
          <w:sz w:val="22"/>
          <w:szCs w:val="22"/>
          <w:lang w:val="en-GB"/>
        </w:rPr>
        <w:t xml:space="preserve"> if</w:t>
      </w:r>
      <w:r w:rsidR="002A548A" w:rsidRPr="00ED6606">
        <w:rPr>
          <w:rFonts w:ascii="Arial" w:hAnsi="Arial" w:cs="Arial"/>
          <w:sz w:val="22"/>
          <w:szCs w:val="22"/>
          <w:lang w:val="en-GB"/>
        </w:rPr>
        <w:t xml:space="preserve"> the </w:t>
      </w:r>
      <w:r w:rsidR="009A4250" w:rsidRPr="00ED6606">
        <w:rPr>
          <w:rFonts w:ascii="Arial" w:hAnsi="Arial" w:cs="Arial"/>
          <w:sz w:val="22"/>
          <w:szCs w:val="22"/>
          <w:lang w:val="en-GB"/>
        </w:rPr>
        <w:t>transactions occurred more than two years before the commencement date, or more than 4 years before the commencement date for a connected transferee,</w:t>
      </w:r>
      <w:r>
        <w:rPr>
          <w:rFonts w:ascii="Arial" w:hAnsi="Arial" w:cs="Arial"/>
          <w:sz w:val="22"/>
          <w:szCs w:val="22"/>
          <w:lang w:val="en-GB"/>
        </w:rPr>
        <w:t xml:space="preserve"> or </w:t>
      </w:r>
      <w:r w:rsidR="009A4250" w:rsidRPr="00ED6606">
        <w:rPr>
          <w:rFonts w:ascii="Arial" w:hAnsi="Arial" w:cs="Arial"/>
          <w:sz w:val="22"/>
          <w:szCs w:val="22"/>
          <w:lang w:val="en-GB"/>
        </w:rPr>
        <w:t>the transferee can prove that the transferor was solvent</w:t>
      </w:r>
      <w:r w:rsidRPr="00ED6606">
        <w:rPr>
          <w:rFonts w:ascii="Arial" w:hAnsi="Arial" w:cs="Arial"/>
          <w:sz w:val="22"/>
          <w:szCs w:val="22"/>
          <w:lang w:val="en-GB"/>
        </w:rPr>
        <w:t xml:space="preserve"> at the</w:t>
      </w:r>
      <w:r>
        <w:rPr>
          <w:rFonts w:ascii="Arial" w:hAnsi="Arial" w:cs="Arial"/>
          <w:sz w:val="22"/>
          <w:szCs w:val="22"/>
          <w:lang w:val="en-GB"/>
        </w:rPr>
        <w:t xml:space="preserve"> time</w:t>
      </w:r>
      <w:r w:rsidRPr="00ED6606">
        <w:rPr>
          <w:rFonts w:ascii="Arial" w:hAnsi="Arial" w:cs="Arial"/>
          <w:sz w:val="22"/>
          <w:szCs w:val="22"/>
          <w:lang w:val="en-GB"/>
        </w:rPr>
        <w:t xml:space="preserve"> </w:t>
      </w:r>
      <w:r>
        <w:rPr>
          <w:rFonts w:ascii="Arial" w:hAnsi="Arial" w:cs="Arial"/>
          <w:sz w:val="22"/>
          <w:szCs w:val="22"/>
          <w:lang w:val="en-GB"/>
        </w:rPr>
        <w:t xml:space="preserve">of </w:t>
      </w:r>
      <w:r w:rsidRPr="00ED6606">
        <w:rPr>
          <w:rFonts w:ascii="Arial" w:hAnsi="Arial" w:cs="Arial"/>
          <w:sz w:val="22"/>
          <w:szCs w:val="22"/>
          <w:lang w:val="en-GB"/>
        </w:rPr>
        <w:t>the transfer</w:t>
      </w:r>
      <w:r>
        <w:rPr>
          <w:rFonts w:ascii="Arial" w:hAnsi="Arial" w:cs="Arial"/>
          <w:sz w:val="22"/>
          <w:szCs w:val="22"/>
          <w:lang w:val="en-GB"/>
        </w:rPr>
        <w:t>, the transaction will not be reversible.</w:t>
      </w:r>
    </w:p>
    <w:p w14:paraId="66F07758" w14:textId="4BAB1085" w:rsidR="005949EF" w:rsidRPr="00ED6606" w:rsidRDefault="005949EF" w:rsidP="00C50C85">
      <w:pPr>
        <w:jc w:val="both"/>
        <w:rPr>
          <w:rFonts w:ascii="Arial" w:hAnsi="Arial" w:cs="Arial"/>
          <w:sz w:val="22"/>
          <w:szCs w:val="22"/>
          <w:lang w:val="en-GB"/>
        </w:rPr>
      </w:pPr>
      <w:r w:rsidRPr="00ED6606">
        <w:rPr>
          <w:rFonts w:ascii="Arial" w:hAnsi="Arial" w:cs="Arial"/>
          <w:sz w:val="22"/>
          <w:szCs w:val="22"/>
          <w:lang w:val="en-GB"/>
        </w:rPr>
        <w:t>2.T</w:t>
      </w:r>
      <w:r w:rsidR="00C50C85" w:rsidRPr="00ED6606">
        <w:rPr>
          <w:rFonts w:ascii="Arial" w:hAnsi="Arial" w:cs="Arial"/>
          <w:sz w:val="22"/>
          <w:szCs w:val="22"/>
          <w:lang w:val="en-GB"/>
        </w:rPr>
        <w:t>r</w:t>
      </w:r>
      <w:r w:rsidRPr="00ED6606">
        <w:rPr>
          <w:rFonts w:ascii="Arial" w:hAnsi="Arial" w:cs="Arial"/>
          <w:sz w:val="22"/>
          <w:szCs w:val="22"/>
          <w:lang w:val="en-GB"/>
        </w:rPr>
        <w:t>ansfers to defeat creditors</w:t>
      </w:r>
      <w:r w:rsidR="00045E8F" w:rsidRPr="00ED6606">
        <w:rPr>
          <w:rFonts w:ascii="Arial" w:hAnsi="Arial" w:cs="Arial"/>
          <w:sz w:val="22"/>
          <w:szCs w:val="22"/>
          <w:lang w:val="en-GB"/>
        </w:rPr>
        <w:t xml:space="preserve"> </w:t>
      </w:r>
      <w:r w:rsidR="00566A29">
        <w:rPr>
          <w:rFonts w:ascii="Arial" w:hAnsi="Arial" w:cs="Arial"/>
          <w:sz w:val="22"/>
          <w:szCs w:val="22"/>
          <w:lang w:val="en-GB"/>
        </w:rPr>
        <w:t>(</w:t>
      </w:r>
      <w:r w:rsidR="00045E8F" w:rsidRPr="00ED6606">
        <w:rPr>
          <w:rFonts w:ascii="Arial" w:hAnsi="Arial" w:cs="Arial"/>
          <w:sz w:val="22"/>
          <w:szCs w:val="22"/>
          <w:lang w:val="en-GB"/>
        </w:rPr>
        <w:t>section 121 of the Bankruptcy Act</w:t>
      </w:r>
      <w:r w:rsidR="00566A29">
        <w:rPr>
          <w:rFonts w:ascii="Arial" w:hAnsi="Arial" w:cs="Arial"/>
          <w:sz w:val="22"/>
          <w:szCs w:val="22"/>
          <w:lang w:val="en-GB"/>
        </w:rPr>
        <w:t>)</w:t>
      </w:r>
      <w:r w:rsidRPr="00ED6606">
        <w:rPr>
          <w:rFonts w:ascii="Arial" w:hAnsi="Arial" w:cs="Arial"/>
          <w:sz w:val="22"/>
          <w:szCs w:val="22"/>
          <w:lang w:val="en-GB"/>
        </w:rPr>
        <w:t>.</w:t>
      </w:r>
      <w:r w:rsidR="00513AF0" w:rsidRPr="00ED6606">
        <w:rPr>
          <w:rFonts w:ascii="Arial" w:hAnsi="Arial" w:cs="Arial"/>
          <w:sz w:val="22"/>
          <w:szCs w:val="22"/>
          <w:lang w:val="en-GB"/>
        </w:rPr>
        <w:t xml:space="preserve"> In order to avoid this type of transaction,</w:t>
      </w:r>
      <w:r w:rsidR="00E54D1D" w:rsidRPr="00ED6606">
        <w:rPr>
          <w:rFonts w:ascii="Arial" w:hAnsi="Arial" w:cs="Arial"/>
          <w:sz w:val="22"/>
          <w:szCs w:val="22"/>
          <w:lang w:val="en-GB"/>
        </w:rPr>
        <w:t xml:space="preserve"> two conditions need to be satisfied: (a) the property would probably have become part of the transferor’s estate or been available for creditors</w:t>
      </w:r>
      <w:r w:rsidR="00D45094" w:rsidRPr="00ED6606">
        <w:rPr>
          <w:rFonts w:ascii="Arial" w:hAnsi="Arial" w:cs="Arial"/>
          <w:sz w:val="22"/>
          <w:szCs w:val="22"/>
          <w:lang w:val="en-GB"/>
        </w:rPr>
        <w:t>;</w:t>
      </w:r>
      <w:r w:rsidR="00566A29">
        <w:rPr>
          <w:rFonts w:ascii="Arial" w:hAnsi="Arial" w:cs="Arial"/>
          <w:sz w:val="22"/>
          <w:szCs w:val="22"/>
          <w:lang w:val="en-GB"/>
        </w:rPr>
        <w:t xml:space="preserve"> </w:t>
      </w:r>
      <w:r w:rsidR="00D45094" w:rsidRPr="00ED6606">
        <w:rPr>
          <w:rFonts w:ascii="Arial" w:hAnsi="Arial" w:cs="Arial"/>
          <w:sz w:val="22"/>
          <w:szCs w:val="22"/>
          <w:lang w:val="en-GB"/>
        </w:rPr>
        <w:t>(b) the main purpose of the debtor is to prevent, hinder or delay creditors from paying. And</w:t>
      </w:r>
      <w:r w:rsidR="00566A29" w:rsidRPr="00566A29">
        <w:rPr>
          <w:rFonts w:ascii="Arial" w:hAnsi="Arial" w:cs="Arial"/>
          <w:sz w:val="22"/>
          <w:szCs w:val="22"/>
          <w:lang w:val="en-GB"/>
        </w:rPr>
        <w:t xml:space="preserve"> </w:t>
      </w:r>
      <w:r w:rsidR="00566A29" w:rsidRPr="00ED6606">
        <w:rPr>
          <w:rFonts w:ascii="Arial" w:hAnsi="Arial" w:cs="Arial"/>
          <w:sz w:val="22"/>
          <w:szCs w:val="22"/>
          <w:lang w:val="en-GB"/>
        </w:rPr>
        <w:t>if it can be inferred that at the time of the transfer, the transferor was or was about to become insolvent</w:t>
      </w:r>
      <w:r w:rsidR="00566A29">
        <w:rPr>
          <w:rFonts w:ascii="Arial" w:hAnsi="Arial" w:cs="Arial"/>
          <w:sz w:val="22"/>
          <w:szCs w:val="22"/>
          <w:lang w:val="en-GB"/>
        </w:rPr>
        <w:t>,</w:t>
      </w:r>
      <w:r w:rsidR="00D45094" w:rsidRPr="00ED6606">
        <w:rPr>
          <w:rFonts w:ascii="Arial" w:hAnsi="Arial" w:cs="Arial"/>
          <w:sz w:val="22"/>
          <w:szCs w:val="22"/>
          <w:lang w:val="en-GB"/>
        </w:rPr>
        <w:t xml:space="preserve"> the purpose </w:t>
      </w:r>
      <w:r w:rsidR="00566A29">
        <w:rPr>
          <w:rFonts w:ascii="Arial" w:hAnsi="Arial" w:cs="Arial"/>
          <w:sz w:val="22"/>
          <w:szCs w:val="22"/>
          <w:lang w:val="en-GB"/>
        </w:rPr>
        <w:t xml:space="preserve">to defeat </w:t>
      </w:r>
      <w:r w:rsidR="00D45094" w:rsidRPr="00ED6606">
        <w:rPr>
          <w:rFonts w:ascii="Arial" w:hAnsi="Arial" w:cs="Arial"/>
          <w:sz w:val="22"/>
          <w:szCs w:val="22"/>
          <w:lang w:val="en-GB"/>
        </w:rPr>
        <w:t xml:space="preserve">is presumed to exist, </w:t>
      </w:r>
    </w:p>
    <w:p w14:paraId="007B9C41" w14:textId="619DA681" w:rsidR="00DB5440" w:rsidRPr="00ED6606" w:rsidRDefault="00C50C85" w:rsidP="00DB5440">
      <w:pPr>
        <w:jc w:val="both"/>
        <w:rPr>
          <w:rFonts w:ascii="Arial" w:hAnsi="Arial" w:cs="Arial"/>
          <w:sz w:val="22"/>
          <w:szCs w:val="22"/>
          <w:lang w:val="en-GB"/>
        </w:rPr>
      </w:pPr>
      <w:r w:rsidRPr="00ED6606">
        <w:rPr>
          <w:rFonts w:ascii="Arial" w:hAnsi="Arial" w:cs="Arial"/>
          <w:sz w:val="22"/>
          <w:szCs w:val="22"/>
          <w:lang w:val="en-GB"/>
        </w:rPr>
        <w:t>As to the irreversible circumstances for</w:t>
      </w:r>
      <w:r w:rsidR="007104B5">
        <w:rPr>
          <w:rFonts w:ascii="Arial" w:hAnsi="Arial" w:cs="Arial"/>
          <w:sz w:val="22"/>
          <w:szCs w:val="22"/>
          <w:lang w:val="en-GB"/>
        </w:rPr>
        <w:t xml:space="preserve"> a</w:t>
      </w:r>
      <w:r w:rsidRPr="00ED6606">
        <w:rPr>
          <w:rFonts w:ascii="Arial" w:hAnsi="Arial" w:cs="Arial"/>
          <w:sz w:val="22"/>
          <w:szCs w:val="22"/>
          <w:lang w:val="en-GB"/>
        </w:rPr>
        <w:t xml:space="preserve"> transfer to defeat creditors, the subsection 121(4) provided that, the transferee</w:t>
      </w:r>
      <w:r w:rsidR="007104B5">
        <w:rPr>
          <w:rFonts w:ascii="Arial" w:hAnsi="Arial" w:cs="Arial"/>
          <w:sz w:val="22"/>
          <w:szCs w:val="22"/>
          <w:lang w:val="en-GB"/>
        </w:rPr>
        <w:t xml:space="preserve"> will</w:t>
      </w:r>
      <w:r w:rsidRPr="00ED6606">
        <w:rPr>
          <w:rFonts w:ascii="Arial" w:hAnsi="Arial" w:cs="Arial"/>
          <w:sz w:val="22"/>
          <w:szCs w:val="22"/>
          <w:lang w:val="en-GB"/>
        </w:rPr>
        <w:t xml:space="preserve"> has a defence </w:t>
      </w:r>
      <w:r w:rsidR="007104B5">
        <w:rPr>
          <w:rFonts w:ascii="Arial" w:hAnsi="Arial" w:cs="Arial"/>
          <w:sz w:val="22"/>
          <w:szCs w:val="22"/>
          <w:lang w:val="en-GB"/>
        </w:rPr>
        <w:t xml:space="preserve">if the </w:t>
      </w:r>
      <w:r w:rsidR="007104B5" w:rsidRPr="00ED6606">
        <w:rPr>
          <w:rFonts w:ascii="Arial" w:hAnsi="Arial" w:cs="Arial"/>
          <w:sz w:val="22"/>
          <w:szCs w:val="22"/>
          <w:lang w:val="en-GB"/>
        </w:rPr>
        <w:t>transferee</w:t>
      </w:r>
      <w:r w:rsidR="007104B5">
        <w:rPr>
          <w:rFonts w:ascii="Arial" w:hAnsi="Arial" w:cs="Arial"/>
          <w:sz w:val="22"/>
          <w:szCs w:val="22"/>
          <w:lang w:val="en-GB"/>
        </w:rPr>
        <w:t xml:space="preserve"> can</w:t>
      </w:r>
      <w:r w:rsidRPr="00ED6606">
        <w:rPr>
          <w:rFonts w:ascii="Arial" w:hAnsi="Arial" w:cs="Arial"/>
          <w:sz w:val="22"/>
          <w:szCs w:val="22"/>
          <w:lang w:val="en-GB"/>
        </w:rPr>
        <w:t xml:space="preserve"> show</w:t>
      </w:r>
      <w:r w:rsidR="007104B5">
        <w:rPr>
          <w:rFonts w:ascii="Arial" w:hAnsi="Arial" w:cs="Arial"/>
          <w:sz w:val="22"/>
          <w:szCs w:val="22"/>
          <w:lang w:val="en-GB"/>
        </w:rPr>
        <w:t xml:space="preserve"> any of the facts below</w:t>
      </w:r>
      <w:r w:rsidR="00632939" w:rsidRPr="00ED6606">
        <w:rPr>
          <w:rFonts w:ascii="Arial" w:hAnsi="Arial" w:cs="Arial"/>
          <w:sz w:val="22"/>
          <w:szCs w:val="22"/>
          <w:lang w:val="en-GB"/>
        </w:rPr>
        <w:t xml:space="preserve">: (a) the </w:t>
      </w:r>
      <w:r w:rsidR="00F51FE9" w:rsidRPr="00ED6606">
        <w:rPr>
          <w:rFonts w:ascii="Arial" w:hAnsi="Arial" w:cs="Arial"/>
          <w:sz w:val="22"/>
          <w:szCs w:val="22"/>
          <w:lang w:val="en-GB"/>
        </w:rPr>
        <w:t xml:space="preserve">consideration given in the </w:t>
      </w:r>
      <w:r w:rsidR="00632939" w:rsidRPr="00ED6606">
        <w:rPr>
          <w:rFonts w:ascii="Arial" w:hAnsi="Arial" w:cs="Arial"/>
          <w:sz w:val="22"/>
          <w:szCs w:val="22"/>
          <w:lang w:val="en-GB"/>
        </w:rPr>
        <w:t xml:space="preserve">transfer was at least as valuable as the market value of the property; (b) at the time of the transfer, </w:t>
      </w:r>
      <w:r w:rsidR="00F51FE9" w:rsidRPr="00ED6606">
        <w:rPr>
          <w:rFonts w:ascii="Arial" w:hAnsi="Arial" w:cs="Arial"/>
          <w:sz w:val="22"/>
          <w:szCs w:val="22"/>
          <w:lang w:val="en-GB"/>
        </w:rPr>
        <w:t>the transferee did not know or could</w:t>
      </w:r>
      <w:r w:rsidR="00DB5440" w:rsidRPr="00ED6606">
        <w:rPr>
          <w:rFonts w:ascii="Arial" w:hAnsi="Arial" w:cs="Arial"/>
          <w:sz w:val="22"/>
          <w:szCs w:val="22"/>
          <w:lang w:val="en-GB"/>
        </w:rPr>
        <w:t xml:space="preserve"> not</w:t>
      </w:r>
      <w:r w:rsidR="00F51FE9" w:rsidRPr="00ED6606">
        <w:rPr>
          <w:rFonts w:ascii="Arial" w:hAnsi="Arial" w:cs="Arial"/>
          <w:sz w:val="22"/>
          <w:szCs w:val="22"/>
          <w:lang w:val="en-GB"/>
        </w:rPr>
        <w:t xml:space="preserve"> reasonably infer that the debtor had the prescribed purpose of defeating creditors;</w:t>
      </w:r>
      <w:r w:rsidR="007104B5">
        <w:rPr>
          <w:rFonts w:ascii="Arial" w:hAnsi="Arial" w:cs="Arial"/>
          <w:sz w:val="22"/>
          <w:szCs w:val="22"/>
          <w:lang w:val="en-GB"/>
        </w:rPr>
        <w:t xml:space="preserve"> </w:t>
      </w:r>
      <w:r w:rsidR="00F51FE9" w:rsidRPr="00ED6606">
        <w:rPr>
          <w:rFonts w:ascii="Arial" w:hAnsi="Arial" w:cs="Arial"/>
          <w:sz w:val="22"/>
          <w:szCs w:val="22"/>
          <w:lang w:val="en-GB"/>
        </w:rPr>
        <w:t xml:space="preserve">(c) </w:t>
      </w:r>
      <w:r w:rsidR="00DB5440" w:rsidRPr="00ED6606">
        <w:rPr>
          <w:rFonts w:ascii="Arial" w:hAnsi="Arial" w:cs="Arial"/>
          <w:sz w:val="22"/>
          <w:szCs w:val="22"/>
          <w:lang w:val="en-GB"/>
        </w:rPr>
        <w:t>at the time of the transfer, the transferee did not know or could not reasonably infer that the debtor was or was about to become insolvent.</w:t>
      </w:r>
    </w:p>
    <w:p w14:paraId="599AC83C" w14:textId="7B7D023F" w:rsidR="00DB5440" w:rsidRPr="00ED6606" w:rsidRDefault="005949EF" w:rsidP="00DB5440">
      <w:pPr>
        <w:jc w:val="both"/>
        <w:rPr>
          <w:rFonts w:ascii="Arial" w:hAnsi="Arial" w:cs="Arial"/>
          <w:sz w:val="22"/>
          <w:szCs w:val="22"/>
          <w:lang w:val="en-GB"/>
        </w:rPr>
      </w:pPr>
      <w:r w:rsidRPr="00ED6606">
        <w:rPr>
          <w:rFonts w:ascii="Arial" w:hAnsi="Arial" w:cs="Arial"/>
          <w:sz w:val="22"/>
          <w:szCs w:val="22"/>
          <w:lang w:val="en-GB"/>
        </w:rPr>
        <w:t>3.Preferential payments to creditors</w:t>
      </w:r>
      <w:r w:rsidR="000E552A">
        <w:rPr>
          <w:rFonts w:ascii="Arial" w:hAnsi="Arial" w:cs="Arial"/>
          <w:sz w:val="22"/>
          <w:szCs w:val="22"/>
          <w:lang w:val="en-GB"/>
        </w:rPr>
        <w:t xml:space="preserve"> (</w:t>
      </w:r>
      <w:r w:rsidR="000E552A" w:rsidRPr="00ED6606">
        <w:rPr>
          <w:rFonts w:ascii="Arial" w:hAnsi="Arial" w:cs="Arial"/>
          <w:sz w:val="22"/>
          <w:szCs w:val="22"/>
          <w:lang w:val="en-GB"/>
        </w:rPr>
        <w:t>section 12</w:t>
      </w:r>
      <w:r w:rsidR="000E552A">
        <w:rPr>
          <w:rFonts w:ascii="Arial" w:hAnsi="Arial" w:cs="Arial"/>
          <w:sz w:val="22"/>
          <w:szCs w:val="22"/>
          <w:lang w:val="en-GB"/>
        </w:rPr>
        <w:t>2</w:t>
      </w:r>
      <w:r w:rsidR="000E552A" w:rsidRPr="00ED6606">
        <w:rPr>
          <w:rFonts w:ascii="Arial" w:hAnsi="Arial" w:cs="Arial"/>
          <w:sz w:val="22"/>
          <w:szCs w:val="22"/>
          <w:lang w:val="en-GB"/>
        </w:rPr>
        <w:t xml:space="preserve"> of the Bankruptcy Act</w:t>
      </w:r>
      <w:r w:rsidR="000E552A">
        <w:rPr>
          <w:rFonts w:ascii="Arial" w:hAnsi="Arial" w:cs="Arial"/>
          <w:sz w:val="22"/>
          <w:szCs w:val="22"/>
          <w:lang w:val="en-GB"/>
        </w:rPr>
        <w:t>)</w:t>
      </w:r>
      <w:r w:rsidRPr="00ED6606">
        <w:rPr>
          <w:rFonts w:ascii="Arial" w:hAnsi="Arial" w:cs="Arial"/>
          <w:sz w:val="22"/>
          <w:szCs w:val="22"/>
          <w:lang w:val="en-GB"/>
        </w:rPr>
        <w:t>.</w:t>
      </w:r>
      <w:r w:rsidR="00DB5440" w:rsidRPr="00ED6606">
        <w:rPr>
          <w:rFonts w:ascii="Arial" w:hAnsi="Arial" w:cs="Arial"/>
          <w:sz w:val="22"/>
          <w:szCs w:val="22"/>
          <w:lang w:val="en-GB"/>
        </w:rPr>
        <w:t xml:space="preserve"> In order to avoid a preferential payment, two conditions need to be satisfied:</w:t>
      </w:r>
      <w:r w:rsidR="000E552A">
        <w:rPr>
          <w:rFonts w:ascii="Arial" w:hAnsi="Arial" w:cs="Arial"/>
          <w:sz w:val="22"/>
          <w:szCs w:val="22"/>
          <w:lang w:val="en-GB"/>
        </w:rPr>
        <w:t xml:space="preserve"> </w:t>
      </w:r>
      <w:r w:rsidR="00DB5440" w:rsidRPr="00ED6606">
        <w:rPr>
          <w:rFonts w:ascii="Arial" w:hAnsi="Arial" w:cs="Arial"/>
          <w:sz w:val="22"/>
          <w:szCs w:val="22"/>
          <w:lang w:val="en-GB"/>
        </w:rPr>
        <w:t>(</w:t>
      </w:r>
      <w:r w:rsidR="000E552A">
        <w:rPr>
          <w:rFonts w:ascii="Arial" w:hAnsi="Arial" w:cs="Arial"/>
          <w:sz w:val="22"/>
          <w:szCs w:val="22"/>
          <w:lang w:val="en-GB"/>
        </w:rPr>
        <w:t>a</w:t>
      </w:r>
      <w:r w:rsidR="00DB5440" w:rsidRPr="00ED6606">
        <w:rPr>
          <w:rFonts w:ascii="Arial" w:eastAsia="Segoe UI Emoji" w:hAnsi="Arial" w:cs="Arial"/>
          <w:sz w:val="22"/>
          <w:szCs w:val="22"/>
          <w:lang w:val="en-GB"/>
        </w:rPr>
        <w:t>) the transaction</w:t>
      </w:r>
      <w:r w:rsidR="00DB5440" w:rsidRPr="00ED6606">
        <w:rPr>
          <w:rFonts w:ascii="Arial" w:hAnsi="Arial" w:cs="Arial"/>
          <w:sz w:val="22"/>
          <w:szCs w:val="22"/>
          <w:lang w:val="en-GB"/>
        </w:rPr>
        <w:t xml:space="preserve"> had the effect of giving </w:t>
      </w:r>
      <w:r w:rsidR="000E552A">
        <w:rPr>
          <w:rFonts w:ascii="Arial" w:hAnsi="Arial" w:cs="Arial"/>
          <w:sz w:val="22"/>
          <w:szCs w:val="22"/>
          <w:lang w:val="en-GB"/>
        </w:rPr>
        <w:t>a</w:t>
      </w:r>
      <w:r w:rsidR="00DB5440" w:rsidRPr="00ED6606">
        <w:rPr>
          <w:rFonts w:ascii="Arial" w:hAnsi="Arial" w:cs="Arial"/>
          <w:sz w:val="22"/>
          <w:szCs w:val="22"/>
          <w:lang w:val="en-GB"/>
        </w:rPr>
        <w:t xml:space="preserve"> creditor</w:t>
      </w:r>
      <w:r w:rsidR="000E552A">
        <w:rPr>
          <w:rFonts w:ascii="Arial" w:hAnsi="Arial" w:cs="Arial"/>
          <w:sz w:val="22"/>
          <w:szCs w:val="22"/>
          <w:lang w:val="en-GB"/>
        </w:rPr>
        <w:t xml:space="preserve"> any </w:t>
      </w:r>
      <w:r w:rsidR="00DB5440" w:rsidRPr="00ED6606">
        <w:rPr>
          <w:rFonts w:ascii="Arial" w:hAnsi="Arial" w:cs="Arial"/>
          <w:sz w:val="22"/>
          <w:szCs w:val="22"/>
          <w:lang w:val="en-GB"/>
        </w:rPr>
        <w:t>preference, priority or advantage over other creditors; (b) the transaction was made in the prescribed period under section 122.</w:t>
      </w:r>
    </w:p>
    <w:p w14:paraId="4CE0571D" w14:textId="39E491CC" w:rsidR="00DB5440" w:rsidRPr="00ED6606" w:rsidRDefault="00E21FC4" w:rsidP="00DB5440">
      <w:pPr>
        <w:jc w:val="both"/>
        <w:rPr>
          <w:rFonts w:ascii="Arial" w:hAnsi="Arial" w:cs="Arial"/>
          <w:sz w:val="22"/>
          <w:szCs w:val="22"/>
          <w:lang w:val="en-GB"/>
        </w:rPr>
      </w:pPr>
      <w:r w:rsidRPr="00ED6606">
        <w:rPr>
          <w:rFonts w:ascii="Arial" w:hAnsi="Arial" w:cs="Arial"/>
          <w:sz w:val="22"/>
          <w:szCs w:val="22"/>
          <w:lang w:val="en-GB"/>
        </w:rPr>
        <w:t xml:space="preserve">As to the irreversible circumstances for preferential payments, the creditor has a defence that </w:t>
      </w:r>
      <w:r w:rsidR="00220948" w:rsidRPr="00ED6606">
        <w:rPr>
          <w:rFonts w:ascii="Arial" w:hAnsi="Arial" w:cs="Arial"/>
          <w:sz w:val="22"/>
          <w:szCs w:val="22"/>
          <w:lang w:val="en-GB"/>
        </w:rPr>
        <w:t>he or she acted</w:t>
      </w:r>
      <w:r w:rsidRPr="00ED6606">
        <w:rPr>
          <w:rFonts w:ascii="Arial" w:hAnsi="Arial" w:cs="Arial"/>
          <w:sz w:val="22"/>
          <w:szCs w:val="22"/>
          <w:lang w:val="en-GB"/>
        </w:rPr>
        <w:t xml:space="preserve"> in good faith</w:t>
      </w:r>
      <w:r w:rsidR="00220948" w:rsidRPr="00ED6606">
        <w:rPr>
          <w:rFonts w:ascii="Arial" w:hAnsi="Arial" w:cs="Arial"/>
          <w:sz w:val="22"/>
          <w:szCs w:val="22"/>
          <w:lang w:val="en-GB"/>
        </w:rPr>
        <w:t xml:space="preserve">, </w:t>
      </w:r>
      <w:r w:rsidR="000E552A">
        <w:rPr>
          <w:rFonts w:ascii="Arial" w:hAnsi="Arial" w:cs="Arial"/>
          <w:sz w:val="22"/>
          <w:szCs w:val="22"/>
          <w:lang w:val="en-GB"/>
        </w:rPr>
        <w:t xml:space="preserve">did so </w:t>
      </w:r>
      <w:r w:rsidR="00220948" w:rsidRPr="00ED6606">
        <w:rPr>
          <w:rFonts w:ascii="Arial" w:hAnsi="Arial" w:cs="Arial"/>
          <w:sz w:val="22"/>
          <w:szCs w:val="22"/>
          <w:lang w:val="en-GB"/>
        </w:rPr>
        <w:t xml:space="preserve">in the ordinary course of business </w:t>
      </w:r>
      <w:r w:rsidRPr="00ED6606">
        <w:rPr>
          <w:rFonts w:ascii="Arial" w:hAnsi="Arial" w:cs="Arial"/>
          <w:sz w:val="22"/>
          <w:szCs w:val="22"/>
          <w:lang w:val="en-GB"/>
        </w:rPr>
        <w:t>and gave consideration at least as valuable as the market value of the property</w:t>
      </w:r>
      <w:r w:rsidR="00220948" w:rsidRPr="00ED6606">
        <w:rPr>
          <w:rFonts w:ascii="Arial" w:hAnsi="Arial" w:cs="Arial"/>
          <w:sz w:val="22"/>
          <w:szCs w:val="22"/>
          <w:lang w:val="en-GB"/>
        </w:rPr>
        <w:t>.</w:t>
      </w:r>
    </w:p>
    <w:p w14:paraId="363CC2DF" w14:textId="68C81517" w:rsidR="00020557" w:rsidRPr="00ED6606"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1C082837" w:rsidR="009B07AD" w:rsidRDefault="002476AF" w:rsidP="002476AF">
      <w:pPr>
        <w:jc w:val="both"/>
        <w:rPr>
          <w:rFonts w:ascii="Arial" w:hAnsi="Arial" w:cs="Arial"/>
          <w:sz w:val="22"/>
          <w:szCs w:val="22"/>
          <w:lang w:val="en-GB"/>
        </w:rPr>
      </w:pPr>
      <w:r>
        <w:rPr>
          <w:rFonts w:ascii="Arial" w:hAnsi="Arial" w:cs="Arial"/>
          <w:sz w:val="22"/>
          <w:szCs w:val="22"/>
          <w:lang w:val="en-GB"/>
        </w:rPr>
        <w:t xml:space="preserve">How does a court determine the scope of the stay in relation to a corporate debtor under Australia’s implementation of </w:t>
      </w:r>
      <w:r w:rsidR="009971D8">
        <w:rPr>
          <w:rFonts w:ascii="Arial" w:hAnsi="Arial" w:cs="Arial"/>
          <w:sz w:val="22"/>
          <w:szCs w:val="22"/>
          <w:lang w:val="en-GB"/>
        </w:rPr>
        <w:t>Article 20 of the Model Law</w:t>
      </w:r>
      <w:r>
        <w:rPr>
          <w:rFonts w:ascii="Arial" w:hAnsi="Arial" w:cs="Arial"/>
          <w:sz w:val="22"/>
          <w:szCs w:val="22"/>
          <w:lang w:val="en-GB"/>
        </w:rPr>
        <w:t>?</w:t>
      </w:r>
    </w:p>
    <w:p w14:paraId="0A6ACF8F" w14:textId="77777777" w:rsidR="00007BF3" w:rsidRPr="002A37BB" w:rsidRDefault="00007BF3" w:rsidP="002A37BB">
      <w:pPr>
        <w:ind w:left="720" w:hanging="720"/>
        <w:jc w:val="both"/>
        <w:rPr>
          <w:rFonts w:ascii="Arial" w:hAnsi="Arial" w:cs="Arial"/>
          <w:sz w:val="22"/>
          <w:szCs w:val="22"/>
        </w:rPr>
      </w:pPr>
    </w:p>
    <w:p w14:paraId="2824A2D2" w14:textId="7ECE56C0" w:rsidR="00FE2808" w:rsidRDefault="009971D8" w:rsidP="009971D8">
      <w:pPr>
        <w:jc w:val="both"/>
        <w:rPr>
          <w:rFonts w:ascii="Arial" w:hAnsi="Arial" w:cs="Arial"/>
          <w:sz w:val="22"/>
          <w:szCs w:val="22"/>
          <w:lang w:val="en-GB"/>
        </w:rPr>
      </w:pPr>
      <w:r w:rsidRPr="009971D8">
        <w:rPr>
          <w:rFonts w:ascii="Arial" w:hAnsi="Arial" w:cs="Arial"/>
          <w:sz w:val="22"/>
          <w:szCs w:val="22"/>
          <w:lang w:val="en-GB"/>
        </w:rPr>
        <w:t>Austr</w:t>
      </w:r>
      <w:r>
        <w:rPr>
          <w:rFonts w:ascii="Arial" w:hAnsi="Arial" w:cs="Arial"/>
          <w:sz w:val="22"/>
          <w:szCs w:val="22"/>
          <w:lang w:val="en-GB"/>
        </w:rPr>
        <w:t>a</w:t>
      </w:r>
      <w:r w:rsidRPr="009971D8">
        <w:rPr>
          <w:rFonts w:ascii="Arial" w:hAnsi="Arial" w:cs="Arial"/>
          <w:sz w:val="22"/>
          <w:szCs w:val="22"/>
          <w:lang w:val="en-GB"/>
        </w:rPr>
        <w:t>lia implement</w:t>
      </w:r>
      <w:r>
        <w:rPr>
          <w:rFonts w:ascii="Arial" w:hAnsi="Arial" w:cs="Arial"/>
          <w:sz w:val="22"/>
          <w:szCs w:val="22"/>
          <w:lang w:val="en-GB"/>
        </w:rPr>
        <w:t>s</w:t>
      </w:r>
      <w:r w:rsidRPr="009971D8">
        <w:rPr>
          <w:rFonts w:ascii="Arial" w:hAnsi="Arial" w:cs="Arial"/>
          <w:sz w:val="22"/>
          <w:szCs w:val="22"/>
          <w:lang w:val="en-GB"/>
        </w:rPr>
        <w:t xml:space="preserve"> </w:t>
      </w:r>
      <w:r>
        <w:rPr>
          <w:rFonts w:ascii="Arial" w:hAnsi="Arial" w:cs="Arial"/>
          <w:sz w:val="22"/>
          <w:szCs w:val="22"/>
          <w:lang w:val="en-GB"/>
        </w:rPr>
        <w:t>Article 20 of the Model Law through its</w:t>
      </w:r>
      <w:r w:rsidRPr="009971D8">
        <w:t xml:space="preserve"> </w:t>
      </w:r>
      <w:r w:rsidRPr="009971D8">
        <w:rPr>
          <w:rFonts w:ascii="Arial" w:hAnsi="Arial" w:cs="Arial"/>
          <w:sz w:val="22"/>
          <w:szCs w:val="22"/>
          <w:lang w:val="en-GB"/>
        </w:rPr>
        <w:t>Cross-Border Insolvency Act 2008</w:t>
      </w:r>
      <w:r>
        <w:rPr>
          <w:rFonts w:ascii="Arial" w:hAnsi="Arial" w:cs="Arial"/>
          <w:sz w:val="22"/>
          <w:szCs w:val="22"/>
          <w:lang w:val="en-GB"/>
        </w:rPr>
        <w:t xml:space="preserve"> (C</w:t>
      </w:r>
      <w:r w:rsidR="003D3473">
        <w:rPr>
          <w:rFonts w:ascii="Arial" w:hAnsi="Arial" w:cs="Arial"/>
          <w:sz w:val="22"/>
          <w:szCs w:val="22"/>
          <w:lang w:val="en-GB"/>
        </w:rPr>
        <w:t>BIA)</w:t>
      </w:r>
      <w:r>
        <w:rPr>
          <w:rFonts w:ascii="Arial" w:hAnsi="Arial" w:cs="Arial"/>
          <w:sz w:val="22"/>
          <w:szCs w:val="22"/>
          <w:lang w:val="en-GB"/>
        </w:rPr>
        <w:t xml:space="preserve">. As provided in the section 16 of the </w:t>
      </w:r>
      <w:r w:rsidRPr="009971D8">
        <w:rPr>
          <w:rFonts w:ascii="Arial" w:hAnsi="Arial" w:cs="Arial"/>
          <w:sz w:val="22"/>
          <w:szCs w:val="22"/>
          <w:lang w:val="en-GB"/>
        </w:rPr>
        <w:t>C</w:t>
      </w:r>
      <w:r w:rsidR="003D3473">
        <w:rPr>
          <w:rFonts w:ascii="Arial" w:hAnsi="Arial" w:cs="Arial"/>
          <w:sz w:val="22"/>
          <w:szCs w:val="22"/>
          <w:lang w:val="en-GB"/>
        </w:rPr>
        <w:t>BIA</w:t>
      </w:r>
      <w:r>
        <w:rPr>
          <w:rFonts w:ascii="Arial" w:hAnsi="Arial" w:cs="Arial"/>
          <w:sz w:val="22"/>
          <w:szCs w:val="22"/>
          <w:lang w:val="en-GB"/>
        </w:rPr>
        <w:t>,</w:t>
      </w:r>
      <w:r w:rsidR="003D3473" w:rsidRPr="003D3473">
        <w:t xml:space="preserve"> </w:t>
      </w:r>
      <w:r w:rsidR="003D3473" w:rsidRPr="003D3473">
        <w:rPr>
          <w:rFonts w:ascii="Arial" w:hAnsi="Arial" w:cs="Arial"/>
          <w:sz w:val="22"/>
          <w:szCs w:val="22"/>
          <w:lang w:val="en-GB"/>
        </w:rPr>
        <w:t>the scope and the modification or termination of the stay or suspension referred to in paragraph 1 of that Article</w:t>
      </w:r>
      <w:r w:rsidR="003D3473">
        <w:rPr>
          <w:rFonts w:ascii="Arial" w:hAnsi="Arial" w:cs="Arial"/>
          <w:sz w:val="22"/>
          <w:szCs w:val="22"/>
          <w:lang w:val="en-GB"/>
        </w:rPr>
        <w:t xml:space="preserve"> 20 of the Model Law</w:t>
      </w:r>
      <w:r w:rsidR="003D3473" w:rsidRPr="003D3473">
        <w:rPr>
          <w:rFonts w:ascii="Arial" w:hAnsi="Arial" w:cs="Arial"/>
          <w:sz w:val="22"/>
          <w:szCs w:val="22"/>
          <w:lang w:val="en-GB"/>
        </w:rPr>
        <w:t>,</w:t>
      </w:r>
      <w:r w:rsidR="0060147B">
        <w:rPr>
          <w:rFonts w:ascii="Arial" w:hAnsi="Arial" w:cs="Arial"/>
          <w:sz w:val="22"/>
          <w:szCs w:val="22"/>
          <w:lang w:val="en-GB"/>
        </w:rPr>
        <w:t xml:space="preserve"> as the case required, a</w:t>
      </w:r>
      <w:r w:rsidR="003D3473" w:rsidRPr="003D3473">
        <w:rPr>
          <w:rFonts w:ascii="Arial" w:hAnsi="Arial" w:cs="Arial"/>
          <w:sz w:val="22"/>
          <w:szCs w:val="22"/>
          <w:lang w:val="en-GB"/>
        </w:rPr>
        <w:t>re the same as would apply if the stay or suspension arose under</w:t>
      </w:r>
      <w:r w:rsidR="002C70AA">
        <w:rPr>
          <w:rFonts w:ascii="Arial" w:hAnsi="Arial" w:cs="Arial"/>
          <w:sz w:val="22"/>
          <w:szCs w:val="22"/>
          <w:lang w:val="en-GB"/>
        </w:rPr>
        <w:t xml:space="preserve"> Australian insolvency law, including</w:t>
      </w:r>
      <w:r w:rsidR="003D3473" w:rsidRPr="003D3473">
        <w:rPr>
          <w:rFonts w:ascii="Arial" w:hAnsi="Arial" w:cs="Arial"/>
          <w:sz w:val="22"/>
          <w:szCs w:val="22"/>
          <w:lang w:val="en-GB"/>
        </w:rPr>
        <w:t xml:space="preserve">: (a) the Bankruptcy Act 1966; </w:t>
      </w:r>
      <w:r w:rsidR="003022E4">
        <w:rPr>
          <w:rFonts w:ascii="Arial" w:hAnsi="Arial" w:cs="Arial"/>
          <w:sz w:val="22"/>
          <w:szCs w:val="22"/>
          <w:lang w:val="en-GB"/>
        </w:rPr>
        <w:t>or</w:t>
      </w:r>
      <w:r w:rsidR="003D3473" w:rsidRPr="003D3473">
        <w:rPr>
          <w:rFonts w:ascii="Arial" w:hAnsi="Arial" w:cs="Arial"/>
          <w:sz w:val="22"/>
          <w:szCs w:val="22"/>
          <w:lang w:val="en-GB"/>
        </w:rPr>
        <w:t>(b) Chapter 5 (other than Parts 5.2 and 5.4A) of the Corporations Act 2001</w:t>
      </w:r>
      <w:r w:rsidR="0060147B">
        <w:rPr>
          <w:rFonts w:ascii="Arial" w:hAnsi="Arial" w:cs="Arial"/>
          <w:sz w:val="22"/>
          <w:szCs w:val="22"/>
          <w:lang w:val="en-GB"/>
        </w:rPr>
        <w:t>.</w:t>
      </w:r>
    </w:p>
    <w:p w14:paraId="7F8C089D" w14:textId="74FB2EC0" w:rsidR="00FE2DE2" w:rsidRPr="003022E4" w:rsidRDefault="002C70AA" w:rsidP="009971D8">
      <w:pPr>
        <w:jc w:val="both"/>
        <w:rPr>
          <w:rFonts w:ascii="Arial" w:hAnsi="Arial" w:cs="Arial"/>
          <w:sz w:val="22"/>
          <w:szCs w:val="22"/>
          <w:lang w:val="en-GB"/>
        </w:rPr>
      </w:pPr>
      <w:r>
        <w:rPr>
          <w:rFonts w:ascii="Arial" w:hAnsi="Arial" w:cs="Arial"/>
          <w:sz w:val="22"/>
          <w:szCs w:val="22"/>
          <w:lang w:val="en-GB"/>
        </w:rPr>
        <w:t xml:space="preserve">Moreover, </w:t>
      </w:r>
      <w:r w:rsidR="007A4CE3">
        <w:rPr>
          <w:rFonts w:ascii="Arial" w:hAnsi="Arial" w:cs="Arial"/>
          <w:sz w:val="22"/>
          <w:szCs w:val="22"/>
          <w:lang w:val="en-GB"/>
        </w:rPr>
        <w:t>i</w:t>
      </w:r>
      <w:r w:rsidR="009829D7">
        <w:rPr>
          <w:rFonts w:ascii="Arial" w:hAnsi="Arial" w:cs="Arial"/>
          <w:sz w:val="22"/>
          <w:szCs w:val="22"/>
          <w:lang w:val="en-GB"/>
        </w:rPr>
        <w:t>n</w:t>
      </w:r>
      <w:r>
        <w:rPr>
          <w:rFonts w:ascii="Arial" w:hAnsi="Arial" w:cs="Arial"/>
          <w:sz w:val="22"/>
          <w:szCs w:val="22"/>
          <w:lang w:val="en-GB"/>
        </w:rPr>
        <w:t xml:space="preserve"> Australian</w:t>
      </w:r>
      <w:r w:rsidR="009829D7">
        <w:rPr>
          <w:rFonts w:ascii="Arial" w:hAnsi="Arial" w:cs="Arial"/>
          <w:sz w:val="22"/>
          <w:szCs w:val="22"/>
          <w:lang w:val="en-GB"/>
        </w:rPr>
        <w:t xml:space="preserve"> practice, a</w:t>
      </w:r>
      <w:r w:rsidR="00FE2808">
        <w:rPr>
          <w:rFonts w:ascii="Arial" w:hAnsi="Arial" w:cs="Arial"/>
          <w:sz w:val="22"/>
          <w:szCs w:val="22"/>
          <w:lang w:val="en-GB"/>
        </w:rPr>
        <w:t>s decided in the</w:t>
      </w:r>
      <w:r w:rsidR="00FE2808" w:rsidRPr="00DE22A0">
        <w:rPr>
          <w:rFonts w:ascii="Arial" w:hAnsi="Arial" w:cs="Arial"/>
          <w:i/>
          <w:iCs/>
          <w:sz w:val="22"/>
          <w:szCs w:val="22"/>
          <w:lang w:val="en-GB"/>
        </w:rPr>
        <w:t xml:space="preserve"> Rizzo-Bottiglieri-De</w:t>
      </w:r>
      <w:r>
        <w:rPr>
          <w:rFonts w:ascii="Arial" w:hAnsi="Arial" w:cs="Arial"/>
          <w:i/>
          <w:iCs/>
          <w:sz w:val="22"/>
          <w:szCs w:val="22"/>
          <w:lang w:val="en-GB"/>
        </w:rPr>
        <w:t xml:space="preserve"> </w:t>
      </w:r>
      <w:r w:rsidR="00FE2808" w:rsidRPr="00DE22A0">
        <w:rPr>
          <w:rFonts w:ascii="Arial" w:hAnsi="Arial" w:cs="Arial"/>
          <w:i/>
          <w:iCs/>
          <w:sz w:val="22"/>
          <w:szCs w:val="22"/>
          <w:lang w:val="en-GB"/>
        </w:rPr>
        <w:t xml:space="preserve">Carlini Armatori </w:t>
      </w:r>
      <w:r w:rsidR="003022E4" w:rsidRPr="007A4CE3">
        <w:rPr>
          <w:rFonts w:ascii="Arial" w:hAnsi="Arial" w:cs="Arial" w:hint="eastAsia"/>
          <w:sz w:val="22"/>
          <w:szCs w:val="22"/>
          <w:lang w:val="en-GB"/>
        </w:rPr>
        <w:t>cases</w:t>
      </w:r>
      <w:r w:rsidR="003022E4" w:rsidRPr="007A4CE3">
        <w:rPr>
          <w:rFonts w:ascii="Arial" w:hAnsi="Arial" w:cs="Arial"/>
          <w:sz w:val="22"/>
          <w:szCs w:val="22"/>
          <w:lang w:val="en-GB"/>
        </w:rPr>
        <w:t xml:space="preserve"> </w:t>
      </w:r>
      <w:r w:rsidR="003022E4" w:rsidRPr="007A4CE3">
        <w:rPr>
          <w:rFonts w:ascii="Arial" w:hAnsi="Arial" w:cs="Arial" w:hint="eastAsia"/>
          <w:sz w:val="22"/>
          <w:szCs w:val="22"/>
          <w:lang w:val="en-GB"/>
        </w:rPr>
        <w:t>by</w:t>
      </w:r>
      <w:r w:rsidR="003022E4" w:rsidRPr="007A4CE3">
        <w:rPr>
          <w:rFonts w:ascii="Arial" w:hAnsi="Arial" w:cs="Arial"/>
          <w:sz w:val="22"/>
          <w:szCs w:val="22"/>
          <w:lang w:val="en-GB"/>
        </w:rPr>
        <w:t xml:space="preserve"> J</w:t>
      </w:r>
      <w:r w:rsidR="003022E4" w:rsidRPr="007A4CE3">
        <w:rPr>
          <w:rFonts w:ascii="Arial" w:hAnsi="Arial" w:cs="Arial" w:hint="eastAsia"/>
          <w:sz w:val="22"/>
          <w:szCs w:val="22"/>
          <w:lang w:val="en-GB"/>
        </w:rPr>
        <w:t>ustice</w:t>
      </w:r>
      <w:r w:rsidR="003022E4" w:rsidRPr="007A4CE3">
        <w:rPr>
          <w:rFonts w:ascii="Arial" w:hAnsi="Arial" w:cs="Arial"/>
          <w:sz w:val="22"/>
          <w:szCs w:val="22"/>
          <w:lang w:val="en-GB"/>
        </w:rPr>
        <w:t xml:space="preserve"> R</w:t>
      </w:r>
      <w:r w:rsidR="003022E4" w:rsidRPr="007A4CE3">
        <w:rPr>
          <w:rFonts w:ascii="Arial" w:hAnsi="Arial" w:cs="Arial" w:hint="eastAsia"/>
          <w:sz w:val="22"/>
          <w:szCs w:val="22"/>
          <w:lang w:val="en-GB"/>
        </w:rPr>
        <w:t>ares</w:t>
      </w:r>
      <w:r w:rsidR="00FE2808" w:rsidRPr="003022E4">
        <w:rPr>
          <w:rFonts w:ascii="Arial" w:hAnsi="Arial" w:cs="Arial"/>
          <w:sz w:val="22"/>
          <w:szCs w:val="22"/>
          <w:lang w:val="en-GB"/>
        </w:rPr>
        <w:t>,</w:t>
      </w:r>
      <w:r w:rsidR="003022E4">
        <w:rPr>
          <w:rStyle w:val="a6"/>
          <w:rFonts w:ascii="Arial" w:hAnsi="Arial" w:cs="Arial"/>
          <w:sz w:val="22"/>
          <w:szCs w:val="22"/>
          <w:lang w:val="en-GB"/>
        </w:rPr>
        <w:footnoteReference w:id="1"/>
      </w:r>
      <w:r w:rsidR="003022E4">
        <w:rPr>
          <w:rFonts w:ascii="Arial" w:hAnsi="Arial" w:cs="Arial"/>
          <w:sz w:val="22"/>
          <w:szCs w:val="22"/>
          <w:lang w:val="en-GB"/>
        </w:rPr>
        <w:t xml:space="preserve"> </w:t>
      </w:r>
      <w:r w:rsidR="0019557F" w:rsidRPr="0019557F">
        <w:rPr>
          <w:rFonts w:ascii="Arial" w:hAnsi="Arial" w:cs="Arial"/>
          <w:sz w:val="22"/>
          <w:szCs w:val="22"/>
          <w:lang w:val="en-GB"/>
        </w:rPr>
        <w:t xml:space="preserve">the </w:t>
      </w:r>
      <w:r w:rsidR="0019557F">
        <w:rPr>
          <w:rFonts w:ascii="Arial" w:hAnsi="Arial" w:cs="Arial"/>
          <w:sz w:val="22"/>
          <w:szCs w:val="22"/>
          <w:lang w:val="en-GB"/>
        </w:rPr>
        <w:t xml:space="preserve">Australian </w:t>
      </w:r>
      <w:r w:rsidR="0019557F" w:rsidRPr="0019557F">
        <w:rPr>
          <w:rFonts w:ascii="Arial" w:hAnsi="Arial" w:cs="Arial"/>
          <w:sz w:val="22"/>
          <w:szCs w:val="22"/>
          <w:lang w:val="en-GB"/>
        </w:rPr>
        <w:t xml:space="preserve">court will </w:t>
      </w:r>
      <w:r w:rsidR="003022E4" w:rsidRPr="003022E4">
        <w:rPr>
          <w:rFonts w:ascii="Arial" w:hAnsi="Arial" w:cs="Arial" w:hint="eastAsia"/>
          <w:sz w:val="22"/>
          <w:szCs w:val="22"/>
          <w:lang w:val="en-GB"/>
        </w:rPr>
        <w:t>not determine the scope of the stay</w:t>
      </w:r>
      <w:r w:rsidR="00DE22A0">
        <w:rPr>
          <w:rFonts w:ascii="Arial" w:hAnsi="Arial" w:cs="Arial"/>
          <w:sz w:val="22"/>
          <w:szCs w:val="22"/>
          <w:lang w:val="en-GB"/>
        </w:rPr>
        <w:t xml:space="preserve"> </w:t>
      </w:r>
      <w:r w:rsidR="003022E4" w:rsidRPr="003022E4">
        <w:rPr>
          <w:rFonts w:ascii="Arial" w:hAnsi="Arial" w:cs="Arial" w:hint="eastAsia"/>
          <w:sz w:val="22"/>
          <w:szCs w:val="22"/>
          <w:lang w:val="en-GB"/>
        </w:rPr>
        <w:t>bas</w:t>
      </w:r>
      <w:r w:rsidR="009829D7">
        <w:rPr>
          <w:rFonts w:ascii="Arial" w:hAnsi="Arial" w:cs="Arial"/>
          <w:sz w:val="22"/>
          <w:szCs w:val="22"/>
          <w:lang w:val="en-GB"/>
        </w:rPr>
        <w:t>ing</w:t>
      </w:r>
      <w:r w:rsidR="003022E4" w:rsidRPr="003022E4">
        <w:rPr>
          <w:rFonts w:ascii="Arial" w:hAnsi="Arial" w:cs="Arial" w:hint="eastAsia"/>
          <w:sz w:val="22"/>
          <w:szCs w:val="22"/>
          <w:lang w:val="en-GB"/>
        </w:rPr>
        <w:t xml:space="preserve"> on the</w:t>
      </w:r>
      <w:r w:rsidR="0015721B">
        <w:rPr>
          <w:rFonts w:ascii="Arial" w:hAnsi="Arial" w:cs="Arial"/>
          <w:sz w:val="22"/>
          <w:szCs w:val="22"/>
          <w:lang w:val="en-GB"/>
        </w:rPr>
        <w:t xml:space="preserve"> </w:t>
      </w:r>
      <w:r w:rsidR="003022E4" w:rsidRPr="003022E4">
        <w:rPr>
          <w:rFonts w:ascii="Arial" w:hAnsi="Arial" w:cs="Arial" w:hint="eastAsia"/>
          <w:sz w:val="22"/>
          <w:szCs w:val="22"/>
          <w:lang w:val="en-GB"/>
        </w:rPr>
        <w:t>stay</w:t>
      </w:r>
      <w:r w:rsidR="007A4CE3">
        <w:rPr>
          <w:rFonts w:ascii="Arial" w:hAnsi="Arial" w:cs="Arial"/>
          <w:sz w:val="22"/>
          <w:szCs w:val="22"/>
          <w:lang w:val="en-GB"/>
        </w:rPr>
        <w:t xml:space="preserve"> effect of the</w:t>
      </w:r>
      <w:r w:rsidR="0015721B">
        <w:rPr>
          <w:rFonts w:ascii="Arial" w:hAnsi="Arial" w:cs="Arial"/>
          <w:sz w:val="22"/>
          <w:szCs w:val="22"/>
          <w:lang w:val="en-GB"/>
        </w:rPr>
        <w:t xml:space="preserve"> particular</w:t>
      </w:r>
      <w:r w:rsidR="007A4CE3">
        <w:rPr>
          <w:rFonts w:ascii="Arial" w:hAnsi="Arial" w:cs="Arial"/>
          <w:sz w:val="22"/>
          <w:szCs w:val="22"/>
          <w:lang w:val="en-GB"/>
        </w:rPr>
        <w:t xml:space="preserve"> foreign proceeding</w:t>
      </w:r>
      <w:r w:rsidR="003022E4" w:rsidRPr="003022E4">
        <w:rPr>
          <w:rFonts w:ascii="Arial" w:hAnsi="Arial" w:cs="Arial" w:hint="eastAsia"/>
          <w:sz w:val="22"/>
          <w:szCs w:val="22"/>
          <w:lang w:val="en-GB"/>
        </w:rPr>
        <w:t xml:space="preserve"> </w:t>
      </w:r>
      <w:r w:rsidR="00DE22A0">
        <w:rPr>
          <w:rFonts w:ascii="Arial" w:hAnsi="Arial" w:cs="Arial"/>
          <w:sz w:val="22"/>
          <w:szCs w:val="22"/>
          <w:lang w:val="en-GB"/>
        </w:rPr>
        <w:t xml:space="preserve">under </w:t>
      </w:r>
      <w:r w:rsidR="007A4CE3">
        <w:rPr>
          <w:rFonts w:ascii="Arial" w:hAnsi="Arial" w:cs="Arial"/>
          <w:sz w:val="22"/>
          <w:szCs w:val="22"/>
          <w:lang w:val="en-GB"/>
        </w:rPr>
        <w:t xml:space="preserve">the applicable </w:t>
      </w:r>
      <w:r w:rsidR="00DE22A0">
        <w:rPr>
          <w:rFonts w:ascii="Arial" w:hAnsi="Arial" w:cs="Arial"/>
          <w:sz w:val="22"/>
          <w:szCs w:val="22"/>
          <w:lang w:val="en-GB"/>
        </w:rPr>
        <w:t>foreign law</w:t>
      </w:r>
      <w:r w:rsidR="003022E4" w:rsidRPr="003022E4">
        <w:rPr>
          <w:rFonts w:ascii="Arial" w:hAnsi="Arial" w:cs="Arial" w:hint="eastAsia"/>
          <w:sz w:val="22"/>
          <w:szCs w:val="22"/>
          <w:lang w:val="en-GB"/>
        </w:rPr>
        <w:t>, but will</w:t>
      </w:r>
      <w:r w:rsidR="009829D7">
        <w:rPr>
          <w:rFonts w:ascii="Arial" w:hAnsi="Arial" w:cs="Arial"/>
          <w:sz w:val="22"/>
          <w:szCs w:val="22"/>
          <w:lang w:val="en-GB"/>
        </w:rPr>
        <w:t xml:space="preserve"> decide which Australian</w:t>
      </w:r>
      <w:r w:rsidR="007A4CE3">
        <w:rPr>
          <w:rFonts w:ascii="Arial" w:hAnsi="Arial" w:cs="Arial"/>
          <w:sz w:val="22"/>
          <w:szCs w:val="22"/>
          <w:lang w:val="en-GB"/>
        </w:rPr>
        <w:t xml:space="preserve"> insolvency</w:t>
      </w:r>
      <w:r w:rsidR="009829D7">
        <w:rPr>
          <w:rFonts w:ascii="Arial" w:hAnsi="Arial" w:cs="Arial"/>
          <w:sz w:val="22"/>
          <w:szCs w:val="22"/>
          <w:lang w:val="en-GB"/>
        </w:rPr>
        <w:t xml:space="preserve"> proceeding is the foreign proceeding </w:t>
      </w:r>
      <w:r w:rsidR="007A4CE3">
        <w:rPr>
          <w:rFonts w:ascii="Arial" w:hAnsi="Arial" w:cs="Arial"/>
          <w:sz w:val="22"/>
          <w:szCs w:val="22"/>
          <w:lang w:val="en-GB"/>
        </w:rPr>
        <w:t xml:space="preserve">in question </w:t>
      </w:r>
      <w:r w:rsidR="009829D7">
        <w:rPr>
          <w:rFonts w:ascii="Arial" w:hAnsi="Arial" w:cs="Arial"/>
          <w:sz w:val="22"/>
          <w:szCs w:val="22"/>
          <w:lang w:val="en-GB"/>
        </w:rPr>
        <w:t xml:space="preserve">analogous to, then </w:t>
      </w:r>
      <w:r w:rsidR="003022E4" w:rsidRPr="003022E4">
        <w:rPr>
          <w:rFonts w:ascii="Arial" w:hAnsi="Arial" w:cs="Arial" w:hint="eastAsia"/>
          <w:sz w:val="22"/>
          <w:szCs w:val="22"/>
          <w:lang w:val="en-GB"/>
        </w:rPr>
        <w:t>determine the scope of the stay in accordance with</w:t>
      </w:r>
      <w:r w:rsidR="007A4CE3">
        <w:rPr>
          <w:rFonts w:ascii="Arial" w:hAnsi="Arial" w:cs="Arial"/>
          <w:sz w:val="22"/>
          <w:szCs w:val="22"/>
          <w:lang w:val="en-GB"/>
        </w:rPr>
        <w:t xml:space="preserve"> the stay effect of th</w:t>
      </w:r>
      <w:r w:rsidR="00EE6E45">
        <w:rPr>
          <w:rFonts w:ascii="Arial" w:hAnsi="Arial" w:cs="Arial"/>
          <w:sz w:val="22"/>
          <w:szCs w:val="22"/>
          <w:lang w:val="en-GB"/>
        </w:rPr>
        <w:t>at type of</w:t>
      </w:r>
      <w:r w:rsidR="003022E4" w:rsidRPr="003022E4">
        <w:rPr>
          <w:rFonts w:ascii="Arial" w:hAnsi="Arial" w:cs="Arial" w:hint="eastAsia"/>
          <w:sz w:val="22"/>
          <w:szCs w:val="22"/>
          <w:lang w:val="en-GB"/>
        </w:rPr>
        <w:t xml:space="preserve"> </w:t>
      </w:r>
      <w:r w:rsidR="007A4CE3">
        <w:rPr>
          <w:rFonts w:ascii="Arial" w:hAnsi="Arial" w:cs="Arial"/>
          <w:sz w:val="22"/>
          <w:szCs w:val="22"/>
          <w:lang w:val="en-GB"/>
        </w:rPr>
        <w:t>Australian proceeding under</w:t>
      </w:r>
      <w:r w:rsidR="00EE6E45">
        <w:rPr>
          <w:rFonts w:ascii="Arial" w:hAnsi="Arial" w:cs="Arial"/>
          <w:sz w:val="22"/>
          <w:szCs w:val="22"/>
          <w:lang w:val="en-GB"/>
        </w:rPr>
        <w:t xml:space="preserve"> the</w:t>
      </w:r>
      <w:r w:rsidR="0015721B">
        <w:rPr>
          <w:rFonts w:ascii="Arial" w:hAnsi="Arial" w:cs="Arial"/>
          <w:sz w:val="22"/>
          <w:szCs w:val="22"/>
          <w:lang w:val="en-GB"/>
        </w:rPr>
        <w:t xml:space="preserve"> respective</w:t>
      </w:r>
      <w:r w:rsidR="007A4CE3">
        <w:rPr>
          <w:rFonts w:ascii="Arial" w:hAnsi="Arial" w:cs="Arial"/>
          <w:sz w:val="22"/>
          <w:szCs w:val="22"/>
          <w:lang w:val="en-GB"/>
        </w:rPr>
        <w:t xml:space="preserve"> </w:t>
      </w:r>
      <w:r w:rsidR="00DE22A0">
        <w:rPr>
          <w:rFonts w:ascii="Arial" w:hAnsi="Arial" w:cs="Arial"/>
          <w:sz w:val="22"/>
          <w:szCs w:val="22"/>
          <w:lang w:val="en-GB"/>
        </w:rPr>
        <w:t>Australian</w:t>
      </w:r>
      <w:r w:rsidR="003022E4" w:rsidRPr="003022E4">
        <w:rPr>
          <w:rFonts w:ascii="Arial" w:hAnsi="Arial" w:cs="Arial" w:hint="eastAsia"/>
          <w:sz w:val="22"/>
          <w:szCs w:val="22"/>
          <w:lang w:val="en-GB"/>
        </w:rPr>
        <w:t xml:space="preserve"> law</w:t>
      </w:r>
      <w:r w:rsidR="009829D7">
        <w:rPr>
          <w:rFonts w:ascii="Arial" w:hAnsi="Arial" w:cs="Arial"/>
          <w:sz w:val="22"/>
          <w:szCs w:val="22"/>
          <w:lang w:val="en-GB"/>
        </w:rPr>
        <w:t xml:space="preserve">. </w:t>
      </w:r>
    </w:p>
    <w:p w14:paraId="4100B4E6" w14:textId="77777777" w:rsidR="00DE22A0" w:rsidRDefault="00DE22A0" w:rsidP="002A37BB">
      <w:pPr>
        <w:ind w:left="720" w:hanging="720"/>
        <w:jc w:val="both"/>
        <w:rPr>
          <w:rFonts w:ascii="Arial" w:hAnsi="Arial" w:cs="Arial"/>
          <w:b/>
          <w:bCs/>
          <w:sz w:val="22"/>
          <w:szCs w:val="22"/>
          <w:lang w:val="en-GB"/>
        </w:rPr>
      </w:pPr>
    </w:p>
    <w:p w14:paraId="2AFF9470" w14:textId="0D062D33"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465AA816" w14:textId="30709CFD" w:rsidR="00AB7AA1" w:rsidRDefault="009320DD" w:rsidP="00EE6E45">
      <w:pPr>
        <w:jc w:val="both"/>
        <w:rPr>
          <w:rFonts w:ascii="Arial" w:hAnsi="Arial" w:cs="Arial"/>
          <w:sz w:val="22"/>
          <w:szCs w:val="22"/>
          <w:lang w:val="en-GB"/>
        </w:rPr>
      </w:pPr>
      <w:r w:rsidRPr="009320DD">
        <w:rPr>
          <w:rFonts w:ascii="Arial" w:hAnsi="Arial" w:cs="Arial"/>
          <w:i/>
          <w:iCs/>
          <w:sz w:val="22"/>
          <w:szCs w:val="22"/>
          <w:lang w:val="en-GB"/>
        </w:rPr>
        <w:t>Ipso facto</w:t>
      </w:r>
      <w:r w:rsidRPr="009320DD">
        <w:rPr>
          <w:rFonts w:ascii="Arial" w:hAnsi="Arial" w:cs="Arial"/>
          <w:sz w:val="22"/>
          <w:szCs w:val="22"/>
          <w:lang w:val="en-GB"/>
        </w:rPr>
        <w:t xml:space="preserve"> clause </w:t>
      </w:r>
      <w:r w:rsidR="00AC75CD">
        <w:rPr>
          <w:rFonts w:ascii="Arial" w:hAnsi="Arial" w:cs="Arial"/>
          <w:sz w:val="22"/>
          <w:szCs w:val="22"/>
          <w:lang w:val="en-GB"/>
        </w:rPr>
        <w:t xml:space="preserve">refer to any provision of a contract that </w:t>
      </w:r>
      <w:r w:rsidR="00EE210F">
        <w:rPr>
          <w:rFonts w:ascii="Arial" w:hAnsi="Arial" w:cs="Arial"/>
          <w:sz w:val="22"/>
          <w:szCs w:val="22"/>
          <w:lang w:val="en-GB"/>
        </w:rPr>
        <w:t>provide a counterparty with right to terminate, modify of repossess rights upon the debtor’s bankruptcy</w:t>
      </w:r>
      <w:r w:rsidR="00936EC4">
        <w:rPr>
          <w:rFonts w:ascii="Arial" w:hAnsi="Arial" w:cs="Arial"/>
          <w:sz w:val="22"/>
          <w:szCs w:val="22"/>
          <w:lang w:val="en-GB"/>
        </w:rPr>
        <w:t xml:space="preserve"> or insolvency events</w:t>
      </w:r>
      <w:r w:rsidR="00EE210F">
        <w:rPr>
          <w:rFonts w:ascii="Arial" w:hAnsi="Arial" w:cs="Arial"/>
          <w:sz w:val="22"/>
          <w:szCs w:val="22"/>
          <w:lang w:val="en-GB"/>
        </w:rPr>
        <w:t>.</w:t>
      </w:r>
    </w:p>
    <w:p w14:paraId="499FD909" w14:textId="4B4557FE" w:rsidR="00AB7AA1" w:rsidRDefault="00AB7AA1" w:rsidP="00EE6E45">
      <w:pPr>
        <w:jc w:val="both"/>
        <w:rPr>
          <w:rFonts w:ascii="Arial" w:hAnsi="Arial" w:cs="Arial"/>
          <w:sz w:val="22"/>
          <w:szCs w:val="22"/>
          <w:lang w:val="en-GB"/>
        </w:rPr>
      </w:pPr>
      <w:r w:rsidRPr="00AB7AA1">
        <w:rPr>
          <w:rFonts w:ascii="Arial" w:hAnsi="Arial" w:cs="Arial"/>
          <w:sz w:val="22"/>
          <w:szCs w:val="22"/>
          <w:lang w:val="en-GB"/>
        </w:rPr>
        <w:t>For contracts entered into after 1 July 2018,</w:t>
      </w:r>
      <w:r w:rsidR="002F30C4">
        <w:rPr>
          <w:rFonts w:ascii="Arial" w:hAnsi="Arial" w:cs="Arial"/>
          <w:sz w:val="22"/>
          <w:szCs w:val="22"/>
          <w:lang w:val="en-GB"/>
        </w:rPr>
        <w:t xml:space="preserve"> </w:t>
      </w:r>
      <w:r w:rsidR="002E15EC">
        <w:rPr>
          <w:rFonts w:ascii="Arial" w:hAnsi="Arial" w:cs="Arial"/>
          <w:sz w:val="22"/>
          <w:szCs w:val="22"/>
          <w:lang w:val="en-GB"/>
        </w:rPr>
        <w:t>as the</w:t>
      </w:r>
      <w:r w:rsidR="002E15EC" w:rsidRPr="00AB7AA1">
        <w:rPr>
          <w:rFonts w:ascii="Arial" w:hAnsi="Arial" w:cs="Arial"/>
          <w:sz w:val="22"/>
          <w:szCs w:val="22"/>
          <w:lang w:val="en-GB"/>
        </w:rPr>
        <w:t xml:space="preserve"> </w:t>
      </w:r>
      <w:r w:rsidR="002E15EC">
        <w:rPr>
          <w:rFonts w:ascii="Arial" w:hAnsi="Arial" w:cs="Arial"/>
          <w:i/>
          <w:iCs/>
          <w:sz w:val="22"/>
          <w:szCs w:val="22"/>
          <w:lang w:val="en-GB"/>
        </w:rPr>
        <w:t xml:space="preserve">ipso facto </w:t>
      </w:r>
      <w:r w:rsidR="002E15EC" w:rsidRPr="00075328">
        <w:rPr>
          <w:rFonts w:ascii="Arial" w:hAnsi="Arial" w:cs="Arial"/>
          <w:sz w:val="22"/>
          <w:szCs w:val="22"/>
          <w:lang w:val="en-GB"/>
        </w:rPr>
        <w:t xml:space="preserve">moratorium </w:t>
      </w:r>
      <w:r w:rsidR="002E15EC" w:rsidRPr="002E15EC">
        <w:rPr>
          <w:rFonts w:ascii="Arial" w:hAnsi="Arial" w:cs="Arial"/>
          <w:sz w:val="22"/>
          <w:szCs w:val="22"/>
          <w:lang w:val="en-GB"/>
        </w:rPr>
        <w:t>came in to effect,</w:t>
      </w:r>
      <w:r w:rsidR="002E15EC">
        <w:rPr>
          <w:rFonts w:ascii="Arial" w:hAnsi="Arial" w:cs="Arial"/>
          <w:sz w:val="22"/>
          <w:szCs w:val="22"/>
          <w:lang w:val="en-GB"/>
        </w:rPr>
        <w:t xml:space="preserve"> </w:t>
      </w:r>
      <w:r w:rsidRPr="00AB7AA1">
        <w:rPr>
          <w:rFonts w:ascii="Arial" w:hAnsi="Arial" w:cs="Arial"/>
          <w:sz w:val="22"/>
          <w:szCs w:val="22"/>
          <w:lang w:val="en-GB"/>
        </w:rPr>
        <w:t xml:space="preserve">there is an </w:t>
      </w:r>
      <w:r w:rsidR="002F30C4">
        <w:rPr>
          <w:rFonts w:ascii="Arial" w:hAnsi="Arial" w:cs="Arial"/>
          <w:i/>
          <w:iCs/>
          <w:sz w:val="22"/>
          <w:szCs w:val="22"/>
          <w:lang w:val="en-GB"/>
        </w:rPr>
        <w:t xml:space="preserve">ipso facto </w:t>
      </w:r>
      <w:r w:rsidR="002F30C4">
        <w:rPr>
          <w:rFonts w:ascii="Arial" w:hAnsi="Arial" w:cs="Arial"/>
          <w:sz w:val="22"/>
          <w:szCs w:val="22"/>
          <w:lang w:val="en-GB"/>
        </w:rPr>
        <w:t>prohibition</w:t>
      </w:r>
      <w:r w:rsidRPr="00AB7AA1">
        <w:rPr>
          <w:rFonts w:ascii="Arial" w:hAnsi="Arial" w:cs="Arial"/>
          <w:sz w:val="22"/>
          <w:szCs w:val="22"/>
          <w:lang w:val="en-GB"/>
        </w:rPr>
        <w:t xml:space="preserve"> which are triggered by </w:t>
      </w:r>
      <w:r w:rsidR="00936EC4">
        <w:rPr>
          <w:rFonts w:ascii="Arial" w:hAnsi="Arial" w:cs="Arial"/>
          <w:sz w:val="22"/>
          <w:szCs w:val="22"/>
          <w:lang w:val="en-GB"/>
        </w:rPr>
        <w:t>corporate debtors</w:t>
      </w:r>
      <w:r w:rsidR="00936EC4" w:rsidRPr="00AB7AA1">
        <w:rPr>
          <w:rFonts w:ascii="Arial" w:hAnsi="Arial" w:cs="Arial"/>
          <w:sz w:val="22"/>
          <w:szCs w:val="22"/>
          <w:lang w:val="en-GB"/>
        </w:rPr>
        <w:t xml:space="preserve"> </w:t>
      </w:r>
      <w:r w:rsidRPr="00AB7AA1">
        <w:rPr>
          <w:rFonts w:ascii="Arial" w:hAnsi="Arial" w:cs="Arial"/>
          <w:sz w:val="22"/>
          <w:szCs w:val="22"/>
          <w:lang w:val="en-GB"/>
        </w:rPr>
        <w:t>ent</w:t>
      </w:r>
      <w:r w:rsidR="00936EC4">
        <w:rPr>
          <w:rFonts w:ascii="Arial" w:hAnsi="Arial" w:cs="Arial"/>
          <w:sz w:val="22"/>
          <w:szCs w:val="22"/>
          <w:lang w:val="en-GB"/>
        </w:rPr>
        <w:t>ering</w:t>
      </w:r>
      <w:r w:rsidRPr="00AB7AA1">
        <w:rPr>
          <w:rFonts w:ascii="Arial" w:hAnsi="Arial" w:cs="Arial"/>
          <w:sz w:val="22"/>
          <w:szCs w:val="22"/>
          <w:lang w:val="en-GB"/>
        </w:rPr>
        <w:t xml:space="preserve"> into voluntary administration without the consent of the relevant appointee or the leave of the court.</w:t>
      </w:r>
      <w:r w:rsidR="00EE6E45">
        <w:rPr>
          <w:rStyle w:val="a6"/>
          <w:rFonts w:ascii="Arial" w:hAnsi="Arial" w:cs="Arial"/>
          <w:sz w:val="22"/>
          <w:szCs w:val="22"/>
          <w:lang w:val="en-GB"/>
        </w:rPr>
        <w:footnoteReference w:id="2"/>
      </w:r>
      <w:r w:rsidR="00EE6E45">
        <w:rPr>
          <w:rFonts w:ascii="Arial" w:hAnsi="Arial" w:cs="Arial"/>
          <w:sz w:val="22"/>
          <w:szCs w:val="22"/>
          <w:lang w:val="en-GB"/>
        </w:rPr>
        <w:t xml:space="preserve"> </w:t>
      </w:r>
      <w:r w:rsidR="00936EC4">
        <w:rPr>
          <w:rFonts w:ascii="Arial" w:hAnsi="Arial" w:cs="Arial"/>
          <w:sz w:val="22"/>
          <w:szCs w:val="22"/>
          <w:lang w:val="en-GB"/>
        </w:rPr>
        <w:t>And for</w:t>
      </w:r>
      <w:r w:rsidR="00546755">
        <w:rPr>
          <w:rFonts w:ascii="Arial" w:hAnsi="Arial" w:cs="Arial"/>
          <w:sz w:val="22"/>
          <w:szCs w:val="22"/>
          <w:lang w:val="en-GB"/>
        </w:rPr>
        <w:t xml:space="preserve"> a personal</w:t>
      </w:r>
      <w:r w:rsidR="00936EC4">
        <w:rPr>
          <w:rFonts w:ascii="Arial" w:hAnsi="Arial" w:cs="Arial"/>
          <w:sz w:val="22"/>
          <w:szCs w:val="22"/>
          <w:lang w:val="en-GB"/>
        </w:rPr>
        <w:t xml:space="preserve"> debtor, the</w:t>
      </w:r>
      <w:r w:rsidR="00936EC4" w:rsidRPr="00EC7EB9">
        <w:rPr>
          <w:rFonts w:ascii="Arial" w:hAnsi="Arial" w:cs="Arial"/>
          <w:sz w:val="22"/>
          <w:szCs w:val="22"/>
          <w:lang w:val="en-GB"/>
        </w:rPr>
        <w:t xml:space="preserve"> </w:t>
      </w:r>
      <w:r w:rsidR="009F189F">
        <w:rPr>
          <w:rFonts w:ascii="Arial" w:hAnsi="Arial" w:cs="Arial"/>
          <w:i/>
          <w:iCs/>
          <w:sz w:val="22"/>
          <w:szCs w:val="22"/>
          <w:lang w:val="en-GB"/>
        </w:rPr>
        <w:t>i</w:t>
      </w:r>
      <w:r w:rsidR="00936EC4" w:rsidRPr="009F189F">
        <w:rPr>
          <w:rFonts w:ascii="Arial" w:hAnsi="Arial" w:cs="Arial"/>
          <w:i/>
          <w:iCs/>
          <w:sz w:val="22"/>
          <w:szCs w:val="22"/>
          <w:lang w:val="en-GB"/>
        </w:rPr>
        <w:t>pso facto</w:t>
      </w:r>
      <w:r w:rsidR="00936EC4" w:rsidRPr="009320DD">
        <w:rPr>
          <w:rFonts w:ascii="Arial" w:hAnsi="Arial" w:cs="Arial"/>
          <w:sz w:val="22"/>
          <w:szCs w:val="22"/>
          <w:lang w:val="en-GB"/>
        </w:rPr>
        <w:t xml:space="preserve"> clause</w:t>
      </w:r>
      <w:r w:rsidR="00936EC4">
        <w:rPr>
          <w:rFonts w:ascii="Arial" w:hAnsi="Arial" w:cs="Arial"/>
          <w:sz w:val="22"/>
          <w:szCs w:val="22"/>
          <w:lang w:val="en-GB"/>
        </w:rPr>
        <w:t xml:space="preserve"> is void outright</w:t>
      </w:r>
      <w:r w:rsidR="002E15EC">
        <w:rPr>
          <w:rFonts w:ascii="Arial" w:hAnsi="Arial" w:cs="Arial"/>
          <w:sz w:val="22"/>
          <w:szCs w:val="22"/>
          <w:lang w:val="en-GB"/>
        </w:rPr>
        <w:t xml:space="preserve"> as provided by the Bankruptcy Act 1966.</w:t>
      </w:r>
      <w:r w:rsidR="00EE6E45">
        <w:rPr>
          <w:rStyle w:val="a6"/>
          <w:rFonts w:ascii="Arial" w:hAnsi="Arial" w:cs="Arial"/>
          <w:sz w:val="22"/>
          <w:szCs w:val="22"/>
          <w:lang w:val="en-GB"/>
        </w:rPr>
        <w:footnoteReference w:id="3"/>
      </w:r>
    </w:p>
    <w:p w14:paraId="0298B838" w14:textId="4BC9666A" w:rsidR="00FA18CF" w:rsidRPr="00EC7EB9" w:rsidRDefault="00AB7AA1" w:rsidP="00EE6E45">
      <w:pPr>
        <w:jc w:val="both"/>
        <w:rPr>
          <w:rFonts w:ascii="Arial" w:hAnsi="Arial" w:cs="Arial"/>
          <w:sz w:val="22"/>
          <w:szCs w:val="22"/>
          <w:lang w:val="en-GB"/>
        </w:rPr>
      </w:pPr>
      <w:r>
        <w:rPr>
          <w:rFonts w:ascii="Arial" w:hAnsi="Arial" w:cs="Arial"/>
          <w:sz w:val="22"/>
          <w:szCs w:val="22"/>
          <w:lang w:val="en-GB"/>
        </w:rPr>
        <w:t xml:space="preserve">However, in liquidations, </w:t>
      </w:r>
      <w:r w:rsidR="002E15EC">
        <w:rPr>
          <w:rFonts w:ascii="Arial" w:hAnsi="Arial" w:cs="Arial"/>
          <w:sz w:val="22"/>
          <w:szCs w:val="22"/>
          <w:lang w:val="en-GB"/>
        </w:rPr>
        <w:t>the relevance of</w:t>
      </w:r>
      <w:r w:rsidR="002E15EC" w:rsidRPr="009F189F">
        <w:rPr>
          <w:rFonts w:ascii="Arial" w:hAnsi="Arial" w:cs="Arial"/>
          <w:i/>
          <w:iCs/>
          <w:sz w:val="22"/>
          <w:szCs w:val="22"/>
          <w:lang w:val="en-GB"/>
        </w:rPr>
        <w:t xml:space="preserve"> ipso facto</w:t>
      </w:r>
      <w:r w:rsidR="002E15EC">
        <w:rPr>
          <w:rFonts w:ascii="Arial" w:hAnsi="Arial" w:cs="Arial"/>
          <w:sz w:val="22"/>
          <w:szCs w:val="22"/>
          <w:lang w:val="en-GB"/>
        </w:rPr>
        <w:t xml:space="preserve"> clauses depends on </w:t>
      </w:r>
      <w:r w:rsidR="00C13018">
        <w:rPr>
          <w:rFonts w:ascii="Arial" w:hAnsi="Arial" w:cs="Arial"/>
          <w:sz w:val="22"/>
          <w:szCs w:val="22"/>
          <w:lang w:val="en-GB"/>
        </w:rPr>
        <w:t xml:space="preserve">which </w:t>
      </w:r>
      <w:r w:rsidR="002E15EC">
        <w:rPr>
          <w:rFonts w:ascii="Arial" w:hAnsi="Arial" w:cs="Arial"/>
          <w:sz w:val="22"/>
          <w:szCs w:val="22"/>
          <w:lang w:val="en-GB"/>
        </w:rPr>
        <w:t>type</w:t>
      </w:r>
      <w:r w:rsidR="00C13018">
        <w:rPr>
          <w:rFonts w:ascii="Arial" w:hAnsi="Arial" w:cs="Arial"/>
          <w:sz w:val="22"/>
          <w:szCs w:val="22"/>
          <w:lang w:val="en-GB"/>
        </w:rPr>
        <w:t xml:space="preserve"> is the</w:t>
      </w:r>
      <w:r w:rsidR="002E15EC">
        <w:rPr>
          <w:rFonts w:ascii="Arial" w:hAnsi="Arial" w:cs="Arial"/>
          <w:sz w:val="22"/>
          <w:szCs w:val="22"/>
          <w:lang w:val="en-GB"/>
        </w:rPr>
        <w:t xml:space="preserve"> debtor</w:t>
      </w:r>
      <w:r w:rsidR="00C13018">
        <w:rPr>
          <w:rFonts w:ascii="Arial" w:hAnsi="Arial" w:cs="Arial"/>
          <w:sz w:val="22"/>
          <w:szCs w:val="22"/>
          <w:lang w:val="en-GB"/>
        </w:rPr>
        <w:t xml:space="preserve"> belongs to</w:t>
      </w:r>
      <w:r w:rsidR="002E15EC">
        <w:rPr>
          <w:rFonts w:ascii="Arial" w:hAnsi="Arial" w:cs="Arial"/>
          <w:sz w:val="22"/>
          <w:szCs w:val="22"/>
          <w:lang w:val="en-GB"/>
        </w:rPr>
        <w:t xml:space="preserve">. </w:t>
      </w:r>
      <w:r w:rsidR="002E15EC" w:rsidRPr="00EC7EB9">
        <w:rPr>
          <w:rFonts w:ascii="Arial" w:hAnsi="Arial" w:cs="Arial"/>
          <w:sz w:val="22"/>
          <w:szCs w:val="22"/>
          <w:lang w:val="en-GB"/>
        </w:rPr>
        <w:t>For</w:t>
      </w:r>
      <w:r w:rsidR="002E15EC">
        <w:rPr>
          <w:rFonts w:ascii="Arial" w:hAnsi="Arial" w:cs="Arial"/>
          <w:sz w:val="22"/>
          <w:szCs w:val="22"/>
          <w:lang w:val="en-GB"/>
        </w:rPr>
        <w:t xml:space="preserve"> a personal debtor, the</w:t>
      </w:r>
      <w:r w:rsidR="002E15EC" w:rsidRPr="00EC7EB9">
        <w:rPr>
          <w:rFonts w:ascii="Arial" w:hAnsi="Arial" w:cs="Arial"/>
          <w:sz w:val="22"/>
          <w:szCs w:val="22"/>
          <w:lang w:val="en-GB"/>
        </w:rPr>
        <w:t xml:space="preserve"> </w:t>
      </w:r>
      <w:r w:rsidR="009F189F" w:rsidRPr="009F189F">
        <w:rPr>
          <w:rFonts w:ascii="Arial" w:hAnsi="Arial" w:cs="Arial"/>
          <w:i/>
          <w:iCs/>
          <w:sz w:val="22"/>
          <w:szCs w:val="22"/>
          <w:lang w:val="en-GB"/>
        </w:rPr>
        <w:t>i</w:t>
      </w:r>
      <w:r w:rsidR="002E15EC" w:rsidRPr="009F189F">
        <w:rPr>
          <w:rFonts w:ascii="Arial" w:hAnsi="Arial" w:cs="Arial"/>
          <w:i/>
          <w:iCs/>
          <w:sz w:val="22"/>
          <w:szCs w:val="22"/>
          <w:lang w:val="en-GB"/>
        </w:rPr>
        <w:t>pso facto</w:t>
      </w:r>
      <w:r w:rsidR="002E15EC" w:rsidRPr="009320DD">
        <w:rPr>
          <w:rFonts w:ascii="Arial" w:hAnsi="Arial" w:cs="Arial"/>
          <w:sz w:val="22"/>
          <w:szCs w:val="22"/>
          <w:lang w:val="en-GB"/>
        </w:rPr>
        <w:t xml:space="preserve"> clause</w:t>
      </w:r>
      <w:r w:rsidR="002E15EC">
        <w:rPr>
          <w:rFonts w:ascii="Arial" w:hAnsi="Arial" w:cs="Arial"/>
          <w:sz w:val="22"/>
          <w:szCs w:val="22"/>
          <w:lang w:val="en-GB"/>
        </w:rPr>
        <w:t>s are void</w:t>
      </w:r>
      <w:r w:rsidR="00075328">
        <w:rPr>
          <w:rFonts w:ascii="Arial" w:hAnsi="Arial" w:cs="Arial"/>
          <w:sz w:val="22"/>
          <w:szCs w:val="22"/>
          <w:lang w:val="en-GB"/>
        </w:rPr>
        <w:t xml:space="preserve"> completely</w:t>
      </w:r>
      <w:r w:rsidR="002E15EC">
        <w:rPr>
          <w:rFonts w:ascii="Arial" w:hAnsi="Arial" w:cs="Arial"/>
          <w:sz w:val="22"/>
          <w:szCs w:val="22"/>
          <w:lang w:val="en-GB"/>
        </w:rPr>
        <w:t xml:space="preserve"> as mentioned above. And for a corporate debtor, the</w:t>
      </w:r>
      <w:r w:rsidR="002E15EC" w:rsidRPr="009F189F">
        <w:rPr>
          <w:rFonts w:ascii="Arial" w:hAnsi="Arial" w:cs="Arial"/>
          <w:i/>
          <w:iCs/>
          <w:sz w:val="22"/>
          <w:szCs w:val="22"/>
          <w:lang w:val="en-GB"/>
        </w:rPr>
        <w:t xml:space="preserve"> </w:t>
      </w:r>
      <w:r w:rsidR="009F189F" w:rsidRPr="009F189F">
        <w:rPr>
          <w:rFonts w:ascii="Arial" w:hAnsi="Arial" w:cs="Arial"/>
          <w:i/>
          <w:iCs/>
          <w:sz w:val="22"/>
          <w:szCs w:val="22"/>
          <w:lang w:val="en-GB"/>
        </w:rPr>
        <w:t>i</w:t>
      </w:r>
      <w:r w:rsidR="002E15EC" w:rsidRPr="009F189F">
        <w:rPr>
          <w:rFonts w:ascii="Arial" w:hAnsi="Arial" w:cs="Arial"/>
          <w:i/>
          <w:iCs/>
          <w:sz w:val="22"/>
          <w:szCs w:val="22"/>
          <w:lang w:val="en-GB"/>
        </w:rPr>
        <w:t>pso facto</w:t>
      </w:r>
      <w:r w:rsidR="002E15EC" w:rsidRPr="009320DD">
        <w:rPr>
          <w:rFonts w:ascii="Arial" w:hAnsi="Arial" w:cs="Arial"/>
          <w:sz w:val="22"/>
          <w:szCs w:val="22"/>
          <w:lang w:val="en-GB"/>
        </w:rPr>
        <w:t xml:space="preserve"> clause</w:t>
      </w:r>
      <w:r w:rsidR="002E15EC">
        <w:rPr>
          <w:rFonts w:ascii="Arial" w:hAnsi="Arial" w:cs="Arial"/>
          <w:sz w:val="22"/>
          <w:szCs w:val="22"/>
          <w:lang w:val="en-GB"/>
        </w:rPr>
        <w:t>s</w:t>
      </w:r>
      <w:r w:rsidR="00EC7EB9">
        <w:rPr>
          <w:rFonts w:ascii="Arial" w:hAnsi="Arial" w:cs="Arial"/>
          <w:sz w:val="22"/>
          <w:szCs w:val="22"/>
          <w:lang w:val="en-GB"/>
        </w:rPr>
        <w:t xml:space="preserve"> incorporated in its contract</w:t>
      </w:r>
      <w:r w:rsidR="002E15EC">
        <w:rPr>
          <w:rFonts w:ascii="Arial" w:hAnsi="Arial" w:cs="Arial"/>
          <w:sz w:val="22"/>
          <w:szCs w:val="22"/>
          <w:lang w:val="en-GB"/>
        </w:rPr>
        <w:t xml:space="preserve"> are generally effective</w:t>
      </w:r>
      <w:r w:rsidR="009F189F">
        <w:rPr>
          <w:rFonts w:ascii="Arial" w:hAnsi="Arial" w:cs="Arial"/>
          <w:sz w:val="22"/>
          <w:szCs w:val="22"/>
          <w:lang w:val="en-GB"/>
        </w:rPr>
        <w:t xml:space="preserve"> and enforceable</w:t>
      </w:r>
      <w:r w:rsidR="00EC7EB9">
        <w:rPr>
          <w:rFonts w:ascii="Arial" w:hAnsi="Arial" w:cs="Arial"/>
          <w:sz w:val="22"/>
          <w:szCs w:val="22"/>
          <w:lang w:val="en-GB"/>
        </w:rPr>
        <w:t xml:space="preserve">, </w:t>
      </w:r>
      <w:r w:rsidR="00EC7EB9" w:rsidRPr="00EC7EB9">
        <w:rPr>
          <w:rFonts w:ascii="Arial" w:hAnsi="Arial" w:cs="Arial"/>
          <w:sz w:val="22"/>
          <w:szCs w:val="22"/>
          <w:lang w:val="en-GB"/>
        </w:rPr>
        <w:t>subject to one exceptio</w:t>
      </w:r>
      <w:r w:rsidR="00C13018">
        <w:rPr>
          <w:rFonts w:ascii="Arial" w:hAnsi="Arial" w:cs="Arial"/>
          <w:sz w:val="22"/>
          <w:szCs w:val="22"/>
          <w:lang w:val="en-GB"/>
        </w:rPr>
        <w:t>n which is</w:t>
      </w:r>
      <w:r w:rsidR="00EC7EB9" w:rsidRPr="00EC7EB9">
        <w:rPr>
          <w:rFonts w:ascii="Arial" w:hAnsi="Arial" w:cs="Arial"/>
          <w:sz w:val="22"/>
          <w:szCs w:val="22"/>
          <w:lang w:val="en-GB"/>
        </w:rPr>
        <w:t xml:space="preserve"> regarding </w:t>
      </w:r>
      <w:r w:rsidR="00C13018">
        <w:rPr>
          <w:rFonts w:ascii="Arial" w:hAnsi="Arial" w:cs="Arial"/>
          <w:sz w:val="22"/>
          <w:szCs w:val="22"/>
          <w:lang w:val="en-GB"/>
        </w:rPr>
        <w:t xml:space="preserve">to </w:t>
      </w:r>
      <w:r w:rsidR="00EC7EB9" w:rsidRPr="00EC7EB9">
        <w:rPr>
          <w:rFonts w:ascii="Arial" w:hAnsi="Arial" w:cs="Arial"/>
          <w:sz w:val="22"/>
          <w:szCs w:val="22"/>
          <w:lang w:val="en-GB"/>
        </w:rPr>
        <w:t>the treatment of utility contracts</w:t>
      </w:r>
      <w:r w:rsidR="00C13018">
        <w:rPr>
          <w:rFonts w:ascii="Arial" w:hAnsi="Arial" w:cs="Arial"/>
          <w:sz w:val="22"/>
          <w:szCs w:val="22"/>
          <w:lang w:val="en-GB"/>
        </w:rPr>
        <w:t xml:space="preserve">. The </w:t>
      </w:r>
      <w:r w:rsidR="00C13018" w:rsidRPr="00EC7EB9">
        <w:rPr>
          <w:rFonts w:ascii="Arial" w:hAnsi="Arial" w:cs="Arial"/>
          <w:sz w:val="22"/>
          <w:szCs w:val="22"/>
          <w:lang w:val="en-GB"/>
        </w:rPr>
        <w:t>utility contracts</w:t>
      </w:r>
      <w:r w:rsidR="00075328">
        <w:rPr>
          <w:rFonts w:ascii="Arial" w:hAnsi="Arial" w:cs="Arial"/>
          <w:sz w:val="22"/>
          <w:szCs w:val="22"/>
          <w:lang w:val="en-GB"/>
        </w:rPr>
        <w:t xml:space="preserve"> </w:t>
      </w:r>
      <w:r w:rsidR="00EC7EB9" w:rsidRPr="00EC7EB9">
        <w:rPr>
          <w:rFonts w:ascii="Arial" w:hAnsi="Arial" w:cs="Arial"/>
          <w:sz w:val="22"/>
          <w:szCs w:val="22"/>
          <w:lang w:val="en-GB"/>
        </w:rPr>
        <w:t>cannot be terminated merely upon the appointment</w:t>
      </w:r>
      <w:r w:rsidR="00075328">
        <w:rPr>
          <w:rFonts w:ascii="Arial" w:hAnsi="Arial" w:cs="Arial"/>
          <w:sz w:val="22"/>
          <w:szCs w:val="22"/>
          <w:lang w:val="en-GB"/>
        </w:rPr>
        <w:t xml:space="preserve"> of</w:t>
      </w:r>
      <w:r w:rsidR="00EC7EB9" w:rsidRPr="00EC7EB9">
        <w:rPr>
          <w:rFonts w:ascii="Arial" w:hAnsi="Arial" w:cs="Arial"/>
          <w:sz w:val="22"/>
          <w:szCs w:val="22"/>
          <w:lang w:val="en-GB"/>
        </w:rPr>
        <w:t xml:space="preserve"> liquidators.</w:t>
      </w:r>
      <w:r w:rsidR="00075328">
        <w:rPr>
          <w:rFonts w:ascii="Arial" w:hAnsi="Arial" w:cs="Arial"/>
          <w:sz w:val="22"/>
          <w:szCs w:val="22"/>
          <w:lang w:val="en-GB"/>
        </w:rPr>
        <w:t xml:space="preserve"> </w:t>
      </w:r>
      <w:r w:rsidR="00C13018">
        <w:rPr>
          <w:rFonts w:ascii="Arial" w:hAnsi="Arial" w:cs="Arial"/>
          <w:sz w:val="22"/>
          <w:szCs w:val="22"/>
          <w:lang w:val="en-GB"/>
        </w:rPr>
        <w:t>In another word</w:t>
      </w:r>
      <w:r w:rsidR="00075328">
        <w:rPr>
          <w:rFonts w:ascii="Arial" w:hAnsi="Arial" w:cs="Arial"/>
          <w:sz w:val="22"/>
          <w:szCs w:val="22"/>
          <w:lang w:val="en-GB"/>
        </w:rPr>
        <w:t xml:space="preserve">, the liquidators in corporate liquidation </w:t>
      </w:r>
      <w:r w:rsidR="005D1496">
        <w:rPr>
          <w:rFonts w:ascii="Arial" w:hAnsi="Arial" w:cs="Arial"/>
          <w:sz w:val="22"/>
          <w:szCs w:val="22"/>
          <w:lang w:val="en-GB"/>
        </w:rPr>
        <w:t>can</w:t>
      </w:r>
      <w:r w:rsidR="00075328">
        <w:rPr>
          <w:rFonts w:ascii="Arial" w:hAnsi="Arial" w:cs="Arial"/>
          <w:sz w:val="22"/>
          <w:szCs w:val="22"/>
          <w:lang w:val="en-GB"/>
        </w:rPr>
        <w:t xml:space="preserve">not have the benefit of </w:t>
      </w:r>
      <w:r w:rsidR="005D1496">
        <w:rPr>
          <w:rFonts w:ascii="Arial" w:hAnsi="Arial" w:cs="Arial"/>
          <w:sz w:val="22"/>
          <w:szCs w:val="22"/>
          <w:lang w:val="en-GB"/>
        </w:rPr>
        <w:t>an</w:t>
      </w:r>
      <w:r w:rsidR="00075328">
        <w:rPr>
          <w:rFonts w:ascii="Arial" w:hAnsi="Arial" w:cs="Arial"/>
          <w:sz w:val="22"/>
          <w:szCs w:val="22"/>
          <w:lang w:val="en-GB"/>
        </w:rPr>
        <w:t xml:space="preserve"> </w:t>
      </w:r>
      <w:r w:rsidR="00075328">
        <w:rPr>
          <w:rFonts w:ascii="Arial" w:hAnsi="Arial" w:cs="Arial"/>
          <w:i/>
          <w:iCs/>
          <w:sz w:val="22"/>
          <w:szCs w:val="22"/>
          <w:lang w:val="en-GB"/>
        </w:rPr>
        <w:t>ipso facto</w:t>
      </w:r>
      <w:r w:rsidR="00075328" w:rsidRPr="00075328">
        <w:rPr>
          <w:rFonts w:ascii="Arial" w:hAnsi="Arial" w:cs="Arial"/>
          <w:sz w:val="22"/>
          <w:szCs w:val="22"/>
          <w:lang w:val="en-GB"/>
        </w:rPr>
        <w:t xml:space="preserve"> moratorium.</w:t>
      </w:r>
    </w:p>
    <w:p w14:paraId="483A8419" w14:textId="77777777" w:rsidR="00EC7EB9" w:rsidRPr="00EC7EB9" w:rsidRDefault="00EC7EB9" w:rsidP="00EC7EB9">
      <w:pPr>
        <w:ind w:left="720" w:hanging="720"/>
        <w:jc w:val="both"/>
        <w:rPr>
          <w:rFonts w:ascii="Arial" w:hAnsi="Arial" w:cs="Arial"/>
          <w:sz w:val="22"/>
          <w:szCs w:val="22"/>
          <w:lang w:val="en-GB"/>
        </w:rPr>
      </w:pPr>
    </w:p>
    <w:p w14:paraId="261DD67E" w14:textId="4C0072A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4A8E7978"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6B935E82" w14:textId="2FD73DEF" w:rsidR="0092291C" w:rsidRPr="00F01A62" w:rsidRDefault="005A5B9D" w:rsidP="00F01A62">
      <w:pPr>
        <w:jc w:val="both"/>
        <w:rPr>
          <w:rFonts w:ascii="Arial" w:hAnsi="Arial" w:cs="Arial"/>
          <w:sz w:val="22"/>
          <w:szCs w:val="22"/>
          <w:lang w:val="en-GB"/>
        </w:rPr>
      </w:pPr>
      <w:r w:rsidRPr="00F01A62">
        <w:rPr>
          <w:rFonts w:ascii="Arial" w:hAnsi="Arial" w:cs="Arial"/>
          <w:sz w:val="22"/>
          <w:szCs w:val="22"/>
          <w:lang w:val="en-GB"/>
        </w:rPr>
        <w:t xml:space="preserve">I disagree with this statement. I am of the opinion that Australia is still a creditor-friendly </w:t>
      </w:r>
      <w:r w:rsidR="00882A40" w:rsidRPr="00F01A62">
        <w:rPr>
          <w:rFonts w:ascii="Arial" w:hAnsi="Arial" w:cs="Arial"/>
          <w:sz w:val="22"/>
          <w:szCs w:val="22"/>
          <w:lang w:val="en-GB"/>
        </w:rPr>
        <w:t>jurisdiction, but recent reforms have made Australia</w:t>
      </w:r>
      <w:r w:rsidR="00861A55" w:rsidRPr="00F01A62">
        <w:rPr>
          <w:rFonts w:ascii="Arial" w:hAnsi="Arial" w:cs="Arial"/>
          <w:sz w:val="22"/>
          <w:szCs w:val="22"/>
          <w:lang w:val="en-GB"/>
        </w:rPr>
        <w:t>’s position</w:t>
      </w:r>
      <w:r w:rsidR="00882A40" w:rsidRPr="00F01A62">
        <w:rPr>
          <w:rFonts w:ascii="Arial" w:hAnsi="Arial" w:cs="Arial"/>
          <w:sz w:val="22"/>
          <w:szCs w:val="22"/>
          <w:lang w:val="en-GB"/>
        </w:rPr>
        <w:t xml:space="preserve"> more balanced between creditor-friendly and </w:t>
      </w:r>
      <w:r w:rsidR="0092291C" w:rsidRPr="00F01A62">
        <w:rPr>
          <w:rFonts w:ascii="Arial" w:hAnsi="Arial" w:cs="Arial"/>
          <w:sz w:val="22"/>
          <w:szCs w:val="22"/>
          <w:lang w:val="en-GB"/>
        </w:rPr>
        <w:t>debtor-friendly. My reasons are as followed.</w:t>
      </w:r>
    </w:p>
    <w:p w14:paraId="435202BF" w14:textId="592F54EB" w:rsidR="00F05395" w:rsidRPr="00F01A62" w:rsidRDefault="0092291C" w:rsidP="00F01A62">
      <w:pPr>
        <w:jc w:val="both"/>
        <w:rPr>
          <w:rFonts w:ascii="Arial" w:eastAsiaTheme="minorEastAsia" w:hAnsi="Arial" w:cs="Arial"/>
          <w:sz w:val="22"/>
          <w:szCs w:val="22"/>
          <w:lang w:eastAsia="zh-CN"/>
        </w:rPr>
      </w:pPr>
      <w:r w:rsidRPr="00F01A62">
        <w:rPr>
          <w:rFonts w:ascii="Arial" w:eastAsiaTheme="minorEastAsia" w:hAnsi="Arial" w:cs="Arial"/>
          <w:sz w:val="22"/>
          <w:szCs w:val="22"/>
          <w:lang w:val="en-GB" w:eastAsia="zh-CN"/>
        </w:rPr>
        <w:t>First</w:t>
      </w:r>
      <w:r w:rsidR="007F36C6" w:rsidRPr="00F01A62">
        <w:rPr>
          <w:rFonts w:ascii="Arial" w:eastAsiaTheme="minorEastAsia" w:hAnsi="Arial" w:cs="Arial"/>
          <w:sz w:val="22"/>
          <w:szCs w:val="22"/>
          <w:lang w:val="en-GB" w:eastAsia="zh-CN"/>
        </w:rPr>
        <w:t>, even after the reforms,</w:t>
      </w:r>
      <w:r w:rsidRPr="00F01A62">
        <w:rPr>
          <w:rFonts w:ascii="Arial" w:eastAsiaTheme="minorEastAsia" w:hAnsi="Arial" w:cs="Arial"/>
          <w:sz w:val="22"/>
          <w:szCs w:val="22"/>
          <w:lang w:val="en-GB" w:eastAsia="zh-CN"/>
        </w:rPr>
        <w:t xml:space="preserve"> Australia’s insolvency regime</w:t>
      </w:r>
      <w:r w:rsidR="00A10A54" w:rsidRPr="00F01A62">
        <w:rPr>
          <w:rFonts w:ascii="Arial" w:eastAsiaTheme="minorEastAsia" w:hAnsi="Arial" w:cs="Arial"/>
          <w:sz w:val="22"/>
          <w:szCs w:val="22"/>
          <w:lang w:val="en-GB" w:eastAsia="zh-CN"/>
        </w:rPr>
        <w:t>s</w:t>
      </w:r>
      <w:r w:rsidR="002B1D0F" w:rsidRPr="00F01A62">
        <w:rPr>
          <w:rFonts w:ascii="Arial" w:eastAsiaTheme="minorEastAsia" w:hAnsi="Arial" w:cs="Arial"/>
          <w:sz w:val="22"/>
          <w:szCs w:val="22"/>
          <w:lang w:val="en-GB" w:eastAsia="zh-CN"/>
        </w:rPr>
        <w:t xml:space="preserve"> </w:t>
      </w:r>
      <w:r w:rsidRPr="00F01A62">
        <w:rPr>
          <w:rFonts w:ascii="Arial" w:eastAsiaTheme="minorEastAsia" w:hAnsi="Arial" w:cs="Arial"/>
          <w:sz w:val="22"/>
          <w:szCs w:val="22"/>
          <w:lang w:val="en-GB" w:eastAsia="zh-CN"/>
        </w:rPr>
        <w:t>still</w:t>
      </w:r>
      <w:r w:rsidR="007F36C6" w:rsidRPr="00F01A62">
        <w:rPr>
          <w:rFonts w:ascii="Arial" w:eastAsiaTheme="minorEastAsia" w:hAnsi="Arial" w:cs="Arial"/>
          <w:sz w:val="22"/>
          <w:szCs w:val="22"/>
          <w:lang w:val="en-GB" w:eastAsia="zh-CN"/>
        </w:rPr>
        <w:t xml:space="preserve"> focus on creditor protection and most of the </w:t>
      </w:r>
      <w:r w:rsidR="003C2DA5" w:rsidRPr="00F01A62">
        <w:rPr>
          <w:rFonts w:ascii="Arial" w:eastAsiaTheme="minorEastAsia" w:hAnsi="Arial" w:cs="Arial"/>
          <w:sz w:val="22"/>
          <w:szCs w:val="22"/>
          <w:lang w:val="en-GB" w:eastAsia="zh-CN"/>
        </w:rPr>
        <w:t xml:space="preserve">rules relating to </w:t>
      </w:r>
      <w:r w:rsidR="00F912F1" w:rsidRPr="00F01A62">
        <w:rPr>
          <w:rFonts w:ascii="Arial" w:eastAsiaTheme="minorEastAsia" w:hAnsi="Arial" w:cs="Arial"/>
          <w:sz w:val="22"/>
          <w:szCs w:val="22"/>
          <w:lang w:val="en-GB" w:eastAsia="zh-CN"/>
        </w:rPr>
        <w:t xml:space="preserve">this </w:t>
      </w:r>
      <w:r w:rsidR="002C5BB3" w:rsidRPr="00F01A62">
        <w:rPr>
          <w:rFonts w:ascii="Arial" w:eastAsiaTheme="minorEastAsia" w:hAnsi="Arial" w:cs="Arial"/>
          <w:sz w:val="22"/>
          <w:szCs w:val="22"/>
          <w:lang w:val="en-GB" w:eastAsia="zh-CN"/>
        </w:rPr>
        <w:t>purpose</w:t>
      </w:r>
      <w:r w:rsidR="003C2DA5" w:rsidRPr="00F01A62">
        <w:rPr>
          <w:rFonts w:ascii="Arial" w:eastAsiaTheme="minorEastAsia" w:hAnsi="Arial" w:cs="Arial"/>
          <w:sz w:val="22"/>
          <w:szCs w:val="22"/>
          <w:lang w:val="en-GB" w:eastAsia="zh-CN"/>
        </w:rPr>
        <w:t xml:space="preserve"> ha</w:t>
      </w:r>
      <w:r w:rsidR="002C5BB3" w:rsidRPr="00F01A62">
        <w:rPr>
          <w:rFonts w:ascii="Arial" w:eastAsiaTheme="minorEastAsia" w:hAnsi="Arial" w:cs="Arial"/>
          <w:sz w:val="22"/>
          <w:szCs w:val="22"/>
          <w:lang w:val="en-GB" w:eastAsia="zh-CN"/>
        </w:rPr>
        <w:t>ve</w:t>
      </w:r>
      <w:r w:rsidR="003C2DA5" w:rsidRPr="00F01A62">
        <w:rPr>
          <w:rFonts w:ascii="Arial" w:eastAsiaTheme="minorEastAsia" w:hAnsi="Arial" w:cs="Arial"/>
          <w:sz w:val="22"/>
          <w:szCs w:val="22"/>
          <w:lang w:val="en-GB" w:eastAsia="zh-CN"/>
        </w:rPr>
        <w:t xml:space="preserve"> not been changed</w:t>
      </w:r>
      <w:r w:rsidR="005258AE" w:rsidRPr="00F01A62">
        <w:rPr>
          <w:rFonts w:ascii="Arial" w:eastAsiaTheme="minorEastAsia" w:hAnsi="Arial" w:cs="Arial"/>
          <w:sz w:val="22"/>
          <w:szCs w:val="22"/>
          <w:lang w:val="en-GB" w:eastAsia="zh-CN"/>
        </w:rPr>
        <w:t xml:space="preserve">. For example, Australia’s insolvency regime has incorporated broad insolvent trading liability and </w:t>
      </w:r>
      <w:r w:rsidR="00583E26" w:rsidRPr="00F01A62">
        <w:rPr>
          <w:rFonts w:ascii="Arial" w:eastAsiaTheme="minorEastAsia" w:hAnsi="Arial" w:cs="Arial"/>
          <w:sz w:val="22"/>
          <w:szCs w:val="22"/>
          <w:lang w:val="en-GB" w:eastAsia="zh-CN"/>
        </w:rPr>
        <w:t>broad</w:t>
      </w:r>
      <w:r w:rsidR="005258AE" w:rsidRPr="00F01A62">
        <w:rPr>
          <w:rFonts w:ascii="Arial" w:eastAsiaTheme="minorEastAsia" w:hAnsi="Arial" w:cs="Arial"/>
          <w:sz w:val="22"/>
          <w:szCs w:val="22"/>
          <w:lang w:val="en-GB" w:eastAsia="zh-CN"/>
        </w:rPr>
        <w:t xml:space="preserve"> </w:t>
      </w:r>
      <w:r w:rsidR="005258AE" w:rsidRPr="00F01A62">
        <w:rPr>
          <w:rFonts w:ascii="Arial" w:eastAsiaTheme="minorEastAsia" w:hAnsi="Arial" w:cs="Arial"/>
          <w:sz w:val="22"/>
          <w:szCs w:val="22"/>
          <w:lang w:val="en-GB" w:eastAsia="zh-CN"/>
        </w:rPr>
        <w:lastRenderedPageBreak/>
        <w:t xml:space="preserve">voidable transaction </w:t>
      </w:r>
      <w:r w:rsidR="00A10A54" w:rsidRPr="00F01A62">
        <w:rPr>
          <w:rFonts w:ascii="Arial" w:eastAsiaTheme="minorEastAsia" w:hAnsi="Arial" w:cs="Arial"/>
          <w:sz w:val="22"/>
          <w:szCs w:val="22"/>
          <w:lang w:val="en-GB" w:eastAsia="zh-CN"/>
        </w:rPr>
        <w:t>povision</w:t>
      </w:r>
      <w:r w:rsidR="00583E26" w:rsidRPr="00F01A62">
        <w:rPr>
          <w:rFonts w:ascii="Arial" w:eastAsiaTheme="minorEastAsia" w:hAnsi="Arial" w:cs="Arial"/>
          <w:sz w:val="22"/>
          <w:szCs w:val="22"/>
          <w:lang w:val="en-GB" w:eastAsia="zh-CN"/>
        </w:rPr>
        <w:t>s with many “user-friendly” presumptions</w:t>
      </w:r>
      <w:r w:rsidR="005258AE" w:rsidRPr="00F01A62">
        <w:rPr>
          <w:rFonts w:ascii="Arial" w:eastAsiaTheme="minorEastAsia" w:hAnsi="Arial" w:cs="Arial"/>
          <w:sz w:val="22"/>
          <w:szCs w:val="22"/>
          <w:lang w:val="en-GB" w:eastAsia="zh-CN"/>
        </w:rPr>
        <w:t xml:space="preserve">. These rules </w:t>
      </w:r>
      <w:r w:rsidR="002B1D0F" w:rsidRPr="00F01A62">
        <w:rPr>
          <w:rFonts w:ascii="Arial" w:eastAsiaTheme="minorEastAsia" w:hAnsi="Arial" w:cs="Arial"/>
          <w:sz w:val="22"/>
          <w:szCs w:val="22"/>
          <w:lang w:val="en-GB" w:eastAsia="zh-CN"/>
        </w:rPr>
        <w:t>impose strict duties on debtor and its directors to</w:t>
      </w:r>
      <w:r w:rsidR="00A10A54" w:rsidRPr="00F01A62">
        <w:rPr>
          <w:rFonts w:ascii="Arial" w:eastAsiaTheme="minorEastAsia" w:hAnsi="Arial" w:cs="Arial"/>
          <w:sz w:val="22"/>
          <w:szCs w:val="22"/>
          <w:lang w:val="en-GB" w:eastAsia="zh-CN"/>
        </w:rPr>
        <w:t xml:space="preserve"> protect</w:t>
      </w:r>
      <w:r w:rsidR="002B1D0F" w:rsidRPr="00F01A62">
        <w:rPr>
          <w:rFonts w:ascii="Arial" w:eastAsiaTheme="minorEastAsia" w:hAnsi="Arial" w:cs="Arial"/>
          <w:sz w:val="22"/>
          <w:szCs w:val="22"/>
          <w:lang w:val="en-GB" w:eastAsia="zh-CN"/>
        </w:rPr>
        <w:t xml:space="preserve"> creditor</w:t>
      </w:r>
      <w:r w:rsidR="00A10A54" w:rsidRPr="00F01A62">
        <w:rPr>
          <w:rFonts w:ascii="Arial" w:eastAsiaTheme="minorEastAsia" w:hAnsi="Arial" w:cs="Arial"/>
          <w:sz w:val="22"/>
          <w:szCs w:val="22"/>
          <w:lang w:val="en-GB" w:eastAsia="zh-CN"/>
        </w:rPr>
        <w:t>s from defrauding acts</w:t>
      </w:r>
      <w:r w:rsidR="002B1D0F" w:rsidRPr="00F01A62">
        <w:rPr>
          <w:rFonts w:ascii="Arial" w:eastAsiaTheme="minorEastAsia" w:hAnsi="Arial" w:cs="Arial"/>
          <w:sz w:val="22"/>
          <w:szCs w:val="22"/>
          <w:lang w:val="en-GB" w:eastAsia="zh-CN"/>
        </w:rPr>
        <w:t xml:space="preserve">, </w:t>
      </w:r>
      <w:r w:rsidR="005258AE" w:rsidRPr="00F01A62">
        <w:rPr>
          <w:rFonts w:ascii="Arial" w:eastAsiaTheme="minorEastAsia" w:hAnsi="Arial" w:cs="Arial"/>
          <w:sz w:val="22"/>
          <w:szCs w:val="22"/>
          <w:lang w:val="en-GB" w:eastAsia="zh-CN"/>
        </w:rPr>
        <w:t>help to prevent insolvency proceeding abuse</w:t>
      </w:r>
      <w:r w:rsidR="00A10A54" w:rsidRPr="00F01A62">
        <w:rPr>
          <w:rFonts w:ascii="Arial" w:eastAsiaTheme="minorEastAsia" w:hAnsi="Arial" w:cs="Arial"/>
          <w:sz w:val="22"/>
          <w:szCs w:val="22"/>
          <w:lang w:val="en-GB" w:eastAsia="zh-CN"/>
        </w:rPr>
        <w:t>, and allow liquidators to recover from the obligors responsible for the loss of the creditor and prevent creditors from suffering further losses when financial failure occurs. In Australia, f</w:t>
      </w:r>
      <w:r w:rsidR="002B1D0F" w:rsidRPr="00F01A62">
        <w:rPr>
          <w:rFonts w:ascii="Arial" w:eastAsiaTheme="minorEastAsia" w:hAnsi="Arial" w:cs="Arial"/>
          <w:sz w:val="22"/>
          <w:szCs w:val="22"/>
          <w:lang w:val="en-GB" w:eastAsia="zh-CN"/>
        </w:rPr>
        <w:t>ailure to prevent insolvent trading can lead to civil penalties, or</w:t>
      </w:r>
      <w:r w:rsidR="00583E26" w:rsidRPr="00F01A62">
        <w:rPr>
          <w:rFonts w:ascii="Arial" w:eastAsiaTheme="minorEastAsia" w:hAnsi="Arial" w:cs="Arial"/>
          <w:sz w:val="22"/>
          <w:szCs w:val="22"/>
          <w:lang w:val="en-GB" w:eastAsia="zh-CN"/>
        </w:rPr>
        <w:t xml:space="preserve"> even </w:t>
      </w:r>
      <w:r w:rsidR="002B1D0F" w:rsidRPr="00F01A62">
        <w:rPr>
          <w:rFonts w:ascii="Arial" w:eastAsiaTheme="minorEastAsia" w:hAnsi="Arial" w:cs="Arial"/>
          <w:sz w:val="22"/>
          <w:szCs w:val="22"/>
          <w:lang w:val="en-GB" w:eastAsia="zh-CN"/>
        </w:rPr>
        <w:t>criminal penalties</w:t>
      </w:r>
      <w:r w:rsidR="002B1D0F" w:rsidRPr="00F01A62">
        <w:rPr>
          <w:rFonts w:ascii="Arial" w:eastAsia="仿宋" w:hAnsi="Arial" w:cs="Arial"/>
          <w:sz w:val="22"/>
          <w:szCs w:val="22"/>
          <w:lang w:eastAsia="zh-CN"/>
        </w:rPr>
        <w:t>.</w:t>
      </w:r>
      <w:r w:rsidR="002B1D0F" w:rsidRPr="00F01A62">
        <w:rPr>
          <w:rStyle w:val="a6"/>
          <w:rFonts w:ascii="Arial" w:eastAsia="仿宋" w:hAnsi="Arial" w:cs="Arial"/>
          <w:sz w:val="22"/>
          <w:szCs w:val="22"/>
          <w:lang w:eastAsia="zh-CN"/>
        </w:rPr>
        <w:footnoteReference w:id="4"/>
      </w:r>
      <w:r w:rsidR="002B1D0F" w:rsidRPr="00F01A62">
        <w:rPr>
          <w:rFonts w:ascii="Arial" w:eastAsia="仿宋" w:hAnsi="Arial" w:cs="Arial"/>
          <w:sz w:val="22"/>
          <w:szCs w:val="22"/>
          <w:lang w:eastAsia="zh-CN"/>
        </w:rPr>
        <w:t xml:space="preserve"> </w:t>
      </w:r>
      <w:r w:rsidR="002B1D0F" w:rsidRPr="00F01A62">
        <w:rPr>
          <w:rFonts w:ascii="Arial" w:eastAsiaTheme="minorEastAsia" w:hAnsi="Arial" w:cs="Arial"/>
          <w:sz w:val="22"/>
          <w:szCs w:val="22"/>
          <w:lang w:val="en-GB" w:eastAsia="zh-CN"/>
        </w:rPr>
        <w:t>Th</w:t>
      </w:r>
      <w:r w:rsidR="00583E26" w:rsidRPr="00F01A62">
        <w:rPr>
          <w:rFonts w:ascii="Arial" w:eastAsiaTheme="minorEastAsia" w:hAnsi="Arial" w:cs="Arial"/>
          <w:sz w:val="22"/>
          <w:szCs w:val="22"/>
          <w:lang w:val="en-GB" w:eastAsia="zh-CN"/>
        </w:rPr>
        <w:t xml:space="preserve">ese </w:t>
      </w:r>
      <w:r w:rsidR="00A10A54" w:rsidRPr="00F01A62">
        <w:rPr>
          <w:rFonts w:ascii="Arial" w:eastAsiaTheme="minorEastAsia" w:hAnsi="Arial" w:cs="Arial"/>
          <w:sz w:val="22"/>
          <w:szCs w:val="22"/>
          <w:lang w:val="en-GB" w:eastAsia="zh-CN"/>
        </w:rPr>
        <w:t xml:space="preserve">strict </w:t>
      </w:r>
      <w:r w:rsidR="002B1D0F" w:rsidRPr="00F01A62">
        <w:rPr>
          <w:rFonts w:ascii="Arial" w:eastAsiaTheme="minorEastAsia" w:hAnsi="Arial" w:cs="Arial"/>
          <w:sz w:val="22"/>
          <w:szCs w:val="22"/>
          <w:lang w:val="en-GB" w:eastAsia="zh-CN"/>
        </w:rPr>
        <w:t>rules</w:t>
      </w:r>
      <w:r w:rsidR="00A10A54" w:rsidRPr="00F01A62">
        <w:rPr>
          <w:rFonts w:ascii="Arial" w:eastAsiaTheme="minorEastAsia" w:hAnsi="Arial" w:cs="Arial"/>
          <w:sz w:val="22"/>
          <w:szCs w:val="22"/>
          <w:lang w:val="en-GB" w:eastAsia="zh-CN"/>
        </w:rPr>
        <w:t xml:space="preserve"> cannot be seen in most jurisdictions. </w:t>
      </w:r>
      <w:r w:rsidR="002B1D0F" w:rsidRPr="00F01A62">
        <w:rPr>
          <w:rFonts w:ascii="Arial" w:eastAsiaTheme="minorEastAsia" w:hAnsi="Arial" w:cs="Arial"/>
          <w:sz w:val="22"/>
          <w:szCs w:val="22"/>
          <w:lang w:val="en-GB" w:eastAsia="zh-CN"/>
        </w:rPr>
        <w:t xml:space="preserve"> </w:t>
      </w:r>
    </w:p>
    <w:p w14:paraId="1F7BF838" w14:textId="14805745" w:rsidR="0068545B" w:rsidRPr="00F01A62" w:rsidRDefault="00164D4C" w:rsidP="00F01A62">
      <w:pPr>
        <w:jc w:val="both"/>
        <w:rPr>
          <w:rFonts w:ascii="Arial" w:hAnsi="Arial" w:cs="Arial"/>
          <w:sz w:val="22"/>
          <w:szCs w:val="22"/>
          <w:lang w:val="en-GB"/>
        </w:rPr>
      </w:pPr>
      <w:r w:rsidRPr="00F01A62">
        <w:rPr>
          <w:rFonts w:ascii="Arial" w:eastAsiaTheme="minorEastAsia" w:hAnsi="Arial" w:cs="Arial"/>
          <w:sz w:val="22"/>
          <w:szCs w:val="22"/>
          <w:lang w:val="en-GB" w:eastAsia="zh-CN"/>
        </w:rPr>
        <w:t xml:space="preserve">Second, </w:t>
      </w:r>
      <w:r w:rsidR="00845788" w:rsidRPr="00F01A62">
        <w:rPr>
          <w:rFonts w:ascii="Arial" w:eastAsiaTheme="minorEastAsia" w:hAnsi="Arial" w:cs="Arial"/>
          <w:sz w:val="22"/>
          <w:szCs w:val="22"/>
          <w:lang w:val="en-GB" w:eastAsia="zh-CN"/>
        </w:rPr>
        <w:t>even after the reforms implemented</w:t>
      </w:r>
      <w:r w:rsidR="00CE1AD6" w:rsidRPr="00F01A62">
        <w:rPr>
          <w:rFonts w:ascii="Arial" w:eastAsiaTheme="minorEastAsia" w:hAnsi="Arial" w:cs="Arial"/>
          <w:sz w:val="22"/>
          <w:szCs w:val="22"/>
          <w:lang w:val="en-GB" w:eastAsia="zh-CN"/>
        </w:rPr>
        <w:t xml:space="preserve">, </w:t>
      </w:r>
      <w:r w:rsidRPr="00F01A62">
        <w:rPr>
          <w:rFonts w:ascii="Arial" w:eastAsiaTheme="minorEastAsia" w:hAnsi="Arial" w:cs="Arial"/>
          <w:sz w:val="22"/>
          <w:szCs w:val="22"/>
          <w:lang w:val="en-GB" w:eastAsia="zh-CN"/>
        </w:rPr>
        <w:t>Australia’s</w:t>
      </w:r>
      <w:r w:rsidR="00845788" w:rsidRPr="00F01A62">
        <w:rPr>
          <w:rFonts w:ascii="Arial" w:eastAsiaTheme="minorEastAsia" w:hAnsi="Arial" w:cs="Arial"/>
          <w:sz w:val="22"/>
          <w:szCs w:val="22"/>
          <w:lang w:val="en-GB" w:eastAsia="zh-CN"/>
        </w:rPr>
        <w:t xml:space="preserve"> rescue-type proceedings</w:t>
      </w:r>
      <w:r w:rsidRPr="00F01A62">
        <w:rPr>
          <w:rFonts w:ascii="Arial" w:eastAsiaTheme="minorEastAsia" w:hAnsi="Arial" w:cs="Arial"/>
          <w:sz w:val="22"/>
          <w:szCs w:val="22"/>
          <w:lang w:val="en-GB" w:eastAsia="zh-CN"/>
        </w:rPr>
        <w:t xml:space="preserve"> is</w:t>
      </w:r>
      <w:r w:rsidR="00845788" w:rsidRPr="00F01A62">
        <w:rPr>
          <w:rFonts w:ascii="Arial" w:eastAsiaTheme="minorEastAsia" w:hAnsi="Arial" w:cs="Arial"/>
          <w:sz w:val="22"/>
          <w:szCs w:val="22"/>
          <w:lang w:val="en-GB" w:eastAsia="zh-CN"/>
        </w:rPr>
        <w:t xml:space="preserve"> still</w:t>
      </w:r>
      <w:r w:rsidRPr="00F01A62">
        <w:rPr>
          <w:rFonts w:ascii="Arial" w:eastAsiaTheme="minorEastAsia" w:hAnsi="Arial" w:cs="Arial"/>
          <w:sz w:val="22"/>
          <w:szCs w:val="22"/>
          <w:lang w:val="en-GB" w:eastAsia="zh-CN"/>
        </w:rPr>
        <w:t xml:space="preserve"> not as debtor-friendly as </w:t>
      </w:r>
      <w:r w:rsidR="00CE1AD6" w:rsidRPr="00F01A62">
        <w:rPr>
          <w:rFonts w:ascii="Arial" w:eastAsiaTheme="minorEastAsia" w:hAnsi="Arial" w:cs="Arial"/>
          <w:sz w:val="22"/>
          <w:szCs w:val="22"/>
          <w:lang w:val="en-GB" w:eastAsia="zh-CN"/>
        </w:rPr>
        <w:t>some</w:t>
      </w:r>
      <w:r w:rsidRPr="00F01A62">
        <w:rPr>
          <w:rFonts w:ascii="Arial" w:eastAsiaTheme="minorEastAsia" w:hAnsi="Arial" w:cs="Arial"/>
          <w:sz w:val="22"/>
          <w:szCs w:val="22"/>
          <w:lang w:val="en-GB" w:eastAsia="zh-CN"/>
        </w:rPr>
        <w:t xml:space="preserve"> </w:t>
      </w:r>
      <w:r w:rsidR="00CE1AD6" w:rsidRPr="00F01A62">
        <w:rPr>
          <w:rFonts w:ascii="Arial" w:eastAsiaTheme="minorEastAsia" w:hAnsi="Arial" w:cs="Arial"/>
          <w:sz w:val="22"/>
          <w:szCs w:val="22"/>
          <w:lang w:val="en-GB" w:eastAsia="zh-CN"/>
        </w:rPr>
        <w:t xml:space="preserve">other </w:t>
      </w:r>
      <w:r w:rsidRPr="00F01A62">
        <w:rPr>
          <w:rFonts w:ascii="Arial" w:eastAsiaTheme="minorEastAsia" w:hAnsi="Arial" w:cs="Arial"/>
          <w:sz w:val="22"/>
          <w:szCs w:val="22"/>
          <w:lang w:val="en-GB" w:eastAsia="zh-CN"/>
        </w:rPr>
        <w:t>jurisdictions</w:t>
      </w:r>
      <w:r w:rsidR="00CE1AD6" w:rsidRPr="00F01A62">
        <w:rPr>
          <w:rFonts w:ascii="Arial" w:eastAsiaTheme="minorEastAsia" w:hAnsi="Arial" w:cs="Arial"/>
          <w:sz w:val="22"/>
          <w:szCs w:val="22"/>
          <w:lang w:val="en-GB" w:eastAsia="zh-CN"/>
        </w:rPr>
        <w:t>. For example,</w:t>
      </w:r>
      <w:r w:rsidR="00845788" w:rsidRPr="00F01A62">
        <w:rPr>
          <w:rFonts w:ascii="Arial" w:eastAsiaTheme="minorEastAsia" w:hAnsi="Arial" w:cs="Arial"/>
          <w:sz w:val="22"/>
          <w:szCs w:val="22"/>
          <w:lang w:val="en-GB" w:eastAsia="zh-CN"/>
        </w:rPr>
        <w:t xml:space="preserve"> as provided in s 435A of the Corporate Act,</w:t>
      </w:r>
      <w:r w:rsidR="00CE1AD6" w:rsidRPr="00F01A62">
        <w:rPr>
          <w:rFonts w:ascii="Arial" w:eastAsiaTheme="minorEastAsia" w:hAnsi="Arial" w:cs="Arial"/>
          <w:sz w:val="22"/>
          <w:szCs w:val="22"/>
          <w:lang w:val="en-GB" w:eastAsia="zh-CN"/>
        </w:rPr>
        <w:t xml:space="preserve"> </w:t>
      </w:r>
      <w:r w:rsidR="00845788" w:rsidRPr="00F01A62">
        <w:rPr>
          <w:rFonts w:ascii="Arial" w:eastAsiaTheme="minorEastAsia" w:hAnsi="Arial" w:cs="Arial"/>
          <w:sz w:val="22"/>
          <w:szCs w:val="22"/>
          <w:lang w:val="en-GB" w:eastAsia="zh-CN"/>
        </w:rPr>
        <w:t xml:space="preserve">Australian voluntary administration takes </w:t>
      </w:r>
      <w:r w:rsidR="00BD53A2" w:rsidRPr="00F01A62">
        <w:rPr>
          <w:rFonts w:ascii="Arial" w:eastAsiaTheme="minorEastAsia" w:hAnsi="Arial" w:cs="Arial"/>
          <w:sz w:val="22"/>
          <w:szCs w:val="22"/>
          <w:lang w:val="en-GB" w:eastAsia="zh-CN"/>
        </w:rPr>
        <w:t>“</w:t>
      </w:r>
      <w:r w:rsidR="00845788" w:rsidRPr="00F01A62">
        <w:rPr>
          <w:rFonts w:ascii="Arial" w:eastAsiaTheme="minorEastAsia" w:hAnsi="Arial" w:cs="Arial"/>
          <w:sz w:val="22"/>
          <w:szCs w:val="22"/>
          <w:lang w:val="en-GB" w:eastAsia="zh-CN"/>
        </w:rPr>
        <w:t>a better return for the company’s creditors</w:t>
      </w:r>
      <w:r w:rsidR="00BD53A2" w:rsidRPr="00F01A62">
        <w:rPr>
          <w:rFonts w:ascii="Arial" w:eastAsiaTheme="minorEastAsia" w:hAnsi="Arial" w:cs="Arial"/>
          <w:sz w:val="22"/>
          <w:szCs w:val="22"/>
          <w:lang w:val="en-GB" w:eastAsia="zh-CN"/>
        </w:rPr>
        <w:t>”</w:t>
      </w:r>
      <w:r w:rsidR="00845788" w:rsidRPr="00F01A62">
        <w:rPr>
          <w:rFonts w:ascii="Arial" w:eastAsiaTheme="minorEastAsia" w:hAnsi="Arial" w:cs="Arial"/>
          <w:sz w:val="22"/>
          <w:szCs w:val="22"/>
          <w:lang w:val="en-GB" w:eastAsia="zh-CN"/>
        </w:rPr>
        <w:t xml:space="preserve"> as an </w:t>
      </w:r>
      <w:r w:rsidR="00BB5F15" w:rsidRPr="00F01A62">
        <w:rPr>
          <w:rFonts w:ascii="Arial" w:eastAsiaTheme="minorEastAsia" w:hAnsi="Arial" w:cs="Arial"/>
          <w:sz w:val="22"/>
          <w:szCs w:val="22"/>
          <w:lang w:val="en-GB" w:eastAsia="zh-CN"/>
        </w:rPr>
        <w:t xml:space="preserve">alternative </w:t>
      </w:r>
      <w:r w:rsidR="00845788" w:rsidRPr="00F01A62">
        <w:rPr>
          <w:rFonts w:ascii="Arial" w:eastAsiaTheme="minorEastAsia" w:hAnsi="Arial" w:cs="Arial"/>
          <w:sz w:val="22"/>
          <w:szCs w:val="22"/>
          <w:lang w:val="en-GB" w:eastAsia="zh-CN"/>
        </w:rPr>
        <w:t>object</w:t>
      </w:r>
      <w:r w:rsidR="00BD53A2" w:rsidRPr="00F01A62">
        <w:rPr>
          <w:rFonts w:ascii="Arial" w:eastAsiaTheme="minorEastAsia" w:hAnsi="Arial" w:cs="Arial"/>
          <w:sz w:val="22"/>
          <w:szCs w:val="22"/>
          <w:lang w:val="en-GB" w:eastAsia="zh-CN"/>
        </w:rPr>
        <w:t xml:space="preserve"> of the proceeding</w:t>
      </w:r>
      <w:r w:rsidR="00845788" w:rsidRPr="00F01A62">
        <w:rPr>
          <w:rFonts w:ascii="Arial" w:eastAsiaTheme="minorEastAsia" w:hAnsi="Arial" w:cs="Arial"/>
          <w:sz w:val="22"/>
          <w:szCs w:val="22"/>
          <w:lang w:val="en-GB" w:eastAsia="zh-CN"/>
        </w:rPr>
        <w:t>.</w:t>
      </w:r>
      <w:r w:rsidR="00BD53A2" w:rsidRPr="00F01A62">
        <w:rPr>
          <w:rFonts w:ascii="Arial" w:eastAsiaTheme="minorEastAsia" w:hAnsi="Arial" w:cs="Arial"/>
          <w:sz w:val="22"/>
          <w:szCs w:val="22"/>
          <w:lang w:val="en-GB" w:eastAsia="zh-CN"/>
        </w:rPr>
        <w:t xml:space="preserve"> And</w:t>
      </w:r>
      <w:r w:rsidR="00845788" w:rsidRPr="00F01A62">
        <w:rPr>
          <w:rFonts w:ascii="Arial" w:eastAsiaTheme="minorEastAsia" w:hAnsi="Arial" w:cs="Arial"/>
          <w:sz w:val="22"/>
          <w:szCs w:val="22"/>
          <w:lang w:val="en-GB" w:eastAsia="zh-CN"/>
        </w:rPr>
        <w:t xml:space="preserve"> s</w:t>
      </w:r>
      <w:r w:rsidR="00920350" w:rsidRPr="00F01A62">
        <w:rPr>
          <w:rFonts w:ascii="Arial" w:eastAsiaTheme="minorEastAsia" w:hAnsi="Arial" w:cs="Arial"/>
          <w:sz w:val="22"/>
          <w:szCs w:val="22"/>
          <w:lang w:val="en-GB" w:eastAsia="zh-CN"/>
        </w:rPr>
        <w:t>ecured creditors still enjoy a very high priority</w:t>
      </w:r>
      <w:r w:rsidR="00A10A54" w:rsidRPr="00F01A62">
        <w:rPr>
          <w:rFonts w:ascii="Arial" w:eastAsiaTheme="minorEastAsia" w:hAnsi="Arial" w:cs="Arial"/>
          <w:sz w:val="22"/>
          <w:szCs w:val="22"/>
          <w:lang w:val="en-GB" w:eastAsia="zh-CN"/>
        </w:rPr>
        <w:t xml:space="preserve"> in rescue-type proceedings.</w:t>
      </w:r>
      <w:r w:rsidR="00F01A62" w:rsidRPr="00F01A62">
        <w:rPr>
          <w:rFonts w:ascii="Arial" w:eastAsiaTheme="minorEastAsia" w:hAnsi="Arial" w:cs="Arial"/>
          <w:sz w:val="22"/>
          <w:szCs w:val="22"/>
          <w:lang w:val="en-GB" w:eastAsia="zh-CN"/>
        </w:rPr>
        <w:t xml:space="preserve"> For example, secured creditors can continue enforcement proceedings commenced before the appointment of a voluntary administrator.</w:t>
      </w:r>
      <w:r w:rsidR="00F01A62" w:rsidRPr="00F01A62">
        <w:rPr>
          <w:rStyle w:val="a6"/>
          <w:rFonts w:ascii="Arial" w:eastAsiaTheme="minorEastAsia" w:hAnsi="Arial" w:cs="Arial"/>
          <w:sz w:val="22"/>
          <w:szCs w:val="22"/>
          <w:lang w:val="en-GB" w:eastAsia="zh-CN"/>
        </w:rPr>
        <w:footnoteReference w:id="5"/>
      </w:r>
      <w:r w:rsidR="00F01A62" w:rsidRPr="00F01A62">
        <w:rPr>
          <w:rFonts w:ascii="Arial" w:eastAsiaTheme="minorEastAsia" w:hAnsi="Arial" w:cs="Arial"/>
          <w:sz w:val="22"/>
          <w:szCs w:val="22"/>
          <w:lang w:val="en-GB" w:eastAsia="zh-CN"/>
        </w:rPr>
        <w:t xml:space="preserve"> </w:t>
      </w:r>
      <w:r w:rsidR="00920350" w:rsidRPr="00F01A62">
        <w:rPr>
          <w:rFonts w:ascii="Arial" w:eastAsiaTheme="minorEastAsia" w:hAnsi="Arial" w:cs="Arial"/>
          <w:sz w:val="22"/>
          <w:szCs w:val="22"/>
          <w:lang w:val="en-GB" w:eastAsia="zh-CN"/>
        </w:rPr>
        <w:t xml:space="preserve"> </w:t>
      </w:r>
      <w:r w:rsidR="00A10A54" w:rsidRPr="00F01A62">
        <w:rPr>
          <w:rFonts w:ascii="Arial" w:eastAsiaTheme="minorEastAsia" w:hAnsi="Arial" w:cs="Arial"/>
          <w:sz w:val="22"/>
          <w:szCs w:val="22"/>
          <w:lang w:val="en-GB" w:eastAsia="zh-CN"/>
        </w:rPr>
        <w:t>If a secured creditor is a</w:t>
      </w:r>
      <w:r w:rsidR="00920350" w:rsidRPr="00F01A62">
        <w:rPr>
          <w:rFonts w:ascii="Arial" w:eastAsiaTheme="minorEastAsia" w:hAnsi="Arial" w:cs="Arial"/>
          <w:sz w:val="22"/>
          <w:szCs w:val="22"/>
          <w:lang w:val="en-GB" w:eastAsia="zh-CN"/>
        </w:rPr>
        <w:t xml:space="preserve"> major creditor with security over the whole or substantially the whole of company’s property</w:t>
      </w:r>
      <w:r w:rsidR="00A10A54" w:rsidRPr="00F01A62">
        <w:rPr>
          <w:rFonts w:ascii="Arial" w:eastAsiaTheme="minorEastAsia" w:hAnsi="Arial" w:cs="Arial"/>
          <w:sz w:val="22"/>
          <w:szCs w:val="22"/>
          <w:lang w:val="en-GB" w:eastAsia="zh-CN"/>
        </w:rPr>
        <w:t>,</w:t>
      </w:r>
      <w:r w:rsidR="00920350" w:rsidRPr="00F01A62">
        <w:rPr>
          <w:rFonts w:ascii="Arial" w:eastAsiaTheme="minorEastAsia" w:hAnsi="Arial" w:cs="Arial"/>
          <w:sz w:val="22"/>
          <w:szCs w:val="22"/>
          <w:lang w:val="en-GB" w:eastAsia="zh-CN"/>
        </w:rPr>
        <w:t xml:space="preserve"> </w:t>
      </w:r>
      <w:r w:rsidR="00A10A54" w:rsidRPr="00F01A62">
        <w:rPr>
          <w:rFonts w:ascii="Arial" w:eastAsiaTheme="minorEastAsia" w:hAnsi="Arial" w:cs="Arial"/>
          <w:sz w:val="22"/>
          <w:szCs w:val="22"/>
          <w:lang w:val="en-GB" w:eastAsia="zh-CN"/>
        </w:rPr>
        <w:t xml:space="preserve">the creditor </w:t>
      </w:r>
      <w:r w:rsidR="00920350" w:rsidRPr="00F01A62">
        <w:rPr>
          <w:rFonts w:ascii="Arial" w:eastAsiaTheme="minorEastAsia" w:hAnsi="Arial" w:cs="Arial"/>
          <w:sz w:val="22"/>
          <w:szCs w:val="22"/>
          <w:lang w:val="en-GB" w:eastAsia="zh-CN"/>
        </w:rPr>
        <w:t>stil</w:t>
      </w:r>
      <w:r w:rsidR="00A10A54" w:rsidRPr="00F01A62">
        <w:rPr>
          <w:rFonts w:ascii="Arial" w:eastAsiaTheme="minorEastAsia" w:hAnsi="Arial" w:cs="Arial"/>
          <w:sz w:val="22"/>
          <w:szCs w:val="22"/>
          <w:lang w:val="en-GB" w:eastAsia="zh-CN"/>
        </w:rPr>
        <w:t>l has the right</w:t>
      </w:r>
      <w:r w:rsidR="00920350" w:rsidRPr="00F01A62">
        <w:rPr>
          <w:rFonts w:ascii="Arial" w:eastAsiaTheme="minorEastAsia" w:hAnsi="Arial" w:cs="Arial"/>
          <w:sz w:val="22"/>
          <w:szCs w:val="22"/>
          <w:lang w:val="en-GB" w:eastAsia="zh-CN"/>
        </w:rPr>
        <w:t xml:space="preserve"> to appoint a receiver </w:t>
      </w:r>
      <w:r w:rsidR="00E45413" w:rsidRPr="00F01A62">
        <w:rPr>
          <w:rFonts w:ascii="Arial" w:eastAsiaTheme="minorEastAsia" w:hAnsi="Arial" w:cs="Arial"/>
          <w:sz w:val="22"/>
          <w:szCs w:val="22"/>
          <w:lang w:val="en-GB" w:eastAsia="zh-CN"/>
        </w:rPr>
        <w:t xml:space="preserve">on </w:t>
      </w:r>
      <w:r w:rsidR="00920350" w:rsidRPr="00F01A62">
        <w:rPr>
          <w:rFonts w:ascii="Arial" w:eastAsiaTheme="minorEastAsia" w:hAnsi="Arial" w:cs="Arial"/>
          <w:sz w:val="22"/>
          <w:szCs w:val="22"/>
          <w:lang w:val="en-GB" w:eastAsia="zh-CN"/>
        </w:rPr>
        <w:t>the top o</w:t>
      </w:r>
      <w:r w:rsidR="00E45413" w:rsidRPr="00F01A62">
        <w:rPr>
          <w:rFonts w:ascii="Arial" w:eastAsiaTheme="minorEastAsia" w:hAnsi="Arial" w:cs="Arial"/>
          <w:sz w:val="22"/>
          <w:szCs w:val="22"/>
          <w:lang w:val="en-GB" w:eastAsia="zh-CN"/>
        </w:rPr>
        <w:t>f a voluntary administrator</w:t>
      </w:r>
      <w:r w:rsidR="00A10A54" w:rsidRPr="00F01A62">
        <w:rPr>
          <w:rFonts w:ascii="Arial" w:eastAsiaTheme="minorEastAsia" w:hAnsi="Arial" w:cs="Arial"/>
          <w:sz w:val="22"/>
          <w:szCs w:val="22"/>
          <w:lang w:val="en-GB" w:eastAsia="zh-CN"/>
        </w:rPr>
        <w:t>.</w:t>
      </w:r>
      <w:r w:rsidR="006B6615" w:rsidRPr="00F01A62">
        <w:rPr>
          <w:rStyle w:val="a6"/>
          <w:rFonts w:ascii="Arial" w:eastAsiaTheme="minorEastAsia" w:hAnsi="Arial" w:cs="Arial"/>
          <w:sz w:val="22"/>
          <w:szCs w:val="22"/>
          <w:lang w:val="en-GB" w:eastAsia="zh-CN"/>
        </w:rPr>
        <w:footnoteReference w:id="6"/>
      </w:r>
      <w:r w:rsidR="006B6615" w:rsidRPr="00F01A62">
        <w:rPr>
          <w:rFonts w:ascii="Arial" w:eastAsiaTheme="minorEastAsia" w:hAnsi="Arial" w:cs="Arial"/>
          <w:sz w:val="22"/>
          <w:szCs w:val="22"/>
          <w:lang w:val="en-GB" w:eastAsia="zh-CN"/>
        </w:rPr>
        <w:t xml:space="preserve"> </w:t>
      </w:r>
      <w:r w:rsidR="00F01A62" w:rsidRPr="00F01A62">
        <w:rPr>
          <w:rFonts w:ascii="Arial" w:eastAsiaTheme="minorEastAsia" w:hAnsi="Arial" w:cs="Arial"/>
          <w:sz w:val="22"/>
          <w:szCs w:val="22"/>
          <w:lang w:val="en-GB" w:eastAsia="zh-CN"/>
        </w:rPr>
        <w:t>Moreover,</w:t>
      </w:r>
      <w:r w:rsidR="00454ACE" w:rsidRPr="00F01A62">
        <w:rPr>
          <w:rFonts w:ascii="Arial" w:eastAsiaTheme="minorEastAsia" w:hAnsi="Arial" w:cs="Arial"/>
          <w:sz w:val="22"/>
          <w:szCs w:val="22"/>
          <w:lang w:val="en-GB" w:eastAsia="zh-CN"/>
        </w:rPr>
        <w:t xml:space="preserve"> </w:t>
      </w:r>
      <w:r w:rsidR="00BD53A2" w:rsidRPr="00F01A62">
        <w:rPr>
          <w:rFonts w:ascii="Arial" w:eastAsiaTheme="minorEastAsia" w:hAnsi="Arial" w:cs="Arial"/>
          <w:sz w:val="22"/>
          <w:szCs w:val="22"/>
          <w:lang w:val="en-GB" w:eastAsia="zh-CN"/>
        </w:rPr>
        <w:t>as to other</w:t>
      </w:r>
      <w:r w:rsidR="00454ACE" w:rsidRPr="00F01A62">
        <w:rPr>
          <w:rFonts w:ascii="Arial" w:eastAsiaTheme="minorEastAsia" w:hAnsi="Arial" w:cs="Arial"/>
          <w:sz w:val="22"/>
          <w:szCs w:val="22"/>
          <w:lang w:val="en-GB" w:eastAsia="zh-CN"/>
        </w:rPr>
        <w:t xml:space="preserve"> rescue-type proceedings</w:t>
      </w:r>
      <w:r w:rsidR="00F01A62" w:rsidRPr="00F01A62">
        <w:rPr>
          <w:rFonts w:ascii="Arial" w:eastAsiaTheme="minorEastAsia" w:hAnsi="Arial" w:cs="Arial"/>
          <w:sz w:val="22"/>
          <w:szCs w:val="22"/>
          <w:lang w:val="en-GB" w:eastAsia="zh-CN"/>
        </w:rPr>
        <w:t xml:space="preserve"> in Australia</w:t>
      </w:r>
      <w:r w:rsidR="00454ACE" w:rsidRPr="00F01A62">
        <w:rPr>
          <w:rFonts w:ascii="Arial" w:eastAsiaTheme="minorEastAsia" w:hAnsi="Arial" w:cs="Arial"/>
          <w:sz w:val="22"/>
          <w:szCs w:val="22"/>
          <w:lang w:val="en-GB" w:eastAsia="zh-CN"/>
        </w:rPr>
        <w:t xml:space="preserve">, </w:t>
      </w:r>
      <w:r w:rsidR="00BD53A2" w:rsidRPr="00F01A62">
        <w:rPr>
          <w:rFonts w:ascii="Arial" w:eastAsiaTheme="minorEastAsia" w:hAnsi="Arial" w:cs="Arial"/>
          <w:sz w:val="22"/>
          <w:szCs w:val="22"/>
          <w:lang w:val="en-GB" w:eastAsia="zh-CN"/>
        </w:rPr>
        <w:t xml:space="preserve">the </w:t>
      </w:r>
      <w:r w:rsidR="00454ACE" w:rsidRPr="00F01A62">
        <w:rPr>
          <w:rFonts w:ascii="Arial" w:eastAsiaTheme="minorEastAsia" w:hAnsi="Arial" w:cs="Arial"/>
          <w:sz w:val="22"/>
          <w:szCs w:val="22"/>
          <w:lang w:val="en-GB" w:eastAsia="zh-CN"/>
        </w:rPr>
        <w:t xml:space="preserve">scheme of arrangement and DOCA </w:t>
      </w:r>
      <w:r w:rsidR="00BD53A2" w:rsidRPr="00F01A62">
        <w:rPr>
          <w:rFonts w:ascii="Arial" w:eastAsiaTheme="minorEastAsia" w:hAnsi="Arial" w:cs="Arial"/>
          <w:sz w:val="22"/>
          <w:szCs w:val="22"/>
          <w:lang w:val="en-GB" w:eastAsia="zh-CN"/>
        </w:rPr>
        <w:t>do</w:t>
      </w:r>
      <w:r w:rsidR="00454ACE" w:rsidRPr="00F01A62">
        <w:rPr>
          <w:rFonts w:ascii="Arial" w:eastAsiaTheme="minorEastAsia" w:hAnsi="Arial" w:cs="Arial"/>
          <w:sz w:val="22"/>
          <w:szCs w:val="22"/>
          <w:lang w:val="en-GB" w:eastAsia="zh-CN"/>
        </w:rPr>
        <w:t xml:space="preserve"> not </w:t>
      </w:r>
      <w:r w:rsidR="00BD53A2" w:rsidRPr="00F01A62">
        <w:rPr>
          <w:rFonts w:ascii="Arial" w:eastAsiaTheme="minorEastAsia" w:hAnsi="Arial" w:cs="Arial"/>
          <w:sz w:val="22"/>
          <w:szCs w:val="22"/>
          <w:lang w:val="en-GB" w:eastAsia="zh-CN"/>
        </w:rPr>
        <w:t>ha</w:t>
      </w:r>
      <w:r w:rsidR="00997CBD" w:rsidRPr="00F01A62">
        <w:rPr>
          <w:rFonts w:ascii="Arial" w:eastAsiaTheme="minorEastAsia" w:hAnsi="Arial" w:cs="Arial"/>
          <w:sz w:val="22"/>
          <w:szCs w:val="22"/>
          <w:lang w:val="en-GB" w:eastAsia="zh-CN"/>
        </w:rPr>
        <w:t>ve</w:t>
      </w:r>
      <w:r w:rsidR="00BD53A2" w:rsidRPr="00F01A62">
        <w:rPr>
          <w:rFonts w:ascii="Arial" w:eastAsiaTheme="minorEastAsia" w:hAnsi="Arial" w:cs="Arial"/>
          <w:sz w:val="22"/>
          <w:szCs w:val="22"/>
          <w:lang w:val="en-GB" w:eastAsia="zh-CN"/>
        </w:rPr>
        <w:t xml:space="preserve"> an enhanced stay </w:t>
      </w:r>
      <w:r w:rsidR="00F01A62" w:rsidRPr="00F01A62">
        <w:rPr>
          <w:rFonts w:ascii="Arial" w:eastAsiaTheme="minorEastAsia" w:hAnsi="Arial" w:cs="Arial"/>
          <w:sz w:val="22"/>
          <w:szCs w:val="22"/>
          <w:lang w:val="en-GB" w:eastAsia="zh-CN"/>
        </w:rPr>
        <w:t xml:space="preserve">to restrict secured creditors </w:t>
      </w:r>
      <w:r w:rsidR="00BD53A2" w:rsidRPr="00F01A62">
        <w:rPr>
          <w:rFonts w:ascii="Arial" w:eastAsiaTheme="minorEastAsia" w:hAnsi="Arial" w:cs="Arial"/>
          <w:sz w:val="22"/>
          <w:szCs w:val="22"/>
          <w:lang w:val="en-GB" w:eastAsia="zh-CN"/>
        </w:rPr>
        <w:t>as</w:t>
      </w:r>
      <w:r w:rsidR="00997CBD" w:rsidRPr="00F01A62">
        <w:rPr>
          <w:rFonts w:ascii="Arial" w:eastAsiaTheme="minorEastAsia" w:hAnsi="Arial" w:cs="Arial"/>
          <w:sz w:val="22"/>
          <w:szCs w:val="22"/>
          <w:lang w:val="en-GB" w:eastAsia="zh-CN"/>
        </w:rPr>
        <w:t xml:space="preserve"> </w:t>
      </w:r>
      <w:r w:rsidR="00F01A62" w:rsidRPr="00F01A62">
        <w:rPr>
          <w:rFonts w:ascii="Arial" w:eastAsiaTheme="minorEastAsia" w:hAnsi="Arial" w:cs="Arial"/>
          <w:sz w:val="22"/>
          <w:szCs w:val="22"/>
          <w:lang w:val="en-GB" w:eastAsia="zh-CN"/>
        </w:rPr>
        <w:t>their</w:t>
      </w:r>
      <w:r w:rsidR="00BD53A2" w:rsidRPr="00F01A62">
        <w:rPr>
          <w:rFonts w:ascii="Arial" w:eastAsiaTheme="minorEastAsia" w:hAnsi="Arial" w:cs="Arial"/>
          <w:sz w:val="22"/>
          <w:szCs w:val="22"/>
          <w:lang w:val="en-GB" w:eastAsia="zh-CN"/>
        </w:rPr>
        <w:t xml:space="preserve"> equivalent</w:t>
      </w:r>
      <w:r w:rsidR="00F01A62" w:rsidRPr="00F01A62">
        <w:rPr>
          <w:rFonts w:ascii="Arial" w:eastAsiaTheme="minorEastAsia" w:hAnsi="Arial" w:cs="Arial"/>
          <w:sz w:val="22"/>
          <w:szCs w:val="22"/>
          <w:lang w:val="en-GB" w:eastAsia="zh-CN"/>
        </w:rPr>
        <w:t>s</w:t>
      </w:r>
      <w:r w:rsidR="00BD53A2" w:rsidRPr="00F01A62">
        <w:rPr>
          <w:rFonts w:ascii="Arial" w:eastAsiaTheme="minorEastAsia" w:hAnsi="Arial" w:cs="Arial"/>
          <w:sz w:val="22"/>
          <w:szCs w:val="22"/>
          <w:lang w:val="en-GB" w:eastAsia="zh-CN"/>
        </w:rPr>
        <w:t xml:space="preserve"> provided in Singapore</w:t>
      </w:r>
      <w:r w:rsidR="00F01A62" w:rsidRPr="00F01A62">
        <w:rPr>
          <w:rFonts w:ascii="Arial" w:eastAsiaTheme="minorEastAsia" w:hAnsi="Arial" w:cs="Arial"/>
          <w:sz w:val="22"/>
          <w:szCs w:val="22"/>
          <w:lang w:val="en-GB" w:eastAsia="zh-CN"/>
        </w:rPr>
        <w:t xml:space="preserve"> and other jurisdictions</w:t>
      </w:r>
      <w:r w:rsidR="00997CBD" w:rsidRPr="00F01A62">
        <w:rPr>
          <w:rFonts w:ascii="Arial" w:eastAsiaTheme="minorEastAsia" w:hAnsi="Arial" w:cs="Arial"/>
          <w:sz w:val="22"/>
          <w:szCs w:val="22"/>
          <w:lang w:val="en-GB" w:eastAsia="zh-CN"/>
        </w:rPr>
        <w:t xml:space="preserve">. And </w:t>
      </w:r>
      <w:r w:rsidR="00F01A62" w:rsidRPr="00F01A62">
        <w:rPr>
          <w:rFonts w:ascii="Arial" w:eastAsiaTheme="minorEastAsia" w:hAnsi="Arial" w:cs="Arial"/>
          <w:sz w:val="22"/>
          <w:szCs w:val="22"/>
          <w:lang w:val="en-GB" w:eastAsia="zh-CN"/>
        </w:rPr>
        <w:t xml:space="preserve">even </w:t>
      </w:r>
      <w:r w:rsidR="00997CBD" w:rsidRPr="00F01A62">
        <w:rPr>
          <w:rFonts w:ascii="Arial" w:eastAsiaTheme="minorEastAsia" w:hAnsi="Arial" w:cs="Arial"/>
          <w:sz w:val="22"/>
          <w:szCs w:val="22"/>
          <w:lang w:val="en-GB" w:eastAsia="zh-CN"/>
        </w:rPr>
        <w:t xml:space="preserve">though </w:t>
      </w:r>
      <w:r w:rsidR="00F01A62" w:rsidRPr="00F01A62">
        <w:rPr>
          <w:rFonts w:ascii="Arial" w:eastAsiaTheme="minorEastAsia" w:hAnsi="Arial" w:cs="Arial"/>
          <w:sz w:val="22"/>
          <w:szCs w:val="22"/>
          <w:lang w:val="en-GB" w:eastAsia="zh-CN"/>
        </w:rPr>
        <w:t xml:space="preserve">Australian </w:t>
      </w:r>
      <w:r w:rsidR="00997CBD" w:rsidRPr="00F01A62">
        <w:rPr>
          <w:rFonts w:ascii="Arial" w:eastAsiaTheme="minorEastAsia" w:hAnsi="Arial" w:cs="Arial"/>
          <w:sz w:val="22"/>
          <w:szCs w:val="22"/>
          <w:lang w:val="en-GB" w:eastAsia="zh-CN"/>
        </w:rPr>
        <w:t>administration proceeding has a stay</w:t>
      </w:r>
      <w:r w:rsidR="00454ACE" w:rsidRPr="00F01A62">
        <w:rPr>
          <w:rFonts w:ascii="Arial" w:eastAsiaTheme="minorEastAsia" w:hAnsi="Arial" w:cs="Arial"/>
          <w:sz w:val="22"/>
          <w:szCs w:val="22"/>
          <w:lang w:val="en-GB" w:eastAsia="zh-CN"/>
        </w:rPr>
        <w:t xml:space="preserve"> effect</w:t>
      </w:r>
      <w:r w:rsidR="00997CBD" w:rsidRPr="00F01A62">
        <w:rPr>
          <w:rFonts w:ascii="Arial" w:eastAsiaTheme="minorEastAsia" w:hAnsi="Arial" w:cs="Arial"/>
          <w:sz w:val="22"/>
          <w:szCs w:val="22"/>
          <w:lang w:val="en-GB" w:eastAsia="zh-CN"/>
        </w:rPr>
        <w:t xml:space="preserve">, but </w:t>
      </w:r>
      <w:r w:rsidR="0068545B" w:rsidRPr="00F01A62">
        <w:rPr>
          <w:rFonts w:ascii="Arial" w:eastAsiaTheme="minorEastAsia" w:hAnsi="Arial" w:cs="Arial"/>
          <w:sz w:val="22"/>
          <w:szCs w:val="22"/>
          <w:lang w:val="en-GB" w:eastAsia="zh-CN"/>
        </w:rPr>
        <w:t>the</w:t>
      </w:r>
      <w:r w:rsidR="00997CBD" w:rsidRPr="00F01A62">
        <w:rPr>
          <w:rFonts w:ascii="Arial" w:eastAsiaTheme="minorEastAsia" w:hAnsi="Arial" w:cs="Arial"/>
          <w:sz w:val="22"/>
          <w:szCs w:val="22"/>
          <w:lang w:val="en-GB" w:eastAsia="zh-CN"/>
        </w:rPr>
        <w:t xml:space="preserve"> stay effect</w:t>
      </w:r>
      <w:r w:rsidR="0068545B" w:rsidRPr="00F01A62">
        <w:rPr>
          <w:rFonts w:ascii="Arial" w:eastAsiaTheme="minorEastAsia" w:hAnsi="Arial" w:cs="Arial"/>
          <w:sz w:val="22"/>
          <w:szCs w:val="22"/>
          <w:lang w:val="en-GB" w:eastAsia="zh-CN"/>
        </w:rPr>
        <w:t xml:space="preserve"> under Australian Law</w:t>
      </w:r>
      <w:r w:rsidR="00997CBD" w:rsidRPr="00F01A62">
        <w:rPr>
          <w:rFonts w:ascii="Arial" w:eastAsiaTheme="minorEastAsia" w:hAnsi="Arial" w:cs="Arial"/>
          <w:sz w:val="22"/>
          <w:szCs w:val="22"/>
          <w:lang w:val="en-GB" w:eastAsia="zh-CN"/>
        </w:rPr>
        <w:t xml:space="preserve"> is not as powerful as in other jurisdictions, </w:t>
      </w:r>
      <w:r w:rsidR="0068545B" w:rsidRPr="00F01A62">
        <w:rPr>
          <w:rFonts w:ascii="Arial" w:eastAsiaTheme="minorEastAsia" w:hAnsi="Arial" w:cs="Arial"/>
          <w:sz w:val="22"/>
          <w:szCs w:val="22"/>
          <w:lang w:val="en-GB" w:eastAsia="zh-CN"/>
        </w:rPr>
        <w:t>such as the stay effect of chapter 11 proceeding in US</w:t>
      </w:r>
      <w:r w:rsidR="00743AF7">
        <w:rPr>
          <w:rFonts w:ascii="Arial" w:eastAsiaTheme="minorEastAsia" w:hAnsi="Arial" w:cs="Arial"/>
          <w:sz w:val="22"/>
          <w:szCs w:val="22"/>
          <w:lang w:val="en-GB" w:eastAsia="zh-CN"/>
        </w:rPr>
        <w:t>.</w:t>
      </w:r>
      <w:r w:rsidR="0068545B" w:rsidRPr="00F01A62">
        <w:rPr>
          <w:rFonts w:ascii="Arial" w:eastAsiaTheme="minorEastAsia" w:hAnsi="Arial" w:cs="Arial"/>
          <w:sz w:val="22"/>
          <w:szCs w:val="22"/>
          <w:lang w:val="en-GB" w:eastAsia="zh-CN"/>
        </w:rPr>
        <w:t xml:space="preserve"> </w:t>
      </w:r>
      <w:r w:rsidR="00743AF7">
        <w:rPr>
          <w:rFonts w:ascii="Arial" w:eastAsiaTheme="minorEastAsia" w:hAnsi="Arial" w:cs="Arial"/>
          <w:sz w:val="22"/>
          <w:szCs w:val="22"/>
          <w:lang w:val="en-GB" w:eastAsia="zh-CN"/>
        </w:rPr>
        <w:t>N</w:t>
      </w:r>
      <w:r w:rsidR="00F01A62" w:rsidRPr="00F01A62">
        <w:rPr>
          <w:rFonts w:ascii="Arial" w:eastAsiaTheme="minorEastAsia" w:hAnsi="Arial" w:cs="Arial"/>
          <w:sz w:val="22"/>
          <w:szCs w:val="22"/>
          <w:lang w:val="en-GB" w:eastAsia="zh-CN"/>
        </w:rPr>
        <w:t>otably,</w:t>
      </w:r>
      <w:r w:rsidR="0068545B" w:rsidRPr="00F01A62">
        <w:rPr>
          <w:rFonts w:ascii="Arial" w:eastAsiaTheme="minorEastAsia" w:hAnsi="Arial" w:cs="Arial"/>
          <w:sz w:val="22"/>
          <w:szCs w:val="22"/>
          <w:lang w:val="en-GB" w:eastAsia="zh-CN"/>
        </w:rPr>
        <w:t xml:space="preserve"> </w:t>
      </w:r>
      <w:r w:rsidR="00F01A62" w:rsidRPr="00F01A62">
        <w:rPr>
          <w:rFonts w:ascii="Arial" w:eastAsiaTheme="minorEastAsia" w:hAnsi="Arial" w:cs="Arial"/>
          <w:sz w:val="22"/>
          <w:szCs w:val="22"/>
          <w:lang w:val="en-GB" w:eastAsia="zh-CN"/>
        </w:rPr>
        <w:t>the administration proceeding</w:t>
      </w:r>
      <w:r w:rsidR="0068545B" w:rsidRPr="00F01A62">
        <w:rPr>
          <w:rFonts w:ascii="Arial" w:eastAsiaTheme="minorEastAsia" w:hAnsi="Arial" w:cs="Arial"/>
          <w:sz w:val="22"/>
          <w:szCs w:val="22"/>
          <w:lang w:val="en-GB" w:eastAsia="zh-CN"/>
        </w:rPr>
        <w:t xml:space="preserve"> is not a</w:t>
      </w:r>
      <w:r w:rsidR="00997CBD" w:rsidRPr="00F01A62">
        <w:rPr>
          <w:rFonts w:ascii="Arial" w:eastAsiaTheme="minorEastAsia" w:hAnsi="Arial" w:cs="Arial"/>
          <w:sz w:val="22"/>
          <w:szCs w:val="22"/>
          <w:lang w:val="en-GB" w:eastAsia="zh-CN"/>
        </w:rPr>
        <w:t xml:space="preserve"> debtor-in-possession proceeding</w:t>
      </w:r>
      <w:r w:rsidR="0068545B" w:rsidRPr="00F01A62">
        <w:rPr>
          <w:rFonts w:ascii="Arial" w:eastAsiaTheme="minorEastAsia" w:hAnsi="Arial" w:cs="Arial"/>
          <w:sz w:val="22"/>
          <w:szCs w:val="22"/>
          <w:lang w:val="en-GB" w:eastAsia="zh-CN"/>
        </w:rPr>
        <w:t xml:space="preserve"> at all.</w:t>
      </w:r>
      <w:r w:rsidR="00997CBD" w:rsidRPr="00F01A62">
        <w:rPr>
          <w:rFonts w:ascii="Arial" w:eastAsiaTheme="minorEastAsia" w:hAnsi="Arial" w:cs="Arial"/>
          <w:sz w:val="22"/>
          <w:szCs w:val="22"/>
          <w:lang w:val="en-GB" w:eastAsia="zh-CN"/>
        </w:rPr>
        <w:t xml:space="preserve"> </w:t>
      </w:r>
      <w:r w:rsidR="0068545B" w:rsidRPr="00F01A62">
        <w:rPr>
          <w:rFonts w:ascii="Arial" w:eastAsiaTheme="minorEastAsia" w:hAnsi="Arial" w:cs="Arial"/>
          <w:sz w:val="22"/>
          <w:szCs w:val="22"/>
          <w:lang w:val="en-GB" w:eastAsia="zh-CN"/>
        </w:rPr>
        <w:t>T</w:t>
      </w:r>
      <w:r w:rsidR="00997CBD" w:rsidRPr="00F01A62">
        <w:rPr>
          <w:rFonts w:ascii="Arial" w:eastAsiaTheme="minorEastAsia" w:hAnsi="Arial" w:cs="Arial"/>
          <w:sz w:val="22"/>
          <w:szCs w:val="22"/>
          <w:lang w:val="en-GB" w:eastAsia="zh-CN"/>
        </w:rPr>
        <w:t xml:space="preserve">he only </w:t>
      </w:r>
      <w:r w:rsidR="0068545B" w:rsidRPr="00F01A62">
        <w:rPr>
          <w:rFonts w:ascii="Arial" w:eastAsiaTheme="minorEastAsia" w:hAnsi="Arial" w:cs="Arial"/>
          <w:sz w:val="22"/>
          <w:szCs w:val="22"/>
          <w:lang w:val="en-GB" w:eastAsia="zh-CN"/>
        </w:rPr>
        <w:t xml:space="preserve">two </w:t>
      </w:r>
      <w:r w:rsidR="00F01A62" w:rsidRPr="00F01A62">
        <w:rPr>
          <w:rFonts w:ascii="Arial" w:eastAsiaTheme="minorEastAsia" w:hAnsi="Arial" w:cs="Arial"/>
          <w:sz w:val="22"/>
          <w:szCs w:val="22"/>
          <w:lang w:val="en-GB" w:eastAsia="zh-CN"/>
        </w:rPr>
        <w:t xml:space="preserve">type of </w:t>
      </w:r>
      <w:r w:rsidR="0068545B" w:rsidRPr="00F01A62">
        <w:rPr>
          <w:rFonts w:ascii="Arial" w:eastAsiaTheme="minorEastAsia" w:hAnsi="Arial" w:cs="Arial"/>
          <w:sz w:val="22"/>
          <w:szCs w:val="22"/>
          <w:lang w:val="en-GB" w:eastAsia="zh-CN"/>
        </w:rPr>
        <w:t>DIP</w:t>
      </w:r>
      <w:r w:rsidR="00454ACE" w:rsidRPr="00F01A62">
        <w:rPr>
          <w:rFonts w:ascii="Arial" w:eastAsiaTheme="minorEastAsia" w:hAnsi="Arial" w:cs="Arial"/>
          <w:sz w:val="22"/>
          <w:szCs w:val="22"/>
          <w:lang w:val="en-GB" w:eastAsia="zh-CN"/>
        </w:rPr>
        <w:t xml:space="preserve"> proceedings</w:t>
      </w:r>
      <w:r w:rsidR="0068545B" w:rsidRPr="00F01A62">
        <w:rPr>
          <w:rFonts w:ascii="Arial" w:eastAsiaTheme="minorEastAsia" w:hAnsi="Arial" w:cs="Arial"/>
          <w:sz w:val="22"/>
          <w:szCs w:val="22"/>
          <w:lang w:val="en-GB" w:eastAsia="zh-CN"/>
        </w:rPr>
        <w:t xml:space="preserve"> in Australia are scheme of arrangement and small business restructuring.</w:t>
      </w:r>
      <w:r w:rsidR="00F01A62" w:rsidRPr="00F01A62">
        <w:rPr>
          <w:rFonts w:ascii="Arial" w:eastAsiaTheme="minorEastAsia" w:hAnsi="Arial" w:cs="Arial"/>
          <w:sz w:val="22"/>
          <w:szCs w:val="22"/>
          <w:lang w:val="en-GB" w:eastAsia="zh-CN"/>
        </w:rPr>
        <w:t xml:space="preserve"> They are all without strong stay protection.</w:t>
      </w:r>
      <w:r w:rsidR="0068545B" w:rsidRPr="00F01A62">
        <w:rPr>
          <w:rFonts w:ascii="Arial" w:eastAsiaTheme="minorEastAsia" w:hAnsi="Arial" w:cs="Arial"/>
          <w:sz w:val="22"/>
          <w:szCs w:val="22"/>
          <w:lang w:val="en-GB" w:eastAsia="zh-CN"/>
        </w:rPr>
        <w:t xml:space="preserve"> </w:t>
      </w:r>
      <w:r w:rsidR="00743AF7">
        <w:rPr>
          <w:rFonts w:ascii="Arial" w:eastAsia="微软雅黑" w:hAnsi="Arial" w:cs="Arial"/>
          <w:color w:val="2A2B2E"/>
          <w:sz w:val="22"/>
          <w:szCs w:val="22"/>
          <w:shd w:val="clear" w:color="auto" w:fill="FCFDFE"/>
        </w:rPr>
        <w:t xml:space="preserve">These </w:t>
      </w:r>
      <w:r w:rsidR="0068545B" w:rsidRPr="00F01A62">
        <w:rPr>
          <w:rFonts w:ascii="Arial" w:eastAsia="微软雅黑" w:hAnsi="Arial" w:cs="Arial"/>
          <w:color w:val="2A2B2E"/>
          <w:sz w:val="22"/>
          <w:szCs w:val="22"/>
          <w:shd w:val="clear" w:color="auto" w:fill="FCFDFE"/>
        </w:rPr>
        <w:t>factors</w:t>
      </w:r>
      <w:r w:rsidR="00743AF7">
        <w:rPr>
          <w:rFonts w:ascii="Arial" w:eastAsia="微软雅黑" w:hAnsi="Arial" w:cs="Arial"/>
          <w:color w:val="2A2B2E"/>
          <w:sz w:val="22"/>
          <w:szCs w:val="22"/>
          <w:shd w:val="clear" w:color="auto" w:fill="FCFDFE"/>
        </w:rPr>
        <w:t xml:space="preserve"> discussed above all </w:t>
      </w:r>
      <w:r w:rsidR="0068545B" w:rsidRPr="00F01A62">
        <w:rPr>
          <w:rFonts w:ascii="Arial" w:eastAsia="微软雅黑" w:hAnsi="Arial" w:cs="Arial"/>
          <w:color w:val="2A2B2E"/>
          <w:sz w:val="22"/>
          <w:szCs w:val="22"/>
          <w:shd w:val="clear" w:color="auto" w:fill="FCFDFE"/>
        </w:rPr>
        <w:t xml:space="preserve">indicate that </w:t>
      </w:r>
      <w:r w:rsidR="0068545B" w:rsidRPr="00F01A62">
        <w:rPr>
          <w:rFonts w:ascii="Arial" w:hAnsi="Arial" w:cs="Arial"/>
          <w:sz w:val="22"/>
          <w:szCs w:val="22"/>
          <w:lang w:val="en-GB"/>
        </w:rPr>
        <w:t xml:space="preserve">Australia </w:t>
      </w:r>
      <w:r w:rsidR="00EB444A" w:rsidRPr="00F01A62">
        <w:rPr>
          <w:rFonts w:ascii="Arial" w:hAnsi="Arial" w:cs="Arial"/>
          <w:sz w:val="22"/>
          <w:szCs w:val="22"/>
          <w:lang w:val="en-GB"/>
        </w:rPr>
        <w:t xml:space="preserve">is still </w:t>
      </w:r>
      <w:r w:rsidR="0068545B" w:rsidRPr="00F01A62">
        <w:rPr>
          <w:rFonts w:ascii="Arial" w:hAnsi="Arial" w:cs="Arial"/>
          <w:sz w:val="22"/>
          <w:szCs w:val="22"/>
          <w:lang w:val="en-GB"/>
        </w:rPr>
        <w:t xml:space="preserve">more of a </w:t>
      </w:r>
      <w:r w:rsidR="00EB444A" w:rsidRPr="00F01A62">
        <w:rPr>
          <w:rFonts w:ascii="Arial" w:hAnsi="Arial" w:cs="Arial"/>
          <w:sz w:val="22"/>
          <w:szCs w:val="22"/>
          <w:lang w:val="en-GB"/>
        </w:rPr>
        <w:t>creditor</w:t>
      </w:r>
      <w:r w:rsidR="0068545B" w:rsidRPr="00F01A62">
        <w:rPr>
          <w:rFonts w:ascii="Arial" w:hAnsi="Arial" w:cs="Arial"/>
          <w:sz w:val="22"/>
          <w:szCs w:val="22"/>
          <w:lang w:val="en-GB"/>
        </w:rPr>
        <w:t>-friendly jurisdiction.</w:t>
      </w:r>
    </w:p>
    <w:p w14:paraId="666DDD71" w14:textId="536C6C7A" w:rsidR="008924E1" w:rsidRPr="00F01A62" w:rsidRDefault="006648C5" w:rsidP="00F01A62">
      <w:pPr>
        <w:jc w:val="both"/>
        <w:rPr>
          <w:rFonts w:ascii="Arial" w:hAnsi="Arial" w:cs="Arial"/>
          <w:sz w:val="22"/>
          <w:szCs w:val="22"/>
          <w:lang w:val="en-GB"/>
        </w:rPr>
      </w:pPr>
      <w:r w:rsidRPr="00F01A62">
        <w:rPr>
          <w:rFonts w:ascii="Arial" w:eastAsiaTheme="minorEastAsia" w:hAnsi="Arial" w:cs="Arial"/>
          <w:sz w:val="22"/>
          <w:szCs w:val="22"/>
          <w:lang w:val="en-GB" w:eastAsia="zh-CN"/>
        </w:rPr>
        <w:t xml:space="preserve">Third, the reforms implemented in Australia, are more as the rectifications </w:t>
      </w:r>
      <w:r w:rsidR="00214DCE" w:rsidRPr="00F01A62">
        <w:rPr>
          <w:rFonts w:ascii="Arial" w:eastAsiaTheme="minorEastAsia" w:hAnsi="Arial" w:cs="Arial"/>
          <w:sz w:val="22"/>
          <w:szCs w:val="22"/>
          <w:lang w:val="en-GB" w:eastAsia="zh-CN"/>
        </w:rPr>
        <w:t>to</w:t>
      </w:r>
      <w:r w:rsidRPr="00F01A62">
        <w:rPr>
          <w:rFonts w:ascii="Arial" w:eastAsiaTheme="minorEastAsia" w:hAnsi="Arial" w:cs="Arial"/>
          <w:sz w:val="22"/>
          <w:szCs w:val="22"/>
          <w:lang w:val="en-GB" w:eastAsia="zh-CN"/>
        </w:rPr>
        <w:t xml:space="preserve"> the rigidness of its creditor-friendly regime, than as the measures to build up a </w:t>
      </w:r>
      <w:r w:rsidRPr="00F01A62">
        <w:rPr>
          <w:rFonts w:ascii="Arial" w:hAnsi="Arial" w:cs="Arial"/>
          <w:sz w:val="22"/>
          <w:szCs w:val="22"/>
          <w:lang w:val="en-GB"/>
        </w:rPr>
        <w:t>debtor-friendly regime.</w:t>
      </w:r>
      <w:r w:rsidR="00214DCE" w:rsidRPr="00F01A62">
        <w:rPr>
          <w:rFonts w:ascii="Arial" w:hAnsi="Arial" w:cs="Arial"/>
          <w:sz w:val="22"/>
          <w:szCs w:val="22"/>
          <w:lang w:val="en-GB"/>
        </w:rPr>
        <w:t xml:space="preserve"> For example,</w:t>
      </w:r>
      <w:r w:rsidR="00BB5F15" w:rsidRPr="00F01A62">
        <w:rPr>
          <w:rFonts w:ascii="Arial" w:hAnsi="Arial" w:cs="Arial"/>
          <w:sz w:val="22"/>
          <w:szCs w:val="22"/>
          <w:lang w:val="en-GB"/>
        </w:rPr>
        <w:t xml:space="preserve"> even though</w:t>
      </w:r>
      <w:r w:rsidR="00214DCE" w:rsidRPr="00F01A62">
        <w:rPr>
          <w:rFonts w:ascii="Arial" w:hAnsi="Arial" w:cs="Arial"/>
          <w:sz w:val="22"/>
          <w:szCs w:val="22"/>
          <w:lang w:val="en-GB"/>
        </w:rPr>
        <w:t xml:space="preserve"> the voluntary administration</w:t>
      </w:r>
      <w:r w:rsidR="00BB5F15" w:rsidRPr="00F01A62">
        <w:rPr>
          <w:rFonts w:ascii="Arial" w:hAnsi="Arial" w:cs="Arial"/>
          <w:sz w:val="22"/>
          <w:szCs w:val="22"/>
          <w:lang w:val="en-GB"/>
        </w:rPr>
        <w:t xml:space="preserve"> now takes</w:t>
      </w:r>
      <w:r w:rsidR="00214DCE" w:rsidRPr="00F01A62">
        <w:rPr>
          <w:rFonts w:ascii="Arial" w:hAnsi="Arial" w:cs="Arial"/>
          <w:sz w:val="22"/>
          <w:szCs w:val="22"/>
          <w:lang w:val="en-GB"/>
        </w:rPr>
        <w:t xml:space="preserve"> </w:t>
      </w:r>
      <w:r w:rsidR="00BB5F15" w:rsidRPr="00F01A62">
        <w:rPr>
          <w:rFonts w:ascii="Arial" w:hAnsi="Arial" w:cs="Arial"/>
          <w:sz w:val="22"/>
          <w:szCs w:val="22"/>
          <w:lang w:val="en-GB"/>
        </w:rPr>
        <w:t>“maximises the chances of the company, or as much as possible of its business, continuing in existence” as its primary object, but the way to achieve that object is through an external administration</w:t>
      </w:r>
      <w:r w:rsidR="007A7043" w:rsidRPr="00F01A62">
        <w:rPr>
          <w:rFonts w:ascii="Arial" w:hAnsi="Arial" w:cs="Arial"/>
          <w:sz w:val="22"/>
          <w:szCs w:val="22"/>
          <w:lang w:val="en-GB"/>
        </w:rPr>
        <w:t xml:space="preserve"> where the administrat</w:t>
      </w:r>
      <w:r w:rsidR="00743AF7">
        <w:rPr>
          <w:rFonts w:ascii="Arial" w:hAnsi="Arial" w:cs="Arial"/>
          <w:sz w:val="22"/>
          <w:szCs w:val="22"/>
          <w:lang w:val="en-GB"/>
        </w:rPr>
        <w:t>o</w:t>
      </w:r>
      <w:r w:rsidR="007A7043" w:rsidRPr="00F01A62">
        <w:rPr>
          <w:rFonts w:ascii="Arial" w:hAnsi="Arial" w:cs="Arial"/>
          <w:sz w:val="22"/>
          <w:szCs w:val="22"/>
          <w:lang w:val="en-GB"/>
        </w:rPr>
        <w:t>r</w:t>
      </w:r>
      <w:r w:rsidR="00BB5F15" w:rsidRPr="00F01A62">
        <w:rPr>
          <w:rFonts w:ascii="Arial" w:hAnsi="Arial" w:cs="Arial"/>
          <w:sz w:val="22"/>
          <w:szCs w:val="22"/>
          <w:lang w:val="en-GB"/>
        </w:rPr>
        <w:t xml:space="preserve"> will take over the management of the corporate debtor.</w:t>
      </w:r>
      <w:r w:rsidR="007A7043" w:rsidRPr="00F01A62">
        <w:rPr>
          <w:rFonts w:ascii="Arial" w:hAnsi="Arial" w:cs="Arial"/>
          <w:sz w:val="22"/>
          <w:szCs w:val="22"/>
          <w:lang w:val="en-GB"/>
        </w:rPr>
        <w:t xml:space="preserve"> Further,</w:t>
      </w:r>
      <w:r w:rsidR="00BB5F15" w:rsidRPr="00F01A62">
        <w:rPr>
          <w:rFonts w:ascii="Arial" w:hAnsi="Arial" w:cs="Arial"/>
          <w:sz w:val="22"/>
          <w:szCs w:val="22"/>
          <w:lang w:val="en-GB"/>
        </w:rPr>
        <w:t xml:space="preserve"> </w:t>
      </w:r>
      <w:r w:rsidR="007A7043" w:rsidRPr="00F01A62">
        <w:rPr>
          <w:rFonts w:ascii="Arial" w:hAnsi="Arial" w:cs="Arial"/>
          <w:sz w:val="22"/>
          <w:szCs w:val="22"/>
          <w:lang w:val="en-GB"/>
        </w:rPr>
        <w:t>e</w:t>
      </w:r>
      <w:r w:rsidR="00BB5F15" w:rsidRPr="00F01A62">
        <w:rPr>
          <w:rFonts w:ascii="Arial" w:hAnsi="Arial" w:cs="Arial"/>
          <w:sz w:val="22"/>
          <w:szCs w:val="22"/>
          <w:lang w:val="en-GB"/>
        </w:rPr>
        <w:t>ven though now</w:t>
      </w:r>
      <w:r w:rsidR="00BB5F15" w:rsidRPr="00F01A62">
        <w:rPr>
          <w:rFonts w:ascii="Arial" w:hAnsi="Arial" w:cs="Arial"/>
          <w:i/>
          <w:iCs/>
          <w:sz w:val="22"/>
          <w:szCs w:val="22"/>
          <w:lang w:val="en-GB"/>
        </w:rPr>
        <w:t xml:space="preserve"> </w:t>
      </w:r>
      <w:r w:rsidR="00743AF7">
        <w:rPr>
          <w:rFonts w:ascii="Arial" w:hAnsi="Arial" w:cs="Arial"/>
          <w:i/>
          <w:iCs/>
          <w:sz w:val="22"/>
          <w:szCs w:val="22"/>
          <w:lang w:val="en-GB"/>
        </w:rPr>
        <w:t>i</w:t>
      </w:r>
      <w:r w:rsidR="00BB5F15" w:rsidRPr="00F01A62">
        <w:rPr>
          <w:rFonts w:ascii="Arial" w:hAnsi="Arial" w:cs="Arial"/>
          <w:i/>
          <w:iCs/>
          <w:sz w:val="22"/>
          <w:szCs w:val="22"/>
          <w:lang w:val="en-GB"/>
        </w:rPr>
        <w:t xml:space="preserve">pso </w:t>
      </w:r>
      <w:r w:rsidR="00743AF7">
        <w:rPr>
          <w:rFonts w:ascii="Arial" w:hAnsi="Arial" w:cs="Arial"/>
          <w:i/>
          <w:iCs/>
          <w:sz w:val="22"/>
          <w:szCs w:val="22"/>
          <w:lang w:val="en-GB"/>
        </w:rPr>
        <w:t>f</w:t>
      </w:r>
      <w:r w:rsidR="00BB5F15" w:rsidRPr="00F01A62">
        <w:rPr>
          <w:rFonts w:ascii="Arial" w:hAnsi="Arial" w:cs="Arial"/>
          <w:i/>
          <w:iCs/>
          <w:sz w:val="22"/>
          <w:szCs w:val="22"/>
          <w:lang w:val="en-GB"/>
        </w:rPr>
        <w:t>acto</w:t>
      </w:r>
      <w:r w:rsidR="00554D98" w:rsidRPr="00F01A62">
        <w:rPr>
          <w:rFonts w:ascii="Arial" w:hAnsi="Arial" w:cs="Arial"/>
          <w:sz w:val="22"/>
          <w:szCs w:val="22"/>
          <w:lang w:val="en-GB"/>
        </w:rPr>
        <w:t xml:space="preserve"> clauses are restricted under Australian law, but the restrictions only apply to corporate debtors in voluntary administration, which is</w:t>
      </w:r>
      <w:r w:rsidR="00743AF7">
        <w:rPr>
          <w:rFonts w:ascii="Arial" w:hAnsi="Arial" w:cs="Arial"/>
          <w:sz w:val="22"/>
          <w:szCs w:val="22"/>
          <w:lang w:val="en-GB"/>
        </w:rPr>
        <w:t xml:space="preserve"> limited to</w:t>
      </w:r>
      <w:r w:rsidR="00554D98" w:rsidRPr="00F01A62">
        <w:rPr>
          <w:rFonts w:ascii="Arial" w:hAnsi="Arial" w:cs="Arial"/>
          <w:sz w:val="22"/>
          <w:szCs w:val="22"/>
          <w:lang w:val="en-GB"/>
        </w:rPr>
        <w:t xml:space="preserve"> only one type of the rescue-type proceedings in Australia. Moreover, </w:t>
      </w:r>
      <w:r w:rsidR="008924E1" w:rsidRPr="00F01A62">
        <w:rPr>
          <w:rFonts w:ascii="Arial" w:hAnsi="Arial" w:cs="Arial"/>
          <w:sz w:val="22"/>
          <w:szCs w:val="22"/>
          <w:lang w:val="en-GB"/>
        </w:rPr>
        <w:t>the “safe harbour”</w:t>
      </w:r>
      <w:r w:rsidR="00743AF7">
        <w:rPr>
          <w:rFonts w:ascii="Arial" w:hAnsi="Arial" w:cs="Arial"/>
          <w:sz w:val="22"/>
          <w:szCs w:val="22"/>
          <w:lang w:val="en-GB"/>
        </w:rPr>
        <w:t xml:space="preserve"> ru</w:t>
      </w:r>
      <w:r w:rsidR="008924E1" w:rsidRPr="00F01A62">
        <w:rPr>
          <w:rFonts w:ascii="Arial" w:hAnsi="Arial" w:cs="Arial"/>
          <w:sz w:val="22"/>
          <w:szCs w:val="22"/>
        </w:rPr>
        <w:t>les introduce</w:t>
      </w:r>
      <w:r w:rsidR="008924E1" w:rsidRPr="00F01A62">
        <w:rPr>
          <w:rFonts w:ascii="Arial" w:hAnsi="Arial" w:cs="Arial"/>
          <w:sz w:val="22"/>
          <w:szCs w:val="22"/>
          <w:lang w:val="en-GB"/>
        </w:rPr>
        <w:t>d by reforms implemented in 2017</w:t>
      </w:r>
      <w:r w:rsidR="00743AF7">
        <w:rPr>
          <w:rFonts w:ascii="Arial" w:hAnsi="Arial" w:cs="Arial"/>
          <w:sz w:val="22"/>
          <w:szCs w:val="22"/>
          <w:lang w:val="en-GB"/>
        </w:rPr>
        <w:t>,</w:t>
      </w:r>
      <w:r w:rsidR="008924E1" w:rsidRPr="00F01A62">
        <w:rPr>
          <w:rStyle w:val="a6"/>
          <w:rFonts w:ascii="Arial" w:hAnsi="Arial" w:cs="Arial"/>
          <w:sz w:val="22"/>
          <w:szCs w:val="22"/>
          <w:lang w:val="en-GB"/>
        </w:rPr>
        <w:footnoteReference w:id="7"/>
      </w:r>
      <w:r w:rsidR="00743AF7">
        <w:rPr>
          <w:rFonts w:ascii="Arial" w:hAnsi="Arial" w:cs="Arial"/>
          <w:sz w:val="22"/>
          <w:szCs w:val="22"/>
          <w:lang w:val="en-GB"/>
        </w:rPr>
        <w:t xml:space="preserve"> </w:t>
      </w:r>
      <w:r w:rsidR="008924E1" w:rsidRPr="00F01A62">
        <w:rPr>
          <w:rFonts w:ascii="Arial" w:hAnsi="Arial" w:cs="Arial"/>
          <w:sz w:val="22"/>
          <w:szCs w:val="22"/>
          <w:lang w:val="en-GB"/>
        </w:rPr>
        <w:t>strictly</w:t>
      </w:r>
      <w:r w:rsidR="00743AF7">
        <w:rPr>
          <w:rFonts w:ascii="Arial" w:hAnsi="Arial" w:cs="Arial"/>
          <w:sz w:val="22"/>
          <w:szCs w:val="22"/>
          <w:lang w:val="en-GB"/>
        </w:rPr>
        <w:t xml:space="preserve"> apply</w:t>
      </w:r>
      <w:r w:rsidR="008924E1" w:rsidRPr="00F01A62">
        <w:rPr>
          <w:rFonts w:ascii="Arial" w:hAnsi="Arial" w:cs="Arial"/>
          <w:sz w:val="22"/>
          <w:szCs w:val="22"/>
          <w:lang w:val="en-GB"/>
        </w:rPr>
        <w:t>. The protection is only availab</w:t>
      </w:r>
      <w:r w:rsidR="00587900" w:rsidRPr="00F01A62">
        <w:rPr>
          <w:rFonts w:ascii="Arial" w:hAnsi="Arial" w:cs="Arial"/>
          <w:sz w:val="22"/>
          <w:szCs w:val="22"/>
          <w:lang w:val="en-GB"/>
        </w:rPr>
        <w:t>le</w:t>
      </w:r>
      <w:r w:rsidR="008924E1" w:rsidRPr="00F01A62">
        <w:rPr>
          <w:rFonts w:ascii="Arial" w:hAnsi="Arial" w:cs="Arial"/>
          <w:sz w:val="22"/>
          <w:szCs w:val="22"/>
          <w:lang w:val="en-GB"/>
        </w:rPr>
        <w:t xml:space="preserve"> for a reasonable period from the time the directors start to develop courses of action that are reasonably likely to lead to a better outcome for the company than administration or liquidation</w:t>
      </w:r>
      <w:r w:rsidR="00587900" w:rsidRPr="00F01A62">
        <w:rPr>
          <w:rFonts w:ascii="Arial" w:hAnsi="Arial" w:cs="Arial"/>
          <w:sz w:val="22"/>
          <w:szCs w:val="22"/>
          <w:lang w:val="en-GB"/>
        </w:rPr>
        <w:t>.</w:t>
      </w:r>
      <w:r w:rsidR="00587900" w:rsidRPr="00F01A62">
        <w:rPr>
          <w:rStyle w:val="a6"/>
          <w:rFonts w:ascii="Arial" w:hAnsi="Arial" w:cs="Arial"/>
          <w:sz w:val="22"/>
          <w:szCs w:val="22"/>
          <w:lang w:val="en-GB"/>
        </w:rPr>
        <w:footnoteReference w:id="8"/>
      </w:r>
      <w:r w:rsidR="00587900" w:rsidRPr="00F01A62">
        <w:rPr>
          <w:rFonts w:ascii="Arial" w:hAnsi="Arial" w:cs="Arial"/>
          <w:sz w:val="22"/>
          <w:szCs w:val="22"/>
          <w:lang w:val="en-GB"/>
        </w:rPr>
        <w:t xml:space="preserve"> In comparison </w:t>
      </w:r>
      <w:r w:rsidR="00743AF7">
        <w:rPr>
          <w:rFonts w:ascii="Arial" w:hAnsi="Arial" w:cs="Arial"/>
          <w:sz w:val="22"/>
          <w:szCs w:val="22"/>
          <w:lang w:val="en-GB"/>
        </w:rPr>
        <w:t>with</w:t>
      </w:r>
      <w:r w:rsidR="00587900" w:rsidRPr="00F01A62">
        <w:rPr>
          <w:rFonts w:ascii="Arial" w:hAnsi="Arial" w:cs="Arial"/>
          <w:sz w:val="22"/>
          <w:szCs w:val="22"/>
          <w:lang w:val="en-GB"/>
        </w:rPr>
        <w:t xml:space="preserve"> the broadly-covered insolvent trading rules and the director’s duty to consider the interests of creditors when making decisions</w:t>
      </w:r>
      <w:r w:rsidR="00743AF7">
        <w:rPr>
          <w:rFonts w:ascii="Arial" w:hAnsi="Arial" w:cs="Arial"/>
          <w:sz w:val="22"/>
          <w:szCs w:val="22"/>
          <w:lang w:val="en-GB"/>
        </w:rPr>
        <w:t>,</w:t>
      </w:r>
      <w:r w:rsidR="00587900" w:rsidRPr="00F01A62">
        <w:rPr>
          <w:rStyle w:val="a6"/>
          <w:rFonts w:ascii="Arial" w:hAnsi="Arial" w:cs="Arial"/>
          <w:sz w:val="22"/>
          <w:szCs w:val="22"/>
          <w:lang w:val="en-GB"/>
        </w:rPr>
        <w:footnoteReference w:id="9"/>
      </w:r>
      <w:r w:rsidR="00587900" w:rsidRPr="00F01A62">
        <w:rPr>
          <w:rFonts w:ascii="Arial" w:hAnsi="Arial" w:cs="Arial"/>
          <w:sz w:val="22"/>
          <w:szCs w:val="22"/>
          <w:lang w:val="en-GB"/>
        </w:rPr>
        <w:t xml:space="preserve"> </w:t>
      </w:r>
      <w:r w:rsidR="00743AF7">
        <w:rPr>
          <w:rFonts w:ascii="Arial" w:hAnsi="Arial" w:cs="Arial"/>
          <w:sz w:val="22"/>
          <w:szCs w:val="22"/>
          <w:lang w:val="en-GB"/>
        </w:rPr>
        <w:t>t</w:t>
      </w:r>
      <w:r w:rsidR="00587900" w:rsidRPr="00F01A62">
        <w:rPr>
          <w:rFonts w:ascii="Arial" w:hAnsi="Arial" w:cs="Arial"/>
          <w:sz w:val="22"/>
          <w:szCs w:val="22"/>
          <w:lang w:val="en-GB"/>
        </w:rPr>
        <w:t xml:space="preserve">he “safe harbour” </w:t>
      </w:r>
      <w:r w:rsidR="00614E30" w:rsidRPr="00F01A62">
        <w:rPr>
          <w:rFonts w:ascii="Arial" w:hAnsi="Arial" w:cs="Arial"/>
          <w:sz w:val="22"/>
          <w:szCs w:val="22"/>
          <w:lang w:val="en-GB"/>
        </w:rPr>
        <w:t>reform is</w:t>
      </w:r>
      <w:r w:rsidR="00587900" w:rsidRPr="00F01A62">
        <w:rPr>
          <w:rFonts w:ascii="Arial" w:hAnsi="Arial" w:cs="Arial"/>
          <w:sz w:val="22"/>
          <w:szCs w:val="22"/>
        </w:rPr>
        <w:t xml:space="preserve"> </w:t>
      </w:r>
      <w:r w:rsidR="00743AF7">
        <w:rPr>
          <w:rFonts w:ascii="Arial" w:hAnsi="Arial" w:cs="Arial"/>
          <w:sz w:val="22"/>
          <w:szCs w:val="22"/>
        </w:rPr>
        <w:t>more as</w:t>
      </w:r>
      <w:r w:rsidR="00614E30" w:rsidRPr="00F01A62">
        <w:rPr>
          <w:rFonts w:ascii="Arial" w:hAnsi="Arial" w:cs="Arial"/>
          <w:sz w:val="22"/>
          <w:szCs w:val="22"/>
        </w:rPr>
        <w:t xml:space="preserve"> a</w:t>
      </w:r>
      <w:r w:rsidR="00743AF7">
        <w:rPr>
          <w:rFonts w:ascii="Arial" w:hAnsi="Arial" w:cs="Arial"/>
          <w:sz w:val="22"/>
          <w:szCs w:val="22"/>
        </w:rPr>
        <w:t xml:space="preserve"> measure</w:t>
      </w:r>
      <w:r w:rsidR="00614E30" w:rsidRPr="00F01A62">
        <w:rPr>
          <w:rFonts w:ascii="Arial" w:hAnsi="Arial" w:cs="Arial"/>
          <w:sz w:val="22"/>
          <w:szCs w:val="22"/>
        </w:rPr>
        <w:t xml:space="preserve"> to promote corporate rescue than </w:t>
      </w:r>
      <w:r w:rsidR="00743AF7">
        <w:rPr>
          <w:rFonts w:ascii="Arial" w:hAnsi="Arial" w:cs="Arial"/>
          <w:sz w:val="22"/>
          <w:szCs w:val="22"/>
        </w:rPr>
        <w:t>to build up a</w:t>
      </w:r>
      <w:r w:rsidR="00614E30" w:rsidRPr="00F01A62">
        <w:rPr>
          <w:rFonts w:ascii="Arial" w:hAnsi="Arial" w:cs="Arial"/>
          <w:sz w:val="22"/>
          <w:szCs w:val="22"/>
        </w:rPr>
        <w:t xml:space="preserve"> </w:t>
      </w:r>
      <w:r w:rsidR="00614E30" w:rsidRPr="00F01A62">
        <w:rPr>
          <w:rFonts w:ascii="Arial" w:hAnsi="Arial" w:cs="Arial"/>
          <w:sz w:val="22"/>
          <w:szCs w:val="22"/>
          <w:lang w:val="en-GB"/>
        </w:rPr>
        <w:t xml:space="preserve">debtor-friendly </w:t>
      </w:r>
      <w:r w:rsidR="00743AF7">
        <w:rPr>
          <w:rFonts w:ascii="Arial" w:hAnsi="Arial" w:cs="Arial"/>
          <w:sz w:val="22"/>
          <w:szCs w:val="22"/>
          <w:lang w:val="en-GB"/>
        </w:rPr>
        <w:t>regime</w:t>
      </w:r>
      <w:r w:rsidR="00614E30" w:rsidRPr="00F01A62">
        <w:rPr>
          <w:rFonts w:ascii="Arial" w:hAnsi="Arial" w:cs="Arial"/>
          <w:sz w:val="22"/>
          <w:szCs w:val="22"/>
          <w:lang w:val="en-GB"/>
        </w:rPr>
        <w:t>.</w:t>
      </w:r>
      <w:r w:rsidR="007F1BA9">
        <w:rPr>
          <w:rFonts w:ascii="Arial" w:hAnsi="Arial" w:cs="Arial"/>
          <w:sz w:val="22"/>
          <w:szCs w:val="22"/>
          <w:lang w:val="en-GB"/>
        </w:rPr>
        <w:t xml:space="preserve"> </w:t>
      </w:r>
    </w:p>
    <w:p w14:paraId="58055ABF" w14:textId="6179F0D0" w:rsidR="00614E30" w:rsidRPr="00F01A62" w:rsidRDefault="00614E30" w:rsidP="00F01A62">
      <w:pPr>
        <w:jc w:val="both"/>
        <w:rPr>
          <w:rFonts w:ascii="Arial" w:eastAsiaTheme="minorEastAsia" w:hAnsi="Arial" w:cs="Arial"/>
          <w:sz w:val="22"/>
          <w:szCs w:val="22"/>
          <w:lang w:val="en-GB" w:eastAsia="zh-CN"/>
        </w:rPr>
      </w:pPr>
      <w:r w:rsidRPr="00F01A62">
        <w:rPr>
          <w:rFonts w:ascii="Arial" w:eastAsiaTheme="minorEastAsia" w:hAnsi="Arial" w:cs="Arial"/>
          <w:sz w:val="22"/>
          <w:szCs w:val="22"/>
          <w:lang w:val="en-GB" w:eastAsia="zh-CN"/>
        </w:rPr>
        <w:t xml:space="preserve">In conclusion, </w:t>
      </w:r>
      <w:r w:rsidR="007A7043" w:rsidRPr="00F01A62">
        <w:rPr>
          <w:rFonts w:ascii="Arial" w:eastAsiaTheme="minorEastAsia" w:hAnsi="Arial" w:cs="Arial"/>
          <w:sz w:val="22"/>
          <w:szCs w:val="22"/>
          <w:lang w:val="en-GB" w:eastAsia="zh-CN"/>
        </w:rPr>
        <w:t xml:space="preserve">Australia’s insolvency regime is still of strong </w:t>
      </w:r>
      <w:r w:rsidR="007A7043" w:rsidRPr="00F01A62">
        <w:rPr>
          <w:rFonts w:ascii="Arial" w:hAnsi="Arial" w:cs="Arial"/>
          <w:sz w:val="22"/>
          <w:szCs w:val="22"/>
          <w:lang w:val="en-GB"/>
        </w:rPr>
        <w:t>creditor-friendly characteristics, however, the recent reforms implemented, which rectify the rigidness and promote corporate rescue</w:t>
      </w:r>
      <w:r w:rsidR="007F1BA9">
        <w:rPr>
          <w:rFonts w:ascii="Arial" w:hAnsi="Arial" w:cs="Arial"/>
          <w:sz w:val="22"/>
          <w:szCs w:val="22"/>
          <w:lang w:val="en-GB"/>
        </w:rPr>
        <w:t xml:space="preserve"> in a degree</w:t>
      </w:r>
      <w:r w:rsidR="007A7043" w:rsidRPr="00F01A62">
        <w:rPr>
          <w:rFonts w:ascii="Arial" w:hAnsi="Arial" w:cs="Arial"/>
          <w:sz w:val="22"/>
          <w:szCs w:val="22"/>
          <w:lang w:val="en-GB"/>
        </w:rPr>
        <w:t>, have strike</w:t>
      </w:r>
      <w:r w:rsidR="007F1BA9">
        <w:rPr>
          <w:rFonts w:ascii="Arial" w:hAnsi="Arial" w:cs="Arial"/>
          <w:sz w:val="22"/>
          <w:szCs w:val="22"/>
          <w:lang w:val="en-GB"/>
        </w:rPr>
        <w:t xml:space="preserve"> a</w:t>
      </w:r>
      <w:r w:rsidR="007A7043" w:rsidRPr="00F01A62">
        <w:rPr>
          <w:rFonts w:ascii="Arial" w:hAnsi="Arial" w:cs="Arial"/>
          <w:sz w:val="22"/>
          <w:szCs w:val="22"/>
          <w:lang w:val="en-GB"/>
        </w:rPr>
        <w:t xml:space="preserve"> more balance</w:t>
      </w:r>
      <w:r w:rsidR="007F1BA9">
        <w:rPr>
          <w:rFonts w:ascii="Arial" w:hAnsi="Arial" w:cs="Arial"/>
          <w:sz w:val="22"/>
          <w:szCs w:val="22"/>
          <w:lang w:val="en-GB"/>
        </w:rPr>
        <w:t>d position</w:t>
      </w:r>
      <w:r w:rsidR="007A7043" w:rsidRPr="00F01A62">
        <w:rPr>
          <w:rFonts w:ascii="Arial" w:hAnsi="Arial" w:cs="Arial"/>
          <w:sz w:val="22"/>
          <w:szCs w:val="22"/>
          <w:lang w:val="en-GB"/>
        </w:rPr>
        <w:t xml:space="preserve"> between creditor-friendly and debtor-friendly</w:t>
      </w:r>
      <w:r w:rsidR="007F1BA9">
        <w:rPr>
          <w:rFonts w:ascii="Arial" w:hAnsi="Arial" w:cs="Arial"/>
          <w:sz w:val="22"/>
          <w:szCs w:val="22"/>
          <w:lang w:val="en-GB"/>
        </w:rPr>
        <w:t>, which do help to promote corporate rescue in Australia</w:t>
      </w:r>
      <w:r w:rsidR="007A7043" w:rsidRPr="00F01A62">
        <w:rPr>
          <w:rFonts w:ascii="Arial" w:hAnsi="Arial" w:cs="Arial"/>
          <w:sz w:val="22"/>
          <w:szCs w:val="22"/>
          <w:lang w:val="en-GB"/>
        </w:rPr>
        <w:t>.</w:t>
      </w:r>
    </w:p>
    <w:p w14:paraId="40BC5AB5" w14:textId="1FD5327C" w:rsidR="00D866BC" w:rsidRPr="00F01A62" w:rsidRDefault="00BB5F15" w:rsidP="00F01A62">
      <w:pPr>
        <w:jc w:val="both"/>
        <w:rPr>
          <w:rFonts w:ascii="Arial" w:hAnsi="Arial" w:cs="Arial"/>
          <w:sz w:val="22"/>
          <w:szCs w:val="22"/>
          <w:lang w:val="en-GB"/>
        </w:rPr>
      </w:pPr>
      <w:r w:rsidRPr="00F01A62">
        <w:rPr>
          <w:rFonts w:ascii="Arial" w:hAnsi="Arial" w:cs="Arial"/>
          <w:sz w:val="22"/>
          <w:szCs w:val="22"/>
          <w:lang w:val="en-GB"/>
        </w:rPr>
        <w:t xml:space="preserve"> </w:t>
      </w:r>
      <w:r w:rsidR="006648C5" w:rsidRPr="00F01A62">
        <w:rPr>
          <w:rFonts w:ascii="Arial" w:hAnsi="Arial" w:cs="Arial"/>
          <w:sz w:val="22"/>
          <w:szCs w:val="22"/>
          <w:lang w:val="en-GB"/>
        </w:rPr>
        <w:t xml:space="preserve"> </w:t>
      </w:r>
    </w:p>
    <w:p w14:paraId="325FCF73" w14:textId="639AFE97" w:rsidR="00265D2D" w:rsidRPr="007A7043" w:rsidRDefault="00454ACE" w:rsidP="002A37BB">
      <w:pPr>
        <w:jc w:val="both"/>
        <w:rPr>
          <w:rFonts w:ascii="Arial" w:eastAsiaTheme="minorEastAsia" w:hAnsi="Arial" w:cs="Arial"/>
          <w:sz w:val="22"/>
          <w:szCs w:val="22"/>
          <w:lang w:val="en-GB" w:eastAsia="zh-CN"/>
        </w:rPr>
      </w:pPr>
      <w:r>
        <w:rPr>
          <w:rFonts w:ascii="Arial" w:eastAsiaTheme="minorEastAsia" w:hAnsi="Arial" w:cs="Arial"/>
          <w:sz w:val="22"/>
          <w:szCs w:val="22"/>
          <w:lang w:val="en-GB" w:eastAsia="zh-CN"/>
        </w:rPr>
        <w:t xml:space="preserve">   </w:t>
      </w:r>
      <w:r w:rsidR="00A26EBE">
        <w:rPr>
          <w:rFonts w:ascii="Arial" w:eastAsiaTheme="minorEastAsia" w:hAnsi="Arial" w:cs="Arial"/>
          <w:sz w:val="22"/>
          <w:szCs w:val="22"/>
          <w:lang w:val="en-GB" w:eastAsia="zh-CN"/>
        </w:rPr>
        <w:t xml:space="preserve"> </w:t>
      </w:r>
      <w:r w:rsidR="006B6615">
        <w:rPr>
          <w:rFonts w:ascii="Arial" w:eastAsiaTheme="minorEastAsia" w:hAnsi="Arial" w:cs="Arial"/>
          <w:sz w:val="22"/>
          <w:szCs w:val="22"/>
          <w:lang w:val="en-GB" w:eastAsia="zh-CN"/>
        </w:rPr>
        <w:t xml:space="preserve"> </w:t>
      </w:r>
      <w:r w:rsidR="009D390B">
        <w:rPr>
          <w:rFonts w:ascii="Arial" w:eastAsiaTheme="minorEastAsia" w:hAnsi="Arial" w:cs="Arial"/>
          <w:sz w:val="22"/>
          <w:szCs w:val="22"/>
          <w:lang w:val="en-GB" w:eastAsia="zh-CN"/>
        </w:rPr>
        <w:t xml:space="preserve"> </w:t>
      </w:r>
      <w:r w:rsidR="00920350">
        <w:rPr>
          <w:rFonts w:ascii="Arial" w:eastAsiaTheme="minorEastAsia" w:hAnsi="Arial" w:cs="Arial"/>
          <w:sz w:val="22"/>
          <w:szCs w:val="22"/>
          <w:lang w:val="en-GB" w:eastAsia="zh-CN"/>
        </w:rPr>
        <w:t xml:space="preserve"> </w:t>
      </w: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lastRenderedPageBreak/>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12EC5CC9" w14:textId="4B9708D3" w:rsidR="00034C1F" w:rsidRPr="00034C1F" w:rsidRDefault="00034C1F" w:rsidP="002476AF">
      <w:pPr>
        <w:jc w:val="both"/>
        <w:rPr>
          <w:rFonts w:ascii="Arial" w:eastAsiaTheme="minorEastAsia" w:hAnsi="Arial" w:cs="Arial"/>
          <w:sz w:val="22"/>
          <w:szCs w:val="22"/>
          <w:lang w:val="en-GB" w:eastAsia="zh-CN"/>
        </w:rPr>
      </w:pPr>
    </w:p>
    <w:p w14:paraId="1687F3AD" w14:textId="28B13C7E" w:rsidR="008C0EE0" w:rsidRDefault="00106195" w:rsidP="005B70BE">
      <w:pPr>
        <w:autoSpaceDE w:val="0"/>
        <w:autoSpaceDN w:val="0"/>
        <w:adjustRightInd w:val="0"/>
        <w:jc w:val="both"/>
        <w:rPr>
          <w:rFonts w:ascii="Arial" w:hAnsi="Arial" w:cs="Arial"/>
          <w:color w:val="000000"/>
          <w:sz w:val="22"/>
          <w:szCs w:val="22"/>
          <w:lang w:eastAsia="zh-CN"/>
        </w:rPr>
      </w:pPr>
      <w:r>
        <w:rPr>
          <w:rFonts w:ascii="Arial" w:hAnsi="Arial" w:cs="Arial"/>
          <w:sz w:val="22"/>
          <w:szCs w:val="22"/>
          <w:lang w:val="en-GB"/>
        </w:rPr>
        <w:t>T</w:t>
      </w:r>
      <w:r w:rsidR="00034C1F" w:rsidRPr="00034C1F">
        <w:rPr>
          <w:rFonts w:ascii="Arial" w:hAnsi="Arial" w:cs="Arial"/>
          <w:sz w:val="22"/>
          <w:szCs w:val="22"/>
          <w:lang w:val="en-GB"/>
        </w:rPr>
        <w:t xml:space="preserve">he </w:t>
      </w:r>
      <w:r w:rsidR="00034C1F">
        <w:rPr>
          <w:rFonts w:ascii="Arial" w:hAnsi="Arial" w:cs="Arial"/>
          <w:sz w:val="22"/>
          <w:szCs w:val="22"/>
          <w:lang w:val="en-GB"/>
        </w:rPr>
        <w:t>first issue here is whether t</w:t>
      </w:r>
      <w:r w:rsidR="0097721A">
        <w:rPr>
          <w:rFonts w:ascii="Arial" w:hAnsi="Arial" w:cs="Arial"/>
          <w:sz w:val="22"/>
          <w:szCs w:val="22"/>
          <w:lang w:val="en-GB"/>
        </w:rPr>
        <w:t xml:space="preserve">he liquidation proceeding </w:t>
      </w:r>
      <w:r w:rsidR="007C3E84">
        <w:rPr>
          <w:rFonts w:ascii="Arial" w:hAnsi="Arial" w:cs="Arial"/>
          <w:sz w:val="22"/>
          <w:szCs w:val="22"/>
          <w:lang w:val="en-GB"/>
        </w:rPr>
        <w:t xml:space="preserve">in </w:t>
      </w:r>
      <w:r w:rsidR="00034C1F">
        <w:rPr>
          <w:rFonts w:ascii="Arial" w:hAnsi="Arial" w:cs="Arial"/>
          <w:sz w:val="22"/>
          <w:szCs w:val="22"/>
          <w:lang w:val="en-GB"/>
        </w:rPr>
        <w:t>Lyonessian can be recognized as a foreign main proceeding</w:t>
      </w:r>
      <w:r w:rsidR="0097721A">
        <w:rPr>
          <w:rFonts w:ascii="Arial" w:hAnsi="Arial" w:cs="Arial"/>
          <w:sz w:val="22"/>
          <w:szCs w:val="22"/>
          <w:lang w:val="en-GB"/>
        </w:rPr>
        <w:t xml:space="preserve"> under</w:t>
      </w:r>
      <w:r w:rsidR="00DE3853">
        <w:rPr>
          <w:rFonts w:ascii="Arial" w:hAnsi="Arial" w:cs="Arial"/>
          <w:sz w:val="22"/>
          <w:szCs w:val="22"/>
          <w:lang w:val="en-GB"/>
        </w:rPr>
        <w:t xml:space="preserve"> the</w:t>
      </w:r>
      <w:r w:rsidR="0097721A">
        <w:rPr>
          <w:rFonts w:ascii="Arial" w:hAnsi="Arial" w:cs="Arial"/>
          <w:sz w:val="22"/>
          <w:szCs w:val="22"/>
          <w:lang w:val="en-GB"/>
        </w:rPr>
        <w:t xml:space="preserve"> Australian law</w:t>
      </w:r>
      <w:r w:rsidR="00034C1F">
        <w:rPr>
          <w:rFonts w:ascii="Arial" w:hAnsi="Arial" w:cs="Arial"/>
          <w:sz w:val="22"/>
          <w:szCs w:val="22"/>
          <w:lang w:val="en-GB"/>
        </w:rPr>
        <w:t>. According to</w:t>
      </w:r>
      <w:r w:rsidR="00164946">
        <w:rPr>
          <w:rFonts w:ascii="Arial" w:hAnsi="Arial" w:cs="Arial"/>
          <w:sz w:val="22"/>
          <w:szCs w:val="22"/>
          <w:lang w:val="en-GB"/>
        </w:rPr>
        <w:t xml:space="preserve"> the </w:t>
      </w:r>
      <w:r w:rsidR="00164946">
        <w:rPr>
          <w:rFonts w:ascii="Arial" w:hAnsi="Arial" w:cs="Arial" w:hint="eastAsia"/>
          <w:color w:val="000000"/>
          <w:sz w:val="22"/>
          <w:szCs w:val="22"/>
          <w:lang w:eastAsia="zh-CN"/>
        </w:rPr>
        <w:t>rebuttable</w:t>
      </w:r>
      <w:r w:rsidR="00164946">
        <w:rPr>
          <w:rFonts w:ascii="Arial" w:hAnsi="Arial" w:cs="Arial"/>
          <w:color w:val="000000"/>
          <w:sz w:val="22"/>
          <w:szCs w:val="22"/>
          <w:lang w:eastAsia="zh-CN"/>
        </w:rPr>
        <w:t xml:space="preserve"> </w:t>
      </w:r>
      <w:r w:rsidR="00164946">
        <w:rPr>
          <w:rFonts w:ascii="Arial" w:hAnsi="Arial" w:cs="Arial" w:hint="eastAsia"/>
          <w:color w:val="000000"/>
          <w:sz w:val="22"/>
          <w:szCs w:val="22"/>
          <w:lang w:eastAsia="zh-CN"/>
        </w:rPr>
        <w:t>presumption</w:t>
      </w:r>
      <w:r w:rsidR="00034C1F">
        <w:rPr>
          <w:rFonts w:ascii="Arial" w:hAnsi="Arial" w:cs="Arial"/>
          <w:sz w:val="22"/>
          <w:szCs w:val="22"/>
          <w:lang w:val="en-GB"/>
        </w:rPr>
        <w:t xml:space="preserve"> </w:t>
      </w:r>
      <w:r w:rsidR="00164946">
        <w:rPr>
          <w:rFonts w:ascii="Arial" w:hAnsi="Arial" w:cs="Arial"/>
          <w:sz w:val="22"/>
          <w:szCs w:val="22"/>
          <w:lang w:val="en-GB"/>
        </w:rPr>
        <w:t>under Article 16 of the</w:t>
      </w:r>
      <w:r w:rsidR="000850D6">
        <w:rPr>
          <w:rFonts w:ascii="Arial" w:hAnsi="Arial" w:cs="Arial"/>
          <w:sz w:val="22"/>
          <w:szCs w:val="22"/>
          <w:lang w:val="en-GB"/>
        </w:rPr>
        <w:t xml:space="preserve"> </w:t>
      </w:r>
      <w:r w:rsidR="00706BDD" w:rsidRPr="00706BDD">
        <w:rPr>
          <w:rFonts w:ascii="Arial" w:hAnsi="Arial" w:cs="Arial"/>
          <w:sz w:val="22"/>
          <w:szCs w:val="22"/>
          <w:lang w:val="en-GB"/>
        </w:rPr>
        <w:t>Cross-Border Insolvency Act 2008</w:t>
      </w:r>
      <w:r w:rsidR="00164946">
        <w:rPr>
          <w:rFonts w:ascii="Arial" w:hAnsi="Arial" w:cs="Arial"/>
          <w:sz w:val="22"/>
          <w:szCs w:val="22"/>
          <w:lang w:val="en-GB"/>
        </w:rPr>
        <w:t>,</w:t>
      </w:r>
      <w:r w:rsidR="00164946" w:rsidRPr="00164946">
        <w:rPr>
          <w:rFonts w:ascii="Arial" w:hAnsi="Arial" w:cs="Arial" w:hint="eastAsia"/>
          <w:color w:val="000000"/>
          <w:sz w:val="22"/>
          <w:szCs w:val="22"/>
          <w:lang w:eastAsia="zh-CN"/>
        </w:rPr>
        <w:t xml:space="preserve"> </w:t>
      </w:r>
      <w:r w:rsidR="00164946">
        <w:rPr>
          <w:rFonts w:ascii="Arial" w:hAnsi="Arial" w:cs="Arial" w:hint="eastAsia"/>
          <w:color w:val="000000"/>
          <w:sz w:val="22"/>
          <w:szCs w:val="22"/>
          <w:lang w:eastAsia="zh-CN"/>
        </w:rPr>
        <w:t>in the absence of proof to the contrary</w:t>
      </w:r>
      <w:r w:rsidR="00164946">
        <w:rPr>
          <w:rFonts w:ascii="Arial" w:hAnsi="Arial" w:cs="Arial"/>
          <w:color w:val="000000"/>
          <w:sz w:val="22"/>
          <w:szCs w:val="22"/>
          <w:lang w:eastAsia="zh-CN"/>
        </w:rPr>
        <w:t xml:space="preserve">, </w:t>
      </w:r>
      <w:r w:rsidR="00164946">
        <w:rPr>
          <w:rFonts w:ascii="Arial" w:hAnsi="Arial" w:cs="Arial" w:hint="eastAsia"/>
          <w:color w:val="000000"/>
          <w:sz w:val="22"/>
          <w:szCs w:val="22"/>
          <w:lang w:eastAsia="zh-CN"/>
        </w:rPr>
        <w:t>the debtor’s registered office is presumed to be the centre of the debtor’s main interests.</w:t>
      </w:r>
      <w:r w:rsidR="008B4790">
        <w:rPr>
          <w:rFonts w:ascii="Arial" w:hAnsi="Arial" w:cs="Arial"/>
          <w:color w:val="000000"/>
          <w:sz w:val="22"/>
          <w:szCs w:val="22"/>
          <w:lang w:eastAsia="zh-CN"/>
        </w:rPr>
        <w:t xml:space="preserve"> Further,</w:t>
      </w:r>
      <w:r w:rsidR="00164946">
        <w:rPr>
          <w:rFonts w:ascii="Arial" w:hAnsi="Arial" w:cs="Arial"/>
          <w:sz w:val="22"/>
          <w:szCs w:val="22"/>
          <w:lang w:val="en-GB"/>
        </w:rPr>
        <w:t xml:space="preserve"> </w:t>
      </w:r>
      <w:r w:rsidR="008B4790">
        <w:rPr>
          <w:rFonts w:ascii="Arial" w:hAnsi="Arial" w:cs="Arial"/>
          <w:color w:val="000000"/>
          <w:sz w:val="22"/>
          <w:szCs w:val="22"/>
          <w:lang w:eastAsia="zh-CN"/>
        </w:rPr>
        <w:t>i</w:t>
      </w:r>
      <w:r w:rsidR="00164946">
        <w:rPr>
          <w:rFonts w:ascii="Arial" w:hAnsi="Arial" w:cs="Arial"/>
          <w:color w:val="000000"/>
          <w:sz w:val="22"/>
          <w:szCs w:val="22"/>
          <w:lang w:eastAsia="zh-CN"/>
        </w:rPr>
        <w:t>n order</w:t>
      </w:r>
      <w:r w:rsidR="00164946">
        <w:rPr>
          <w:rFonts w:ascii="Arial" w:hAnsi="Arial" w:cs="Arial" w:hint="eastAsia"/>
          <w:color w:val="000000"/>
          <w:sz w:val="22"/>
          <w:szCs w:val="22"/>
          <w:lang w:eastAsia="zh-CN"/>
        </w:rPr>
        <w:t xml:space="preserve"> to rebut the presumption</w:t>
      </w:r>
      <w:r w:rsidR="00FA1A7E">
        <w:rPr>
          <w:rFonts w:ascii="Arial" w:hAnsi="Arial" w:cs="Arial"/>
          <w:color w:val="000000"/>
          <w:sz w:val="22"/>
          <w:szCs w:val="22"/>
          <w:lang w:eastAsia="zh-CN"/>
        </w:rPr>
        <w:t xml:space="preserve"> in Australia</w:t>
      </w:r>
      <w:r w:rsidR="00164946">
        <w:rPr>
          <w:rFonts w:ascii="Arial" w:hAnsi="Arial" w:cs="Arial" w:hint="eastAsia"/>
          <w:color w:val="000000"/>
          <w:sz w:val="22"/>
          <w:szCs w:val="22"/>
          <w:lang w:eastAsia="zh-CN"/>
        </w:rPr>
        <w:t>,</w:t>
      </w:r>
      <w:r w:rsidR="005B70BE">
        <w:rPr>
          <w:rFonts w:ascii="Arial" w:hAnsi="Arial" w:cs="Arial"/>
          <w:color w:val="000000"/>
          <w:sz w:val="22"/>
          <w:szCs w:val="22"/>
          <w:lang w:eastAsia="zh-CN"/>
        </w:rPr>
        <w:t xml:space="preserve"> as adopted in the leading case </w:t>
      </w:r>
      <w:r w:rsidR="005B70BE" w:rsidRPr="005B70BE">
        <w:rPr>
          <w:rFonts w:ascii="Arial" w:hAnsi="Arial" w:cs="Arial"/>
          <w:i/>
          <w:iCs/>
          <w:color w:val="000000"/>
          <w:sz w:val="22"/>
          <w:szCs w:val="22"/>
          <w:lang w:eastAsia="zh-CN"/>
        </w:rPr>
        <w:t>Ackers v Saad Investments Company Ltd</w:t>
      </w:r>
      <w:r w:rsidR="005B70BE" w:rsidRPr="005B70BE">
        <w:rPr>
          <w:rFonts w:ascii="Arial" w:hAnsi="Arial" w:cs="Arial"/>
          <w:color w:val="000000"/>
          <w:sz w:val="22"/>
          <w:szCs w:val="22"/>
          <w:lang w:eastAsia="zh-CN"/>
        </w:rPr>
        <w:t xml:space="preserve"> (in liq) (2010) 190 FCR 285</w:t>
      </w:r>
      <w:r w:rsidR="00FA1A7E">
        <w:rPr>
          <w:rFonts w:ascii="Arial" w:hAnsi="Arial" w:cs="Arial"/>
          <w:color w:val="000000"/>
          <w:sz w:val="22"/>
          <w:szCs w:val="22"/>
          <w:lang w:eastAsia="zh-CN"/>
        </w:rPr>
        <w:t>, the</w:t>
      </w:r>
      <w:r w:rsidR="00E3700E" w:rsidRPr="00E3700E">
        <w:rPr>
          <w:rFonts w:ascii="Arial" w:hAnsi="Arial" w:cs="Arial"/>
          <w:color w:val="000000"/>
          <w:sz w:val="22"/>
          <w:szCs w:val="22"/>
          <w:lang w:eastAsia="zh-CN"/>
        </w:rPr>
        <w:t xml:space="preserve"> </w:t>
      </w:r>
      <w:r w:rsidR="00E3700E" w:rsidRPr="00E3700E">
        <w:rPr>
          <w:rFonts w:ascii="Arial" w:hAnsi="Arial" w:cs="Arial" w:hint="eastAsia"/>
          <w:color w:val="000000"/>
          <w:sz w:val="22"/>
          <w:szCs w:val="22"/>
          <w:lang w:eastAsia="zh-CN"/>
        </w:rPr>
        <w:t>principles</w:t>
      </w:r>
      <w:r w:rsidR="008C0EE0">
        <w:rPr>
          <w:rFonts w:ascii="Arial" w:hAnsi="Arial" w:cs="Arial"/>
          <w:color w:val="000000"/>
          <w:sz w:val="22"/>
          <w:szCs w:val="22"/>
          <w:lang w:eastAsia="zh-CN"/>
        </w:rPr>
        <w:t xml:space="preserve"> recognized</w:t>
      </w:r>
      <w:r w:rsidR="00E3700E" w:rsidRPr="00E3700E">
        <w:rPr>
          <w:rFonts w:ascii="Arial" w:hAnsi="Arial" w:cs="Arial"/>
          <w:color w:val="000000"/>
          <w:sz w:val="22"/>
          <w:szCs w:val="22"/>
          <w:lang w:eastAsia="zh-CN"/>
        </w:rPr>
        <w:t xml:space="preserve"> </w:t>
      </w:r>
      <w:r w:rsidR="00E3700E" w:rsidRPr="00E3700E">
        <w:rPr>
          <w:rFonts w:ascii="Arial" w:hAnsi="Arial" w:cs="Arial" w:hint="eastAsia"/>
          <w:color w:val="000000"/>
          <w:sz w:val="22"/>
          <w:szCs w:val="22"/>
          <w:lang w:eastAsia="zh-CN"/>
        </w:rPr>
        <w:t>in</w:t>
      </w:r>
      <w:r w:rsidR="00E3700E" w:rsidRPr="00E3700E">
        <w:rPr>
          <w:rFonts w:ascii="Arial" w:hAnsi="Arial" w:cs="Arial"/>
          <w:color w:val="000000"/>
          <w:sz w:val="22"/>
          <w:szCs w:val="22"/>
          <w:lang w:eastAsia="zh-CN"/>
        </w:rPr>
        <w:t xml:space="preserve"> </w:t>
      </w:r>
      <w:r w:rsidR="00E3700E" w:rsidRPr="00E3700E">
        <w:rPr>
          <w:rFonts w:ascii="Arial" w:hAnsi="Arial" w:cs="Arial"/>
          <w:i/>
          <w:iCs/>
          <w:color w:val="000000"/>
          <w:sz w:val="22"/>
          <w:szCs w:val="22"/>
          <w:lang w:eastAsia="zh-CN"/>
        </w:rPr>
        <w:t>Eurofoods IFSC</w:t>
      </w:r>
      <w:r w:rsidR="00E3700E" w:rsidRPr="00BD1FB3">
        <w:rPr>
          <w:rFonts w:ascii="Arial" w:hAnsi="Arial" w:cs="Arial"/>
          <w:i/>
          <w:iCs/>
          <w:color w:val="000000"/>
          <w:sz w:val="22"/>
          <w:szCs w:val="22"/>
          <w:lang w:eastAsia="zh-CN"/>
        </w:rPr>
        <w:t xml:space="preserve"> Ltd </w:t>
      </w:r>
      <w:r w:rsidR="00E3700E" w:rsidRPr="00E3700E">
        <w:rPr>
          <w:rFonts w:ascii="Arial" w:hAnsi="Arial" w:cs="Arial" w:hint="eastAsia"/>
          <w:color w:val="000000"/>
          <w:sz w:val="22"/>
          <w:szCs w:val="22"/>
          <w:lang w:eastAsia="zh-CN"/>
        </w:rPr>
        <w:t>should</w:t>
      </w:r>
      <w:r w:rsidR="00E3700E">
        <w:rPr>
          <w:rFonts w:ascii="Arial" w:hAnsi="Arial" w:cs="Arial"/>
          <w:color w:val="000000"/>
          <w:sz w:val="22"/>
          <w:szCs w:val="22"/>
          <w:lang w:eastAsia="zh-CN"/>
        </w:rPr>
        <w:t xml:space="preserve"> </w:t>
      </w:r>
      <w:r w:rsidR="00E3700E" w:rsidRPr="00E3700E">
        <w:rPr>
          <w:rFonts w:ascii="Arial" w:hAnsi="Arial" w:cs="Arial" w:hint="eastAsia"/>
          <w:color w:val="000000"/>
          <w:sz w:val="22"/>
          <w:szCs w:val="22"/>
          <w:lang w:eastAsia="zh-CN"/>
        </w:rPr>
        <w:t>be</w:t>
      </w:r>
      <w:r w:rsidR="00E3700E">
        <w:rPr>
          <w:rFonts w:ascii="Arial" w:hAnsi="Arial" w:cs="Arial"/>
          <w:color w:val="000000"/>
          <w:sz w:val="22"/>
          <w:szCs w:val="22"/>
          <w:lang w:eastAsia="zh-CN"/>
        </w:rPr>
        <w:t xml:space="preserve"> </w:t>
      </w:r>
      <w:r w:rsidR="00E3700E" w:rsidRPr="00E3700E">
        <w:rPr>
          <w:rFonts w:ascii="Arial" w:hAnsi="Arial" w:cs="Arial" w:hint="eastAsia"/>
          <w:color w:val="000000"/>
          <w:sz w:val="22"/>
          <w:szCs w:val="22"/>
          <w:lang w:eastAsia="zh-CN"/>
        </w:rPr>
        <w:t>followed</w:t>
      </w:r>
      <w:r w:rsidR="00E3700E">
        <w:rPr>
          <w:rFonts w:ascii="宋体" w:eastAsia="宋体" w:hAnsi="宋体" w:cs="宋体" w:hint="eastAsia"/>
          <w:color w:val="000000"/>
          <w:sz w:val="22"/>
          <w:szCs w:val="22"/>
          <w:lang w:eastAsia="zh-CN"/>
        </w:rPr>
        <w:t>.</w:t>
      </w:r>
      <w:r w:rsidR="00E3700E">
        <w:rPr>
          <w:rStyle w:val="a6"/>
          <w:rFonts w:ascii="宋体" w:eastAsia="宋体" w:hAnsi="宋体" w:cs="宋体"/>
          <w:color w:val="000000"/>
          <w:sz w:val="22"/>
          <w:szCs w:val="22"/>
          <w:lang w:eastAsia="zh-CN"/>
        </w:rPr>
        <w:footnoteReference w:id="10"/>
      </w:r>
      <w:r w:rsidR="00BD1FB3">
        <w:rPr>
          <w:rFonts w:ascii="宋体" w:eastAsia="宋体" w:hAnsi="宋体" w:cs="宋体"/>
          <w:color w:val="000000"/>
          <w:sz w:val="22"/>
          <w:szCs w:val="22"/>
          <w:lang w:eastAsia="zh-CN"/>
        </w:rPr>
        <w:t xml:space="preserve"> </w:t>
      </w:r>
      <w:r w:rsidR="00BD1FB3">
        <w:rPr>
          <w:rFonts w:ascii="Arial" w:hAnsi="Arial" w:cs="Arial"/>
          <w:color w:val="000000"/>
          <w:sz w:val="22"/>
          <w:szCs w:val="22"/>
          <w:lang w:eastAsia="zh-CN"/>
        </w:rPr>
        <w:t>In</w:t>
      </w:r>
      <w:r w:rsidR="00E3700E" w:rsidRPr="00BD1FB3">
        <w:rPr>
          <w:rFonts w:ascii="Arial" w:hAnsi="Arial" w:cs="Arial"/>
          <w:color w:val="000000"/>
          <w:sz w:val="22"/>
          <w:szCs w:val="22"/>
          <w:lang w:eastAsia="zh-CN"/>
        </w:rPr>
        <w:t xml:space="preserve"> </w:t>
      </w:r>
      <w:r w:rsidR="004C76A9">
        <w:rPr>
          <w:rFonts w:ascii="Arial" w:hAnsi="Arial" w:cs="Arial"/>
          <w:color w:val="000000"/>
          <w:sz w:val="22"/>
          <w:szCs w:val="22"/>
          <w:lang w:eastAsia="zh-CN"/>
        </w:rPr>
        <w:t xml:space="preserve">the </w:t>
      </w:r>
      <w:r w:rsidR="004C76A9" w:rsidRPr="00E3700E">
        <w:rPr>
          <w:rFonts w:ascii="Arial" w:hAnsi="Arial" w:cs="Arial"/>
          <w:i/>
          <w:iCs/>
          <w:color w:val="000000"/>
          <w:sz w:val="22"/>
          <w:szCs w:val="22"/>
          <w:lang w:eastAsia="zh-CN"/>
        </w:rPr>
        <w:t>Eurofoods</w:t>
      </w:r>
      <w:r w:rsidR="00E3700E" w:rsidRPr="00BD1FB3">
        <w:rPr>
          <w:rFonts w:ascii="Arial" w:hAnsi="Arial" w:cs="Arial"/>
          <w:color w:val="000000"/>
          <w:sz w:val="22"/>
          <w:szCs w:val="22"/>
          <w:lang w:eastAsia="zh-CN"/>
        </w:rPr>
        <w:t xml:space="preserve"> case, by deciding where the COMI was</w:t>
      </w:r>
      <w:r w:rsidR="00E3700E" w:rsidRPr="00BD1FB3">
        <w:rPr>
          <w:rFonts w:ascii="Arial" w:hAnsi="Arial" w:cs="Arial" w:hint="eastAsia"/>
          <w:color w:val="000000"/>
          <w:sz w:val="22"/>
          <w:szCs w:val="22"/>
          <w:lang w:eastAsia="zh-CN"/>
        </w:rPr>
        <w:t xml:space="preserve"> in</w:t>
      </w:r>
      <w:r w:rsidR="00E3700E" w:rsidRPr="00BD1FB3">
        <w:rPr>
          <w:rFonts w:ascii="Arial" w:hAnsi="Arial" w:cs="Arial"/>
          <w:color w:val="000000"/>
          <w:sz w:val="22"/>
          <w:szCs w:val="22"/>
          <w:lang w:eastAsia="zh-CN"/>
        </w:rPr>
        <w:t xml:space="preserve"> Italy or Ireland, the CJEU set up a high threshold to rebut the registered office presumption that</w:t>
      </w:r>
      <w:r w:rsidR="00BD1FB3">
        <w:rPr>
          <w:rFonts w:ascii="Arial" w:eastAsiaTheme="minorEastAsia" w:hAnsi="Arial" w:cs="Arial" w:hint="eastAsia"/>
          <w:color w:val="000000"/>
          <w:sz w:val="22"/>
          <w:szCs w:val="22"/>
          <w:lang w:eastAsia="zh-CN"/>
        </w:rPr>
        <w:t xml:space="preserve"> </w:t>
      </w:r>
      <w:r w:rsidR="00E3700E">
        <w:rPr>
          <w:rFonts w:ascii="Times New Roman" w:hAnsi="Times New Roman" w:cs="Times New Roman"/>
          <w:color w:val="000000"/>
          <w:sz w:val="24"/>
        </w:rPr>
        <w:t>“</w:t>
      </w:r>
      <w:r w:rsidR="00BD1FB3">
        <w:rPr>
          <w:rFonts w:ascii="Arial" w:hAnsi="Arial" w:cs="Arial"/>
          <w:color w:val="000000"/>
          <w:sz w:val="22"/>
          <w:szCs w:val="22"/>
          <w:lang w:eastAsia="zh-CN"/>
        </w:rPr>
        <w:t>o</w:t>
      </w:r>
      <w:r w:rsidR="00E3700E" w:rsidRPr="00BD1FB3">
        <w:rPr>
          <w:rFonts w:ascii="Arial" w:hAnsi="Arial" w:cs="Arial"/>
          <w:color w:val="000000"/>
          <w:sz w:val="22"/>
          <w:szCs w:val="22"/>
          <w:lang w:eastAsia="zh-CN"/>
        </w:rPr>
        <w:t>nly if factors which are both objective and ascertainable by third parties enable it to be established that an actual situation exists which is different from that which location at that registered office is deemed to reflect. ”</w:t>
      </w:r>
      <w:r w:rsidR="008C0EE0">
        <w:rPr>
          <w:rStyle w:val="a6"/>
          <w:rFonts w:ascii="Arial" w:hAnsi="Arial" w:cs="Arial"/>
          <w:color w:val="000000"/>
          <w:sz w:val="22"/>
          <w:szCs w:val="22"/>
          <w:lang w:eastAsia="zh-CN"/>
        </w:rPr>
        <w:footnoteReference w:id="11"/>
      </w:r>
    </w:p>
    <w:p w14:paraId="5266DB83" w14:textId="24EC1DB8" w:rsidR="00E3700E" w:rsidRDefault="008C0EE0" w:rsidP="005B70BE">
      <w:pPr>
        <w:autoSpaceDE w:val="0"/>
        <w:autoSpaceDN w:val="0"/>
        <w:adjustRightInd w:val="0"/>
        <w:jc w:val="both"/>
        <w:rPr>
          <w:rFonts w:ascii="Arial" w:hAnsi="Arial" w:cs="Arial"/>
          <w:sz w:val="22"/>
          <w:szCs w:val="22"/>
          <w:lang w:val="en-GB"/>
        </w:rPr>
      </w:pPr>
      <w:r>
        <w:rPr>
          <w:rFonts w:ascii="Arial" w:hAnsi="Arial" w:cs="Arial"/>
          <w:color w:val="000000"/>
          <w:sz w:val="22"/>
          <w:szCs w:val="22"/>
          <w:lang w:eastAsia="zh-CN"/>
        </w:rPr>
        <w:t xml:space="preserve">In </w:t>
      </w:r>
      <w:r w:rsidR="00275422">
        <w:rPr>
          <w:rFonts w:ascii="Arial" w:hAnsi="Arial" w:cs="Arial"/>
          <w:color w:val="000000"/>
          <w:sz w:val="22"/>
          <w:szCs w:val="22"/>
          <w:lang w:eastAsia="zh-CN"/>
        </w:rPr>
        <w:t xml:space="preserve">this case, </w:t>
      </w:r>
      <w:r w:rsidR="008B4790">
        <w:rPr>
          <w:rFonts w:ascii="Arial" w:hAnsi="Arial" w:cs="Arial"/>
          <w:color w:val="000000"/>
          <w:sz w:val="22"/>
          <w:szCs w:val="22"/>
          <w:lang w:eastAsia="zh-CN"/>
        </w:rPr>
        <w:t>only Australia and</w:t>
      </w:r>
      <w:r w:rsidR="004C76A9">
        <w:rPr>
          <w:rFonts w:ascii="Arial" w:hAnsi="Arial" w:cs="Arial"/>
          <w:color w:val="000000"/>
          <w:sz w:val="22"/>
          <w:szCs w:val="22"/>
          <w:lang w:eastAsia="zh-CN"/>
        </w:rPr>
        <w:t xml:space="preserve"> </w:t>
      </w:r>
      <w:r w:rsidR="00265D37" w:rsidRPr="008C3FB9">
        <w:rPr>
          <w:rFonts w:ascii="Arial" w:hAnsi="Arial" w:cs="Arial"/>
          <w:sz w:val="22"/>
          <w:szCs w:val="22"/>
          <w:lang w:val="en-GB"/>
        </w:rPr>
        <w:t>Lyonesse</w:t>
      </w:r>
      <w:r w:rsidR="000A5517">
        <w:rPr>
          <w:rFonts w:ascii="Arial" w:hAnsi="Arial" w:cs="Arial"/>
          <w:sz w:val="22"/>
          <w:szCs w:val="22"/>
          <w:lang w:val="en-GB"/>
        </w:rPr>
        <w:t xml:space="preserve"> are </w:t>
      </w:r>
      <w:r w:rsidR="006A7780">
        <w:rPr>
          <w:rFonts w:ascii="Arial" w:hAnsi="Arial" w:cs="Arial"/>
          <w:sz w:val="22"/>
          <w:szCs w:val="22"/>
          <w:lang w:val="en-GB"/>
        </w:rPr>
        <w:t xml:space="preserve">the jurisdictions </w:t>
      </w:r>
      <w:r w:rsidR="000A5517">
        <w:rPr>
          <w:rFonts w:ascii="Arial" w:hAnsi="Arial" w:cs="Arial"/>
          <w:sz w:val="22"/>
          <w:szCs w:val="22"/>
          <w:lang w:val="en-GB"/>
        </w:rPr>
        <w:t>related</w:t>
      </w:r>
      <w:r>
        <w:rPr>
          <w:rFonts w:ascii="Arial" w:hAnsi="Arial" w:cs="Arial"/>
          <w:sz w:val="22"/>
          <w:szCs w:val="22"/>
          <w:lang w:val="en-GB"/>
        </w:rPr>
        <w:t xml:space="preserve"> to the debtor company</w:t>
      </w:r>
      <w:r w:rsidR="000A5517">
        <w:rPr>
          <w:rFonts w:ascii="Arial" w:hAnsi="Arial" w:cs="Arial"/>
          <w:sz w:val="22"/>
          <w:szCs w:val="22"/>
          <w:lang w:val="en-GB"/>
        </w:rPr>
        <w:t>.</w:t>
      </w:r>
      <w:r w:rsidR="008B4790">
        <w:rPr>
          <w:rFonts w:ascii="Arial" w:hAnsi="Arial" w:cs="Arial"/>
          <w:color w:val="000000"/>
          <w:sz w:val="22"/>
          <w:szCs w:val="22"/>
          <w:lang w:eastAsia="zh-CN"/>
        </w:rPr>
        <w:t xml:space="preserve"> </w:t>
      </w:r>
      <w:r>
        <w:rPr>
          <w:rFonts w:ascii="Arial" w:hAnsi="Arial" w:cs="Arial"/>
          <w:color w:val="000000"/>
          <w:sz w:val="22"/>
          <w:szCs w:val="22"/>
          <w:lang w:eastAsia="zh-CN"/>
        </w:rPr>
        <w:t>And</w:t>
      </w:r>
      <w:r w:rsidR="008B4790">
        <w:rPr>
          <w:rFonts w:ascii="Arial" w:hAnsi="Arial" w:cs="Arial"/>
          <w:color w:val="000000"/>
          <w:sz w:val="22"/>
          <w:szCs w:val="22"/>
          <w:lang w:eastAsia="zh-CN"/>
        </w:rPr>
        <w:t xml:space="preserve"> </w:t>
      </w:r>
      <w:r>
        <w:rPr>
          <w:rFonts w:ascii="Arial" w:hAnsi="Arial" w:cs="Arial"/>
          <w:color w:val="000000"/>
          <w:sz w:val="22"/>
          <w:szCs w:val="22"/>
          <w:lang w:eastAsia="zh-CN"/>
        </w:rPr>
        <w:t xml:space="preserve">as </w:t>
      </w:r>
      <w:r w:rsidR="00275422" w:rsidRPr="00FA18CF">
        <w:rPr>
          <w:rFonts w:ascii="Arial" w:hAnsi="Arial" w:cs="Arial"/>
          <w:bCs/>
          <w:sz w:val="22"/>
          <w:szCs w:val="22"/>
          <w:lang w:val="en-GB"/>
        </w:rPr>
        <w:t>Aussiebee</w:t>
      </w:r>
      <w:r w:rsidR="00275422">
        <w:rPr>
          <w:rFonts w:ascii="Arial" w:hAnsi="Arial" w:cs="Arial"/>
          <w:bCs/>
          <w:sz w:val="22"/>
          <w:szCs w:val="22"/>
          <w:lang w:val="en-GB"/>
        </w:rPr>
        <w:t xml:space="preserve"> was incorporated </w:t>
      </w:r>
      <w:r w:rsidR="004E0E12">
        <w:rPr>
          <w:rFonts w:ascii="Arial" w:hAnsi="Arial" w:cs="Arial"/>
          <w:bCs/>
          <w:sz w:val="22"/>
          <w:szCs w:val="22"/>
          <w:lang w:val="en-GB"/>
        </w:rPr>
        <w:t xml:space="preserve">in </w:t>
      </w:r>
      <w:r w:rsidR="004E0E12" w:rsidRPr="008C3FB9">
        <w:rPr>
          <w:rFonts w:ascii="Arial" w:hAnsi="Arial" w:cs="Arial"/>
          <w:sz w:val="22"/>
          <w:szCs w:val="22"/>
          <w:lang w:val="en-GB"/>
        </w:rPr>
        <w:t>Lyonesse</w:t>
      </w:r>
      <w:r w:rsidR="004E0E12">
        <w:rPr>
          <w:rFonts w:ascii="Arial" w:hAnsi="Arial" w:cs="Arial"/>
          <w:sz w:val="22"/>
          <w:szCs w:val="22"/>
          <w:lang w:val="en-GB"/>
        </w:rPr>
        <w:t>,</w:t>
      </w:r>
      <w:r w:rsidR="00265D37">
        <w:rPr>
          <w:rFonts w:ascii="Arial" w:hAnsi="Arial" w:cs="Arial"/>
          <w:sz w:val="22"/>
          <w:szCs w:val="22"/>
          <w:lang w:val="en-GB"/>
        </w:rPr>
        <w:t xml:space="preserve"> </w:t>
      </w:r>
      <w:r w:rsidR="00265D37">
        <w:rPr>
          <w:rFonts w:ascii="Arial" w:hAnsi="Arial" w:cs="Arial" w:hint="eastAsia"/>
          <w:color w:val="000000"/>
          <w:sz w:val="22"/>
          <w:szCs w:val="22"/>
          <w:lang w:eastAsia="zh-CN"/>
        </w:rPr>
        <w:t>it</w:t>
      </w:r>
      <w:r w:rsidR="006A7780">
        <w:rPr>
          <w:rFonts w:ascii="Arial" w:hAnsi="Arial" w:cs="Arial"/>
          <w:color w:val="000000"/>
          <w:sz w:val="22"/>
          <w:szCs w:val="22"/>
          <w:lang w:eastAsia="zh-CN"/>
        </w:rPr>
        <w:t xml:space="preserve"> should be</w:t>
      </w:r>
      <w:r w:rsidR="00265D37">
        <w:rPr>
          <w:rFonts w:ascii="Arial" w:hAnsi="Arial" w:cs="Arial" w:hint="eastAsia"/>
          <w:color w:val="000000"/>
          <w:sz w:val="22"/>
          <w:szCs w:val="22"/>
          <w:lang w:eastAsia="zh-CN"/>
        </w:rPr>
        <w:t xml:space="preserve"> presumed that the </w:t>
      </w:r>
      <w:r w:rsidR="00265D37">
        <w:rPr>
          <w:rFonts w:ascii="Arial" w:hAnsi="Arial" w:cs="Arial"/>
          <w:sz w:val="22"/>
          <w:szCs w:val="22"/>
        </w:rPr>
        <w:t>COMI</w:t>
      </w:r>
      <w:r w:rsidR="00265D37">
        <w:rPr>
          <w:rFonts w:ascii="Arial" w:eastAsia="宋体" w:hAnsi="Arial" w:cs="Arial" w:hint="eastAsia"/>
          <w:sz w:val="22"/>
          <w:szCs w:val="22"/>
          <w:lang w:eastAsia="zh-CN"/>
        </w:rPr>
        <w:t xml:space="preserve"> of</w:t>
      </w:r>
      <w:r w:rsidR="004E0E12">
        <w:rPr>
          <w:rFonts w:ascii="Arial" w:hAnsi="Arial" w:cs="Arial"/>
          <w:sz w:val="22"/>
          <w:szCs w:val="22"/>
          <w:lang w:val="en-GB"/>
        </w:rPr>
        <w:t xml:space="preserve"> </w:t>
      </w:r>
      <w:r w:rsidR="00265D37">
        <w:rPr>
          <w:rFonts w:ascii="Arial" w:hAnsi="Arial" w:cs="Arial"/>
          <w:sz w:val="22"/>
          <w:szCs w:val="22"/>
          <w:lang w:val="en-GB"/>
        </w:rPr>
        <w:t xml:space="preserve">Aussiebee is in </w:t>
      </w:r>
      <w:r w:rsidR="00265D37" w:rsidRPr="008C3FB9">
        <w:rPr>
          <w:rFonts w:ascii="Arial" w:hAnsi="Arial" w:cs="Arial"/>
          <w:sz w:val="22"/>
          <w:szCs w:val="22"/>
          <w:lang w:val="en-GB"/>
        </w:rPr>
        <w:t>Lyonesse</w:t>
      </w:r>
      <w:r w:rsidR="00265D37">
        <w:rPr>
          <w:rFonts w:ascii="Arial" w:hAnsi="Arial" w:cs="Arial"/>
          <w:sz w:val="22"/>
          <w:szCs w:val="22"/>
          <w:lang w:val="en-GB"/>
        </w:rPr>
        <w:t xml:space="preserve">. Even though the company </w:t>
      </w:r>
      <w:r w:rsidR="004E0E12">
        <w:rPr>
          <w:rFonts w:ascii="Arial" w:hAnsi="Arial" w:cs="Arial"/>
          <w:sz w:val="22"/>
          <w:szCs w:val="22"/>
          <w:lang w:val="en-GB"/>
        </w:rPr>
        <w:t xml:space="preserve">has offices and warehouses both in Australia and </w:t>
      </w:r>
      <w:r w:rsidR="004E0E12" w:rsidRPr="008C3FB9">
        <w:rPr>
          <w:rFonts w:ascii="Arial" w:hAnsi="Arial" w:cs="Arial"/>
          <w:sz w:val="22"/>
          <w:szCs w:val="22"/>
          <w:lang w:val="en-GB"/>
        </w:rPr>
        <w:t>Lyonesse</w:t>
      </w:r>
      <w:r w:rsidR="00EA514E">
        <w:rPr>
          <w:rFonts w:ascii="Arial" w:hAnsi="Arial" w:cs="Arial"/>
          <w:sz w:val="22"/>
          <w:szCs w:val="22"/>
          <w:lang w:val="en-GB"/>
        </w:rPr>
        <w:t xml:space="preserve">, sell products from both </w:t>
      </w:r>
      <w:r w:rsidR="00877DC0">
        <w:rPr>
          <w:rFonts w:ascii="Arial" w:hAnsi="Arial" w:cs="Arial"/>
          <w:sz w:val="22"/>
          <w:szCs w:val="22"/>
          <w:lang w:val="en-GB"/>
        </w:rPr>
        <w:t>jurisdiction</w:t>
      </w:r>
      <w:r w:rsidR="00EA514E">
        <w:rPr>
          <w:rFonts w:ascii="Arial" w:hAnsi="Arial" w:cs="Arial"/>
          <w:sz w:val="22"/>
          <w:szCs w:val="22"/>
          <w:lang w:val="en-GB"/>
        </w:rPr>
        <w:t>s</w:t>
      </w:r>
      <w:r w:rsidR="00877DC0">
        <w:rPr>
          <w:rFonts w:ascii="Arial" w:hAnsi="Arial" w:cs="Arial"/>
          <w:sz w:val="22"/>
          <w:szCs w:val="22"/>
          <w:lang w:val="en-GB"/>
        </w:rPr>
        <w:t>,</w:t>
      </w:r>
      <w:r w:rsidR="00EA514E">
        <w:rPr>
          <w:rFonts w:ascii="Arial" w:hAnsi="Arial" w:cs="Arial"/>
          <w:sz w:val="22"/>
          <w:szCs w:val="22"/>
          <w:lang w:val="en-GB"/>
        </w:rPr>
        <w:t xml:space="preserve"> and has employers</w:t>
      </w:r>
      <w:r w:rsidR="00877DC0">
        <w:rPr>
          <w:rFonts w:ascii="Arial" w:hAnsi="Arial" w:cs="Arial"/>
          <w:sz w:val="22"/>
          <w:szCs w:val="22"/>
          <w:lang w:val="en-GB"/>
        </w:rPr>
        <w:t xml:space="preserve"> and directors</w:t>
      </w:r>
      <w:r w:rsidR="000A5517">
        <w:rPr>
          <w:rFonts w:ascii="Arial" w:hAnsi="Arial" w:cs="Arial"/>
          <w:sz w:val="22"/>
          <w:szCs w:val="22"/>
          <w:lang w:val="en-GB"/>
        </w:rPr>
        <w:t xml:space="preserve"> working and</w:t>
      </w:r>
      <w:r w:rsidR="00877DC0">
        <w:rPr>
          <w:rFonts w:ascii="Arial" w:hAnsi="Arial" w:cs="Arial"/>
          <w:sz w:val="22"/>
          <w:szCs w:val="22"/>
          <w:lang w:val="en-GB"/>
        </w:rPr>
        <w:t xml:space="preserve"> </w:t>
      </w:r>
      <w:r w:rsidR="00877DC0" w:rsidRPr="00877DC0">
        <w:rPr>
          <w:rFonts w:ascii="Arial" w:hAnsi="Arial" w:cs="Arial"/>
          <w:sz w:val="22"/>
          <w:szCs w:val="22"/>
          <w:lang w:val="en-GB"/>
        </w:rPr>
        <w:t>inhabit</w:t>
      </w:r>
      <w:r w:rsidR="00877DC0">
        <w:rPr>
          <w:rFonts w:ascii="Arial" w:hAnsi="Arial" w:cs="Arial"/>
          <w:sz w:val="22"/>
          <w:szCs w:val="22"/>
          <w:lang w:val="en-GB"/>
        </w:rPr>
        <w:t>ing</w:t>
      </w:r>
      <w:r w:rsidR="00EA514E">
        <w:rPr>
          <w:rFonts w:ascii="Arial" w:hAnsi="Arial" w:cs="Arial"/>
          <w:sz w:val="22"/>
          <w:szCs w:val="22"/>
          <w:lang w:val="en-GB"/>
        </w:rPr>
        <w:t xml:space="preserve"> in both </w:t>
      </w:r>
      <w:r w:rsidR="00877DC0">
        <w:rPr>
          <w:rFonts w:ascii="Arial" w:hAnsi="Arial" w:cs="Arial"/>
          <w:sz w:val="22"/>
          <w:szCs w:val="22"/>
          <w:lang w:val="en-GB"/>
        </w:rPr>
        <w:t>Jurisdictions</w:t>
      </w:r>
      <w:r w:rsidR="004E0E12">
        <w:rPr>
          <w:rFonts w:ascii="Arial" w:hAnsi="Arial" w:cs="Arial"/>
          <w:sz w:val="22"/>
          <w:szCs w:val="22"/>
          <w:lang w:val="en-GB"/>
        </w:rPr>
        <w:t>.</w:t>
      </w:r>
      <w:r w:rsidR="00877DC0">
        <w:rPr>
          <w:rFonts w:ascii="Arial" w:hAnsi="Arial" w:cs="Arial"/>
          <w:sz w:val="22"/>
          <w:szCs w:val="22"/>
          <w:lang w:val="en-GB"/>
        </w:rPr>
        <w:t xml:space="preserve"> </w:t>
      </w:r>
      <w:r w:rsidR="006A7780">
        <w:rPr>
          <w:rFonts w:ascii="Arial" w:hAnsi="Arial" w:cs="Arial"/>
          <w:sz w:val="22"/>
          <w:szCs w:val="22"/>
          <w:lang w:val="en-GB"/>
        </w:rPr>
        <w:t>However, all the</w:t>
      </w:r>
      <w:r w:rsidR="00877DC0">
        <w:rPr>
          <w:rFonts w:ascii="Arial" w:hAnsi="Arial" w:cs="Arial"/>
          <w:sz w:val="22"/>
          <w:szCs w:val="22"/>
          <w:lang w:val="en-GB"/>
        </w:rPr>
        <w:t xml:space="preserve"> fac</w:t>
      </w:r>
      <w:r w:rsidR="006A7780">
        <w:rPr>
          <w:rFonts w:ascii="Arial" w:hAnsi="Arial" w:cs="Arial"/>
          <w:sz w:val="22"/>
          <w:szCs w:val="22"/>
          <w:lang w:val="en-GB"/>
        </w:rPr>
        <w:t>ts given</w:t>
      </w:r>
      <w:r w:rsidR="00877DC0">
        <w:rPr>
          <w:rFonts w:ascii="Arial" w:hAnsi="Arial" w:cs="Arial"/>
          <w:sz w:val="22"/>
          <w:szCs w:val="22"/>
          <w:lang w:val="en-GB"/>
        </w:rPr>
        <w:t xml:space="preserve"> as a whole</w:t>
      </w:r>
      <w:r w:rsidR="006A7780">
        <w:rPr>
          <w:rFonts w:ascii="Arial" w:hAnsi="Arial" w:cs="Arial"/>
          <w:sz w:val="22"/>
          <w:szCs w:val="22"/>
          <w:lang w:val="en-GB"/>
        </w:rPr>
        <w:t>,</w:t>
      </w:r>
      <w:r w:rsidR="00877DC0">
        <w:rPr>
          <w:rFonts w:ascii="Arial" w:hAnsi="Arial" w:cs="Arial"/>
          <w:sz w:val="22"/>
          <w:szCs w:val="22"/>
          <w:lang w:val="en-GB"/>
        </w:rPr>
        <w:t xml:space="preserve"> cannot </w:t>
      </w:r>
      <w:r w:rsidR="008B4790">
        <w:rPr>
          <w:rFonts w:ascii="Arial" w:hAnsi="Arial" w:cs="Arial"/>
          <w:sz w:val="22"/>
          <w:szCs w:val="22"/>
          <w:lang w:val="en-GB"/>
        </w:rPr>
        <w:t>prove objectively</w:t>
      </w:r>
      <w:r w:rsidR="000A5517">
        <w:rPr>
          <w:rFonts w:ascii="Arial" w:hAnsi="Arial" w:cs="Arial"/>
          <w:sz w:val="22"/>
          <w:szCs w:val="22"/>
          <w:lang w:val="en-GB"/>
        </w:rPr>
        <w:t xml:space="preserve"> that</w:t>
      </w:r>
      <w:r w:rsidR="008B4790">
        <w:rPr>
          <w:rFonts w:ascii="Arial" w:hAnsi="Arial" w:cs="Arial"/>
          <w:sz w:val="22"/>
          <w:szCs w:val="22"/>
          <w:lang w:val="en-GB"/>
        </w:rPr>
        <w:t xml:space="preserve"> Australia </w:t>
      </w:r>
      <w:r w:rsidR="000A5517">
        <w:rPr>
          <w:rFonts w:ascii="Arial" w:hAnsi="Arial" w:cs="Arial" w:hint="eastAsia"/>
          <w:color w:val="000000"/>
          <w:sz w:val="22"/>
          <w:szCs w:val="22"/>
          <w:lang w:eastAsia="zh-CN"/>
        </w:rPr>
        <w:t>is the central administration</w:t>
      </w:r>
      <w:r w:rsidR="000A5517">
        <w:rPr>
          <w:rFonts w:ascii="Arial" w:hAnsi="Arial" w:cs="Arial"/>
          <w:color w:val="000000"/>
          <w:sz w:val="22"/>
          <w:szCs w:val="22"/>
          <w:lang w:eastAsia="zh-CN"/>
        </w:rPr>
        <w:t xml:space="preserve"> or</w:t>
      </w:r>
      <w:r w:rsidR="006A7780" w:rsidRPr="006A7780">
        <w:rPr>
          <w:rFonts w:ascii="Arial" w:hAnsi="Arial" w:cs="Arial" w:hint="eastAsia"/>
          <w:color w:val="000000"/>
          <w:sz w:val="22"/>
          <w:szCs w:val="22"/>
          <w:lang w:eastAsia="zh-CN"/>
        </w:rPr>
        <w:t xml:space="preserve"> </w:t>
      </w:r>
      <w:r w:rsidR="006A7780">
        <w:rPr>
          <w:rFonts w:ascii="Arial" w:hAnsi="Arial" w:cs="Arial" w:hint="eastAsia"/>
          <w:color w:val="000000"/>
          <w:sz w:val="22"/>
          <w:szCs w:val="22"/>
          <w:lang w:eastAsia="zh-CN"/>
        </w:rPr>
        <w:t>central</w:t>
      </w:r>
      <w:r w:rsidR="000A5517">
        <w:rPr>
          <w:rFonts w:ascii="Arial" w:hAnsi="Arial" w:cs="Arial"/>
          <w:color w:val="000000"/>
          <w:sz w:val="22"/>
          <w:szCs w:val="22"/>
          <w:lang w:eastAsia="zh-CN"/>
        </w:rPr>
        <w:t xml:space="preserve"> business</w:t>
      </w:r>
      <w:r w:rsidR="000A5517">
        <w:rPr>
          <w:rFonts w:ascii="Arial" w:hAnsi="Arial" w:cs="Arial" w:hint="eastAsia"/>
          <w:color w:val="000000"/>
          <w:sz w:val="22"/>
          <w:szCs w:val="22"/>
          <w:lang w:eastAsia="zh-CN"/>
        </w:rPr>
        <w:t xml:space="preserve"> place</w:t>
      </w:r>
      <w:r w:rsidR="000A5517">
        <w:rPr>
          <w:rFonts w:ascii="Arial" w:hAnsi="Arial" w:cs="Arial"/>
          <w:color w:val="000000"/>
          <w:sz w:val="22"/>
          <w:szCs w:val="22"/>
          <w:lang w:eastAsia="zh-CN"/>
        </w:rPr>
        <w:t xml:space="preserve"> of </w:t>
      </w:r>
      <w:r w:rsidR="000A5517" w:rsidRPr="00FA18CF">
        <w:rPr>
          <w:rFonts w:ascii="Arial" w:hAnsi="Arial" w:cs="Arial"/>
          <w:bCs/>
          <w:sz w:val="22"/>
          <w:szCs w:val="22"/>
          <w:lang w:val="en-GB"/>
        </w:rPr>
        <w:t>Aussiebee</w:t>
      </w:r>
      <w:r w:rsidR="000A5517">
        <w:rPr>
          <w:rFonts w:ascii="Arial" w:hAnsi="Arial" w:cs="Arial" w:hint="eastAsia"/>
          <w:color w:val="000000"/>
          <w:sz w:val="22"/>
          <w:szCs w:val="22"/>
          <w:lang w:eastAsia="zh-CN"/>
        </w:rPr>
        <w:t xml:space="preserve"> which is ascertainable by third parties</w:t>
      </w:r>
      <w:r w:rsidR="000A5517">
        <w:rPr>
          <w:rFonts w:ascii="Arial" w:hAnsi="Arial" w:cs="Arial"/>
          <w:color w:val="000000"/>
          <w:sz w:val="22"/>
          <w:szCs w:val="22"/>
          <w:lang w:eastAsia="zh-CN"/>
        </w:rPr>
        <w:t>.</w:t>
      </w:r>
      <w:r w:rsidR="006A7780">
        <w:rPr>
          <w:rFonts w:ascii="Arial" w:hAnsi="Arial" w:cs="Arial"/>
          <w:color w:val="000000"/>
          <w:sz w:val="22"/>
          <w:szCs w:val="22"/>
          <w:lang w:eastAsia="zh-CN"/>
        </w:rPr>
        <w:t xml:space="preserve"> Therefore, t</w:t>
      </w:r>
      <w:r w:rsidR="008D707D">
        <w:rPr>
          <w:rFonts w:ascii="Arial" w:hAnsi="Arial" w:cs="Arial"/>
          <w:color w:val="000000"/>
          <w:sz w:val="22"/>
          <w:szCs w:val="22"/>
          <w:lang w:eastAsia="zh-CN"/>
        </w:rPr>
        <w:t xml:space="preserve">he two jurisdictions are at least of equal </w:t>
      </w:r>
      <w:r w:rsidR="006A7780">
        <w:rPr>
          <w:rFonts w:ascii="Arial" w:hAnsi="Arial" w:cs="Arial"/>
          <w:color w:val="000000"/>
          <w:sz w:val="22"/>
          <w:szCs w:val="22"/>
          <w:lang w:eastAsia="zh-CN"/>
        </w:rPr>
        <w:t>importance</w:t>
      </w:r>
      <w:r w:rsidR="007C3E84">
        <w:rPr>
          <w:rFonts w:ascii="Arial" w:hAnsi="Arial" w:cs="Arial"/>
          <w:color w:val="000000"/>
          <w:sz w:val="22"/>
          <w:szCs w:val="22"/>
          <w:lang w:eastAsia="zh-CN"/>
        </w:rPr>
        <w:t xml:space="preserve"> to the debtor company</w:t>
      </w:r>
      <w:r w:rsidR="006A7780">
        <w:rPr>
          <w:rFonts w:ascii="Arial" w:hAnsi="Arial" w:cs="Arial"/>
          <w:color w:val="000000"/>
          <w:sz w:val="22"/>
          <w:szCs w:val="22"/>
          <w:lang w:eastAsia="zh-CN"/>
        </w:rPr>
        <w:t xml:space="preserve"> </w:t>
      </w:r>
      <w:r w:rsidR="007C3E84">
        <w:rPr>
          <w:rFonts w:ascii="Arial" w:hAnsi="Arial" w:cs="Arial"/>
          <w:color w:val="000000"/>
          <w:sz w:val="22"/>
          <w:szCs w:val="22"/>
          <w:lang w:eastAsia="zh-CN"/>
        </w:rPr>
        <w:t>and t</w:t>
      </w:r>
      <w:r w:rsidR="00265D37">
        <w:rPr>
          <w:rFonts w:ascii="Arial" w:hAnsi="Arial" w:cs="Arial"/>
          <w:color w:val="000000"/>
          <w:sz w:val="22"/>
          <w:szCs w:val="22"/>
          <w:lang w:eastAsia="zh-CN"/>
        </w:rPr>
        <w:t xml:space="preserve">he strict </w:t>
      </w:r>
      <w:r w:rsidR="00265D37" w:rsidRPr="00265D37">
        <w:rPr>
          <w:rFonts w:ascii="Arial" w:hAnsi="Arial" w:cs="Arial"/>
          <w:color w:val="000000"/>
          <w:sz w:val="22"/>
          <w:szCs w:val="22"/>
          <w:lang w:eastAsia="zh-CN"/>
        </w:rPr>
        <w:t>threshold</w:t>
      </w:r>
      <w:r w:rsidR="00265D37">
        <w:rPr>
          <w:rFonts w:ascii="Arial" w:hAnsi="Arial" w:cs="Arial"/>
          <w:color w:val="000000"/>
          <w:sz w:val="22"/>
          <w:szCs w:val="22"/>
          <w:lang w:eastAsia="zh-CN"/>
        </w:rPr>
        <w:t xml:space="preserve"> set by the </w:t>
      </w:r>
      <w:r w:rsidR="00265D37" w:rsidRPr="00E3700E">
        <w:rPr>
          <w:rFonts w:ascii="Arial" w:hAnsi="Arial" w:cs="Arial"/>
          <w:i/>
          <w:iCs/>
          <w:color w:val="000000"/>
          <w:sz w:val="22"/>
          <w:szCs w:val="22"/>
          <w:lang w:eastAsia="zh-CN"/>
        </w:rPr>
        <w:t>Eurofoods</w:t>
      </w:r>
      <w:r w:rsidR="00265D37" w:rsidRPr="00BD1FB3">
        <w:rPr>
          <w:rFonts w:ascii="Arial" w:hAnsi="Arial" w:cs="Arial"/>
          <w:color w:val="000000"/>
          <w:sz w:val="22"/>
          <w:szCs w:val="22"/>
          <w:lang w:eastAsia="zh-CN"/>
        </w:rPr>
        <w:t xml:space="preserve"> </w:t>
      </w:r>
      <w:r w:rsidR="00265D37">
        <w:rPr>
          <w:rFonts w:ascii="Arial" w:hAnsi="Arial" w:cs="Arial"/>
          <w:color w:val="000000"/>
          <w:sz w:val="22"/>
          <w:szCs w:val="22"/>
          <w:lang w:eastAsia="zh-CN"/>
        </w:rPr>
        <w:t xml:space="preserve">to rebut the presumption </w:t>
      </w:r>
      <w:r w:rsidR="007C3E84">
        <w:rPr>
          <w:rFonts w:ascii="Arial" w:hAnsi="Arial" w:cs="Arial"/>
          <w:color w:val="000000"/>
          <w:sz w:val="22"/>
          <w:szCs w:val="22"/>
          <w:lang w:eastAsia="zh-CN"/>
        </w:rPr>
        <w:t>can</w:t>
      </w:r>
      <w:r w:rsidR="00265D37">
        <w:rPr>
          <w:rFonts w:ascii="Arial" w:hAnsi="Arial" w:cs="Arial"/>
          <w:color w:val="000000"/>
          <w:sz w:val="22"/>
          <w:szCs w:val="22"/>
          <w:lang w:eastAsia="zh-CN"/>
        </w:rPr>
        <w:t>not</w:t>
      </w:r>
      <w:r w:rsidR="007C3E84">
        <w:rPr>
          <w:rFonts w:ascii="Arial" w:hAnsi="Arial" w:cs="Arial"/>
          <w:color w:val="000000"/>
          <w:sz w:val="22"/>
          <w:szCs w:val="22"/>
          <w:lang w:eastAsia="zh-CN"/>
        </w:rPr>
        <w:t xml:space="preserve"> be</w:t>
      </w:r>
      <w:r w:rsidR="00265D37">
        <w:rPr>
          <w:rFonts w:ascii="Arial" w:hAnsi="Arial" w:cs="Arial"/>
          <w:color w:val="000000"/>
          <w:sz w:val="22"/>
          <w:szCs w:val="22"/>
          <w:lang w:eastAsia="zh-CN"/>
        </w:rPr>
        <w:t xml:space="preserve"> satisfied</w:t>
      </w:r>
      <w:r w:rsidR="006A7780">
        <w:rPr>
          <w:rFonts w:ascii="Arial" w:hAnsi="Arial" w:cs="Arial"/>
          <w:color w:val="000000"/>
          <w:sz w:val="22"/>
          <w:szCs w:val="22"/>
          <w:lang w:eastAsia="zh-CN"/>
        </w:rPr>
        <w:t xml:space="preserve"> in this case</w:t>
      </w:r>
      <w:r w:rsidR="00265D37">
        <w:rPr>
          <w:rFonts w:ascii="Arial" w:hAnsi="Arial" w:cs="Arial"/>
          <w:color w:val="000000"/>
          <w:sz w:val="22"/>
          <w:szCs w:val="22"/>
          <w:lang w:eastAsia="zh-CN"/>
        </w:rPr>
        <w:t xml:space="preserve">. </w:t>
      </w:r>
      <w:r w:rsidR="007C3E84">
        <w:rPr>
          <w:rFonts w:ascii="Arial" w:hAnsi="Arial" w:cs="Arial"/>
          <w:color w:val="000000"/>
          <w:sz w:val="22"/>
          <w:szCs w:val="22"/>
          <w:lang w:eastAsia="zh-CN"/>
        </w:rPr>
        <w:t>Hence</w:t>
      </w:r>
      <w:r w:rsidR="00AA5D8D">
        <w:rPr>
          <w:rFonts w:ascii="Arial" w:hAnsi="Arial" w:cs="Arial"/>
          <w:color w:val="000000"/>
          <w:sz w:val="22"/>
          <w:szCs w:val="22"/>
          <w:lang w:eastAsia="zh-CN"/>
        </w:rPr>
        <w:t xml:space="preserve"> </w:t>
      </w:r>
      <w:r w:rsidR="00265D37">
        <w:rPr>
          <w:rFonts w:ascii="Arial" w:hAnsi="Arial" w:cs="Arial"/>
          <w:sz w:val="22"/>
          <w:szCs w:val="22"/>
          <w:lang w:val="en-GB"/>
        </w:rPr>
        <w:t xml:space="preserve">Aussiebee’s COMI is in </w:t>
      </w:r>
      <w:r w:rsidR="00265D37" w:rsidRPr="008C3FB9">
        <w:rPr>
          <w:rFonts w:ascii="Arial" w:hAnsi="Arial" w:cs="Arial"/>
          <w:sz w:val="22"/>
          <w:szCs w:val="22"/>
          <w:lang w:val="en-GB"/>
        </w:rPr>
        <w:t>Lyonesse</w:t>
      </w:r>
      <w:r w:rsidR="00265D37">
        <w:rPr>
          <w:rFonts w:ascii="Arial" w:hAnsi="Arial" w:cs="Arial"/>
          <w:sz w:val="22"/>
          <w:szCs w:val="22"/>
          <w:lang w:val="en-GB"/>
        </w:rPr>
        <w:t>,</w:t>
      </w:r>
      <w:r w:rsidR="007C3E84">
        <w:rPr>
          <w:rFonts w:ascii="Arial" w:hAnsi="Arial" w:cs="Arial"/>
          <w:sz w:val="22"/>
          <w:szCs w:val="22"/>
          <w:lang w:val="en-GB"/>
        </w:rPr>
        <w:t xml:space="preserve"> and</w:t>
      </w:r>
      <w:r w:rsidR="00AA5D8D">
        <w:rPr>
          <w:rFonts w:ascii="Arial" w:hAnsi="Arial" w:cs="Arial"/>
          <w:sz w:val="22"/>
          <w:szCs w:val="22"/>
          <w:lang w:val="en-GB"/>
        </w:rPr>
        <w:t xml:space="preserve"> </w:t>
      </w:r>
      <w:r w:rsidR="007C3E84">
        <w:rPr>
          <w:rFonts w:ascii="Arial" w:hAnsi="Arial" w:cs="Arial"/>
          <w:sz w:val="22"/>
          <w:szCs w:val="22"/>
          <w:lang w:val="en-GB"/>
        </w:rPr>
        <w:t xml:space="preserve">according to Article 17 of the </w:t>
      </w:r>
      <w:r w:rsidR="007C3E84" w:rsidRPr="00706BDD">
        <w:rPr>
          <w:rFonts w:ascii="Arial" w:hAnsi="Arial" w:cs="Arial"/>
          <w:sz w:val="22"/>
          <w:szCs w:val="22"/>
          <w:lang w:val="en-GB"/>
        </w:rPr>
        <w:t>Cross-Border Insolvency Act 2008</w:t>
      </w:r>
      <w:r w:rsidR="007C3E84">
        <w:rPr>
          <w:rFonts w:ascii="Arial" w:hAnsi="Arial" w:cs="Arial"/>
          <w:sz w:val="22"/>
          <w:szCs w:val="22"/>
          <w:lang w:val="en-GB"/>
        </w:rPr>
        <w:t xml:space="preserve">, </w:t>
      </w:r>
      <w:r w:rsidR="00AA5D8D">
        <w:rPr>
          <w:rFonts w:ascii="Arial" w:hAnsi="Arial" w:cs="Arial"/>
          <w:sz w:val="22"/>
          <w:szCs w:val="22"/>
          <w:lang w:val="en-GB"/>
        </w:rPr>
        <w:t>the</w:t>
      </w:r>
      <w:r w:rsidR="007C3E84">
        <w:rPr>
          <w:rFonts w:ascii="Arial" w:hAnsi="Arial" w:cs="Arial"/>
          <w:sz w:val="22"/>
          <w:szCs w:val="22"/>
          <w:lang w:val="en-GB"/>
        </w:rPr>
        <w:t xml:space="preserve"> liquidation</w:t>
      </w:r>
      <w:r w:rsidR="00AA5D8D">
        <w:rPr>
          <w:rFonts w:ascii="Arial" w:hAnsi="Arial" w:cs="Arial"/>
          <w:sz w:val="22"/>
          <w:szCs w:val="22"/>
          <w:lang w:val="en-GB"/>
        </w:rPr>
        <w:t xml:space="preserve"> </w:t>
      </w:r>
      <w:r w:rsidR="007C3E84">
        <w:rPr>
          <w:rFonts w:ascii="Arial" w:hAnsi="Arial" w:cs="Arial"/>
          <w:sz w:val="22"/>
          <w:szCs w:val="22"/>
          <w:lang w:val="en-GB"/>
        </w:rPr>
        <w:t xml:space="preserve">proceeding in </w:t>
      </w:r>
      <w:r w:rsidR="00AA5D8D">
        <w:rPr>
          <w:rFonts w:ascii="Arial" w:hAnsi="Arial" w:cs="Arial"/>
          <w:sz w:val="22"/>
          <w:szCs w:val="22"/>
          <w:lang w:val="en-GB"/>
        </w:rPr>
        <w:t xml:space="preserve">Lyonessian can be recognized </w:t>
      </w:r>
      <w:r w:rsidR="00411841">
        <w:rPr>
          <w:rFonts w:ascii="Arial" w:hAnsi="Arial" w:cs="Arial"/>
          <w:sz w:val="22"/>
          <w:szCs w:val="22"/>
          <w:lang w:val="en-GB"/>
        </w:rPr>
        <w:t xml:space="preserve">as </w:t>
      </w:r>
      <w:r w:rsidR="007C3E84">
        <w:rPr>
          <w:rFonts w:ascii="Arial" w:hAnsi="Arial" w:cs="Arial"/>
          <w:sz w:val="22"/>
          <w:szCs w:val="22"/>
          <w:lang w:val="en-GB"/>
        </w:rPr>
        <w:t xml:space="preserve">a </w:t>
      </w:r>
      <w:r w:rsidR="00411841">
        <w:rPr>
          <w:rFonts w:ascii="Arial" w:hAnsi="Arial" w:cs="Arial"/>
          <w:sz w:val="22"/>
          <w:szCs w:val="22"/>
          <w:lang w:val="en-GB"/>
        </w:rPr>
        <w:t>foreign main proceeding</w:t>
      </w:r>
      <w:r w:rsidR="00AA5D8D">
        <w:rPr>
          <w:rFonts w:ascii="Arial" w:hAnsi="Arial" w:cs="Arial"/>
          <w:sz w:val="22"/>
          <w:szCs w:val="22"/>
          <w:lang w:val="en-GB"/>
        </w:rPr>
        <w:t xml:space="preserve"> </w:t>
      </w:r>
    </w:p>
    <w:p w14:paraId="44E0A372" w14:textId="56A72204" w:rsidR="00737886" w:rsidRDefault="00411841" w:rsidP="00737886">
      <w:pPr>
        <w:autoSpaceDE w:val="0"/>
        <w:autoSpaceDN w:val="0"/>
        <w:adjustRightInd w:val="0"/>
        <w:jc w:val="both"/>
        <w:rPr>
          <w:rFonts w:ascii="Arial" w:hAnsi="Arial" w:cs="Arial"/>
          <w:sz w:val="22"/>
          <w:szCs w:val="22"/>
          <w:lang w:val="en-GB"/>
        </w:rPr>
      </w:pPr>
      <w:r>
        <w:rPr>
          <w:rFonts w:ascii="Arial" w:hAnsi="Arial" w:cs="Arial"/>
          <w:sz w:val="22"/>
          <w:szCs w:val="22"/>
          <w:lang w:val="en-GB"/>
        </w:rPr>
        <w:t>T</w:t>
      </w:r>
      <w:r w:rsidRPr="00034C1F">
        <w:rPr>
          <w:rFonts w:ascii="Arial" w:hAnsi="Arial" w:cs="Arial"/>
          <w:sz w:val="22"/>
          <w:szCs w:val="22"/>
          <w:lang w:val="en-GB"/>
        </w:rPr>
        <w:t xml:space="preserve">he </w:t>
      </w:r>
      <w:r>
        <w:rPr>
          <w:rFonts w:ascii="Arial" w:hAnsi="Arial" w:cs="Arial"/>
          <w:sz w:val="22"/>
          <w:szCs w:val="22"/>
          <w:lang w:val="en-GB"/>
        </w:rPr>
        <w:t>second issue here is whether the Lyonessian liquidat</w:t>
      </w:r>
      <w:r w:rsidR="00987F7A">
        <w:rPr>
          <w:rFonts w:ascii="Arial" w:hAnsi="Arial" w:cs="Arial"/>
          <w:sz w:val="22"/>
          <w:szCs w:val="22"/>
          <w:lang w:val="en-GB"/>
        </w:rPr>
        <w:t>or</w:t>
      </w:r>
      <w:r>
        <w:rPr>
          <w:rFonts w:ascii="Arial" w:hAnsi="Arial" w:cs="Arial"/>
          <w:sz w:val="22"/>
          <w:szCs w:val="22"/>
          <w:lang w:val="en-GB"/>
        </w:rPr>
        <w:t>, as a foreign</w:t>
      </w:r>
      <w:r w:rsidR="00987F7A">
        <w:rPr>
          <w:rFonts w:ascii="Arial" w:hAnsi="Arial" w:cs="Arial"/>
          <w:sz w:val="22"/>
          <w:szCs w:val="22"/>
          <w:lang w:val="en-GB"/>
        </w:rPr>
        <w:t xml:space="preserve"> representative of a foreign</w:t>
      </w:r>
      <w:r>
        <w:rPr>
          <w:rFonts w:ascii="Arial" w:hAnsi="Arial" w:cs="Arial"/>
          <w:sz w:val="22"/>
          <w:szCs w:val="22"/>
          <w:lang w:val="en-GB"/>
        </w:rPr>
        <w:t xml:space="preserve"> main-proceeding,</w:t>
      </w:r>
      <w:r w:rsidR="00BB3356">
        <w:rPr>
          <w:rFonts w:ascii="Arial" w:hAnsi="Arial" w:cs="Arial"/>
          <w:sz w:val="22"/>
          <w:szCs w:val="22"/>
          <w:lang w:val="en-GB"/>
        </w:rPr>
        <w:t xml:space="preserve"> can be granted</w:t>
      </w:r>
      <w:r>
        <w:rPr>
          <w:rFonts w:ascii="Arial" w:hAnsi="Arial" w:cs="Arial"/>
          <w:sz w:val="22"/>
          <w:szCs w:val="22"/>
          <w:lang w:val="en-GB"/>
        </w:rPr>
        <w:t xml:space="preserve"> </w:t>
      </w:r>
      <w:r w:rsidR="008D707D">
        <w:rPr>
          <w:rFonts w:ascii="Arial" w:hAnsi="Arial" w:cs="Arial"/>
          <w:sz w:val="22"/>
          <w:szCs w:val="22"/>
          <w:lang w:val="en-GB"/>
        </w:rPr>
        <w:t>orders entrusting Aussiebee’s assets</w:t>
      </w:r>
      <w:r w:rsidR="00987F7A">
        <w:rPr>
          <w:rFonts w:ascii="Arial" w:hAnsi="Arial" w:cs="Arial"/>
          <w:sz w:val="22"/>
          <w:szCs w:val="22"/>
          <w:lang w:val="en-GB"/>
        </w:rPr>
        <w:t xml:space="preserve"> which</w:t>
      </w:r>
      <w:r w:rsidR="008D707D">
        <w:rPr>
          <w:rFonts w:ascii="Arial" w:hAnsi="Arial" w:cs="Arial"/>
          <w:sz w:val="22"/>
          <w:szCs w:val="22"/>
          <w:lang w:val="en-GB"/>
        </w:rPr>
        <w:t xml:space="preserve"> worth</w:t>
      </w:r>
      <w:r w:rsidR="00987F7A">
        <w:rPr>
          <w:rFonts w:ascii="Arial" w:hAnsi="Arial" w:cs="Arial"/>
          <w:sz w:val="22"/>
          <w:szCs w:val="22"/>
          <w:lang w:val="en-GB"/>
        </w:rPr>
        <w:t xml:space="preserve"> </w:t>
      </w:r>
      <w:r w:rsidR="008D707D">
        <w:rPr>
          <w:rFonts w:ascii="Arial" w:hAnsi="Arial" w:cs="Arial"/>
          <w:sz w:val="22"/>
          <w:szCs w:val="22"/>
          <w:lang w:val="en-GB"/>
        </w:rPr>
        <w:lastRenderedPageBreak/>
        <w:t xml:space="preserve">AUD 20 million. According </w:t>
      </w:r>
      <w:r w:rsidR="00B32CAC">
        <w:rPr>
          <w:rFonts w:ascii="Arial" w:hAnsi="Arial" w:cs="Arial"/>
          <w:sz w:val="22"/>
          <w:szCs w:val="22"/>
          <w:lang w:val="en-GB"/>
        </w:rPr>
        <w:t xml:space="preserve">to Article 21 of the </w:t>
      </w:r>
      <w:r w:rsidR="00B32CAC" w:rsidRPr="00706BDD">
        <w:rPr>
          <w:rFonts w:ascii="Arial" w:hAnsi="Arial" w:cs="Arial"/>
          <w:sz w:val="22"/>
          <w:szCs w:val="22"/>
          <w:lang w:val="en-GB"/>
        </w:rPr>
        <w:t>Cross-Border Insolvency Act 2008</w:t>
      </w:r>
      <w:r w:rsidR="00B32CAC">
        <w:rPr>
          <w:rFonts w:ascii="Arial" w:hAnsi="Arial" w:cs="Arial"/>
          <w:sz w:val="22"/>
          <w:szCs w:val="22"/>
          <w:lang w:val="en-GB"/>
        </w:rPr>
        <w:t>,</w:t>
      </w:r>
      <w:r w:rsidR="00EF762A" w:rsidRPr="00EF762A">
        <w:rPr>
          <w:rFonts w:ascii="Arial" w:hAnsi="Arial" w:cs="Arial"/>
          <w:sz w:val="22"/>
          <w:szCs w:val="22"/>
          <w:lang w:val="en-GB"/>
        </w:rPr>
        <w:t xml:space="preserve"> the court </w:t>
      </w:r>
      <w:r w:rsidR="00987F7A">
        <w:rPr>
          <w:rFonts w:ascii="Arial" w:hAnsi="Arial" w:cs="Arial"/>
          <w:sz w:val="22"/>
          <w:szCs w:val="22"/>
          <w:lang w:val="en-GB"/>
        </w:rPr>
        <w:t xml:space="preserve">has the power to </w:t>
      </w:r>
      <w:r w:rsidR="00EF762A" w:rsidRPr="00EF762A">
        <w:rPr>
          <w:rFonts w:ascii="Arial" w:hAnsi="Arial" w:cs="Arial"/>
          <w:sz w:val="22"/>
          <w:szCs w:val="22"/>
          <w:lang w:val="en-GB"/>
        </w:rPr>
        <w:t>grant reli</w:t>
      </w:r>
      <w:r w:rsidR="00EF762A">
        <w:rPr>
          <w:rFonts w:ascii="Arial" w:hAnsi="Arial" w:cs="Arial"/>
          <w:sz w:val="22"/>
          <w:szCs w:val="22"/>
          <w:lang w:val="en-GB"/>
        </w:rPr>
        <w:t>e</w:t>
      </w:r>
      <w:r w:rsidR="00EF762A" w:rsidRPr="00EF762A">
        <w:rPr>
          <w:rFonts w:ascii="Arial" w:hAnsi="Arial" w:cs="Arial"/>
          <w:sz w:val="22"/>
          <w:szCs w:val="22"/>
          <w:lang w:val="en-GB"/>
        </w:rPr>
        <w:t xml:space="preserve">fs </w:t>
      </w:r>
      <w:r w:rsidR="00EF762A">
        <w:rPr>
          <w:rFonts w:ascii="Arial" w:hAnsi="Arial" w:cs="Arial"/>
          <w:sz w:val="22"/>
          <w:szCs w:val="22"/>
          <w:lang w:val="en-GB"/>
        </w:rPr>
        <w:t>e</w:t>
      </w:r>
      <w:r w:rsidR="00EF762A" w:rsidRPr="00EF762A">
        <w:rPr>
          <w:rFonts w:ascii="Arial" w:hAnsi="Arial" w:cs="Arial"/>
          <w:sz w:val="22"/>
          <w:szCs w:val="22"/>
          <w:lang w:val="en-GB"/>
        </w:rPr>
        <w:t xml:space="preserve">ntrusting the administration or realization of all or part of the debtor’s assets located in </w:t>
      </w:r>
      <w:r w:rsidR="00EF762A">
        <w:rPr>
          <w:rFonts w:ascii="Arial" w:hAnsi="Arial" w:cs="Arial"/>
          <w:sz w:val="22"/>
          <w:szCs w:val="22"/>
          <w:lang w:val="en-GB"/>
        </w:rPr>
        <w:t>Australia</w:t>
      </w:r>
      <w:r w:rsidR="00EF762A" w:rsidRPr="00EF762A">
        <w:rPr>
          <w:rFonts w:ascii="Arial" w:hAnsi="Arial" w:cs="Arial"/>
          <w:sz w:val="22"/>
          <w:szCs w:val="22"/>
          <w:lang w:val="en-GB"/>
        </w:rPr>
        <w:t xml:space="preserve"> to foreign representative</w:t>
      </w:r>
      <w:r w:rsidR="0064697C">
        <w:rPr>
          <w:rFonts w:ascii="Arial" w:hAnsi="Arial" w:cs="Arial"/>
          <w:sz w:val="22"/>
          <w:szCs w:val="22"/>
          <w:lang w:val="en-GB"/>
        </w:rPr>
        <w:t>s.</w:t>
      </w:r>
      <w:r w:rsidR="00987F7A">
        <w:rPr>
          <w:rFonts w:ascii="Arial" w:hAnsi="Arial" w:cs="Arial"/>
          <w:sz w:val="22"/>
          <w:szCs w:val="22"/>
          <w:lang w:val="en-GB"/>
        </w:rPr>
        <w:t xml:space="preserve"> Hence i</w:t>
      </w:r>
      <w:r w:rsidR="0064697C">
        <w:rPr>
          <w:rFonts w:ascii="Arial" w:hAnsi="Arial" w:cs="Arial"/>
          <w:sz w:val="22"/>
          <w:szCs w:val="22"/>
          <w:lang w:val="en-GB"/>
        </w:rPr>
        <w:t>n this case,</w:t>
      </w:r>
      <w:r w:rsidR="00EF43A2">
        <w:rPr>
          <w:rFonts w:ascii="Arial" w:hAnsi="Arial" w:cs="Arial"/>
          <w:sz w:val="22"/>
          <w:szCs w:val="22"/>
          <w:lang w:val="en-GB"/>
        </w:rPr>
        <w:t xml:space="preserve"> theoretically,</w:t>
      </w:r>
      <w:r w:rsidR="0064697C">
        <w:rPr>
          <w:rFonts w:ascii="Arial" w:hAnsi="Arial" w:cs="Arial"/>
          <w:sz w:val="22"/>
          <w:szCs w:val="22"/>
          <w:lang w:val="en-GB"/>
        </w:rPr>
        <w:t xml:space="preserve"> the</w:t>
      </w:r>
      <w:r w:rsidR="00EF43A2">
        <w:rPr>
          <w:rFonts w:ascii="Arial" w:hAnsi="Arial" w:cs="Arial"/>
          <w:sz w:val="22"/>
          <w:szCs w:val="22"/>
          <w:lang w:val="en-GB"/>
        </w:rPr>
        <w:t xml:space="preserve"> Lyonessian liquidator</w:t>
      </w:r>
      <w:r w:rsidR="0064697C">
        <w:rPr>
          <w:rFonts w:ascii="Arial" w:hAnsi="Arial" w:cs="Arial"/>
          <w:sz w:val="22"/>
          <w:szCs w:val="22"/>
          <w:lang w:val="en-GB"/>
        </w:rPr>
        <w:t xml:space="preserve"> can be entrusted with Aussiebee’s assets,</w:t>
      </w:r>
      <w:r w:rsidR="00EF762A">
        <w:rPr>
          <w:rFonts w:ascii="Arial" w:hAnsi="Arial" w:cs="Arial"/>
          <w:sz w:val="22"/>
          <w:szCs w:val="22"/>
          <w:lang w:val="en-GB"/>
        </w:rPr>
        <w:t xml:space="preserve"> </w:t>
      </w:r>
      <w:r w:rsidR="00EF43A2">
        <w:rPr>
          <w:rFonts w:ascii="Arial" w:hAnsi="Arial" w:cs="Arial"/>
          <w:sz w:val="22"/>
          <w:szCs w:val="22"/>
          <w:lang w:val="en-GB"/>
        </w:rPr>
        <w:t>but</w:t>
      </w:r>
      <w:r w:rsidR="00EF762A" w:rsidRPr="00EF762A">
        <w:rPr>
          <w:rFonts w:ascii="Arial" w:hAnsi="Arial" w:cs="Arial"/>
          <w:sz w:val="22"/>
          <w:szCs w:val="22"/>
          <w:lang w:val="en-GB"/>
        </w:rPr>
        <w:t xml:space="preserve"> the court </w:t>
      </w:r>
      <w:r w:rsidR="00EF43A2">
        <w:rPr>
          <w:rFonts w:ascii="Arial" w:hAnsi="Arial" w:cs="Arial"/>
          <w:sz w:val="22"/>
          <w:szCs w:val="22"/>
          <w:lang w:val="en-GB"/>
        </w:rPr>
        <w:t>should be</w:t>
      </w:r>
      <w:r w:rsidR="00EF762A" w:rsidRPr="00EF762A">
        <w:rPr>
          <w:rFonts w:ascii="Arial" w:hAnsi="Arial" w:cs="Arial"/>
          <w:sz w:val="22"/>
          <w:szCs w:val="22"/>
          <w:lang w:val="en-GB"/>
        </w:rPr>
        <w:t xml:space="preserve"> satisfied that the interests of creditors in </w:t>
      </w:r>
      <w:r w:rsidR="00EF762A">
        <w:rPr>
          <w:rFonts w:ascii="Arial" w:hAnsi="Arial" w:cs="Arial"/>
          <w:sz w:val="22"/>
          <w:szCs w:val="22"/>
          <w:lang w:val="en-GB"/>
        </w:rPr>
        <w:t>Australia</w:t>
      </w:r>
      <w:r w:rsidR="00EF762A" w:rsidRPr="00EF762A">
        <w:rPr>
          <w:rFonts w:ascii="Arial" w:hAnsi="Arial" w:cs="Arial"/>
          <w:sz w:val="22"/>
          <w:szCs w:val="22"/>
          <w:lang w:val="en-GB"/>
        </w:rPr>
        <w:t xml:space="preserve"> are adequately protected</w:t>
      </w:r>
      <w:r w:rsidR="00EF43A2">
        <w:rPr>
          <w:rFonts w:ascii="Arial" w:hAnsi="Arial" w:cs="Arial"/>
          <w:sz w:val="22"/>
          <w:szCs w:val="22"/>
          <w:lang w:val="en-GB"/>
        </w:rPr>
        <w:t xml:space="preserve"> first</w:t>
      </w:r>
      <w:r w:rsidR="00EF762A" w:rsidRPr="00EF762A">
        <w:rPr>
          <w:rFonts w:ascii="Arial" w:hAnsi="Arial" w:cs="Arial"/>
          <w:sz w:val="22"/>
          <w:szCs w:val="22"/>
          <w:lang w:val="en-GB"/>
        </w:rPr>
        <w:t>.</w:t>
      </w:r>
    </w:p>
    <w:p w14:paraId="729DE1C8" w14:textId="3E2D22B7" w:rsidR="00411841" w:rsidRPr="00EF762A" w:rsidRDefault="00EF43A2" w:rsidP="006B6DDE">
      <w:pPr>
        <w:autoSpaceDE w:val="0"/>
        <w:autoSpaceDN w:val="0"/>
        <w:adjustRightInd w:val="0"/>
        <w:jc w:val="both"/>
        <w:rPr>
          <w:rFonts w:ascii="Arial" w:hAnsi="Arial" w:cs="Arial"/>
          <w:sz w:val="22"/>
          <w:szCs w:val="22"/>
          <w:lang w:val="en-GB"/>
        </w:rPr>
      </w:pPr>
      <w:r>
        <w:rPr>
          <w:rFonts w:ascii="Arial" w:hAnsi="Arial" w:cs="Arial"/>
          <w:sz w:val="22"/>
          <w:szCs w:val="22"/>
          <w:lang w:val="en-GB"/>
        </w:rPr>
        <w:t>It should be noted, when considering</w:t>
      </w:r>
      <w:r w:rsidR="00BB3356">
        <w:rPr>
          <w:rFonts w:ascii="Arial" w:hAnsi="Arial" w:cs="Arial"/>
          <w:sz w:val="22"/>
          <w:szCs w:val="22"/>
          <w:lang w:val="en-GB"/>
        </w:rPr>
        <w:t xml:space="preserve"> the </w:t>
      </w:r>
      <w:r w:rsidR="0087781D">
        <w:rPr>
          <w:rFonts w:ascii="Arial" w:hAnsi="Arial" w:cs="Arial"/>
          <w:sz w:val="22"/>
          <w:szCs w:val="22"/>
          <w:lang w:val="en-GB"/>
        </w:rPr>
        <w:t>“</w:t>
      </w:r>
      <w:r w:rsidR="00BB3356">
        <w:rPr>
          <w:rFonts w:ascii="Arial" w:hAnsi="Arial" w:cs="Arial"/>
          <w:sz w:val="22"/>
          <w:szCs w:val="22"/>
          <w:lang w:val="en-GB"/>
        </w:rPr>
        <w:t>adequate protect</w:t>
      </w:r>
      <w:r w:rsidR="0087781D">
        <w:rPr>
          <w:rFonts w:ascii="Arial" w:hAnsi="Arial" w:cs="Arial"/>
          <w:sz w:val="22"/>
          <w:szCs w:val="22"/>
          <w:lang w:val="en-GB"/>
        </w:rPr>
        <w:t xml:space="preserve">ed” </w:t>
      </w:r>
      <w:r>
        <w:rPr>
          <w:rFonts w:ascii="Arial" w:hAnsi="Arial" w:cs="Arial"/>
          <w:sz w:val="22"/>
          <w:szCs w:val="22"/>
          <w:lang w:val="en-GB"/>
        </w:rPr>
        <w:t>prerequisite</w:t>
      </w:r>
      <w:r w:rsidR="0087781D">
        <w:rPr>
          <w:rFonts w:ascii="Arial" w:hAnsi="Arial" w:cs="Arial"/>
          <w:sz w:val="22"/>
          <w:szCs w:val="22"/>
          <w:lang w:val="en-GB"/>
        </w:rPr>
        <w:t xml:space="preserve">, </w:t>
      </w:r>
      <w:r w:rsidR="0064697C">
        <w:rPr>
          <w:rFonts w:ascii="Arial" w:hAnsi="Arial" w:cs="Arial"/>
          <w:sz w:val="22"/>
          <w:szCs w:val="22"/>
          <w:lang w:val="en-GB"/>
        </w:rPr>
        <w:t xml:space="preserve">the </w:t>
      </w:r>
      <w:r>
        <w:rPr>
          <w:rFonts w:ascii="Arial" w:hAnsi="Arial" w:cs="Arial"/>
          <w:sz w:val="22"/>
          <w:szCs w:val="22"/>
          <w:lang w:val="en-GB"/>
        </w:rPr>
        <w:t>rules adopted</w:t>
      </w:r>
      <w:r w:rsidR="0087781D">
        <w:rPr>
          <w:rFonts w:ascii="Arial" w:hAnsi="Arial" w:cs="Arial"/>
          <w:sz w:val="22"/>
          <w:szCs w:val="22"/>
          <w:lang w:val="en-GB"/>
        </w:rPr>
        <w:t xml:space="preserve"> in </w:t>
      </w:r>
      <w:r w:rsidR="001307FF" w:rsidRPr="00BB3356">
        <w:rPr>
          <w:rFonts w:ascii="Arial" w:hAnsi="Arial" w:cs="Arial"/>
          <w:i/>
          <w:iCs/>
          <w:sz w:val="22"/>
          <w:szCs w:val="22"/>
          <w:lang w:val="en-GB"/>
        </w:rPr>
        <w:t>Akers &amp; Ors v Deputy Commissioner of Taxation</w:t>
      </w:r>
      <w:r w:rsidR="001307FF">
        <w:rPr>
          <w:rFonts w:ascii="Arial" w:hAnsi="Arial" w:cs="Arial"/>
          <w:sz w:val="22"/>
          <w:szCs w:val="22"/>
          <w:lang w:val="en-GB"/>
        </w:rPr>
        <w:t xml:space="preserve"> case</w:t>
      </w:r>
      <w:r w:rsidR="0087781D">
        <w:rPr>
          <w:rFonts w:ascii="Arial" w:hAnsi="Arial" w:cs="Arial"/>
          <w:sz w:val="22"/>
          <w:szCs w:val="22"/>
          <w:lang w:val="en-GB"/>
        </w:rPr>
        <w:t xml:space="preserve"> should be followed.</w:t>
      </w:r>
      <w:r w:rsidR="001307FF" w:rsidRPr="001307FF">
        <w:rPr>
          <w:rFonts w:ascii="Arial" w:hAnsi="Arial" w:cs="Arial"/>
          <w:sz w:val="22"/>
          <w:szCs w:val="22"/>
          <w:lang w:val="en-GB"/>
        </w:rPr>
        <w:t xml:space="preserve"> </w:t>
      </w:r>
      <w:r w:rsidR="001307FF">
        <w:rPr>
          <w:rStyle w:val="a6"/>
          <w:rFonts w:ascii="Arial" w:hAnsi="Arial" w:cs="Arial"/>
          <w:sz w:val="22"/>
          <w:szCs w:val="22"/>
          <w:lang w:val="en-GB"/>
        </w:rPr>
        <w:footnoteReference w:id="12"/>
      </w:r>
      <w:r w:rsidR="001307FF" w:rsidRPr="001307FF">
        <w:rPr>
          <w:rFonts w:ascii="Arial" w:hAnsi="Arial" w:cs="Arial"/>
          <w:sz w:val="22"/>
          <w:szCs w:val="22"/>
          <w:lang w:val="en-GB"/>
        </w:rPr>
        <w:t xml:space="preserve"> </w:t>
      </w:r>
      <w:r w:rsidR="00FD0662">
        <w:rPr>
          <w:rFonts w:ascii="Arial" w:hAnsi="Arial" w:cs="Arial"/>
          <w:sz w:val="22"/>
          <w:szCs w:val="22"/>
          <w:lang w:val="en-GB"/>
        </w:rPr>
        <w:t xml:space="preserve">The fact of the </w:t>
      </w:r>
      <w:r w:rsidR="00FD0662" w:rsidRPr="00BB3356">
        <w:rPr>
          <w:rFonts w:ascii="Arial" w:hAnsi="Arial" w:cs="Arial"/>
          <w:i/>
          <w:iCs/>
          <w:sz w:val="22"/>
          <w:szCs w:val="22"/>
          <w:lang w:val="en-GB"/>
        </w:rPr>
        <w:t>Akers &amp; Ors v Deputy Commissioner of Taxation</w:t>
      </w:r>
      <w:r w:rsidR="00FD0662">
        <w:rPr>
          <w:rFonts w:ascii="Arial" w:hAnsi="Arial" w:cs="Arial"/>
          <w:sz w:val="22"/>
          <w:szCs w:val="22"/>
          <w:lang w:val="en-GB"/>
        </w:rPr>
        <w:t xml:space="preserve"> case is very similar to this case</w:t>
      </w:r>
      <w:r>
        <w:rPr>
          <w:rFonts w:ascii="Arial" w:hAnsi="Arial" w:cs="Arial"/>
          <w:sz w:val="22"/>
          <w:szCs w:val="22"/>
          <w:lang w:val="en-GB"/>
        </w:rPr>
        <w:t>.</w:t>
      </w:r>
      <w:r w:rsidR="00FD0662">
        <w:rPr>
          <w:rFonts w:ascii="Arial" w:hAnsi="Arial" w:cs="Arial"/>
          <w:sz w:val="22"/>
          <w:szCs w:val="22"/>
          <w:lang w:val="en-GB"/>
        </w:rPr>
        <w:t xml:space="preserve"> </w:t>
      </w:r>
      <w:r w:rsidR="00737886">
        <w:rPr>
          <w:rFonts w:ascii="Arial" w:hAnsi="Arial" w:cs="Arial"/>
          <w:sz w:val="22"/>
          <w:szCs w:val="22"/>
          <w:lang w:val="en-GB"/>
        </w:rPr>
        <w:t xml:space="preserve"> </w:t>
      </w:r>
      <w:r>
        <w:rPr>
          <w:rFonts w:ascii="Arial" w:hAnsi="Arial" w:cs="Arial"/>
          <w:sz w:val="22"/>
          <w:szCs w:val="22"/>
          <w:lang w:val="en-GB"/>
        </w:rPr>
        <w:t>T</w:t>
      </w:r>
      <w:r w:rsidR="00737886">
        <w:rPr>
          <w:rFonts w:ascii="Arial" w:hAnsi="Arial" w:cs="Arial"/>
          <w:sz w:val="22"/>
          <w:szCs w:val="22"/>
          <w:lang w:val="en-GB"/>
        </w:rPr>
        <w:t>he foreign debtor also owed a huge sum in tax and penalties in Australia</w:t>
      </w:r>
      <w:r w:rsidR="00196451">
        <w:rPr>
          <w:rFonts w:ascii="Arial" w:hAnsi="Arial" w:cs="Arial"/>
          <w:sz w:val="22"/>
          <w:szCs w:val="22"/>
          <w:lang w:val="en-GB"/>
        </w:rPr>
        <w:t xml:space="preserve"> but was not provable in the foreign proceedings</w:t>
      </w:r>
      <w:r>
        <w:rPr>
          <w:rFonts w:ascii="Arial" w:hAnsi="Arial" w:cs="Arial"/>
          <w:sz w:val="22"/>
          <w:szCs w:val="22"/>
          <w:lang w:val="en-GB"/>
        </w:rPr>
        <w:t xml:space="preserve"> which had been recognized</w:t>
      </w:r>
      <w:r w:rsidR="00196451">
        <w:rPr>
          <w:rFonts w:ascii="Arial" w:hAnsi="Arial" w:cs="Arial"/>
          <w:sz w:val="22"/>
          <w:szCs w:val="22"/>
          <w:lang w:val="en-GB"/>
        </w:rPr>
        <w:t>.</w:t>
      </w:r>
      <w:r w:rsidR="00737886">
        <w:rPr>
          <w:rFonts w:ascii="Arial" w:hAnsi="Arial" w:cs="Arial"/>
          <w:sz w:val="22"/>
          <w:szCs w:val="22"/>
          <w:lang w:val="en-GB"/>
        </w:rPr>
        <w:t xml:space="preserve"> </w:t>
      </w:r>
      <w:r w:rsidR="00196451">
        <w:rPr>
          <w:rFonts w:ascii="Arial" w:hAnsi="Arial" w:cs="Arial"/>
          <w:sz w:val="22"/>
          <w:szCs w:val="22"/>
          <w:lang w:val="en-GB"/>
        </w:rPr>
        <w:t xml:space="preserve">In that case, </w:t>
      </w:r>
      <w:r w:rsidR="00737886" w:rsidRPr="00196451">
        <w:rPr>
          <w:rFonts w:ascii="Arial" w:hAnsi="Arial" w:cs="Arial"/>
          <w:sz w:val="22"/>
          <w:szCs w:val="22"/>
          <w:lang w:val="en-GB"/>
        </w:rPr>
        <w:t>the courts held that,</w:t>
      </w:r>
      <w:r w:rsidR="00196451">
        <w:rPr>
          <w:rFonts w:ascii="Arial" w:hAnsi="Arial" w:cs="Arial"/>
          <w:sz w:val="22"/>
          <w:szCs w:val="22"/>
          <w:lang w:val="en-GB"/>
        </w:rPr>
        <w:t xml:space="preserve"> </w:t>
      </w:r>
      <w:r>
        <w:rPr>
          <w:rFonts w:ascii="Arial" w:hAnsi="Arial" w:cs="Arial"/>
          <w:i/>
          <w:iCs/>
          <w:sz w:val="22"/>
          <w:szCs w:val="22"/>
          <w:lang w:val="en-GB"/>
        </w:rPr>
        <w:t>i</w:t>
      </w:r>
      <w:r w:rsidR="00196451" w:rsidRPr="00196451">
        <w:rPr>
          <w:rFonts w:ascii="Arial" w:hAnsi="Arial" w:cs="Arial"/>
          <w:i/>
          <w:iCs/>
          <w:sz w:val="22"/>
          <w:szCs w:val="22"/>
          <w:lang w:val="en-GB"/>
        </w:rPr>
        <w:t xml:space="preserve">nter </w:t>
      </w:r>
      <w:r>
        <w:rPr>
          <w:rFonts w:ascii="Arial" w:hAnsi="Arial" w:cs="Arial"/>
          <w:i/>
          <w:iCs/>
          <w:sz w:val="22"/>
          <w:szCs w:val="22"/>
          <w:lang w:val="en-GB"/>
        </w:rPr>
        <w:t>a</w:t>
      </w:r>
      <w:r w:rsidR="00196451" w:rsidRPr="00196451">
        <w:rPr>
          <w:rFonts w:ascii="Arial" w:hAnsi="Arial" w:cs="Arial"/>
          <w:i/>
          <w:iCs/>
          <w:sz w:val="22"/>
          <w:szCs w:val="22"/>
          <w:lang w:val="en-GB"/>
        </w:rPr>
        <w:t>lia</w:t>
      </w:r>
      <w:r w:rsidR="00196451">
        <w:rPr>
          <w:rFonts w:ascii="Arial" w:hAnsi="Arial" w:cs="Arial"/>
          <w:sz w:val="22"/>
          <w:szCs w:val="22"/>
          <w:lang w:val="en-GB"/>
        </w:rPr>
        <w:t>,</w:t>
      </w:r>
      <w:r w:rsidR="00737886" w:rsidRPr="00196451">
        <w:rPr>
          <w:rFonts w:ascii="Arial" w:hAnsi="Arial" w:cs="Arial"/>
          <w:sz w:val="22"/>
          <w:szCs w:val="22"/>
          <w:lang w:val="en-GB"/>
        </w:rPr>
        <w:t xml:space="preserve"> there is no restriction</w:t>
      </w:r>
      <w:r>
        <w:rPr>
          <w:rFonts w:ascii="Arial" w:hAnsi="Arial" w:cs="Arial"/>
          <w:sz w:val="22"/>
          <w:szCs w:val="22"/>
          <w:lang w:val="en-GB"/>
        </w:rPr>
        <w:t xml:space="preserve"> in </w:t>
      </w:r>
      <w:r w:rsidRPr="00196451">
        <w:rPr>
          <w:rFonts w:ascii="Arial" w:hAnsi="Arial" w:cs="Arial"/>
          <w:sz w:val="22"/>
          <w:szCs w:val="22"/>
          <w:lang w:val="en-GB"/>
        </w:rPr>
        <w:t>the Model Law</w:t>
      </w:r>
      <w:r w:rsidR="00737886" w:rsidRPr="00196451">
        <w:rPr>
          <w:rFonts w:ascii="Arial" w:hAnsi="Arial" w:cs="Arial"/>
          <w:sz w:val="22"/>
          <w:szCs w:val="22"/>
          <w:lang w:val="en-GB"/>
        </w:rPr>
        <w:t xml:space="preserve"> </w:t>
      </w:r>
      <w:r>
        <w:rPr>
          <w:rFonts w:ascii="Arial" w:hAnsi="Arial" w:cs="Arial"/>
          <w:sz w:val="22"/>
          <w:szCs w:val="22"/>
          <w:lang w:val="en-GB"/>
        </w:rPr>
        <w:t xml:space="preserve">regarding </w:t>
      </w:r>
      <w:r w:rsidR="00737886" w:rsidRPr="00196451">
        <w:rPr>
          <w:rFonts w:ascii="Arial" w:hAnsi="Arial" w:cs="Arial"/>
          <w:sz w:val="22"/>
          <w:szCs w:val="22"/>
          <w:lang w:val="en-GB"/>
        </w:rPr>
        <w:t>to recov</w:t>
      </w:r>
      <w:r w:rsidR="00196451" w:rsidRPr="00196451">
        <w:rPr>
          <w:rFonts w:ascii="Arial" w:hAnsi="Arial" w:cs="Arial"/>
          <w:sz w:val="22"/>
          <w:szCs w:val="22"/>
          <w:lang w:val="en-GB"/>
        </w:rPr>
        <w:t xml:space="preserve">er local tax, and </w:t>
      </w:r>
      <w:r w:rsidR="00E24602">
        <w:rPr>
          <w:rFonts w:ascii="Arial" w:hAnsi="Arial" w:cs="Arial"/>
          <w:sz w:val="22"/>
          <w:szCs w:val="22"/>
          <w:lang w:val="en-GB"/>
        </w:rPr>
        <w:t xml:space="preserve">to </w:t>
      </w:r>
      <w:r w:rsidR="00737886" w:rsidRPr="00737886">
        <w:rPr>
          <w:rFonts w:ascii="Arial" w:hAnsi="Arial" w:cs="Arial"/>
          <w:sz w:val="22"/>
          <w:szCs w:val="22"/>
          <w:lang w:val="en-GB"/>
        </w:rPr>
        <w:t>grant or modify</w:t>
      </w:r>
      <w:r w:rsidR="00E24602">
        <w:rPr>
          <w:rFonts w:ascii="Arial" w:hAnsi="Arial" w:cs="Arial"/>
          <w:sz w:val="22"/>
          <w:szCs w:val="22"/>
          <w:lang w:val="en-GB"/>
        </w:rPr>
        <w:t xml:space="preserve"> the</w:t>
      </w:r>
      <w:r w:rsidR="00737886" w:rsidRPr="00737886">
        <w:rPr>
          <w:rFonts w:ascii="Arial" w:hAnsi="Arial" w:cs="Arial"/>
          <w:sz w:val="22"/>
          <w:szCs w:val="22"/>
          <w:lang w:val="en-GB"/>
        </w:rPr>
        <w:t xml:space="preserve"> relief</w:t>
      </w:r>
      <w:r w:rsidR="006B6DDE">
        <w:rPr>
          <w:rFonts w:ascii="Arial" w:hAnsi="Arial" w:cs="Arial"/>
          <w:sz w:val="22"/>
          <w:szCs w:val="22"/>
          <w:lang w:val="en-GB"/>
        </w:rPr>
        <w:t>s</w:t>
      </w:r>
      <w:r w:rsidR="00737886" w:rsidRPr="00737886">
        <w:rPr>
          <w:rFonts w:ascii="Arial" w:hAnsi="Arial" w:cs="Arial"/>
          <w:sz w:val="22"/>
          <w:szCs w:val="22"/>
          <w:lang w:val="en-GB"/>
        </w:rPr>
        <w:t xml:space="preserve"> under the Model Law, the</w:t>
      </w:r>
      <w:r w:rsidR="00196451">
        <w:rPr>
          <w:rFonts w:ascii="Arial" w:hAnsi="Arial" w:cs="Arial"/>
          <w:sz w:val="22"/>
          <w:szCs w:val="22"/>
          <w:lang w:val="en-GB"/>
        </w:rPr>
        <w:t xml:space="preserve"> c</w:t>
      </w:r>
      <w:r w:rsidR="00737886" w:rsidRPr="00737886">
        <w:rPr>
          <w:rFonts w:ascii="Arial" w:hAnsi="Arial" w:cs="Arial"/>
          <w:sz w:val="22"/>
          <w:szCs w:val="22"/>
          <w:lang w:val="en-GB"/>
        </w:rPr>
        <w:t>ourt must ensure that the interest of local creditors are protected</w:t>
      </w:r>
      <w:r w:rsidR="00E24602">
        <w:rPr>
          <w:rFonts w:ascii="Arial" w:hAnsi="Arial" w:cs="Arial"/>
          <w:sz w:val="22"/>
          <w:szCs w:val="22"/>
          <w:lang w:val="en-GB"/>
        </w:rPr>
        <w:t>. In that case,</w:t>
      </w:r>
      <w:r w:rsidR="00196451">
        <w:rPr>
          <w:rFonts w:ascii="Arial" w:hAnsi="Arial" w:cs="Arial"/>
          <w:sz w:val="22"/>
          <w:szCs w:val="22"/>
          <w:lang w:val="en-GB"/>
        </w:rPr>
        <w:t xml:space="preserve"> the courts </w:t>
      </w:r>
      <w:r w:rsidR="006B6DDE">
        <w:rPr>
          <w:rFonts w:ascii="Arial" w:hAnsi="Arial" w:cs="Arial"/>
          <w:sz w:val="22"/>
          <w:szCs w:val="22"/>
          <w:lang w:val="en-GB"/>
        </w:rPr>
        <w:t>gave leave to the DCT to enforce its claims</w:t>
      </w:r>
      <w:r w:rsidR="00196451">
        <w:rPr>
          <w:rFonts w:ascii="Arial" w:hAnsi="Arial" w:cs="Arial"/>
          <w:sz w:val="22"/>
          <w:szCs w:val="22"/>
          <w:lang w:val="en-GB"/>
        </w:rPr>
        <w:t xml:space="preserve"> and expressly stated that</w:t>
      </w:r>
      <w:r w:rsidR="006B6DDE">
        <w:rPr>
          <w:rFonts w:ascii="Arial" w:hAnsi="Arial" w:cs="Arial"/>
          <w:sz w:val="22"/>
          <w:szCs w:val="22"/>
          <w:lang w:val="en-GB"/>
        </w:rPr>
        <w:t xml:space="preserve"> </w:t>
      </w:r>
      <w:r w:rsidR="00196451">
        <w:rPr>
          <w:rFonts w:ascii="Arial" w:hAnsi="Arial" w:cs="Arial"/>
          <w:sz w:val="22"/>
          <w:szCs w:val="22"/>
          <w:lang w:val="en-GB"/>
        </w:rPr>
        <w:t>the</w:t>
      </w:r>
      <w:r w:rsidR="006B6DDE">
        <w:rPr>
          <w:rFonts w:ascii="Arial" w:hAnsi="Arial" w:cs="Arial"/>
          <w:sz w:val="22"/>
          <w:szCs w:val="22"/>
          <w:lang w:val="en-GB"/>
        </w:rPr>
        <w:t xml:space="preserve"> ATO can</w:t>
      </w:r>
      <w:r w:rsidR="00737886" w:rsidRPr="00737886">
        <w:rPr>
          <w:rFonts w:ascii="Arial" w:hAnsi="Arial" w:cs="Arial"/>
          <w:sz w:val="22"/>
          <w:szCs w:val="22"/>
          <w:lang w:val="en-GB"/>
        </w:rPr>
        <w:t xml:space="preserve"> </w:t>
      </w:r>
      <w:r w:rsidR="006B6DDE" w:rsidRPr="006B6DDE">
        <w:rPr>
          <w:rFonts w:ascii="Arial" w:hAnsi="Arial" w:cs="Arial"/>
          <w:sz w:val="22"/>
          <w:szCs w:val="22"/>
          <w:lang w:val="en-GB"/>
        </w:rPr>
        <w:t>only</w:t>
      </w:r>
      <w:r w:rsidR="00737886" w:rsidRPr="00737886">
        <w:rPr>
          <w:rFonts w:ascii="Arial" w:hAnsi="Arial" w:cs="Arial"/>
          <w:sz w:val="22"/>
          <w:szCs w:val="22"/>
          <w:lang w:val="en-GB"/>
        </w:rPr>
        <w:t xml:space="preserve"> recover </w:t>
      </w:r>
      <w:r w:rsidR="00E24602">
        <w:rPr>
          <w:rFonts w:ascii="Arial" w:hAnsi="Arial" w:cs="Arial"/>
          <w:sz w:val="22"/>
          <w:szCs w:val="22"/>
          <w:lang w:val="en-GB"/>
        </w:rPr>
        <w:t xml:space="preserve">its </w:t>
      </w:r>
      <w:r w:rsidR="00737886" w:rsidRPr="00737886">
        <w:rPr>
          <w:rFonts w:ascii="Arial" w:hAnsi="Arial" w:cs="Arial"/>
          <w:sz w:val="22"/>
          <w:szCs w:val="22"/>
          <w:lang w:val="en-GB"/>
        </w:rPr>
        <w:t>entitlement</w:t>
      </w:r>
      <w:r w:rsidR="006B6DDE" w:rsidRPr="006B6DDE">
        <w:rPr>
          <w:rFonts w:ascii="Arial" w:hAnsi="Arial" w:cs="Arial"/>
          <w:sz w:val="22"/>
          <w:szCs w:val="22"/>
          <w:lang w:val="en-GB"/>
        </w:rPr>
        <w:t xml:space="preserve"> </w:t>
      </w:r>
      <w:r w:rsidR="00E24602" w:rsidRPr="00E24602">
        <w:rPr>
          <w:rFonts w:ascii="Arial" w:hAnsi="Arial" w:cs="Arial"/>
          <w:i/>
          <w:iCs/>
          <w:sz w:val="22"/>
          <w:szCs w:val="22"/>
          <w:lang w:val="en-GB"/>
        </w:rPr>
        <w:t>pari passu</w:t>
      </w:r>
      <w:r w:rsidR="00E24602" w:rsidRPr="006B6DDE">
        <w:rPr>
          <w:rFonts w:ascii="Arial" w:hAnsi="Arial" w:cs="Arial"/>
          <w:sz w:val="22"/>
          <w:szCs w:val="22"/>
          <w:lang w:val="en-GB"/>
        </w:rPr>
        <w:t xml:space="preserve"> </w:t>
      </w:r>
      <w:r w:rsidR="006B6DDE" w:rsidRPr="006B6DDE">
        <w:rPr>
          <w:rFonts w:ascii="Arial" w:hAnsi="Arial" w:cs="Arial"/>
          <w:sz w:val="22"/>
          <w:szCs w:val="22"/>
          <w:lang w:val="en-GB"/>
        </w:rPr>
        <w:t>as an unsecured creditor</w:t>
      </w:r>
      <w:r w:rsidR="006B6DDE">
        <w:rPr>
          <w:rFonts w:ascii="Arial" w:hAnsi="Arial" w:cs="Arial"/>
          <w:sz w:val="22"/>
          <w:szCs w:val="22"/>
          <w:lang w:val="en-GB"/>
        </w:rPr>
        <w:t xml:space="preserve"> in the foreign proceeding. Therefore, in this case, the</w:t>
      </w:r>
      <w:r w:rsidR="006B6DDE" w:rsidRPr="00BB3356">
        <w:rPr>
          <w:rFonts w:ascii="Arial" w:hAnsi="Arial" w:cs="Arial"/>
          <w:sz w:val="22"/>
          <w:szCs w:val="22"/>
          <w:lang w:val="en-GB"/>
        </w:rPr>
        <w:t xml:space="preserve"> Deputy Commissioner of Taxation</w:t>
      </w:r>
      <w:r w:rsidR="006B6DDE">
        <w:rPr>
          <w:rFonts w:ascii="Arial" w:hAnsi="Arial" w:cs="Arial"/>
          <w:sz w:val="22"/>
          <w:szCs w:val="22"/>
          <w:lang w:val="en-GB"/>
        </w:rPr>
        <w:t xml:space="preserve"> can </w:t>
      </w:r>
      <w:r w:rsidR="00037DEF">
        <w:rPr>
          <w:rFonts w:ascii="Arial" w:hAnsi="Arial" w:cs="Arial"/>
          <w:sz w:val="22"/>
          <w:szCs w:val="22"/>
          <w:lang w:val="en-GB"/>
        </w:rPr>
        <w:t>also</w:t>
      </w:r>
      <w:r w:rsidR="00037DEF" w:rsidRPr="00BB3356">
        <w:rPr>
          <w:rFonts w:ascii="Arial" w:hAnsi="Arial" w:cs="Arial"/>
          <w:sz w:val="22"/>
          <w:szCs w:val="22"/>
          <w:lang w:val="en-GB"/>
        </w:rPr>
        <w:t xml:space="preserve"> </w:t>
      </w:r>
      <w:r w:rsidR="00E24602">
        <w:rPr>
          <w:rFonts w:ascii="Arial" w:hAnsi="Arial" w:cs="Arial"/>
          <w:sz w:val="22"/>
          <w:szCs w:val="22"/>
          <w:lang w:val="en-GB"/>
        </w:rPr>
        <w:t>follow the rules adopted in</w:t>
      </w:r>
      <w:r w:rsidR="006B6DDE" w:rsidRPr="006B6DDE">
        <w:rPr>
          <w:rFonts w:ascii="Arial" w:hAnsi="Arial" w:cs="Arial"/>
          <w:i/>
          <w:iCs/>
          <w:sz w:val="22"/>
          <w:szCs w:val="22"/>
          <w:lang w:val="en-GB"/>
        </w:rPr>
        <w:t xml:space="preserve"> </w:t>
      </w:r>
      <w:r w:rsidR="006B6DDE" w:rsidRPr="00BB3356">
        <w:rPr>
          <w:rFonts w:ascii="Arial" w:hAnsi="Arial" w:cs="Arial"/>
          <w:i/>
          <w:iCs/>
          <w:sz w:val="22"/>
          <w:szCs w:val="22"/>
          <w:lang w:val="en-GB"/>
        </w:rPr>
        <w:t>Akers &amp; Ors v Deputy Commissioner of Taxation</w:t>
      </w:r>
      <w:r w:rsidR="006B6DDE">
        <w:rPr>
          <w:rFonts w:ascii="Arial" w:hAnsi="Arial" w:cs="Arial"/>
          <w:sz w:val="22"/>
          <w:szCs w:val="22"/>
          <w:lang w:val="en-GB"/>
        </w:rPr>
        <w:t xml:space="preserve"> case, and apply to the court for </w:t>
      </w:r>
      <w:r w:rsidR="00037DEF">
        <w:rPr>
          <w:rFonts w:ascii="Arial" w:hAnsi="Arial" w:cs="Arial"/>
          <w:sz w:val="22"/>
          <w:szCs w:val="22"/>
          <w:lang w:val="en-GB"/>
        </w:rPr>
        <w:t xml:space="preserve">giving leave to enforce its 12 million claims as an unsecured creditor and be paid </w:t>
      </w:r>
      <w:r w:rsidR="00037DEF" w:rsidRPr="00E24602">
        <w:rPr>
          <w:rFonts w:ascii="Arial" w:hAnsi="Arial" w:cs="Arial"/>
          <w:i/>
          <w:iCs/>
          <w:sz w:val="22"/>
          <w:szCs w:val="22"/>
          <w:lang w:val="en-GB"/>
        </w:rPr>
        <w:t>pari passu</w:t>
      </w:r>
      <w:r w:rsidR="00037DEF">
        <w:rPr>
          <w:rFonts w:ascii="Arial" w:hAnsi="Arial" w:cs="Arial"/>
          <w:sz w:val="22"/>
          <w:szCs w:val="22"/>
          <w:lang w:val="en-GB"/>
        </w:rPr>
        <w:t xml:space="preserve"> </w:t>
      </w:r>
      <w:r w:rsidR="00E24602">
        <w:rPr>
          <w:rFonts w:ascii="Arial" w:hAnsi="Arial" w:cs="Arial"/>
          <w:sz w:val="22"/>
          <w:szCs w:val="22"/>
          <w:lang w:val="en-GB"/>
        </w:rPr>
        <w:t>as</w:t>
      </w:r>
      <w:r w:rsidR="00037DEF">
        <w:rPr>
          <w:rFonts w:ascii="Arial" w:hAnsi="Arial" w:cs="Arial"/>
          <w:sz w:val="22"/>
          <w:szCs w:val="22"/>
          <w:lang w:val="en-GB"/>
        </w:rPr>
        <w:t xml:space="preserve"> unsecured creditors in Lyonessian liquidation. As Aussiebee’s </w:t>
      </w:r>
      <w:r w:rsidR="00E24602">
        <w:rPr>
          <w:rFonts w:ascii="Arial" w:hAnsi="Arial" w:cs="Arial"/>
          <w:sz w:val="22"/>
          <w:szCs w:val="22"/>
          <w:lang w:val="en-GB"/>
        </w:rPr>
        <w:t>hold</w:t>
      </w:r>
      <w:r w:rsidR="00037DEF">
        <w:rPr>
          <w:rFonts w:ascii="Arial" w:hAnsi="Arial" w:cs="Arial"/>
          <w:sz w:val="22"/>
          <w:szCs w:val="22"/>
          <w:lang w:val="en-GB"/>
        </w:rPr>
        <w:t>s assets in Australia</w:t>
      </w:r>
      <w:r w:rsidR="006105F7">
        <w:rPr>
          <w:rFonts w:ascii="Arial" w:hAnsi="Arial" w:cs="Arial"/>
          <w:sz w:val="22"/>
          <w:szCs w:val="22"/>
          <w:lang w:val="en-GB"/>
        </w:rPr>
        <w:t>, the DCT can take enforcement measures against those assets to recover its fair entitlements</w:t>
      </w:r>
      <w:r w:rsidR="00E24602">
        <w:rPr>
          <w:rFonts w:ascii="Arial" w:hAnsi="Arial" w:cs="Arial"/>
          <w:sz w:val="22"/>
          <w:szCs w:val="22"/>
          <w:lang w:val="en-GB"/>
        </w:rPr>
        <w:t xml:space="preserve">, but only to the extent of its </w:t>
      </w:r>
      <w:r w:rsidR="00E24602" w:rsidRPr="00737886">
        <w:rPr>
          <w:rFonts w:ascii="Arial" w:hAnsi="Arial" w:cs="Arial"/>
          <w:sz w:val="22"/>
          <w:szCs w:val="22"/>
          <w:lang w:val="en-GB"/>
        </w:rPr>
        <w:t>entitlement</w:t>
      </w:r>
      <w:r w:rsidR="00E24602" w:rsidRPr="006B6DDE">
        <w:rPr>
          <w:rFonts w:ascii="Arial" w:hAnsi="Arial" w:cs="Arial"/>
          <w:sz w:val="22"/>
          <w:szCs w:val="22"/>
          <w:lang w:val="en-GB"/>
        </w:rPr>
        <w:t xml:space="preserve"> </w:t>
      </w:r>
      <w:r w:rsidR="00E24602" w:rsidRPr="00E24602">
        <w:rPr>
          <w:rFonts w:ascii="Arial" w:hAnsi="Arial" w:cs="Arial"/>
          <w:i/>
          <w:iCs/>
          <w:sz w:val="22"/>
          <w:szCs w:val="22"/>
          <w:lang w:val="en-GB"/>
        </w:rPr>
        <w:t>pari passu</w:t>
      </w:r>
      <w:r w:rsidR="00E24602" w:rsidRPr="006B6DDE">
        <w:rPr>
          <w:rFonts w:ascii="Arial" w:hAnsi="Arial" w:cs="Arial"/>
          <w:sz w:val="22"/>
          <w:szCs w:val="22"/>
          <w:lang w:val="en-GB"/>
        </w:rPr>
        <w:t xml:space="preserve"> as an unsecured creditor</w:t>
      </w:r>
      <w:r w:rsidR="00E24602">
        <w:rPr>
          <w:rFonts w:ascii="Arial" w:hAnsi="Arial" w:cs="Arial"/>
          <w:sz w:val="22"/>
          <w:szCs w:val="22"/>
          <w:lang w:val="en-GB"/>
        </w:rPr>
        <w:t xml:space="preserve"> in the foreign proceeding</w:t>
      </w:r>
      <w:r w:rsidR="006105F7">
        <w:rPr>
          <w:rFonts w:ascii="Arial" w:hAnsi="Arial" w:cs="Arial"/>
          <w:sz w:val="22"/>
          <w:szCs w:val="22"/>
          <w:lang w:val="en-GB"/>
        </w:rPr>
        <w:t>.</w:t>
      </w:r>
    </w:p>
    <w:p w14:paraId="00582AC0" w14:textId="77777777" w:rsidR="005227BD" w:rsidRDefault="005227BD" w:rsidP="005227BD">
      <w:pPr>
        <w:autoSpaceDE w:val="0"/>
        <w:autoSpaceDN w:val="0"/>
        <w:adjustRightInd w:val="0"/>
        <w:jc w:val="both"/>
        <w:rPr>
          <w:rFonts w:ascii="Arial" w:hAnsi="Arial" w:cs="Arial"/>
          <w:sz w:val="22"/>
          <w:szCs w:val="22"/>
          <w:lang w:val="en-GB"/>
        </w:rPr>
      </w:pPr>
    </w:p>
    <w:p w14:paraId="51212B38" w14:textId="77777777" w:rsidR="005227BD" w:rsidRDefault="005227BD" w:rsidP="005227BD">
      <w:pPr>
        <w:autoSpaceDE w:val="0"/>
        <w:autoSpaceDN w:val="0"/>
        <w:adjustRightInd w:val="0"/>
        <w:jc w:val="both"/>
        <w:rPr>
          <w:rFonts w:ascii="Arial" w:hAnsi="Arial" w:cs="Arial"/>
          <w:sz w:val="22"/>
          <w:szCs w:val="22"/>
          <w:lang w:val="en-GB"/>
        </w:rPr>
      </w:pP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w:t>
      </w:r>
      <w:r w:rsidR="00C41993" w:rsidRPr="000C037C">
        <w:rPr>
          <w:rFonts w:ascii="Arial" w:hAnsi="Arial" w:cs="Arial"/>
          <w:sz w:val="22"/>
          <w:szCs w:val="22"/>
          <w:lang w:val="en-GB"/>
        </w:rPr>
        <w:t xml:space="preserve">The </w:t>
      </w:r>
      <w:r w:rsidR="00176286" w:rsidRPr="000C037C">
        <w:rPr>
          <w:rFonts w:ascii="Arial" w:hAnsi="Arial" w:cs="Arial"/>
          <w:sz w:val="22"/>
          <w:szCs w:val="22"/>
          <w:lang w:val="en-GB"/>
        </w:rPr>
        <w:t xml:space="preserve">same </w:t>
      </w:r>
      <w:r w:rsidR="00BC5A60" w:rsidRPr="000C037C">
        <w:rPr>
          <w:rFonts w:ascii="Arial" w:hAnsi="Arial" w:cs="Arial"/>
          <w:sz w:val="22"/>
          <w:szCs w:val="22"/>
          <w:lang w:val="en-GB"/>
        </w:rPr>
        <w:t>B</w:t>
      </w:r>
      <w:r w:rsidR="00176286" w:rsidRPr="000C037C">
        <w:rPr>
          <w:rFonts w:ascii="Arial" w:hAnsi="Arial" w:cs="Arial"/>
          <w:sz w:val="22"/>
          <w:szCs w:val="22"/>
          <w:lang w:val="en-GB"/>
        </w:rPr>
        <w:t xml:space="preserve">oard of directors controls both </w:t>
      </w:r>
      <w:r w:rsidR="00BC5A60" w:rsidRPr="000C037C">
        <w:rPr>
          <w:rFonts w:ascii="Arial" w:hAnsi="Arial" w:cs="Arial"/>
          <w:sz w:val="22"/>
          <w:szCs w:val="22"/>
          <w:lang w:val="en-GB"/>
        </w:rPr>
        <w:t>HGL</w:t>
      </w:r>
      <w:r w:rsidR="00176286" w:rsidRPr="000C037C">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sidRPr="008579B1">
        <w:rPr>
          <w:rFonts w:ascii="Arial" w:hAnsi="Arial" w:cs="Arial"/>
          <w:sz w:val="22"/>
          <w:szCs w:val="22"/>
          <w:lang w:val="en-GB"/>
        </w:rPr>
        <w:t>T</w:t>
      </w:r>
      <w:r w:rsidR="004D468D" w:rsidRPr="008579B1">
        <w:rPr>
          <w:rFonts w:ascii="Arial" w:hAnsi="Arial" w:cs="Arial"/>
          <w:sz w:val="22"/>
          <w:szCs w:val="22"/>
          <w:lang w:val="en-GB"/>
        </w:rPr>
        <w:t xml:space="preserve">he joint venture </w:t>
      </w:r>
      <w:r w:rsidR="00C57CC1" w:rsidRPr="008579B1">
        <w:rPr>
          <w:rFonts w:ascii="Arial" w:hAnsi="Arial" w:cs="Arial"/>
          <w:sz w:val="22"/>
          <w:szCs w:val="22"/>
          <w:lang w:val="en-GB"/>
        </w:rPr>
        <w:t xml:space="preserve">proved to be </w:t>
      </w:r>
      <w:r w:rsidR="00FC7249" w:rsidRPr="008579B1">
        <w:rPr>
          <w:rFonts w:ascii="Arial" w:hAnsi="Arial" w:cs="Arial"/>
          <w:sz w:val="22"/>
          <w:szCs w:val="22"/>
          <w:lang w:val="en-GB"/>
        </w:rPr>
        <w:t>unprofitable</w:t>
      </w:r>
      <w:r w:rsidR="00C15EA3" w:rsidRPr="008579B1">
        <w:rPr>
          <w:rFonts w:ascii="Arial" w:hAnsi="Arial" w:cs="Arial"/>
          <w:sz w:val="22"/>
          <w:szCs w:val="22"/>
          <w:lang w:val="en-GB"/>
        </w:rPr>
        <w:t xml:space="preserve"> and the plant ceased operations in </w:t>
      </w:r>
      <w:r w:rsidR="004D468D" w:rsidRPr="008579B1">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Pr="00E6084A"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sidRPr="008A6EC5">
        <w:rPr>
          <w:rFonts w:ascii="Arial" w:hAnsi="Arial" w:cs="Arial"/>
          <w:sz w:val="22"/>
          <w:szCs w:val="22"/>
          <w:lang w:val="en-GB"/>
        </w:rPr>
        <w:t>. This plant has only been in operation for one year. The funding for th</w:t>
      </w:r>
      <w:r w:rsidR="00ED14CB" w:rsidRPr="008A6EC5">
        <w:rPr>
          <w:rFonts w:ascii="Arial" w:hAnsi="Arial" w:cs="Arial"/>
          <w:sz w:val="22"/>
          <w:szCs w:val="22"/>
          <w:lang w:val="en-GB"/>
        </w:rPr>
        <w:t>e Perth</w:t>
      </w:r>
      <w:r w:rsidR="00FA0CE9" w:rsidRPr="008A6EC5">
        <w:rPr>
          <w:rFonts w:ascii="Arial" w:hAnsi="Arial" w:cs="Arial"/>
          <w:sz w:val="22"/>
          <w:szCs w:val="22"/>
          <w:lang w:val="en-GB"/>
        </w:rPr>
        <w:t xml:space="preserve"> plant has been provided by a </w:t>
      </w:r>
      <w:r w:rsidR="002A2C11" w:rsidRPr="008A6EC5">
        <w:rPr>
          <w:rFonts w:ascii="Arial" w:hAnsi="Arial" w:cs="Arial"/>
          <w:sz w:val="22"/>
          <w:szCs w:val="22"/>
          <w:lang w:val="en-GB"/>
        </w:rPr>
        <w:t xml:space="preserve">major shareholder of </w:t>
      </w:r>
      <w:r w:rsidR="00BC5A60" w:rsidRPr="008A6EC5">
        <w:rPr>
          <w:rFonts w:ascii="Arial" w:hAnsi="Arial" w:cs="Arial"/>
          <w:sz w:val="22"/>
          <w:szCs w:val="22"/>
          <w:lang w:val="en-GB"/>
        </w:rPr>
        <w:t>HGL</w:t>
      </w:r>
      <w:r w:rsidR="00FA0CE9" w:rsidRPr="008A6EC5">
        <w:rPr>
          <w:rFonts w:ascii="Arial" w:hAnsi="Arial" w:cs="Arial"/>
          <w:sz w:val="22"/>
          <w:szCs w:val="22"/>
          <w:lang w:val="en-GB"/>
        </w:rPr>
        <w:t xml:space="preserve"> as an unsecured loan for </w:t>
      </w:r>
      <w:r w:rsidR="001316B3" w:rsidRPr="008A6EC5">
        <w:rPr>
          <w:rFonts w:ascii="Arial" w:hAnsi="Arial" w:cs="Arial"/>
          <w:sz w:val="22"/>
          <w:szCs w:val="22"/>
          <w:lang w:val="en-GB"/>
        </w:rPr>
        <w:t xml:space="preserve">AUD </w:t>
      </w:r>
      <w:r w:rsidR="00FA0CE9" w:rsidRPr="008A6EC5">
        <w:rPr>
          <w:rFonts w:ascii="Arial" w:hAnsi="Arial" w:cs="Arial"/>
          <w:sz w:val="22"/>
          <w:szCs w:val="22"/>
          <w:lang w:val="en-GB"/>
        </w:rPr>
        <w:t>30</w:t>
      </w:r>
      <w:r w:rsidR="00867C22" w:rsidRPr="008A6EC5">
        <w:rPr>
          <w:rFonts w:ascii="Arial" w:hAnsi="Arial" w:cs="Arial"/>
          <w:sz w:val="22"/>
          <w:szCs w:val="22"/>
          <w:lang w:val="en-GB"/>
        </w:rPr>
        <w:t> </w:t>
      </w:r>
      <w:r w:rsidR="00FA0CE9" w:rsidRPr="008A6EC5">
        <w:rPr>
          <w:rFonts w:ascii="Arial" w:hAnsi="Arial" w:cs="Arial"/>
          <w:sz w:val="22"/>
          <w:szCs w:val="22"/>
          <w:lang w:val="en-GB"/>
        </w:rPr>
        <w:t>million. The loan agreement provides that the loan</w:t>
      </w:r>
      <w:r w:rsidR="00FA0CE9">
        <w:rPr>
          <w:rFonts w:ascii="Arial" w:hAnsi="Arial" w:cs="Arial"/>
          <w:sz w:val="22"/>
          <w:szCs w:val="22"/>
          <w:lang w:val="en-GB"/>
        </w:rPr>
        <w:t xml:space="preserve">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w:t>
      </w:r>
      <w:r w:rsidR="00FA0CE9" w:rsidRPr="00E6084A">
        <w:rPr>
          <w:rFonts w:ascii="Arial" w:hAnsi="Arial" w:cs="Arial"/>
          <w:sz w:val="22"/>
          <w:szCs w:val="22"/>
          <w:lang w:val="en-GB"/>
        </w:rPr>
        <w:t>e loan becomes automatically due and payable in full if HA</w:t>
      </w:r>
      <w:r w:rsidR="00FC7249" w:rsidRPr="00E6084A">
        <w:rPr>
          <w:rFonts w:ascii="Arial" w:hAnsi="Arial" w:cs="Arial"/>
          <w:sz w:val="22"/>
          <w:szCs w:val="22"/>
          <w:lang w:val="en-GB"/>
        </w:rPr>
        <w:t xml:space="preserve"> </w:t>
      </w:r>
      <w:r w:rsidR="00FA0CE9" w:rsidRPr="00E6084A">
        <w:rPr>
          <w:rFonts w:ascii="Arial" w:hAnsi="Arial" w:cs="Arial"/>
          <w:sz w:val="22"/>
          <w:szCs w:val="22"/>
          <w:lang w:val="en-GB"/>
        </w:rPr>
        <w:t>enters into any formal insolvency or restructuring process</w:t>
      </w:r>
      <w:r w:rsidR="002A2C11" w:rsidRPr="00E6084A">
        <w:rPr>
          <w:rFonts w:ascii="Arial" w:hAnsi="Arial" w:cs="Arial"/>
          <w:sz w:val="22"/>
          <w:szCs w:val="22"/>
          <w:lang w:val="en-GB"/>
        </w:rPr>
        <w:t xml:space="preserve"> in Australia</w:t>
      </w:r>
      <w:r w:rsidR="00FA0CE9" w:rsidRPr="00E6084A">
        <w:rPr>
          <w:rFonts w:ascii="Arial" w:hAnsi="Arial" w:cs="Arial"/>
          <w:sz w:val="22"/>
          <w:szCs w:val="22"/>
          <w:lang w:val="en-GB"/>
        </w:rPr>
        <w:t>.</w:t>
      </w:r>
    </w:p>
    <w:p w14:paraId="6618D989" w14:textId="625E43B8" w:rsidR="00FC7249" w:rsidRPr="00E6084A"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sidRPr="00E6084A">
        <w:rPr>
          <w:rFonts w:ascii="Arial" w:hAnsi="Arial" w:cs="Arial"/>
          <w:sz w:val="22"/>
          <w:szCs w:val="22"/>
          <w:lang w:val="en-GB"/>
        </w:rPr>
        <w:t xml:space="preserve">HA also owns three large trucks </w:t>
      </w:r>
      <w:r w:rsidR="001316B3" w:rsidRPr="00E6084A">
        <w:rPr>
          <w:rFonts w:ascii="Arial" w:hAnsi="Arial" w:cs="Arial"/>
          <w:sz w:val="22"/>
          <w:szCs w:val="22"/>
          <w:lang w:val="en-GB"/>
        </w:rPr>
        <w:t>that</w:t>
      </w:r>
      <w:r w:rsidRPr="00E6084A">
        <w:rPr>
          <w:rFonts w:ascii="Arial" w:hAnsi="Arial" w:cs="Arial"/>
          <w:sz w:val="22"/>
          <w:szCs w:val="22"/>
          <w:lang w:val="en-GB"/>
        </w:rPr>
        <w:t xml:space="preserve"> transport waste oil to the Perth re-refining plant and transport re-refined oil to HA’s customers. Those trucks were purchased with a </w:t>
      </w:r>
      <w:r w:rsidR="001316B3" w:rsidRPr="00E6084A">
        <w:rPr>
          <w:rFonts w:ascii="Arial" w:hAnsi="Arial" w:cs="Arial"/>
          <w:sz w:val="22"/>
          <w:szCs w:val="22"/>
          <w:lang w:val="en-GB"/>
        </w:rPr>
        <w:t xml:space="preserve">AUD </w:t>
      </w:r>
      <w:r w:rsidRPr="00E6084A">
        <w:rPr>
          <w:rFonts w:ascii="Arial" w:hAnsi="Arial" w:cs="Arial"/>
          <w:sz w:val="22"/>
          <w:szCs w:val="22"/>
          <w:lang w:val="en-GB"/>
        </w:rPr>
        <w:t>3 million loan from the Commonwealth Bank of Australia</w:t>
      </w:r>
      <w:r w:rsidR="002A2C11" w:rsidRPr="00E6084A">
        <w:rPr>
          <w:rFonts w:ascii="Arial" w:hAnsi="Arial" w:cs="Arial"/>
          <w:sz w:val="22"/>
          <w:szCs w:val="22"/>
          <w:lang w:val="en-GB"/>
        </w:rPr>
        <w:t xml:space="preserve"> (CBA)</w:t>
      </w:r>
      <w:r w:rsidRPr="00E6084A">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lastRenderedPageBreak/>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w:t>
      </w:r>
      <w:r w:rsidR="00EB080B" w:rsidRPr="005E02C9">
        <w:rPr>
          <w:rFonts w:ascii="Arial" w:hAnsi="Arial" w:cs="Arial"/>
          <w:sz w:val="22"/>
          <w:szCs w:val="22"/>
          <w:lang w:val="en-GB"/>
        </w:rPr>
        <w:t xml:space="preserve">borrowing </w:t>
      </w:r>
      <w:r w:rsidR="001316B3" w:rsidRPr="005E02C9">
        <w:rPr>
          <w:rFonts w:ascii="Arial" w:hAnsi="Arial" w:cs="Arial"/>
          <w:sz w:val="22"/>
          <w:szCs w:val="22"/>
          <w:lang w:val="en-GB"/>
        </w:rPr>
        <w:t xml:space="preserve">AUD </w:t>
      </w:r>
      <w:r w:rsidR="00785534" w:rsidRPr="005E02C9">
        <w:rPr>
          <w:rFonts w:ascii="Arial" w:hAnsi="Arial" w:cs="Arial"/>
          <w:sz w:val="22"/>
          <w:szCs w:val="22"/>
          <w:lang w:val="en-GB"/>
        </w:rPr>
        <w:t xml:space="preserve">5 million from its parent company </w:t>
      </w:r>
      <w:r w:rsidR="00BC5A60" w:rsidRPr="005E02C9">
        <w:rPr>
          <w:rFonts w:ascii="Arial" w:hAnsi="Arial" w:cs="Arial"/>
          <w:sz w:val="22"/>
          <w:szCs w:val="22"/>
          <w:lang w:val="en-GB"/>
        </w:rPr>
        <w:t>HGL</w:t>
      </w:r>
      <w:r w:rsidR="00785534" w:rsidRPr="005E02C9">
        <w:rPr>
          <w:rFonts w:ascii="Arial" w:hAnsi="Arial" w:cs="Arial"/>
          <w:sz w:val="22"/>
          <w:szCs w:val="22"/>
          <w:lang w:val="en-GB"/>
        </w:rPr>
        <w:t xml:space="preserve">. </w:t>
      </w:r>
      <w:r w:rsidR="00EB080B" w:rsidRPr="005E02C9">
        <w:rPr>
          <w:rFonts w:ascii="Arial" w:hAnsi="Arial" w:cs="Arial"/>
          <w:sz w:val="22"/>
          <w:szCs w:val="22"/>
          <w:lang w:val="en-GB"/>
        </w:rPr>
        <w:t xml:space="preserve">It made </w:t>
      </w:r>
      <w:r w:rsidR="002A2C11" w:rsidRPr="005E02C9">
        <w:rPr>
          <w:rFonts w:ascii="Arial" w:hAnsi="Arial" w:cs="Arial"/>
          <w:sz w:val="22"/>
          <w:szCs w:val="22"/>
          <w:lang w:val="en-GB"/>
        </w:rPr>
        <w:t xml:space="preserve">only a small </w:t>
      </w:r>
      <w:r w:rsidR="00EB080B" w:rsidRPr="005E02C9">
        <w:rPr>
          <w:rFonts w:ascii="Arial" w:hAnsi="Arial" w:cs="Arial"/>
          <w:sz w:val="22"/>
          <w:szCs w:val="22"/>
          <w:lang w:val="en-GB"/>
        </w:rPr>
        <w:t xml:space="preserve">profit from its Perth </w:t>
      </w:r>
      <w:r w:rsidR="002A2C11" w:rsidRPr="005E02C9">
        <w:rPr>
          <w:rFonts w:ascii="Arial" w:hAnsi="Arial" w:cs="Arial"/>
          <w:sz w:val="22"/>
          <w:szCs w:val="22"/>
          <w:lang w:val="en-GB"/>
        </w:rPr>
        <w:t>re-</w:t>
      </w:r>
      <w:r w:rsidR="00EB080B" w:rsidRPr="005E02C9">
        <w:rPr>
          <w:rFonts w:ascii="Arial" w:hAnsi="Arial" w:cs="Arial"/>
          <w:sz w:val="22"/>
          <w:szCs w:val="22"/>
          <w:lang w:val="en-GB"/>
        </w:rPr>
        <w:t>refining plant</w:t>
      </w:r>
      <w:r w:rsidR="002A2C11" w:rsidRPr="005E02C9">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19DC798"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r w:rsidR="003706FC" w:rsidRPr="003706FC">
        <w:rPr>
          <w:rFonts w:ascii="Arial" w:hAnsi="Arial" w:cs="Arial"/>
          <w:sz w:val="22"/>
          <w:szCs w:val="22"/>
          <w:lang w:val="en-GB"/>
        </w:rPr>
        <w:t xml:space="preserve"> </w:t>
      </w:r>
    </w:p>
    <w:p w14:paraId="170E3D8F" w14:textId="77777777" w:rsidR="003A540E" w:rsidRDefault="003A540E" w:rsidP="00FC7249">
      <w:pPr>
        <w:jc w:val="both"/>
        <w:rPr>
          <w:rFonts w:ascii="Arial" w:hAnsi="Arial" w:cs="Arial"/>
          <w:sz w:val="22"/>
          <w:szCs w:val="22"/>
          <w:lang w:val="en-GB"/>
        </w:rPr>
      </w:pPr>
    </w:p>
    <w:p w14:paraId="4C525AE9" w14:textId="7490BADB"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bookmarkEnd w:id="0"/>
    <w:bookmarkEnd w:id="1"/>
    <w:p w14:paraId="71D91FAF" w14:textId="63A36682" w:rsidR="00614B2C" w:rsidRDefault="00614B2C" w:rsidP="002D62AD">
      <w:pPr>
        <w:autoSpaceDE w:val="0"/>
        <w:autoSpaceDN w:val="0"/>
        <w:adjustRightInd w:val="0"/>
        <w:jc w:val="both"/>
        <w:rPr>
          <w:rFonts w:ascii="Arial" w:hAnsi="Arial" w:cs="Arial"/>
          <w:sz w:val="22"/>
          <w:szCs w:val="22"/>
          <w:lang w:val="en-GB"/>
        </w:rPr>
      </w:pPr>
    </w:p>
    <w:p w14:paraId="0EA07E1E" w14:textId="3E130629" w:rsidR="0066099F" w:rsidRDefault="0066099F" w:rsidP="002D62AD">
      <w:pPr>
        <w:autoSpaceDE w:val="0"/>
        <w:autoSpaceDN w:val="0"/>
        <w:adjustRightInd w:val="0"/>
        <w:jc w:val="both"/>
        <w:rPr>
          <w:rFonts w:ascii="Arial" w:hAnsi="Arial" w:cs="Arial"/>
          <w:sz w:val="22"/>
          <w:szCs w:val="22"/>
          <w:lang w:val="en-GB"/>
        </w:rPr>
      </w:pPr>
    </w:p>
    <w:p w14:paraId="542D9229" w14:textId="5E00AA2E" w:rsidR="0066099F" w:rsidRPr="005010DC" w:rsidRDefault="0066099F" w:rsidP="002D62AD">
      <w:pPr>
        <w:autoSpaceDE w:val="0"/>
        <w:autoSpaceDN w:val="0"/>
        <w:adjustRightInd w:val="0"/>
        <w:jc w:val="both"/>
        <w:rPr>
          <w:rFonts w:ascii="Arial" w:eastAsiaTheme="minorEastAsia" w:hAnsi="Arial" w:cs="Arial"/>
          <w:sz w:val="22"/>
          <w:szCs w:val="22"/>
          <w:lang w:val="en-GB" w:eastAsia="zh-CN"/>
        </w:rPr>
      </w:pPr>
      <w:r>
        <w:rPr>
          <w:rFonts w:ascii="Arial" w:eastAsiaTheme="minorEastAsia" w:hAnsi="Arial" w:cs="Arial" w:hint="eastAsia"/>
          <w:sz w:val="22"/>
          <w:szCs w:val="22"/>
          <w:lang w:val="en-GB" w:eastAsia="zh-CN"/>
        </w:rPr>
        <w:t>I</w:t>
      </w:r>
      <w:r>
        <w:rPr>
          <w:rFonts w:ascii="Arial" w:eastAsiaTheme="minorEastAsia" w:hAnsi="Arial" w:cs="Arial"/>
          <w:sz w:val="22"/>
          <w:szCs w:val="22"/>
          <w:lang w:val="en-GB" w:eastAsia="zh-CN"/>
        </w:rPr>
        <w:t xml:space="preserve"> will advise the </w:t>
      </w:r>
      <w:r>
        <w:rPr>
          <w:rFonts w:ascii="Arial" w:hAnsi="Arial" w:cs="Arial"/>
          <w:sz w:val="22"/>
          <w:szCs w:val="22"/>
          <w:lang w:val="en-GB"/>
        </w:rPr>
        <w:t>Board to</w:t>
      </w:r>
      <w:r w:rsidR="00946F13">
        <w:rPr>
          <w:rFonts w:ascii="Arial" w:hAnsi="Arial" w:cs="Arial"/>
          <w:sz w:val="22"/>
          <w:szCs w:val="22"/>
          <w:lang w:val="en-GB"/>
        </w:rPr>
        <w:t xml:space="preserve"> initiate</w:t>
      </w:r>
      <w:r w:rsidR="00A51DBE">
        <w:rPr>
          <w:rFonts w:ascii="Arial" w:hAnsi="Arial" w:cs="Arial"/>
          <w:sz w:val="22"/>
          <w:szCs w:val="22"/>
          <w:lang w:val="en-GB"/>
        </w:rPr>
        <w:t xml:space="preserve"> HA’s</w:t>
      </w:r>
      <w:r w:rsidR="00946F13">
        <w:rPr>
          <w:rFonts w:ascii="Arial" w:hAnsi="Arial" w:cs="Arial"/>
          <w:sz w:val="22"/>
          <w:szCs w:val="22"/>
          <w:lang w:val="en-GB"/>
        </w:rPr>
        <w:t xml:space="preserve"> voluntary administration</w:t>
      </w:r>
      <w:r w:rsidR="00B82974">
        <w:rPr>
          <w:rFonts w:ascii="Arial" w:hAnsi="Arial" w:cs="Arial"/>
          <w:sz w:val="22"/>
          <w:szCs w:val="22"/>
          <w:lang w:val="en-GB"/>
        </w:rPr>
        <w:t xml:space="preserve"> as soon as possible</w:t>
      </w:r>
      <w:r w:rsidR="00A24109">
        <w:rPr>
          <w:rFonts w:ascii="Arial" w:hAnsi="Arial" w:cs="Arial"/>
          <w:sz w:val="22"/>
          <w:szCs w:val="22"/>
          <w:lang w:val="en-GB"/>
        </w:rPr>
        <w:t xml:space="preserve"> and try their best to prepare for proof of the “</w:t>
      </w:r>
      <w:r w:rsidR="00A24109" w:rsidRPr="00F45562">
        <w:rPr>
          <w:rFonts w:ascii="Arial" w:hAnsi="Arial" w:cs="Arial" w:hint="eastAsia"/>
          <w:sz w:val="22"/>
          <w:szCs w:val="22"/>
          <w:lang w:val="en-GB"/>
        </w:rPr>
        <w:t>course</w:t>
      </w:r>
      <w:r w:rsidR="00A24109">
        <w:rPr>
          <w:rFonts w:ascii="Arial" w:hAnsi="Arial" w:cs="Arial"/>
          <w:sz w:val="22"/>
          <w:szCs w:val="22"/>
          <w:lang w:val="en-GB"/>
        </w:rPr>
        <w:t xml:space="preserve"> </w:t>
      </w:r>
      <w:r w:rsidR="00A24109" w:rsidRPr="00F45562">
        <w:rPr>
          <w:rFonts w:ascii="Arial" w:hAnsi="Arial" w:cs="Arial" w:hint="eastAsia"/>
          <w:sz w:val="22"/>
          <w:szCs w:val="22"/>
          <w:lang w:val="en-GB"/>
        </w:rPr>
        <w:t>of</w:t>
      </w:r>
      <w:r w:rsidR="00A24109">
        <w:rPr>
          <w:rFonts w:ascii="Arial" w:hAnsi="Arial" w:cs="Arial"/>
          <w:sz w:val="22"/>
          <w:szCs w:val="22"/>
          <w:lang w:val="en-GB"/>
        </w:rPr>
        <w:t xml:space="preserve"> </w:t>
      </w:r>
      <w:r w:rsidR="00A24109" w:rsidRPr="00F45562">
        <w:rPr>
          <w:rFonts w:ascii="Arial" w:hAnsi="Arial" w:cs="Arial" w:hint="eastAsia"/>
          <w:sz w:val="22"/>
          <w:szCs w:val="22"/>
          <w:lang w:val="en-GB"/>
        </w:rPr>
        <w:t>action</w:t>
      </w:r>
      <w:r w:rsidR="00A24109">
        <w:rPr>
          <w:rFonts w:ascii="Arial" w:hAnsi="Arial" w:cs="Arial"/>
          <w:sz w:val="22"/>
          <w:szCs w:val="22"/>
          <w:lang w:val="en-GB"/>
        </w:rPr>
        <w:t xml:space="preserve">” developed </w:t>
      </w:r>
      <w:r w:rsidR="000C4A10">
        <w:rPr>
          <w:rFonts w:ascii="Arial" w:hAnsi="Arial" w:cs="Arial"/>
          <w:sz w:val="22"/>
          <w:szCs w:val="22"/>
          <w:lang w:val="en-GB"/>
        </w:rPr>
        <w:t>between October 2020 and October 2021</w:t>
      </w:r>
      <w:r>
        <w:rPr>
          <w:rFonts w:ascii="Arial" w:hAnsi="Arial" w:cs="Arial"/>
          <w:sz w:val="22"/>
          <w:szCs w:val="22"/>
          <w:lang w:val="en-GB"/>
        </w:rPr>
        <w:t xml:space="preserve">. </w:t>
      </w:r>
      <w:r w:rsidR="009E39DC">
        <w:rPr>
          <w:rFonts w:ascii="Arial" w:hAnsi="Arial" w:cs="Arial"/>
          <w:sz w:val="22"/>
          <w:szCs w:val="22"/>
          <w:lang w:val="en-GB"/>
        </w:rPr>
        <w:t>To reach that conclusion, t</w:t>
      </w:r>
      <w:r>
        <w:rPr>
          <w:rFonts w:ascii="Arial" w:hAnsi="Arial" w:cs="Arial"/>
          <w:sz w:val="22"/>
          <w:szCs w:val="22"/>
          <w:lang w:val="en-GB"/>
        </w:rPr>
        <w:t>he</w:t>
      </w:r>
      <w:r w:rsidR="000B3919" w:rsidRPr="000B3919">
        <w:rPr>
          <w:rFonts w:ascii="Arial" w:hAnsi="Arial" w:cs="Arial"/>
          <w:sz w:val="22"/>
          <w:szCs w:val="22"/>
          <w:lang w:val="en-GB"/>
        </w:rPr>
        <w:t xml:space="preserve"> </w:t>
      </w:r>
      <w:r w:rsidR="000B3919">
        <w:rPr>
          <w:rFonts w:ascii="Arial" w:hAnsi="Arial" w:cs="Arial"/>
          <w:sz w:val="22"/>
          <w:szCs w:val="22"/>
          <w:lang w:val="en-GB"/>
        </w:rPr>
        <w:t>board should be aware of the following main</w:t>
      </w:r>
      <w:r>
        <w:rPr>
          <w:rFonts w:ascii="Arial" w:hAnsi="Arial" w:cs="Arial"/>
          <w:sz w:val="22"/>
          <w:szCs w:val="22"/>
          <w:lang w:val="en-GB"/>
        </w:rPr>
        <w:t xml:space="preserve"> issues as followed.</w:t>
      </w:r>
    </w:p>
    <w:p w14:paraId="23625E02" w14:textId="77777777" w:rsidR="00634032" w:rsidRDefault="000B3919" w:rsidP="00F87A3B">
      <w:pPr>
        <w:jc w:val="both"/>
        <w:rPr>
          <w:rFonts w:ascii="Arial" w:hAnsi="Arial" w:cs="Arial"/>
          <w:sz w:val="22"/>
          <w:szCs w:val="22"/>
          <w:lang w:val="en-GB"/>
        </w:rPr>
      </w:pPr>
      <w:r>
        <w:rPr>
          <w:rFonts w:ascii="Arial" w:eastAsiaTheme="minorEastAsia" w:hAnsi="Arial" w:cs="Arial" w:hint="eastAsia"/>
          <w:sz w:val="22"/>
          <w:szCs w:val="22"/>
          <w:lang w:val="en-GB" w:eastAsia="zh-CN"/>
        </w:rPr>
        <w:t>1</w:t>
      </w:r>
      <w:r>
        <w:rPr>
          <w:rFonts w:ascii="Arial" w:eastAsiaTheme="minorEastAsia" w:hAnsi="Arial" w:cs="Arial"/>
          <w:sz w:val="22"/>
          <w:szCs w:val="22"/>
          <w:lang w:val="en-GB" w:eastAsia="zh-CN"/>
        </w:rPr>
        <w:t xml:space="preserve">. </w:t>
      </w:r>
      <w:r w:rsidR="00626939">
        <w:rPr>
          <w:rFonts w:ascii="Arial" w:hAnsi="Arial" w:cs="Arial"/>
          <w:sz w:val="22"/>
          <w:szCs w:val="22"/>
          <w:lang w:val="en-GB"/>
        </w:rPr>
        <w:t>Whether t</w:t>
      </w:r>
      <w:r w:rsidR="00B82974" w:rsidRPr="005010DC">
        <w:rPr>
          <w:rFonts w:ascii="Arial" w:hAnsi="Arial" w:cs="Arial"/>
          <w:sz w:val="22"/>
          <w:szCs w:val="22"/>
          <w:lang w:val="en-GB"/>
        </w:rPr>
        <w:t xml:space="preserve">he </w:t>
      </w:r>
      <w:r w:rsidR="00626939">
        <w:rPr>
          <w:rFonts w:ascii="Arial" w:hAnsi="Arial" w:cs="Arial"/>
          <w:sz w:val="22"/>
          <w:szCs w:val="22"/>
          <w:lang w:val="en-GB"/>
        </w:rPr>
        <w:t>B</w:t>
      </w:r>
      <w:r w:rsidR="00B82974" w:rsidRPr="005010DC">
        <w:rPr>
          <w:rFonts w:ascii="Arial" w:hAnsi="Arial" w:cs="Arial"/>
          <w:sz w:val="22"/>
          <w:szCs w:val="22"/>
          <w:lang w:val="en-GB"/>
        </w:rPr>
        <w:t xml:space="preserve">oard should </w:t>
      </w:r>
      <w:r w:rsidR="00901A66">
        <w:rPr>
          <w:rFonts w:ascii="Arial" w:hAnsi="Arial" w:cs="Arial"/>
          <w:sz w:val="22"/>
          <w:szCs w:val="22"/>
          <w:lang w:val="en-GB"/>
        </w:rPr>
        <w:t>take steps</w:t>
      </w:r>
      <w:r w:rsidR="00B82974" w:rsidRPr="005010DC">
        <w:rPr>
          <w:rFonts w:ascii="Arial" w:hAnsi="Arial" w:cs="Arial"/>
          <w:sz w:val="22"/>
          <w:szCs w:val="22"/>
          <w:lang w:val="en-GB"/>
        </w:rPr>
        <w:t xml:space="preserve"> </w:t>
      </w:r>
      <w:r w:rsidR="00E878C8" w:rsidRPr="005010DC">
        <w:rPr>
          <w:rFonts w:ascii="Arial" w:hAnsi="Arial" w:cs="Arial"/>
          <w:sz w:val="22"/>
          <w:szCs w:val="22"/>
          <w:lang w:val="en-GB"/>
        </w:rPr>
        <w:t>to</w:t>
      </w:r>
      <w:r w:rsidR="00901A66">
        <w:rPr>
          <w:rFonts w:ascii="Arial" w:hAnsi="Arial" w:cs="Arial"/>
          <w:sz w:val="22"/>
          <w:szCs w:val="22"/>
          <w:lang w:val="en-GB"/>
        </w:rPr>
        <w:t xml:space="preserve"> prevent</w:t>
      </w:r>
      <w:r w:rsidR="00E878C8" w:rsidRPr="005010DC">
        <w:rPr>
          <w:rFonts w:ascii="Arial" w:hAnsi="Arial" w:cs="Arial"/>
          <w:sz w:val="22"/>
          <w:szCs w:val="22"/>
          <w:lang w:val="en-GB"/>
        </w:rPr>
        <w:t xml:space="preserve"> further “insolvent trading” liabilities. </w:t>
      </w:r>
      <w:r w:rsidR="00E878C8">
        <w:rPr>
          <w:rFonts w:ascii="Arial" w:hAnsi="Arial" w:cs="Arial"/>
          <w:sz w:val="22"/>
          <w:szCs w:val="22"/>
          <w:lang w:val="en-GB"/>
        </w:rPr>
        <w:t xml:space="preserve">As the Board </w:t>
      </w:r>
      <w:r w:rsidR="00E823F3">
        <w:rPr>
          <w:rFonts w:ascii="Arial" w:hAnsi="Arial" w:cs="Arial"/>
          <w:sz w:val="22"/>
          <w:szCs w:val="22"/>
          <w:lang w:val="en-GB"/>
        </w:rPr>
        <w:t>was</w:t>
      </w:r>
      <w:r w:rsidR="00E878C8">
        <w:rPr>
          <w:rFonts w:ascii="Arial" w:hAnsi="Arial" w:cs="Arial"/>
          <w:sz w:val="22"/>
          <w:szCs w:val="22"/>
          <w:lang w:val="en-GB"/>
        </w:rPr>
        <w:t xml:space="preserve"> already </w:t>
      </w:r>
      <w:r w:rsidR="00E823F3">
        <w:rPr>
          <w:rFonts w:ascii="Arial" w:hAnsi="Arial" w:cs="Arial"/>
          <w:sz w:val="22"/>
          <w:szCs w:val="22"/>
          <w:lang w:val="en-GB"/>
        </w:rPr>
        <w:t>aware</w:t>
      </w:r>
      <w:r w:rsidR="00E878C8">
        <w:rPr>
          <w:rFonts w:ascii="Arial" w:hAnsi="Arial" w:cs="Arial"/>
          <w:sz w:val="22"/>
          <w:szCs w:val="22"/>
          <w:lang w:val="en-GB"/>
        </w:rPr>
        <w:t xml:space="preserve"> that HA has been insolvent since the judgment </w:t>
      </w:r>
      <w:r w:rsidR="00A51DBE">
        <w:rPr>
          <w:rFonts w:ascii="Arial" w:hAnsi="Arial" w:cs="Arial"/>
          <w:sz w:val="22"/>
          <w:szCs w:val="22"/>
          <w:lang w:val="en-GB"/>
        </w:rPr>
        <w:t>rendered</w:t>
      </w:r>
      <w:r w:rsidR="00E878C8">
        <w:rPr>
          <w:rFonts w:ascii="Arial" w:hAnsi="Arial" w:cs="Arial"/>
          <w:sz w:val="22"/>
          <w:szCs w:val="22"/>
          <w:lang w:val="en-GB"/>
        </w:rPr>
        <w:t xml:space="preserve"> in October 2020, </w:t>
      </w:r>
      <w:r w:rsidR="00E823F3" w:rsidRPr="00E823F3">
        <w:rPr>
          <w:rFonts w:ascii="Arial" w:hAnsi="Arial" w:cs="Arial" w:hint="eastAsia"/>
          <w:sz w:val="22"/>
          <w:szCs w:val="22"/>
          <w:lang w:val="en-GB"/>
        </w:rPr>
        <w:t>ever</w:t>
      </w:r>
      <w:r w:rsidR="00E823F3">
        <w:rPr>
          <w:rFonts w:ascii="Arial" w:hAnsi="Arial" w:cs="Arial"/>
          <w:sz w:val="22"/>
          <w:szCs w:val="22"/>
          <w:lang w:val="en-GB"/>
        </w:rPr>
        <w:t xml:space="preserve"> </w:t>
      </w:r>
      <w:r w:rsidR="00E823F3" w:rsidRPr="00E823F3">
        <w:rPr>
          <w:rFonts w:ascii="Arial" w:hAnsi="Arial" w:cs="Arial" w:hint="eastAsia"/>
          <w:sz w:val="22"/>
          <w:szCs w:val="22"/>
          <w:lang w:val="en-GB"/>
        </w:rPr>
        <w:t>since</w:t>
      </w:r>
      <w:r w:rsidR="00E823F3">
        <w:rPr>
          <w:rFonts w:ascii="Arial" w:hAnsi="Arial" w:cs="Arial"/>
          <w:sz w:val="22"/>
          <w:szCs w:val="22"/>
          <w:lang w:val="en-GB"/>
        </w:rPr>
        <w:t xml:space="preserve"> </w:t>
      </w:r>
      <w:r w:rsidR="00E823F3" w:rsidRPr="00E823F3">
        <w:rPr>
          <w:rFonts w:ascii="Arial" w:hAnsi="Arial" w:cs="Arial" w:hint="eastAsia"/>
          <w:sz w:val="22"/>
          <w:szCs w:val="22"/>
          <w:lang w:val="en-GB"/>
        </w:rPr>
        <w:t>the</w:t>
      </w:r>
      <w:r w:rsidR="00746CE7">
        <w:rPr>
          <w:rFonts w:ascii="Arial" w:hAnsi="Arial" w:cs="Arial"/>
          <w:sz w:val="22"/>
          <w:szCs w:val="22"/>
          <w:lang w:val="en-GB"/>
        </w:rPr>
        <w:t xml:space="preserve"> “insolvency </w:t>
      </w:r>
      <w:r w:rsidR="00E823F3">
        <w:rPr>
          <w:rFonts w:ascii="Arial" w:hAnsi="Arial" w:cs="Arial"/>
          <w:sz w:val="22"/>
          <w:szCs w:val="22"/>
          <w:lang w:val="en-GB"/>
        </w:rPr>
        <w:t>event</w:t>
      </w:r>
      <w:r w:rsidR="00746CE7">
        <w:rPr>
          <w:rFonts w:ascii="Arial" w:hAnsi="Arial" w:cs="Arial"/>
          <w:sz w:val="22"/>
          <w:szCs w:val="22"/>
          <w:lang w:val="en-GB"/>
        </w:rPr>
        <w:t>”</w:t>
      </w:r>
      <w:r w:rsidR="00A51DBE">
        <w:rPr>
          <w:rFonts w:ascii="Arial" w:hAnsi="Arial" w:cs="Arial"/>
          <w:sz w:val="22"/>
          <w:szCs w:val="22"/>
          <w:lang w:val="en-GB"/>
        </w:rPr>
        <w:t xml:space="preserve">, </w:t>
      </w:r>
      <w:r w:rsidR="00E878C8" w:rsidRPr="005010DC">
        <w:rPr>
          <w:rFonts w:ascii="Arial" w:hAnsi="Arial" w:cs="Arial"/>
          <w:sz w:val="22"/>
          <w:szCs w:val="22"/>
          <w:lang w:val="en-GB"/>
        </w:rPr>
        <w:t xml:space="preserve">the directors </w:t>
      </w:r>
      <w:r w:rsidR="00DE1DE6">
        <w:rPr>
          <w:rFonts w:ascii="Arial" w:hAnsi="Arial" w:cs="Arial"/>
          <w:sz w:val="22"/>
          <w:szCs w:val="22"/>
          <w:lang w:val="en-GB"/>
        </w:rPr>
        <w:t>owed</w:t>
      </w:r>
      <w:r w:rsidR="00E878C8" w:rsidRPr="005010DC">
        <w:rPr>
          <w:rFonts w:ascii="Arial" w:hAnsi="Arial" w:cs="Arial"/>
          <w:sz w:val="22"/>
          <w:szCs w:val="22"/>
          <w:lang w:val="en-GB"/>
        </w:rPr>
        <w:t xml:space="preserve"> statutory duties to prevent insolvent trading</w:t>
      </w:r>
      <w:r w:rsidR="00DE1DE6">
        <w:rPr>
          <w:rFonts w:ascii="Arial" w:hAnsi="Arial" w:cs="Arial"/>
          <w:sz w:val="22"/>
          <w:szCs w:val="22"/>
          <w:lang w:val="en-GB"/>
        </w:rPr>
        <w:t xml:space="preserve"> made</w:t>
      </w:r>
      <w:r w:rsidR="00A51DBE">
        <w:rPr>
          <w:rFonts w:ascii="Arial" w:hAnsi="Arial" w:cs="Arial"/>
          <w:sz w:val="22"/>
          <w:szCs w:val="22"/>
          <w:lang w:val="en-GB"/>
        </w:rPr>
        <w:t xml:space="preserve"> by HA</w:t>
      </w:r>
      <w:r w:rsidR="00E878C8" w:rsidRPr="005010DC">
        <w:rPr>
          <w:rFonts w:ascii="Arial" w:hAnsi="Arial" w:cs="Arial"/>
          <w:sz w:val="22"/>
          <w:szCs w:val="22"/>
          <w:lang w:val="en-GB"/>
        </w:rPr>
        <w:t>. According to section 588G of the Corporations Act 2001</w:t>
      </w:r>
      <w:r w:rsidR="00387124">
        <w:rPr>
          <w:rFonts w:ascii="Arial" w:hAnsi="Arial" w:cs="Arial"/>
          <w:sz w:val="22"/>
          <w:szCs w:val="22"/>
          <w:lang w:val="en-GB"/>
        </w:rPr>
        <w:t>,</w:t>
      </w:r>
      <w:r w:rsidR="00AD2D01">
        <w:rPr>
          <w:rFonts w:ascii="Arial" w:hAnsi="Arial" w:cs="Arial"/>
          <w:sz w:val="22"/>
          <w:szCs w:val="22"/>
          <w:lang w:val="en-GB"/>
        </w:rPr>
        <w:t xml:space="preserve"> </w:t>
      </w:r>
      <w:r w:rsidR="00CB716D">
        <w:rPr>
          <w:rFonts w:ascii="Arial" w:hAnsi="Arial" w:cs="Arial"/>
          <w:sz w:val="22"/>
          <w:szCs w:val="22"/>
          <w:lang w:val="en-GB"/>
        </w:rPr>
        <w:t>if</w:t>
      </w:r>
      <w:r w:rsidR="00CB716D" w:rsidRPr="005010DC">
        <w:rPr>
          <w:rFonts w:ascii="Arial" w:hAnsi="Arial" w:cs="Arial"/>
          <w:sz w:val="22"/>
          <w:szCs w:val="22"/>
          <w:lang w:val="en-GB"/>
        </w:rPr>
        <w:t xml:space="preserve"> the company is insolvent at </w:t>
      </w:r>
      <w:r w:rsidR="00CB716D">
        <w:rPr>
          <w:rFonts w:ascii="Arial" w:hAnsi="Arial" w:cs="Arial"/>
          <w:sz w:val="22"/>
          <w:szCs w:val="22"/>
          <w:lang w:val="en-GB"/>
        </w:rPr>
        <w:t>the</w:t>
      </w:r>
      <w:r w:rsidR="00CB716D" w:rsidRPr="005010DC">
        <w:rPr>
          <w:rFonts w:ascii="Arial" w:hAnsi="Arial" w:cs="Arial"/>
          <w:sz w:val="22"/>
          <w:szCs w:val="22"/>
          <w:lang w:val="en-GB"/>
        </w:rPr>
        <w:t xml:space="preserve"> time</w:t>
      </w:r>
      <w:r w:rsidR="00CB716D">
        <w:rPr>
          <w:rFonts w:ascii="Arial" w:hAnsi="Arial" w:cs="Arial"/>
          <w:sz w:val="22"/>
          <w:szCs w:val="22"/>
          <w:lang w:val="en-GB"/>
        </w:rPr>
        <w:t xml:space="preserve"> of trading or</w:t>
      </w:r>
      <w:r w:rsidR="00CB716D" w:rsidRPr="005010DC">
        <w:rPr>
          <w:rFonts w:ascii="Arial" w:hAnsi="Arial" w:cs="Arial"/>
          <w:sz w:val="22"/>
          <w:szCs w:val="22"/>
          <w:lang w:val="en-GB"/>
        </w:rPr>
        <w:t xml:space="preserve"> becomes insolvent by incurring that deb</w:t>
      </w:r>
      <w:r w:rsidR="00CB716D">
        <w:rPr>
          <w:rFonts w:ascii="Arial" w:hAnsi="Arial" w:cs="Arial"/>
          <w:sz w:val="22"/>
          <w:szCs w:val="22"/>
          <w:lang w:val="en-GB"/>
        </w:rPr>
        <w:t>t, or there w</w:t>
      </w:r>
      <w:r w:rsidR="008579B1">
        <w:rPr>
          <w:rFonts w:ascii="Arial" w:hAnsi="Arial" w:cs="Arial"/>
          <w:sz w:val="22"/>
          <w:szCs w:val="22"/>
          <w:lang w:val="en-GB"/>
        </w:rPr>
        <w:t>e</w:t>
      </w:r>
      <w:r w:rsidR="00CB716D">
        <w:rPr>
          <w:rFonts w:ascii="Arial" w:hAnsi="Arial" w:cs="Arial"/>
          <w:sz w:val="22"/>
          <w:szCs w:val="22"/>
          <w:lang w:val="en-GB"/>
        </w:rPr>
        <w:t xml:space="preserve">re reasonable grounds to suspect so, </w:t>
      </w:r>
      <w:r w:rsidR="00AD2D01">
        <w:rPr>
          <w:rFonts w:ascii="Arial" w:hAnsi="Arial" w:cs="Arial"/>
          <w:sz w:val="22"/>
          <w:szCs w:val="22"/>
          <w:lang w:val="en-GB"/>
        </w:rPr>
        <w:t xml:space="preserve">a director will be liable for its failure to </w:t>
      </w:r>
      <w:r w:rsidR="00A51DBE">
        <w:rPr>
          <w:rFonts w:ascii="Arial" w:hAnsi="Arial" w:cs="Arial"/>
          <w:sz w:val="22"/>
          <w:szCs w:val="22"/>
          <w:lang w:val="en-GB"/>
        </w:rPr>
        <w:t xml:space="preserve">prevent </w:t>
      </w:r>
      <w:r w:rsidR="005234BA">
        <w:rPr>
          <w:rFonts w:ascii="Arial" w:hAnsi="Arial" w:cs="Arial"/>
          <w:sz w:val="22"/>
          <w:szCs w:val="22"/>
          <w:lang w:val="en-GB"/>
        </w:rPr>
        <w:t xml:space="preserve">such </w:t>
      </w:r>
      <w:r w:rsidR="00A51DBE">
        <w:rPr>
          <w:rFonts w:ascii="Arial" w:hAnsi="Arial" w:cs="Arial"/>
          <w:sz w:val="22"/>
          <w:szCs w:val="22"/>
          <w:lang w:val="en-GB"/>
        </w:rPr>
        <w:t>insolvency trading.</w:t>
      </w:r>
      <w:r w:rsidR="00E823F3">
        <w:rPr>
          <w:rFonts w:ascii="Arial" w:hAnsi="Arial" w:cs="Arial"/>
          <w:sz w:val="22"/>
          <w:szCs w:val="22"/>
          <w:lang w:val="en-GB"/>
        </w:rPr>
        <w:t xml:space="preserve"> </w:t>
      </w:r>
    </w:p>
    <w:p w14:paraId="4317F674" w14:textId="6BB0EA36" w:rsidR="00A70980" w:rsidRPr="000C037C" w:rsidRDefault="00634032" w:rsidP="00F87A3B">
      <w:pPr>
        <w:jc w:val="both"/>
        <w:rPr>
          <w:rFonts w:ascii="Arial" w:hAnsi="Arial" w:cs="Arial"/>
          <w:sz w:val="22"/>
          <w:szCs w:val="22"/>
          <w:lang w:val="en-GB"/>
        </w:rPr>
      </w:pPr>
      <w:r>
        <w:rPr>
          <w:rFonts w:ascii="Arial" w:hAnsi="Arial" w:cs="Arial"/>
          <w:sz w:val="22"/>
          <w:szCs w:val="22"/>
          <w:lang w:val="en-GB"/>
        </w:rPr>
        <w:t>In this case, a</w:t>
      </w:r>
      <w:r w:rsidR="00626939">
        <w:rPr>
          <w:rFonts w:ascii="Arial" w:hAnsi="Arial" w:cs="Arial"/>
          <w:sz w:val="22"/>
          <w:szCs w:val="22"/>
          <w:lang w:val="en-GB"/>
        </w:rPr>
        <w:t xml:space="preserve">s stated by the Board, there is no more funding available for HA’s operations and all possibilities for refinancing HA’s debts are exhausted. </w:t>
      </w:r>
      <w:r>
        <w:rPr>
          <w:rFonts w:ascii="Arial" w:hAnsi="Arial" w:cs="Arial"/>
          <w:sz w:val="22"/>
          <w:szCs w:val="22"/>
          <w:lang w:val="en-GB"/>
        </w:rPr>
        <w:t>Hence from now on, the subsequent trading may all constitute insolvent trading. A</w:t>
      </w:r>
      <w:r w:rsidR="00626939" w:rsidRPr="00F87A3B">
        <w:rPr>
          <w:rFonts w:ascii="Arial" w:hAnsi="Arial" w:cs="Arial"/>
          <w:sz w:val="22"/>
          <w:szCs w:val="22"/>
          <w:lang w:val="en-GB"/>
        </w:rPr>
        <w:t>s</w:t>
      </w:r>
      <w:r>
        <w:rPr>
          <w:rFonts w:ascii="Arial" w:hAnsi="Arial" w:cs="Arial"/>
          <w:sz w:val="22"/>
          <w:szCs w:val="22"/>
          <w:lang w:val="en-GB"/>
        </w:rPr>
        <w:t xml:space="preserve"> an</w:t>
      </w:r>
      <w:r w:rsidR="00626939" w:rsidRPr="00F87A3B">
        <w:rPr>
          <w:rFonts w:ascii="Arial" w:hAnsi="Arial" w:cs="Arial"/>
          <w:sz w:val="22"/>
          <w:szCs w:val="22"/>
          <w:lang w:val="en-GB"/>
        </w:rPr>
        <w:t xml:space="preserve"> insolvent trading is</w:t>
      </w:r>
      <w:r>
        <w:rPr>
          <w:rFonts w:ascii="Arial" w:hAnsi="Arial" w:cs="Arial"/>
          <w:sz w:val="22"/>
          <w:szCs w:val="22"/>
          <w:lang w:val="en-GB"/>
        </w:rPr>
        <w:t xml:space="preserve"> also</w:t>
      </w:r>
      <w:r w:rsidR="00626939" w:rsidRPr="00F87A3B">
        <w:rPr>
          <w:rFonts w:ascii="Arial" w:hAnsi="Arial" w:cs="Arial"/>
          <w:sz w:val="22"/>
          <w:szCs w:val="22"/>
          <w:lang w:val="en-GB"/>
        </w:rPr>
        <w:t xml:space="preserve"> a breach of a director’s duties, ASIC, a liquidator or a creditor</w:t>
      </w:r>
      <w:r>
        <w:rPr>
          <w:rFonts w:ascii="Arial" w:hAnsi="Arial" w:cs="Arial"/>
          <w:sz w:val="22"/>
          <w:szCs w:val="22"/>
          <w:lang w:val="en-GB"/>
        </w:rPr>
        <w:t xml:space="preserve"> is empowered to </w:t>
      </w:r>
      <w:r w:rsidR="00626939" w:rsidRPr="00F87A3B">
        <w:rPr>
          <w:rFonts w:ascii="Arial" w:hAnsi="Arial" w:cs="Arial"/>
          <w:sz w:val="22"/>
          <w:szCs w:val="22"/>
          <w:lang w:val="en-GB"/>
        </w:rPr>
        <w:t>initiate proceedings against the director or directors for</w:t>
      </w:r>
      <w:r>
        <w:rPr>
          <w:rFonts w:ascii="Arial" w:hAnsi="Arial" w:cs="Arial"/>
          <w:sz w:val="22"/>
          <w:szCs w:val="22"/>
          <w:lang w:val="en-GB"/>
        </w:rPr>
        <w:t xml:space="preserve"> giving personal</w:t>
      </w:r>
      <w:r w:rsidR="00626939" w:rsidRPr="00F87A3B">
        <w:rPr>
          <w:rFonts w:ascii="Arial" w:hAnsi="Arial" w:cs="Arial"/>
          <w:sz w:val="22"/>
          <w:szCs w:val="22"/>
          <w:lang w:val="en-GB"/>
        </w:rPr>
        <w:t xml:space="preserve"> compensation</w:t>
      </w:r>
      <w:r w:rsidR="00626939">
        <w:rPr>
          <w:rFonts w:ascii="Arial" w:hAnsi="Arial" w:cs="Arial"/>
          <w:sz w:val="22"/>
          <w:szCs w:val="22"/>
          <w:lang w:val="en-GB"/>
        </w:rPr>
        <w:t xml:space="preserve"> and can even lead to</w:t>
      </w:r>
      <w:r w:rsidR="00626939" w:rsidRPr="003706FC">
        <w:rPr>
          <w:rFonts w:ascii="Arial" w:hAnsi="Arial" w:cs="Arial"/>
          <w:sz w:val="22"/>
          <w:szCs w:val="22"/>
          <w:lang w:val="en-GB"/>
        </w:rPr>
        <w:t xml:space="preserve"> civil penalties, or</w:t>
      </w:r>
      <w:r>
        <w:rPr>
          <w:rFonts w:ascii="Arial" w:hAnsi="Arial" w:cs="Arial"/>
          <w:sz w:val="22"/>
          <w:szCs w:val="22"/>
          <w:lang w:val="en-GB"/>
        </w:rPr>
        <w:t xml:space="preserve"> even</w:t>
      </w:r>
      <w:r w:rsidR="00626939" w:rsidRPr="003706FC">
        <w:rPr>
          <w:rFonts w:ascii="Arial" w:hAnsi="Arial" w:cs="Arial"/>
          <w:sz w:val="22"/>
          <w:szCs w:val="22"/>
          <w:lang w:val="en-GB"/>
        </w:rPr>
        <w:t xml:space="preserve"> criminal penalties if the failure was dishonest.</w:t>
      </w:r>
      <w:r w:rsidR="00626939">
        <w:rPr>
          <w:rStyle w:val="a6"/>
          <w:rFonts w:ascii="Arial" w:hAnsi="Arial" w:cs="Arial"/>
          <w:sz w:val="22"/>
          <w:szCs w:val="22"/>
          <w:lang w:val="en-GB"/>
        </w:rPr>
        <w:footnoteReference w:id="13"/>
      </w:r>
      <w:r>
        <w:rPr>
          <w:rFonts w:ascii="Arial" w:hAnsi="Arial" w:cs="Arial"/>
          <w:sz w:val="22"/>
          <w:szCs w:val="22"/>
          <w:lang w:val="en-GB"/>
        </w:rPr>
        <w:t xml:space="preserve"> Therefore</w:t>
      </w:r>
      <w:r w:rsidR="00626939">
        <w:rPr>
          <w:rFonts w:ascii="Arial" w:hAnsi="Arial" w:cs="Arial"/>
          <w:sz w:val="22"/>
          <w:szCs w:val="22"/>
          <w:lang w:val="en-GB"/>
        </w:rPr>
        <w:t>,</w:t>
      </w:r>
      <w:r w:rsidR="0017183F" w:rsidRPr="0017183F">
        <w:rPr>
          <w:rFonts w:ascii="Arial" w:hAnsi="Arial" w:cs="Arial"/>
          <w:sz w:val="22"/>
          <w:szCs w:val="22"/>
          <w:lang w:val="en-GB"/>
        </w:rPr>
        <w:t xml:space="preserve"> </w:t>
      </w:r>
      <w:r w:rsidR="0017183F">
        <w:rPr>
          <w:rFonts w:ascii="Arial" w:hAnsi="Arial" w:cs="Arial"/>
          <w:sz w:val="22"/>
          <w:szCs w:val="22"/>
          <w:lang w:val="en-GB"/>
        </w:rPr>
        <w:t>for the directors</w:t>
      </w:r>
      <w:r w:rsidR="00626939">
        <w:rPr>
          <w:rFonts w:ascii="Arial" w:hAnsi="Arial" w:cs="Arial"/>
          <w:sz w:val="22"/>
          <w:szCs w:val="22"/>
          <w:lang w:val="en-GB"/>
        </w:rPr>
        <w:t xml:space="preserve"> </w:t>
      </w:r>
      <w:r>
        <w:rPr>
          <w:rFonts w:ascii="Arial" w:hAnsi="Arial" w:cs="Arial"/>
          <w:sz w:val="22"/>
          <w:szCs w:val="22"/>
          <w:lang w:val="en-GB"/>
        </w:rPr>
        <w:t>in this case,</w:t>
      </w:r>
      <w:r w:rsidR="0017183F">
        <w:rPr>
          <w:rFonts w:ascii="Arial" w:hAnsi="Arial" w:cs="Arial"/>
          <w:sz w:val="22"/>
          <w:szCs w:val="22"/>
          <w:lang w:val="en-GB"/>
        </w:rPr>
        <w:t xml:space="preserve"> as</w:t>
      </w:r>
      <w:r>
        <w:rPr>
          <w:rFonts w:ascii="Arial" w:hAnsi="Arial" w:cs="Arial"/>
          <w:sz w:val="22"/>
          <w:szCs w:val="22"/>
          <w:lang w:val="en-GB"/>
        </w:rPr>
        <w:t xml:space="preserve"> </w:t>
      </w:r>
      <w:r w:rsidR="00626939">
        <w:rPr>
          <w:rFonts w:ascii="Arial" w:hAnsi="Arial" w:cs="Arial"/>
          <w:sz w:val="22"/>
          <w:szCs w:val="22"/>
          <w:lang w:val="en-GB"/>
        </w:rPr>
        <w:t xml:space="preserve">there is already </w:t>
      </w:r>
      <w:r w:rsidR="000C037C">
        <w:rPr>
          <w:rFonts w:ascii="Arial" w:hAnsi="Arial" w:cs="Arial"/>
          <w:sz w:val="22"/>
          <w:szCs w:val="22"/>
          <w:lang w:val="en-GB"/>
        </w:rPr>
        <w:t>no reasonable grounds to expect solvency, the available defence</w:t>
      </w:r>
      <w:r>
        <w:rPr>
          <w:rFonts w:ascii="Arial" w:hAnsi="Arial" w:cs="Arial"/>
          <w:sz w:val="22"/>
          <w:szCs w:val="22"/>
          <w:lang w:val="en-GB"/>
        </w:rPr>
        <w:t xml:space="preserve"> now</w:t>
      </w:r>
      <w:r w:rsidR="000C037C">
        <w:rPr>
          <w:rFonts w:ascii="Arial" w:hAnsi="Arial" w:cs="Arial"/>
          <w:sz w:val="22"/>
          <w:szCs w:val="22"/>
          <w:lang w:val="en-GB"/>
        </w:rPr>
        <w:t xml:space="preserve"> </w:t>
      </w:r>
      <w:r w:rsidR="0017183F">
        <w:rPr>
          <w:rFonts w:ascii="Arial" w:hAnsi="Arial" w:cs="Arial"/>
          <w:sz w:val="22"/>
          <w:szCs w:val="22"/>
          <w:lang w:val="en-GB"/>
        </w:rPr>
        <w:t>under</w:t>
      </w:r>
      <w:r w:rsidR="000C037C">
        <w:rPr>
          <w:rFonts w:ascii="Arial" w:hAnsi="Arial" w:cs="Arial"/>
          <w:sz w:val="22"/>
          <w:szCs w:val="22"/>
          <w:lang w:val="en-GB"/>
        </w:rPr>
        <w:t xml:space="preserve"> section 588H is to take all reasonable steps to prevent the company from incurring</w:t>
      </w:r>
      <w:r w:rsidR="00A70980">
        <w:rPr>
          <w:rFonts w:ascii="Arial" w:hAnsi="Arial" w:cs="Arial"/>
          <w:sz w:val="22"/>
          <w:szCs w:val="22"/>
          <w:lang w:val="en-GB"/>
        </w:rPr>
        <w:t xml:space="preserve"> further</w:t>
      </w:r>
      <w:r w:rsidR="000C037C">
        <w:rPr>
          <w:rFonts w:ascii="Arial" w:hAnsi="Arial" w:cs="Arial"/>
          <w:sz w:val="22"/>
          <w:szCs w:val="22"/>
          <w:lang w:val="en-GB"/>
        </w:rPr>
        <w:t xml:space="preserve"> debts, including appointing a voluntary administrator</w:t>
      </w:r>
      <w:r w:rsidR="0017183F">
        <w:rPr>
          <w:rFonts w:ascii="Arial" w:hAnsi="Arial" w:cs="Arial"/>
          <w:sz w:val="22"/>
          <w:szCs w:val="22"/>
          <w:lang w:val="en-GB"/>
        </w:rPr>
        <w:t>. The directors may</w:t>
      </w:r>
      <w:r w:rsidR="000C037C">
        <w:rPr>
          <w:rFonts w:ascii="Arial" w:hAnsi="Arial" w:cs="Arial"/>
          <w:sz w:val="22"/>
          <w:szCs w:val="22"/>
          <w:lang w:val="en-GB"/>
        </w:rPr>
        <w:t xml:space="preserve"> even </w:t>
      </w:r>
      <w:r w:rsidR="000C037C" w:rsidRPr="000C037C">
        <w:rPr>
          <w:rFonts w:ascii="Arial" w:hAnsi="Arial" w:cs="Arial"/>
          <w:sz w:val="22"/>
          <w:szCs w:val="22"/>
          <w:lang w:val="en-GB"/>
        </w:rPr>
        <w:t>resign from the board to avoid personal liability for insolvent trading</w:t>
      </w:r>
      <w:r w:rsidR="0017183F">
        <w:rPr>
          <w:rFonts w:ascii="Arial" w:hAnsi="Arial" w:cs="Arial"/>
          <w:sz w:val="22"/>
          <w:szCs w:val="22"/>
          <w:lang w:val="en-GB"/>
        </w:rPr>
        <w:t xml:space="preserve"> as in some cases</w:t>
      </w:r>
      <w:r w:rsidR="000C037C" w:rsidRPr="000C037C">
        <w:rPr>
          <w:rFonts w:ascii="Arial" w:hAnsi="Arial" w:cs="Arial"/>
          <w:sz w:val="22"/>
          <w:szCs w:val="22"/>
          <w:lang w:val="en-GB"/>
        </w:rPr>
        <w:t>.</w:t>
      </w:r>
      <w:r w:rsidR="000C037C">
        <w:rPr>
          <w:rStyle w:val="a6"/>
          <w:rFonts w:ascii="Times New Roman" w:eastAsia="仿宋" w:hAnsi="Times New Roman" w:cs="Times New Roman"/>
          <w:lang w:eastAsia="zh-CN"/>
        </w:rPr>
        <w:footnoteReference w:id="14"/>
      </w:r>
      <w:r w:rsidR="000C037C" w:rsidRPr="008405DC">
        <w:rPr>
          <w:rFonts w:ascii="Times New Roman" w:eastAsia="仿宋" w:hAnsi="Times New Roman" w:cs="Times New Roman"/>
          <w:lang w:eastAsia="zh-CN"/>
        </w:rPr>
        <w:t xml:space="preserve"> </w:t>
      </w:r>
      <w:r w:rsidR="000C037C" w:rsidRPr="000C037C">
        <w:rPr>
          <w:rFonts w:ascii="Arial" w:hAnsi="Arial" w:cs="Arial"/>
          <w:sz w:val="22"/>
          <w:szCs w:val="22"/>
          <w:lang w:val="en-GB"/>
        </w:rPr>
        <w:t>And according to section 588V, H</w:t>
      </w:r>
      <w:r w:rsidR="00A70980">
        <w:rPr>
          <w:rFonts w:ascii="Arial" w:hAnsi="Arial" w:cs="Arial"/>
          <w:sz w:val="22"/>
          <w:szCs w:val="22"/>
          <w:lang w:val="en-GB"/>
        </w:rPr>
        <w:t>GL</w:t>
      </w:r>
      <w:r w:rsidR="000C037C" w:rsidRPr="000C037C">
        <w:rPr>
          <w:rFonts w:ascii="Arial" w:hAnsi="Arial" w:cs="Arial"/>
          <w:sz w:val="22"/>
          <w:szCs w:val="22"/>
          <w:lang w:val="en-GB"/>
        </w:rPr>
        <w:t>, as</w:t>
      </w:r>
      <w:r w:rsidR="0017183F">
        <w:rPr>
          <w:rFonts w:ascii="Arial" w:hAnsi="Arial" w:cs="Arial"/>
          <w:sz w:val="22"/>
          <w:szCs w:val="22"/>
          <w:lang w:val="en-GB"/>
        </w:rPr>
        <w:t xml:space="preserve"> a</w:t>
      </w:r>
      <w:r w:rsidR="00A70980">
        <w:rPr>
          <w:rFonts w:ascii="Arial" w:hAnsi="Arial" w:cs="Arial"/>
          <w:sz w:val="22"/>
          <w:szCs w:val="22"/>
          <w:lang w:val="en-GB"/>
        </w:rPr>
        <w:t xml:space="preserve"> holding company</w:t>
      </w:r>
      <w:r w:rsidR="0017183F">
        <w:rPr>
          <w:rFonts w:ascii="Arial" w:hAnsi="Arial" w:cs="Arial"/>
          <w:sz w:val="22"/>
          <w:szCs w:val="22"/>
          <w:lang w:val="en-GB"/>
        </w:rPr>
        <w:t xml:space="preserve"> of HA</w:t>
      </w:r>
      <w:r w:rsidR="00A70980">
        <w:rPr>
          <w:rFonts w:ascii="Arial" w:hAnsi="Arial" w:cs="Arial"/>
          <w:sz w:val="22"/>
          <w:szCs w:val="22"/>
          <w:lang w:val="en-GB"/>
        </w:rPr>
        <w:t>, is also liable for the insolvent trading liabilities</w:t>
      </w:r>
      <w:r w:rsidR="0017183F">
        <w:rPr>
          <w:rFonts w:ascii="Arial" w:hAnsi="Arial" w:cs="Arial"/>
          <w:sz w:val="22"/>
          <w:szCs w:val="22"/>
          <w:lang w:val="en-GB"/>
        </w:rPr>
        <w:t>.</w:t>
      </w:r>
      <w:r w:rsidR="00A70980">
        <w:rPr>
          <w:rFonts w:ascii="Arial" w:hAnsi="Arial" w:cs="Arial"/>
          <w:sz w:val="22"/>
          <w:szCs w:val="22"/>
          <w:lang w:val="en-GB"/>
        </w:rPr>
        <w:t xml:space="preserve"> </w:t>
      </w:r>
      <w:r w:rsidR="0017183F">
        <w:rPr>
          <w:rFonts w:ascii="Arial" w:hAnsi="Arial" w:cs="Arial"/>
          <w:sz w:val="22"/>
          <w:szCs w:val="22"/>
          <w:lang w:val="en-GB"/>
        </w:rPr>
        <w:t>A</w:t>
      </w:r>
      <w:r w:rsidR="00A70980">
        <w:rPr>
          <w:rFonts w:ascii="Arial" w:hAnsi="Arial" w:cs="Arial"/>
          <w:sz w:val="22"/>
          <w:szCs w:val="22"/>
          <w:lang w:val="en-GB"/>
        </w:rPr>
        <w:t xml:space="preserve">nd </w:t>
      </w:r>
      <w:r w:rsidR="0017183F">
        <w:rPr>
          <w:rFonts w:ascii="Arial" w:hAnsi="Arial" w:cs="Arial"/>
          <w:sz w:val="22"/>
          <w:szCs w:val="22"/>
          <w:lang w:val="en-GB"/>
        </w:rPr>
        <w:t xml:space="preserve">the </w:t>
      </w:r>
      <w:r w:rsidR="00A70980">
        <w:rPr>
          <w:rFonts w:ascii="Arial" w:hAnsi="Arial" w:cs="Arial"/>
          <w:sz w:val="22"/>
          <w:szCs w:val="22"/>
          <w:lang w:val="en-GB"/>
        </w:rPr>
        <w:t>defence</w:t>
      </w:r>
      <w:r w:rsidR="0017183F">
        <w:rPr>
          <w:rFonts w:ascii="Arial" w:hAnsi="Arial" w:cs="Arial"/>
          <w:sz w:val="22"/>
          <w:szCs w:val="22"/>
          <w:lang w:val="en-GB"/>
        </w:rPr>
        <w:t xml:space="preserve"> available</w:t>
      </w:r>
      <w:r w:rsidR="00A70980">
        <w:rPr>
          <w:rFonts w:ascii="Arial" w:hAnsi="Arial" w:cs="Arial"/>
          <w:sz w:val="22"/>
          <w:szCs w:val="22"/>
          <w:lang w:val="en-GB"/>
        </w:rPr>
        <w:t xml:space="preserve"> under section 588W </w:t>
      </w:r>
      <w:r w:rsidR="0017183F">
        <w:rPr>
          <w:rFonts w:ascii="Arial" w:hAnsi="Arial" w:cs="Arial"/>
          <w:sz w:val="22"/>
          <w:szCs w:val="22"/>
          <w:lang w:val="en-GB"/>
        </w:rPr>
        <w:t xml:space="preserve">is also </w:t>
      </w:r>
      <w:r w:rsidR="00A70980">
        <w:rPr>
          <w:rFonts w:ascii="Arial" w:hAnsi="Arial" w:cs="Arial"/>
          <w:sz w:val="22"/>
          <w:szCs w:val="22"/>
          <w:lang w:val="en-GB"/>
        </w:rPr>
        <w:t>to</w:t>
      </w:r>
      <w:r w:rsidR="00A70980" w:rsidRPr="00A70980">
        <w:rPr>
          <w:rFonts w:ascii="Arial" w:hAnsi="Arial" w:cs="Arial"/>
          <w:sz w:val="22"/>
          <w:szCs w:val="22"/>
          <w:lang w:val="en-GB"/>
        </w:rPr>
        <w:t xml:space="preserve"> </w:t>
      </w:r>
      <w:r w:rsidR="00A70980">
        <w:rPr>
          <w:rFonts w:ascii="Arial" w:hAnsi="Arial" w:cs="Arial"/>
          <w:sz w:val="22"/>
          <w:szCs w:val="22"/>
          <w:lang w:val="en-GB"/>
        </w:rPr>
        <w:t xml:space="preserve">take all reasonable steps to prevent further debts. In this case, appointing a voluntary administrator </w:t>
      </w:r>
      <w:r w:rsidR="0017183F">
        <w:rPr>
          <w:rFonts w:ascii="Arial" w:hAnsi="Arial" w:cs="Arial"/>
          <w:sz w:val="22"/>
          <w:szCs w:val="22"/>
          <w:lang w:val="en-GB"/>
        </w:rPr>
        <w:t>should be</w:t>
      </w:r>
      <w:r w:rsidR="00A70980">
        <w:rPr>
          <w:rFonts w:ascii="Arial" w:hAnsi="Arial" w:cs="Arial"/>
          <w:sz w:val="22"/>
          <w:szCs w:val="22"/>
          <w:lang w:val="en-GB"/>
        </w:rPr>
        <w:t xml:space="preserve"> the best option.</w:t>
      </w:r>
    </w:p>
    <w:p w14:paraId="0FDDE3BD" w14:textId="654CADAD" w:rsidR="00F45562" w:rsidRPr="001D3534" w:rsidRDefault="00626939" w:rsidP="00F87A3B">
      <w:pPr>
        <w:jc w:val="both"/>
        <w:rPr>
          <w:rFonts w:ascii="Arial" w:hAnsi="Arial" w:cs="Arial"/>
          <w:sz w:val="22"/>
          <w:szCs w:val="22"/>
          <w:lang w:val="en-GB"/>
        </w:rPr>
      </w:pPr>
      <w:r w:rsidRPr="000C037C">
        <w:rPr>
          <w:rFonts w:ascii="Arial" w:hAnsi="Arial" w:cs="Arial" w:hint="eastAsia"/>
          <w:sz w:val="22"/>
          <w:szCs w:val="22"/>
          <w:lang w:val="en-GB"/>
        </w:rPr>
        <w:t>2</w:t>
      </w:r>
      <w:r w:rsidRPr="000C037C">
        <w:rPr>
          <w:rFonts w:ascii="Arial" w:hAnsi="Arial" w:cs="Arial"/>
          <w:sz w:val="22"/>
          <w:szCs w:val="22"/>
          <w:lang w:val="en-GB"/>
        </w:rPr>
        <w:t xml:space="preserve">. </w:t>
      </w:r>
      <w:r w:rsidR="00A70980">
        <w:rPr>
          <w:rFonts w:ascii="Arial" w:hAnsi="Arial" w:cs="Arial"/>
          <w:sz w:val="22"/>
          <w:szCs w:val="22"/>
          <w:lang w:val="en-GB"/>
        </w:rPr>
        <w:t>Whether the “safe harbour” rules apply to</w:t>
      </w:r>
      <w:r w:rsidR="009E39DC">
        <w:rPr>
          <w:rFonts w:ascii="Arial" w:hAnsi="Arial" w:cs="Arial"/>
          <w:sz w:val="22"/>
          <w:szCs w:val="22"/>
          <w:lang w:val="en-GB"/>
        </w:rPr>
        <w:t xml:space="preserve"> the debts between October 2020 and October 2021. As </w:t>
      </w:r>
      <w:r w:rsidR="005E02C9">
        <w:rPr>
          <w:rFonts w:ascii="Arial" w:hAnsi="Arial" w:cs="Arial"/>
          <w:sz w:val="22"/>
          <w:szCs w:val="22"/>
          <w:lang w:val="en-GB"/>
        </w:rPr>
        <w:t>HA was already insolvent in October 2020, those debts incurred in trading and the</w:t>
      </w:r>
      <w:r w:rsidR="00F45562">
        <w:rPr>
          <w:rFonts w:ascii="Arial" w:hAnsi="Arial" w:cs="Arial"/>
          <w:sz w:val="22"/>
          <w:szCs w:val="22"/>
          <w:lang w:val="en-GB"/>
        </w:rPr>
        <w:t xml:space="preserve"> </w:t>
      </w:r>
      <w:r w:rsidR="00F45562" w:rsidRPr="005E02C9">
        <w:rPr>
          <w:rFonts w:ascii="Arial" w:hAnsi="Arial" w:cs="Arial"/>
          <w:sz w:val="22"/>
          <w:szCs w:val="22"/>
          <w:lang w:val="en-GB"/>
        </w:rPr>
        <w:t>borrowing</w:t>
      </w:r>
      <w:r w:rsidR="00F45562">
        <w:rPr>
          <w:rFonts w:ascii="Arial" w:hAnsi="Arial" w:cs="Arial"/>
          <w:sz w:val="22"/>
          <w:szCs w:val="22"/>
          <w:lang w:val="en-GB"/>
        </w:rPr>
        <w:t xml:space="preserve"> from</w:t>
      </w:r>
      <w:r w:rsidR="00F45562" w:rsidRPr="005E02C9">
        <w:rPr>
          <w:rFonts w:ascii="Arial" w:hAnsi="Arial" w:cs="Arial"/>
          <w:sz w:val="22"/>
          <w:szCs w:val="22"/>
          <w:lang w:val="en-GB"/>
        </w:rPr>
        <w:t xml:space="preserve"> HGL</w:t>
      </w:r>
      <w:r w:rsidR="00F45562">
        <w:rPr>
          <w:rFonts w:ascii="Arial" w:hAnsi="Arial" w:cs="Arial"/>
          <w:sz w:val="22"/>
          <w:szCs w:val="22"/>
          <w:lang w:val="en-GB"/>
        </w:rPr>
        <w:t xml:space="preserve"> </w:t>
      </w:r>
      <w:r w:rsidR="00751C31">
        <w:rPr>
          <w:rFonts w:ascii="Arial" w:hAnsi="Arial" w:cs="Arial"/>
          <w:sz w:val="22"/>
          <w:szCs w:val="22"/>
          <w:lang w:val="en-GB"/>
        </w:rPr>
        <w:t>may</w:t>
      </w:r>
      <w:r w:rsidR="00F45562">
        <w:rPr>
          <w:rFonts w:ascii="Arial" w:hAnsi="Arial" w:cs="Arial"/>
          <w:sz w:val="22"/>
          <w:szCs w:val="22"/>
          <w:lang w:val="en-GB"/>
        </w:rPr>
        <w:t xml:space="preserve"> all</w:t>
      </w:r>
      <w:r w:rsidR="00751C31">
        <w:rPr>
          <w:rFonts w:ascii="Arial" w:hAnsi="Arial" w:cs="Arial"/>
          <w:sz w:val="22"/>
          <w:szCs w:val="22"/>
          <w:lang w:val="en-GB"/>
        </w:rPr>
        <w:t xml:space="preserve"> constitute</w:t>
      </w:r>
      <w:r w:rsidR="00F45562">
        <w:rPr>
          <w:rFonts w:ascii="Arial" w:hAnsi="Arial" w:cs="Arial"/>
          <w:sz w:val="22"/>
          <w:szCs w:val="22"/>
          <w:lang w:val="en-GB"/>
        </w:rPr>
        <w:t xml:space="preserve"> insolvent trading. However, if the directors can prove that </w:t>
      </w:r>
      <w:r w:rsidR="00F45562" w:rsidRPr="00F45562">
        <w:rPr>
          <w:rFonts w:ascii="Arial" w:hAnsi="Arial" w:cs="Arial" w:hint="eastAsia"/>
          <w:sz w:val="22"/>
          <w:szCs w:val="22"/>
          <w:lang w:val="en-GB"/>
        </w:rPr>
        <w:t>they</w:t>
      </w:r>
      <w:r w:rsidR="00F45562">
        <w:rPr>
          <w:rFonts w:ascii="Arial" w:hAnsi="Arial" w:cs="Arial"/>
          <w:sz w:val="22"/>
          <w:szCs w:val="22"/>
          <w:lang w:val="en-GB"/>
        </w:rPr>
        <w:t xml:space="preserve"> </w:t>
      </w:r>
      <w:r w:rsidR="00F45562" w:rsidRPr="00F45562">
        <w:rPr>
          <w:rFonts w:ascii="Arial" w:hAnsi="Arial" w:cs="Arial" w:hint="eastAsia"/>
          <w:sz w:val="22"/>
          <w:szCs w:val="22"/>
          <w:lang w:val="en-GB"/>
        </w:rPr>
        <w:t>have</w:t>
      </w:r>
      <w:r w:rsidR="00F45562">
        <w:rPr>
          <w:rFonts w:ascii="Arial" w:hAnsi="Arial" w:cs="Arial"/>
          <w:sz w:val="22"/>
          <w:szCs w:val="22"/>
          <w:lang w:val="en-GB"/>
        </w:rPr>
        <w:t xml:space="preserve"> </w:t>
      </w:r>
      <w:r w:rsidR="00F45562" w:rsidRPr="00F45562">
        <w:rPr>
          <w:rFonts w:ascii="Arial" w:hAnsi="Arial" w:cs="Arial"/>
          <w:sz w:val="22"/>
          <w:szCs w:val="22"/>
          <w:lang w:val="en-GB"/>
        </w:rPr>
        <w:t>developed</w:t>
      </w:r>
      <w:r w:rsidR="00F45562">
        <w:rPr>
          <w:rFonts w:ascii="Arial" w:hAnsi="Arial" w:cs="Arial"/>
          <w:sz w:val="22"/>
          <w:szCs w:val="22"/>
          <w:lang w:val="en-GB"/>
        </w:rPr>
        <w:t xml:space="preserve"> </w:t>
      </w:r>
      <w:r w:rsidR="00751C31">
        <w:rPr>
          <w:rFonts w:ascii="Arial" w:hAnsi="Arial" w:cs="Arial"/>
          <w:sz w:val="22"/>
          <w:szCs w:val="22"/>
          <w:lang w:val="en-GB"/>
        </w:rPr>
        <w:t xml:space="preserve">a </w:t>
      </w:r>
      <w:r w:rsidR="00F45562" w:rsidRPr="00F45562">
        <w:rPr>
          <w:rFonts w:ascii="Arial" w:hAnsi="Arial" w:cs="Arial" w:hint="eastAsia"/>
          <w:sz w:val="22"/>
          <w:szCs w:val="22"/>
          <w:lang w:val="en-GB"/>
        </w:rPr>
        <w:t>course</w:t>
      </w:r>
      <w:r w:rsidR="00F45562">
        <w:rPr>
          <w:rFonts w:ascii="Arial" w:hAnsi="Arial" w:cs="Arial"/>
          <w:sz w:val="22"/>
          <w:szCs w:val="22"/>
          <w:lang w:val="en-GB"/>
        </w:rPr>
        <w:t xml:space="preserve"> </w:t>
      </w:r>
      <w:r w:rsidR="00F45562" w:rsidRPr="00F45562">
        <w:rPr>
          <w:rFonts w:ascii="Arial" w:hAnsi="Arial" w:cs="Arial" w:hint="eastAsia"/>
          <w:sz w:val="22"/>
          <w:szCs w:val="22"/>
          <w:lang w:val="en-GB"/>
        </w:rPr>
        <w:t>of</w:t>
      </w:r>
      <w:r w:rsidR="00F45562">
        <w:rPr>
          <w:rFonts w:ascii="Arial" w:hAnsi="Arial" w:cs="Arial"/>
          <w:sz w:val="22"/>
          <w:szCs w:val="22"/>
          <w:lang w:val="en-GB"/>
        </w:rPr>
        <w:t xml:space="preserve"> </w:t>
      </w:r>
      <w:r w:rsidR="00F45562" w:rsidRPr="00F45562">
        <w:rPr>
          <w:rFonts w:ascii="Arial" w:hAnsi="Arial" w:cs="Arial" w:hint="eastAsia"/>
          <w:sz w:val="22"/>
          <w:szCs w:val="22"/>
          <w:lang w:val="en-GB"/>
        </w:rPr>
        <w:t>action</w:t>
      </w:r>
      <w:r w:rsidR="00F45562">
        <w:rPr>
          <w:rFonts w:ascii="Arial" w:hAnsi="Arial" w:cs="Arial"/>
          <w:sz w:val="22"/>
          <w:szCs w:val="22"/>
          <w:lang w:val="en-GB"/>
        </w:rPr>
        <w:t xml:space="preserve"> </w:t>
      </w:r>
      <w:r w:rsidR="00F45562" w:rsidRPr="00F45562">
        <w:rPr>
          <w:rFonts w:ascii="Arial" w:hAnsi="Arial" w:cs="Arial" w:hint="eastAsia"/>
          <w:sz w:val="22"/>
          <w:szCs w:val="22"/>
          <w:lang w:val="en-GB"/>
        </w:rPr>
        <w:t>that</w:t>
      </w:r>
      <w:r w:rsidR="00F45562" w:rsidRPr="00F45562">
        <w:rPr>
          <w:rFonts w:ascii="Arial" w:hAnsi="Arial" w:cs="Arial"/>
          <w:sz w:val="22"/>
          <w:szCs w:val="22"/>
          <w:lang w:val="en-GB"/>
        </w:rPr>
        <w:t xml:space="preserve"> </w:t>
      </w:r>
      <w:r w:rsidR="00F45562" w:rsidRPr="00F45562">
        <w:rPr>
          <w:rFonts w:ascii="Arial" w:hAnsi="Arial" w:cs="Arial" w:hint="eastAsia"/>
          <w:sz w:val="22"/>
          <w:szCs w:val="22"/>
          <w:lang w:val="en-GB"/>
        </w:rPr>
        <w:t>are</w:t>
      </w:r>
      <w:r w:rsidR="00F45562" w:rsidRPr="00F45562">
        <w:rPr>
          <w:rFonts w:ascii="Arial" w:hAnsi="Arial" w:cs="Arial"/>
          <w:sz w:val="22"/>
          <w:szCs w:val="22"/>
          <w:lang w:val="en-GB"/>
        </w:rPr>
        <w:t xml:space="preserve"> </w:t>
      </w:r>
      <w:r w:rsidR="00F45562" w:rsidRPr="00F45562">
        <w:rPr>
          <w:rFonts w:ascii="Arial" w:hAnsi="Arial" w:cs="Arial" w:hint="eastAsia"/>
          <w:sz w:val="22"/>
          <w:szCs w:val="22"/>
          <w:lang w:val="en-GB"/>
        </w:rPr>
        <w:t>reasonably</w:t>
      </w:r>
      <w:r w:rsidR="00F45562" w:rsidRPr="00F45562">
        <w:rPr>
          <w:rFonts w:ascii="Arial" w:hAnsi="Arial" w:cs="Arial"/>
          <w:sz w:val="22"/>
          <w:szCs w:val="22"/>
          <w:lang w:val="en-GB"/>
        </w:rPr>
        <w:t xml:space="preserve"> </w:t>
      </w:r>
      <w:r w:rsidR="00F45562" w:rsidRPr="00F45562">
        <w:rPr>
          <w:rFonts w:ascii="Arial" w:hAnsi="Arial" w:cs="Arial" w:hint="eastAsia"/>
          <w:sz w:val="22"/>
          <w:szCs w:val="22"/>
          <w:lang w:val="en-GB"/>
        </w:rPr>
        <w:t>like</w:t>
      </w:r>
      <w:r w:rsidR="00751C31">
        <w:rPr>
          <w:rFonts w:ascii="Arial" w:hAnsi="Arial" w:cs="Arial"/>
          <w:sz w:val="22"/>
          <w:szCs w:val="22"/>
          <w:lang w:val="en-GB"/>
        </w:rPr>
        <w:t>ly</w:t>
      </w:r>
      <w:r w:rsidR="00F45562">
        <w:rPr>
          <w:rFonts w:ascii="Arial" w:hAnsi="Arial" w:cs="Arial"/>
          <w:sz w:val="22"/>
          <w:szCs w:val="22"/>
          <w:lang w:val="en-GB"/>
        </w:rPr>
        <w:t xml:space="preserve"> </w:t>
      </w:r>
      <w:r w:rsidR="00F45562" w:rsidRPr="00F45562">
        <w:rPr>
          <w:rFonts w:ascii="Arial" w:hAnsi="Arial" w:cs="Arial" w:hint="eastAsia"/>
          <w:sz w:val="22"/>
          <w:szCs w:val="22"/>
          <w:lang w:val="en-GB"/>
        </w:rPr>
        <w:t>to</w:t>
      </w:r>
      <w:r w:rsidR="00F45562">
        <w:rPr>
          <w:rFonts w:ascii="Arial" w:hAnsi="Arial" w:cs="Arial"/>
          <w:sz w:val="22"/>
          <w:szCs w:val="22"/>
          <w:lang w:val="en-GB"/>
        </w:rPr>
        <w:t xml:space="preserve"> </w:t>
      </w:r>
      <w:r w:rsidR="00F45562" w:rsidRPr="00F45562">
        <w:rPr>
          <w:rFonts w:ascii="Arial" w:hAnsi="Arial" w:cs="Arial"/>
          <w:sz w:val="22"/>
          <w:szCs w:val="22"/>
          <w:lang w:val="en-GB"/>
        </w:rPr>
        <w:t>lead a “better outcome”.</w:t>
      </w:r>
      <w:r w:rsidR="00F45562">
        <w:rPr>
          <w:rFonts w:ascii="Arial" w:hAnsi="Arial" w:cs="Arial"/>
          <w:sz w:val="22"/>
          <w:szCs w:val="22"/>
          <w:lang w:val="en-GB"/>
        </w:rPr>
        <w:t xml:space="preserve"> </w:t>
      </w:r>
      <w:r w:rsidR="00CF5FDC">
        <w:rPr>
          <w:rFonts w:ascii="Arial" w:hAnsi="Arial" w:cs="Arial"/>
          <w:sz w:val="22"/>
          <w:szCs w:val="22"/>
          <w:lang w:val="en-GB"/>
        </w:rPr>
        <w:t>After considering the relevant factors, if the court is satisfied the t</w:t>
      </w:r>
      <w:r w:rsidR="008A6EC5">
        <w:rPr>
          <w:rFonts w:ascii="Arial" w:hAnsi="Arial" w:cs="Arial"/>
          <w:sz w:val="22"/>
          <w:szCs w:val="22"/>
          <w:lang w:val="en-GB"/>
        </w:rPr>
        <w:t xml:space="preserve">he </w:t>
      </w:r>
      <w:r w:rsidR="00751C31">
        <w:rPr>
          <w:rFonts w:ascii="Arial" w:hAnsi="Arial" w:cs="Arial"/>
          <w:sz w:val="22"/>
          <w:szCs w:val="22"/>
          <w:lang w:val="en-GB"/>
        </w:rPr>
        <w:t xml:space="preserve">trade </w:t>
      </w:r>
      <w:r w:rsidR="008A6EC5">
        <w:rPr>
          <w:rFonts w:ascii="Arial" w:hAnsi="Arial" w:cs="Arial"/>
          <w:sz w:val="22"/>
          <w:szCs w:val="22"/>
          <w:lang w:val="en-GB"/>
        </w:rPr>
        <w:t>debts</w:t>
      </w:r>
      <w:r w:rsidR="00751C31">
        <w:rPr>
          <w:rFonts w:ascii="Arial" w:hAnsi="Arial" w:cs="Arial"/>
          <w:sz w:val="22"/>
          <w:szCs w:val="22"/>
          <w:lang w:val="en-GB"/>
        </w:rPr>
        <w:t xml:space="preserve"> incurred</w:t>
      </w:r>
      <w:r w:rsidR="00751C31" w:rsidRPr="00751C31">
        <w:rPr>
          <w:rFonts w:ascii="Arial" w:hAnsi="Arial" w:cs="Arial"/>
          <w:sz w:val="22"/>
          <w:szCs w:val="22"/>
          <w:lang w:val="en-GB"/>
        </w:rPr>
        <w:t xml:space="preserve"> </w:t>
      </w:r>
      <w:r w:rsidR="00751C31">
        <w:rPr>
          <w:rFonts w:ascii="Arial" w:hAnsi="Arial" w:cs="Arial"/>
          <w:sz w:val="22"/>
          <w:szCs w:val="22"/>
          <w:lang w:val="en-GB"/>
        </w:rPr>
        <w:t>between October 2020 and October 2021</w:t>
      </w:r>
      <w:r w:rsidR="008A6EC5">
        <w:rPr>
          <w:rFonts w:ascii="Arial" w:hAnsi="Arial" w:cs="Arial"/>
          <w:sz w:val="22"/>
          <w:szCs w:val="22"/>
          <w:lang w:val="en-GB"/>
        </w:rPr>
        <w:t xml:space="preserve"> </w:t>
      </w:r>
      <w:r w:rsidR="00CF5FDC">
        <w:rPr>
          <w:rFonts w:ascii="Arial" w:hAnsi="Arial" w:cs="Arial"/>
          <w:sz w:val="22"/>
          <w:szCs w:val="22"/>
          <w:lang w:val="en-GB"/>
        </w:rPr>
        <w:t xml:space="preserve">is </w:t>
      </w:r>
      <w:r w:rsidR="008A6EC5">
        <w:rPr>
          <w:rFonts w:ascii="Arial" w:hAnsi="Arial" w:cs="Arial"/>
          <w:sz w:val="22"/>
          <w:szCs w:val="22"/>
          <w:lang w:val="en-GB"/>
        </w:rPr>
        <w:t xml:space="preserve">in connection to that </w:t>
      </w:r>
      <w:r w:rsidR="008A6EC5" w:rsidRPr="00F45562">
        <w:rPr>
          <w:rFonts w:ascii="Arial" w:hAnsi="Arial" w:cs="Arial" w:hint="eastAsia"/>
          <w:sz w:val="22"/>
          <w:szCs w:val="22"/>
          <w:lang w:val="en-GB"/>
        </w:rPr>
        <w:t>course</w:t>
      </w:r>
      <w:r w:rsidR="008A6EC5">
        <w:rPr>
          <w:rFonts w:ascii="Arial" w:hAnsi="Arial" w:cs="Arial"/>
          <w:sz w:val="22"/>
          <w:szCs w:val="22"/>
          <w:lang w:val="en-GB"/>
        </w:rPr>
        <w:t xml:space="preserve"> </w:t>
      </w:r>
      <w:r w:rsidR="008A6EC5" w:rsidRPr="00F45562">
        <w:rPr>
          <w:rFonts w:ascii="Arial" w:hAnsi="Arial" w:cs="Arial" w:hint="eastAsia"/>
          <w:sz w:val="22"/>
          <w:szCs w:val="22"/>
          <w:lang w:val="en-GB"/>
        </w:rPr>
        <w:t>of</w:t>
      </w:r>
      <w:r w:rsidR="008A6EC5">
        <w:rPr>
          <w:rFonts w:ascii="Arial" w:hAnsi="Arial" w:cs="Arial"/>
          <w:sz w:val="22"/>
          <w:szCs w:val="22"/>
          <w:lang w:val="en-GB"/>
        </w:rPr>
        <w:t xml:space="preserve"> </w:t>
      </w:r>
      <w:r w:rsidR="008A6EC5" w:rsidRPr="00F45562">
        <w:rPr>
          <w:rFonts w:ascii="Arial" w:hAnsi="Arial" w:cs="Arial" w:hint="eastAsia"/>
          <w:sz w:val="22"/>
          <w:szCs w:val="22"/>
          <w:lang w:val="en-GB"/>
        </w:rPr>
        <w:t>action</w:t>
      </w:r>
      <w:r w:rsidR="008A6EC5">
        <w:rPr>
          <w:rFonts w:ascii="Arial" w:hAnsi="Arial" w:cs="Arial"/>
          <w:sz w:val="22"/>
          <w:szCs w:val="22"/>
          <w:lang w:val="en-GB"/>
        </w:rPr>
        <w:t xml:space="preserve"> </w:t>
      </w:r>
      <w:r w:rsidR="00CF5FDC">
        <w:rPr>
          <w:rFonts w:ascii="Arial" w:hAnsi="Arial" w:cs="Arial"/>
          <w:sz w:val="22"/>
          <w:szCs w:val="22"/>
          <w:lang w:val="en-GB"/>
        </w:rPr>
        <w:t xml:space="preserve">, those debts owed to trade creditors </w:t>
      </w:r>
      <w:r w:rsidR="008A6EC5">
        <w:rPr>
          <w:rFonts w:ascii="Arial" w:hAnsi="Arial" w:cs="Arial"/>
          <w:sz w:val="22"/>
          <w:szCs w:val="22"/>
          <w:lang w:val="en-GB"/>
        </w:rPr>
        <w:t>may enjoy the “safe harbour” protection</w:t>
      </w:r>
      <w:r w:rsidR="00751C31">
        <w:rPr>
          <w:rFonts w:ascii="Arial" w:hAnsi="Arial" w:cs="Arial"/>
          <w:sz w:val="22"/>
          <w:szCs w:val="22"/>
          <w:lang w:val="en-GB"/>
        </w:rPr>
        <w:t xml:space="preserve"> </w:t>
      </w:r>
      <w:r w:rsidR="00CF5FDC">
        <w:rPr>
          <w:rFonts w:ascii="Arial" w:hAnsi="Arial" w:cs="Arial"/>
          <w:sz w:val="22"/>
          <w:szCs w:val="22"/>
          <w:lang w:val="en-GB"/>
        </w:rPr>
        <w:t xml:space="preserve">under section </w:t>
      </w:r>
      <w:r w:rsidR="00CF5FDC">
        <w:rPr>
          <w:rFonts w:ascii="Arial" w:hAnsi="Arial" w:cs="Arial"/>
          <w:sz w:val="22"/>
          <w:szCs w:val="22"/>
          <w:lang w:val="en-GB"/>
        </w:rPr>
        <w:lastRenderedPageBreak/>
        <w:t xml:space="preserve">588G of the </w:t>
      </w:r>
      <w:r w:rsidR="00CF5FDC" w:rsidRPr="00CF5FDC">
        <w:rPr>
          <w:rFonts w:ascii="Arial" w:hAnsi="Arial" w:cs="Arial"/>
          <w:sz w:val="22"/>
          <w:szCs w:val="22"/>
          <w:lang w:val="en-GB"/>
        </w:rPr>
        <w:t>Corporations Act 2001</w:t>
      </w:r>
      <w:r w:rsidR="00CF5FDC">
        <w:rPr>
          <w:rFonts w:ascii="Arial" w:hAnsi="Arial" w:cs="Arial"/>
          <w:sz w:val="22"/>
          <w:szCs w:val="22"/>
          <w:lang w:val="en-GB"/>
        </w:rPr>
        <w:t xml:space="preserve">. However, </w:t>
      </w:r>
      <w:r w:rsidR="001D3534">
        <w:rPr>
          <w:rFonts w:ascii="Arial" w:hAnsi="Arial" w:cs="Arial"/>
          <w:sz w:val="22"/>
          <w:szCs w:val="22"/>
          <w:lang w:val="en-GB"/>
        </w:rPr>
        <w:t>the “safe harbour” rules do not apply to the borrowing from GHL</w:t>
      </w:r>
      <w:r w:rsidR="00CF5FDC">
        <w:rPr>
          <w:rFonts w:ascii="Arial" w:hAnsi="Arial" w:cs="Arial"/>
          <w:sz w:val="22"/>
          <w:szCs w:val="22"/>
          <w:lang w:val="en-GB"/>
        </w:rPr>
        <w:t xml:space="preserve">, hence it cannot </w:t>
      </w:r>
      <w:r w:rsidR="00833DE3">
        <w:rPr>
          <w:rFonts w:ascii="Arial" w:hAnsi="Arial" w:cs="Arial"/>
          <w:sz w:val="22"/>
          <w:szCs w:val="22"/>
          <w:lang w:val="en-GB"/>
        </w:rPr>
        <w:t>enjoy the “safe harbour” protection</w:t>
      </w:r>
      <w:r w:rsidR="001D3534">
        <w:rPr>
          <w:rFonts w:ascii="Arial" w:hAnsi="Arial" w:cs="Arial"/>
          <w:sz w:val="22"/>
          <w:szCs w:val="22"/>
          <w:lang w:val="en-GB"/>
        </w:rPr>
        <w:t xml:space="preserve">.  </w:t>
      </w:r>
      <w:r w:rsidR="008A6EC5">
        <w:rPr>
          <w:rFonts w:ascii="Arial" w:hAnsi="Arial" w:cs="Arial"/>
          <w:sz w:val="22"/>
          <w:szCs w:val="22"/>
          <w:lang w:val="en-GB"/>
        </w:rPr>
        <w:t xml:space="preserve"> </w:t>
      </w:r>
    </w:p>
    <w:p w14:paraId="08C871A1" w14:textId="5A7D4F07" w:rsidR="00614B2C" w:rsidRPr="00A025D2" w:rsidRDefault="009E39DC" w:rsidP="00A025D2">
      <w:pPr>
        <w:jc w:val="both"/>
        <w:rPr>
          <w:rFonts w:ascii="Arial" w:hAnsi="Arial" w:cs="Arial"/>
          <w:sz w:val="22"/>
          <w:szCs w:val="22"/>
          <w:lang w:val="en-GB"/>
        </w:rPr>
      </w:pPr>
      <w:r>
        <w:rPr>
          <w:rFonts w:ascii="Arial" w:eastAsiaTheme="minorEastAsia" w:hAnsi="Arial" w:cs="Arial" w:hint="eastAsia"/>
          <w:sz w:val="22"/>
          <w:szCs w:val="22"/>
          <w:lang w:val="en-GB" w:eastAsia="zh-CN"/>
        </w:rPr>
        <w:t>3</w:t>
      </w:r>
      <w:r>
        <w:rPr>
          <w:rFonts w:ascii="Arial" w:eastAsiaTheme="minorEastAsia" w:hAnsi="Arial" w:cs="Arial"/>
          <w:sz w:val="22"/>
          <w:szCs w:val="22"/>
          <w:lang w:val="en-GB" w:eastAsia="zh-CN"/>
        </w:rPr>
        <w:t xml:space="preserve">. </w:t>
      </w:r>
      <w:r w:rsidR="001D3534">
        <w:rPr>
          <w:rFonts w:ascii="Arial" w:eastAsiaTheme="minorEastAsia" w:hAnsi="Arial" w:cs="Arial"/>
          <w:sz w:val="22"/>
          <w:szCs w:val="22"/>
          <w:lang w:val="en-GB" w:eastAsia="zh-CN"/>
        </w:rPr>
        <w:t>O</w:t>
      </w:r>
      <w:r>
        <w:rPr>
          <w:rFonts w:ascii="Arial" w:eastAsiaTheme="minorEastAsia" w:hAnsi="Arial" w:cs="Arial"/>
          <w:sz w:val="22"/>
          <w:szCs w:val="22"/>
          <w:lang w:val="en-GB" w:eastAsia="zh-CN"/>
        </w:rPr>
        <w:t xml:space="preserve">ther </w:t>
      </w:r>
      <w:r w:rsidR="001D3534">
        <w:rPr>
          <w:rFonts w:ascii="Arial" w:eastAsiaTheme="minorEastAsia" w:hAnsi="Arial" w:cs="Arial"/>
          <w:sz w:val="22"/>
          <w:szCs w:val="22"/>
          <w:lang w:val="en-GB" w:eastAsia="zh-CN"/>
        </w:rPr>
        <w:t>issue</w:t>
      </w:r>
      <w:r>
        <w:rPr>
          <w:rFonts w:ascii="Arial" w:eastAsiaTheme="minorEastAsia" w:hAnsi="Arial" w:cs="Arial"/>
          <w:sz w:val="22"/>
          <w:szCs w:val="22"/>
          <w:lang w:val="en-GB" w:eastAsia="zh-CN"/>
        </w:rPr>
        <w:t xml:space="preserve">s </w:t>
      </w:r>
      <w:r w:rsidR="001D3534">
        <w:rPr>
          <w:rFonts w:ascii="Arial" w:eastAsiaTheme="minorEastAsia" w:hAnsi="Arial" w:cs="Arial"/>
          <w:sz w:val="22"/>
          <w:szCs w:val="22"/>
          <w:lang w:val="en-GB" w:eastAsia="zh-CN"/>
        </w:rPr>
        <w:t>in relation to</w:t>
      </w:r>
      <w:r>
        <w:rPr>
          <w:rFonts w:ascii="Arial" w:eastAsiaTheme="minorEastAsia" w:hAnsi="Arial" w:cs="Arial"/>
          <w:sz w:val="22"/>
          <w:szCs w:val="22"/>
          <w:lang w:val="en-GB" w:eastAsia="zh-CN"/>
        </w:rPr>
        <w:t xml:space="preserve"> appointing a</w:t>
      </w:r>
      <w:r w:rsidR="001D3534">
        <w:rPr>
          <w:rFonts w:ascii="Arial" w:eastAsiaTheme="minorEastAsia" w:hAnsi="Arial" w:cs="Arial"/>
          <w:sz w:val="22"/>
          <w:szCs w:val="22"/>
          <w:lang w:val="en-GB" w:eastAsia="zh-CN"/>
        </w:rPr>
        <w:t xml:space="preserve"> voluntary</w:t>
      </w:r>
      <w:r>
        <w:rPr>
          <w:rFonts w:ascii="Arial" w:eastAsiaTheme="minorEastAsia" w:hAnsi="Arial" w:cs="Arial"/>
          <w:sz w:val="22"/>
          <w:szCs w:val="22"/>
          <w:lang w:val="en-GB" w:eastAsia="zh-CN"/>
        </w:rPr>
        <w:t xml:space="preserve"> administrator.</w:t>
      </w:r>
      <w:r w:rsidR="001D3534">
        <w:rPr>
          <w:rFonts w:ascii="Arial" w:eastAsiaTheme="minorEastAsia" w:hAnsi="Arial" w:cs="Arial"/>
          <w:sz w:val="22"/>
          <w:szCs w:val="22"/>
          <w:lang w:val="en-GB" w:eastAsia="zh-CN"/>
        </w:rPr>
        <w:t xml:space="preserve"> As </w:t>
      </w:r>
      <w:r w:rsidR="00705FB0">
        <w:rPr>
          <w:rFonts w:ascii="Arial" w:eastAsiaTheme="minorEastAsia" w:hAnsi="Arial" w:cs="Arial"/>
          <w:sz w:val="22"/>
          <w:szCs w:val="22"/>
          <w:lang w:val="en-GB" w:eastAsia="zh-CN"/>
        </w:rPr>
        <w:t xml:space="preserve">to the borrowing of </w:t>
      </w:r>
      <w:r w:rsidR="00705FB0" w:rsidRPr="008A6EC5">
        <w:rPr>
          <w:rFonts w:ascii="Arial" w:hAnsi="Arial" w:cs="Arial"/>
          <w:sz w:val="22"/>
          <w:szCs w:val="22"/>
          <w:lang w:val="en-GB"/>
        </w:rPr>
        <w:t>a major shareholder of HGL</w:t>
      </w:r>
      <w:r w:rsidR="00705FB0">
        <w:rPr>
          <w:rFonts w:ascii="Arial" w:hAnsi="Arial" w:cs="Arial"/>
          <w:sz w:val="22"/>
          <w:szCs w:val="22"/>
          <w:lang w:val="en-GB"/>
        </w:rPr>
        <w:t xml:space="preserve">, </w:t>
      </w:r>
      <w:r w:rsidR="00F84155">
        <w:rPr>
          <w:rFonts w:ascii="Arial" w:hAnsi="Arial" w:cs="Arial"/>
          <w:sz w:val="22"/>
          <w:szCs w:val="22"/>
          <w:lang w:val="en-GB"/>
        </w:rPr>
        <w:t>as the</w:t>
      </w:r>
      <w:r w:rsidR="008A6EC5">
        <w:rPr>
          <w:rFonts w:ascii="Arial" w:hAnsi="Arial" w:cs="Arial"/>
          <w:sz w:val="22"/>
          <w:szCs w:val="22"/>
          <w:lang w:val="en-GB"/>
        </w:rPr>
        <w:t xml:space="preserve"> </w:t>
      </w:r>
      <w:r w:rsidR="008A6EC5" w:rsidRPr="00F84155">
        <w:rPr>
          <w:rFonts w:ascii="Arial" w:hAnsi="Arial" w:cs="Arial"/>
          <w:sz w:val="22"/>
          <w:szCs w:val="22"/>
          <w:lang w:val="en-GB"/>
        </w:rPr>
        <w:t xml:space="preserve">loan </w:t>
      </w:r>
      <w:r w:rsidR="00F84155">
        <w:rPr>
          <w:rFonts w:ascii="Arial" w:hAnsi="Arial" w:cs="Arial"/>
          <w:sz w:val="22"/>
          <w:szCs w:val="22"/>
          <w:lang w:val="en-GB"/>
        </w:rPr>
        <w:t xml:space="preserve">agreement </w:t>
      </w:r>
      <w:r w:rsidR="00833DE3">
        <w:rPr>
          <w:rFonts w:ascii="Arial" w:hAnsi="Arial" w:cs="Arial"/>
          <w:sz w:val="22"/>
          <w:szCs w:val="22"/>
          <w:lang w:val="en-GB"/>
        </w:rPr>
        <w:t>has provided</w:t>
      </w:r>
      <w:r w:rsidR="00F84155">
        <w:rPr>
          <w:rFonts w:ascii="Arial" w:hAnsi="Arial" w:cs="Arial"/>
          <w:sz w:val="22"/>
          <w:szCs w:val="22"/>
          <w:lang w:val="en-GB"/>
        </w:rPr>
        <w:t xml:space="preserve"> a</w:t>
      </w:r>
      <w:r w:rsidR="00833DE3">
        <w:rPr>
          <w:rFonts w:ascii="Arial" w:hAnsi="Arial" w:cs="Arial"/>
          <w:sz w:val="22"/>
          <w:szCs w:val="22"/>
          <w:lang w:val="en-GB"/>
        </w:rPr>
        <w:t>n</w:t>
      </w:r>
      <w:r w:rsidR="00F84155">
        <w:rPr>
          <w:rFonts w:ascii="Arial" w:hAnsi="Arial" w:cs="Arial"/>
          <w:sz w:val="22"/>
          <w:szCs w:val="22"/>
          <w:lang w:val="en-GB"/>
        </w:rPr>
        <w:t xml:space="preserve"> </w:t>
      </w:r>
      <w:r w:rsidR="00833DE3">
        <w:rPr>
          <w:rFonts w:ascii="Arial" w:hAnsi="Arial" w:cs="Arial"/>
          <w:i/>
          <w:iCs/>
          <w:sz w:val="22"/>
          <w:szCs w:val="22"/>
          <w:lang w:val="en-GB"/>
        </w:rPr>
        <w:t>i</w:t>
      </w:r>
      <w:r w:rsidR="00F84155" w:rsidRPr="00A025D2">
        <w:rPr>
          <w:rFonts w:ascii="Arial" w:hAnsi="Arial" w:cs="Arial"/>
          <w:i/>
          <w:iCs/>
          <w:sz w:val="22"/>
          <w:szCs w:val="22"/>
          <w:lang w:val="en-GB"/>
        </w:rPr>
        <w:t xml:space="preserve">pso </w:t>
      </w:r>
      <w:r w:rsidR="00833DE3">
        <w:rPr>
          <w:rFonts w:ascii="Arial" w:hAnsi="Arial" w:cs="Arial"/>
          <w:i/>
          <w:iCs/>
          <w:sz w:val="22"/>
          <w:szCs w:val="22"/>
          <w:lang w:val="en-GB"/>
        </w:rPr>
        <w:t>f</w:t>
      </w:r>
      <w:r w:rsidR="00F84155" w:rsidRPr="00A025D2">
        <w:rPr>
          <w:rFonts w:ascii="Arial" w:hAnsi="Arial" w:cs="Arial"/>
          <w:i/>
          <w:iCs/>
          <w:sz w:val="22"/>
          <w:szCs w:val="22"/>
          <w:lang w:val="en-GB"/>
        </w:rPr>
        <w:t>acto</w:t>
      </w:r>
      <w:r w:rsidR="00F84155">
        <w:rPr>
          <w:rFonts w:ascii="Arial" w:hAnsi="Arial" w:cs="Arial"/>
          <w:sz w:val="22"/>
          <w:szCs w:val="22"/>
          <w:lang w:val="en-GB"/>
        </w:rPr>
        <w:t xml:space="preserve"> clause that the debts </w:t>
      </w:r>
      <w:r w:rsidR="008A6EC5" w:rsidRPr="00F84155">
        <w:rPr>
          <w:rFonts w:ascii="Arial" w:hAnsi="Arial" w:cs="Arial"/>
          <w:sz w:val="22"/>
          <w:szCs w:val="22"/>
          <w:lang w:val="en-GB"/>
        </w:rPr>
        <w:t>become automatically due and payable in full if HA enters into any formal insolvency or restructuring process in Australia</w:t>
      </w:r>
      <w:r w:rsidR="00833DE3">
        <w:rPr>
          <w:rFonts w:ascii="Arial" w:hAnsi="Arial" w:cs="Arial"/>
          <w:sz w:val="22"/>
          <w:szCs w:val="22"/>
          <w:lang w:val="en-GB"/>
        </w:rPr>
        <w:t xml:space="preserve">. Even though </w:t>
      </w:r>
      <w:r w:rsidR="00833DE3">
        <w:rPr>
          <w:rFonts w:ascii="Arial" w:hAnsi="Arial" w:cs="Arial"/>
          <w:i/>
          <w:iCs/>
          <w:sz w:val="22"/>
          <w:szCs w:val="22"/>
          <w:lang w:val="en-GB"/>
        </w:rPr>
        <w:t>i</w:t>
      </w:r>
      <w:r w:rsidR="00833DE3" w:rsidRPr="00A025D2">
        <w:rPr>
          <w:rFonts w:ascii="Arial" w:hAnsi="Arial" w:cs="Arial"/>
          <w:i/>
          <w:iCs/>
          <w:sz w:val="22"/>
          <w:szCs w:val="22"/>
          <w:lang w:val="en-GB"/>
        </w:rPr>
        <w:t xml:space="preserve">pso </w:t>
      </w:r>
      <w:r w:rsidR="00833DE3">
        <w:rPr>
          <w:rFonts w:ascii="Arial" w:hAnsi="Arial" w:cs="Arial"/>
          <w:i/>
          <w:iCs/>
          <w:sz w:val="22"/>
          <w:szCs w:val="22"/>
          <w:lang w:val="en-GB"/>
        </w:rPr>
        <w:t>f</w:t>
      </w:r>
      <w:r w:rsidR="00833DE3" w:rsidRPr="00A025D2">
        <w:rPr>
          <w:rFonts w:ascii="Arial" w:hAnsi="Arial" w:cs="Arial"/>
          <w:i/>
          <w:iCs/>
          <w:sz w:val="22"/>
          <w:szCs w:val="22"/>
          <w:lang w:val="en-GB"/>
        </w:rPr>
        <w:t>acto</w:t>
      </w:r>
      <w:r w:rsidR="00833DE3">
        <w:rPr>
          <w:rFonts w:ascii="Arial" w:hAnsi="Arial" w:cs="Arial"/>
          <w:sz w:val="22"/>
          <w:szCs w:val="22"/>
          <w:lang w:val="en-GB"/>
        </w:rPr>
        <w:t xml:space="preserve"> clauses are generally effective in Australia, they are prohibited to have effect to</w:t>
      </w:r>
      <w:r w:rsidR="00833DE3" w:rsidRPr="00833DE3">
        <w:rPr>
          <w:rFonts w:ascii="Arial" w:hAnsi="Arial" w:cs="Arial"/>
          <w:sz w:val="22"/>
          <w:szCs w:val="22"/>
          <w:lang w:val="en-GB"/>
        </w:rPr>
        <w:t xml:space="preserve"> </w:t>
      </w:r>
      <w:r w:rsidR="00833DE3">
        <w:rPr>
          <w:rFonts w:ascii="Arial" w:hAnsi="Arial" w:cs="Arial"/>
          <w:sz w:val="22"/>
          <w:szCs w:val="22"/>
          <w:lang w:val="en-GB"/>
        </w:rPr>
        <w:t>voluntary administration.</w:t>
      </w:r>
      <w:r w:rsidR="00AF2033">
        <w:rPr>
          <w:rFonts w:ascii="Arial" w:hAnsi="Arial" w:cs="Arial"/>
          <w:sz w:val="22"/>
          <w:szCs w:val="22"/>
          <w:lang w:val="en-GB"/>
        </w:rPr>
        <w:t xml:space="preserve"> In this regard</w:t>
      </w:r>
      <w:r w:rsidR="00F84155">
        <w:rPr>
          <w:rFonts w:ascii="Arial" w:hAnsi="Arial" w:cs="Arial"/>
          <w:sz w:val="22"/>
          <w:szCs w:val="22"/>
          <w:lang w:val="en-GB"/>
        </w:rPr>
        <w:t xml:space="preserve">, if the Board decide to initiate voluntary administration, </w:t>
      </w:r>
      <w:r w:rsidR="00A025D2">
        <w:rPr>
          <w:rFonts w:ascii="Arial" w:hAnsi="Arial" w:cs="Arial"/>
          <w:sz w:val="22"/>
          <w:szCs w:val="22"/>
          <w:lang w:val="en-GB"/>
        </w:rPr>
        <w:t>that</w:t>
      </w:r>
      <w:r w:rsidR="00A025D2" w:rsidRPr="00AF2033">
        <w:rPr>
          <w:rFonts w:ascii="Arial" w:hAnsi="Arial" w:cs="Arial"/>
          <w:i/>
          <w:iCs/>
          <w:sz w:val="22"/>
          <w:szCs w:val="22"/>
          <w:lang w:val="en-GB"/>
        </w:rPr>
        <w:t xml:space="preserve"> </w:t>
      </w:r>
      <w:r w:rsidR="00AF2033" w:rsidRPr="00AF2033">
        <w:rPr>
          <w:rFonts w:ascii="Arial" w:hAnsi="Arial" w:cs="Arial"/>
          <w:i/>
          <w:iCs/>
          <w:sz w:val="22"/>
          <w:szCs w:val="22"/>
          <w:lang w:val="en-GB"/>
        </w:rPr>
        <w:t>i</w:t>
      </w:r>
      <w:r w:rsidR="00A025D2" w:rsidRPr="00AF2033">
        <w:rPr>
          <w:rFonts w:ascii="Arial" w:hAnsi="Arial" w:cs="Arial"/>
          <w:i/>
          <w:iCs/>
          <w:sz w:val="22"/>
          <w:szCs w:val="22"/>
          <w:lang w:val="en-GB"/>
        </w:rPr>
        <w:t>pso facto</w:t>
      </w:r>
      <w:r w:rsidR="00A025D2">
        <w:rPr>
          <w:rFonts w:ascii="Arial" w:hAnsi="Arial" w:cs="Arial"/>
          <w:sz w:val="22"/>
          <w:szCs w:val="22"/>
          <w:lang w:val="en-GB"/>
        </w:rPr>
        <w:t xml:space="preserve"> clause will be prohibited from </w:t>
      </w:r>
      <w:r w:rsidR="00AF2033">
        <w:rPr>
          <w:rFonts w:ascii="Arial" w:hAnsi="Arial" w:cs="Arial"/>
          <w:sz w:val="22"/>
          <w:szCs w:val="22"/>
          <w:lang w:val="en-GB"/>
        </w:rPr>
        <w:t>giving</w:t>
      </w:r>
      <w:r w:rsidR="00A025D2">
        <w:rPr>
          <w:rFonts w:ascii="Arial" w:hAnsi="Arial" w:cs="Arial"/>
          <w:sz w:val="22"/>
          <w:szCs w:val="22"/>
          <w:lang w:val="en-GB"/>
        </w:rPr>
        <w:t xml:space="preserve"> effect </w:t>
      </w:r>
      <w:r w:rsidR="00A025D2" w:rsidRPr="00A025D2">
        <w:rPr>
          <w:rFonts w:ascii="Arial" w:hAnsi="Arial" w:cs="Arial" w:hint="eastAsia"/>
          <w:sz w:val="22"/>
          <w:szCs w:val="22"/>
          <w:lang w:val="en-GB"/>
        </w:rPr>
        <w:t>which</w:t>
      </w:r>
      <w:r w:rsidR="00A025D2">
        <w:rPr>
          <w:rFonts w:ascii="Arial" w:hAnsi="Arial" w:cs="Arial"/>
          <w:sz w:val="22"/>
          <w:szCs w:val="22"/>
          <w:lang w:val="en-GB"/>
        </w:rPr>
        <w:t xml:space="preserve"> </w:t>
      </w:r>
      <w:r w:rsidR="00A025D2" w:rsidRPr="00A025D2">
        <w:rPr>
          <w:rFonts w:ascii="Arial" w:hAnsi="Arial" w:cs="Arial" w:hint="eastAsia"/>
          <w:sz w:val="22"/>
          <w:szCs w:val="22"/>
          <w:lang w:val="en-GB"/>
        </w:rPr>
        <w:t>will</w:t>
      </w:r>
      <w:r w:rsidR="00A025D2">
        <w:rPr>
          <w:rFonts w:ascii="Arial" w:hAnsi="Arial" w:cs="Arial"/>
          <w:sz w:val="22"/>
          <w:szCs w:val="22"/>
          <w:lang w:val="en-GB"/>
        </w:rPr>
        <w:t xml:space="preserve"> </w:t>
      </w:r>
      <w:r w:rsidR="00A025D2" w:rsidRPr="00A025D2">
        <w:rPr>
          <w:rFonts w:ascii="Arial" w:hAnsi="Arial" w:cs="Arial" w:hint="eastAsia"/>
          <w:sz w:val="22"/>
          <w:szCs w:val="22"/>
          <w:lang w:val="en-GB"/>
        </w:rPr>
        <w:t>increase</w:t>
      </w:r>
      <w:r w:rsidR="00A025D2">
        <w:rPr>
          <w:rFonts w:ascii="Arial" w:hAnsi="Arial" w:cs="Arial"/>
          <w:sz w:val="22"/>
          <w:szCs w:val="22"/>
          <w:lang w:val="en-GB"/>
        </w:rPr>
        <w:t xml:space="preserve"> </w:t>
      </w:r>
      <w:r w:rsidR="00A025D2" w:rsidRPr="00A025D2">
        <w:rPr>
          <w:rFonts w:ascii="Arial" w:hAnsi="Arial" w:cs="Arial" w:hint="eastAsia"/>
          <w:sz w:val="22"/>
          <w:szCs w:val="22"/>
          <w:lang w:val="en-GB"/>
        </w:rPr>
        <w:t>the</w:t>
      </w:r>
      <w:r w:rsidR="00A025D2">
        <w:rPr>
          <w:rFonts w:ascii="Arial" w:hAnsi="Arial" w:cs="Arial"/>
          <w:sz w:val="22"/>
          <w:szCs w:val="22"/>
          <w:lang w:val="en-GB"/>
        </w:rPr>
        <w:t xml:space="preserve"> </w:t>
      </w:r>
      <w:r w:rsidR="00A025D2" w:rsidRPr="00A025D2">
        <w:rPr>
          <w:rFonts w:ascii="Arial" w:hAnsi="Arial" w:cs="Arial" w:hint="eastAsia"/>
          <w:sz w:val="22"/>
          <w:szCs w:val="22"/>
          <w:lang w:val="en-GB"/>
        </w:rPr>
        <w:t>possibility</w:t>
      </w:r>
      <w:r w:rsidR="00A025D2">
        <w:rPr>
          <w:rFonts w:ascii="Arial" w:hAnsi="Arial" w:cs="Arial"/>
          <w:sz w:val="22"/>
          <w:szCs w:val="22"/>
          <w:lang w:val="en-GB"/>
        </w:rPr>
        <w:t xml:space="preserve"> </w:t>
      </w:r>
      <w:r w:rsidR="00A025D2" w:rsidRPr="00A025D2">
        <w:rPr>
          <w:rFonts w:ascii="Arial" w:hAnsi="Arial" w:cs="Arial" w:hint="eastAsia"/>
          <w:sz w:val="22"/>
          <w:szCs w:val="22"/>
          <w:lang w:val="en-GB"/>
        </w:rPr>
        <w:t>of</w:t>
      </w:r>
      <w:r w:rsidR="00A025D2" w:rsidRPr="00A025D2">
        <w:rPr>
          <w:rFonts w:ascii="Arial" w:hAnsi="Arial" w:cs="Arial"/>
          <w:sz w:val="22"/>
          <w:szCs w:val="22"/>
          <w:lang w:val="en-GB"/>
        </w:rPr>
        <w:t xml:space="preserve"> </w:t>
      </w:r>
      <w:r w:rsidR="00A025D2">
        <w:rPr>
          <w:rFonts w:ascii="Arial" w:hAnsi="Arial" w:cs="Arial"/>
          <w:sz w:val="22"/>
          <w:szCs w:val="22"/>
          <w:lang w:val="en-GB"/>
        </w:rPr>
        <w:t>HA</w:t>
      </w:r>
      <w:r w:rsidR="00A025D2" w:rsidRPr="00A025D2">
        <w:rPr>
          <w:rFonts w:ascii="Arial" w:hAnsi="Arial" w:cs="Arial"/>
          <w:sz w:val="22"/>
          <w:szCs w:val="22"/>
          <w:lang w:val="en-GB"/>
        </w:rPr>
        <w:t>’s survival</w:t>
      </w:r>
      <w:r w:rsidR="00A025D2">
        <w:rPr>
          <w:rFonts w:ascii="Arial" w:hAnsi="Arial" w:cs="Arial"/>
          <w:sz w:val="22"/>
          <w:szCs w:val="22"/>
          <w:lang w:val="en-GB"/>
        </w:rPr>
        <w:t xml:space="preserve">. </w:t>
      </w:r>
      <w:r w:rsidR="002733C4">
        <w:rPr>
          <w:rFonts w:ascii="Arial" w:hAnsi="Arial" w:cs="Arial"/>
          <w:sz w:val="22"/>
          <w:szCs w:val="22"/>
          <w:lang w:val="en-GB"/>
        </w:rPr>
        <w:t>Further,</w:t>
      </w:r>
      <w:r w:rsidR="00A025D2">
        <w:rPr>
          <w:rFonts w:ascii="Arial" w:hAnsi="Arial" w:cs="Arial"/>
          <w:sz w:val="22"/>
          <w:szCs w:val="22"/>
          <w:lang w:val="en-GB"/>
        </w:rPr>
        <w:t xml:space="preserve"> </w:t>
      </w:r>
      <w:r w:rsidR="002733C4">
        <w:rPr>
          <w:rFonts w:ascii="Arial" w:hAnsi="Arial" w:cs="Arial"/>
          <w:sz w:val="22"/>
          <w:szCs w:val="22"/>
          <w:lang w:val="en-GB"/>
        </w:rPr>
        <w:t>a</w:t>
      </w:r>
      <w:r w:rsidR="00A025D2">
        <w:rPr>
          <w:rFonts w:ascii="Arial" w:hAnsi="Arial" w:cs="Arial"/>
          <w:sz w:val="22"/>
          <w:szCs w:val="22"/>
          <w:lang w:val="en-GB"/>
        </w:rPr>
        <w:t xml:space="preserve">s to </w:t>
      </w:r>
      <w:r w:rsidR="00A025D2" w:rsidRPr="00A025D2">
        <w:rPr>
          <w:rFonts w:ascii="Arial" w:hAnsi="Arial" w:cs="Arial"/>
          <w:sz w:val="22"/>
          <w:szCs w:val="22"/>
          <w:lang w:val="en-GB"/>
        </w:rPr>
        <w:t>t</w:t>
      </w:r>
      <w:r w:rsidR="00BE7449" w:rsidRPr="00A025D2">
        <w:rPr>
          <w:rFonts w:ascii="Arial" w:hAnsi="Arial" w:cs="Arial"/>
          <w:sz w:val="22"/>
          <w:szCs w:val="22"/>
          <w:lang w:val="en-GB"/>
        </w:rPr>
        <w:t>he loan provided by CBA</w:t>
      </w:r>
      <w:r w:rsidR="00A025D2" w:rsidRPr="00A025D2">
        <w:rPr>
          <w:rFonts w:ascii="Arial" w:hAnsi="Arial" w:cs="Arial"/>
          <w:sz w:val="22"/>
          <w:szCs w:val="22"/>
          <w:lang w:val="en-GB"/>
        </w:rPr>
        <w:t>,</w:t>
      </w:r>
      <w:r w:rsidR="00BE7449" w:rsidRPr="00A025D2">
        <w:rPr>
          <w:rFonts w:ascii="Arial" w:hAnsi="Arial" w:cs="Arial"/>
          <w:sz w:val="22"/>
          <w:szCs w:val="22"/>
          <w:lang w:val="en-GB"/>
        </w:rPr>
        <w:t xml:space="preserve"> </w:t>
      </w:r>
      <w:r w:rsidR="00A025D2" w:rsidRPr="00A025D2">
        <w:rPr>
          <w:rFonts w:ascii="Arial" w:hAnsi="Arial" w:cs="Arial"/>
          <w:sz w:val="22"/>
          <w:szCs w:val="22"/>
          <w:lang w:val="en-GB"/>
        </w:rPr>
        <w:t>since t</w:t>
      </w:r>
      <w:r w:rsidR="0066099F" w:rsidRPr="00A025D2">
        <w:rPr>
          <w:rFonts w:ascii="Arial" w:hAnsi="Arial" w:cs="Arial"/>
          <w:sz w:val="22"/>
          <w:szCs w:val="22"/>
          <w:lang w:val="en-GB"/>
        </w:rPr>
        <w:t>he mortgages are not registered on the Personal Property Securities Register</w:t>
      </w:r>
      <w:r w:rsidR="002733C4">
        <w:rPr>
          <w:rFonts w:ascii="宋体" w:eastAsia="宋体" w:hAnsi="宋体" w:cs="宋体" w:hint="eastAsia"/>
          <w:sz w:val="22"/>
          <w:szCs w:val="22"/>
          <w:lang w:val="en-GB" w:eastAsia="zh-CN"/>
        </w:rPr>
        <w:t xml:space="preserve"> </w:t>
      </w:r>
      <w:r w:rsidR="00A025D2" w:rsidRPr="00A025D2">
        <w:rPr>
          <w:rFonts w:ascii="Arial" w:hAnsi="Arial" w:cs="Arial" w:hint="eastAsia"/>
          <w:sz w:val="22"/>
          <w:szCs w:val="22"/>
          <w:lang w:val="en-GB"/>
        </w:rPr>
        <w:t>a</w:t>
      </w:r>
      <w:r w:rsidR="00614B2C" w:rsidRPr="00614B2C">
        <w:rPr>
          <w:rFonts w:ascii="Arial" w:hAnsi="Arial" w:cs="Arial" w:hint="eastAsia"/>
          <w:sz w:val="22"/>
          <w:szCs w:val="22"/>
          <w:lang w:val="en-GB"/>
        </w:rPr>
        <w:t>ccording</w:t>
      </w:r>
      <w:r w:rsidR="00614B2C" w:rsidRPr="00614B2C">
        <w:rPr>
          <w:rFonts w:ascii="Arial" w:hAnsi="Arial" w:cs="Arial"/>
          <w:sz w:val="22"/>
          <w:szCs w:val="22"/>
          <w:lang w:val="en-GB"/>
        </w:rPr>
        <w:t xml:space="preserve"> </w:t>
      </w:r>
      <w:r w:rsidR="00614B2C">
        <w:rPr>
          <w:rFonts w:ascii="Arial" w:hAnsi="Arial" w:cs="Arial"/>
          <w:sz w:val="22"/>
          <w:szCs w:val="22"/>
          <w:lang w:val="en-GB"/>
        </w:rPr>
        <w:t xml:space="preserve">to section 267 of the </w:t>
      </w:r>
      <w:r w:rsidR="00614B2C" w:rsidRPr="00614B2C">
        <w:rPr>
          <w:rFonts w:ascii="Arial" w:hAnsi="Arial" w:cs="Arial"/>
          <w:sz w:val="22"/>
          <w:szCs w:val="22"/>
          <w:lang w:val="en-GB"/>
        </w:rPr>
        <w:t>Personal Property Securities Act 2009</w:t>
      </w:r>
      <w:r w:rsidR="00614B2C">
        <w:rPr>
          <w:rFonts w:ascii="Arial" w:hAnsi="Arial" w:cs="Arial"/>
          <w:sz w:val="22"/>
          <w:szCs w:val="22"/>
          <w:lang w:val="en-GB"/>
        </w:rPr>
        <w:t>,</w:t>
      </w:r>
      <w:r w:rsidR="00614B2C" w:rsidRPr="00614B2C">
        <w:rPr>
          <w:rFonts w:ascii="Arial" w:hAnsi="Arial" w:cs="Arial"/>
          <w:sz w:val="22"/>
          <w:szCs w:val="22"/>
          <w:lang w:val="en-GB"/>
        </w:rPr>
        <w:t xml:space="preserve"> </w:t>
      </w:r>
      <w:r w:rsidR="002E29DA">
        <w:rPr>
          <w:rFonts w:ascii="Arial" w:hAnsi="Arial" w:cs="Arial"/>
          <w:sz w:val="22"/>
          <w:szCs w:val="22"/>
          <w:lang w:val="en-GB"/>
        </w:rPr>
        <w:t xml:space="preserve">an unperfected </w:t>
      </w:r>
      <w:r w:rsidR="00614B2C" w:rsidRPr="00614B2C">
        <w:rPr>
          <w:rFonts w:ascii="Arial" w:hAnsi="Arial" w:cs="Arial"/>
          <w:sz w:val="22"/>
          <w:szCs w:val="22"/>
          <w:lang w:val="en-GB"/>
        </w:rPr>
        <w:t xml:space="preserve">security interest </w:t>
      </w:r>
      <w:r w:rsidR="002E29DA">
        <w:rPr>
          <w:rFonts w:ascii="Arial" w:hAnsi="Arial" w:cs="Arial"/>
          <w:sz w:val="22"/>
          <w:szCs w:val="22"/>
          <w:lang w:val="en-GB"/>
        </w:rPr>
        <w:t>will be</w:t>
      </w:r>
      <w:r w:rsidR="00614B2C" w:rsidRPr="00614B2C">
        <w:rPr>
          <w:rFonts w:ascii="Arial" w:hAnsi="Arial" w:cs="Arial"/>
          <w:sz w:val="22"/>
          <w:szCs w:val="22"/>
          <w:lang w:val="en-GB"/>
        </w:rPr>
        <w:t xml:space="preserve"> </w:t>
      </w:r>
      <w:r w:rsidR="002E29DA" w:rsidRPr="002E29DA">
        <w:rPr>
          <w:rFonts w:ascii="Arial" w:hAnsi="Arial" w:cs="Arial"/>
          <w:sz w:val="22"/>
          <w:szCs w:val="22"/>
          <w:lang w:val="en-GB"/>
        </w:rPr>
        <w:t xml:space="preserve">vested in the grantor immediately </w:t>
      </w:r>
      <w:r w:rsidR="00A24109">
        <w:rPr>
          <w:rFonts w:ascii="Arial" w:hAnsi="Arial" w:cs="Arial"/>
          <w:sz w:val="22"/>
          <w:szCs w:val="22"/>
          <w:lang w:val="en-GB"/>
        </w:rPr>
        <w:t xml:space="preserve">upon the appointment of administrator. The CBA can only be paid </w:t>
      </w:r>
      <w:r w:rsidR="00A24109" w:rsidRPr="00A24109">
        <w:rPr>
          <w:rFonts w:ascii="Arial" w:hAnsi="Arial" w:cs="Arial"/>
          <w:i/>
          <w:iCs/>
          <w:sz w:val="22"/>
          <w:szCs w:val="22"/>
          <w:lang w:val="en-GB"/>
        </w:rPr>
        <w:t xml:space="preserve">pari passu </w:t>
      </w:r>
      <w:r w:rsidR="00A24109">
        <w:rPr>
          <w:rFonts w:ascii="Arial" w:hAnsi="Arial" w:cs="Arial"/>
          <w:sz w:val="22"/>
          <w:szCs w:val="22"/>
          <w:lang w:val="en-GB"/>
        </w:rPr>
        <w:t>as an ordinary creditor</w:t>
      </w:r>
      <w:r w:rsidR="002733C4">
        <w:rPr>
          <w:rFonts w:ascii="Arial" w:hAnsi="Arial" w:cs="Arial"/>
          <w:sz w:val="22"/>
          <w:szCs w:val="22"/>
          <w:lang w:val="en-GB"/>
        </w:rPr>
        <w:t xml:space="preserve"> and the collateral will become part of the estate,</w:t>
      </w:r>
      <w:r w:rsidR="007200DC">
        <w:rPr>
          <w:rFonts w:ascii="Arial" w:hAnsi="Arial" w:cs="Arial"/>
          <w:sz w:val="22"/>
          <w:szCs w:val="22"/>
          <w:lang w:val="en-GB"/>
        </w:rPr>
        <w:t xml:space="preserve"> </w:t>
      </w:r>
      <w:r w:rsidR="002733C4">
        <w:rPr>
          <w:rFonts w:ascii="Arial" w:hAnsi="Arial" w:cs="Arial"/>
          <w:sz w:val="22"/>
          <w:szCs w:val="22"/>
          <w:lang w:val="en-GB"/>
        </w:rPr>
        <w:t>this</w:t>
      </w:r>
      <w:r w:rsidR="007200DC">
        <w:rPr>
          <w:rFonts w:ascii="Arial" w:hAnsi="Arial" w:cs="Arial"/>
          <w:sz w:val="22"/>
          <w:szCs w:val="22"/>
          <w:lang w:val="en-GB"/>
        </w:rPr>
        <w:t xml:space="preserve"> also increases the possibility for HA’s survival.</w:t>
      </w:r>
      <w:r w:rsidR="00A24109">
        <w:rPr>
          <w:rFonts w:ascii="Arial" w:hAnsi="Arial" w:cs="Arial"/>
          <w:sz w:val="22"/>
          <w:szCs w:val="22"/>
          <w:lang w:val="en-GB"/>
        </w:rPr>
        <w:t xml:space="preserve">  </w:t>
      </w:r>
      <w:r w:rsidR="002E29DA">
        <w:rPr>
          <w:rFonts w:ascii="Arial" w:hAnsi="Arial" w:cs="Arial"/>
          <w:sz w:val="22"/>
          <w:szCs w:val="22"/>
          <w:lang w:val="en-GB"/>
        </w:rPr>
        <w:t xml:space="preserve">  </w:t>
      </w:r>
    </w:p>
    <w:p w14:paraId="1C8A4E3C" w14:textId="6DBC090F" w:rsidR="00614B2C" w:rsidRPr="00A24109" w:rsidRDefault="00A24109" w:rsidP="002D62AD">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Therefore, </w:t>
      </w:r>
      <w:r w:rsidR="002733C4">
        <w:rPr>
          <w:rFonts w:ascii="Arial" w:hAnsi="Arial" w:cs="Arial"/>
          <w:sz w:val="22"/>
          <w:szCs w:val="22"/>
          <w:lang w:val="en-GB"/>
        </w:rPr>
        <w:t xml:space="preserve">I will advise to the Board of HA, in this case to </w:t>
      </w:r>
      <w:r w:rsidR="000C4A10">
        <w:rPr>
          <w:rFonts w:ascii="Arial" w:hAnsi="Arial" w:cs="Arial"/>
          <w:sz w:val="22"/>
          <w:szCs w:val="22"/>
          <w:lang w:val="en-GB"/>
        </w:rPr>
        <w:t xml:space="preserve">initiate </w:t>
      </w:r>
      <w:r w:rsidR="002733C4">
        <w:rPr>
          <w:rFonts w:ascii="Arial" w:hAnsi="Arial" w:cs="Arial"/>
          <w:sz w:val="22"/>
          <w:szCs w:val="22"/>
          <w:lang w:val="en-GB"/>
        </w:rPr>
        <w:t>a</w:t>
      </w:r>
      <w:r w:rsidR="007200DC">
        <w:rPr>
          <w:rFonts w:ascii="Arial" w:hAnsi="Arial" w:cs="Arial"/>
          <w:sz w:val="22"/>
          <w:szCs w:val="22"/>
          <w:lang w:val="en-GB"/>
        </w:rPr>
        <w:t xml:space="preserve"> </w:t>
      </w:r>
      <w:r w:rsidR="000C4A10">
        <w:rPr>
          <w:rFonts w:ascii="Arial" w:hAnsi="Arial" w:cs="Arial"/>
          <w:sz w:val="22"/>
          <w:szCs w:val="22"/>
          <w:lang w:val="en-GB"/>
        </w:rPr>
        <w:t>voluntary administration</w:t>
      </w:r>
      <w:r w:rsidR="007200DC">
        <w:rPr>
          <w:rFonts w:ascii="Arial" w:hAnsi="Arial" w:cs="Arial"/>
          <w:sz w:val="22"/>
          <w:szCs w:val="22"/>
          <w:lang w:val="en-GB"/>
        </w:rPr>
        <w:t xml:space="preserve"> proceeding for HA</w:t>
      </w:r>
      <w:r w:rsidR="002733C4">
        <w:rPr>
          <w:rFonts w:ascii="Arial" w:hAnsi="Arial" w:cs="Arial"/>
          <w:sz w:val="22"/>
          <w:szCs w:val="22"/>
          <w:lang w:val="en-GB"/>
        </w:rPr>
        <w:t xml:space="preserve"> </w:t>
      </w:r>
      <w:r w:rsidR="000C4A10">
        <w:rPr>
          <w:rFonts w:ascii="Arial" w:hAnsi="Arial" w:cs="Arial"/>
          <w:sz w:val="22"/>
          <w:szCs w:val="22"/>
          <w:lang w:val="en-GB"/>
        </w:rPr>
        <w:t>as soon as possible</w:t>
      </w:r>
      <w:r w:rsidR="007200DC">
        <w:rPr>
          <w:rFonts w:ascii="Arial" w:hAnsi="Arial" w:cs="Arial"/>
          <w:sz w:val="22"/>
          <w:szCs w:val="22"/>
          <w:lang w:val="en-GB"/>
        </w:rPr>
        <w:t>,</w:t>
      </w:r>
      <w:r w:rsidR="000C4A10">
        <w:rPr>
          <w:rFonts w:ascii="Arial" w:hAnsi="Arial" w:cs="Arial"/>
          <w:sz w:val="22"/>
          <w:szCs w:val="22"/>
          <w:lang w:val="en-GB"/>
        </w:rPr>
        <w:t xml:space="preserve"> is the best option for</w:t>
      </w:r>
      <w:r w:rsidR="00F75A5C">
        <w:rPr>
          <w:rFonts w:ascii="Arial" w:hAnsi="Arial" w:cs="Arial"/>
          <w:sz w:val="22"/>
          <w:szCs w:val="22"/>
          <w:lang w:val="en-GB"/>
        </w:rPr>
        <w:t xml:space="preserve"> HA and HGL</w:t>
      </w:r>
      <w:r w:rsidR="000C4A10">
        <w:rPr>
          <w:rFonts w:ascii="Arial" w:hAnsi="Arial" w:cs="Arial"/>
          <w:sz w:val="22"/>
          <w:szCs w:val="22"/>
          <w:lang w:val="en-GB"/>
        </w:rPr>
        <w:t>. And</w:t>
      </w:r>
      <w:r w:rsidR="00F75A5C">
        <w:rPr>
          <w:rFonts w:ascii="Arial" w:hAnsi="Arial" w:cs="Arial"/>
          <w:sz w:val="22"/>
          <w:szCs w:val="22"/>
          <w:lang w:val="en-GB"/>
        </w:rPr>
        <w:t xml:space="preserve"> as the procedures provided in section 436A of the </w:t>
      </w:r>
      <w:r w:rsidR="00F75A5C" w:rsidRPr="007200DC">
        <w:rPr>
          <w:rFonts w:ascii="Arial" w:hAnsi="Arial" w:cs="Arial"/>
          <w:sz w:val="22"/>
          <w:szCs w:val="22"/>
          <w:lang w:val="en-GB"/>
        </w:rPr>
        <w:t>Corporations Act 2001</w:t>
      </w:r>
      <w:r w:rsidR="00F75A5C">
        <w:rPr>
          <w:rFonts w:ascii="Arial" w:hAnsi="Arial" w:cs="Arial"/>
          <w:sz w:val="22"/>
          <w:szCs w:val="22"/>
          <w:lang w:val="en-GB"/>
        </w:rPr>
        <w:t xml:space="preserve">, </w:t>
      </w:r>
      <w:r w:rsidR="007200DC">
        <w:rPr>
          <w:rFonts w:ascii="Arial" w:hAnsi="Arial" w:cs="Arial"/>
          <w:sz w:val="22"/>
          <w:szCs w:val="22"/>
          <w:lang w:val="en-GB"/>
        </w:rPr>
        <w:t xml:space="preserve">it </w:t>
      </w:r>
      <w:r w:rsidR="00F75A5C">
        <w:rPr>
          <w:rFonts w:ascii="Arial" w:hAnsi="Arial" w:cs="Arial"/>
          <w:sz w:val="22"/>
          <w:szCs w:val="22"/>
          <w:lang w:val="en-GB"/>
        </w:rPr>
        <w:t>should be not hard</w:t>
      </w:r>
      <w:r w:rsidR="007200DC">
        <w:rPr>
          <w:rFonts w:ascii="Arial" w:hAnsi="Arial" w:cs="Arial"/>
          <w:sz w:val="22"/>
          <w:szCs w:val="22"/>
          <w:lang w:val="en-GB"/>
        </w:rPr>
        <w:t xml:space="preserve"> for </w:t>
      </w:r>
      <w:r w:rsidR="000C4A10">
        <w:rPr>
          <w:rFonts w:ascii="Arial" w:hAnsi="Arial" w:cs="Arial"/>
          <w:sz w:val="22"/>
          <w:szCs w:val="22"/>
          <w:lang w:val="en-GB"/>
        </w:rPr>
        <w:t xml:space="preserve">the majority of </w:t>
      </w:r>
      <w:r w:rsidR="00F75A5C">
        <w:rPr>
          <w:rFonts w:ascii="Arial" w:hAnsi="Arial" w:cs="Arial"/>
          <w:sz w:val="22"/>
          <w:szCs w:val="22"/>
          <w:lang w:val="en-GB"/>
        </w:rPr>
        <w:t xml:space="preserve">HA’s </w:t>
      </w:r>
      <w:r w:rsidR="000C4A10">
        <w:rPr>
          <w:rFonts w:ascii="Arial" w:hAnsi="Arial" w:cs="Arial"/>
          <w:sz w:val="22"/>
          <w:szCs w:val="22"/>
          <w:lang w:val="en-GB"/>
        </w:rPr>
        <w:t xml:space="preserve">directors </w:t>
      </w:r>
      <w:r w:rsidR="00F75A5C">
        <w:rPr>
          <w:rFonts w:ascii="Arial" w:hAnsi="Arial" w:cs="Arial"/>
          <w:sz w:val="22"/>
          <w:szCs w:val="22"/>
          <w:lang w:val="en-GB"/>
        </w:rPr>
        <w:t>reach a</w:t>
      </w:r>
      <w:r w:rsidR="000C4A10">
        <w:rPr>
          <w:rFonts w:ascii="Arial" w:hAnsi="Arial" w:cs="Arial"/>
          <w:sz w:val="22"/>
          <w:szCs w:val="22"/>
          <w:lang w:val="en-GB"/>
        </w:rPr>
        <w:t xml:space="preserve"> resol</w:t>
      </w:r>
      <w:r w:rsidR="00F75A5C">
        <w:rPr>
          <w:rFonts w:ascii="Arial" w:hAnsi="Arial" w:cs="Arial"/>
          <w:sz w:val="22"/>
          <w:szCs w:val="22"/>
          <w:lang w:val="en-GB"/>
        </w:rPr>
        <w:t>ution</w:t>
      </w:r>
      <w:r w:rsidR="000C4A10">
        <w:rPr>
          <w:rFonts w:ascii="Arial" w:hAnsi="Arial" w:cs="Arial"/>
          <w:sz w:val="22"/>
          <w:szCs w:val="22"/>
          <w:lang w:val="en-GB"/>
        </w:rPr>
        <w:t xml:space="preserve"> </w:t>
      </w:r>
      <w:r w:rsidR="007200DC">
        <w:rPr>
          <w:rFonts w:ascii="Arial" w:hAnsi="Arial" w:cs="Arial"/>
          <w:sz w:val="22"/>
          <w:szCs w:val="22"/>
          <w:lang w:val="en-GB"/>
        </w:rPr>
        <w:t>and</w:t>
      </w:r>
      <w:r w:rsidR="000C4A10">
        <w:rPr>
          <w:rFonts w:ascii="Arial" w:hAnsi="Arial" w:cs="Arial"/>
          <w:sz w:val="22"/>
          <w:szCs w:val="22"/>
          <w:lang w:val="en-GB"/>
        </w:rPr>
        <w:t xml:space="preserve"> appoint a voluntary admin</w:t>
      </w:r>
      <w:r w:rsidR="007200DC">
        <w:rPr>
          <w:rFonts w:ascii="Arial" w:hAnsi="Arial" w:cs="Arial"/>
          <w:sz w:val="22"/>
          <w:szCs w:val="22"/>
          <w:lang w:val="en-GB"/>
        </w:rPr>
        <w:t>i</w:t>
      </w:r>
      <w:r w:rsidR="000C4A10">
        <w:rPr>
          <w:rFonts w:ascii="Arial" w:hAnsi="Arial" w:cs="Arial"/>
          <w:sz w:val="22"/>
          <w:szCs w:val="22"/>
          <w:lang w:val="en-GB"/>
        </w:rPr>
        <w:t>strator</w:t>
      </w:r>
      <w:r w:rsidR="00F75A5C">
        <w:rPr>
          <w:rFonts w:ascii="Arial" w:hAnsi="Arial" w:cs="Arial"/>
          <w:sz w:val="22"/>
          <w:szCs w:val="22"/>
          <w:lang w:val="en-GB"/>
        </w:rPr>
        <w:t xml:space="preserve"> to initiate the proceeding</w:t>
      </w:r>
      <w:r w:rsidR="000C4A10" w:rsidRPr="007200DC">
        <w:rPr>
          <w:rFonts w:ascii="Arial" w:hAnsi="Arial" w:cs="Arial"/>
          <w:sz w:val="22"/>
          <w:szCs w:val="22"/>
          <w:lang w:val="en-GB"/>
        </w:rPr>
        <w:t xml:space="preserve">. </w:t>
      </w:r>
      <w:r w:rsidR="000C4A10">
        <w:rPr>
          <w:rFonts w:ascii="Arial" w:hAnsi="Arial" w:cs="Arial"/>
          <w:sz w:val="22"/>
          <w:szCs w:val="22"/>
          <w:lang w:val="en-GB"/>
        </w:rPr>
        <w:t xml:space="preserve"> </w:t>
      </w:r>
    </w:p>
    <w:p w14:paraId="72B07B19" w14:textId="555C3105" w:rsidR="00614B2C" w:rsidRPr="007200DC" w:rsidRDefault="00614B2C" w:rsidP="002D62AD">
      <w:pPr>
        <w:autoSpaceDE w:val="0"/>
        <w:autoSpaceDN w:val="0"/>
        <w:adjustRightInd w:val="0"/>
        <w:jc w:val="both"/>
        <w:rPr>
          <w:rFonts w:ascii="Arial" w:hAnsi="Arial" w:cs="Arial"/>
          <w:sz w:val="22"/>
          <w:szCs w:val="22"/>
          <w:lang w:val="en-GB"/>
        </w:rPr>
      </w:pPr>
    </w:p>
    <w:p w14:paraId="4CD16AC7" w14:textId="77777777" w:rsidR="00A025D2" w:rsidRPr="00614B2C" w:rsidRDefault="00A025D2"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9067" w14:textId="77777777" w:rsidR="00A4403E" w:rsidRDefault="00A4403E" w:rsidP="00241B44">
      <w:r>
        <w:separator/>
      </w:r>
    </w:p>
  </w:endnote>
  <w:endnote w:type="continuationSeparator" w:id="0">
    <w:p w14:paraId="2AB89015" w14:textId="77777777" w:rsidR="00A4403E" w:rsidRDefault="00A4403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仿宋">
    <w:altName w:val="FangSong"/>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542A3A" w:rsidRPr="00FC7B47" w:rsidRDefault="00542A3A"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542A3A" w:rsidRPr="00FC7B47" w:rsidRDefault="00542A3A"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542A3A" w:rsidRPr="009B4976" w:rsidRDefault="00542A3A" w:rsidP="00542A3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Pr>
            <w:rStyle w:val="af1"/>
            <w:rFonts w:ascii="Arial" w:hAnsi="Arial" w:cs="Arial"/>
            <w:b/>
            <w:bCs/>
            <w:noProof/>
            <w:sz w:val="18"/>
            <w:szCs w:val="18"/>
          </w:rPr>
          <w:t>7</w:t>
        </w:r>
        <w:r w:rsidRPr="0010593A">
          <w:rPr>
            <w:rStyle w:val="af1"/>
            <w:rFonts w:ascii="Arial" w:hAnsi="Arial" w:cs="Arial"/>
            <w:b/>
            <w:bCs/>
            <w:sz w:val="18"/>
            <w:szCs w:val="18"/>
          </w:rPr>
          <w:fldChar w:fldCharType="end"/>
        </w:r>
      </w:p>
    </w:sdtContent>
  </w:sdt>
  <w:p w14:paraId="4652DD67" w14:textId="60117BCE" w:rsidR="00542A3A" w:rsidRPr="009B4976" w:rsidRDefault="00B36010" w:rsidP="009B4976">
    <w:pPr>
      <w:pStyle w:val="af"/>
      <w:ind w:right="360"/>
      <w:rPr>
        <w:rFonts w:ascii="Arial" w:hAnsi="Arial" w:cs="Arial"/>
        <w:sz w:val="18"/>
        <w:szCs w:val="18"/>
        <w:lang w:val="en-GB"/>
      </w:rPr>
    </w:pPr>
    <w:r w:rsidRPr="00B36010">
      <w:rPr>
        <w:rFonts w:ascii="Arial" w:hAnsi="Arial" w:cs="Arial"/>
        <w:sz w:val="18"/>
        <w:szCs w:val="18"/>
        <w:lang w:val="en-GB"/>
      </w:rPr>
      <w:t>202021IFU-390</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F4A1" w14:textId="77777777" w:rsidR="00A4403E" w:rsidRDefault="00A4403E" w:rsidP="00241B44">
      <w:r>
        <w:separator/>
      </w:r>
    </w:p>
  </w:footnote>
  <w:footnote w:type="continuationSeparator" w:id="0">
    <w:p w14:paraId="44629000" w14:textId="77777777" w:rsidR="00A4403E" w:rsidRDefault="00A4403E" w:rsidP="00241B44">
      <w:r>
        <w:continuationSeparator/>
      </w:r>
    </w:p>
  </w:footnote>
  <w:footnote w:id="1">
    <w:p w14:paraId="7B691E2E" w14:textId="1E4981B6" w:rsidR="003022E4" w:rsidRPr="007A4CE3" w:rsidRDefault="003022E4">
      <w:pPr>
        <w:pStyle w:val="a4"/>
        <w:rPr>
          <w:rFonts w:eastAsiaTheme="minorEastAsia" w:cstheme="minorHAnsi"/>
          <w:lang w:eastAsia="zh-CN"/>
        </w:rPr>
      </w:pPr>
      <w:r>
        <w:rPr>
          <w:rStyle w:val="a6"/>
        </w:rPr>
        <w:footnoteRef/>
      </w:r>
      <w:r w:rsidRPr="007A4CE3">
        <w:rPr>
          <w:rFonts w:cstheme="minorHAnsi"/>
        </w:rPr>
        <w:t xml:space="preserve"> </w:t>
      </w:r>
      <w:r w:rsidR="007A4CE3" w:rsidRPr="007A4CE3">
        <w:rPr>
          <w:rFonts w:cstheme="minorHAnsi"/>
          <w:i/>
          <w:iCs/>
        </w:rPr>
        <w:t xml:space="preserve">Alari V </w:t>
      </w:r>
      <w:r w:rsidR="007A4CE3" w:rsidRPr="007A4CE3">
        <w:rPr>
          <w:rFonts w:cstheme="minorHAnsi"/>
          <w:i/>
          <w:iCs/>
          <w:lang w:val="en-GB"/>
        </w:rPr>
        <w:t>Rizzo-Bottiglieri-De Carlini Armator</w:t>
      </w:r>
      <w:r w:rsidR="007A4CE3" w:rsidRPr="007A4CE3">
        <w:rPr>
          <w:rFonts w:cstheme="minorHAnsi"/>
          <w:lang w:val="en-GB"/>
        </w:rPr>
        <w:t xml:space="preserve"> </w:t>
      </w:r>
      <w:r w:rsidR="007A4CE3" w:rsidRPr="007A4CE3">
        <w:rPr>
          <w:rFonts w:eastAsia="宋体" w:cstheme="minorHAnsi"/>
          <w:lang w:val="en-GB" w:eastAsia="zh-CN"/>
        </w:rPr>
        <w:t>[2018]</w:t>
      </w:r>
      <w:r w:rsidR="007A4CE3">
        <w:rPr>
          <w:rFonts w:eastAsia="宋体" w:cstheme="minorHAnsi"/>
          <w:lang w:val="en-GB" w:eastAsia="zh-CN"/>
        </w:rPr>
        <w:t xml:space="preserve"> </w:t>
      </w:r>
      <w:r w:rsidR="007A4CE3" w:rsidRPr="007A4CE3">
        <w:rPr>
          <w:rFonts w:eastAsia="宋体" w:cstheme="minorHAnsi"/>
          <w:lang w:val="en-GB" w:eastAsia="zh-CN"/>
        </w:rPr>
        <w:t>FCA 1067</w:t>
      </w:r>
    </w:p>
  </w:footnote>
  <w:footnote w:id="2">
    <w:p w14:paraId="6B3F03E1" w14:textId="4BD793A4" w:rsidR="00EE6E45" w:rsidRPr="00EE6E45" w:rsidRDefault="00EE6E45">
      <w:pPr>
        <w:pStyle w:val="a4"/>
        <w:rPr>
          <w:rFonts w:eastAsiaTheme="minorEastAsia"/>
          <w:lang w:eastAsia="zh-CN"/>
        </w:rPr>
      </w:pPr>
      <w:r>
        <w:rPr>
          <w:rStyle w:val="a6"/>
        </w:rPr>
        <w:footnoteRef/>
      </w:r>
      <w:r>
        <w:t xml:space="preserve"> </w:t>
      </w:r>
      <w:r w:rsidRPr="007A4CE3">
        <w:rPr>
          <w:rFonts w:cstheme="minorHAnsi"/>
        </w:rPr>
        <w:t>Corporations Act 2001 (Cth) ss 415D–415G, 434J–434M and 451E–451H.</w:t>
      </w:r>
      <w:r>
        <w:rPr>
          <w:rFonts w:cstheme="minorHAnsi"/>
        </w:rPr>
        <w:t xml:space="preserve"> </w:t>
      </w:r>
    </w:p>
  </w:footnote>
  <w:footnote w:id="3">
    <w:p w14:paraId="4692CAF0" w14:textId="01230A76" w:rsidR="00EE6E45" w:rsidRPr="00EE6E45" w:rsidRDefault="00EE6E45">
      <w:pPr>
        <w:pStyle w:val="a4"/>
        <w:rPr>
          <w:rFonts w:eastAsiaTheme="minorEastAsia"/>
          <w:lang w:eastAsia="zh-CN"/>
        </w:rPr>
      </w:pPr>
      <w:r>
        <w:rPr>
          <w:rStyle w:val="a6"/>
        </w:rPr>
        <w:footnoteRef/>
      </w:r>
      <w:r>
        <w:t xml:space="preserve"> </w:t>
      </w:r>
      <w:r w:rsidRPr="007A4CE3">
        <w:rPr>
          <w:rFonts w:cstheme="minorHAnsi"/>
        </w:rPr>
        <w:t>S 301 of the Bankruptcy Act 1966.</w:t>
      </w:r>
    </w:p>
  </w:footnote>
  <w:footnote w:id="4">
    <w:p w14:paraId="3B2ECE97" w14:textId="3BC53099" w:rsidR="002B1D0F" w:rsidRPr="005A7A05" w:rsidRDefault="002B1D0F" w:rsidP="002B1D0F">
      <w:pPr>
        <w:pStyle w:val="a4"/>
        <w:rPr>
          <w:rFonts w:ascii="Arial" w:hAnsi="Arial" w:cs="Arial"/>
          <w:lang w:eastAsia="zh-CN"/>
        </w:rPr>
      </w:pPr>
      <w:r w:rsidRPr="005A7A05">
        <w:rPr>
          <w:rStyle w:val="a6"/>
          <w:rFonts w:ascii="Arial" w:hAnsi="Arial" w:cs="Arial"/>
        </w:rPr>
        <w:footnoteRef/>
      </w:r>
      <w:r w:rsidRPr="005A7A05">
        <w:rPr>
          <w:rFonts w:ascii="Arial" w:hAnsi="Arial" w:cs="Arial"/>
        </w:rPr>
        <w:t xml:space="preserve"> Corporations Act 2001 ss 588G</w:t>
      </w:r>
      <w:r w:rsidR="00311887">
        <w:rPr>
          <w:rFonts w:ascii="Arial" w:hAnsi="Arial" w:cs="Arial"/>
        </w:rPr>
        <w:t xml:space="preserve"> </w:t>
      </w:r>
      <w:r w:rsidRPr="005A7A05">
        <w:rPr>
          <w:rFonts w:ascii="Arial" w:hAnsi="Arial" w:cs="Arial"/>
        </w:rPr>
        <w:t>(2)–588G</w:t>
      </w:r>
      <w:r w:rsidR="00311887">
        <w:rPr>
          <w:rFonts w:ascii="Arial" w:hAnsi="Arial" w:cs="Arial"/>
        </w:rPr>
        <w:t xml:space="preserve"> </w:t>
      </w:r>
      <w:r w:rsidRPr="005A7A05">
        <w:rPr>
          <w:rFonts w:ascii="Arial" w:hAnsi="Arial" w:cs="Arial"/>
        </w:rPr>
        <w:t xml:space="preserve">(3). </w:t>
      </w:r>
    </w:p>
  </w:footnote>
  <w:footnote w:id="5">
    <w:p w14:paraId="49591847" w14:textId="71BF7522" w:rsidR="00F01A62" w:rsidRPr="005A7A05" w:rsidRDefault="00F01A62" w:rsidP="00F01A62">
      <w:pPr>
        <w:pStyle w:val="a4"/>
        <w:rPr>
          <w:rFonts w:ascii="Arial" w:eastAsiaTheme="minorEastAsia" w:hAnsi="Arial" w:cs="Arial"/>
          <w:lang w:eastAsia="zh-CN"/>
        </w:rPr>
      </w:pPr>
      <w:r w:rsidRPr="005A7A05">
        <w:rPr>
          <w:rStyle w:val="a6"/>
          <w:rFonts w:ascii="Arial" w:hAnsi="Arial" w:cs="Arial"/>
        </w:rPr>
        <w:footnoteRef/>
      </w:r>
      <w:r w:rsidRPr="005A7A05">
        <w:rPr>
          <w:rFonts w:ascii="Arial" w:hAnsi="Arial" w:cs="Arial"/>
        </w:rPr>
        <w:t xml:space="preserve"> Corporations Act 2001 </w:t>
      </w:r>
      <w:r w:rsidR="005A7A05">
        <w:rPr>
          <w:rFonts w:ascii="Arial" w:hAnsi="Arial" w:cs="Arial"/>
        </w:rPr>
        <w:t>s</w:t>
      </w:r>
      <w:r w:rsidRPr="005A7A05">
        <w:rPr>
          <w:rFonts w:ascii="Arial" w:hAnsi="Arial" w:cs="Arial"/>
        </w:rPr>
        <w:t xml:space="preserve"> 441B</w:t>
      </w:r>
    </w:p>
  </w:footnote>
  <w:footnote w:id="6">
    <w:p w14:paraId="4179B6B6" w14:textId="10105B57" w:rsidR="006B6615" w:rsidRPr="005A7A05" w:rsidRDefault="006B6615">
      <w:pPr>
        <w:pStyle w:val="a4"/>
        <w:rPr>
          <w:rFonts w:ascii="Arial" w:eastAsiaTheme="minorEastAsia" w:hAnsi="Arial" w:cs="Arial"/>
          <w:lang w:eastAsia="zh-CN"/>
        </w:rPr>
      </w:pPr>
      <w:r w:rsidRPr="005A7A05">
        <w:rPr>
          <w:rStyle w:val="a6"/>
          <w:rFonts w:ascii="Arial" w:hAnsi="Arial" w:cs="Arial"/>
        </w:rPr>
        <w:footnoteRef/>
      </w:r>
      <w:r w:rsidRPr="005A7A05">
        <w:rPr>
          <w:rFonts w:ascii="Arial" w:hAnsi="Arial" w:cs="Arial"/>
        </w:rPr>
        <w:t xml:space="preserve"> </w:t>
      </w:r>
      <w:r w:rsidR="00CE1AD6" w:rsidRPr="005A7A05">
        <w:rPr>
          <w:rFonts w:ascii="Arial" w:hAnsi="Arial" w:cs="Arial"/>
        </w:rPr>
        <w:t xml:space="preserve">Corporations Act 2001 </w:t>
      </w:r>
      <w:r w:rsidR="005A7A05">
        <w:rPr>
          <w:rFonts w:ascii="Arial" w:hAnsi="Arial" w:cs="Arial"/>
        </w:rPr>
        <w:t>s</w:t>
      </w:r>
      <w:r w:rsidR="00CE1AD6" w:rsidRPr="005A7A05">
        <w:rPr>
          <w:rFonts w:ascii="Arial" w:hAnsi="Arial" w:cs="Arial"/>
        </w:rPr>
        <w:t xml:space="preserve"> 441A</w:t>
      </w:r>
    </w:p>
  </w:footnote>
  <w:footnote w:id="7">
    <w:p w14:paraId="49C01714" w14:textId="08E5E588" w:rsidR="008924E1" w:rsidRPr="005A7A05" w:rsidRDefault="008924E1">
      <w:pPr>
        <w:pStyle w:val="a4"/>
        <w:rPr>
          <w:rFonts w:ascii="Arial" w:eastAsiaTheme="minorEastAsia" w:hAnsi="Arial" w:cs="Arial"/>
          <w:lang w:eastAsia="zh-CN"/>
        </w:rPr>
      </w:pPr>
      <w:r w:rsidRPr="005A7A05">
        <w:rPr>
          <w:rStyle w:val="a6"/>
          <w:rFonts w:ascii="Arial" w:hAnsi="Arial" w:cs="Arial"/>
        </w:rPr>
        <w:footnoteRef/>
      </w:r>
      <w:r w:rsidRPr="005A7A05">
        <w:rPr>
          <w:rFonts w:ascii="Arial" w:hAnsi="Arial" w:cs="Arial"/>
        </w:rPr>
        <w:t xml:space="preserve"> Corporations Act 2001 ss 588GA–588GB.</w:t>
      </w:r>
    </w:p>
  </w:footnote>
  <w:footnote w:id="8">
    <w:p w14:paraId="3652F68B" w14:textId="4B677B01" w:rsidR="00587900" w:rsidRPr="005A7A05" w:rsidRDefault="00587900">
      <w:pPr>
        <w:pStyle w:val="a4"/>
        <w:rPr>
          <w:rFonts w:ascii="Arial" w:eastAsiaTheme="minorEastAsia" w:hAnsi="Arial" w:cs="Arial"/>
          <w:lang w:eastAsia="zh-CN"/>
        </w:rPr>
      </w:pPr>
      <w:r w:rsidRPr="005A7A05">
        <w:rPr>
          <w:rStyle w:val="a6"/>
          <w:rFonts w:ascii="Arial" w:hAnsi="Arial" w:cs="Arial"/>
        </w:rPr>
        <w:footnoteRef/>
      </w:r>
      <w:r w:rsidRPr="005A7A05">
        <w:rPr>
          <w:rFonts w:ascii="Arial" w:hAnsi="Arial" w:cs="Arial"/>
        </w:rPr>
        <w:t xml:space="preserve"> Corporations Act 2001 s 588GA</w:t>
      </w:r>
      <w:r w:rsidR="00311887">
        <w:rPr>
          <w:rFonts w:ascii="Arial" w:hAnsi="Arial" w:cs="Arial"/>
        </w:rPr>
        <w:t xml:space="preserve"> </w:t>
      </w:r>
      <w:r w:rsidRPr="005A7A05">
        <w:rPr>
          <w:rFonts w:ascii="Arial" w:hAnsi="Arial" w:cs="Arial"/>
        </w:rPr>
        <w:t>(2).</w:t>
      </w:r>
    </w:p>
  </w:footnote>
  <w:footnote w:id="9">
    <w:p w14:paraId="6840CCA1" w14:textId="5DAB8EB3" w:rsidR="00587900" w:rsidRPr="00587900" w:rsidRDefault="00587900">
      <w:pPr>
        <w:pStyle w:val="a4"/>
        <w:rPr>
          <w:rFonts w:ascii="Times New Roman" w:hAnsi="Times New Roman" w:cs="Times New Roman"/>
        </w:rPr>
      </w:pPr>
      <w:r w:rsidRPr="005A7A05">
        <w:rPr>
          <w:rStyle w:val="a6"/>
          <w:rFonts w:ascii="Arial" w:hAnsi="Arial" w:cs="Arial"/>
        </w:rPr>
        <w:footnoteRef/>
      </w:r>
      <w:r w:rsidRPr="005A7A05">
        <w:rPr>
          <w:rFonts w:ascii="Arial" w:hAnsi="Arial" w:cs="Arial"/>
        </w:rPr>
        <w:t xml:space="preserve"> Corporations Act 2001 s 181. </w:t>
      </w:r>
    </w:p>
  </w:footnote>
  <w:footnote w:id="10">
    <w:p w14:paraId="1AB87D14" w14:textId="3A03D40F" w:rsidR="00E3700E" w:rsidRPr="00987F7A" w:rsidRDefault="00E3700E">
      <w:pPr>
        <w:pStyle w:val="a4"/>
        <w:rPr>
          <w:rFonts w:eastAsiaTheme="minorEastAsia" w:cstheme="minorHAnsi"/>
          <w:lang w:eastAsia="zh-CN"/>
        </w:rPr>
      </w:pPr>
      <w:r w:rsidRPr="00987F7A">
        <w:rPr>
          <w:rStyle w:val="a6"/>
          <w:rFonts w:cstheme="minorHAnsi"/>
        </w:rPr>
        <w:footnoteRef/>
      </w:r>
      <w:r w:rsidRPr="00987F7A">
        <w:rPr>
          <w:rFonts w:cstheme="minorHAnsi"/>
        </w:rPr>
        <w:t xml:space="preserve"> Case C- 341/04 </w:t>
      </w:r>
      <w:r w:rsidRPr="00987F7A">
        <w:rPr>
          <w:rFonts w:cstheme="minorHAnsi"/>
          <w:i/>
          <w:iCs/>
        </w:rPr>
        <w:t xml:space="preserve">Eurofoods IFSC Ltd </w:t>
      </w:r>
      <w:r w:rsidRPr="00987F7A">
        <w:rPr>
          <w:rFonts w:cstheme="minorHAnsi"/>
        </w:rPr>
        <w:t>[2006] ECR I- 03813 ( Eurofood ).</w:t>
      </w:r>
    </w:p>
  </w:footnote>
  <w:footnote w:id="11">
    <w:p w14:paraId="6796ABC6" w14:textId="58118A63" w:rsidR="008C0EE0" w:rsidRPr="00987F7A" w:rsidRDefault="008C0EE0">
      <w:pPr>
        <w:pStyle w:val="a4"/>
        <w:rPr>
          <w:rFonts w:eastAsiaTheme="minorEastAsia" w:cstheme="minorHAnsi"/>
          <w:lang w:eastAsia="zh-CN"/>
        </w:rPr>
      </w:pPr>
      <w:r w:rsidRPr="00987F7A">
        <w:rPr>
          <w:rStyle w:val="a6"/>
          <w:rFonts w:cstheme="minorHAnsi"/>
        </w:rPr>
        <w:footnoteRef/>
      </w:r>
      <w:r w:rsidRPr="00987F7A">
        <w:rPr>
          <w:rFonts w:cstheme="minorHAnsi"/>
        </w:rPr>
        <w:t xml:space="preserve"> </w:t>
      </w:r>
      <w:r w:rsidRPr="00987F7A">
        <w:rPr>
          <w:rFonts w:cstheme="minorHAnsi"/>
          <w:lang w:eastAsia="zh-CN"/>
        </w:rPr>
        <w:t>Ibid, at 35</w:t>
      </w:r>
      <w:r w:rsidRPr="00987F7A">
        <w:rPr>
          <w:rFonts w:cstheme="minorHAnsi"/>
        </w:rPr>
        <w:t>.</w:t>
      </w:r>
    </w:p>
  </w:footnote>
  <w:footnote w:id="12">
    <w:p w14:paraId="46B558D4" w14:textId="541AADD9" w:rsidR="001307FF" w:rsidRPr="00511722" w:rsidRDefault="001307FF" w:rsidP="001307FF">
      <w:pPr>
        <w:pStyle w:val="a4"/>
        <w:rPr>
          <w:rFonts w:eastAsiaTheme="minorEastAsia" w:cstheme="minorHAnsi"/>
          <w:lang w:eastAsia="zh-CN"/>
        </w:rPr>
      </w:pPr>
      <w:r w:rsidRPr="00511722">
        <w:rPr>
          <w:rStyle w:val="a6"/>
          <w:rFonts w:cstheme="minorHAnsi"/>
        </w:rPr>
        <w:footnoteRef/>
      </w:r>
      <w:r w:rsidRPr="00511722">
        <w:rPr>
          <w:rFonts w:eastAsiaTheme="minorEastAsia" w:cstheme="minorHAnsi"/>
          <w:lang w:eastAsia="zh-CN"/>
        </w:rPr>
        <w:t>[2014] FCAFC 57; (2014) 223 FCR 8 Venue</w:t>
      </w:r>
    </w:p>
  </w:footnote>
  <w:footnote w:id="13">
    <w:p w14:paraId="06BFF89E" w14:textId="250DE882" w:rsidR="00626939" w:rsidRPr="00C052C1" w:rsidRDefault="00626939">
      <w:pPr>
        <w:pStyle w:val="a4"/>
        <w:rPr>
          <w:rFonts w:eastAsiaTheme="minorEastAsia" w:cstheme="minorHAnsi"/>
          <w:lang w:eastAsia="zh-CN"/>
        </w:rPr>
      </w:pPr>
      <w:r>
        <w:rPr>
          <w:rStyle w:val="a6"/>
        </w:rPr>
        <w:footnoteRef/>
      </w:r>
      <w:r>
        <w:t xml:space="preserve"> </w:t>
      </w:r>
      <w:bookmarkStart w:id="2" w:name="_Hlk110198837"/>
      <w:r w:rsidR="00CF5FDC" w:rsidRPr="00C052C1">
        <w:rPr>
          <w:rFonts w:cstheme="minorHAnsi"/>
        </w:rPr>
        <w:t>Corporations Act 2001</w:t>
      </w:r>
      <w:bookmarkEnd w:id="2"/>
      <w:r w:rsidR="00CF5FDC" w:rsidRPr="00C052C1">
        <w:rPr>
          <w:rFonts w:cstheme="minorHAnsi"/>
        </w:rPr>
        <w:t xml:space="preserve"> ss 588G(2)–588G(3).</w:t>
      </w:r>
    </w:p>
  </w:footnote>
  <w:footnote w:id="14">
    <w:p w14:paraId="2BB06ABC" w14:textId="77777777" w:rsidR="000C037C" w:rsidRPr="00C052C1" w:rsidRDefault="000C037C" w:rsidP="000C037C">
      <w:pPr>
        <w:pStyle w:val="a4"/>
        <w:rPr>
          <w:rFonts w:cstheme="minorHAnsi"/>
        </w:rPr>
      </w:pPr>
      <w:r w:rsidRPr="00C052C1">
        <w:rPr>
          <w:rStyle w:val="a6"/>
          <w:rFonts w:cstheme="minorHAnsi"/>
        </w:rPr>
        <w:footnoteRef/>
      </w:r>
      <w:r w:rsidRPr="00C052C1">
        <w:rPr>
          <w:rFonts w:cstheme="minorHAnsi"/>
        </w:rPr>
        <w:t xml:space="preserve"> </w:t>
      </w:r>
      <w:r w:rsidRPr="00C052C1">
        <w:rPr>
          <w:rFonts w:cstheme="minorHAnsi"/>
          <w:i/>
          <w:iCs/>
        </w:rPr>
        <w:t xml:space="preserve">Morley v Statewide Tobacco Services Ltd </w:t>
      </w:r>
      <w:r w:rsidRPr="00C052C1">
        <w:rPr>
          <w:rFonts w:cstheme="minorHAnsi"/>
        </w:rPr>
        <w:t xml:space="preserve">(1992) 8 ACSR 305.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5365994">
    <w:abstractNumId w:val="18"/>
  </w:num>
  <w:num w:numId="2" w16cid:durableId="660813048">
    <w:abstractNumId w:val="10"/>
  </w:num>
  <w:num w:numId="3" w16cid:durableId="73865806">
    <w:abstractNumId w:val="8"/>
  </w:num>
  <w:num w:numId="4" w16cid:durableId="1619607423">
    <w:abstractNumId w:val="16"/>
  </w:num>
  <w:num w:numId="5" w16cid:durableId="1305617823">
    <w:abstractNumId w:val="9"/>
  </w:num>
  <w:num w:numId="6" w16cid:durableId="2132479960">
    <w:abstractNumId w:val="11"/>
  </w:num>
  <w:num w:numId="7" w16cid:durableId="1883007931">
    <w:abstractNumId w:val="17"/>
  </w:num>
  <w:num w:numId="8" w16cid:durableId="1513216">
    <w:abstractNumId w:val="14"/>
  </w:num>
  <w:num w:numId="9" w16cid:durableId="1709837481">
    <w:abstractNumId w:val="7"/>
  </w:num>
  <w:num w:numId="10" w16cid:durableId="199637213">
    <w:abstractNumId w:val="5"/>
  </w:num>
  <w:num w:numId="11" w16cid:durableId="656954057">
    <w:abstractNumId w:val="0"/>
  </w:num>
  <w:num w:numId="12" w16cid:durableId="1175726827">
    <w:abstractNumId w:val="15"/>
  </w:num>
  <w:num w:numId="13" w16cid:durableId="40256381">
    <w:abstractNumId w:val="19"/>
  </w:num>
  <w:num w:numId="14" w16cid:durableId="696808106">
    <w:abstractNumId w:val="6"/>
  </w:num>
  <w:num w:numId="15" w16cid:durableId="1249653871">
    <w:abstractNumId w:val="3"/>
  </w:num>
  <w:num w:numId="16" w16cid:durableId="224801288">
    <w:abstractNumId w:val="1"/>
  </w:num>
  <w:num w:numId="17" w16cid:durableId="575633438">
    <w:abstractNumId w:val="20"/>
  </w:num>
  <w:num w:numId="18" w16cid:durableId="2137790236">
    <w:abstractNumId w:val="4"/>
  </w:num>
  <w:num w:numId="19" w16cid:durableId="557518488">
    <w:abstractNumId w:val="13"/>
  </w:num>
  <w:num w:numId="20" w16cid:durableId="1142887189">
    <w:abstractNumId w:val="2"/>
  </w:num>
  <w:num w:numId="21" w16cid:durableId="18942661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5"/>
    <w:rsid w:val="00020557"/>
    <w:rsid w:val="000209AA"/>
    <w:rsid w:val="00021FC2"/>
    <w:rsid w:val="00023284"/>
    <w:rsid w:val="00023705"/>
    <w:rsid w:val="000250C7"/>
    <w:rsid w:val="00026F16"/>
    <w:rsid w:val="00034C1F"/>
    <w:rsid w:val="00034E45"/>
    <w:rsid w:val="00037621"/>
    <w:rsid w:val="00037DEF"/>
    <w:rsid w:val="00044D46"/>
    <w:rsid w:val="00045088"/>
    <w:rsid w:val="00045904"/>
    <w:rsid w:val="00045E8F"/>
    <w:rsid w:val="000502FD"/>
    <w:rsid w:val="00054BD6"/>
    <w:rsid w:val="00065166"/>
    <w:rsid w:val="00075328"/>
    <w:rsid w:val="00082609"/>
    <w:rsid w:val="000850D6"/>
    <w:rsid w:val="000851CC"/>
    <w:rsid w:val="00087F21"/>
    <w:rsid w:val="00093BE8"/>
    <w:rsid w:val="000A407B"/>
    <w:rsid w:val="000A5517"/>
    <w:rsid w:val="000A68ED"/>
    <w:rsid w:val="000B3919"/>
    <w:rsid w:val="000B5FF1"/>
    <w:rsid w:val="000B609F"/>
    <w:rsid w:val="000C037C"/>
    <w:rsid w:val="000C4A10"/>
    <w:rsid w:val="000C648D"/>
    <w:rsid w:val="000D2487"/>
    <w:rsid w:val="000D55A8"/>
    <w:rsid w:val="000E0D01"/>
    <w:rsid w:val="000E4841"/>
    <w:rsid w:val="000E552A"/>
    <w:rsid w:val="000F1677"/>
    <w:rsid w:val="000F3D6C"/>
    <w:rsid w:val="00101707"/>
    <w:rsid w:val="00102CC9"/>
    <w:rsid w:val="0010593A"/>
    <w:rsid w:val="00106195"/>
    <w:rsid w:val="0011473D"/>
    <w:rsid w:val="00115C85"/>
    <w:rsid w:val="00120E16"/>
    <w:rsid w:val="00123855"/>
    <w:rsid w:val="00126A4D"/>
    <w:rsid w:val="001307FF"/>
    <w:rsid w:val="001316B3"/>
    <w:rsid w:val="0014171F"/>
    <w:rsid w:val="0014622C"/>
    <w:rsid w:val="00152348"/>
    <w:rsid w:val="0015456D"/>
    <w:rsid w:val="00155FA2"/>
    <w:rsid w:val="0015721B"/>
    <w:rsid w:val="00161F1B"/>
    <w:rsid w:val="00162829"/>
    <w:rsid w:val="00164946"/>
    <w:rsid w:val="00164D4C"/>
    <w:rsid w:val="0017183F"/>
    <w:rsid w:val="0017599D"/>
    <w:rsid w:val="00176286"/>
    <w:rsid w:val="00180548"/>
    <w:rsid w:val="00180AC4"/>
    <w:rsid w:val="00180CCE"/>
    <w:rsid w:val="0018267A"/>
    <w:rsid w:val="00182779"/>
    <w:rsid w:val="001830DF"/>
    <w:rsid w:val="00185F55"/>
    <w:rsid w:val="0019239B"/>
    <w:rsid w:val="0019557F"/>
    <w:rsid w:val="00196451"/>
    <w:rsid w:val="001966D9"/>
    <w:rsid w:val="001A007A"/>
    <w:rsid w:val="001A7E9A"/>
    <w:rsid w:val="001B0F70"/>
    <w:rsid w:val="001B5016"/>
    <w:rsid w:val="001C45FC"/>
    <w:rsid w:val="001D0469"/>
    <w:rsid w:val="001D29C0"/>
    <w:rsid w:val="001D3534"/>
    <w:rsid w:val="001D4862"/>
    <w:rsid w:val="001E05D8"/>
    <w:rsid w:val="001E25B9"/>
    <w:rsid w:val="001E49E0"/>
    <w:rsid w:val="001E7B5A"/>
    <w:rsid w:val="001F7412"/>
    <w:rsid w:val="0020090A"/>
    <w:rsid w:val="00202DFE"/>
    <w:rsid w:val="0020725B"/>
    <w:rsid w:val="002110F1"/>
    <w:rsid w:val="00214DCE"/>
    <w:rsid w:val="00216FA9"/>
    <w:rsid w:val="002172B8"/>
    <w:rsid w:val="00220948"/>
    <w:rsid w:val="00221C71"/>
    <w:rsid w:val="002356EA"/>
    <w:rsid w:val="0024116D"/>
    <w:rsid w:val="00241B44"/>
    <w:rsid w:val="00241FA3"/>
    <w:rsid w:val="00245EFB"/>
    <w:rsid w:val="002476AF"/>
    <w:rsid w:val="0025386E"/>
    <w:rsid w:val="002638B0"/>
    <w:rsid w:val="00265D2D"/>
    <w:rsid w:val="00265D37"/>
    <w:rsid w:val="0026647A"/>
    <w:rsid w:val="002668D3"/>
    <w:rsid w:val="0027299F"/>
    <w:rsid w:val="002733C4"/>
    <w:rsid w:val="00275422"/>
    <w:rsid w:val="00277678"/>
    <w:rsid w:val="00284EBE"/>
    <w:rsid w:val="002903A7"/>
    <w:rsid w:val="0029433F"/>
    <w:rsid w:val="00294829"/>
    <w:rsid w:val="002956E6"/>
    <w:rsid w:val="0029690F"/>
    <w:rsid w:val="00297C8A"/>
    <w:rsid w:val="002A2A60"/>
    <w:rsid w:val="002A2C11"/>
    <w:rsid w:val="002A37BB"/>
    <w:rsid w:val="002A4B95"/>
    <w:rsid w:val="002A548A"/>
    <w:rsid w:val="002B1C45"/>
    <w:rsid w:val="002B1D0F"/>
    <w:rsid w:val="002C13C8"/>
    <w:rsid w:val="002C3547"/>
    <w:rsid w:val="002C5BB3"/>
    <w:rsid w:val="002C70AA"/>
    <w:rsid w:val="002D0021"/>
    <w:rsid w:val="002D299D"/>
    <w:rsid w:val="002D3473"/>
    <w:rsid w:val="002D62AD"/>
    <w:rsid w:val="002D64B4"/>
    <w:rsid w:val="002E15EC"/>
    <w:rsid w:val="002E29DA"/>
    <w:rsid w:val="002F1956"/>
    <w:rsid w:val="002F30C4"/>
    <w:rsid w:val="002F3440"/>
    <w:rsid w:val="002F75A3"/>
    <w:rsid w:val="003022E4"/>
    <w:rsid w:val="00302C3A"/>
    <w:rsid w:val="00303C2F"/>
    <w:rsid w:val="003042CB"/>
    <w:rsid w:val="00311887"/>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06FC"/>
    <w:rsid w:val="0037465A"/>
    <w:rsid w:val="00382C98"/>
    <w:rsid w:val="0038533C"/>
    <w:rsid w:val="00386568"/>
    <w:rsid w:val="00387124"/>
    <w:rsid w:val="00390B57"/>
    <w:rsid w:val="003948D5"/>
    <w:rsid w:val="00396821"/>
    <w:rsid w:val="00397D3A"/>
    <w:rsid w:val="003A051E"/>
    <w:rsid w:val="003A540E"/>
    <w:rsid w:val="003B170F"/>
    <w:rsid w:val="003B3C5F"/>
    <w:rsid w:val="003C2DA5"/>
    <w:rsid w:val="003C4471"/>
    <w:rsid w:val="003D0A6D"/>
    <w:rsid w:val="003D3473"/>
    <w:rsid w:val="003E0B16"/>
    <w:rsid w:val="003E67D1"/>
    <w:rsid w:val="00404329"/>
    <w:rsid w:val="0040442F"/>
    <w:rsid w:val="00405DC1"/>
    <w:rsid w:val="00411841"/>
    <w:rsid w:val="00415F1F"/>
    <w:rsid w:val="00416D2B"/>
    <w:rsid w:val="0042108F"/>
    <w:rsid w:val="00423C57"/>
    <w:rsid w:val="00430FED"/>
    <w:rsid w:val="00434A8C"/>
    <w:rsid w:val="00437297"/>
    <w:rsid w:val="00443928"/>
    <w:rsid w:val="00444284"/>
    <w:rsid w:val="00445CE6"/>
    <w:rsid w:val="004534C2"/>
    <w:rsid w:val="0045446F"/>
    <w:rsid w:val="00454ACE"/>
    <w:rsid w:val="0045683E"/>
    <w:rsid w:val="00477C72"/>
    <w:rsid w:val="00491675"/>
    <w:rsid w:val="00492C0A"/>
    <w:rsid w:val="00493855"/>
    <w:rsid w:val="00495E79"/>
    <w:rsid w:val="004A09EE"/>
    <w:rsid w:val="004A2D83"/>
    <w:rsid w:val="004A57DD"/>
    <w:rsid w:val="004A7B51"/>
    <w:rsid w:val="004A7D71"/>
    <w:rsid w:val="004A7EF3"/>
    <w:rsid w:val="004B11FD"/>
    <w:rsid w:val="004B23A2"/>
    <w:rsid w:val="004C15FB"/>
    <w:rsid w:val="004C76A9"/>
    <w:rsid w:val="004D05ED"/>
    <w:rsid w:val="004D1A5A"/>
    <w:rsid w:val="004D2FFF"/>
    <w:rsid w:val="004D3721"/>
    <w:rsid w:val="004D468D"/>
    <w:rsid w:val="004D64F9"/>
    <w:rsid w:val="004E0E12"/>
    <w:rsid w:val="004E3A6B"/>
    <w:rsid w:val="004E622C"/>
    <w:rsid w:val="004F5FDF"/>
    <w:rsid w:val="005010DC"/>
    <w:rsid w:val="00511722"/>
    <w:rsid w:val="00513AF0"/>
    <w:rsid w:val="005177FE"/>
    <w:rsid w:val="0052263B"/>
    <w:rsid w:val="005227BD"/>
    <w:rsid w:val="005234BA"/>
    <w:rsid w:val="00524728"/>
    <w:rsid w:val="005258AE"/>
    <w:rsid w:val="00532230"/>
    <w:rsid w:val="005331CA"/>
    <w:rsid w:val="00533704"/>
    <w:rsid w:val="00537970"/>
    <w:rsid w:val="00540E3A"/>
    <w:rsid w:val="00542A3A"/>
    <w:rsid w:val="00544127"/>
    <w:rsid w:val="00544FF6"/>
    <w:rsid w:val="005463A9"/>
    <w:rsid w:val="005465FF"/>
    <w:rsid w:val="00546755"/>
    <w:rsid w:val="00551038"/>
    <w:rsid w:val="005522C4"/>
    <w:rsid w:val="00553EB2"/>
    <w:rsid w:val="00554199"/>
    <w:rsid w:val="00554D98"/>
    <w:rsid w:val="00560534"/>
    <w:rsid w:val="0056391B"/>
    <w:rsid w:val="005650E2"/>
    <w:rsid w:val="00566A29"/>
    <w:rsid w:val="00567AD7"/>
    <w:rsid w:val="00575B2D"/>
    <w:rsid w:val="0058312A"/>
    <w:rsid w:val="005833D0"/>
    <w:rsid w:val="00583E26"/>
    <w:rsid w:val="005846F3"/>
    <w:rsid w:val="0058622F"/>
    <w:rsid w:val="00587900"/>
    <w:rsid w:val="00592F82"/>
    <w:rsid w:val="005949EF"/>
    <w:rsid w:val="005A0CCA"/>
    <w:rsid w:val="005A2E18"/>
    <w:rsid w:val="005A5B9D"/>
    <w:rsid w:val="005A6FF2"/>
    <w:rsid w:val="005A726D"/>
    <w:rsid w:val="005A7A05"/>
    <w:rsid w:val="005B67AC"/>
    <w:rsid w:val="005B70BE"/>
    <w:rsid w:val="005B79F4"/>
    <w:rsid w:val="005C5A6D"/>
    <w:rsid w:val="005C69CF"/>
    <w:rsid w:val="005D1496"/>
    <w:rsid w:val="005D16DD"/>
    <w:rsid w:val="005D43E0"/>
    <w:rsid w:val="005D58A3"/>
    <w:rsid w:val="005E02C9"/>
    <w:rsid w:val="005E1B79"/>
    <w:rsid w:val="005E6076"/>
    <w:rsid w:val="005E7008"/>
    <w:rsid w:val="005F026D"/>
    <w:rsid w:val="005F2AEA"/>
    <w:rsid w:val="005F2D0B"/>
    <w:rsid w:val="005F4B31"/>
    <w:rsid w:val="0060147B"/>
    <w:rsid w:val="00610388"/>
    <w:rsid w:val="006105F7"/>
    <w:rsid w:val="00610AC7"/>
    <w:rsid w:val="00612CA5"/>
    <w:rsid w:val="00614B2C"/>
    <w:rsid w:val="00614E30"/>
    <w:rsid w:val="006153EC"/>
    <w:rsid w:val="00621A17"/>
    <w:rsid w:val="00626939"/>
    <w:rsid w:val="00627A10"/>
    <w:rsid w:val="00627CC9"/>
    <w:rsid w:val="00627E7B"/>
    <w:rsid w:val="00630542"/>
    <w:rsid w:val="00632939"/>
    <w:rsid w:val="00632E44"/>
    <w:rsid w:val="00634032"/>
    <w:rsid w:val="00634622"/>
    <w:rsid w:val="00636808"/>
    <w:rsid w:val="00641515"/>
    <w:rsid w:val="0064697C"/>
    <w:rsid w:val="00654C2F"/>
    <w:rsid w:val="00657087"/>
    <w:rsid w:val="0066099F"/>
    <w:rsid w:val="006639DB"/>
    <w:rsid w:val="006648C5"/>
    <w:rsid w:val="006661EF"/>
    <w:rsid w:val="00671AF1"/>
    <w:rsid w:val="00677AEB"/>
    <w:rsid w:val="00680EF2"/>
    <w:rsid w:val="00684170"/>
    <w:rsid w:val="00684409"/>
    <w:rsid w:val="0068545B"/>
    <w:rsid w:val="00687A1D"/>
    <w:rsid w:val="00690AFA"/>
    <w:rsid w:val="006937BB"/>
    <w:rsid w:val="00697EA1"/>
    <w:rsid w:val="006A2646"/>
    <w:rsid w:val="006A5375"/>
    <w:rsid w:val="006A6530"/>
    <w:rsid w:val="006A7780"/>
    <w:rsid w:val="006B435A"/>
    <w:rsid w:val="006B4C64"/>
    <w:rsid w:val="006B6615"/>
    <w:rsid w:val="006B6DDE"/>
    <w:rsid w:val="006B7879"/>
    <w:rsid w:val="006C665D"/>
    <w:rsid w:val="006D6BD5"/>
    <w:rsid w:val="006E481A"/>
    <w:rsid w:val="006E5298"/>
    <w:rsid w:val="006F4A78"/>
    <w:rsid w:val="006F734A"/>
    <w:rsid w:val="00700D83"/>
    <w:rsid w:val="00704852"/>
    <w:rsid w:val="00705FB0"/>
    <w:rsid w:val="00706BDD"/>
    <w:rsid w:val="007074E9"/>
    <w:rsid w:val="007104B5"/>
    <w:rsid w:val="0071126B"/>
    <w:rsid w:val="00713DA4"/>
    <w:rsid w:val="00714BF1"/>
    <w:rsid w:val="007200DC"/>
    <w:rsid w:val="00721383"/>
    <w:rsid w:val="0072360C"/>
    <w:rsid w:val="0073158B"/>
    <w:rsid w:val="007333CC"/>
    <w:rsid w:val="0073399A"/>
    <w:rsid w:val="00737886"/>
    <w:rsid w:val="0074088D"/>
    <w:rsid w:val="00740DAD"/>
    <w:rsid w:val="00743AF7"/>
    <w:rsid w:val="007464D3"/>
    <w:rsid w:val="00746CE7"/>
    <w:rsid w:val="00751C31"/>
    <w:rsid w:val="007603F5"/>
    <w:rsid w:val="00764DB0"/>
    <w:rsid w:val="0076764D"/>
    <w:rsid w:val="0077498C"/>
    <w:rsid w:val="00775C59"/>
    <w:rsid w:val="007809BC"/>
    <w:rsid w:val="00784128"/>
    <w:rsid w:val="00785534"/>
    <w:rsid w:val="00787BCC"/>
    <w:rsid w:val="00793173"/>
    <w:rsid w:val="007A1F60"/>
    <w:rsid w:val="007A2A33"/>
    <w:rsid w:val="007A4CE3"/>
    <w:rsid w:val="007A7043"/>
    <w:rsid w:val="007B22CF"/>
    <w:rsid w:val="007B3A5E"/>
    <w:rsid w:val="007B5C89"/>
    <w:rsid w:val="007B7B26"/>
    <w:rsid w:val="007C1FCC"/>
    <w:rsid w:val="007C3E84"/>
    <w:rsid w:val="007C6201"/>
    <w:rsid w:val="007D7C92"/>
    <w:rsid w:val="007E1154"/>
    <w:rsid w:val="007E6BA4"/>
    <w:rsid w:val="007F1BA9"/>
    <w:rsid w:val="007F36C6"/>
    <w:rsid w:val="007F41F8"/>
    <w:rsid w:val="007F659B"/>
    <w:rsid w:val="00800BA5"/>
    <w:rsid w:val="0080454E"/>
    <w:rsid w:val="00804C32"/>
    <w:rsid w:val="00806302"/>
    <w:rsid w:val="00807119"/>
    <w:rsid w:val="008235B7"/>
    <w:rsid w:val="00823B29"/>
    <w:rsid w:val="0082483F"/>
    <w:rsid w:val="008279C0"/>
    <w:rsid w:val="00832764"/>
    <w:rsid w:val="00833DE3"/>
    <w:rsid w:val="00845788"/>
    <w:rsid w:val="008579B1"/>
    <w:rsid w:val="0086068B"/>
    <w:rsid w:val="00861A55"/>
    <w:rsid w:val="00867701"/>
    <w:rsid w:val="00867C22"/>
    <w:rsid w:val="008723F3"/>
    <w:rsid w:val="0087682F"/>
    <w:rsid w:val="00876F56"/>
    <w:rsid w:val="0087781D"/>
    <w:rsid w:val="00877DC0"/>
    <w:rsid w:val="00881DE6"/>
    <w:rsid w:val="00882A40"/>
    <w:rsid w:val="008837A6"/>
    <w:rsid w:val="0089145D"/>
    <w:rsid w:val="008924E1"/>
    <w:rsid w:val="008933C8"/>
    <w:rsid w:val="0089536F"/>
    <w:rsid w:val="008A3075"/>
    <w:rsid w:val="008A4DF2"/>
    <w:rsid w:val="008A6CFE"/>
    <w:rsid w:val="008A6EC5"/>
    <w:rsid w:val="008B4790"/>
    <w:rsid w:val="008B5333"/>
    <w:rsid w:val="008B6223"/>
    <w:rsid w:val="008C0EE0"/>
    <w:rsid w:val="008C3FB9"/>
    <w:rsid w:val="008C66E0"/>
    <w:rsid w:val="008D4D4A"/>
    <w:rsid w:val="008D707D"/>
    <w:rsid w:val="008E3339"/>
    <w:rsid w:val="008F20FC"/>
    <w:rsid w:val="008F2C4E"/>
    <w:rsid w:val="008F5FFE"/>
    <w:rsid w:val="00901A66"/>
    <w:rsid w:val="00905A43"/>
    <w:rsid w:val="00912C79"/>
    <w:rsid w:val="00920350"/>
    <w:rsid w:val="00920DC1"/>
    <w:rsid w:val="00921B8C"/>
    <w:rsid w:val="0092291C"/>
    <w:rsid w:val="009320DD"/>
    <w:rsid w:val="00936EC4"/>
    <w:rsid w:val="00942123"/>
    <w:rsid w:val="00946F13"/>
    <w:rsid w:val="009512E1"/>
    <w:rsid w:val="0095207B"/>
    <w:rsid w:val="00962045"/>
    <w:rsid w:val="0097721A"/>
    <w:rsid w:val="00980E61"/>
    <w:rsid w:val="009829D7"/>
    <w:rsid w:val="009869FD"/>
    <w:rsid w:val="00987F7A"/>
    <w:rsid w:val="00991428"/>
    <w:rsid w:val="0099169D"/>
    <w:rsid w:val="00992676"/>
    <w:rsid w:val="009954B2"/>
    <w:rsid w:val="00996691"/>
    <w:rsid w:val="009971D8"/>
    <w:rsid w:val="00997CBD"/>
    <w:rsid w:val="009A3AB7"/>
    <w:rsid w:val="009A4250"/>
    <w:rsid w:val="009B0723"/>
    <w:rsid w:val="009B07AD"/>
    <w:rsid w:val="009B0883"/>
    <w:rsid w:val="009B15E2"/>
    <w:rsid w:val="009B4976"/>
    <w:rsid w:val="009C0B8E"/>
    <w:rsid w:val="009C1BC8"/>
    <w:rsid w:val="009C2442"/>
    <w:rsid w:val="009D0811"/>
    <w:rsid w:val="009D0EE1"/>
    <w:rsid w:val="009D20B1"/>
    <w:rsid w:val="009D390B"/>
    <w:rsid w:val="009D3F45"/>
    <w:rsid w:val="009E2AEB"/>
    <w:rsid w:val="009E2E27"/>
    <w:rsid w:val="009E39DC"/>
    <w:rsid w:val="009E45DF"/>
    <w:rsid w:val="009E4DE3"/>
    <w:rsid w:val="009F12DC"/>
    <w:rsid w:val="009F189F"/>
    <w:rsid w:val="009F275E"/>
    <w:rsid w:val="009F2E51"/>
    <w:rsid w:val="009F73D2"/>
    <w:rsid w:val="00A025D2"/>
    <w:rsid w:val="00A047EE"/>
    <w:rsid w:val="00A10A54"/>
    <w:rsid w:val="00A15DC7"/>
    <w:rsid w:val="00A21FA5"/>
    <w:rsid w:val="00A2274A"/>
    <w:rsid w:val="00A235B7"/>
    <w:rsid w:val="00A24109"/>
    <w:rsid w:val="00A26EBE"/>
    <w:rsid w:val="00A27A7A"/>
    <w:rsid w:val="00A30F41"/>
    <w:rsid w:val="00A34ABE"/>
    <w:rsid w:val="00A3726E"/>
    <w:rsid w:val="00A407EF"/>
    <w:rsid w:val="00A4403E"/>
    <w:rsid w:val="00A46B4C"/>
    <w:rsid w:val="00A5117B"/>
    <w:rsid w:val="00A51DBE"/>
    <w:rsid w:val="00A55389"/>
    <w:rsid w:val="00A56168"/>
    <w:rsid w:val="00A56D34"/>
    <w:rsid w:val="00A60074"/>
    <w:rsid w:val="00A6627C"/>
    <w:rsid w:val="00A70980"/>
    <w:rsid w:val="00A71019"/>
    <w:rsid w:val="00A81029"/>
    <w:rsid w:val="00A845F5"/>
    <w:rsid w:val="00A95C32"/>
    <w:rsid w:val="00A96489"/>
    <w:rsid w:val="00AA5D8D"/>
    <w:rsid w:val="00AB2425"/>
    <w:rsid w:val="00AB685C"/>
    <w:rsid w:val="00AB6C2D"/>
    <w:rsid w:val="00AB7AA1"/>
    <w:rsid w:val="00AC08F7"/>
    <w:rsid w:val="00AC2F1F"/>
    <w:rsid w:val="00AC3839"/>
    <w:rsid w:val="00AC43F8"/>
    <w:rsid w:val="00AC68D5"/>
    <w:rsid w:val="00AC7082"/>
    <w:rsid w:val="00AC75CD"/>
    <w:rsid w:val="00AD12C7"/>
    <w:rsid w:val="00AD2D01"/>
    <w:rsid w:val="00AD4BE8"/>
    <w:rsid w:val="00AD4EBA"/>
    <w:rsid w:val="00AF2033"/>
    <w:rsid w:val="00AF228E"/>
    <w:rsid w:val="00B016A8"/>
    <w:rsid w:val="00B14819"/>
    <w:rsid w:val="00B15E2F"/>
    <w:rsid w:val="00B17AA9"/>
    <w:rsid w:val="00B20CA3"/>
    <w:rsid w:val="00B212EB"/>
    <w:rsid w:val="00B240F9"/>
    <w:rsid w:val="00B32CAC"/>
    <w:rsid w:val="00B36010"/>
    <w:rsid w:val="00B37C3C"/>
    <w:rsid w:val="00B44713"/>
    <w:rsid w:val="00B51B95"/>
    <w:rsid w:val="00B53FBE"/>
    <w:rsid w:val="00B56103"/>
    <w:rsid w:val="00B63B44"/>
    <w:rsid w:val="00B64929"/>
    <w:rsid w:val="00B736DF"/>
    <w:rsid w:val="00B743D6"/>
    <w:rsid w:val="00B74FBD"/>
    <w:rsid w:val="00B77F46"/>
    <w:rsid w:val="00B811C1"/>
    <w:rsid w:val="00B82586"/>
    <w:rsid w:val="00B82974"/>
    <w:rsid w:val="00B829A3"/>
    <w:rsid w:val="00B8406D"/>
    <w:rsid w:val="00B86DB1"/>
    <w:rsid w:val="00B87869"/>
    <w:rsid w:val="00B91EA1"/>
    <w:rsid w:val="00B9639B"/>
    <w:rsid w:val="00BA3AE6"/>
    <w:rsid w:val="00BA4008"/>
    <w:rsid w:val="00BB0F2B"/>
    <w:rsid w:val="00BB3356"/>
    <w:rsid w:val="00BB44F3"/>
    <w:rsid w:val="00BB4E7A"/>
    <w:rsid w:val="00BB5F15"/>
    <w:rsid w:val="00BC5A60"/>
    <w:rsid w:val="00BD1FB3"/>
    <w:rsid w:val="00BD53A2"/>
    <w:rsid w:val="00BE4FF3"/>
    <w:rsid w:val="00BE7449"/>
    <w:rsid w:val="00BF442F"/>
    <w:rsid w:val="00BF50F7"/>
    <w:rsid w:val="00C02F29"/>
    <w:rsid w:val="00C052C1"/>
    <w:rsid w:val="00C06B6D"/>
    <w:rsid w:val="00C13018"/>
    <w:rsid w:val="00C15EA3"/>
    <w:rsid w:val="00C16EB4"/>
    <w:rsid w:val="00C17718"/>
    <w:rsid w:val="00C20AFE"/>
    <w:rsid w:val="00C22A25"/>
    <w:rsid w:val="00C26E97"/>
    <w:rsid w:val="00C35671"/>
    <w:rsid w:val="00C35B77"/>
    <w:rsid w:val="00C376EB"/>
    <w:rsid w:val="00C41993"/>
    <w:rsid w:val="00C46A92"/>
    <w:rsid w:val="00C46EC1"/>
    <w:rsid w:val="00C50C85"/>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5C5E"/>
    <w:rsid w:val="00CB716D"/>
    <w:rsid w:val="00CB7CAC"/>
    <w:rsid w:val="00CC5335"/>
    <w:rsid w:val="00CC5BA4"/>
    <w:rsid w:val="00CC6748"/>
    <w:rsid w:val="00CD4998"/>
    <w:rsid w:val="00CE1035"/>
    <w:rsid w:val="00CE1AD6"/>
    <w:rsid w:val="00CE3A90"/>
    <w:rsid w:val="00CE6E50"/>
    <w:rsid w:val="00CF128D"/>
    <w:rsid w:val="00CF2819"/>
    <w:rsid w:val="00CF4F9D"/>
    <w:rsid w:val="00CF5FDC"/>
    <w:rsid w:val="00CF70DC"/>
    <w:rsid w:val="00D017F4"/>
    <w:rsid w:val="00D148DC"/>
    <w:rsid w:val="00D17FDC"/>
    <w:rsid w:val="00D21D8C"/>
    <w:rsid w:val="00D45094"/>
    <w:rsid w:val="00D45B4F"/>
    <w:rsid w:val="00D53719"/>
    <w:rsid w:val="00D6188D"/>
    <w:rsid w:val="00D63EFD"/>
    <w:rsid w:val="00D84752"/>
    <w:rsid w:val="00D866BC"/>
    <w:rsid w:val="00D86B3B"/>
    <w:rsid w:val="00D8748A"/>
    <w:rsid w:val="00D91BE8"/>
    <w:rsid w:val="00D91C57"/>
    <w:rsid w:val="00D93196"/>
    <w:rsid w:val="00DA078F"/>
    <w:rsid w:val="00DA0DC0"/>
    <w:rsid w:val="00DB243C"/>
    <w:rsid w:val="00DB482A"/>
    <w:rsid w:val="00DB50FB"/>
    <w:rsid w:val="00DB5440"/>
    <w:rsid w:val="00DB56F2"/>
    <w:rsid w:val="00DB6EF5"/>
    <w:rsid w:val="00DC3089"/>
    <w:rsid w:val="00DC4420"/>
    <w:rsid w:val="00DD0802"/>
    <w:rsid w:val="00DD2E11"/>
    <w:rsid w:val="00DD36A1"/>
    <w:rsid w:val="00DE03AF"/>
    <w:rsid w:val="00DE121C"/>
    <w:rsid w:val="00DE1DE6"/>
    <w:rsid w:val="00DE22A0"/>
    <w:rsid w:val="00DE3853"/>
    <w:rsid w:val="00DE6633"/>
    <w:rsid w:val="00DF68EF"/>
    <w:rsid w:val="00DF75F8"/>
    <w:rsid w:val="00DF7A3A"/>
    <w:rsid w:val="00E00C00"/>
    <w:rsid w:val="00E05C07"/>
    <w:rsid w:val="00E07C5A"/>
    <w:rsid w:val="00E11C54"/>
    <w:rsid w:val="00E14FED"/>
    <w:rsid w:val="00E15BA9"/>
    <w:rsid w:val="00E21FC4"/>
    <w:rsid w:val="00E24602"/>
    <w:rsid w:val="00E26E19"/>
    <w:rsid w:val="00E31DF3"/>
    <w:rsid w:val="00E3700E"/>
    <w:rsid w:val="00E409FC"/>
    <w:rsid w:val="00E450A4"/>
    <w:rsid w:val="00E45413"/>
    <w:rsid w:val="00E506BE"/>
    <w:rsid w:val="00E54D1D"/>
    <w:rsid w:val="00E55547"/>
    <w:rsid w:val="00E6084A"/>
    <w:rsid w:val="00E6302B"/>
    <w:rsid w:val="00E6452F"/>
    <w:rsid w:val="00E64F45"/>
    <w:rsid w:val="00E6742D"/>
    <w:rsid w:val="00E71CB0"/>
    <w:rsid w:val="00E7563D"/>
    <w:rsid w:val="00E77C3D"/>
    <w:rsid w:val="00E823F3"/>
    <w:rsid w:val="00E878C8"/>
    <w:rsid w:val="00E90991"/>
    <w:rsid w:val="00E909F0"/>
    <w:rsid w:val="00E90D47"/>
    <w:rsid w:val="00E9169F"/>
    <w:rsid w:val="00E93993"/>
    <w:rsid w:val="00E9597C"/>
    <w:rsid w:val="00EA0913"/>
    <w:rsid w:val="00EA514E"/>
    <w:rsid w:val="00EA5B00"/>
    <w:rsid w:val="00EB080B"/>
    <w:rsid w:val="00EB146B"/>
    <w:rsid w:val="00EB444A"/>
    <w:rsid w:val="00EB45AC"/>
    <w:rsid w:val="00EC441F"/>
    <w:rsid w:val="00EC4755"/>
    <w:rsid w:val="00EC7EB9"/>
    <w:rsid w:val="00ED0BC4"/>
    <w:rsid w:val="00ED14CB"/>
    <w:rsid w:val="00ED447D"/>
    <w:rsid w:val="00ED5BDC"/>
    <w:rsid w:val="00ED6606"/>
    <w:rsid w:val="00EE210F"/>
    <w:rsid w:val="00EE4971"/>
    <w:rsid w:val="00EE6CB0"/>
    <w:rsid w:val="00EE6E45"/>
    <w:rsid w:val="00EF090E"/>
    <w:rsid w:val="00EF43A2"/>
    <w:rsid w:val="00EF5572"/>
    <w:rsid w:val="00EF762A"/>
    <w:rsid w:val="00F01A62"/>
    <w:rsid w:val="00F033DA"/>
    <w:rsid w:val="00F05395"/>
    <w:rsid w:val="00F134FE"/>
    <w:rsid w:val="00F13691"/>
    <w:rsid w:val="00F13FB1"/>
    <w:rsid w:val="00F27CD8"/>
    <w:rsid w:val="00F30351"/>
    <w:rsid w:val="00F32C2B"/>
    <w:rsid w:val="00F3323E"/>
    <w:rsid w:val="00F341F4"/>
    <w:rsid w:val="00F34F9D"/>
    <w:rsid w:val="00F35CCE"/>
    <w:rsid w:val="00F45562"/>
    <w:rsid w:val="00F5165C"/>
    <w:rsid w:val="00F51FE9"/>
    <w:rsid w:val="00F5524B"/>
    <w:rsid w:val="00F60531"/>
    <w:rsid w:val="00F60538"/>
    <w:rsid w:val="00F61DD2"/>
    <w:rsid w:val="00F66AFF"/>
    <w:rsid w:val="00F71433"/>
    <w:rsid w:val="00F75A5C"/>
    <w:rsid w:val="00F84155"/>
    <w:rsid w:val="00F87A3B"/>
    <w:rsid w:val="00F912F1"/>
    <w:rsid w:val="00F96218"/>
    <w:rsid w:val="00F97C5B"/>
    <w:rsid w:val="00FA0CE9"/>
    <w:rsid w:val="00FA18CF"/>
    <w:rsid w:val="00FA1A7E"/>
    <w:rsid w:val="00FA3D50"/>
    <w:rsid w:val="00FB4C6B"/>
    <w:rsid w:val="00FB7FBD"/>
    <w:rsid w:val="00FC374A"/>
    <w:rsid w:val="00FC490B"/>
    <w:rsid w:val="00FC5347"/>
    <w:rsid w:val="00FC7249"/>
    <w:rsid w:val="00FC74C8"/>
    <w:rsid w:val="00FC7B47"/>
    <w:rsid w:val="00FD035C"/>
    <w:rsid w:val="00FD0662"/>
    <w:rsid w:val="00FD1A35"/>
    <w:rsid w:val="00FD2EA4"/>
    <w:rsid w:val="00FD36C5"/>
    <w:rsid w:val="00FD6310"/>
    <w:rsid w:val="00FD7C7B"/>
    <w:rsid w:val="00FE1D12"/>
    <w:rsid w:val="00FE2122"/>
    <w:rsid w:val="00FE2808"/>
    <w:rsid w:val="00FE2A86"/>
    <w:rsid w:val="00FE2DE2"/>
    <w:rsid w:val="00FF296F"/>
    <w:rsid w:val="00FF5E23"/>
    <w:rsid w:val="00FF7578"/>
    <w:rsid w:val="00FF7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customStyle="1" w:styleId="indentlevel0">
    <w:name w:val="indentlevel0"/>
    <w:basedOn w:val="a"/>
    <w:rsid w:val="00737886"/>
    <w:pPr>
      <w:spacing w:before="100" w:beforeAutospacing="1" w:after="100" w:afterAutospacing="1"/>
    </w:pPr>
    <w:rPr>
      <w:rFonts w:ascii="宋体" w:eastAsia="宋体" w:hAnsi="宋体" w:cs="宋体"/>
      <w:sz w:val="24"/>
      <w:lang w:eastAsia="zh-CN"/>
    </w:rPr>
  </w:style>
  <w:style w:type="character" w:styleId="af7">
    <w:name w:val="Emphasis"/>
    <w:basedOn w:val="a0"/>
    <w:uiPriority w:val="20"/>
    <w:qFormat/>
    <w:rsid w:val="00737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01946488">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26340003">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78565713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1826244104">
      <w:bodyDiv w:val="1"/>
      <w:marLeft w:val="0"/>
      <w:marRight w:val="0"/>
      <w:marTop w:val="0"/>
      <w:marBottom w:val="0"/>
      <w:divBdr>
        <w:top w:val="none" w:sz="0" w:space="0" w:color="auto"/>
        <w:left w:val="none" w:sz="0" w:space="0" w:color="auto"/>
        <w:bottom w:val="none" w:sz="0" w:space="0" w:color="auto"/>
        <w:right w:val="none" w:sz="0" w:space="0" w:color="auto"/>
      </w:divBdr>
    </w:div>
    <w:div w:id="1895239960">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simplemty@163.com</cp:lastModifiedBy>
  <cp:revision>36</cp:revision>
  <cp:lastPrinted>2019-08-27T05:42:00Z</cp:lastPrinted>
  <dcterms:created xsi:type="dcterms:W3CDTF">2022-07-31T12:55:00Z</dcterms:created>
  <dcterms:modified xsi:type="dcterms:W3CDTF">2022-07-31T16:38:00Z</dcterms:modified>
</cp:coreProperties>
</file>