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w:t>
      </w:r>
      <w:bookmarkStart w:id="0" w:name="_GoBack"/>
      <w:bookmarkEnd w:id="0"/>
      <w:r w:rsidRPr="001E23FD">
        <w:rPr>
          <w:rFonts w:ascii="Arial" w:hAnsi="Arial" w:cs="Arial"/>
          <w:b/>
          <w:bCs/>
          <w:sz w:val="22"/>
          <w:szCs w:val="22"/>
          <w:lang w:val="en-GB"/>
        </w:rPr>
        <w:t>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Pr="005F5790" w:rsidRDefault="002073B6" w:rsidP="00C76745">
      <w:pPr>
        <w:pStyle w:val="ListParagraph"/>
        <w:numPr>
          <w:ilvl w:val="0"/>
          <w:numId w:val="9"/>
        </w:numPr>
        <w:ind w:left="426" w:hanging="426"/>
        <w:jc w:val="both"/>
        <w:rPr>
          <w:rFonts w:ascii="Arial" w:hAnsi="Arial" w:cs="Arial"/>
          <w:sz w:val="22"/>
          <w:szCs w:val="22"/>
          <w:lang w:val="en-GB"/>
        </w:rPr>
      </w:pPr>
      <w:r w:rsidRPr="005F5790">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5F5790" w:rsidRDefault="002073B6" w:rsidP="00C76745">
      <w:pPr>
        <w:pStyle w:val="ListParagraph"/>
        <w:numPr>
          <w:ilvl w:val="0"/>
          <w:numId w:val="9"/>
        </w:numPr>
        <w:ind w:left="426" w:hanging="426"/>
        <w:jc w:val="both"/>
        <w:rPr>
          <w:rFonts w:ascii="Arial" w:hAnsi="Arial" w:cs="Arial"/>
          <w:bCs/>
          <w:sz w:val="22"/>
          <w:szCs w:val="22"/>
          <w:highlight w:val="yellow"/>
          <w:lang w:val="en-GB"/>
        </w:rPr>
      </w:pPr>
      <w:r w:rsidRPr="005F5790">
        <w:rPr>
          <w:rFonts w:ascii="Arial" w:hAnsi="Arial" w:cs="Arial"/>
          <w:bCs/>
          <w:sz w:val="22"/>
          <w:szCs w:val="22"/>
          <w:highlight w:val="yellow"/>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Pr="005F5790" w:rsidRDefault="002073B6" w:rsidP="00C76745">
      <w:pPr>
        <w:pStyle w:val="ListParagraph"/>
        <w:numPr>
          <w:ilvl w:val="0"/>
          <w:numId w:val="11"/>
        </w:numPr>
        <w:ind w:left="426" w:hanging="426"/>
        <w:jc w:val="both"/>
        <w:rPr>
          <w:rFonts w:ascii="Arial" w:hAnsi="Arial" w:cs="Arial"/>
          <w:sz w:val="22"/>
          <w:szCs w:val="22"/>
          <w:highlight w:val="yellow"/>
          <w:lang w:val="en-GB"/>
        </w:rPr>
      </w:pPr>
      <w:r w:rsidRPr="005F5790">
        <w:rPr>
          <w:rFonts w:ascii="Arial" w:hAnsi="Arial" w:cs="Arial"/>
          <w:sz w:val="22"/>
          <w:szCs w:val="22"/>
          <w:highlight w:val="yellow"/>
          <w:lang w:val="en-GB"/>
        </w:rPr>
        <w:t>The insolvency laws of the financial centres have no application and cannot be enforced in the UAE “mainland” (</w:t>
      </w:r>
      <w:r w:rsidR="00E74ECD" w:rsidRPr="005F5790">
        <w:rPr>
          <w:rFonts w:ascii="Arial" w:hAnsi="Arial" w:cs="Arial"/>
          <w:sz w:val="22"/>
          <w:szCs w:val="22"/>
          <w:highlight w:val="yellow"/>
          <w:lang w:val="en-GB"/>
        </w:rPr>
        <w:t xml:space="preserve">that is, </w:t>
      </w:r>
      <w:r w:rsidRPr="005F5790">
        <w:rPr>
          <w:rFonts w:ascii="Arial" w:hAnsi="Arial" w:cs="Arial"/>
          <w:sz w:val="22"/>
          <w:szCs w:val="22"/>
          <w:highlight w:val="yellow"/>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Default="002073B6" w:rsidP="00C76745">
      <w:pPr>
        <w:pStyle w:val="ListParagraph"/>
        <w:numPr>
          <w:ilvl w:val="0"/>
          <w:numId w:val="11"/>
        </w:numPr>
        <w:ind w:left="426" w:hanging="426"/>
        <w:jc w:val="both"/>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26290C" w:rsidRDefault="002073B6" w:rsidP="00C76745">
      <w:pPr>
        <w:pStyle w:val="ListParagraph"/>
        <w:numPr>
          <w:ilvl w:val="0"/>
          <w:numId w:val="11"/>
        </w:numPr>
        <w:ind w:left="426" w:hanging="426"/>
        <w:jc w:val="both"/>
        <w:rPr>
          <w:rFonts w:ascii="Arial" w:hAnsi="Arial" w:cs="Arial"/>
          <w:sz w:val="22"/>
          <w:szCs w:val="22"/>
          <w:lang w:val="en-GB"/>
        </w:rPr>
      </w:pPr>
      <w:r w:rsidRPr="0026290C">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26290C" w:rsidRDefault="002073B6" w:rsidP="00C76745">
      <w:pPr>
        <w:pStyle w:val="ListParagraph"/>
        <w:numPr>
          <w:ilvl w:val="0"/>
          <w:numId w:val="13"/>
        </w:numPr>
        <w:ind w:left="426" w:hanging="426"/>
        <w:jc w:val="both"/>
        <w:rPr>
          <w:rFonts w:ascii="Arial" w:hAnsi="Arial" w:cs="Arial"/>
          <w:bCs/>
          <w:sz w:val="22"/>
          <w:szCs w:val="22"/>
          <w:highlight w:val="yellow"/>
          <w:lang w:val="en-GB"/>
        </w:rPr>
      </w:pPr>
      <w:r w:rsidRPr="0026290C">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26290C"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26290C">
        <w:rPr>
          <w:rFonts w:ascii="Arial" w:hAnsi="Arial" w:cs="Arial"/>
          <w:bCs/>
          <w:sz w:val="22"/>
          <w:szCs w:val="22"/>
          <w:highlight w:val="yellow"/>
          <w:lang w:val="en-GB"/>
        </w:rPr>
        <w:t>True</w:t>
      </w:r>
      <w:r w:rsidR="002073B6" w:rsidRPr="0026290C">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26290C" w:rsidRDefault="002073B6" w:rsidP="00C76745">
      <w:pPr>
        <w:pStyle w:val="ListParagraph"/>
        <w:numPr>
          <w:ilvl w:val="0"/>
          <w:numId w:val="17"/>
        </w:numPr>
        <w:ind w:left="426" w:hanging="426"/>
        <w:jc w:val="both"/>
        <w:rPr>
          <w:rFonts w:ascii="Arial" w:hAnsi="Arial" w:cs="Arial"/>
          <w:bCs/>
          <w:sz w:val="22"/>
          <w:szCs w:val="22"/>
          <w:highlight w:val="yellow"/>
          <w:lang w:val="en-GB"/>
        </w:rPr>
      </w:pPr>
      <w:r w:rsidRPr="0026290C">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26290C" w:rsidRDefault="002073B6" w:rsidP="00C76745">
      <w:pPr>
        <w:pStyle w:val="ListParagraph"/>
        <w:numPr>
          <w:ilvl w:val="0"/>
          <w:numId w:val="18"/>
        </w:numPr>
        <w:ind w:left="426" w:hanging="426"/>
        <w:jc w:val="both"/>
        <w:rPr>
          <w:rFonts w:ascii="Arial" w:hAnsi="Arial" w:cs="Arial"/>
          <w:bCs/>
          <w:sz w:val="22"/>
          <w:szCs w:val="22"/>
          <w:highlight w:val="yellow"/>
          <w:lang w:val="en-GB"/>
        </w:rPr>
      </w:pPr>
      <w:r w:rsidRPr="0026290C">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Pr="0026290C" w:rsidRDefault="002073B6" w:rsidP="00C76745">
      <w:pPr>
        <w:pStyle w:val="ListParagraph"/>
        <w:numPr>
          <w:ilvl w:val="0"/>
          <w:numId w:val="20"/>
        </w:numPr>
        <w:ind w:left="426" w:hanging="426"/>
        <w:jc w:val="both"/>
        <w:rPr>
          <w:rFonts w:ascii="Arial" w:hAnsi="Arial" w:cs="Arial"/>
          <w:bCs/>
          <w:sz w:val="22"/>
          <w:szCs w:val="22"/>
          <w:highlight w:val="yellow"/>
          <w:lang w:val="en-GB"/>
        </w:rPr>
      </w:pPr>
      <w:r w:rsidRPr="0026290C">
        <w:rPr>
          <w:rFonts w:ascii="Arial" w:hAnsi="Arial" w:cs="Arial"/>
          <w:bCs/>
          <w:sz w:val="22"/>
          <w:szCs w:val="22"/>
          <w:highlight w:val="yellow"/>
          <w:lang w:val="en-GB"/>
        </w:rPr>
        <w:t xml:space="preserve">Interest on debts owed by the debtor stops accruing on the date of commencement of Preventive Composition. </w:t>
      </w:r>
      <w:r w:rsidRPr="0026290C">
        <w:rPr>
          <w:rFonts w:ascii="Arial" w:hAnsi="Arial" w:cs="Arial"/>
          <w:bCs/>
          <w:sz w:val="22"/>
          <w:szCs w:val="22"/>
          <w:highlight w:val="yellow"/>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26290C" w:rsidRDefault="002073B6" w:rsidP="00C76745">
      <w:pPr>
        <w:pStyle w:val="ListParagraph"/>
        <w:numPr>
          <w:ilvl w:val="0"/>
          <w:numId w:val="22"/>
        </w:numPr>
        <w:ind w:left="426" w:hanging="426"/>
        <w:jc w:val="both"/>
        <w:rPr>
          <w:rFonts w:ascii="Arial" w:hAnsi="Arial" w:cs="Arial"/>
          <w:bCs/>
          <w:sz w:val="22"/>
          <w:szCs w:val="22"/>
          <w:highlight w:val="yellow"/>
          <w:lang w:val="en-GB"/>
        </w:rPr>
      </w:pPr>
      <w:r w:rsidRPr="0026290C">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26290C" w:rsidRDefault="00BA06CC" w:rsidP="00C76745">
      <w:pPr>
        <w:pStyle w:val="ListParagraph"/>
        <w:numPr>
          <w:ilvl w:val="0"/>
          <w:numId w:val="24"/>
        </w:numPr>
        <w:ind w:left="426" w:hanging="426"/>
        <w:jc w:val="both"/>
        <w:rPr>
          <w:rFonts w:ascii="Arial" w:hAnsi="Arial" w:cs="Arial"/>
          <w:bCs/>
          <w:sz w:val="22"/>
          <w:szCs w:val="22"/>
          <w:highlight w:val="yellow"/>
          <w:lang w:val="en-GB"/>
        </w:rPr>
      </w:pPr>
      <w:r w:rsidRPr="0026290C">
        <w:rPr>
          <w:rFonts w:ascii="Arial" w:hAnsi="Arial" w:cs="Arial"/>
          <w:sz w:val="22"/>
          <w:szCs w:val="22"/>
          <w:highlight w:val="yellow"/>
        </w:rPr>
        <w:t>A</w:t>
      </w:r>
      <w:r w:rsidR="00F80E9B" w:rsidRPr="0026290C">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26290C">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Pr="0026290C" w:rsidRDefault="002073B6" w:rsidP="00C76745">
      <w:pPr>
        <w:pStyle w:val="ListParagraph"/>
        <w:numPr>
          <w:ilvl w:val="0"/>
          <w:numId w:val="25"/>
        </w:numPr>
        <w:ind w:left="426" w:hanging="426"/>
        <w:jc w:val="both"/>
        <w:rPr>
          <w:rFonts w:ascii="Arial" w:hAnsi="Arial" w:cs="Arial"/>
          <w:bCs/>
          <w:sz w:val="22"/>
          <w:szCs w:val="22"/>
          <w:highlight w:val="yellow"/>
          <w:lang w:val="en-GB"/>
        </w:rPr>
      </w:pPr>
      <w:r w:rsidRPr="0026290C">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0A17D9AF" w14:textId="5ACD01FF" w:rsidR="00A334F9" w:rsidRPr="00CA448F" w:rsidRDefault="0026290C" w:rsidP="0026290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Each emirate maintains its own land registration system – as a result the registration of interests can be subject to slightly different laws in each emirate. </w:t>
      </w:r>
      <w:r w:rsidR="004925EF">
        <w:rPr>
          <w:rFonts w:ascii="Arial" w:hAnsi="Arial" w:cs="Arial"/>
          <w:color w:val="808080" w:themeColor="background1" w:themeShade="80"/>
          <w:sz w:val="22"/>
          <w:szCs w:val="22"/>
          <w:lang w:val="en-GB"/>
        </w:rPr>
        <w:t xml:space="preserve">In the mainland, a secured creditor may only enforce their right to sell the mortgaged property by application to the court. In the free zones, the creditor may enter into possession by giving 60 days’ notice to relevant parties, without involving the court. </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26FFE3B7" w14:textId="4B9835F4" w:rsidR="00720EEB" w:rsidRDefault="00720EEB" w:rsidP="00720EEB">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court</w:t>
      </w:r>
    </w:p>
    <w:p w14:paraId="295AAC75" w14:textId="293CFC7F" w:rsidR="00720EEB" w:rsidRDefault="00720EEB" w:rsidP="00720EEB">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 creditors’ meeting</w:t>
      </w:r>
    </w:p>
    <w:p w14:paraId="23AF649D" w14:textId="6B610A28" w:rsidR="00720EEB" w:rsidRDefault="00720EEB" w:rsidP="00720EEB">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The court</w:t>
      </w:r>
    </w:p>
    <w:p w14:paraId="64A03659" w14:textId="793CCA96" w:rsidR="006F58B3" w:rsidRPr="00720EEB" w:rsidRDefault="00720EEB" w:rsidP="0009097A">
      <w:pPr>
        <w:pStyle w:val="ListParagraph"/>
        <w:numPr>
          <w:ilvl w:val="0"/>
          <w:numId w:val="37"/>
        </w:numPr>
        <w:ind w:hanging="720"/>
        <w:jc w:val="both"/>
        <w:rPr>
          <w:rFonts w:ascii="Arial" w:hAnsi="Arial" w:cs="Arial"/>
          <w:color w:val="808080" w:themeColor="background1" w:themeShade="80"/>
          <w:sz w:val="22"/>
          <w:szCs w:val="22"/>
        </w:rPr>
      </w:pPr>
      <w:r w:rsidRPr="00720EEB">
        <w:rPr>
          <w:rFonts w:ascii="Arial" w:hAnsi="Arial" w:cs="Arial"/>
          <w:color w:val="808080" w:themeColor="background1" w:themeShade="80"/>
          <w:sz w:val="22"/>
          <w:szCs w:val="22"/>
        </w:rPr>
        <w:t>The trustee</w:t>
      </w: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50DAF75B" w14:textId="69997A08" w:rsidR="00C72848" w:rsidRPr="00CA448F" w:rsidRDefault="00307D2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Preventive composition is available to the debtor (not creditors) as an option, and “stops the clock” on the time limit for a mandatory application for bankruptcy proceedings. An application to commence bankruptcy may be made by a creditor in addition to the debtor. </w:t>
      </w:r>
    </w:p>
    <w:p w14:paraId="00D8F8B8" w14:textId="573F9A16" w:rsidR="00651151" w:rsidRDefault="00651151" w:rsidP="00C76745">
      <w:pPr>
        <w:jc w:val="both"/>
        <w:rPr>
          <w:rFonts w:ascii="Arial" w:hAnsi="Arial" w:cs="Arial"/>
          <w:color w:val="808080" w:themeColor="background1" w:themeShade="80"/>
          <w:sz w:val="22"/>
          <w:szCs w:val="22"/>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63A31AA1" w14:textId="4868BA4D" w:rsidR="00B52047" w:rsidRPr="00CA448F" w:rsidRDefault="00307D2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is that the creditor has a role in the commencement of a preventive composition (as the creditors’ meeting must provide preliminary approval) while the creditor has no similar role in bankruptcy. </w:t>
      </w:r>
    </w:p>
    <w:p w14:paraId="7D0F34CC" w14:textId="4B697F61" w:rsidR="00B52047" w:rsidRPr="00CA448F" w:rsidRDefault="00B52047"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0CA09841" w14:textId="283517EE" w:rsidR="001A45DB" w:rsidRDefault="002E3C0A"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Prior to 2016, there was little in the way of insolvency law in the UAE. Debt enforcement overlapped with the criminal process (in particular, it is a crime to dishonor a </w:t>
      </w:r>
      <w:proofErr w:type="spellStart"/>
      <w:r>
        <w:rPr>
          <w:rFonts w:ascii="Arial" w:hAnsi="Arial" w:cs="Arial"/>
          <w:color w:val="808080" w:themeColor="background1" w:themeShade="80"/>
          <w:sz w:val="22"/>
          <w:szCs w:val="22"/>
        </w:rPr>
        <w:t>cheque</w:t>
      </w:r>
      <w:proofErr w:type="spellEnd"/>
      <w:r>
        <w:rPr>
          <w:rFonts w:ascii="Arial" w:hAnsi="Arial" w:cs="Arial"/>
          <w:color w:val="808080" w:themeColor="background1" w:themeShade="80"/>
          <w:sz w:val="22"/>
          <w:szCs w:val="22"/>
        </w:rPr>
        <w:t xml:space="preserve">). As a result, there was a very strong incentive for debtors in financial trouble (often, due to the nature of the UAE’s population, expatriates from other countries) to simply leave the country to avoid criminal sanction. </w:t>
      </w:r>
    </w:p>
    <w:p w14:paraId="17E3C3E1" w14:textId="4BCC3E5C" w:rsidR="002E3C0A" w:rsidRDefault="002E3C0A" w:rsidP="00C76745">
      <w:pPr>
        <w:jc w:val="both"/>
        <w:rPr>
          <w:rFonts w:ascii="Arial" w:hAnsi="Arial" w:cs="Arial"/>
          <w:color w:val="808080" w:themeColor="background1" w:themeShade="80"/>
          <w:sz w:val="22"/>
          <w:szCs w:val="22"/>
        </w:rPr>
      </w:pPr>
    </w:p>
    <w:p w14:paraId="5E0A5F2A" w14:textId="4E9E410E" w:rsidR="002E3C0A" w:rsidRPr="00CA448F" w:rsidRDefault="002E3C0A"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2009, Dubai World, an investment company owned by the Dubai Government, came close to defaulting on its debts. This created a strong impetus to develop a properly functioning insolvency regime. Out of this process came Federal Decree Law (No 9) of 2016 (the “Bankruptcy Law”). The Bankruptcy Law applies to commercial debtors (as opposed to consumer debtors) and introduced a number of court-supervised processes such as preventive compositions and bankruptcy. At present, although the new law has been welcomed, there are insufficient statistics available to properly </w:t>
      </w:r>
      <w:proofErr w:type="spellStart"/>
      <w:r>
        <w:rPr>
          <w:rFonts w:ascii="Arial" w:hAnsi="Arial" w:cs="Arial"/>
          <w:color w:val="808080" w:themeColor="background1" w:themeShade="80"/>
          <w:sz w:val="22"/>
          <w:szCs w:val="22"/>
        </w:rPr>
        <w:t>analyse</w:t>
      </w:r>
      <w:proofErr w:type="spellEnd"/>
      <w:r>
        <w:rPr>
          <w:rFonts w:ascii="Arial" w:hAnsi="Arial" w:cs="Arial"/>
          <w:color w:val="808080" w:themeColor="background1" w:themeShade="80"/>
          <w:sz w:val="22"/>
          <w:szCs w:val="22"/>
        </w:rPr>
        <w:t xml:space="preserve"> the extent of its impact, although anecdotally it seems only a small number of processes have been conducted in practice.  </w:t>
      </w:r>
    </w:p>
    <w:p w14:paraId="28BFBABC" w14:textId="77777777" w:rsidR="001A45DB" w:rsidRPr="00CA448F" w:rsidRDefault="001A45DB" w:rsidP="00C76745">
      <w:pPr>
        <w:jc w:val="both"/>
        <w:rPr>
          <w:rFonts w:ascii="Arial" w:hAnsi="Arial" w:cs="Arial"/>
          <w:color w:val="808080" w:themeColor="background1" w:themeShade="80"/>
          <w:sz w:val="22"/>
          <w:szCs w:val="22"/>
        </w:rPr>
      </w:pP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w:t>
      </w:r>
      <w:r w:rsidRPr="00CA448F">
        <w:rPr>
          <w:rFonts w:ascii="Arial" w:hAnsi="Arial" w:cs="Arial"/>
          <w:sz w:val="22"/>
          <w:szCs w:val="22"/>
          <w:lang w:val="en-GB"/>
        </w:rPr>
        <w:lastRenderedPageBreak/>
        <w:t xml:space="preserve">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2DD624B3" w14:textId="2E57CFB3" w:rsidR="001A45DB" w:rsidRDefault="005F579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a bankruptcy application has been made, the court must appoint an expert to assess the debtor’s financial condition, per Article 76. This expert’s role is to give their opinion on the possibility of a successful restructuring of the debtor business. The court may then appoint a trustee. </w:t>
      </w:r>
      <w:r w:rsidR="00362CD7">
        <w:rPr>
          <w:rFonts w:ascii="Arial" w:hAnsi="Arial" w:cs="Arial"/>
          <w:color w:val="808080" w:themeColor="background1" w:themeShade="80"/>
          <w:sz w:val="22"/>
          <w:szCs w:val="22"/>
          <w:lang w:val="en-GB"/>
        </w:rPr>
        <w:t xml:space="preserve">Throughout the process, the court retains a supervisory role. </w:t>
      </w:r>
    </w:p>
    <w:p w14:paraId="0442B527" w14:textId="26E97135" w:rsidR="00D63097" w:rsidRDefault="00D63097" w:rsidP="00C76745">
      <w:pPr>
        <w:jc w:val="both"/>
        <w:rPr>
          <w:rFonts w:ascii="Arial" w:hAnsi="Arial" w:cs="Arial"/>
          <w:color w:val="808080" w:themeColor="background1" w:themeShade="80"/>
          <w:sz w:val="22"/>
          <w:szCs w:val="22"/>
          <w:lang w:val="en-GB"/>
        </w:rPr>
      </w:pPr>
    </w:p>
    <w:p w14:paraId="64A8BF24" w14:textId="0B95424A" w:rsidR="00D63097" w:rsidRDefault="00D6309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Art. 96, upon appointment, the trustee must produce a report on the debtor’s business; this is required to address the possibility of restructuring the business. The report is then submitted to the court, which is required to review it. If the court considers that restructuring is viable, and the debtor confirms they are willing to continue to carry on business, then it orders the trustee to prepare a restructuring scheme (Art. 99). </w:t>
      </w:r>
      <w:r w:rsidR="00362CD7">
        <w:rPr>
          <w:rFonts w:ascii="Arial" w:hAnsi="Arial" w:cs="Arial"/>
          <w:color w:val="808080" w:themeColor="background1" w:themeShade="80"/>
          <w:sz w:val="22"/>
          <w:szCs w:val="22"/>
          <w:lang w:val="en-GB"/>
        </w:rPr>
        <w:t xml:space="preserve">The court retains a supervisory role, and is required to review the report to determine whether it properly observes all parties’ interests; it may request revisions if it considers it does not do so (Art. 103). </w:t>
      </w:r>
    </w:p>
    <w:p w14:paraId="781CB8D1" w14:textId="4C9CB0F1" w:rsidR="00362CD7" w:rsidRDefault="00362CD7" w:rsidP="00C76745">
      <w:pPr>
        <w:jc w:val="both"/>
        <w:rPr>
          <w:rFonts w:ascii="Arial" w:hAnsi="Arial" w:cs="Arial"/>
          <w:color w:val="808080" w:themeColor="background1" w:themeShade="80"/>
          <w:sz w:val="22"/>
          <w:szCs w:val="22"/>
          <w:lang w:val="en-GB"/>
        </w:rPr>
      </w:pPr>
    </w:p>
    <w:p w14:paraId="323CDF4C" w14:textId="22C05AC5" w:rsidR="00362CD7" w:rsidRDefault="00362CD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scheme has received preliminary approval from the creditors’ committee, the court has the final say on whether it ought to be approved. This can take into account creditors’ objections. The court’s decision on this is final (Art. 108). Once the scheme is approved, the trustee retains responsibility for supervising the implementation; however, the court must approve certain actions, such as any amendment to the scheme, or the decision not to sell assets which are essential to the debtor’s business. </w:t>
      </w:r>
      <w:r w:rsidR="000C657D">
        <w:rPr>
          <w:rFonts w:ascii="Arial" w:hAnsi="Arial" w:cs="Arial"/>
          <w:color w:val="808080" w:themeColor="background1" w:themeShade="80"/>
          <w:sz w:val="22"/>
          <w:szCs w:val="22"/>
          <w:lang w:val="en-GB"/>
        </w:rPr>
        <w:t xml:space="preserve">If the debtor wishes to take out new finance, this must be approved by the court. </w:t>
      </w:r>
      <w:r>
        <w:rPr>
          <w:rFonts w:ascii="Arial" w:hAnsi="Arial" w:cs="Arial"/>
          <w:color w:val="808080" w:themeColor="background1" w:themeShade="80"/>
          <w:sz w:val="22"/>
          <w:szCs w:val="22"/>
          <w:lang w:val="en-GB"/>
        </w:rPr>
        <w:t xml:space="preserve"> </w:t>
      </w:r>
    </w:p>
    <w:p w14:paraId="486707BD" w14:textId="21C9DB56" w:rsidR="00A110FE" w:rsidRDefault="00A110FE" w:rsidP="00C76745">
      <w:pPr>
        <w:jc w:val="both"/>
        <w:rPr>
          <w:rFonts w:ascii="Arial" w:hAnsi="Arial" w:cs="Arial"/>
          <w:color w:val="808080" w:themeColor="background1" w:themeShade="80"/>
          <w:sz w:val="22"/>
          <w:szCs w:val="22"/>
          <w:lang w:val="en-GB"/>
        </w:rPr>
      </w:pPr>
    </w:p>
    <w:p w14:paraId="57F02412" w14:textId="4E36513E" w:rsidR="00A110FE" w:rsidRPr="00CA448F" w:rsidRDefault="00A110F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 the completion of the scheme, the court must make an order confirming that it has been completely implemented. Otherwise, the court may terminate a restructuring and commence a liquidation instead; this may be done either of its own motion or upon the application of a creditor, or if the it appears that the scheme will be impossible to implement (Art. 123). </w:t>
      </w:r>
    </w:p>
    <w:p w14:paraId="7FF1F163" w14:textId="7FC6572D"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6F8A52B2" w14:textId="0016E9E0" w:rsidR="007524A3" w:rsidRDefault="006A4CB0" w:rsidP="00C76745">
      <w:pPr>
        <w:jc w:val="both"/>
        <w:rPr>
          <w:rFonts w:ascii="Arial" w:hAnsi="Arial" w:cs="Arial"/>
          <w:sz w:val="22"/>
          <w:szCs w:val="22"/>
          <w:shd w:val="clear" w:color="auto" w:fill="FFFFFF"/>
        </w:rPr>
      </w:pPr>
      <w:r>
        <w:rPr>
          <w:rFonts w:ascii="Arial" w:hAnsi="Arial" w:cs="Arial"/>
          <w:color w:val="808080" w:themeColor="background1" w:themeShade="80"/>
          <w:sz w:val="22"/>
          <w:szCs w:val="22"/>
          <w:shd w:val="clear" w:color="auto" w:fill="FFFFFF"/>
        </w:rPr>
        <w:t xml:space="preserve">The high level of court involvement does, in certain cases, allow the court to protect the rights of individual creditors and other stakeholders in the insolvency process. This can be seen in circumstances such an aggrieved creditor’s right to object to approval of a restructuring scheme. This allows the aggrieved party to be heard and to invoke the protection of the court, while still allowing the court the discretion to refuse the objection if it considers it to be overall in the best interests of all that the restructuring proceed. That being said, the high level of court involvement does risk creating a cumbersome system – for example, the court is required to review the restructuring scheme, then re-approve it after the creditors’ committee has done so. This would risk creating a backlog of cases were the procedure to become more popular, as the court’s involvement would create a bottleneck. </w:t>
      </w:r>
    </w:p>
    <w:p w14:paraId="382223FD" w14:textId="10CB6F4A" w:rsidR="007524A3" w:rsidRDefault="007524A3"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1"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w:t>
      </w:r>
      <w:r w:rsidR="003C0156" w:rsidRPr="00CA448F">
        <w:rPr>
          <w:rFonts w:ascii="Arial" w:hAnsi="Arial" w:cs="Arial"/>
          <w:sz w:val="22"/>
          <w:szCs w:val="22"/>
          <w:lang w:val="en-GB"/>
        </w:rPr>
        <w:lastRenderedPageBreak/>
        <w:t xml:space="preserve">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5D931986" w14:textId="74ECCF70" w:rsidR="00BD1061" w:rsidRDefault="009052B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first step in the process is the making of an application to the court. Once this has been made, the next step is for the court to appoint an expert to report on the debtor’s</w:t>
      </w:r>
      <w:r w:rsidR="0037375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financial position; the latest this may be produced is 20 business days from the date the expert is instructed. Once the report is delivered, the court must decide on the application within five business days. </w:t>
      </w:r>
    </w:p>
    <w:p w14:paraId="394BD128" w14:textId="7C8260C3" w:rsidR="00B31A05" w:rsidRDefault="00B31A05" w:rsidP="00C76745">
      <w:pPr>
        <w:jc w:val="both"/>
        <w:rPr>
          <w:rFonts w:ascii="Arial" w:hAnsi="Arial" w:cs="Arial"/>
          <w:color w:val="808080" w:themeColor="background1" w:themeShade="80"/>
          <w:sz w:val="22"/>
          <w:szCs w:val="22"/>
          <w:lang w:val="en-GB"/>
        </w:rPr>
      </w:pPr>
    </w:p>
    <w:p w14:paraId="30C70D5B" w14:textId="10A95E4C" w:rsidR="00B31A05" w:rsidRDefault="00B31A0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Assuming the court approves the application, the next step is the appointment of a trustee. The trustee must advertise their appointment within five business days of their appointment</w:t>
      </w:r>
      <w:r w:rsidR="00373755">
        <w:rPr>
          <w:rFonts w:ascii="Arial" w:hAnsi="Arial" w:cs="Arial"/>
          <w:color w:val="808080" w:themeColor="background1" w:themeShade="80"/>
          <w:sz w:val="22"/>
          <w:szCs w:val="22"/>
          <w:lang w:val="en-GB"/>
        </w:rPr>
        <w:t>, and must notify creditors</w:t>
      </w:r>
      <w:r>
        <w:rPr>
          <w:rFonts w:ascii="Arial" w:hAnsi="Arial" w:cs="Arial"/>
          <w:color w:val="808080" w:themeColor="background1" w:themeShade="80"/>
          <w:sz w:val="22"/>
          <w:szCs w:val="22"/>
          <w:lang w:val="en-GB"/>
        </w:rPr>
        <w:t>.</w:t>
      </w:r>
      <w:r w:rsidR="00373755">
        <w:rPr>
          <w:rFonts w:ascii="Arial" w:hAnsi="Arial" w:cs="Arial"/>
          <w:color w:val="808080" w:themeColor="background1" w:themeShade="80"/>
          <w:sz w:val="22"/>
          <w:szCs w:val="22"/>
          <w:lang w:val="en-GB"/>
        </w:rPr>
        <w:t xml:space="preserve"> Creditors have 20 business days in which to lodge claims, with supporting evidence (Art. 35). </w:t>
      </w:r>
      <w:r>
        <w:rPr>
          <w:rFonts w:ascii="Arial" w:hAnsi="Arial" w:cs="Arial"/>
          <w:color w:val="808080" w:themeColor="background1" w:themeShade="80"/>
          <w:sz w:val="22"/>
          <w:szCs w:val="22"/>
          <w:lang w:val="en-GB"/>
        </w:rPr>
        <w:t xml:space="preserve"> </w:t>
      </w:r>
      <w:r w:rsidR="00373755">
        <w:rPr>
          <w:rFonts w:ascii="Arial" w:hAnsi="Arial" w:cs="Arial"/>
          <w:color w:val="808080" w:themeColor="background1" w:themeShade="80"/>
          <w:sz w:val="22"/>
          <w:szCs w:val="22"/>
          <w:lang w:val="en-GB"/>
        </w:rPr>
        <w:t xml:space="preserve">The trustee must then lodge the list of creditors at court, within 10 business days of the expiry of the notice period. </w:t>
      </w:r>
    </w:p>
    <w:p w14:paraId="4C933119" w14:textId="71F30CC1" w:rsidR="00373755" w:rsidRDefault="00373755" w:rsidP="00C76745">
      <w:pPr>
        <w:jc w:val="both"/>
        <w:rPr>
          <w:rFonts w:ascii="Arial" w:hAnsi="Arial" w:cs="Arial"/>
          <w:color w:val="808080" w:themeColor="background1" w:themeShade="80"/>
          <w:sz w:val="22"/>
          <w:szCs w:val="22"/>
          <w:lang w:val="en-GB"/>
        </w:rPr>
      </w:pPr>
    </w:p>
    <w:p w14:paraId="143D489E" w14:textId="0B04F2DD" w:rsidR="00373755" w:rsidRPr="00CA448F" w:rsidRDefault="0037375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Within 45 business days of the date of the publication of the decision initiating the preventive composition, the preventive composition scheme must be submitted to the court for approval. The court then has 10 business days in which to review the draft; if satisfied, the trustee will be given five business days in which to invite creditors to attend a creditors’ meeting. The meeting must be held within 15 business days of the invitation being sent out. Assuming the meeting approves the scheme, it must then be put to the court within three business days for final approval. If granted, the trustee then has seven business days in which to register the decision and publish a summary of the scheme. </w:t>
      </w:r>
    </w:p>
    <w:p w14:paraId="6CDA2848" w14:textId="08483F1B" w:rsidR="00BD1061" w:rsidRPr="00CA448F" w:rsidRDefault="00BD1061"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018D5BEE" w14:textId="33F4EC9A" w:rsidR="009D3106" w:rsidRDefault="00AE2F8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 the assumption that the court has made an order for liquidation, the first step is to appoint a trustee. The trustee may be nominated by the debtor, or may be a person listed among the </w:t>
      </w:r>
      <w:r>
        <w:rPr>
          <w:rFonts w:ascii="Arial" w:hAnsi="Arial" w:cs="Arial"/>
          <w:color w:val="808080" w:themeColor="background1" w:themeShade="80"/>
          <w:sz w:val="22"/>
          <w:szCs w:val="22"/>
          <w:lang w:val="en-GB"/>
        </w:rPr>
        <w:lastRenderedPageBreak/>
        <w:t xml:space="preserve">panel of experts held by the Financial Restructuring Committee. They can be a natural or legal person, but must not be (among other things) a creditor of the debtor, or a person who was a partner, employee, auditor or agent of the debtor within the preceding two years. </w:t>
      </w:r>
    </w:p>
    <w:p w14:paraId="56259122" w14:textId="28C6E632" w:rsidR="00366628" w:rsidRDefault="00366628" w:rsidP="00C76745">
      <w:pPr>
        <w:jc w:val="both"/>
        <w:rPr>
          <w:rFonts w:ascii="Arial" w:hAnsi="Arial" w:cs="Arial"/>
          <w:color w:val="808080" w:themeColor="background1" w:themeShade="80"/>
          <w:sz w:val="22"/>
          <w:szCs w:val="22"/>
          <w:lang w:val="en-GB"/>
        </w:rPr>
      </w:pPr>
    </w:p>
    <w:p w14:paraId="7179D059" w14:textId="5DB01630" w:rsidR="00366628" w:rsidRDefault="0036662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All debts owed by the debtor fall due immediately upon bankruptcy, albeit future debts may be subject to an adjustment for interest. As such, the shareholder’s debt arising from the purchase of the restaurant site would immediately fall due despite nominally not being due until 2025. </w:t>
      </w:r>
      <w:r w:rsidR="009621CC">
        <w:rPr>
          <w:rFonts w:ascii="Arial" w:hAnsi="Arial" w:cs="Arial"/>
          <w:color w:val="808080" w:themeColor="background1" w:themeShade="80"/>
          <w:sz w:val="22"/>
          <w:szCs w:val="22"/>
          <w:lang w:val="en-GB"/>
        </w:rPr>
        <w:t xml:space="preserve">All creditors must lodge their claims with the trustee within 10 business days of the date of </w:t>
      </w:r>
      <w:proofErr w:type="spellStart"/>
      <w:r w:rsidR="009621CC">
        <w:rPr>
          <w:rFonts w:ascii="Arial" w:hAnsi="Arial" w:cs="Arial"/>
          <w:color w:val="808080" w:themeColor="background1" w:themeShade="80"/>
          <w:sz w:val="22"/>
          <w:szCs w:val="22"/>
          <w:lang w:val="en-GB"/>
        </w:rPr>
        <w:t>te</w:t>
      </w:r>
      <w:proofErr w:type="spellEnd"/>
      <w:r w:rsidR="009621CC">
        <w:rPr>
          <w:rFonts w:ascii="Arial" w:hAnsi="Arial" w:cs="Arial"/>
          <w:color w:val="808080" w:themeColor="background1" w:themeShade="80"/>
          <w:sz w:val="22"/>
          <w:szCs w:val="22"/>
          <w:lang w:val="en-GB"/>
        </w:rPr>
        <w:t xml:space="preserve"> judgment. </w:t>
      </w:r>
    </w:p>
    <w:p w14:paraId="4750083A" w14:textId="77777777" w:rsidR="004E231A" w:rsidRDefault="004E231A" w:rsidP="00C76745">
      <w:pPr>
        <w:jc w:val="both"/>
        <w:rPr>
          <w:rFonts w:ascii="Arial" w:hAnsi="Arial" w:cs="Arial"/>
          <w:color w:val="808080" w:themeColor="background1" w:themeShade="80"/>
          <w:sz w:val="22"/>
          <w:szCs w:val="22"/>
          <w:lang w:val="en-GB"/>
        </w:rPr>
      </w:pPr>
    </w:p>
    <w:p w14:paraId="099ED8F8" w14:textId="077C0747" w:rsidR="009621CC" w:rsidRDefault="009621C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secured creditor (whose debt has now fallen due) may enforce his security, but must first apply to the court for permission to do so. The court must determine such an application within 10 working days of the application being made. </w:t>
      </w:r>
    </w:p>
    <w:p w14:paraId="3C2FF141" w14:textId="647020AF" w:rsidR="004E231A" w:rsidRDefault="004E231A" w:rsidP="00C76745">
      <w:pPr>
        <w:jc w:val="both"/>
        <w:rPr>
          <w:rFonts w:ascii="Arial" w:hAnsi="Arial" w:cs="Arial"/>
          <w:color w:val="808080" w:themeColor="background1" w:themeShade="80"/>
          <w:sz w:val="22"/>
          <w:szCs w:val="22"/>
          <w:lang w:val="en-GB"/>
        </w:rPr>
      </w:pPr>
    </w:p>
    <w:p w14:paraId="3CA2D163" w14:textId="1FF83C98" w:rsidR="004E231A" w:rsidRDefault="004E231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debtor has any assets other than the one which is secured, the trustee must liquidate it all at a public auction under court supervision. The proceeds are distributed to creditors. </w:t>
      </w:r>
    </w:p>
    <w:p w14:paraId="4DBB2753" w14:textId="1FE0791D" w:rsidR="009D3106" w:rsidRPr="00CA448F" w:rsidRDefault="009D3106"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fully-owned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In particular, who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4462B235" w14:textId="30CB0425" w:rsidR="009B0723" w:rsidRDefault="00282FC8"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BNE </w:t>
      </w:r>
      <w:proofErr w:type="spellStart"/>
      <w:r>
        <w:rPr>
          <w:rFonts w:ascii="Arial" w:hAnsi="Arial" w:cs="Arial"/>
          <w:color w:val="808080" w:themeColor="background1" w:themeShade="80"/>
          <w:sz w:val="22"/>
          <w:szCs w:val="22"/>
          <w:lang w:val="en-GB"/>
        </w:rPr>
        <w:t>Ltd’s</w:t>
      </w:r>
      <w:proofErr w:type="spellEnd"/>
      <w:r>
        <w:rPr>
          <w:rFonts w:ascii="Arial" w:hAnsi="Arial" w:cs="Arial"/>
          <w:color w:val="808080" w:themeColor="background1" w:themeShade="80"/>
          <w:sz w:val="22"/>
          <w:szCs w:val="22"/>
          <w:lang w:val="en-GB"/>
        </w:rPr>
        <w:t xml:space="preserve"> creditors wish to wind it up they must apply to the DIFC court. They can establish that the company is unable to pay its debts by making a demand for a sum of more than $2,000 – if this remains unsatisfied for a period of three weeks, then the company is deemed unable to pay its debts. </w:t>
      </w:r>
      <w:r w:rsidR="00717AFB">
        <w:rPr>
          <w:rFonts w:ascii="Arial" w:hAnsi="Arial" w:cs="Arial"/>
          <w:color w:val="808080" w:themeColor="background1" w:themeShade="80"/>
          <w:sz w:val="22"/>
          <w:szCs w:val="22"/>
          <w:lang w:val="en-GB"/>
        </w:rPr>
        <w:t xml:space="preserve">Alternatively, they can establish that the company’s assets are exceeded by its liabilities or show that an execution process has been returned unsatisfied. Once this has been done the creditors (including prospective or contingent creditors) can present a petition to the court. </w:t>
      </w:r>
    </w:p>
    <w:p w14:paraId="4AC5ADBA" w14:textId="3BB5A5DB" w:rsidR="00282FC8" w:rsidRDefault="00282FC8" w:rsidP="00C76745">
      <w:pPr>
        <w:autoSpaceDE w:val="0"/>
        <w:autoSpaceDN w:val="0"/>
        <w:adjustRightInd w:val="0"/>
        <w:jc w:val="both"/>
        <w:rPr>
          <w:rFonts w:ascii="Arial" w:hAnsi="Arial" w:cs="Arial"/>
          <w:color w:val="808080" w:themeColor="background1" w:themeShade="80"/>
          <w:sz w:val="22"/>
          <w:szCs w:val="22"/>
          <w:lang w:val="en-GB"/>
        </w:rPr>
      </w:pPr>
    </w:p>
    <w:p w14:paraId="42A895BB" w14:textId="3362E07C" w:rsidR="00717AFB" w:rsidRDefault="00717AFB"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court grants the application, it will appoint a liquidator, who must be an insolvency practitioner. The liquidator is responsible for winding up the affairs of the company and gathering, realising and distributing the assets of the company. </w:t>
      </w:r>
      <w:r w:rsidR="00181DB0">
        <w:rPr>
          <w:rFonts w:ascii="Arial" w:hAnsi="Arial" w:cs="Arial"/>
          <w:color w:val="808080" w:themeColor="background1" w:themeShade="80"/>
          <w:sz w:val="22"/>
          <w:szCs w:val="22"/>
          <w:lang w:val="en-GB"/>
        </w:rPr>
        <w:t xml:space="preserve">This includes adjudicating upon claims. </w:t>
      </w:r>
    </w:p>
    <w:p w14:paraId="734AD45A" w14:textId="35B44F0F" w:rsidR="00181DB0" w:rsidRDefault="00181DB0" w:rsidP="00C76745">
      <w:pPr>
        <w:autoSpaceDE w:val="0"/>
        <w:autoSpaceDN w:val="0"/>
        <w:adjustRightInd w:val="0"/>
        <w:jc w:val="both"/>
        <w:rPr>
          <w:rFonts w:ascii="Arial" w:hAnsi="Arial" w:cs="Arial"/>
          <w:color w:val="808080" w:themeColor="background1" w:themeShade="80"/>
          <w:sz w:val="22"/>
          <w:szCs w:val="22"/>
          <w:lang w:val="en-GB"/>
        </w:rPr>
      </w:pPr>
    </w:p>
    <w:p w14:paraId="6149C565" w14:textId="4F9F360F" w:rsidR="00181DB0" w:rsidRPr="00CA448F" w:rsidRDefault="00181DB0"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creditor who wishes to claim in the liquidation must submit a claim in writing to the liquidator, along with supporting evidence which allows the liquidator to verify the claim and ascertain the level of debt, including any set-off between the creditor and the debtor. The liquidator then either admits or rejects (including in whole or in part) the claim. Within 21 days of notice of that decision, the creditor may appeal to the court; this also allows for a member of the company or another creditor to challenge creditor claims. </w:t>
      </w:r>
    </w:p>
    <w:bookmarkEnd w:id="1"/>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D2310" w14:textId="77777777" w:rsidR="00DE7982" w:rsidRDefault="00DE7982" w:rsidP="00241B44">
      <w:r>
        <w:separator/>
      </w:r>
    </w:p>
  </w:endnote>
  <w:endnote w:type="continuationSeparator" w:id="0">
    <w:p w14:paraId="5DE91D82" w14:textId="77777777" w:rsidR="00DE7982" w:rsidRDefault="00DE798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1FE6C2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842C0">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1F59BECD" w14:textId="3B3D8E36" w:rsidR="00241FA3" w:rsidRPr="009B4976" w:rsidRDefault="00577541" w:rsidP="009B4976">
    <w:pPr>
      <w:pStyle w:val="Footer"/>
      <w:ind w:right="360"/>
      <w:rPr>
        <w:rFonts w:ascii="Arial" w:hAnsi="Arial" w:cs="Arial"/>
        <w:sz w:val="18"/>
        <w:szCs w:val="18"/>
        <w:lang w:val="en-GB"/>
      </w:rPr>
    </w:pPr>
    <w:r>
      <w:rPr>
        <w:rFonts w:ascii="Arial" w:hAnsi="Arial" w:cs="Arial"/>
        <w:sz w:val="18"/>
        <w:szCs w:val="18"/>
        <w:lang w:val="en-GB"/>
      </w:rPr>
      <w:t>2</w:t>
    </w:r>
    <w:r w:rsidR="00B842C0">
      <w:rPr>
        <w:rFonts w:ascii="Arial" w:hAnsi="Arial" w:cs="Arial"/>
        <w:sz w:val="18"/>
        <w:szCs w:val="18"/>
        <w:lang w:val="en-GB"/>
      </w:rPr>
      <w:t>02</w:t>
    </w:r>
    <w:r>
      <w:rPr>
        <w:rFonts w:ascii="Arial" w:hAnsi="Arial" w:cs="Arial"/>
        <w:sz w:val="18"/>
        <w:szCs w:val="18"/>
        <w:lang w:val="en-GB"/>
      </w:rPr>
      <w:t>122-579</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80415" w14:textId="77777777" w:rsidR="00DE7982" w:rsidRDefault="00DE7982" w:rsidP="00241B44">
      <w:r>
        <w:separator/>
      </w:r>
    </w:p>
  </w:footnote>
  <w:footnote w:type="continuationSeparator" w:id="0">
    <w:p w14:paraId="5893FBF3" w14:textId="77777777" w:rsidR="00DE7982" w:rsidRDefault="00DE798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7C7438E6"/>
    <w:multiLevelType w:val="hybridMultilevel"/>
    <w:tmpl w:val="90D83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2"/>
  </w:num>
  <w:num w:numId="5">
    <w:abstractNumId w:val="34"/>
  </w:num>
  <w:num w:numId="6">
    <w:abstractNumId w:val="8"/>
  </w:num>
  <w:num w:numId="7">
    <w:abstractNumId w:val="33"/>
  </w:num>
  <w:num w:numId="8">
    <w:abstractNumId w:val="6"/>
  </w:num>
  <w:num w:numId="9">
    <w:abstractNumId w:val="7"/>
  </w:num>
  <w:num w:numId="10">
    <w:abstractNumId w:val="4"/>
  </w:num>
  <w:num w:numId="11">
    <w:abstractNumId w:val="17"/>
  </w:num>
  <w:num w:numId="12">
    <w:abstractNumId w:val="14"/>
  </w:num>
  <w:num w:numId="13">
    <w:abstractNumId w:val="25"/>
  </w:num>
  <w:num w:numId="14">
    <w:abstractNumId w:val="19"/>
  </w:num>
  <w:num w:numId="15">
    <w:abstractNumId w:val="30"/>
  </w:num>
  <w:num w:numId="16">
    <w:abstractNumId w:val="0"/>
  </w:num>
  <w:num w:numId="17">
    <w:abstractNumId w:val="10"/>
  </w:num>
  <w:num w:numId="18">
    <w:abstractNumId w:val="16"/>
  </w:num>
  <w:num w:numId="19">
    <w:abstractNumId w:val="21"/>
  </w:num>
  <w:num w:numId="20">
    <w:abstractNumId w:val="20"/>
  </w:num>
  <w:num w:numId="21">
    <w:abstractNumId w:val="5"/>
  </w:num>
  <w:num w:numId="22">
    <w:abstractNumId w:val="24"/>
  </w:num>
  <w:num w:numId="23">
    <w:abstractNumId w:val="3"/>
  </w:num>
  <w:num w:numId="24">
    <w:abstractNumId w:val="23"/>
  </w:num>
  <w:num w:numId="25">
    <w:abstractNumId w:val="13"/>
  </w:num>
  <w:num w:numId="26">
    <w:abstractNumId w:val="29"/>
  </w:num>
  <w:num w:numId="27">
    <w:abstractNumId w:val="11"/>
  </w:num>
  <w:num w:numId="28">
    <w:abstractNumId w:val="1"/>
  </w:num>
  <w:num w:numId="29">
    <w:abstractNumId w:val="9"/>
  </w:num>
  <w:num w:numId="30">
    <w:abstractNumId w:val="22"/>
  </w:num>
  <w:num w:numId="31">
    <w:abstractNumId w:val="18"/>
  </w:num>
  <w:num w:numId="32">
    <w:abstractNumId w:val="15"/>
  </w:num>
  <w:num w:numId="33">
    <w:abstractNumId w:val="2"/>
  </w:num>
  <w:num w:numId="34">
    <w:abstractNumId w:val="27"/>
  </w:num>
  <w:num w:numId="35">
    <w:abstractNumId w:val="28"/>
  </w:num>
  <w:num w:numId="36">
    <w:abstractNumId w:val="12"/>
  </w:num>
  <w:num w:numId="37">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65166"/>
    <w:rsid w:val="00082609"/>
    <w:rsid w:val="000851CC"/>
    <w:rsid w:val="00085C85"/>
    <w:rsid w:val="00087F21"/>
    <w:rsid w:val="00093BE8"/>
    <w:rsid w:val="000A407B"/>
    <w:rsid w:val="000A68ED"/>
    <w:rsid w:val="000B5FF1"/>
    <w:rsid w:val="000B609F"/>
    <w:rsid w:val="000B6BE7"/>
    <w:rsid w:val="000C657D"/>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2348"/>
    <w:rsid w:val="0015456D"/>
    <w:rsid w:val="00155FA2"/>
    <w:rsid w:val="00161F1B"/>
    <w:rsid w:val="00162829"/>
    <w:rsid w:val="00173A3F"/>
    <w:rsid w:val="00180548"/>
    <w:rsid w:val="00180AC4"/>
    <w:rsid w:val="00180CCE"/>
    <w:rsid w:val="00181DB0"/>
    <w:rsid w:val="0018267A"/>
    <w:rsid w:val="00182779"/>
    <w:rsid w:val="001830DF"/>
    <w:rsid w:val="001966D9"/>
    <w:rsid w:val="001A007A"/>
    <w:rsid w:val="001A1E2D"/>
    <w:rsid w:val="001A45DB"/>
    <w:rsid w:val="001A7E9A"/>
    <w:rsid w:val="001B0F70"/>
    <w:rsid w:val="001B5016"/>
    <w:rsid w:val="001C181F"/>
    <w:rsid w:val="001C45FC"/>
    <w:rsid w:val="001D0469"/>
    <w:rsid w:val="001D0A61"/>
    <w:rsid w:val="001D29C0"/>
    <w:rsid w:val="001D4862"/>
    <w:rsid w:val="001E25B9"/>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290C"/>
    <w:rsid w:val="0026338D"/>
    <w:rsid w:val="002638B0"/>
    <w:rsid w:val="0026647A"/>
    <w:rsid w:val="002668D3"/>
    <w:rsid w:val="002677FF"/>
    <w:rsid w:val="002722CA"/>
    <w:rsid w:val="0027299F"/>
    <w:rsid w:val="00274BC3"/>
    <w:rsid w:val="00282FC8"/>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E3C0A"/>
    <w:rsid w:val="002F1956"/>
    <w:rsid w:val="002F3440"/>
    <w:rsid w:val="002F75A3"/>
    <w:rsid w:val="00303C2F"/>
    <w:rsid w:val="00305E53"/>
    <w:rsid w:val="00307D29"/>
    <w:rsid w:val="00307D85"/>
    <w:rsid w:val="003144EF"/>
    <w:rsid w:val="00320701"/>
    <w:rsid w:val="00326292"/>
    <w:rsid w:val="00326415"/>
    <w:rsid w:val="00330937"/>
    <w:rsid w:val="00330F31"/>
    <w:rsid w:val="00334648"/>
    <w:rsid w:val="0033768C"/>
    <w:rsid w:val="00337938"/>
    <w:rsid w:val="00340769"/>
    <w:rsid w:val="00341AA6"/>
    <w:rsid w:val="00361A0A"/>
    <w:rsid w:val="00362CD7"/>
    <w:rsid w:val="00364369"/>
    <w:rsid w:val="00364836"/>
    <w:rsid w:val="0036565C"/>
    <w:rsid w:val="0036625E"/>
    <w:rsid w:val="00366628"/>
    <w:rsid w:val="00366ACE"/>
    <w:rsid w:val="003703F4"/>
    <w:rsid w:val="00373755"/>
    <w:rsid w:val="0037465A"/>
    <w:rsid w:val="00382C98"/>
    <w:rsid w:val="0038533C"/>
    <w:rsid w:val="00386568"/>
    <w:rsid w:val="00390B57"/>
    <w:rsid w:val="003948D5"/>
    <w:rsid w:val="00396821"/>
    <w:rsid w:val="00397D3A"/>
    <w:rsid w:val="003A051E"/>
    <w:rsid w:val="003B170F"/>
    <w:rsid w:val="003B3C5F"/>
    <w:rsid w:val="003C0156"/>
    <w:rsid w:val="003C4471"/>
    <w:rsid w:val="003C6597"/>
    <w:rsid w:val="003D0A6D"/>
    <w:rsid w:val="003E0B16"/>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91675"/>
    <w:rsid w:val="004925EF"/>
    <w:rsid w:val="00493855"/>
    <w:rsid w:val="00495E79"/>
    <w:rsid w:val="004A2D83"/>
    <w:rsid w:val="004A57DD"/>
    <w:rsid w:val="004A7B51"/>
    <w:rsid w:val="004A7D71"/>
    <w:rsid w:val="004A7EF3"/>
    <w:rsid w:val="004B11FD"/>
    <w:rsid w:val="004B23A2"/>
    <w:rsid w:val="004D1A5A"/>
    <w:rsid w:val="004D2FFF"/>
    <w:rsid w:val="004D3721"/>
    <w:rsid w:val="004D64F9"/>
    <w:rsid w:val="004E231A"/>
    <w:rsid w:val="004E3A6B"/>
    <w:rsid w:val="004E622C"/>
    <w:rsid w:val="004F5FDF"/>
    <w:rsid w:val="00503068"/>
    <w:rsid w:val="00504765"/>
    <w:rsid w:val="00510995"/>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77541"/>
    <w:rsid w:val="005833D0"/>
    <w:rsid w:val="005846F3"/>
    <w:rsid w:val="005854B7"/>
    <w:rsid w:val="0058622F"/>
    <w:rsid w:val="00586881"/>
    <w:rsid w:val="005906C2"/>
    <w:rsid w:val="005919BD"/>
    <w:rsid w:val="00592F82"/>
    <w:rsid w:val="005A0CCA"/>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4B31"/>
    <w:rsid w:val="005F53AD"/>
    <w:rsid w:val="005F5790"/>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3841"/>
    <w:rsid w:val="00654C2F"/>
    <w:rsid w:val="00657087"/>
    <w:rsid w:val="006639DB"/>
    <w:rsid w:val="006645D6"/>
    <w:rsid w:val="006661EF"/>
    <w:rsid w:val="00677AEB"/>
    <w:rsid w:val="00680EF2"/>
    <w:rsid w:val="00687A1D"/>
    <w:rsid w:val="00697EA1"/>
    <w:rsid w:val="006A2646"/>
    <w:rsid w:val="006A4CB0"/>
    <w:rsid w:val="006A6530"/>
    <w:rsid w:val="006B435A"/>
    <w:rsid w:val="006B4C64"/>
    <w:rsid w:val="006B503E"/>
    <w:rsid w:val="006C146A"/>
    <w:rsid w:val="006D6BD5"/>
    <w:rsid w:val="006E481A"/>
    <w:rsid w:val="006E5298"/>
    <w:rsid w:val="006F41CC"/>
    <w:rsid w:val="006F4A78"/>
    <w:rsid w:val="006F58B3"/>
    <w:rsid w:val="006F734A"/>
    <w:rsid w:val="00700D83"/>
    <w:rsid w:val="0070415A"/>
    <w:rsid w:val="00704852"/>
    <w:rsid w:val="007074E9"/>
    <w:rsid w:val="00713DA4"/>
    <w:rsid w:val="00714BF1"/>
    <w:rsid w:val="00717AFB"/>
    <w:rsid w:val="00720EEB"/>
    <w:rsid w:val="00721383"/>
    <w:rsid w:val="0072681C"/>
    <w:rsid w:val="0073158B"/>
    <w:rsid w:val="007333CC"/>
    <w:rsid w:val="0073399A"/>
    <w:rsid w:val="00736077"/>
    <w:rsid w:val="00737C86"/>
    <w:rsid w:val="00740DAD"/>
    <w:rsid w:val="007524A3"/>
    <w:rsid w:val="007566B8"/>
    <w:rsid w:val="007603F5"/>
    <w:rsid w:val="00764DB0"/>
    <w:rsid w:val="0076764D"/>
    <w:rsid w:val="007721EB"/>
    <w:rsid w:val="0077431E"/>
    <w:rsid w:val="0077498C"/>
    <w:rsid w:val="007809BC"/>
    <w:rsid w:val="00784128"/>
    <w:rsid w:val="00787BCC"/>
    <w:rsid w:val="00793173"/>
    <w:rsid w:val="007A2A33"/>
    <w:rsid w:val="007A7EA9"/>
    <w:rsid w:val="007B4F09"/>
    <w:rsid w:val="007B58FF"/>
    <w:rsid w:val="007B5C89"/>
    <w:rsid w:val="007C1FCC"/>
    <w:rsid w:val="007C6201"/>
    <w:rsid w:val="007D7C92"/>
    <w:rsid w:val="007E1154"/>
    <w:rsid w:val="007E6BA4"/>
    <w:rsid w:val="007F41F8"/>
    <w:rsid w:val="007F659B"/>
    <w:rsid w:val="00803040"/>
    <w:rsid w:val="0080454E"/>
    <w:rsid w:val="00804C32"/>
    <w:rsid w:val="00806302"/>
    <w:rsid w:val="00806E0A"/>
    <w:rsid w:val="00807119"/>
    <w:rsid w:val="008138A2"/>
    <w:rsid w:val="00815F57"/>
    <w:rsid w:val="00821EDC"/>
    <w:rsid w:val="00822751"/>
    <w:rsid w:val="0082483F"/>
    <w:rsid w:val="008279C0"/>
    <w:rsid w:val="00830004"/>
    <w:rsid w:val="00830097"/>
    <w:rsid w:val="00867701"/>
    <w:rsid w:val="008723F3"/>
    <w:rsid w:val="00876F56"/>
    <w:rsid w:val="00881DE6"/>
    <w:rsid w:val="008837A6"/>
    <w:rsid w:val="0089145D"/>
    <w:rsid w:val="008A4DF2"/>
    <w:rsid w:val="008A6CFE"/>
    <w:rsid w:val="008B403D"/>
    <w:rsid w:val="008B5333"/>
    <w:rsid w:val="008B6223"/>
    <w:rsid w:val="008C2BD9"/>
    <w:rsid w:val="008C66E0"/>
    <w:rsid w:val="008D1432"/>
    <w:rsid w:val="008E3339"/>
    <w:rsid w:val="008F20FC"/>
    <w:rsid w:val="008F5FFE"/>
    <w:rsid w:val="0090239E"/>
    <w:rsid w:val="009052BC"/>
    <w:rsid w:val="00905A43"/>
    <w:rsid w:val="00912C79"/>
    <w:rsid w:val="009164DD"/>
    <w:rsid w:val="00921B8C"/>
    <w:rsid w:val="00922A3A"/>
    <w:rsid w:val="00942123"/>
    <w:rsid w:val="0095207B"/>
    <w:rsid w:val="00953349"/>
    <w:rsid w:val="00962045"/>
    <w:rsid w:val="009621CC"/>
    <w:rsid w:val="00964771"/>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110F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545"/>
    <w:rsid w:val="00AE1A12"/>
    <w:rsid w:val="00AE2F83"/>
    <w:rsid w:val="00AF228E"/>
    <w:rsid w:val="00AF771B"/>
    <w:rsid w:val="00B007F7"/>
    <w:rsid w:val="00B016A8"/>
    <w:rsid w:val="00B14819"/>
    <w:rsid w:val="00B15E2F"/>
    <w:rsid w:val="00B17AA9"/>
    <w:rsid w:val="00B22A28"/>
    <w:rsid w:val="00B22E51"/>
    <w:rsid w:val="00B2589E"/>
    <w:rsid w:val="00B31A05"/>
    <w:rsid w:val="00B44713"/>
    <w:rsid w:val="00B46C4B"/>
    <w:rsid w:val="00B51B95"/>
    <w:rsid w:val="00B52047"/>
    <w:rsid w:val="00B56103"/>
    <w:rsid w:val="00B64929"/>
    <w:rsid w:val="00B71885"/>
    <w:rsid w:val="00B736DF"/>
    <w:rsid w:val="00B743D6"/>
    <w:rsid w:val="00B74FBD"/>
    <w:rsid w:val="00B77F46"/>
    <w:rsid w:val="00B82586"/>
    <w:rsid w:val="00B829A3"/>
    <w:rsid w:val="00B842C0"/>
    <w:rsid w:val="00B86DB1"/>
    <w:rsid w:val="00B87869"/>
    <w:rsid w:val="00B90B05"/>
    <w:rsid w:val="00B94841"/>
    <w:rsid w:val="00B960A8"/>
    <w:rsid w:val="00B9639B"/>
    <w:rsid w:val="00BA06CC"/>
    <w:rsid w:val="00BB0F2B"/>
    <w:rsid w:val="00BD1061"/>
    <w:rsid w:val="00BD5C7A"/>
    <w:rsid w:val="00BD7133"/>
    <w:rsid w:val="00BE0C4E"/>
    <w:rsid w:val="00BE4FF3"/>
    <w:rsid w:val="00BE5D2E"/>
    <w:rsid w:val="00BF50F7"/>
    <w:rsid w:val="00BF7738"/>
    <w:rsid w:val="00C02F29"/>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606C3"/>
    <w:rsid w:val="00C620F4"/>
    <w:rsid w:val="00C72848"/>
    <w:rsid w:val="00C76745"/>
    <w:rsid w:val="00C7736C"/>
    <w:rsid w:val="00C77784"/>
    <w:rsid w:val="00C82D87"/>
    <w:rsid w:val="00C8712A"/>
    <w:rsid w:val="00C902C8"/>
    <w:rsid w:val="00C919D1"/>
    <w:rsid w:val="00C963D3"/>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41FDB"/>
    <w:rsid w:val="00D53719"/>
    <w:rsid w:val="00D63097"/>
    <w:rsid w:val="00D63EFD"/>
    <w:rsid w:val="00D83191"/>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982"/>
    <w:rsid w:val="00DE7B11"/>
    <w:rsid w:val="00DF75F8"/>
    <w:rsid w:val="00DF7A3A"/>
    <w:rsid w:val="00E00C00"/>
    <w:rsid w:val="00E01AA6"/>
    <w:rsid w:val="00E07C5A"/>
    <w:rsid w:val="00E15BA9"/>
    <w:rsid w:val="00E20F31"/>
    <w:rsid w:val="00E26E19"/>
    <w:rsid w:val="00E27899"/>
    <w:rsid w:val="00E31DF3"/>
    <w:rsid w:val="00E450A4"/>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A0913"/>
    <w:rsid w:val="00EA5B00"/>
    <w:rsid w:val="00EB146B"/>
    <w:rsid w:val="00EB45AC"/>
    <w:rsid w:val="00EC1E6D"/>
    <w:rsid w:val="00EC441F"/>
    <w:rsid w:val="00EC4755"/>
    <w:rsid w:val="00ED0BC4"/>
    <w:rsid w:val="00ED0E1A"/>
    <w:rsid w:val="00ED447D"/>
    <w:rsid w:val="00EE0B41"/>
    <w:rsid w:val="00EE1E8B"/>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5620F"/>
    <w:rsid w:val="00F60538"/>
    <w:rsid w:val="00F61DD2"/>
    <w:rsid w:val="00F628A0"/>
    <w:rsid w:val="00F66AFF"/>
    <w:rsid w:val="00F71433"/>
    <w:rsid w:val="00F76A65"/>
    <w:rsid w:val="00F80E9B"/>
    <w:rsid w:val="00F823E3"/>
    <w:rsid w:val="00F8668C"/>
    <w:rsid w:val="00F9362A"/>
    <w:rsid w:val="00F97C5B"/>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5880-415D-4354-A6E5-97D53AF4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BBM Sols, Ewan Hazelton</cp:lastModifiedBy>
  <cp:revision>26</cp:revision>
  <cp:lastPrinted>2019-08-27T05:42:00Z</cp:lastPrinted>
  <dcterms:created xsi:type="dcterms:W3CDTF">2022-05-11T12:20:00Z</dcterms:created>
  <dcterms:modified xsi:type="dcterms:W3CDTF">2022-07-31T15:29:00Z</dcterms:modified>
</cp:coreProperties>
</file>