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en-GB" w:eastAsia="en-GB"/>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bookmarkStart w:id="1" w:name="_GoBack"/>
      <w:bookmarkEnd w:id="1"/>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44663D" w:rsidRDefault="00193129" w:rsidP="00545969">
      <w:pPr>
        <w:pStyle w:val="ListParagraph"/>
        <w:numPr>
          <w:ilvl w:val="0"/>
          <w:numId w:val="11"/>
        </w:numPr>
        <w:ind w:left="426"/>
        <w:rPr>
          <w:rFonts w:ascii="Arial" w:hAnsi="Arial" w:cs="Arial"/>
          <w:sz w:val="22"/>
          <w:szCs w:val="22"/>
          <w:highlight w:val="yellow"/>
          <w:lang w:val="en-GB"/>
        </w:rPr>
      </w:pPr>
      <w:r w:rsidRPr="0044663D">
        <w:rPr>
          <w:rFonts w:ascii="Arial" w:hAnsi="Arial" w:cs="Arial"/>
          <w:sz w:val="22"/>
          <w:szCs w:val="22"/>
          <w:highlight w:val="yellow"/>
          <w:lang w:val="en-GB"/>
        </w:rPr>
        <w:t>The court</w:t>
      </w:r>
      <w:r w:rsidR="00B77BF0" w:rsidRPr="0044663D">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44663D" w:rsidRDefault="00193129" w:rsidP="00545969">
      <w:pPr>
        <w:pStyle w:val="ListParagraph"/>
        <w:numPr>
          <w:ilvl w:val="0"/>
          <w:numId w:val="13"/>
        </w:numPr>
        <w:ind w:left="426"/>
        <w:rPr>
          <w:rFonts w:ascii="Arial" w:hAnsi="Arial" w:cs="Arial"/>
          <w:sz w:val="22"/>
          <w:szCs w:val="22"/>
          <w:highlight w:val="yellow"/>
          <w:lang w:val="en-GB"/>
        </w:rPr>
      </w:pPr>
      <w:r w:rsidRPr="0044663D">
        <w:rPr>
          <w:rFonts w:ascii="Arial" w:hAnsi="Arial" w:cs="Arial"/>
          <w:sz w:val="22"/>
          <w:szCs w:val="22"/>
          <w:highlight w:val="yellow"/>
          <w:lang w:val="en-GB"/>
        </w:rPr>
        <w:t>Mortgage (</w:t>
      </w:r>
      <w:r w:rsidR="00976666" w:rsidRPr="0044663D">
        <w:rPr>
          <w:rFonts w:ascii="Arial" w:hAnsi="Arial" w:cs="Arial"/>
          <w:i/>
          <w:sz w:val="22"/>
          <w:szCs w:val="22"/>
          <w:highlight w:val="yellow"/>
          <w:lang w:val="en-GB"/>
        </w:rPr>
        <w:t>Grundschuld</w:t>
      </w:r>
      <w:r w:rsidRPr="0044663D">
        <w:rPr>
          <w:rFonts w:ascii="Arial" w:hAnsi="Arial" w:cs="Arial"/>
          <w:sz w:val="22"/>
          <w:szCs w:val="22"/>
          <w:highlight w:val="yellow"/>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44663D" w:rsidRDefault="006B42ED" w:rsidP="00545969">
      <w:pPr>
        <w:pStyle w:val="ListParagraph"/>
        <w:numPr>
          <w:ilvl w:val="0"/>
          <w:numId w:val="15"/>
        </w:numPr>
        <w:ind w:left="426"/>
        <w:rPr>
          <w:rFonts w:ascii="Arial" w:hAnsi="Arial" w:cs="Arial"/>
          <w:i/>
          <w:sz w:val="22"/>
          <w:szCs w:val="22"/>
          <w:highlight w:val="yellow"/>
          <w:lang w:val="en-GB"/>
        </w:rPr>
      </w:pPr>
      <w:r w:rsidRPr="0044663D">
        <w:rPr>
          <w:rFonts w:ascii="Arial" w:hAnsi="Arial" w:cs="Arial"/>
          <w:sz w:val="22"/>
          <w:szCs w:val="22"/>
          <w:highlight w:val="yellow"/>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44663D" w:rsidRDefault="00D9383B" w:rsidP="00BF0162">
      <w:pPr>
        <w:pStyle w:val="ListParagraph"/>
        <w:numPr>
          <w:ilvl w:val="0"/>
          <w:numId w:val="17"/>
        </w:numPr>
        <w:ind w:left="426"/>
        <w:rPr>
          <w:rFonts w:ascii="Arial" w:hAnsi="Arial" w:cs="Arial"/>
          <w:sz w:val="22"/>
          <w:szCs w:val="22"/>
          <w:highlight w:val="yellow"/>
          <w:lang w:val="en-GB"/>
        </w:rPr>
      </w:pPr>
      <w:r w:rsidRPr="0044663D">
        <w:rPr>
          <w:rFonts w:ascii="Arial" w:hAnsi="Arial" w:cs="Arial"/>
          <w:sz w:val="22"/>
          <w:szCs w:val="22"/>
          <w:highlight w:val="yellow"/>
          <w:lang w:val="en-GB"/>
        </w:rPr>
        <w:t>Six weeks</w:t>
      </w:r>
      <w:r w:rsidR="007D7536" w:rsidRPr="0044663D">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44663D" w:rsidRDefault="0025078F" w:rsidP="00BF0162">
      <w:pPr>
        <w:pStyle w:val="ListParagraph"/>
        <w:numPr>
          <w:ilvl w:val="0"/>
          <w:numId w:val="19"/>
        </w:numPr>
        <w:ind w:left="426"/>
        <w:rPr>
          <w:rFonts w:ascii="Arial" w:hAnsi="Arial" w:cs="Arial"/>
          <w:sz w:val="22"/>
          <w:szCs w:val="22"/>
          <w:highlight w:val="yellow"/>
        </w:rPr>
      </w:pPr>
      <w:r w:rsidRPr="0044663D">
        <w:rPr>
          <w:rFonts w:ascii="Arial" w:hAnsi="Arial" w:cs="Arial"/>
          <w:sz w:val="22"/>
          <w:szCs w:val="22"/>
          <w:highlight w:val="yellow"/>
        </w:rPr>
        <w:t>r</w:t>
      </w:r>
      <w:r w:rsidR="003939F8" w:rsidRPr="0044663D">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44663D" w:rsidRDefault="00D9383B" w:rsidP="00BF0162">
      <w:pPr>
        <w:pStyle w:val="ListParagraph"/>
        <w:numPr>
          <w:ilvl w:val="0"/>
          <w:numId w:val="24"/>
        </w:numPr>
        <w:ind w:left="426"/>
        <w:rPr>
          <w:rFonts w:ascii="Arial" w:hAnsi="Arial" w:cs="Arial"/>
          <w:sz w:val="22"/>
          <w:szCs w:val="22"/>
          <w:highlight w:val="yellow"/>
          <w:lang w:val="en-GB"/>
        </w:rPr>
      </w:pPr>
      <w:r w:rsidRPr="0044663D">
        <w:rPr>
          <w:rFonts w:ascii="Arial" w:hAnsi="Arial" w:cs="Arial"/>
          <w:sz w:val="22"/>
          <w:szCs w:val="22"/>
          <w:highlight w:val="yellow"/>
          <w:lang w:val="en-GB"/>
        </w:rPr>
        <w:t>75% in sum regarding the claims of all affected creditors</w:t>
      </w:r>
      <w:r w:rsidR="00E676A0" w:rsidRPr="0044663D">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3F6DA2" w:rsidRDefault="00976666" w:rsidP="00D4592B">
      <w:pPr>
        <w:pStyle w:val="ListParagraph"/>
        <w:numPr>
          <w:ilvl w:val="0"/>
          <w:numId w:val="25"/>
        </w:numPr>
        <w:ind w:left="426"/>
        <w:rPr>
          <w:rFonts w:ascii="Arial" w:hAnsi="Arial" w:cs="Arial"/>
          <w:sz w:val="22"/>
          <w:szCs w:val="22"/>
          <w:lang w:val="en-GB"/>
        </w:rPr>
      </w:pPr>
      <w:r w:rsidRPr="0044663D">
        <w:rPr>
          <w:rFonts w:ascii="Arial" w:hAnsi="Arial" w:cs="Arial"/>
          <w:i/>
          <w:sz w:val="22"/>
          <w:szCs w:val="22"/>
          <w:highlight w:val="yellow"/>
          <w:lang w:val="en-GB"/>
        </w:rPr>
        <w:t>Amtsgericht</w:t>
      </w:r>
      <w:r w:rsidR="00E676A0" w:rsidRPr="003F6DA2">
        <w:rPr>
          <w:rFonts w:ascii="Arial" w:hAnsi="Arial" w:cs="Arial"/>
          <w:sz w:val="22"/>
          <w:szCs w:val="22"/>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5668C1" w:rsidRDefault="00976666" w:rsidP="00D4592B">
      <w:pPr>
        <w:pStyle w:val="ListParagraph"/>
        <w:numPr>
          <w:ilvl w:val="0"/>
          <w:numId w:val="27"/>
        </w:numPr>
        <w:ind w:left="426"/>
        <w:rPr>
          <w:rFonts w:ascii="Arial" w:hAnsi="Arial" w:cs="Arial"/>
          <w:sz w:val="22"/>
          <w:szCs w:val="22"/>
          <w:highlight w:val="yellow"/>
          <w:lang w:val="en-GB"/>
        </w:rPr>
      </w:pPr>
      <w:r w:rsidRPr="005668C1">
        <w:rPr>
          <w:rFonts w:ascii="Arial" w:hAnsi="Arial" w:cs="Arial"/>
          <w:sz w:val="22"/>
          <w:szCs w:val="22"/>
          <w:highlight w:val="yellow"/>
          <w:lang w:val="en-GB"/>
        </w:rPr>
        <w:t>Pledgees</w:t>
      </w:r>
      <w:r w:rsidR="00E676A0" w:rsidRPr="005668C1">
        <w:rPr>
          <w:rFonts w:ascii="Arial" w:hAnsi="Arial" w:cs="Arial"/>
          <w:sz w:val="22"/>
          <w:szCs w:val="22"/>
          <w:highlight w:val="yellow"/>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3F6DA2" w:rsidRDefault="00976666" w:rsidP="00D4592B">
      <w:pPr>
        <w:pStyle w:val="ListParagraph"/>
        <w:numPr>
          <w:ilvl w:val="0"/>
          <w:numId w:val="27"/>
        </w:numPr>
        <w:ind w:left="426"/>
        <w:rPr>
          <w:rFonts w:ascii="Arial" w:hAnsi="Arial" w:cs="Arial"/>
          <w:sz w:val="22"/>
          <w:szCs w:val="22"/>
          <w:lang w:val="en-GB"/>
        </w:rPr>
      </w:pPr>
      <w:r w:rsidRPr="003F6DA2">
        <w:rPr>
          <w:rFonts w:ascii="Arial" w:hAnsi="Arial" w:cs="Arial"/>
          <w:sz w:val="22"/>
          <w:szCs w:val="22"/>
          <w:lang w:val="en-GB"/>
        </w:rPr>
        <w:t>Landlords after termination of the tenancy agreement</w:t>
      </w:r>
      <w:r w:rsidR="00E676A0" w:rsidRPr="003F6DA2">
        <w:rPr>
          <w:rFonts w:ascii="Arial" w:hAnsi="Arial" w:cs="Arial"/>
          <w:sz w:val="22"/>
          <w:szCs w:val="22"/>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5668C1" w:rsidRDefault="004A7773" w:rsidP="00D4592B">
      <w:pPr>
        <w:pStyle w:val="ListParagraph"/>
        <w:numPr>
          <w:ilvl w:val="0"/>
          <w:numId w:val="29"/>
        </w:numPr>
        <w:ind w:left="426"/>
        <w:rPr>
          <w:rFonts w:ascii="Arial" w:hAnsi="Arial" w:cs="Arial"/>
          <w:sz w:val="22"/>
          <w:szCs w:val="22"/>
          <w:highlight w:val="yellow"/>
          <w:lang w:val="en-GB"/>
        </w:rPr>
      </w:pPr>
      <w:r w:rsidRPr="005668C1">
        <w:rPr>
          <w:rFonts w:ascii="Arial" w:hAnsi="Arial" w:cs="Arial"/>
          <w:sz w:val="22"/>
          <w:szCs w:val="22"/>
          <w:highlight w:val="yellow"/>
          <w:lang w:val="en-GB"/>
        </w:rPr>
        <w:t>Three years</w:t>
      </w:r>
      <w:r w:rsidR="005F75C3" w:rsidRPr="005668C1">
        <w:rPr>
          <w:rFonts w:ascii="Arial" w:hAnsi="Arial" w:cs="Arial"/>
          <w:sz w:val="22"/>
          <w:szCs w:val="22"/>
          <w:highlight w:val="yellow"/>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5668C1" w:rsidRDefault="00976666" w:rsidP="00D4592B">
      <w:pPr>
        <w:pStyle w:val="ListParagraph"/>
        <w:numPr>
          <w:ilvl w:val="0"/>
          <w:numId w:val="31"/>
        </w:numPr>
        <w:ind w:left="426"/>
        <w:rPr>
          <w:rFonts w:ascii="Arial" w:hAnsi="Arial" w:cs="Arial"/>
          <w:sz w:val="22"/>
          <w:szCs w:val="22"/>
          <w:highlight w:val="yellow"/>
          <w:lang w:val="en-GB"/>
        </w:rPr>
      </w:pPr>
      <w:r w:rsidRPr="005668C1">
        <w:rPr>
          <w:rFonts w:ascii="Arial" w:hAnsi="Arial" w:cs="Arial"/>
          <w:sz w:val="22"/>
          <w:szCs w:val="22"/>
          <w:highlight w:val="yellow"/>
          <w:lang w:val="en-GB"/>
        </w:rPr>
        <w:t>Disadvantage for the general body of creditors</w:t>
      </w:r>
      <w:r w:rsidR="002B40FB" w:rsidRPr="005668C1">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370663CF" w14:textId="0C3F30C0" w:rsidR="003F6DA2" w:rsidRPr="00D05CA4" w:rsidRDefault="005668C1"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 debtor is insolvent if there is illiquidity (they lack the necessary means of payment and as a result are constantly unable to meet a not inconsiderable number of the seriously requested monetary claims against them); imminent inability to pay their debts (it is likely they will be unable to meet their existing obligations); or </w:t>
      </w:r>
      <w:proofErr w:type="spellStart"/>
      <w:r>
        <w:rPr>
          <w:rFonts w:ascii="Arial" w:hAnsi="Arial" w:cs="Arial"/>
          <w:color w:val="A6A6A6" w:themeColor="background1" w:themeShade="A6"/>
          <w:sz w:val="22"/>
          <w:szCs w:val="22"/>
          <w:lang w:val="en-GB"/>
        </w:rPr>
        <w:t>overindebtedness</w:t>
      </w:r>
      <w:proofErr w:type="spellEnd"/>
      <w:r>
        <w:rPr>
          <w:rFonts w:ascii="Arial" w:hAnsi="Arial" w:cs="Arial"/>
          <w:color w:val="A6A6A6" w:themeColor="background1" w:themeShade="A6"/>
          <w:sz w:val="22"/>
          <w:szCs w:val="22"/>
          <w:lang w:val="en-GB"/>
        </w:rPr>
        <w:t xml:space="preserve"> (the debtors assets no longer cover its existing obligations to pay and the continuation of the enterprise is no longer highly likely). </w:t>
      </w:r>
    </w:p>
    <w:p w14:paraId="43644420" w14:textId="7634DD96" w:rsidR="003F6DA2" w:rsidRDefault="003F6DA2" w:rsidP="00C34152">
      <w:pPr>
        <w:jc w:val="both"/>
        <w:rPr>
          <w:rFonts w:ascii="Arial" w:hAnsi="Arial" w:cs="Arial"/>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Default="00C34152" w:rsidP="003313E1">
      <w:pPr>
        <w:pStyle w:val="ListParagraph"/>
        <w:ind w:left="0"/>
        <w:jc w:val="both"/>
        <w:rPr>
          <w:rFonts w:ascii="Arial" w:hAnsi="Arial" w:cs="Arial"/>
          <w:sz w:val="22"/>
          <w:szCs w:val="22"/>
          <w:lang w:val="en-GB"/>
        </w:rPr>
      </w:pPr>
    </w:p>
    <w:p w14:paraId="053CE421" w14:textId="67F78690" w:rsidR="009F4558" w:rsidRDefault="00545315"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Insolvency Proceedings under the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are formal bankruptcy proceedings which are only opened upon application. They apply to individuals, consumers and businesses. </w:t>
      </w:r>
    </w:p>
    <w:p w14:paraId="1DF234CE" w14:textId="5067C6D6" w:rsidR="00545315" w:rsidRDefault="00545315" w:rsidP="003313E1">
      <w:pPr>
        <w:pStyle w:val="ListParagraph"/>
        <w:ind w:left="0"/>
        <w:jc w:val="both"/>
        <w:rPr>
          <w:rFonts w:ascii="Arial" w:hAnsi="Arial" w:cs="Arial"/>
          <w:color w:val="A6A6A6" w:themeColor="background1" w:themeShade="A6"/>
          <w:sz w:val="22"/>
          <w:szCs w:val="22"/>
          <w:lang w:val="en-GB"/>
        </w:rPr>
      </w:pPr>
    </w:p>
    <w:p w14:paraId="3843D097" w14:textId="41B112B7" w:rsidR="00545315" w:rsidRPr="00D05CA4" w:rsidRDefault="00545315"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Proceedings under 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xml:space="preserve"> are an alternative to formal bankruptcy proceedings. They are only open to natural persons who are entrepreneurs. The </w:t>
      </w:r>
      <w:proofErr w:type="spellStart"/>
      <w:r>
        <w:rPr>
          <w:rFonts w:ascii="Arial" w:hAnsi="Arial" w:cs="Arial"/>
          <w:color w:val="A6A6A6" w:themeColor="background1" w:themeShade="A6"/>
          <w:sz w:val="22"/>
          <w:szCs w:val="22"/>
          <w:lang w:val="en-GB"/>
        </w:rPr>
        <w:t>StaRUG</w:t>
      </w:r>
      <w:proofErr w:type="spellEnd"/>
      <w:r>
        <w:rPr>
          <w:rFonts w:ascii="Arial" w:hAnsi="Arial" w:cs="Arial"/>
          <w:color w:val="A6A6A6" w:themeColor="background1" w:themeShade="A6"/>
          <w:sz w:val="22"/>
          <w:szCs w:val="22"/>
          <w:lang w:val="en-GB"/>
        </w:rPr>
        <w:t xml:space="preserve"> offers a number of instruments to help the debtor restructure in order to avoid the need for formal bankruptcy proceedings. The tools are available separately or jointly. </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C34152">
      <w:pPr>
        <w:jc w:val="both"/>
        <w:rPr>
          <w:rFonts w:ascii="Arial" w:hAnsi="Arial" w:cs="Arial"/>
          <w:sz w:val="22"/>
          <w:szCs w:val="22"/>
          <w:lang w:val="en-GB"/>
        </w:rPr>
      </w:pPr>
    </w:p>
    <w:p w14:paraId="2C710F86" w14:textId="45F0B806" w:rsidR="00D05CA4" w:rsidRDefault="00B4225F"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Generally, executory contracts are wound up in insolvency proceedings – a party has to fulfil its obligations, though their claim against the debtor is only satisfied on a pro rata basis. However, for future obligations, these must only be performed if the insolvency administrator chooses to. If they do, the creditor’s claim must be satisfied in full. </w:t>
      </w:r>
    </w:p>
    <w:p w14:paraId="0A04FFFA" w14:textId="0097CF38" w:rsidR="00B4225F" w:rsidRDefault="00B4225F" w:rsidP="003313E1">
      <w:pPr>
        <w:pStyle w:val="ListParagraph"/>
        <w:ind w:left="0"/>
        <w:jc w:val="both"/>
        <w:rPr>
          <w:rFonts w:ascii="Arial" w:hAnsi="Arial" w:cs="Arial"/>
          <w:color w:val="A6A6A6" w:themeColor="background1" w:themeShade="A6"/>
          <w:sz w:val="22"/>
          <w:szCs w:val="22"/>
          <w:lang w:val="en-GB"/>
        </w:rPr>
      </w:pPr>
    </w:p>
    <w:p w14:paraId="6008DCD4" w14:textId="291B1EFB" w:rsidR="00B4225F" w:rsidRPr="00D05CA4" w:rsidRDefault="00B4225F"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Leases are subject to special rules in the </w:t>
      </w:r>
      <w:proofErr w:type="spellStart"/>
      <w:r>
        <w:rPr>
          <w:rFonts w:ascii="Arial" w:hAnsi="Arial" w:cs="Arial"/>
          <w:color w:val="A6A6A6" w:themeColor="background1" w:themeShade="A6"/>
          <w:sz w:val="22"/>
          <w:szCs w:val="22"/>
          <w:lang w:val="en-GB"/>
        </w:rPr>
        <w:t>InsO</w:t>
      </w:r>
      <w:proofErr w:type="spellEnd"/>
      <w:r>
        <w:rPr>
          <w:rFonts w:ascii="Arial" w:hAnsi="Arial" w:cs="Arial"/>
          <w:color w:val="A6A6A6" w:themeColor="background1" w:themeShade="A6"/>
          <w:sz w:val="22"/>
          <w:szCs w:val="22"/>
          <w:lang w:val="en-GB"/>
        </w:rPr>
        <w:t xml:space="preserve">. The insolvency administrator may terminate them on three months’ notice (unless a shorter period is available). If the premises are the dwelling of the debtor, the administrator may declare that rent falling due after the three-month notice period is not to be claimed as part of the insolvent estate. </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086D40DB" w14:textId="7AF077D2" w:rsidR="00D05CA4" w:rsidRDefault="00D52558"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Broadly, a transaction which was made before the opening of insolvency proceedings may be open to avoidance if it can be shown that it was to the disadvantage of the creditors, and that an avoidance ground exists </w:t>
      </w:r>
      <w:r w:rsidR="00D06041">
        <w:rPr>
          <w:rFonts w:ascii="Arial" w:hAnsi="Arial" w:cs="Arial"/>
          <w:color w:val="A6A6A6" w:themeColor="background1" w:themeShade="A6"/>
          <w:sz w:val="22"/>
          <w:szCs w:val="22"/>
          <w:lang w:val="en-GB"/>
        </w:rPr>
        <w:t xml:space="preserve">in respect of that transaction, per </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§129(1).</w:t>
      </w:r>
    </w:p>
    <w:p w14:paraId="32B05333" w14:textId="21A1B721" w:rsidR="00D52558" w:rsidRDefault="00D52558" w:rsidP="003313E1">
      <w:pPr>
        <w:pStyle w:val="ListParagraph"/>
        <w:ind w:left="0"/>
        <w:jc w:val="both"/>
        <w:rPr>
          <w:rFonts w:ascii="Arial" w:hAnsi="Arial" w:cs="Arial"/>
          <w:color w:val="A6A6A6" w:themeColor="background1" w:themeShade="A6"/>
          <w:sz w:val="22"/>
          <w:szCs w:val="22"/>
          <w:lang w:val="en-GB"/>
        </w:rPr>
      </w:pPr>
    </w:p>
    <w:p w14:paraId="53FB3B4A" w14:textId="4CCC8319" w:rsidR="00D52558" w:rsidRDefault="00D52558"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 transaction is considered to disadvantage the general body of creditors if it reduces the funds available to be paid to the ordinary creditors. So, for example, a payment or gratuitous transfer of assets, or the creation of security over an asset, will reduce the size of the overall pot available to the unsecured creditors. </w:t>
      </w:r>
    </w:p>
    <w:p w14:paraId="5CCE3D08" w14:textId="7DF0F24E" w:rsidR="00D52558" w:rsidRDefault="00D52558" w:rsidP="003313E1">
      <w:pPr>
        <w:pStyle w:val="ListParagraph"/>
        <w:ind w:left="0"/>
        <w:jc w:val="both"/>
        <w:rPr>
          <w:rFonts w:ascii="Arial" w:hAnsi="Arial" w:cs="Arial"/>
          <w:color w:val="A6A6A6" w:themeColor="background1" w:themeShade="A6"/>
          <w:sz w:val="22"/>
          <w:szCs w:val="22"/>
          <w:lang w:val="en-GB"/>
        </w:rPr>
      </w:pPr>
    </w:p>
    <w:p w14:paraId="1F8CA614" w14:textId="1C0E9AAE" w:rsidR="00D52558" w:rsidRDefault="00D04FFF" w:rsidP="003313E1">
      <w:pPr>
        <w:pStyle w:val="ListParagraph"/>
        <w:ind w:left="0"/>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Among the grounds of avoidance are:</w:t>
      </w:r>
    </w:p>
    <w:p w14:paraId="7750D169" w14:textId="1473B8E8" w:rsidR="00D04FFF" w:rsidRDefault="00D04FFF" w:rsidP="003313E1">
      <w:pPr>
        <w:pStyle w:val="ListParagraph"/>
        <w:ind w:left="0"/>
        <w:jc w:val="both"/>
        <w:rPr>
          <w:rFonts w:ascii="Arial" w:hAnsi="Arial" w:cs="Arial"/>
          <w:color w:val="A6A6A6" w:themeColor="background1" w:themeShade="A6"/>
          <w:sz w:val="22"/>
          <w:szCs w:val="22"/>
          <w:lang w:val="en-GB"/>
        </w:rPr>
      </w:pPr>
    </w:p>
    <w:p w14:paraId="36895E72" w14:textId="475CDBD3" w:rsidR="00D04FFF" w:rsidRDefault="00D04FFF" w:rsidP="003313E1">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For a transaction creating a security in favour of a creditor, it must have occurred in the final three months before the application to open insolvency proceedings, the debtor was cash flow insolvent and the creditor was aware of this</w:t>
      </w:r>
      <w:r w:rsidR="00D06041">
        <w:rPr>
          <w:rFonts w:ascii="Arial" w:hAnsi="Arial" w:cs="Arial"/>
          <w:color w:val="A6A6A6" w:themeColor="background1" w:themeShade="A6"/>
          <w:sz w:val="22"/>
          <w:szCs w:val="22"/>
          <w:lang w:val="en-GB"/>
        </w:rPr>
        <w:t xml:space="preserve"> (</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§130)</w:t>
      </w:r>
      <w:r>
        <w:rPr>
          <w:rFonts w:ascii="Arial" w:hAnsi="Arial" w:cs="Arial"/>
          <w:color w:val="A6A6A6" w:themeColor="background1" w:themeShade="A6"/>
          <w:sz w:val="22"/>
          <w:szCs w:val="22"/>
          <w:lang w:val="en-GB"/>
        </w:rPr>
        <w:t>;</w:t>
      </w:r>
    </w:p>
    <w:p w14:paraId="197C7C7B" w14:textId="2CE99547" w:rsidR="00D04FFF" w:rsidRDefault="00D04FFF" w:rsidP="003313E1">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For a transaction creating a security in favour of a creditor who was not entitled to one, the conditions are the same except there is no requirement to prove the creditor was aware of the insolvency – the timing and the fact that the debtor was insolvent are enough to succeed</w:t>
      </w:r>
      <w:r w:rsidR="00D06041">
        <w:rPr>
          <w:rFonts w:ascii="Arial" w:hAnsi="Arial" w:cs="Arial"/>
          <w:color w:val="A6A6A6" w:themeColor="background1" w:themeShade="A6"/>
          <w:sz w:val="22"/>
          <w:szCs w:val="22"/>
          <w:lang w:val="en-GB"/>
        </w:rPr>
        <w:t>(</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 131)</w:t>
      </w:r>
      <w:r>
        <w:rPr>
          <w:rFonts w:ascii="Arial" w:hAnsi="Arial" w:cs="Arial"/>
          <w:color w:val="A6A6A6" w:themeColor="background1" w:themeShade="A6"/>
          <w:sz w:val="22"/>
          <w:szCs w:val="22"/>
          <w:lang w:val="en-GB"/>
        </w:rPr>
        <w:t>;</w:t>
      </w:r>
    </w:p>
    <w:p w14:paraId="4BD3B4D7" w14:textId="2A4DD87B" w:rsidR="00D04FFF" w:rsidRDefault="00D04FFF" w:rsidP="003313E1">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A transaction which immediately disadvantages creditors may be contested where the debtor was cash flow insolvent and the creditor was aware of this</w:t>
      </w:r>
      <w:r w:rsidR="00D06041">
        <w:rPr>
          <w:rFonts w:ascii="Arial" w:hAnsi="Arial" w:cs="Arial"/>
          <w:color w:val="A6A6A6" w:themeColor="background1" w:themeShade="A6"/>
          <w:sz w:val="22"/>
          <w:szCs w:val="22"/>
          <w:lang w:val="en-GB"/>
        </w:rPr>
        <w:t xml:space="preserve"> (</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 132)</w:t>
      </w:r>
      <w:r>
        <w:rPr>
          <w:rFonts w:ascii="Arial" w:hAnsi="Arial" w:cs="Arial"/>
          <w:color w:val="A6A6A6" w:themeColor="background1" w:themeShade="A6"/>
          <w:sz w:val="22"/>
          <w:szCs w:val="22"/>
          <w:lang w:val="en-GB"/>
        </w:rPr>
        <w:t>;</w:t>
      </w:r>
    </w:p>
    <w:p w14:paraId="020654B4" w14:textId="71714543" w:rsidR="00D04FFF" w:rsidRDefault="00D04FFF" w:rsidP="003313E1">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Where a transaction was made with the intention to disadvantage creditors and the other party was aware of this, it may be challenged so long as it was made within ten years before the request to open insolvency proceedings</w:t>
      </w:r>
      <w:r w:rsidR="00D06041">
        <w:rPr>
          <w:rFonts w:ascii="Arial" w:hAnsi="Arial" w:cs="Arial"/>
          <w:color w:val="A6A6A6" w:themeColor="background1" w:themeShade="A6"/>
          <w:sz w:val="22"/>
          <w:szCs w:val="22"/>
          <w:lang w:val="en-GB"/>
        </w:rPr>
        <w:t xml:space="preserve"> (</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 133)</w:t>
      </w:r>
      <w:r>
        <w:rPr>
          <w:rFonts w:ascii="Arial" w:hAnsi="Arial" w:cs="Arial"/>
          <w:color w:val="A6A6A6" w:themeColor="background1" w:themeShade="A6"/>
          <w:sz w:val="22"/>
          <w:szCs w:val="22"/>
          <w:lang w:val="en-GB"/>
        </w:rPr>
        <w:t>;</w:t>
      </w:r>
    </w:p>
    <w:p w14:paraId="50F76883" w14:textId="7789903B" w:rsidR="00D04FFF" w:rsidRDefault="00BD16E3" w:rsidP="003313E1">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lastRenderedPageBreak/>
        <w:t>A transaction made at an undervalue may be contested if it was within four years of the commencement of the insolvency proceedings</w:t>
      </w:r>
      <w:r w:rsidR="00D06041">
        <w:rPr>
          <w:rFonts w:ascii="Arial" w:hAnsi="Arial" w:cs="Arial"/>
          <w:color w:val="A6A6A6" w:themeColor="background1" w:themeShade="A6"/>
          <w:sz w:val="22"/>
          <w:szCs w:val="22"/>
          <w:lang w:val="en-GB"/>
        </w:rPr>
        <w:t xml:space="preserve"> (</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 134)</w:t>
      </w:r>
      <w:r>
        <w:rPr>
          <w:rFonts w:ascii="Arial" w:hAnsi="Arial" w:cs="Arial"/>
          <w:color w:val="A6A6A6" w:themeColor="background1" w:themeShade="A6"/>
          <w:sz w:val="22"/>
          <w:szCs w:val="22"/>
          <w:lang w:val="en-GB"/>
        </w:rPr>
        <w:t>; and</w:t>
      </w:r>
    </w:p>
    <w:p w14:paraId="0AFE3672" w14:textId="3FECEA55" w:rsidR="00BD16E3" w:rsidRDefault="00BD16E3" w:rsidP="003313E1">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Where the payment or security was granted to a shareholder in the debtor company, it may be clawed back. All payments made in the final year before insolvency, and all charges granted during the final ten years, may be voided without any need to meet any other prerequisites</w:t>
      </w:r>
      <w:r w:rsidR="00D06041">
        <w:rPr>
          <w:rFonts w:ascii="Arial" w:hAnsi="Arial" w:cs="Arial"/>
          <w:color w:val="A6A6A6" w:themeColor="background1" w:themeShade="A6"/>
          <w:sz w:val="22"/>
          <w:szCs w:val="22"/>
          <w:lang w:val="en-GB"/>
        </w:rPr>
        <w:t xml:space="preserve"> (</w:t>
      </w:r>
      <w:proofErr w:type="spellStart"/>
      <w:r w:rsidR="00D06041">
        <w:rPr>
          <w:rFonts w:ascii="Arial" w:hAnsi="Arial" w:cs="Arial"/>
          <w:color w:val="A6A6A6" w:themeColor="background1" w:themeShade="A6"/>
          <w:sz w:val="22"/>
          <w:szCs w:val="22"/>
          <w:lang w:val="en-GB"/>
        </w:rPr>
        <w:t>InsO</w:t>
      </w:r>
      <w:proofErr w:type="spellEnd"/>
      <w:r w:rsidR="00D06041">
        <w:rPr>
          <w:rFonts w:ascii="Arial" w:hAnsi="Arial" w:cs="Arial"/>
          <w:color w:val="A6A6A6" w:themeColor="background1" w:themeShade="A6"/>
          <w:sz w:val="22"/>
          <w:szCs w:val="22"/>
          <w:lang w:val="en-GB"/>
        </w:rPr>
        <w:t xml:space="preserve"> § 135)</w:t>
      </w:r>
      <w:r>
        <w:rPr>
          <w:rFonts w:ascii="Arial" w:hAnsi="Arial" w:cs="Arial"/>
          <w:color w:val="A6A6A6" w:themeColor="background1" w:themeShade="A6"/>
          <w:sz w:val="22"/>
          <w:szCs w:val="22"/>
          <w:lang w:val="en-GB"/>
        </w:rPr>
        <w:t xml:space="preserve">. </w:t>
      </w:r>
    </w:p>
    <w:p w14:paraId="7FA301D7" w14:textId="7C358D17" w:rsidR="00D06041" w:rsidRDefault="00D06041" w:rsidP="003313E1">
      <w:pPr>
        <w:jc w:val="both"/>
        <w:rPr>
          <w:rFonts w:ascii="Arial" w:hAnsi="Arial" w:cs="Arial"/>
          <w:color w:val="A6A6A6" w:themeColor="background1" w:themeShade="A6"/>
          <w:sz w:val="22"/>
          <w:szCs w:val="22"/>
          <w:lang w:val="en-GB"/>
        </w:rPr>
      </w:pPr>
    </w:p>
    <w:p w14:paraId="2D729F43" w14:textId="67AAECB3" w:rsidR="00D06041" w:rsidRDefault="00D06041" w:rsidP="003313E1">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 person who has received property from the debtor, the transfer of which has been successfully challenged, must return it to the insolvency estate. The aim is to restore the insolvency estate to the position in which it would have been had the challenged transaction never occurred. </w:t>
      </w:r>
      <w:r w:rsidR="007353D3">
        <w:rPr>
          <w:rFonts w:ascii="Arial" w:hAnsi="Arial" w:cs="Arial"/>
          <w:color w:val="A6A6A6" w:themeColor="background1" w:themeShade="A6"/>
          <w:sz w:val="22"/>
          <w:szCs w:val="22"/>
          <w:lang w:val="en-GB"/>
        </w:rPr>
        <w:t>The claim for restitution is not reliant upon the insolvency administrator making any sort of declaration in order for the right to arise; it arises by operation of law alone (</w:t>
      </w:r>
      <w:proofErr w:type="spellStart"/>
      <w:r w:rsidR="007353D3">
        <w:rPr>
          <w:rFonts w:ascii="Arial" w:hAnsi="Arial" w:cs="Arial"/>
          <w:color w:val="A6A6A6" w:themeColor="background1" w:themeShade="A6"/>
          <w:sz w:val="22"/>
          <w:szCs w:val="22"/>
          <w:lang w:val="en-GB"/>
        </w:rPr>
        <w:t>InsO</w:t>
      </w:r>
      <w:proofErr w:type="spellEnd"/>
      <w:r w:rsidR="007353D3">
        <w:rPr>
          <w:rFonts w:ascii="Arial" w:hAnsi="Arial" w:cs="Arial"/>
          <w:color w:val="A6A6A6" w:themeColor="background1" w:themeShade="A6"/>
          <w:sz w:val="22"/>
          <w:szCs w:val="22"/>
          <w:lang w:val="en-GB"/>
        </w:rPr>
        <w:t xml:space="preserve"> § 143(1)). </w:t>
      </w:r>
    </w:p>
    <w:p w14:paraId="23477EBF" w14:textId="63098729" w:rsidR="00247F49" w:rsidRDefault="00247F49" w:rsidP="003313E1">
      <w:pPr>
        <w:jc w:val="both"/>
        <w:rPr>
          <w:rFonts w:ascii="Arial" w:hAnsi="Arial" w:cs="Arial"/>
          <w:color w:val="A6A6A6" w:themeColor="background1" w:themeShade="A6"/>
          <w:sz w:val="22"/>
          <w:szCs w:val="22"/>
          <w:lang w:val="en-GB"/>
        </w:rPr>
      </w:pPr>
    </w:p>
    <w:p w14:paraId="7F932501" w14:textId="00B95199" w:rsidR="00247F49" w:rsidRPr="00D06041" w:rsidRDefault="00247F49" w:rsidP="003313E1">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order to defend an action for restitution, the defending party must demonstrate that the necessary requirements were not met. In practice, this mostly involves demonstrating the mental element (i.e. usually the knowledge of insolvency) was not present. The burden of proof is normally upon the insolvency administrator to demonstrate all elements were present; however, this switches if the defending party is closely connected to the debtor. In these cases, the burden lies on the defending party to prove that the necessary elements were not present, rather than vice versa. </w:t>
      </w:r>
    </w:p>
    <w:p w14:paraId="00130585" w14:textId="529A5CA6" w:rsidR="00780E21" w:rsidRPr="009F4558" w:rsidRDefault="00780E21" w:rsidP="003E4613">
      <w:pPr>
        <w:jc w:val="both"/>
        <w:rPr>
          <w:rFonts w:ascii="Arial" w:hAnsi="Arial" w:cs="Arial"/>
          <w:color w:val="000000"/>
          <w:sz w:val="22"/>
          <w:szCs w:val="22"/>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37102164" w14:textId="61E284F5" w:rsidR="00102CC9" w:rsidRPr="003313E1" w:rsidRDefault="00416D2E" w:rsidP="003313E1">
      <w:pPr>
        <w:jc w:val="both"/>
        <w:rPr>
          <w:rFonts w:ascii="Arial" w:hAnsi="Arial" w:cs="Arial"/>
          <w:color w:val="A6A6A6" w:themeColor="background1" w:themeShade="A6"/>
          <w:sz w:val="22"/>
          <w:szCs w:val="22"/>
          <w:lang w:val="en-GB"/>
        </w:rPr>
      </w:pPr>
      <w:bookmarkStart w:id="2" w:name="_Hlk17745211"/>
      <w:r w:rsidRPr="003313E1">
        <w:rPr>
          <w:rFonts w:ascii="Arial" w:hAnsi="Arial" w:cs="Arial"/>
          <w:color w:val="A6A6A6" w:themeColor="background1" w:themeShade="A6"/>
          <w:sz w:val="22"/>
          <w:szCs w:val="22"/>
          <w:lang w:val="en-GB"/>
        </w:rPr>
        <w:t xml:space="preserve">The </w:t>
      </w:r>
      <w:proofErr w:type="spellStart"/>
      <w:r w:rsidRPr="003313E1">
        <w:rPr>
          <w:rFonts w:ascii="Arial" w:hAnsi="Arial" w:cs="Arial"/>
          <w:color w:val="A6A6A6" w:themeColor="background1" w:themeShade="A6"/>
          <w:sz w:val="22"/>
          <w:szCs w:val="22"/>
          <w:lang w:val="en-GB"/>
        </w:rPr>
        <w:t>Globalzession</w:t>
      </w:r>
      <w:proofErr w:type="spellEnd"/>
      <w:r w:rsidRPr="003313E1">
        <w:rPr>
          <w:rFonts w:ascii="Arial" w:hAnsi="Arial" w:cs="Arial"/>
          <w:color w:val="A6A6A6" w:themeColor="background1" w:themeShade="A6"/>
          <w:sz w:val="22"/>
          <w:szCs w:val="22"/>
          <w:lang w:val="en-GB"/>
        </w:rPr>
        <w:t xml:space="preserve">, or assignment of current and future receivables as security is a popular way of securing commercial debts in Germany. Although the assignation is by a single agreement, the assignment does not affect a right until it exists; as such, each of the two transactions here falls to be considered separately. </w:t>
      </w:r>
    </w:p>
    <w:p w14:paraId="4A1395C7" w14:textId="13807474" w:rsidR="00416D2E" w:rsidRPr="003313E1" w:rsidRDefault="00416D2E" w:rsidP="003313E1">
      <w:pPr>
        <w:jc w:val="both"/>
        <w:rPr>
          <w:rFonts w:ascii="Arial" w:hAnsi="Arial" w:cs="Arial"/>
          <w:color w:val="A6A6A6" w:themeColor="background1" w:themeShade="A6"/>
          <w:sz w:val="22"/>
          <w:szCs w:val="22"/>
          <w:lang w:val="en-GB"/>
        </w:rPr>
      </w:pPr>
    </w:p>
    <w:p w14:paraId="42003B1D" w14:textId="78A7A38B" w:rsidR="00416D2E" w:rsidRDefault="00416D2E" w:rsidP="003313E1">
      <w:pPr>
        <w:jc w:val="both"/>
        <w:rPr>
          <w:rFonts w:ascii="Arial" w:hAnsi="Arial" w:cs="Arial"/>
          <w:color w:val="A6A6A6" w:themeColor="background1" w:themeShade="A6"/>
          <w:sz w:val="22"/>
          <w:szCs w:val="22"/>
          <w:lang w:val="en-GB"/>
        </w:rPr>
      </w:pPr>
      <w:r w:rsidRPr="003313E1">
        <w:rPr>
          <w:rFonts w:ascii="Arial" w:hAnsi="Arial" w:cs="Arial"/>
          <w:color w:val="A6A6A6" w:themeColor="background1" w:themeShade="A6"/>
          <w:sz w:val="22"/>
          <w:szCs w:val="22"/>
          <w:lang w:val="en-GB"/>
        </w:rPr>
        <w:t xml:space="preserve">The first claim, in relation to X, stems from a contract concluded some 11 months before the time D became unable to pay her debts and between 12 and 13 months before the date on which IA was appointed. </w:t>
      </w:r>
      <w:r w:rsidR="005A604B" w:rsidRPr="003313E1">
        <w:rPr>
          <w:rFonts w:ascii="Arial" w:hAnsi="Arial" w:cs="Arial"/>
          <w:color w:val="A6A6A6" w:themeColor="background1" w:themeShade="A6"/>
          <w:sz w:val="22"/>
          <w:szCs w:val="22"/>
          <w:lang w:val="en-GB"/>
        </w:rPr>
        <w:t xml:space="preserve">The services were rendered a little over one month after the contract was concluded. Whether, under German law, the right was created on conclusion of the contract or on performance of the concurrent duty (i.e. D rendering services to X), in both cases the right was created more than three months prior to the application for insolvency proceedings. As such, the right is not open to challenge under </w:t>
      </w:r>
      <w:proofErr w:type="spellStart"/>
      <w:r w:rsidR="005A604B">
        <w:rPr>
          <w:rFonts w:ascii="Arial" w:hAnsi="Arial" w:cs="Arial"/>
          <w:color w:val="A6A6A6" w:themeColor="background1" w:themeShade="A6"/>
          <w:sz w:val="22"/>
          <w:szCs w:val="22"/>
          <w:lang w:val="en-GB"/>
        </w:rPr>
        <w:t>InsO</w:t>
      </w:r>
      <w:proofErr w:type="spellEnd"/>
      <w:r w:rsidR="005A604B">
        <w:rPr>
          <w:rFonts w:ascii="Arial" w:hAnsi="Arial" w:cs="Arial"/>
          <w:color w:val="A6A6A6" w:themeColor="background1" w:themeShade="A6"/>
          <w:sz w:val="22"/>
          <w:szCs w:val="22"/>
          <w:lang w:val="en-GB"/>
        </w:rPr>
        <w:t xml:space="preserve"> § 130. </w:t>
      </w:r>
      <w:r w:rsidR="00FF298D">
        <w:rPr>
          <w:rFonts w:ascii="Arial" w:hAnsi="Arial" w:cs="Arial"/>
          <w:color w:val="A6A6A6" w:themeColor="background1" w:themeShade="A6"/>
          <w:sz w:val="22"/>
          <w:szCs w:val="22"/>
          <w:lang w:val="en-GB"/>
        </w:rPr>
        <w:t xml:space="preserve">The responsibility is upon the Insolvency Administrator to realise the claims (per </w:t>
      </w:r>
      <w:proofErr w:type="spellStart"/>
      <w:r w:rsidR="00FF298D">
        <w:rPr>
          <w:rFonts w:ascii="Arial" w:hAnsi="Arial" w:cs="Arial"/>
          <w:color w:val="A6A6A6" w:themeColor="background1" w:themeShade="A6"/>
          <w:sz w:val="22"/>
          <w:szCs w:val="22"/>
          <w:lang w:val="en-GB"/>
        </w:rPr>
        <w:t>InsO</w:t>
      </w:r>
      <w:proofErr w:type="spellEnd"/>
      <w:r w:rsidR="00FF298D">
        <w:rPr>
          <w:rFonts w:ascii="Arial" w:hAnsi="Arial" w:cs="Arial"/>
          <w:color w:val="A6A6A6" w:themeColor="background1" w:themeShade="A6"/>
          <w:sz w:val="22"/>
          <w:szCs w:val="22"/>
          <w:lang w:val="en-GB"/>
        </w:rPr>
        <w:t xml:space="preserve"> § 161) which has happened here. </w:t>
      </w:r>
      <w:r w:rsidR="003313E1">
        <w:rPr>
          <w:rFonts w:ascii="Arial" w:hAnsi="Arial" w:cs="Arial"/>
          <w:color w:val="A6A6A6" w:themeColor="background1" w:themeShade="A6"/>
          <w:sz w:val="22"/>
          <w:szCs w:val="22"/>
          <w:lang w:val="en-GB"/>
        </w:rPr>
        <w:t>The IA can deduct a statutory figure to account for the costs of determining and realising the debt (</w:t>
      </w:r>
      <w:proofErr w:type="spellStart"/>
      <w:r w:rsidR="003313E1">
        <w:rPr>
          <w:rFonts w:ascii="Arial" w:hAnsi="Arial" w:cs="Arial"/>
          <w:color w:val="A6A6A6" w:themeColor="background1" w:themeShade="A6"/>
          <w:sz w:val="22"/>
          <w:szCs w:val="22"/>
          <w:lang w:val="en-GB"/>
        </w:rPr>
        <w:t>InsO</w:t>
      </w:r>
      <w:proofErr w:type="spellEnd"/>
      <w:r w:rsidR="003313E1">
        <w:rPr>
          <w:rFonts w:ascii="Arial" w:hAnsi="Arial" w:cs="Arial"/>
          <w:color w:val="A6A6A6" w:themeColor="background1" w:themeShade="A6"/>
          <w:sz w:val="22"/>
          <w:szCs w:val="22"/>
          <w:lang w:val="en-GB"/>
        </w:rPr>
        <w:t xml:space="preserve"> § 170) although, if this figure is substantially different than the statutory sums, the actual figure can be applied. In the present case, it seems unlikely that IA </w:t>
      </w:r>
      <w:r w:rsidR="003313E1">
        <w:rPr>
          <w:rFonts w:ascii="Arial" w:hAnsi="Arial" w:cs="Arial"/>
          <w:color w:val="A6A6A6" w:themeColor="background1" w:themeShade="A6"/>
          <w:sz w:val="22"/>
          <w:szCs w:val="22"/>
          <w:lang w:val="en-GB"/>
        </w:rPr>
        <w:lastRenderedPageBreak/>
        <w:t xml:space="preserve">would have incurred much cost in realising the debt and so it is submitted that the actual figure (i.e. nil) would be appropriate, although this would be subject to confirmation. Under the same provision the IA may deduct any turnover tax which is due. This is stated to be 19%; as a result, the bank would be able to demand payment of EUR 10,000 from IA to account for the sum received from X, in the context of the bank’s security. </w:t>
      </w:r>
    </w:p>
    <w:p w14:paraId="523A0CD0" w14:textId="2835F87F" w:rsidR="00DD095D" w:rsidRDefault="00DD095D" w:rsidP="003313E1">
      <w:pPr>
        <w:jc w:val="both"/>
        <w:rPr>
          <w:rFonts w:ascii="Arial" w:hAnsi="Arial" w:cs="Arial"/>
          <w:color w:val="A6A6A6" w:themeColor="background1" w:themeShade="A6"/>
          <w:sz w:val="22"/>
          <w:szCs w:val="22"/>
          <w:lang w:val="en-GB"/>
        </w:rPr>
      </w:pPr>
    </w:p>
    <w:p w14:paraId="398ADF74" w14:textId="3C9B01FE" w:rsidR="00DD095D" w:rsidRPr="003313E1" w:rsidRDefault="00DD095D" w:rsidP="003313E1">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In relation to the sum paid by Z, the right to this was created by contract dated 20 July 2021, which is some 17 days after insolvency proceedings were opened against D. </w:t>
      </w:r>
      <w:r w:rsidR="00113AEC">
        <w:rPr>
          <w:rFonts w:ascii="Arial" w:hAnsi="Arial" w:cs="Arial"/>
          <w:color w:val="A6A6A6" w:themeColor="background1" w:themeShade="A6"/>
          <w:sz w:val="22"/>
          <w:szCs w:val="22"/>
          <w:lang w:val="en-GB"/>
        </w:rPr>
        <w:t>As such, the creation of the right post-dates the insolvenc</w:t>
      </w:r>
      <w:r w:rsidR="00DC52E4">
        <w:rPr>
          <w:rFonts w:ascii="Arial" w:hAnsi="Arial" w:cs="Arial"/>
          <w:color w:val="A6A6A6" w:themeColor="background1" w:themeShade="A6"/>
          <w:sz w:val="22"/>
          <w:szCs w:val="22"/>
          <w:lang w:val="en-GB"/>
        </w:rPr>
        <w:t xml:space="preserve">y. </w:t>
      </w:r>
      <w:proofErr w:type="spellStart"/>
      <w:r w:rsidR="00DC52E4">
        <w:rPr>
          <w:rFonts w:ascii="Arial" w:hAnsi="Arial" w:cs="Arial"/>
          <w:color w:val="A6A6A6" w:themeColor="background1" w:themeShade="A6"/>
          <w:sz w:val="22"/>
          <w:szCs w:val="22"/>
          <w:lang w:val="en-GB"/>
        </w:rPr>
        <w:t>InsO</w:t>
      </w:r>
      <w:proofErr w:type="spellEnd"/>
      <w:r w:rsidR="00DC52E4">
        <w:rPr>
          <w:rFonts w:ascii="Arial" w:hAnsi="Arial" w:cs="Arial"/>
          <w:color w:val="A6A6A6" w:themeColor="background1" w:themeShade="A6"/>
          <w:sz w:val="22"/>
          <w:szCs w:val="22"/>
          <w:lang w:val="en-GB"/>
        </w:rPr>
        <w:t xml:space="preserve"> § 91 prohibits the creation of security rights in objects forming part of the insolvency estate following the date on which insolvency proceedings are opened. As such, B has no right to the sums due from Z. Instead, the sums received would become part of the insolvency estate in which B would have to claim as an unsecured creditor.</w:t>
      </w:r>
    </w:p>
    <w:bookmarkEnd w:id="2"/>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0042" w14:textId="77777777" w:rsidR="003C2B5D" w:rsidRDefault="003C2B5D" w:rsidP="00241B44">
      <w:r>
        <w:separator/>
      </w:r>
    </w:p>
  </w:endnote>
  <w:endnote w:type="continuationSeparator" w:id="0">
    <w:p w14:paraId="7B188344" w14:textId="77777777" w:rsidR="003C2B5D" w:rsidRDefault="003C2B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00AD0DDF" w14:textId="5F0B1FE3" w:rsidR="002124BE" w:rsidRPr="00902A28" w:rsidRDefault="002124BE"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002E6472">
          <w:rPr>
            <w:rStyle w:val="PageNumber"/>
            <w:rFonts w:ascii="Arial" w:hAnsi="Arial" w:cs="Arial"/>
            <w:b/>
            <w:bCs/>
            <w:noProof/>
            <w:sz w:val="22"/>
            <w:szCs w:val="22"/>
          </w:rPr>
          <w:t>8</w:t>
        </w:r>
        <w:r w:rsidRPr="00902A28">
          <w:rPr>
            <w:rStyle w:val="PageNumber"/>
            <w:rFonts w:ascii="Arial" w:hAnsi="Arial" w:cs="Arial"/>
            <w:b/>
            <w:bCs/>
            <w:sz w:val="22"/>
            <w:szCs w:val="22"/>
          </w:rPr>
          <w:fldChar w:fldCharType="end"/>
        </w:r>
      </w:p>
    </w:sdtContent>
  </w:sdt>
  <w:p w14:paraId="5AC08553" w14:textId="242E43F5" w:rsidR="00BC2C6F" w:rsidRPr="00902A28" w:rsidRDefault="00AD64E1" w:rsidP="009B4976">
    <w:pPr>
      <w:pStyle w:val="Footer"/>
      <w:ind w:right="360"/>
      <w:rPr>
        <w:rFonts w:ascii="Arial" w:hAnsi="Arial" w:cs="Arial"/>
        <w:sz w:val="22"/>
        <w:szCs w:val="22"/>
        <w:lang w:val="en-GB"/>
      </w:rPr>
    </w:pPr>
    <w:r>
      <w:rPr>
        <w:rFonts w:ascii="Arial" w:hAnsi="Arial" w:cs="Arial"/>
        <w:sz w:val="22"/>
        <w:szCs w:val="22"/>
        <w:lang w:val="en-GB"/>
      </w:rPr>
      <w:t>2</w:t>
    </w:r>
    <w:r w:rsidR="002E6472">
      <w:rPr>
        <w:rFonts w:ascii="Arial" w:hAnsi="Arial" w:cs="Arial"/>
        <w:sz w:val="22"/>
        <w:szCs w:val="22"/>
        <w:lang w:val="en-GB"/>
      </w:rPr>
      <w:t>02</w:t>
    </w:r>
    <w:r>
      <w:rPr>
        <w:rFonts w:ascii="Arial" w:hAnsi="Arial" w:cs="Arial"/>
        <w:sz w:val="22"/>
        <w:szCs w:val="22"/>
        <w:lang w:val="en-GB"/>
      </w:rPr>
      <w:t>122-579</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8CDA" w14:textId="77777777" w:rsidR="003C2B5D" w:rsidRDefault="003C2B5D" w:rsidP="00241B44">
      <w:r>
        <w:separator/>
      </w:r>
    </w:p>
  </w:footnote>
  <w:footnote w:type="continuationSeparator" w:id="0">
    <w:p w14:paraId="1197AD60" w14:textId="77777777" w:rsidR="003C2B5D" w:rsidRDefault="003C2B5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971AB"/>
    <w:multiLevelType w:val="hybridMultilevel"/>
    <w:tmpl w:val="7936A4CA"/>
    <w:lvl w:ilvl="0" w:tplc="D56056A6">
      <w:start w:val="2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9"/>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1"/>
  </w:num>
  <w:num w:numId="18">
    <w:abstractNumId w:val="23"/>
  </w:num>
  <w:num w:numId="19">
    <w:abstractNumId w:val="32"/>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30"/>
  </w:num>
  <w:num w:numId="29">
    <w:abstractNumId w:val="26"/>
  </w:num>
  <w:num w:numId="30">
    <w:abstractNumId w:val="18"/>
  </w:num>
  <w:num w:numId="31">
    <w:abstractNumId w:val="25"/>
  </w:num>
  <w:num w:numId="32">
    <w:abstractNumId w:val="7"/>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3AEC"/>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47F49"/>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E6472"/>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13E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2B5D"/>
    <w:rsid w:val="003C4471"/>
    <w:rsid w:val="003C4653"/>
    <w:rsid w:val="003D0A6D"/>
    <w:rsid w:val="003D55EA"/>
    <w:rsid w:val="003D7817"/>
    <w:rsid w:val="003E0B16"/>
    <w:rsid w:val="003E37A6"/>
    <w:rsid w:val="003E4613"/>
    <w:rsid w:val="003E67D1"/>
    <w:rsid w:val="003F6DA2"/>
    <w:rsid w:val="00404329"/>
    <w:rsid w:val="00405DC1"/>
    <w:rsid w:val="00415F1F"/>
    <w:rsid w:val="00416D2E"/>
    <w:rsid w:val="0042108F"/>
    <w:rsid w:val="0042667D"/>
    <w:rsid w:val="00430FED"/>
    <w:rsid w:val="0043344A"/>
    <w:rsid w:val="0043494E"/>
    <w:rsid w:val="00434A8C"/>
    <w:rsid w:val="00436E76"/>
    <w:rsid w:val="00437297"/>
    <w:rsid w:val="004437B2"/>
    <w:rsid w:val="00444284"/>
    <w:rsid w:val="00445499"/>
    <w:rsid w:val="00445CE6"/>
    <w:rsid w:val="0044663D"/>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C7A09"/>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315"/>
    <w:rsid w:val="005456F8"/>
    <w:rsid w:val="00545969"/>
    <w:rsid w:val="005463A9"/>
    <w:rsid w:val="00546695"/>
    <w:rsid w:val="00553EB2"/>
    <w:rsid w:val="00555123"/>
    <w:rsid w:val="00560534"/>
    <w:rsid w:val="0056391B"/>
    <w:rsid w:val="00563D1C"/>
    <w:rsid w:val="005650E2"/>
    <w:rsid w:val="005668C1"/>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04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02B3"/>
    <w:rsid w:val="006D41E7"/>
    <w:rsid w:val="006D6BD5"/>
    <w:rsid w:val="006E481A"/>
    <w:rsid w:val="006E529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353D3"/>
    <w:rsid w:val="00740DAD"/>
    <w:rsid w:val="00746D42"/>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558"/>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64E1"/>
    <w:rsid w:val="00AD70B6"/>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0059"/>
    <w:rsid w:val="00B4225F"/>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16E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4FFF"/>
    <w:rsid w:val="00D05110"/>
    <w:rsid w:val="00D05CA4"/>
    <w:rsid w:val="00D06041"/>
    <w:rsid w:val="00D07F71"/>
    <w:rsid w:val="00D148DC"/>
    <w:rsid w:val="00D17384"/>
    <w:rsid w:val="00D17FDC"/>
    <w:rsid w:val="00D21D8C"/>
    <w:rsid w:val="00D40287"/>
    <w:rsid w:val="00D4049B"/>
    <w:rsid w:val="00D42F29"/>
    <w:rsid w:val="00D452F4"/>
    <w:rsid w:val="00D4592B"/>
    <w:rsid w:val="00D503DF"/>
    <w:rsid w:val="00D50B7E"/>
    <w:rsid w:val="00D50D3B"/>
    <w:rsid w:val="00D51214"/>
    <w:rsid w:val="00D52558"/>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C52E4"/>
    <w:rsid w:val="00DD0802"/>
    <w:rsid w:val="00DD095D"/>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733D"/>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47A2"/>
    <w:rsid w:val="00FD6310"/>
    <w:rsid w:val="00FD64C1"/>
    <w:rsid w:val="00FD7C7B"/>
    <w:rsid w:val="00FE0A86"/>
    <w:rsid w:val="00FE1D12"/>
    <w:rsid w:val="00FE2122"/>
    <w:rsid w:val="00FE2A86"/>
    <w:rsid w:val="00FE2DE2"/>
    <w:rsid w:val="00FE4EC0"/>
    <w:rsid w:val="00FF0747"/>
    <w:rsid w:val="00FF296F"/>
    <w:rsid w:val="00FF298D"/>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7431FB8F-C873-4F20-B9AE-5E8E59E9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2220</Words>
  <Characters>12657</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BBM Sols, Ewan Hazelton</cp:lastModifiedBy>
  <cp:revision>23</cp:revision>
  <cp:lastPrinted>2019-08-27T05:42:00Z</cp:lastPrinted>
  <dcterms:created xsi:type="dcterms:W3CDTF">2021-05-13T11:03:00Z</dcterms:created>
  <dcterms:modified xsi:type="dcterms:W3CDTF">2022-07-31T15:30:00Z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