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AA7150" w:rsidRDefault="00AE5B6F" w:rsidP="00B04033">
      <w:pPr>
        <w:pStyle w:val="ListParagraph"/>
        <w:numPr>
          <w:ilvl w:val="0"/>
          <w:numId w:val="1"/>
        </w:numPr>
        <w:ind w:left="426"/>
        <w:jc w:val="both"/>
        <w:rPr>
          <w:rFonts w:ascii="Arial" w:hAnsi="Arial" w:cs="Arial"/>
          <w:sz w:val="22"/>
          <w:szCs w:val="22"/>
          <w:highlight w:val="yellow"/>
          <w:lang w:val="en-GB"/>
        </w:rPr>
      </w:pPr>
      <w:r w:rsidRPr="00AA7150">
        <w:rPr>
          <w:rFonts w:ascii="Arial" w:hAnsi="Arial" w:cs="Arial"/>
          <w:sz w:val="22"/>
          <w:szCs w:val="22"/>
          <w:highlight w:val="yellow"/>
          <w:lang w:val="en-GB"/>
        </w:rPr>
        <w:t>w</w:t>
      </w:r>
      <w:r w:rsidR="00C91062" w:rsidRPr="00AA7150">
        <w:rPr>
          <w:rFonts w:ascii="Arial" w:hAnsi="Arial" w:cs="Arial"/>
          <w:sz w:val="22"/>
          <w:szCs w:val="22"/>
          <w:highlight w:val="yellow"/>
          <w:lang w:val="en-GB"/>
        </w:rPr>
        <w:t>ithin 8 weeks of the commencement of the administration</w:t>
      </w:r>
      <w:r w:rsidR="00763348" w:rsidRPr="00AA7150">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AA7150" w:rsidRDefault="00E443D7" w:rsidP="00B04033">
      <w:pPr>
        <w:pStyle w:val="ListParagraph"/>
        <w:numPr>
          <w:ilvl w:val="0"/>
          <w:numId w:val="2"/>
        </w:numPr>
        <w:ind w:left="426"/>
        <w:jc w:val="both"/>
        <w:rPr>
          <w:rFonts w:ascii="Arial" w:hAnsi="Arial" w:cs="Arial"/>
          <w:sz w:val="22"/>
          <w:szCs w:val="22"/>
          <w:highlight w:val="yellow"/>
          <w:lang w:val="en-GB"/>
        </w:rPr>
      </w:pPr>
      <w:r w:rsidRPr="00AA7150">
        <w:rPr>
          <w:rFonts w:ascii="Arial" w:hAnsi="Arial" w:cs="Arial"/>
          <w:sz w:val="22"/>
          <w:szCs w:val="22"/>
          <w:highlight w:val="yellow"/>
          <w:lang w:val="en-GB"/>
        </w:rPr>
        <w:t>One year</w:t>
      </w:r>
      <w:r w:rsidR="00763348" w:rsidRPr="00AA7150">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57064D" w:rsidRDefault="00AE5B6F" w:rsidP="00B04033">
      <w:pPr>
        <w:pStyle w:val="ListParagraph"/>
        <w:numPr>
          <w:ilvl w:val="0"/>
          <w:numId w:val="3"/>
        </w:numPr>
        <w:ind w:left="426"/>
        <w:jc w:val="both"/>
        <w:rPr>
          <w:rFonts w:ascii="Arial" w:hAnsi="Arial" w:cs="Arial"/>
          <w:sz w:val="22"/>
          <w:szCs w:val="22"/>
          <w:highlight w:val="yellow"/>
          <w:lang w:val="en-GB"/>
        </w:rPr>
      </w:pPr>
      <w:r w:rsidRPr="0057064D">
        <w:rPr>
          <w:rFonts w:ascii="Arial" w:hAnsi="Arial" w:cs="Arial"/>
          <w:sz w:val="22"/>
          <w:szCs w:val="22"/>
          <w:highlight w:val="yellow"/>
          <w:lang w:val="en-GB"/>
        </w:rPr>
        <w:t>T</w:t>
      </w:r>
      <w:r w:rsidR="008D1616" w:rsidRPr="0057064D">
        <w:rPr>
          <w:rFonts w:ascii="Arial" w:hAnsi="Arial" w:cs="Arial"/>
          <w:sz w:val="22"/>
          <w:szCs w:val="22"/>
          <w:highlight w:val="yellow"/>
          <w:lang w:val="en-GB"/>
        </w:rPr>
        <w:t>he company is, or is likely to become, unable to pay their debts, as defined under s</w:t>
      </w:r>
      <w:r w:rsidR="00E833F4" w:rsidRPr="0057064D">
        <w:rPr>
          <w:rFonts w:ascii="Arial" w:hAnsi="Arial" w:cs="Arial"/>
          <w:sz w:val="22"/>
          <w:szCs w:val="22"/>
          <w:highlight w:val="yellow"/>
          <w:lang w:val="en-GB"/>
        </w:rPr>
        <w:t>ection</w:t>
      </w:r>
      <w:r w:rsidR="008D1616" w:rsidRPr="0057064D">
        <w:rPr>
          <w:rFonts w:ascii="Arial" w:hAnsi="Arial" w:cs="Arial"/>
          <w:sz w:val="22"/>
          <w:szCs w:val="22"/>
          <w:highlight w:val="yellow"/>
          <w:lang w:val="en-GB"/>
        </w:rPr>
        <w:t xml:space="preserve"> 123 of the Insolvency Act 1986</w:t>
      </w:r>
      <w:r w:rsidR="00763348" w:rsidRPr="0057064D">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57064D" w:rsidRDefault="00C91062" w:rsidP="00B04033">
      <w:pPr>
        <w:pStyle w:val="ListParagraph"/>
        <w:numPr>
          <w:ilvl w:val="0"/>
          <w:numId w:val="4"/>
        </w:numPr>
        <w:ind w:left="426"/>
        <w:jc w:val="both"/>
        <w:rPr>
          <w:rFonts w:ascii="Arial" w:hAnsi="Arial" w:cs="Arial"/>
          <w:sz w:val="22"/>
          <w:szCs w:val="22"/>
          <w:highlight w:val="yellow"/>
          <w:lang w:val="en-GB"/>
        </w:rPr>
      </w:pPr>
      <w:r w:rsidRPr="0057064D">
        <w:rPr>
          <w:rFonts w:ascii="Arial" w:hAnsi="Arial" w:cs="Arial"/>
          <w:sz w:val="22"/>
          <w:szCs w:val="22"/>
          <w:highlight w:val="yellow"/>
          <w:lang w:val="en-GB"/>
        </w:rPr>
        <w:t>The purchaser</w:t>
      </w:r>
      <w:r w:rsidR="00763348" w:rsidRPr="0057064D">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57064D" w:rsidRDefault="00BA1CFD" w:rsidP="00B04033">
      <w:pPr>
        <w:pStyle w:val="ListParagraph"/>
        <w:numPr>
          <w:ilvl w:val="0"/>
          <w:numId w:val="5"/>
        </w:numPr>
        <w:ind w:left="426"/>
        <w:jc w:val="both"/>
        <w:rPr>
          <w:rFonts w:ascii="Arial" w:hAnsi="Arial" w:cs="Arial"/>
          <w:sz w:val="22"/>
          <w:szCs w:val="22"/>
          <w:highlight w:val="yellow"/>
          <w:lang w:val="en-GB"/>
        </w:rPr>
      </w:pPr>
      <w:r w:rsidRPr="0057064D">
        <w:rPr>
          <w:rFonts w:ascii="Arial" w:hAnsi="Arial" w:cs="Arial"/>
          <w:sz w:val="22"/>
          <w:szCs w:val="22"/>
          <w:highlight w:val="yellow"/>
          <w:lang w:val="en-GB"/>
        </w:rPr>
        <w:t>Administration</w:t>
      </w:r>
      <w:r w:rsidR="00763348" w:rsidRPr="0057064D">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57064D" w:rsidRDefault="00BA1CFD" w:rsidP="00B04033">
      <w:pPr>
        <w:pStyle w:val="ListParagraph"/>
        <w:numPr>
          <w:ilvl w:val="0"/>
          <w:numId w:val="6"/>
        </w:numPr>
        <w:ind w:left="426"/>
        <w:jc w:val="both"/>
        <w:rPr>
          <w:rFonts w:ascii="Arial" w:hAnsi="Arial" w:cs="Arial"/>
          <w:sz w:val="22"/>
          <w:szCs w:val="22"/>
          <w:highlight w:val="yellow"/>
          <w:lang w:val="en-GB"/>
        </w:rPr>
      </w:pPr>
      <w:r w:rsidRPr="0057064D">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57064D" w:rsidRDefault="00BA1CFD" w:rsidP="00B04033">
      <w:pPr>
        <w:pStyle w:val="ListParagraph"/>
        <w:numPr>
          <w:ilvl w:val="0"/>
          <w:numId w:val="7"/>
        </w:numPr>
        <w:ind w:left="426"/>
        <w:jc w:val="both"/>
        <w:rPr>
          <w:rFonts w:ascii="Arial" w:hAnsi="Arial" w:cs="Arial"/>
          <w:sz w:val="22"/>
          <w:szCs w:val="22"/>
          <w:highlight w:val="yellow"/>
          <w:lang w:val="en-GB"/>
        </w:rPr>
      </w:pPr>
      <w:r w:rsidRPr="0057064D">
        <w:rPr>
          <w:rFonts w:ascii="Arial" w:hAnsi="Arial" w:cs="Arial"/>
          <w:sz w:val="22"/>
          <w:szCs w:val="22"/>
          <w:highlight w:val="yellow"/>
          <w:lang w:val="en-GB"/>
        </w:rPr>
        <w:t>Wrongful trading</w:t>
      </w:r>
      <w:r w:rsidR="00763348" w:rsidRPr="0057064D">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57064D" w:rsidRDefault="00876F56" w:rsidP="00B04033">
      <w:pPr>
        <w:pStyle w:val="ListParagraph"/>
        <w:numPr>
          <w:ilvl w:val="0"/>
          <w:numId w:val="8"/>
        </w:numPr>
        <w:ind w:left="426"/>
        <w:jc w:val="both"/>
        <w:rPr>
          <w:rFonts w:ascii="Arial" w:hAnsi="Arial" w:cs="Arial"/>
          <w:sz w:val="22"/>
          <w:szCs w:val="22"/>
          <w:highlight w:val="yellow"/>
          <w:lang w:val="en-GB"/>
        </w:rPr>
      </w:pPr>
      <w:r w:rsidRPr="0057064D">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57064D" w:rsidRDefault="00E833F4" w:rsidP="00B04033">
      <w:pPr>
        <w:pStyle w:val="ListParagraph"/>
        <w:numPr>
          <w:ilvl w:val="0"/>
          <w:numId w:val="9"/>
        </w:numPr>
        <w:ind w:left="426"/>
        <w:jc w:val="both"/>
        <w:rPr>
          <w:rFonts w:ascii="Arial" w:hAnsi="Arial" w:cs="Arial"/>
          <w:sz w:val="22"/>
          <w:szCs w:val="22"/>
          <w:highlight w:val="yellow"/>
          <w:lang w:val="en-GB"/>
        </w:rPr>
      </w:pPr>
      <w:r w:rsidRPr="0057064D">
        <w:rPr>
          <w:rFonts w:ascii="Arial" w:hAnsi="Arial" w:cs="Arial"/>
          <w:sz w:val="22"/>
          <w:szCs w:val="22"/>
          <w:highlight w:val="yellow"/>
          <w:lang w:val="en-GB"/>
        </w:rPr>
        <w:t>A</w:t>
      </w:r>
      <w:r w:rsidR="000D10C6" w:rsidRPr="0057064D">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57064D" w:rsidRDefault="0020204E" w:rsidP="00B04033">
      <w:pPr>
        <w:pStyle w:val="ListParagraph"/>
        <w:numPr>
          <w:ilvl w:val="0"/>
          <w:numId w:val="10"/>
        </w:numPr>
        <w:ind w:left="426"/>
        <w:jc w:val="both"/>
        <w:rPr>
          <w:rFonts w:ascii="Arial" w:hAnsi="Arial" w:cs="Arial"/>
          <w:sz w:val="22"/>
          <w:szCs w:val="22"/>
          <w:highlight w:val="yellow"/>
          <w:lang w:val="en-GB"/>
        </w:rPr>
      </w:pPr>
      <w:r w:rsidRPr="0057064D">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4C5F1C0E" w14:textId="77777777" w:rsidR="0069089C" w:rsidRDefault="0069089C"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246ZB of the Insolvency Act now enables administrators to bring claims for wrongful trading against directors of insolvent companies. </w:t>
      </w:r>
    </w:p>
    <w:p w14:paraId="3A08A87A" w14:textId="77777777" w:rsidR="0069089C" w:rsidRDefault="0069089C" w:rsidP="006624AB">
      <w:pPr>
        <w:jc w:val="both"/>
        <w:rPr>
          <w:rFonts w:ascii="Arial" w:hAnsi="Arial" w:cs="Arial"/>
          <w:color w:val="7B7B7B" w:themeColor="accent3" w:themeShade="BF"/>
          <w:sz w:val="22"/>
          <w:szCs w:val="22"/>
          <w:lang w:val="en-GB"/>
        </w:rPr>
      </w:pPr>
    </w:p>
    <w:p w14:paraId="29E8EDFE" w14:textId="1DC62123" w:rsidR="00AC6175" w:rsidRDefault="0069089C"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6 of the Company Directors Disqualification Act enables a liquidator or the official receiver to bring an action for the disqualification of directors or former directors of insolvent companies. Where such action is taken against an unfit director</w:t>
      </w:r>
      <w:r w:rsidR="00AC6175">
        <w:rPr>
          <w:rFonts w:ascii="Arial" w:hAnsi="Arial" w:cs="Arial"/>
          <w:color w:val="7B7B7B" w:themeColor="accent3" w:themeShade="BF"/>
          <w:sz w:val="22"/>
          <w:szCs w:val="22"/>
          <w:lang w:val="en-GB"/>
        </w:rPr>
        <w:t xml:space="preserve">, the liquidator has a duty to report such persons to the Secretary of State, who then has a discretion whether to seek the disqualification of such person for a period of up to 15 years. </w:t>
      </w:r>
    </w:p>
    <w:p w14:paraId="3D553F23" w14:textId="77777777" w:rsidR="00AC6175" w:rsidRDefault="00AC6175" w:rsidP="006624AB">
      <w:pPr>
        <w:jc w:val="both"/>
        <w:rPr>
          <w:rFonts w:ascii="Arial" w:hAnsi="Arial" w:cs="Arial"/>
          <w:color w:val="7B7B7B" w:themeColor="accent3" w:themeShade="BF"/>
          <w:sz w:val="22"/>
          <w:szCs w:val="22"/>
          <w:lang w:val="en-GB"/>
        </w:rPr>
      </w:pPr>
    </w:p>
    <w:p w14:paraId="19EECBE0" w14:textId="77777777" w:rsidR="005A002C" w:rsidRDefault="00AC6175"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42</w:t>
      </w:r>
      <w:r w:rsidR="005A002C">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 xml:space="preserve"> of the Insolvency Act relates to transactions which </w:t>
      </w:r>
      <w:r w:rsidR="005A002C">
        <w:rPr>
          <w:rFonts w:ascii="Arial" w:hAnsi="Arial" w:cs="Arial"/>
          <w:color w:val="7B7B7B" w:themeColor="accent3" w:themeShade="BF"/>
          <w:sz w:val="22"/>
          <w:szCs w:val="22"/>
          <w:lang w:val="en-GB"/>
        </w:rPr>
        <w:t xml:space="preserve">are aimed at </w:t>
      </w:r>
      <w:r>
        <w:rPr>
          <w:rFonts w:ascii="Arial" w:hAnsi="Arial" w:cs="Arial"/>
          <w:color w:val="7B7B7B" w:themeColor="accent3" w:themeShade="BF"/>
          <w:sz w:val="22"/>
          <w:szCs w:val="22"/>
          <w:lang w:val="en-GB"/>
        </w:rPr>
        <w:t>defraud</w:t>
      </w:r>
      <w:r w:rsidR="005A002C">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creditors. Where such a transaction exists, the following categories of persons have standing to challenge the transactions in insolvency proceedings</w:t>
      </w:r>
      <w:r w:rsidR="005A002C">
        <w:rPr>
          <w:rFonts w:ascii="Arial" w:hAnsi="Arial" w:cs="Arial"/>
          <w:color w:val="7B7B7B" w:themeColor="accent3" w:themeShade="BF"/>
          <w:sz w:val="22"/>
          <w:szCs w:val="22"/>
          <w:lang w:val="en-GB"/>
        </w:rPr>
        <w:t xml:space="preserve">: </w:t>
      </w:r>
    </w:p>
    <w:p w14:paraId="795ED21C" w14:textId="77777777" w:rsidR="005A002C" w:rsidRDefault="005A002C" w:rsidP="006624AB">
      <w:pPr>
        <w:jc w:val="both"/>
        <w:rPr>
          <w:rFonts w:ascii="Arial" w:hAnsi="Arial" w:cs="Arial"/>
          <w:color w:val="7B7B7B" w:themeColor="accent3" w:themeShade="BF"/>
          <w:sz w:val="22"/>
          <w:szCs w:val="22"/>
          <w:lang w:val="en-GB"/>
        </w:rPr>
      </w:pPr>
    </w:p>
    <w:p w14:paraId="07F16EED" w14:textId="32DDB7D2" w:rsidR="005A002C" w:rsidRDefault="005A002C" w:rsidP="005A002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official receiver, the liquidator, the administrator and (with the leave of the court) any victim of the transaction, which could include a creditor – in circumstances where the company is being wound up or is in administration; </w:t>
      </w:r>
    </w:p>
    <w:p w14:paraId="389290A2" w14:textId="77777777" w:rsidR="005A002C" w:rsidRDefault="005A002C" w:rsidP="005A002C">
      <w:pPr>
        <w:pStyle w:val="ListParagraph"/>
        <w:jc w:val="both"/>
        <w:rPr>
          <w:rFonts w:ascii="Arial" w:hAnsi="Arial" w:cs="Arial"/>
          <w:color w:val="7B7B7B" w:themeColor="accent3" w:themeShade="BF"/>
          <w:sz w:val="22"/>
          <w:szCs w:val="22"/>
          <w:lang w:val="en-GB"/>
        </w:rPr>
      </w:pPr>
    </w:p>
    <w:p w14:paraId="4E02351A" w14:textId="77777777" w:rsidR="005A002C" w:rsidRDefault="005A002C" w:rsidP="005A002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supervisor of the CVA, if the victim of the fraud is governed by the CVA or any other victim of the fraud (whether that victim is bound by the CVI or not); and </w:t>
      </w:r>
    </w:p>
    <w:p w14:paraId="45BC1830" w14:textId="77777777" w:rsidR="005A002C" w:rsidRPr="005A002C" w:rsidRDefault="005A002C" w:rsidP="005A002C">
      <w:pPr>
        <w:pStyle w:val="ListParagraph"/>
        <w:rPr>
          <w:rFonts w:ascii="Arial" w:hAnsi="Arial" w:cs="Arial"/>
          <w:color w:val="7B7B7B" w:themeColor="accent3" w:themeShade="BF"/>
          <w:sz w:val="22"/>
          <w:szCs w:val="22"/>
          <w:lang w:val="en-GB"/>
        </w:rPr>
      </w:pPr>
    </w:p>
    <w:p w14:paraId="7061C9D6" w14:textId="58E10C2A" w:rsidR="00AE5B6F" w:rsidRPr="005A002C" w:rsidRDefault="005A002C" w:rsidP="005A002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victim of a fraud that does not fit into any of the categories at (a) or (b) above.</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5BB158E6" w14:textId="77777777" w:rsidR="00EB4F1E" w:rsidRDefault="00EB4F1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five qualifying procedures by which creditors may make decisions in the context of an insolvent company are: </w:t>
      </w:r>
    </w:p>
    <w:p w14:paraId="1959CD65" w14:textId="77777777" w:rsidR="00EB4F1E" w:rsidRDefault="00EB4F1E" w:rsidP="00FF5098">
      <w:pPr>
        <w:jc w:val="both"/>
        <w:rPr>
          <w:rFonts w:ascii="Arial" w:hAnsi="Arial" w:cs="Arial"/>
          <w:color w:val="7B7B7B" w:themeColor="accent3" w:themeShade="BF"/>
          <w:sz w:val="22"/>
          <w:szCs w:val="22"/>
          <w:lang w:val="en-GB"/>
        </w:rPr>
      </w:pPr>
    </w:p>
    <w:p w14:paraId="6F733F5B" w14:textId="77777777" w:rsidR="00EB4F1E" w:rsidRDefault="00EB4F1E" w:rsidP="00EB4F1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receivership; </w:t>
      </w:r>
    </w:p>
    <w:p w14:paraId="4FC6231B" w14:textId="77777777" w:rsidR="00EB4F1E" w:rsidRDefault="00EB4F1E" w:rsidP="00EB4F1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administration; </w:t>
      </w:r>
    </w:p>
    <w:p w14:paraId="2BDE7AEF" w14:textId="69C7BA58" w:rsidR="00EB4F1E" w:rsidRDefault="00EB4F1E" w:rsidP="00EB4F1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moratorium; </w:t>
      </w:r>
    </w:p>
    <w:p w14:paraId="4973FAD9" w14:textId="77777777" w:rsidR="00EB4F1E" w:rsidRDefault="00EB4F1E" w:rsidP="00EB4F1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CVA (Company Voluntary Arrangement); and </w:t>
      </w:r>
    </w:p>
    <w:p w14:paraId="2069F84B" w14:textId="77777777" w:rsidR="00EB4F1E" w:rsidRDefault="00EB4F1E" w:rsidP="00EB4F1E">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Scheme of Arrangement under Part 26 of the Companies Act 2006.</w:t>
      </w:r>
    </w:p>
    <w:p w14:paraId="63E2F86F" w14:textId="77777777" w:rsidR="00EB4F1E" w:rsidRDefault="00EB4F1E" w:rsidP="00EB4F1E">
      <w:pPr>
        <w:jc w:val="both"/>
        <w:rPr>
          <w:rFonts w:ascii="Arial" w:hAnsi="Arial" w:cs="Arial"/>
          <w:color w:val="7B7B7B" w:themeColor="accent3" w:themeShade="BF"/>
          <w:sz w:val="22"/>
          <w:szCs w:val="22"/>
          <w:lang w:val="en-GB"/>
        </w:rPr>
      </w:pPr>
    </w:p>
    <w:p w14:paraId="099CDBDE" w14:textId="0CDE0D49" w:rsidR="00EB4F1E" w:rsidRDefault="00EB4F1E" w:rsidP="00EB4F1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creditor holds a fixed charge and the debtor defaults, that creditor can appoint a receiver over the assets of the debtor that are subject to the fixed charge. Although it may still be technically possible to appoint an administrative receiver over a floating charge, such appointments are only available where the charge was executed before 15 September 2003.</w:t>
      </w:r>
    </w:p>
    <w:p w14:paraId="0DE7173B" w14:textId="77777777" w:rsidR="00EB4F1E" w:rsidRDefault="00EB4F1E" w:rsidP="00EB4F1E">
      <w:pPr>
        <w:jc w:val="both"/>
        <w:rPr>
          <w:rFonts w:ascii="Arial" w:hAnsi="Arial" w:cs="Arial"/>
          <w:color w:val="7B7B7B" w:themeColor="accent3" w:themeShade="BF"/>
          <w:sz w:val="22"/>
          <w:szCs w:val="22"/>
          <w:lang w:val="en-GB"/>
        </w:rPr>
      </w:pPr>
    </w:p>
    <w:p w14:paraId="51E597AE" w14:textId="3DF289F5" w:rsidR="009B17A5" w:rsidRDefault="009B17A5" w:rsidP="00EB4F1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Administration has now effectively replaced administrative receivership and is aimed at securing a better result for creditors than a liquidation could. This may be the rescue of the company or the realisation of assets of the company which result in delaying/avoiding liquidation. Here, 50% in value of unsecured creditors must approve the pla</w:t>
      </w:r>
      <w:r w:rsidR="00CE72E3">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of the Administrator. </w:t>
      </w:r>
    </w:p>
    <w:p w14:paraId="1CA3638F" w14:textId="77777777" w:rsidR="00CE72E3" w:rsidRDefault="00CE72E3" w:rsidP="00EB4F1E">
      <w:pPr>
        <w:jc w:val="both"/>
        <w:rPr>
          <w:rFonts w:ascii="Arial" w:hAnsi="Arial" w:cs="Arial"/>
          <w:color w:val="7B7B7B" w:themeColor="accent3" w:themeShade="BF"/>
          <w:sz w:val="22"/>
          <w:szCs w:val="22"/>
          <w:lang w:val="en-GB"/>
        </w:rPr>
      </w:pPr>
    </w:p>
    <w:p w14:paraId="4D75D7CB" w14:textId="7587FFF2" w:rsidR="00CE72E3" w:rsidRDefault="00F87A54" w:rsidP="00EB4F1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m</w:t>
      </w:r>
      <w:r w:rsidR="00CE72E3">
        <w:rPr>
          <w:rFonts w:ascii="Arial" w:hAnsi="Arial" w:cs="Arial"/>
          <w:color w:val="7B7B7B" w:themeColor="accent3" w:themeShade="BF"/>
          <w:sz w:val="22"/>
          <w:szCs w:val="22"/>
          <w:lang w:val="en-GB"/>
        </w:rPr>
        <w:t>oratorium</w:t>
      </w:r>
      <w:r>
        <w:rPr>
          <w:rFonts w:ascii="Arial" w:hAnsi="Arial" w:cs="Arial"/>
          <w:color w:val="7B7B7B" w:themeColor="accent3" w:themeShade="BF"/>
          <w:sz w:val="22"/>
          <w:szCs w:val="22"/>
          <w:lang w:val="en-GB"/>
        </w:rPr>
        <w:t xml:space="preserve"> is a debtor-in-possession procedure whereby management </w:t>
      </w:r>
      <w:r w:rsidR="00FF3E56">
        <w:rPr>
          <w:rFonts w:ascii="Arial" w:hAnsi="Arial" w:cs="Arial"/>
          <w:color w:val="7B7B7B" w:themeColor="accent3" w:themeShade="BF"/>
          <w:sz w:val="22"/>
          <w:szCs w:val="22"/>
          <w:lang w:val="en-GB"/>
        </w:rPr>
        <w:t xml:space="preserve">(i.e. the directors) </w:t>
      </w:r>
      <w:r>
        <w:rPr>
          <w:rFonts w:ascii="Arial" w:hAnsi="Arial" w:cs="Arial"/>
          <w:color w:val="7B7B7B" w:themeColor="accent3" w:themeShade="BF"/>
          <w:sz w:val="22"/>
          <w:szCs w:val="22"/>
          <w:lang w:val="en-GB"/>
        </w:rPr>
        <w:t xml:space="preserve">continue in control of the company subject to the supervision of a monitor. It is a standalone procedure and its main aim is to rescue the company as a going concern. </w:t>
      </w:r>
      <w:r w:rsidR="00CE72E3">
        <w:rPr>
          <w:rFonts w:ascii="Arial" w:hAnsi="Arial" w:cs="Arial"/>
          <w:color w:val="7B7B7B" w:themeColor="accent3" w:themeShade="BF"/>
          <w:sz w:val="22"/>
          <w:szCs w:val="22"/>
          <w:lang w:val="en-GB"/>
        </w:rPr>
        <w:t xml:space="preserve"> </w:t>
      </w:r>
    </w:p>
    <w:p w14:paraId="2381E7D3" w14:textId="77777777" w:rsidR="00CE72E3" w:rsidRDefault="00CE72E3" w:rsidP="00EB4F1E">
      <w:pPr>
        <w:jc w:val="both"/>
        <w:rPr>
          <w:rFonts w:ascii="Arial" w:hAnsi="Arial" w:cs="Arial"/>
          <w:color w:val="7B7B7B" w:themeColor="accent3" w:themeShade="BF"/>
          <w:sz w:val="22"/>
          <w:szCs w:val="22"/>
          <w:lang w:val="en-GB"/>
        </w:rPr>
      </w:pPr>
    </w:p>
    <w:p w14:paraId="5FE98B96" w14:textId="0A7FF95E" w:rsidR="00CE72E3" w:rsidRDefault="00CE72E3" w:rsidP="00EB4F1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CVA enables a company to put forward a proposal to its creditors which typically requires an extension on time to satisfy debts or a reduction on the debt amount. 75% in value of all unsecured creditors will be required to bind all unsecured creditors. Secured creditors will only be bound if they agree to the CVA proposal. </w:t>
      </w:r>
    </w:p>
    <w:p w14:paraId="27891CCE" w14:textId="77777777" w:rsidR="00CE72E3" w:rsidRDefault="00CE72E3" w:rsidP="00EB4F1E">
      <w:pPr>
        <w:jc w:val="both"/>
        <w:rPr>
          <w:rFonts w:ascii="Arial" w:hAnsi="Arial" w:cs="Arial"/>
          <w:color w:val="7B7B7B" w:themeColor="accent3" w:themeShade="BF"/>
          <w:sz w:val="22"/>
          <w:szCs w:val="22"/>
          <w:lang w:val="en-GB"/>
        </w:rPr>
      </w:pPr>
    </w:p>
    <w:p w14:paraId="4E1236F0" w14:textId="2AEF4D72" w:rsidR="00FF5098" w:rsidRPr="00EB4F1E" w:rsidRDefault="00CE72E3" w:rsidP="00EB4F1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Scheme of Arrangement, like a CVA, is a debtor-in-possession option. This procedure is governed by Part 26 of the Companies Act 2006. This procedure will only be successful where there is consent by each category of creditors participating in the scheme.</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36B7F868" w14:textId="77777777" w:rsidR="00C6063F" w:rsidRDefault="00C6063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an administrator who wishes to continue to operate the business of the company in administration may require suppliers of goods and services to continue to supply those goods and services during administration. </w:t>
      </w:r>
    </w:p>
    <w:p w14:paraId="79693F60" w14:textId="77777777" w:rsidR="00C6063F" w:rsidRDefault="00C6063F" w:rsidP="00FF5098">
      <w:pPr>
        <w:jc w:val="both"/>
        <w:rPr>
          <w:rFonts w:ascii="Arial" w:hAnsi="Arial" w:cs="Arial"/>
          <w:color w:val="7B7B7B" w:themeColor="accent3" w:themeShade="BF"/>
          <w:sz w:val="22"/>
          <w:szCs w:val="22"/>
          <w:lang w:val="en-GB"/>
        </w:rPr>
      </w:pPr>
    </w:p>
    <w:p w14:paraId="52620BA5" w14:textId="77777777" w:rsidR="00F84A2C" w:rsidRDefault="00C6063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appointment of an administrator over a company does not mean that a supplier of goods and services can automatically terminate its contract to supply such goods and services to the company. Section 233 of the </w:t>
      </w:r>
      <w:r w:rsidR="00F84A2C">
        <w:rPr>
          <w:rFonts w:ascii="Arial" w:hAnsi="Arial" w:cs="Arial"/>
          <w:color w:val="7B7B7B" w:themeColor="accent3" w:themeShade="BF"/>
          <w:sz w:val="22"/>
          <w:szCs w:val="22"/>
          <w:lang w:val="en-GB"/>
        </w:rPr>
        <w:t xml:space="preserve">Corporate Insolvency and Governance Act 2020 offers some protection to companies over which an administrator has been appointed. Pursuant to that Act, suppliers are not able to require the payment of arrears in order that the company can secure a new contract for the supply of goods and services. The supplier however can require a personal guarantee for payment of charges by an administrator in respect of the supply of goods and services. </w:t>
      </w:r>
    </w:p>
    <w:p w14:paraId="54ADF272" w14:textId="77777777" w:rsidR="00F84A2C" w:rsidRDefault="00F84A2C" w:rsidP="00FF5098">
      <w:pPr>
        <w:jc w:val="both"/>
        <w:rPr>
          <w:rFonts w:ascii="Arial" w:hAnsi="Arial" w:cs="Arial"/>
          <w:color w:val="7B7B7B" w:themeColor="accent3" w:themeShade="BF"/>
          <w:sz w:val="22"/>
          <w:szCs w:val="22"/>
          <w:lang w:val="en-GB"/>
        </w:rPr>
      </w:pPr>
    </w:p>
    <w:p w14:paraId="59287EB7" w14:textId="77777777" w:rsidR="000638AF" w:rsidRDefault="00F84A2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Suppliers are also prohibited from including in their contracts for the supply of goods and services, clauses which provide for the termination by the supplier of a contract for the supply of goods and services to a company that enters into a formal insolvency procedure</w:t>
      </w:r>
      <w:r w:rsidR="000638AF">
        <w:rPr>
          <w:rFonts w:ascii="Arial" w:hAnsi="Arial" w:cs="Arial"/>
          <w:color w:val="7B7B7B" w:themeColor="accent3" w:themeShade="BF"/>
          <w:sz w:val="22"/>
          <w:szCs w:val="22"/>
          <w:lang w:val="en-GB"/>
        </w:rPr>
        <w:t xml:space="preserve">. </w:t>
      </w:r>
    </w:p>
    <w:p w14:paraId="5AC17987" w14:textId="77777777" w:rsidR="000638AF" w:rsidRDefault="000638AF" w:rsidP="00FF5098">
      <w:pPr>
        <w:jc w:val="both"/>
        <w:rPr>
          <w:rFonts w:ascii="Arial" w:hAnsi="Arial" w:cs="Arial"/>
          <w:color w:val="7B7B7B" w:themeColor="accent3" w:themeShade="BF"/>
          <w:sz w:val="22"/>
          <w:szCs w:val="22"/>
          <w:lang w:val="en-GB"/>
        </w:rPr>
      </w:pPr>
    </w:p>
    <w:p w14:paraId="17F2E837" w14:textId="2B50AF88" w:rsidR="00FF5098" w:rsidRPr="00FF5098" w:rsidRDefault="000638A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 supplier considers that to continue supplying goods and services to a company in administration will cause that supplier to suffer some hardship, that supplier may seek the consent of the administrator to be released from its contractual obligations or the approval of the court for such release. Otherwise, the administrator may insist on the continued provision of goods and services by a supplier. </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706C2AF0" w14:textId="77777777" w:rsidR="00CE5920" w:rsidRDefault="00CE592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order of priority of payments in a liquidation is as follows: </w:t>
      </w:r>
    </w:p>
    <w:p w14:paraId="376D186B" w14:textId="77777777" w:rsidR="00CE5920" w:rsidRDefault="00CE5920" w:rsidP="00FF5098">
      <w:pPr>
        <w:jc w:val="both"/>
        <w:rPr>
          <w:rFonts w:ascii="Arial" w:hAnsi="Arial" w:cs="Arial"/>
          <w:color w:val="7B7B7B" w:themeColor="accent3" w:themeShade="BF"/>
          <w:sz w:val="22"/>
          <w:szCs w:val="22"/>
          <w:lang w:val="en-GB"/>
        </w:rPr>
      </w:pPr>
    </w:p>
    <w:p w14:paraId="1E272DDF" w14:textId="19417AEB" w:rsidR="00CE5920" w:rsidRDefault="00CE5920" w:rsidP="00CE5920">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expenses of winding up, including the remuneration of the liquidator; </w:t>
      </w:r>
    </w:p>
    <w:p w14:paraId="264CC62B" w14:textId="77777777" w:rsidR="00CE5920" w:rsidRDefault="00CE5920" w:rsidP="00CE5920">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preferential creditors; </w:t>
      </w:r>
    </w:p>
    <w:p w14:paraId="3C4C33D4" w14:textId="77777777" w:rsidR="00CE5920" w:rsidRDefault="00CE5920" w:rsidP="00CE5920">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floating charge holders; </w:t>
      </w:r>
    </w:p>
    <w:p w14:paraId="5CD2FE7F" w14:textId="77777777" w:rsidR="00CE5920" w:rsidRDefault="00CE5920" w:rsidP="00CE5920">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unsecured creditors; and </w:t>
      </w:r>
    </w:p>
    <w:p w14:paraId="34F53BB8" w14:textId="77777777" w:rsidR="00CE5920" w:rsidRDefault="00CE5920" w:rsidP="00CE5920">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shareholders</w:t>
      </w:r>
    </w:p>
    <w:p w14:paraId="1AABABC8" w14:textId="77777777" w:rsidR="00CE5920" w:rsidRDefault="00CE5920" w:rsidP="00CE5920">
      <w:pPr>
        <w:pStyle w:val="ListParagraph"/>
        <w:jc w:val="both"/>
        <w:rPr>
          <w:rFonts w:ascii="Arial" w:hAnsi="Arial" w:cs="Arial"/>
          <w:color w:val="7B7B7B" w:themeColor="accent3" w:themeShade="BF"/>
          <w:sz w:val="22"/>
          <w:szCs w:val="22"/>
          <w:lang w:val="en-GB"/>
        </w:rPr>
      </w:pPr>
    </w:p>
    <w:p w14:paraId="0837E77B" w14:textId="77777777" w:rsidR="00A55B12" w:rsidRDefault="003413FA" w:rsidP="00CE59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liquidation, satisfaction of the expenses of the liquidation are the first payments out of the insolvent company’s assets. </w:t>
      </w:r>
      <w:r w:rsidR="00A55B12">
        <w:rPr>
          <w:rFonts w:ascii="Arial" w:hAnsi="Arial" w:cs="Arial"/>
          <w:color w:val="7B7B7B" w:themeColor="accent3" w:themeShade="BF"/>
          <w:sz w:val="22"/>
          <w:szCs w:val="22"/>
          <w:lang w:val="en-GB"/>
        </w:rPr>
        <w:t xml:space="preserve">These expenses include: </w:t>
      </w:r>
    </w:p>
    <w:p w14:paraId="2523037C" w14:textId="77777777" w:rsidR="00A55B12" w:rsidRDefault="00A55B12" w:rsidP="00CE5920">
      <w:pPr>
        <w:jc w:val="both"/>
        <w:rPr>
          <w:rFonts w:ascii="Arial" w:hAnsi="Arial" w:cs="Arial"/>
          <w:color w:val="7B7B7B" w:themeColor="accent3" w:themeShade="BF"/>
          <w:sz w:val="22"/>
          <w:szCs w:val="22"/>
          <w:lang w:val="en-GB"/>
        </w:rPr>
      </w:pPr>
    </w:p>
    <w:p w14:paraId="6E229941" w14:textId="77777777" w:rsidR="00A55B12" w:rsidRDefault="00A55B12" w:rsidP="00A55B12">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all expenses properly incurred by the liquidator in preserving, realising or getting in any of the assets of the company (including legal proceedings); </w:t>
      </w:r>
    </w:p>
    <w:p w14:paraId="2FFEFCDF" w14:textId="57AB1880" w:rsidR="00A55B12" w:rsidRDefault="00A55B12" w:rsidP="00A55B12">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cost of any security provided by the liquidator; and </w:t>
      </w:r>
    </w:p>
    <w:p w14:paraId="59D7D2C5" w14:textId="67E18548" w:rsidR="00A55B12" w:rsidRDefault="00A55B12" w:rsidP="00A55B12">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all expenses properly chargeable by the liquidator in carrying out the functions in the winding up. </w:t>
      </w:r>
    </w:p>
    <w:p w14:paraId="0D3EEF44" w14:textId="77777777" w:rsidR="003413FA" w:rsidRDefault="003413FA" w:rsidP="00CE5920">
      <w:pPr>
        <w:jc w:val="both"/>
        <w:rPr>
          <w:rFonts w:ascii="Arial" w:hAnsi="Arial" w:cs="Arial"/>
          <w:color w:val="7B7B7B" w:themeColor="accent3" w:themeShade="BF"/>
          <w:sz w:val="22"/>
          <w:szCs w:val="22"/>
          <w:lang w:val="en-GB"/>
        </w:rPr>
      </w:pPr>
    </w:p>
    <w:p w14:paraId="7FEE0A2E" w14:textId="73B4B416" w:rsidR="00920F4F" w:rsidRDefault="00920F4F" w:rsidP="00CE59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Preferential debts may be either primary or secondary. Preferential debts in the primary category are paid in priority to the debts in the secondary category and they rank equally amongst themselves in each category. </w:t>
      </w:r>
    </w:p>
    <w:p w14:paraId="259E0208" w14:textId="39C0A541" w:rsidR="00920F4F" w:rsidRDefault="00920F4F" w:rsidP="00CE5920">
      <w:pPr>
        <w:jc w:val="both"/>
        <w:rPr>
          <w:rFonts w:ascii="Arial" w:hAnsi="Arial" w:cs="Arial"/>
          <w:color w:val="7B7B7B" w:themeColor="accent3" w:themeShade="BF"/>
          <w:sz w:val="22"/>
          <w:szCs w:val="22"/>
          <w:lang w:val="en-GB"/>
        </w:rPr>
      </w:pPr>
    </w:p>
    <w:p w14:paraId="2E9078DE" w14:textId="2643EEAF" w:rsidR="00920F4F" w:rsidRDefault="00920F4F" w:rsidP="00CE59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Schedule 6 of the Insolvency Act provides for preferential debts </w:t>
      </w:r>
      <w:r w:rsidR="003413FA">
        <w:rPr>
          <w:rFonts w:ascii="Arial" w:hAnsi="Arial" w:cs="Arial"/>
          <w:color w:val="7B7B7B" w:themeColor="accent3" w:themeShade="BF"/>
          <w:sz w:val="22"/>
          <w:szCs w:val="22"/>
          <w:lang w:val="en-GB"/>
        </w:rPr>
        <w:t xml:space="preserve">which include the </w:t>
      </w:r>
      <w:r>
        <w:rPr>
          <w:rFonts w:ascii="Arial" w:hAnsi="Arial" w:cs="Arial"/>
          <w:color w:val="7B7B7B" w:themeColor="accent3" w:themeShade="BF"/>
          <w:sz w:val="22"/>
          <w:szCs w:val="22"/>
          <w:lang w:val="en-GB"/>
        </w:rPr>
        <w:t>follow</w:t>
      </w:r>
      <w:r w:rsidR="003413FA">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w:t>
      </w:r>
    </w:p>
    <w:p w14:paraId="1CB24F18" w14:textId="7F911478" w:rsidR="00920F4F" w:rsidRDefault="00920F4F" w:rsidP="00CE5920">
      <w:pPr>
        <w:jc w:val="both"/>
        <w:rPr>
          <w:rFonts w:ascii="Arial" w:hAnsi="Arial" w:cs="Arial"/>
          <w:color w:val="7B7B7B" w:themeColor="accent3" w:themeShade="BF"/>
          <w:sz w:val="22"/>
          <w:szCs w:val="22"/>
          <w:lang w:val="en-GB"/>
        </w:rPr>
      </w:pPr>
    </w:p>
    <w:p w14:paraId="7BCB4E1B" w14:textId="131956AC" w:rsidR="00920F4F" w:rsidRDefault="00920F4F" w:rsidP="00CE5920">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 xml:space="preserve">Primary </w:t>
      </w:r>
    </w:p>
    <w:p w14:paraId="4E1EC705" w14:textId="6EDDCD35" w:rsidR="00920F4F" w:rsidRPr="00920F4F" w:rsidRDefault="00920F4F" w:rsidP="00920F4F">
      <w:pPr>
        <w:pStyle w:val="ListParagraph"/>
        <w:numPr>
          <w:ilvl w:val="0"/>
          <w:numId w:val="21"/>
        </w:numPr>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 xml:space="preserve">any sum owed on account on an employee’s contribution to an occupational pension scheme – this is defined as contributions taken from an employee’s salary in the 4 months preceding the commencement of the company’s liquidation; </w:t>
      </w:r>
    </w:p>
    <w:p w14:paraId="4E1651F4" w14:textId="4B50121C" w:rsidR="00920F4F" w:rsidRPr="00C72B27" w:rsidRDefault="00C72B27" w:rsidP="00920F4F">
      <w:pPr>
        <w:pStyle w:val="ListParagraph"/>
        <w:numPr>
          <w:ilvl w:val="0"/>
          <w:numId w:val="21"/>
        </w:numPr>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any sum owed on account on an employee’s contribution to an occupational pension scheme</w:t>
      </w:r>
      <w:r>
        <w:rPr>
          <w:rFonts w:ascii="Arial" w:hAnsi="Arial" w:cs="Arial"/>
          <w:color w:val="7B7B7B" w:themeColor="accent3" w:themeShade="BF"/>
          <w:sz w:val="22"/>
          <w:szCs w:val="22"/>
          <w:lang w:val="en-GB"/>
        </w:rPr>
        <w:t xml:space="preserve"> in the period of 12 months before the relevant date; </w:t>
      </w:r>
    </w:p>
    <w:p w14:paraId="59D3A2BF" w14:textId="4842ABA7" w:rsidR="00C72B27" w:rsidRPr="00C72B27" w:rsidRDefault="00C72B27" w:rsidP="00920F4F">
      <w:pPr>
        <w:pStyle w:val="ListParagraph"/>
        <w:numPr>
          <w:ilvl w:val="0"/>
          <w:numId w:val="21"/>
        </w:numPr>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remuneration owed to a current or past employee for the whole or part of the period 4 months prior to liquidation, up to a maximum of £800</w:t>
      </w:r>
    </w:p>
    <w:p w14:paraId="40BFFAF0" w14:textId="655F591D" w:rsidR="00C72B27" w:rsidRPr="00C72B27" w:rsidRDefault="00C72B27" w:rsidP="00920F4F">
      <w:pPr>
        <w:pStyle w:val="ListParagraph"/>
        <w:numPr>
          <w:ilvl w:val="0"/>
          <w:numId w:val="21"/>
        </w:numPr>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any sum owed to an employee as a result of accrued holiday pay</w:t>
      </w:r>
    </w:p>
    <w:p w14:paraId="15EA8A74" w14:textId="77777777" w:rsidR="00C72B27" w:rsidRPr="00920F4F" w:rsidRDefault="00C72B27" w:rsidP="003413FA">
      <w:pPr>
        <w:pStyle w:val="ListParagraph"/>
        <w:jc w:val="both"/>
        <w:rPr>
          <w:rFonts w:ascii="Arial" w:hAnsi="Arial" w:cs="Arial"/>
          <w:i/>
          <w:iCs/>
          <w:color w:val="7B7B7B" w:themeColor="accent3" w:themeShade="BF"/>
          <w:sz w:val="22"/>
          <w:szCs w:val="22"/>
          <w:lang w:val="en-GB"/>
        </w:rPr>
      </w:pPr>
    </w:p>
    <w:p w14:paraId="7D96BF0B" w14:textId="641F8F7A" w:rsidR="00920F4F" w:rsidRPr="00920F4F" w:rsidRDefault="00920F4F" w:rsidP="00CE5920">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 xml:space="preserve">Secondary </w:t>
      </w:r>
    </w:p>
    <w:p w14:paraId="09AF1A96" w14:textId="1652A096" w:rsidR="00920F4F" w:rsidRDefault="003413FA" w:rsidP="003413FA">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PAYE income tax deductions; </w:t>
      </w:r>
    </w:p>
    <w:p w14:paraId="7AE76232" w14:textId="020DB2A5" w:rsidR="003413FA" w:rsidRDefault="003413FA" w:rsidP="003413FA">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National insurance deductions; </w:t>
      </w:r>
    </w:p>
    <w:p w14:paraId="628B05F5" w14:textId="4058A152" w:rsidR="003413FA" w:rsidRDefault="003413FA" w:rsidP="003413FA">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VAT payments; and </w:t>
      </w:r>
    </w:p>
    <w:p w14:paraId="23318C53" w14:textId="434B78CA" w:rsidR="003413FA" w:rsidRDefault="003413FA" w:rsidP="003413FA">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Student loan repayments. </w:t>
      </w:r>
    </w:p>
    <w:p w14:paraId="4165A697" w14:textId="77777777" w:rsidR="003413FA" w:rsidRPr="003413FA" w:rsidRDefault="003413FA" w:rsidP="003413FA">
      <w:pPr>
        <w:pStyle w:val="ListParagraph"/>
        <w:jc w:val="both"/>
        <w:rPr>
          <w:rFonts w:ascii="Arial" w:hAnsi="Arial" w:cs="Arial"/>
          <w:color w:val="7B7B7B" w:themeColor="accent3" w:themeShade="BF"/>
          <w:sz w:val="22"/>
          <w:szCs w:val="22"/>
          <w:lang w:val="en-GB"/>
        </w:rPr>
      </w:pPr>
    </w:p>
    <w:p w14:paraId="4AA0B236" w14:textId="7FFF4B05" w:rsidR="00FB115D" w:rsidRDefault="0049395D" w:rsidP="00CE59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Floating charge holders rank third in priority in a liquidation</w:t>
      </w:r>
      <w:r w:rsidR="008C75D2">
        <w:rPr>
          <w:rFonts w:ascii="Arial" w:hAnsi="Arial" w:cs="Arial"/>
          <w:color w:val="7B7B7B" w:themeColor="accent3" w:themeShade="BF"/>
          <w:sz w:val="22"/>
          <w:szCs w:val="22"/>
          <w:lang w:val="en-GB"/>
        </w:rPr>
        <w:t xml:space="preserve">. If there is more than one floating charge holder, the holder of the security which is first in time will rank ahead of the creditor who’s floating charge was later created. </w:t>
      </w:r>
      <w:r w:rsidR="00FB115D">
        <w:rPr>
          <w:rFonts w:ascii="Arial" w:hAnsi="Arial" w:cs="Arial"/>
          <w:color w:val="7B7B7B" w:themeColor="accent3" w:themeShade="BF"/>
          <w:sz w:val="22"/>
          <w:szCs w:val="22"/>
          <w:lang w:val="en-GB"/>
        </w:rPr>
        <w:t xml:space="preserve">Furthermore, because floating charge holders rank lower in priority to preferential creditors and are paid after the expenses of the liquidation, the money available to satisfy a floating charge holder will be that money which remains after the payment out to preferential creditors and the expenses of the liquidation. Once that calculation is determined, the office holder is then required to confirm which portion of the company’s net assets are available for the satisfaction of unsecured creditors – this is referred to as a “prescribed part”. No portion of the “prescribed part” may be utilised to pay a floating charge holder, save in circumstances where the “prescribed part” exceeds what is required to pay unsecured creditors in full. </w:t>
      </w:r>
    </w:p>
    <w:p w14:paraId="175D85F2" w14:textId="77777777" w:rsidR="00FB115D" w:rsidRDefault="00FB115D" w:rsidP="00CE5920">
      <w:pPr>
        <w:jc w:val="both"/>
        <w:rPr>
          <w:rFonts w:ascii="Arial" w:hAnsi="Arial" w:cs="Arial"/>
          <w:color w:val="7B7B7B" w:themeColor="accent3" w:themeShade="BF"/>
          <w:sz w:val="22"/>
          <w:szCs w:val="22"/>
          <w:lang w:val="en-GB"/>
        </w:rPr>
      </w:pPr>
    </w:p>
    <w:p w14:paraId="5F07C067" w14:textId="11A9B08C" w:rsidR="0049395D" w:rsidRDefault="003F06EC" w:rsidP="00CE59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 “prescribed minimum” used to determine the “prescribed part”. That minimum is £10,000. Where this minimum threshold is not met, the office holder has a discretion to determine whether the distribution of the prescribed part should apply. In this circumstance where the value of the company’s net property does not exceed £10,000, then the prescribed part is 50%. Where the minimum threshold is met, the prescribed part is 50% of the first £10,000 plus 20% of the excess in value up to a maximum of £800,000.</w:t>
      </w:r>
      <w:r w:rsidR="0049395D">
        <w:rPr>
          <w:rFonts w:ascii="Arial" w:hAnsi="Arial" w:cs="Arial"/>
          <w:color w:val="7B7B7B" w:themeColor="accent3" w:themeShade="BF"/>
          <w:sz w:val="22"/>
          <w:szCs w:val="22"/>
          <w:lang w:val="en-GB"/>
        </w:rPr>
        <w:t xml:space="preserve"> </w:t>
      </w:r>
    </w:p>
    <w:p w14:paraId="3C98DFB1" w14:textId="77777777" w:rsidR="0049395D" w:rsidRDefault="0049395D" w:rsidP="00CE5920">
      <w:pPr>
        <w:jc w:val="both"/>
        <w:rPr>
          <w:rFonts w:ascii="Arial" w:hAnsi="Arial" w:cs="Arial"/>
          <w:color w:val="7B7B7B" w:themeColor="accent3" w:themeShade="BF"/>
          <w:sz w:val="22"/>
          <w:szCs w:val="22"/>
          <w:lang w:val="en-GB"/>
        </w:rPr>
      </w:pPr>
    </w:p>
    <w:p w14:paraId="082F0A6C" w14:textId="1A30D929" w:rsidR="00CE5920" w:rsidRDefault="00CE5920" w:rsidP="00CE59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Unsecured creditors are paid after the expenses of the liquidation</w:t>
      </w:r>
      <w:r w:rsidR="0049395D">
        <w:rPr>
          <w:rFonts w:ascii="Arial" w:hAnsi="Arial" w:cs="Arial"/>
          <w:color w:val="7B7B7B" w:themeColor="accent3" w:themeShade="BF"/>
          <w:sz w:val="22"/>
          <w:szCs w:val="22"/>
          <w:lang w:val="en-GB"/>
        </w:rPr>
        <w:t xml:space="preserve">, the payment of preferential creditors and floating charge holders. There is usually very little to satisfy the claims of this category of creditors and they are paid </w:t>
      </w:r>
      <w:r w:rsidR="0049395D" w:rsidRPr="0049395D">
        <w:rPr>
          <w:rFonts w:ascii="Arial" w:hAnsi="Arial" w:cs="Arial"/>
          <w:i/>
          <w:iCs/>
          <w:color w:val="7B7B7B" w:themeColor="accent3" w:themeShade="BF"/>
          <w:sz w:val="22"/>
          <w:szCs w:val="22"/>
          <w:lang w:val="en-GB"/>
        </w:rPr>
        <w:t>pari passu</w:t>
      </w:r>
      <w:r w:rsidR="0049395D">
        <w:rPr>
          <w:rFonts w:ascii="Arial" w:hAnsi="Arial" w:cs="Arial"/>
          <w:color w:val="7B7B7B" w:themeColor="accent3" w:themeShade="BF"/>
          <w:sz w:val="22"/>
          <w:szCs w:val="22"/>
          <w:lang w:val="en-GB"/>
        </w:rPr>
        <w:t xml:space="preserve"> other unsecured creditors – meaning that of the money remaining to satisfy unsecured creditor claims, that money is distributed rateably between all creditors of that category, based on the value of each creditor’s claim. </w:t>
      </w:r>
    </w:p>
    <w:p w14:paraId="4E3FA55A" w14:textId="77777777" w:rsidR="00CE5920" w:rsidRDefault="00CE5920" w:rsidP="00CE5920">
      <w:pPr>
        <w:jc w:val="both"/>
        <w:rPr>
          <w:rFonts w:ascii="Arial" w:hAnsi="Arial" w:cs="Arial"/>
          <w:color w:val="7B7B7B" w:themeColor="accent3" w:themeShade="BF"/>
          <w:sz w:val="22"/>
          <w:szCs w:val="22"/>
          <w:lang w:val="en-GB"/>
        </w:rPr>
      </w:pPr>
    </w:p>
    <w:p w14:paraId="416B3334" w14:textId="6E77F17F" w:rsidR="00FF5098" w:rsidRPr="00CE5920" w:rsidRDefault="00CE5920" w:rsidP="00CE59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Shareholders in a liquidation will only be entitled to receive payment out of any surplus after all expenses of the liquidation have been paid and after all creditors’ claims have been satisfied. </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0A188A55" w14:textId="0CCFECDC" w:rsidR="00FF5098" w:rsidRPr="00FF5098" w:rsidRDefault="005C0AD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the liquidator may take action in relation to the floating charge in favour of Stercus Bank plc, pursuant to section 245 of the Insolvency Act. The section is aimed at preventing pre-existing unsecured creditors from obtaining security by way of floating charge shortly before the company enters a formal insolvency procedure. </w:t>
      </w:r>
      <w:r w:rsidR="0040473D">
        <w:rPr>
          <w:rFonts w:ascii="Arial" w:hAnsi="Arial" w:cs="Arial"/>
          <w:color w:val="7B7B7B" w:themeColor="accent3" w:themeShade="BF"/>
          <w:sz w:val="22"/>
          <w:szCs w:val="22"/>
          <w:lang w:val="en-GB"/>
        </w:rPr>
        <w:t xml:space="preserve">The section provides that the grant of a </w:t>
      </w:r>
      <w:r w:rsidR="0040473D">
        <w:rPr>
          <w:rFonts w:ascii="Arial" w:hAnsi="Arial" w:cs="Arial"/>
          <w:color w:val="7B7B7B" w:themeColor="accent3" w:themeShade="BF"/>
          <w:sz w:val="22"/>
          <w:szCs w:val="22"/>
          <w:lang w:val="en-GB"/>
        </w:rPr>
        <w:lastRenderedPageBreak/>
        <w:t xml:space="preserve">floating charge at a relevant time (i.e. 2 years prior to insolvency where the person in whose favour the floating charge was created is connected to the company or </w:t>
      </w:r>
      <w:r w:rsidR="00A1337D">
        <w:rPr>
          <w:rFonts w:ascii="Arial" w:hAnsi="Arial" w:cs="Arial"/>
          <w:color w:val="7B7B7B" w:themeColor="accent3" w:themeShade="BF"/>
          <w:sz w:val="22"/>
          <w:szCs w:val="22"/>
          <w:lang w:val="en-GB"/>
        </w:rPr>
        <w:t>12 months prior to the onset of insolvency where the person in whose favour the floating charge was created is not connected to the company</w:t>
      </w:r>
      <w:r w:rsidR="0040473D">
        <w:rPr>
          <w:rFonts w:ascii="Arial" w:hAnsi="Arial" w:cs="Arial"/>
          <w:color w:val="7B7B7B" w:themeColor="accent3" w:themeShade="BF"/>
          <w:sz w:val="22"/>
          <w:szCs w:val="22"/>
          <w:lang w:val="en-GB"/>
        </w:rPr>
        <w:t xml:space="preserve">) is invalid if that floating charge is granted otherwise than in circumstances where new consideration is provided for the charge. </w:t>
      </w:r>
      <w:r>
        <w:rPr>
          <w:rFonts w:ascii="Arial" w:hAnsi="Arial" w:cs="Arial"/>
          <w:color w:val="7B7B7B" w:themeColor="accent3" w:themeShade="BF"/>
          <w:sz w:val="22"/>
          <w:szCs w:val="22"/>
          <w:lang w:val="en-GB"/>
        </w:rPr>
        <w:t xml:space="preserve">Since no new consideration was provided for the charge, </w:t>
      </w:r>
      <w:r w:rsidR="00715E75">
        <w:rPr>
          <w:rFonts w:ascii="Arial" w:hAnsi="Arial" w:cs="Arial"/>
          <w:color w:val="7B7B7B" w:themeColor="accent3" w:themeShade="BF"/>
          <w:sz w:val="22"/>
          <w:szCs w:val="22"/>
          <w:lang w:val="en-GB"/>
        </w:rPr>
        <w:t>Stercus Bank plc is connected to the company and the floating charge</w:t>
      </w:r>
      <w:r w:rsidR="00A1337D">
        <w:rPr>
          <w:rFonts w:ascii="Arial" w:hAnsi="Arial" w:cs="Arial"/>
          <w:color w:val="7B7B7B" w:themeColor="accent3" w:themeShade="BF"/>
          <w:sz w:val="22"/>
          <w:szCs w:val="22"/>
          <w:lang w:val="en-GB"/>
        </w:rPr>
        <w:t xml:space="preserve"> was provided</w:t>
      </w:r>
      <w:r w:rsidR="00715E75">
        <w:rPr>
          <w:rFonts w:ascii="Arial" w:hAnsi="Arial" w:cs="Arial"/>
          <w:color w:val="7B7B7B" w:themeColor="accent3" w:themeShade="BF"/>
          <w:sz w:val="22"/>
          <w:szCs w:val="22"/>
          <w:lang w:val="en-GB"/>
        </w:rPr>
        <w:t xml:space="preserve"> less than 12 months before the onset of insolvency,</w:t>
      </w:r>
      <w:r w:rsidR="00A1337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it could be avoided under section 245 above. </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4D41862F" w14:textId="77777777" w:rsidR="007B1E66" w:rsidRDefault="007B1E6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may attack this transaction under section 238 on the basis that the transaction was at an undervalue at the relevant time – i.e. within 2 years of the onset of insolvency.</w:t>
      </w:r>
    </w:p>
    <w:p w14:paraId="65F59FF2" w14:textId="77777777" w:rsidR="007B1E66" w:rsidRDefault="007B1E66" w:rsidP="00FF5098">
      <w:pPr>
        <w:jc w:val="both"/>
        <w:rPr>
          <w:rFonts w:ascii="Arial" w:hAnsi="Arial" w:cs="Arial"/>
          <w:color w:val="7B7B7B" w:themeColor="accent3" w:themeShade="BF"/>
          <w:sz w:val="22"/>
          <w:szCs w:val="22"/>
          <w:lang w:val="en-GB"/>
        </w:rPr>
      </w:pPr>
    </w:p>
    <w:p w14:paraId="0B26989B" w14:textId="5C8D27DC" w:rsidR="003B6BDC" w:rsidRDefault="007B1E6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will simply need to satisfy the </w:t>
      </w:r>
      <w:r w:rsidR="003B6BDC">
        <w:rPr>
          <w:rFonts w:ascii="Arial" w:hAnsi="Arial" w:cs="Arial"/>
          <w:color w:val="7B7B7B" w:themeColor="accent3" w:themeShade="BF"/>
          <w:sz w:val="22"/>
          <w:szCs w:val="22"/>
          <w:lang w:val="en-GB"/>
        </w:rPr>
        <w:t xml:space="preserve">court that the company either: </w:t>
      </w:r>
    </w:p>
    <w:p w14:paraId="71E32499" w14:textId="77777777" w:rsidR="003B6BDC" w:rsidRDefault="003B6BDC" w:rsidP="00FF5098">
      <w:pPr>
        <w:jc w:val="both"/>
        <w:rPr>
          <w:rFonts w:ascii="Arial" w:hAnsi="Arial" w:cs="Arial"/>
          <w:color w:val="7B7B7B" w:themeColor="accent3" w:themeShade="BF"/>
          <w:sz w:val="22"/>
          <w:szCs w:val="22"/>
          <w:lang w:val="en-GB"/>
        </w:rPr>
      </w:pPr>
    </w:p>
    <w:p w14:paraId="432A58A8" w14:textId="77777777" w:rsidR="003B6BDC" w:rsidRDefault="003B6BDC" w:rsidP="003B6BDC">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made a gift to another person; or </w:t>
      </w:r>
    </w:p>
    <w:p w14:paraId="46499D0F" w14:textId="77777777" w:rsidR="003B6BDC" w:rsidRDefault="003B6BDC" w:rsidP="003B6BDC">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entered into a transaction with another person on the basis that that person would provide no consideration for the transaction; or </w:t>
      </w:r>
    </w:p>
    <w:p w14:paraId="7D8C2B6D" w14:textId="77777777" w:rsidR="003B6BDC" w:rsidRDefault="003B6BDC" w:rsidP="003B6BDC">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entered into a transaction with another person for a consideration which in money or money’s worth was less than the consideration provided by the company. </w:t>
      </w:r>
    </w:p>
    <w:p w14:paraId="14513DFF" w14:textId="77777777" w:rsidR="003B6BDC" w:rsidRDefault="003B6BDC" w:rsidP="003B6BDC">
      <w:pPr>
        <w:jc w:val="both"/>
        <w:rPr>
          <w:rFonts w:ascii="Arial" w:hAnsi="Arial" w:cs="Arial"/>
          <w:color w:val="7B7B7B" w:themeColor="accent3" w:themeShade="BF"/>
          <w:sz w:val="22"/>
          <w:szCs w:val="22"/>
          <w:lang w:val="en-GB"/>
        </w:rPr>
      </w:pPr>
    </w:p>
    <w:p w14:paraId="02B9C4FF" w14:textId="3ECC1C84" w:rsidR="00FF5098" w:rsidRDefault="003B6BDC" w:rsidP="003B6BD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the sale was to Ann, a director of the company, that transaction will be deemed to have occurred at a time when the company was insolvent unless proven otherwise. </w:t>
      </w:r>
    </w:p>
    <w:p w14:paraId="376EB9CA" w14:textId="2DDA38F3" w:rsidR="003B6BDC" w:rsidRDefault="003B6BDC" w:rsidP="003B6BDC">
      <w:pPr>
        <w:jc w:val="both"/>
        <w:rPr>
          <w:rFonts w:ascii="Arial" w:hAnsi="Arial" w:cs="Arial"/>
          <w:color w:val="7B7B7B" w:themeColor="accent3" w:themeShade="BF"/>
          <w:sz w:val="22"/>
          <w:szCs w:val="22"/>
          <w:lang w:val="en-GB"/>
        </w:rPr>
      </w:pPr>
    </w:p>
    <w:p w14:paraId="27C78F75" w14:textId="5A53A238" w:rsidR="003B6BDC" w:rsidRPr="003B6BDC" w:rsidRDefault="003B6BDC" w:rsidP="003B6BD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has the power to restore the company to the position it was in prior to the transaction.</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7BEEEA3" w14:textId="77777777" w:rsidR="0050701E" w:rsidRDefault="0050701E"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payments to Beans and Leaves are vulnerable to attack pursuant to section 239 of the Insolvency Act. The overriding objective of section 239 is to prevent a company from placing one of its creditors in a better position to other creditors. The liquidator will only be able to challenge the payments under this section if: </w:t>
      </w:r>
    </w:p>
    <w:p w14:paraId="4A0AF30E" w14:textId="77777777" w:rsidR="0050701E" w:rsidRDefault="0050701E" w:rsidP="008769B2">
      <w:pPr>
        <w:jc w:val="both"/>
        <w:rPr>
          <w:rFonts w:ascii="Arial" w:hAnsi="Arial" w:cs="Arial"/>
          <w:color w:val="7B7B7B" w:themeColor="accent3" w:themeShade="BF"/>
          <w:sz w:val="22"/>
          <w:szCs w:val="22"/>
          <w:lang w:val="en-GB"/>
        </w:rPr>
      </w:pPr>
    </w:p>
    <w:p w14:paraId="3C0819D6" w14:textId="77777777" w:rsidR="0050701E" w:rsidRDefault="0050701E" w:rsidP="0050701E">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preferred person was at the time of the transaction a creditor of the company; </w:t>
      </w:r>
    </w:p>
    <w:p w14:paraId="55224070" w14:textId="77777777" w:rsidR="0050701E" w:rsidRDefault="0050701E" w:rsidP="0050701E">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something was done by the company which had the effect of putting the creditor in a better position to other creditors if the company were to go into insolvent liquidation, than that creditor would have been in ordinarily; </w:t>
      </w:r>
    </w:p>
    <w:p w14:paraId="403EAF5F" w14:textId="77777777" w:rsidR="006938FB" w:rsidRDefault="0050701E" w:rsidP="0050701E">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was at the time of giving the preference, influenced </w:t>
      </w:r>
      <w:r w:rsidR="006938FB">
        <w:rPr>
          <w:rFonts w:ascii="Arial" w:hAnsi="Arial" w:cs="Arial"/>
          <w:color w:val="7B7B7B" w:themeColor="accent3" w:themeShade="BF"/>
          <w:sz w:val="22"/>
          <w:szCs w:val="22"/>
          <w:lang w:val="en-GB"/>
        </w:rPr>
        <w:t xml:space="preserve">by the creditor into giving the preference; and </w:t>
      </w:r>
    </w:p>
    <w:p w14:paraId="7077E3CB" w14:textId="77777777" w:rsidR="006938FB" w:rsidRDefault="006938FB" w:rsidP="0050701E">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preference was given at a relevant time. </w:t>
      </w:r>
    </w:p>
    <w:p w14:paraId="167239FB" w14:textId="77777777" w:rsidR="006938FB" w:rsidRDefault="006938FB" w:rsidP="006938FB">
      <w:pPr>
        <w:pStyle w:val="ListParagraph"/>
        <w:jc w:val="both"/>
        <w:rPr>
          <w:rFonts w:ascii="Arial" w:hAnsi="Arial" w:cs="Arial"/>
          <w:color w:val="7B7B7B" w:themeColor="accent3" w:themeShade="BF"/>
          <w:sz w:val="22"/>
          <w:szCs w:val="22"/>
          <w:lang w:val="en-GB"/>
        </w:rPr>
      </w:pPr>
    </w:p>
    <w:p w14:paraId="6E059A8E" w14:textId="77777777" w:rsidR="006938FB" w:rsidRDefault="006938FB" w:rsidP="006938F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Each of the criteria above is satisfied in this case. </w:t>
      </w:r>
    </w:p>
    <w:p w14:paraId="73DFBE90" w14:textId="77777777" w:rsidR="006938FB" w:rsidRDefault="006938FB" w:rsidP="006938FB">
      <w:pPr>
        <w:jc w:val="both"/>
        <w:rPr>
          <w:rFonts w:ascii="Arial" w:hAnsi="Arial" w:cs="Arial"/>
          <w:color w:val="7B7B7B" w:themeColor="accent3" w:themeShade="BF"/>
          <w:sz w:val="22"/>
          <w:szCs w:val="22"/>
          <w:lang w:val="en-GB"/>
        </w:rPr>
      </w:pPr>
    </w:p>
    <w:p w14:paraId="72E8CDE9" w14:textId="77777777" w:rsidR="006938FB" w:rsidRDefault="006938FB" w:rsidP="006938FB">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Beans and Leaves was a creditor of the company; </w:t>
      </w:r>
    </w:p>
    <w:p w14:paraId="58325CA0" w14:textId="77777777" w:rsidR="006938FB" w:rsidRDefault="006938FB" w:rsidP="006938FB">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Beans and Leaves were paid all monies due to them shortly before the company went into insolvent liquidation and was paid cash on delivery of items delivered to the company just one month prior to the onset of insolvency; </w:t>
      </w:r>
    </w:p>
    <w:p w14:paraId="04F03D40" w14:textId="77777777" w:rsidR="006938FB" w:rsidRDefault="006938FB" w:rsidP="006938FB">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creditor being a key supplier of the company’s was able to coerce the company into complying with its terms less it ceased trading with the company; and </w:t>
      </w:r>
    </w:p>
    <w:p w14:paraId="3944217E" w14:textId="7DEE52E9" w:rsidR="008769B2" w:rsidRPr="006938FB" w:rsidRDefault="006938FB" w:rsidP="006938FB">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preference was given within a month of the commencement of liquidation</w:t>
      </w:r>
      <w:r w:rsidR="00101895">
        <w:rPr>
          <w:rFonts w:ascii="Arial" w:hAnsi="Arial" w:cs="Arial"/>
          <w:color w:val="7B7B7B" w:themeColor="accent3" w:themeShade="BF"/>
          <w:sz w:val="22"/>
          <w:szCs w:val="22"/>
          <w:lang w:val="en-GB"/>
        </w:rPr>
        <w:t xml:space="preserve"> of the company</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4433" w14:textId="77777777" w:rsidR="00B335E8" w:rsidRDefault="00B335E8" w:rsidP="00241B44">
      <w:r>
        <w:separator/>
      </w:r>
    </w:p>
  </w:endnote>
  <w:endnote w:type="continuationSeparator" w:id="0">
    <w:p w14:paraId="1D00AB49" w14:textId="77777777" w:rsidR="00B335E8" w:rsidRDefault="00B335E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73393294" w:rsidR="00241FA3" w:rsidRPr="009B4976" w:rsidRDefault="00AA7150" w:rsidP="009B4976">
    <w:pPr>
      <w:pStyle w:val="Footer"/>
      <w:ind w:right="360"/>
      <w:rPr>
        <w:rFonts w:ascii="Arial" w:hAnsi="Arial" w:cs="Arial"/>
        <w:sz w:val="18"/>
        <w:szCs w:val="18"/>
        <w:lang w:val="en-GB"/>
      </w:rPr>
    </w:pPr>
    <w:r>
      <w:rPr>
        <w:rFonts w:ascii="Arial" w:hAnsi="Arial" w:cs="Arial"/>
        <w:sz w:val="18"/>
        <w:szCs w:val="18"/>
        <w:lang w:val="en-GB"/>
      </w:rPr>
      <w:t>202021IFU-343</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1E98" w14:textId="77777777" w:rsidR="00B335E8" w:rsidRDefault="00B335E8" w:rsidP="00241B44">
      <w:r>
        <w:separator/>
      </w:r>
    </w:p>
  </w:footnote>
  <w:footnote w:type="continuationSeparator" w:id="0">
    <w:p w14:paraId="63DF7C73" w14:textId="77777777" w:rsidR="00B335E8" w:rsidRDefault="00B335E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F229D"/>
    <w:multiLevelType w:val="hybridMultilevel"/>
    <w:tmpl w:val="7AEACE52"/>
    <w:lvl w:ilvl="0" w:tplc="DDC6A72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D24D6"/>
    <w:multiLevelType w:val="hybridMultilevel"/>
    <w:tmpl w:val="3ACACE0E"/>
    <w:lvl w:ilvl="0" w:tplc="B7B076B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72DD6"/>
    <w:multiLevelType w:val="hybridMultilevel"/>
    <w:tmpl w:val="A08C9E86"/>
    <w:lvl w:ilvl="0" w:tplc="A81A928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081CD1"/>
    <w:multiLevelType w:val="hybridMultilevel"/>
    <w:tmpl w:val="8C422ABE"/>
    <w:lvl w:ilvl="0" w:tplc="3974A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BB5BA6"/>
    <w:multiLevelType w:val="hybridMultilevel"/>
    <w:tmpl w:val="638EA4FE"/>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69492B"/>
    <w:multiLevelType w:val="hybridMultilevel"/>
    <w:tmpl w:val="10AE673E"/>
    <w:lvl w:ilvl="0" w:tplc="39D86A2C">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AB0377"/>
    <w:multiLevelType w:val="hybridMultilevel"/>
    <w:tmpl w:val="A942F278"/>
    <w:lvl w:ilvl="0" w:tplc="0CBCD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64562"/>
    <w:multiLevelType w:val="hybridMultilevel"/>
    <w:tmpl w:val="045CA040"/>
    <w:lvl w:ilvl="0" w:tplc="D16A8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6704081">
    <w:abstractNumId w:val="5"/>
  </w:num>
  <w:num w:numId="2" w16cid:durableId="1726373407">
    <w:abstractNumId w:val="3"/>
  </w:num>
  <w:num w:numId="3" w16cid:durableId="301497947">
    <w:abstractNumId w:val="0"/>
  </w:num>
  <w:num w:numId="4" w16cid:durableId="1027147020">
    <w:abstractNumId w:val="10"/>
  </w:num>
  <w:num w:numId="5" w16cid:durableId="123276747">
    <w:abstractNumId w:val="13"/>
  </w:num>
  <w:num w:numId="6" w16cid:durableId="21251180">
    <w:abstractNumId w:val="4"/>
  </w:num>
  <w:num w:numId="7" w16cid:durableId="1406417675">
    <w:abstractNumId w:val="14"/>
  </w:num>
  <w:num w:numId="8" w16cid:durableId="746267630">
    <w:abstractNumId w:val="20"/>
  </w:num>
  <w:num w:numId="9" w16cid:durableId="1786072663">
    <w:abstractNumId w:val="11"/>
  </w:num>
  <w:num w:numId="10" w16cid:durableId="1811946144">
    <w:abstractNumId w:val="22"/>
  </w:num>
  <w:num w:numId="11" w16cid:durableId="985739236">
    <w:abstractNumId w:val="8"/>
  </w:num>
  <w:num w:numId="12" w16cid:durableId="508838501">
    <w:abstractNumId w:val="16"/>
  </w:num>
  <w:num w:numId="13" w16cid:durableId="767500620">
    <w:abstractNumId w:val="12"/>
  </w:num>
  <w:num w:numId="14" w16cid:durableId="1433471391">
    <w:abstractNumId w:val="7"/>
  </w:num>
  <w:num w:numId="15" w16cid:durableId="1380402131">
    <w:abstractNumId w:val="15"/>
  </w:num>
  <w:num w:numId="16" w16cid:durableId="1114058299">
    <w:abstractNumId w:val="18"/>
  </w:num>
  <w:num w:numId="17" w16cid:durableId="596062460">
    <w:abstractNumId w:val="9"/>
  </w:num>
  <w:num w:numId="18" w16cid:durableId="2128506567">
    <w:abstractNumId w:val="1"/>
  </w:num>
  <w:num w:numId="19" w16cid:durableId="1590701880">
    <w:abstractNumId w:val="19"/>
  </w:num>
  <w:num w:numId="20" w16cid:durableId="104350500">
    <w:abstractNumId w:val="21"/>
  </w:num>
  <w:num w:numId="21" w16cid:durableId="2022195419">
    <w:abstractNumId w:val="2"/>
  </w:num>
  <w:num w:numId="22" w16cid:durableId="2131897632">
    <w:abstractNumId w:val="6"/>
  </w:num>
  <w:num w:numId="23" w16cid:durableId="213468815">
    <w:abstractNumId w:val="17"/>
  </w:num>
  <w:num w:numId="24" w16cid:durableId="1108888193">
    <w:abstractNumId w:val="24"/>
  </w:num>
  <w:num w:numId="25" w16cid:durableId="27860459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38AF"/>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1895"/>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3FA"/>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B6BDC"/>
    <w:rsid w:val="003C4471"/>
    <w:rsid w:val="003D0A6D"/>
    <w:rsid w:val="003E0B16"/>
    <w:rsid w:val="003E67D1"/>
    <w:rsid w:val="003F06EC"/>
    <w:rsid w:val="00404329"/>
    <w:rsid w:val="0040473D"/>
    <w:rsid w:val="00405DC1"/>
    <w:rsid w:val="00415F1F"/>
    <w:rsid w:val="0042108F"/>
    <w:rsid w:val="00422C08"/>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395D"/>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701E"/>
    <w:rsid w:val="005177FE"/>
    <w:rsid w:val="0052263B"/>
    <w:rsid w:val="00524728"/>
    <w:rsid w:val="005331CA"/>
    <w:rsid w:val="00537970"/>
    <w:rsid w:val="00540E3A"/>
    <w:rsid w:val="00544127"/>
    <w:rsid w:val="005463A9"/>
    <w:rsid w:val="00553EB2"/>
    <w:rsid w:val="00560534"/>
    <w:rsid w:val="0056391B"/>
    <w:rsid w:val="005650E2"/>
    <w:rsid w:val="00567AD7"/>
    <w:rsid w:val="0057064D"/>
    <w:rsid w:val="00575B2D"/>
    <w:rsid w:val="005833D0"/>
    <w:rsid w:val="005846F3"/>
    <w:rsid w:val="0058622F"/>
    <w:rsid w:val="00592F82"/>
    <w:rsid w:val="00594C6A"/>
    <w:rsid w:val="005A002C"/>
    <w:rsid w:val="005A0CCA"/>
    <w:rsid w:val="005A1083"/>
    <w:rsid w:val="005A6FF2"/>
    <w:rsid w:val="005A726D"/>
    <w:rsid w:val="005B67AC"/>
    <w:rsid w:val="005B79F4"/>
    <w:rsid w:val="005C0AD7"/>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089C"/>
    <w:rsid w:val="006938FB"/>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15E75"/>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1E66"/>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C75D2"/>
    <w:rsid w:val="008D1616"/>
    <w:rsid w:val="008E3339"/>
    <w:rsid w:val="008F20FC"/>
    <w:rsid w:val="008F5FFE"/>
    <w:rsid w:val="00905A43"/>
    <w:rsid w:val="00912C79"/>
    <w:rsid w:val="00920F4F"/>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17A5"/>
    <w:rsid w:val="009B4976"/>
    <w:rsid w:val="009C0B8E"/>
    <w:rsid w:val="009C1BC8"/>
    <w:rsid w:val="009C2442"/>
    <w:rsid w:val="009D0811"/>
    <w:rsid w:val="009D0EE1"/>
    <w:rsid w:val="009E2AEB"/>
    <w:rsid w:val="009E2E27"/>
    <w:rsid w:val="009E45DF"/>
    <w:rsid w:val="009E4DE3"/>
    <w:rsid w:val="009F275E"/>
    <w:rsid w:val="00A047EE"/>
    <w:rsid w:val="00A1337D"/>
    <w:rsid w:val="00A2274A"/>
    <w:rsid w:val="00A235B7"/>
    <w:rsid w:val="00A27A7A"/>
    <w:rsid w:val="00A34ABE"/>
    <w:rsid w:val="00A407EF"/>
    <w:rsid w:val="00A46B4C"/>
    <w:rsid w:val="00A5117B"/>
    <w:rsid w:val="00A55B12"/>
    <w:rsid w:val="00A56D34"/>
    <w:rsid w:val="00A60074"/>
    <w:rsid w:val="00A6627C"/>
    <w:rsid w:val="00A71019"/>
    <w:rsid w:val="00A81029"/>
    <w:rsid w:val="00A845F5"/>
    <w:rsid w:val="00A96489"/>
    <w:rsid w:val="00AA7150"/>
    <w:rsid w:val="00AB2425"/>
    <w:rsid w:val="00AB685C"/>
    <w:rsid w:val="00AB6C2D"/>
    <w:rsid w:val="00AC08F7"/>
    <w:rsid w:val="00AC317D"/>
    <w:rsid w:val="00AC3839"/>
    <w:rsid w:val="00AC6175"/>
    <w:rsid w:val="00AC7082"/>
    <w:rsid w:val="00AD4BE8"/>
    <w:rsid w:val="00AE5B6F"/>
    <w:rsid w:val="00AF228E"/>
    <w:rsid w:val="00B016A8"/>
    <w:rsid w:val="00B04033"/>
    <w:rsid w:val="00B14819"/>
    <w:rsid w:val="00B15E2F"/>
    <w:rsid w:val="00B17AA9"/>
    <w:rsid w:val="00B335E8"/>
    <w:rsid w:val="00B44713"/>
    <w:rsid w:val="00B51B95"/>
    <w:rsid w:val="00B56103"/>
    <w:rsid w:val="00B64929"/>
    <w:rsid w:val="00B736DF"/>
    <w:rsid w:val="00B743D6"/>
    <w:rsid w:val="00B74FBD"/>
    <w:rsid w:val="00B77F46"/>
    <w:rsid w:val="00B82586"/>
    <w:rsid w:val="00B8296B"/>
    <w:rsid w:val="00B829A3"/>
    <w:rsid w:val="00B851E0"/>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3F"/>
    <w:rsid w:val="00C606C3"/>
    <w:rsid w:val="00C620F4"/>
    <w:rsid w:val="00C72848"/>
    <w:rsid w:val="00C72B27"/>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5920"/>
    <w:rsid w:val="00CE6E50"/>
    <w:rsid w:val="00CE72E3"/>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B4F1E"/>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4A2C"/>
    <w:rsid w:val="00F87A54"/>
    <w:rsid w:val="00F87B04"/>
    <w:rsid w:val="00F97C5B"/>
    <w:rsid w:val="00FA12B9"/>
    <w:rsid w:val="00FA3D50"/>
    <w:rsid w:val="00FA417D"/>
    <w:rsid w:val="00FB115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3E56"/>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3501</Words>
  <Characters>19958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Adams</cp:lastModifiedBy>
  <cp:revision>21</cp:revision>
  <cp:lastPrinted>2019-08-27T05:42:00Z</cp:lastPrinted>
  <dcterms:created xsi:type="dcterms:W3CDTF">2021-08-17T11:41:00Z</dcterms:created>
  <dcterms:modified xsi:type="dcterms:W3CDTF">2022-07-31T04:14:00Z</dcterms:modified>
</cp:coreProperties>
</file>