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5614A6" w:rsidRDefault="000F6063" w:rsidP="007E03FA">
      <w:pPr>
        <w:pStyle w:val="ListParagraph"/>
        <w:numPr>
          <w:ilvl w:val="0"/>
          <w:numId w:val="31"/>
        </w:numPr>
        <w:ind w:left="426"/>
        <w:rPr>
          <w:rFonts w:ascii="Arial" w:hAnsi="Arial" w:cs="Arial"/>
          <w:sz w:val="22"/>
          <w:szCs w:val="22"/>
          <w:highlight w:val="yellow"/>
          <w:lang w:val="en-GB"/>
        </w:rPr>
      </w:pPr>
      <w:r w:rsidRPr="005614A6">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BC476F" w:rsidRDefault="000F6063" w:rsidP="007E03FA">
      <w:pPr>
        <w:pStyle w:val="ListParagraph"/>
        <w:numPr>
          <w:ilvl w:val="0"/>
          <w:numId w:val="32"/>
        </w:numPr>
        <w:ind w:left="426"/>
        <w:rPr>
          <w:rFonts w:ascii="Arial" w:hAnsi="Arial" w:cs="Arial"/>
          <w:sz w:val="22"/>
          <w:szCs w:val="22"/>
          <w:highlight w:val="yellow"/>
          <w:lang w:val="en-GB"/>
        </w:rPr>
      </w:pPr>
      <w:r w:rsidRPr="00BC476F">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BC476F"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BC476F">
        <w:rPr>
          <w:rFonts w:ascii="Arial" w:hAnsi="Arial" w:cs="Arial"/>
          <w:color w:val="000000" w:themeColor="text1"/>
          <w:sz w:val="22"/>
          <w:szCs w:val="22"/>
          <w:highlight w:val="yellow"/>
          <w:lang w:val="en-GB"/>
        </w:rPr>
        <w:t>The company must cease trading except where it is necessary and beneficial to the liquidation</w:t>
      </w:r>
      <w:r w:rsidR="00A46FE2" w:rsidRPr="00BC476F">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BC476F" w:rsidRDefault="00210493" w:rsidP="007E03FA">
      <w:pPr>
        <w:pStyle w:val="ListParagraph"/>
        <w:numPr>
          <w:ilvl w:val="0"/>
          <w:numId w:val="33"/>
        </w:numPr>
        <w:ind w:left="426"/>
        <w:rPr>
          <w:rFonts w:ascii="Arial" w:hAnsi="Arial" w:cs="Arial"/>
          <w:color w:val="000000" w:themeColor="text1"/>
          <w:sz w:val="22"/>
          <w:szCs w:val="22"/>
          <w:lang w:val="en-GB"/>
        </w:rPr>
      </w:pPr>
      <w:r w:rsidRPr="00BC476F">
        <w:rPr>
          <w:rFonts w:ascii="Arial" w:hAnsi="Arial" w:cs="Arial"/>
          <w:color w:val="000000" w:themeColor="text1"/>
          <w:sz w:val="22"/>
          <w:szCs w:val="22"/>
          <w:lang w:val="en-GB"/>
        </w:rPr>
        <w:t>The company may cease trading unless it is necessary and beneficial to the liquidation</w:t>
      </w:r>
      <w:r w:rsidR="00A46FE2" w:rsidRPr="00BC476F">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BC476F" w:rsidRDefault="00CB2364" w:rsidP="00924973">
      <w:pPr>
        <w:pStyle w:val="ListParagraph"/>
        <w:numPr>
          <w:ilvl w:val="0"/>
          <w:numId w:val="34"/>
        </w:numPr>
        <w:ind w:left="426"/>
        <w:rPr>
          <w:rFonts w:ascii="Arial" w:hAnsi="Arial" w:cs="Arial"/>
          <w:sz w:val="22"/>
          <w:szCs w:val="22"/>
          <w:highlight w:val="yellow"/>
          <w:lang w:val="en-GB"/>
        </w:rPr>
      </w:pPr>
      <w:r w:rsidRPr="00BC476F">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BC476F" w:rsidRDefault="000F6063" w:rsidP="00924973">
      <w:pPr>
        <w:pStyle w:val="ListParagraph"/>
        <w:numPr>
          <w:ilvl w:val="0"/>
          <w:numId w:val="35"/>
        </w:numPr>
        <w:ind w:left="426"/>
        <w:rPr>
          <w:rFonts w:ascii="Arial" w:hAnsi="Arial" w:cs="Arial"/>
          <w:sz w:val="22"/>
          <w:szCs w:val="22"/>
          <w:highlight w:val="yellow"/>
          <w:lang w:val="en-GB"/>
        </w:rPr>
      </w:pPr>
      <w:r w:rsidRPr="00BC476F">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192ADD" w:rsidRDefault="00E177F0" w:rsidP="00924973">
      <w:pPr>
        <w:pStyle w:val="ListParagraph"/>
        <w:numPr>
          <w:ilvl w:val="0"/>
          <w:numId w:val="36"/>
        </w:numPr>
        <w:ind w:left="426"/>
        <w:rPr>
          <w:rFonts w:ascii="Arial" w:hAnsi="Arial" w:cs="Arial"/>
          <w:sz w:val="22"/>
          <w:szCs w:val="22"/>
          <w:highlight w:val="yellow"/>
          <w:lang w:val="en-GB"/>
        </w:rPr>
      </w:pPr>
      <w:r w:rsidRPr="00192ADD">
        <w:rPr>
          <w:rFonts w:ascii="Arial" w:hAnsi="Arial" w:cs="Arial"/>
          <w:sz w:val="22"/>
          <w:szCs w:val="22"/>
          <w:highlight w:val="yellow"/>
          <w:lang w:val="en-GB"/>
        </w:rPr>
        <w:t>May enforce their security without leave of the court</w:t>
      </w:r>
      <w:r w:rsidR="00803C72" w:rsidRPr="00192ADD">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192ADD" w:rsidRDefault="000F6063" w:rsidP="00924973">
      <w:pPr>
        <w:pStyle w:val="ListParagraph"/>
        <w:numPr>
          <w:ilvl w:val="0"/>
          <w:numId w:val="37"/>
        </w:numPr>
        <w:ind w:left="426"/>
        <w:jc w:val="both"/>
        <w:rPr>
          <w:rFonts w:ascii="Arial" w:hAnsi="Arial" w:cs="Arial"/>
          <w:sz w:val="22"/>
          <w:szCs w:val="22"/>
          <w:highlight w:val="yellow"/>
          <w:lang w:val="en-GB"/>
        </w:rPr>
      </w:pPr>
      <w:r w:rsidRPr="00192ADD">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Default="00853B56" w:rsidP="00924973">
      <w:pPr>
        <w:pStyle w:val="ListParagraph"/>
        <w:numPr>
          <w:ilvl w:val="0"/>
          <w:numId w:val="38"/>
        </w:numPr>
        <w:ind w:left="426"/>
        <w:jc w:val="both"/>
        <w:rPr>
          <w:rFonts w:ascii="Arial" w:hAnsi="Arial" w:cs="Arial"/>
          <w:sz w:val="22"/>
          <w:szCs w:val="22"/>
          <w:lang w:val="en-GB"/>
        </w:rPr>
      </w:pPr>
      <w:r w:rsidRPr="00741A68">
        <w:rPr>
          <w:rFonts w:ascii="Arial" w:hAnsi="Arial" w:cs="Arial"/>
          <w:sz w:val="22"/>
          <w:szCs w:val="22"/>
          <w:highlight w:val="yellow"/>
          <w:lang w:val="en-GB"/>
        </w:rPr>
        <w:t>Amounts due to p</w:t>
      </w:r>
      <w:r w:rsidR="005327B7" w:rsidRPr="00741A68">
        <w:rPr>
          <w:rFonts w:ascii="Arial" w:hAnsi="Arial" w:cs="Arial"/>
          <w:sz w:val="22"/>
          <w:szCs w:val="22"/>
          <w:highlight w:val="yellow"/>
          <w:lang w:val="en-GB"/>
        </w:rPr>
        <w:t>referred shareholders</w:t>
      </w:r>
      <w:r w:rsidR="00803C72" w:rsidRPr="00741A68">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741A68" w:rsidRDefault="00920BE7" w:rsidP="00924973">
      <w:pPr>
        <w:pStyle w:val="ListParagraph"/>
        <w:numPr>
          <w:ilvl w:val="0"/>
          <w:numId w:val="38"/>
        </w:numPr>
        <w:ind w:left="426"/>
        <w:jc w:val="both"/>
        <w:rPr>
          <w:rFonts w:ascii="Arial" w:hAnsi="Arial" w:cs="Arial"/>
          <w:sz w:val="22"/>
          <w:szCs w:val="22"/>
          <w:lang w:val="en-GB"/>
        </w:rPr>
      </w:pPr>
      <w:r w:rsidRPr="00741A68">
        <w:rPr>
          <w:rFonts w:ascii="Arial" w:hAnsi="Arial" w:cs="Arial"/>
          <w:sz w:val="22"/>
          <w:szCs w:val="22"/>
          <w:lang w:val="en-GB"/>
        </w:rPr>
        <w:t>Unsecured debts which are not subject to subordination agreements</w:t>
      </w:r>
      <w:r w:rsidR="00803C72" w:rsidRPr="00741A68">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board of directors decides it is “just and equitable” for the company to be wound up</w:t>
      </w:r>
      <w:r w:rsidR="00D06A87" w:rsidRPr="00924973">
        <w:rPr>
          <w:rFonts w:ascii="Arial" w:hAnsi="Arial" w:cs="Arial"/>
          <w:sz w:val="22"/>
          <w:szCs w:val="22"/>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741A68" w:rsidRDefault="005327B7" w:rsidP="00924973">
      <w:pPr>
        <w:pStyle w:val="ListParagraph"/>
        <w:numPr>
          <w:ilvl w:val="0"/>
          <w:numId w:val="39"/>
        </w:numPr>
        <w:ind w:left="426"/>
        <w:jc w:val="both"/>
        <w:rPr>
          <w:rFonts w:ascii="Arial" w:hAnsi="Arial" w:cs="Arial"/>
          <w:sz w:val="22"/>
          <w:szCs w:val="22"/>
          <w:highlight w:val="yellow"/>
          <w:lang w:val="en-GB"/>
        </w:rPr>
      </w:pPr>
      <w:r w:rsidRPr="00741A68">
        <w:rPr>
          <w:rFonts w:ascii="Arial" w:hAnsi="Arial" w:cs="Arial"/>
          <w:sz w:val="22"/>
          <w:szCs w:val="22"/>
          <w:highlight w:val="yellow"/>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A15E97" w:rsidRDefault="000F6063" w:rsidP="00924973">
      <w:pPr>
        <w:pStyle w:val="ListParagraph"/>
        <w:numPr>
          <w:ilvl w:val="0"/>
          <w:numId w:val="40"/>
        </w:numPr>
        <w:ind w:left="426"/>
        <w:jc w:val="both"/>
        <w:rPr>
          <w:rFonts w:ascii="Arial" w:hAnsi="Arial" w:cs="Arial"/>
          <w:sz w:val="22"/>
          <w:szCs w:val="22"/>
          <w:highlight w:val="yellow"/>
          <w:lang w:val="en-GB"/>
        </w:rPr>
      </w:pPr>
      <w:r w:rsidRPr="00A15E97">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537F4A6C" w:rsidR="002B3A96" w:rsidRDefault="00A15E97"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for certain types of assets.  The creditor must file notice of its security with the relevant centrally maintained register if the asset is </w:t>
      </w:r>
      <w:r w:rsidR="00425401">
        <w:rPr>
          <w:rFonts w:ascii="Arial" w:hAnsi="Arial" w:cs="Arial"/>
          <w:color w:val="808080" w:themeColor="background1" w:themeShade="80"/>
          <w:sz w:val="22"/>
          <w:szCs w:val="22"/>
          <w:lang w:val="en-GB"/>
        </w:rPr>
        <w:t>real estate</w:t>
      </w:r>
      <w:r>
        <w:rPr>
          <w:rFonts w:ascii="Arial" w:hAnsi="Arial" w:cs="Arial"/>
          <w:color w:val="808080" w:themeColor="background1" w:themeShade="80"/>
          <w:sz w:val="22"/>
          <w:szCs w:val="22"/>
          <w:lang w:val="en-GB"/>
        </w:rPr>
        <w:t xml:space="preserve">, </w:t>
      </w:r>
      <w:r w:rsidR="00425401">
        <w:rPr>
          <w:rFonts w:ascii="Arial" w:hAnsi="Arial" w:cs="Arial"/>
          <w:color w:val="808080" w:themeColor="background1" w:themeShade="80"/>
          <w:sz w:val="22"/>
          <w:szCs w:val="22"/>
          <w:lang w:val="en-GB"/>
        </w:rPr>
        <w:t xml:space="preserve">a </w:t>
      </w:r>
      <w:r>
        <w:rPr>
          <w:rFonts w:ascii="Arial" w:hAnsi="Arial" w:cs="Arial"/>
          <w:color w:val="808080" w:themeColor="background1" w:themeShade="80"/>
          <w:sz w:val="22"/>
          <w:szCs w:val="22"/>
          <w:lang w:val="en-GB"/>
        </w:rPr>
        <w:t>ship, aircraft</w:t>
      </w:r>
      <w:r w:rsidR="00425401">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 motor vehicle</w:t>
      </w:r>
      <w:r w:rsidR="00425401">
        <w:rPr>
          <w:rFonts w:ascii="Arial" w:hAnsi="Arial" w:cs="Arial"/>
          <w:color w:val="808080" w:themeColor="background1" w:themeShade="80"/>
          <w:sz w:val="22"/>
          <w:szCs w:val="22"/>
          <w:lang w:val="en-GB"/>
        </w:rPr>
        <w:t xml:space="preserve"> or intellectual property</w:t>
      </w:r>
      <w:r>
        <w:rPr>
          <w:rFonts w:ascii="Arial" w:hAnsi="Arial" w:cs="Arial"/>
          <w:color w:val="808080" w:themeColor="background1" w:themeShade="80"/>
          <w:sz w:val="22"/>
          <w:szCs w:val="22"/>
          <w:lang w:val="en-GB"/>
        </w:rPr>
        <w:t xml:space="preserve">.  For other types of property, the creditor should ensure that the </w:t>
      </w:r>
      <w:r w:rsidR="00425401">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egister of </w:t>
      </w:r>
      <w:r w:rsidR="00425401">
        <w:rPr>
          <w:rFonts w:ascii="Arial" w:hAnsi="Arial" w:cs="Arial"/>
          <w:color w:val="808080" w:themeColor="background1" w:themeShade="80"/>
          <w:sz w:val="22"/>
          <w:szCs w:val="22"/>
          <w:lang w:val="en-GB"/>
        </w:rPr>
        <w:t>m</w:t>
      </w:r>
      <w:r>
        <w:rPr>
          <w:rFonts w:ascii="Arial" w:hAnsi="Arial" w:cs="Arial"/>
          <w:color w:val="808080" w:themeColor="background1" w:themeShade="80"/>
          <w:sz w:val="22"/>
          <w:szCs w:val="22"/>
          <w:lang w:val="en-GB"/>
        </w:rPr>
        <w:t xml:space="preserve">ortgages </w:t>
      </w:r>
      <w:r w:rsidR="00425401">
        <w:rPr>
          <w:rFonts w:ascii="Arial" w:hAnsi="Arial" w:cs="Arial"/>
          <w:color w:val="808080" w:themeColor="background1" w:themeShade="80"/>
          <w:sz w:val="22"/>
          <w:szCs w:val="22"/>
          <w:lang w:val="en-GB"/>
        </w:rPr>
        <w:t xml:space="preserve">and charges for the debtor is clear before making the loan, and subsequently updated with details of the security after granting the loan.  The register for mortgages and charges is </w:t>
      </w:r>
      <w:r w:rsidR="00123EE6">
        <w:rPr>
          <w:rFonts w:ascii="Arial" w:hAnsi="Arial" w:cs="Arial"/>
          <w:color w:val="808080" w:themeColor="background1" w:themeShade="80"/>
          <w:sz w:val="22"/>
          <w:szCs w:val="22"/>
          <w:lang w:val="en-GB"/>
        </w:rPr>
        <w:t>maintained</w:t>
      </w:r>
      <w:r w:rsidR="00425401">
        <w:rPr>
          <w:rFonts w:ascii="Arial" w:hAnsi="Arial" w:cs="Arial"/>
          <w:color w:val="808080" w:themeColor="background1" w:themeShade="80"/>
          <w:sz w:val="22"/>
          <w:szCs w:val="22"/>
          <w:lang w:val="en-GB"/>
        </w:rPr>
        <w:t xml:space="preserve"> at the debtor company’s registered office in the Cayman Islands</w:t>
      </w:r>
      <w:r w:rsidR="00123EE6">
        <w:rPr>
          <w:rFonts w:ascii="Arial" w:hAnsi="Arial" w:cs="Arial"/>
          <w:color w:val="808080" w:themeColor="background1" w:themeShade="80"/>
          <w:sz w:val="22"/>
          <w:szCs w:val="22"/>
          <w:lang w:val="en-GB"/>
        </w:rPr>
        <w:t xml:space="preserve"> and can be examined by any member of the company or creditor</w:t>
      </w:r>
      <w:r w:rsidR="00425401">
        <w:rPr>
          <w:rFonts w:ascii="Arial" w:hAnsi="Arial" w:cs="Arial"/>
          <w:color w:val="808080" w:themeColor="background1" w:themeShade="80"/>
          <w:sz w:val="22"/>
          <w:szCs w:val="22"/>
          <w:lang w:val="en-GB"/>
        </w:rPr>
        <w:t>.</w:t>
      </w:r>
    </w:p>
    <w:p w14:paraId="6283F0B3" w14:textId="7AB5E5B4" w:rsidR="00123EE6" w:rsidRDefault="00123EE6" w:rsidP="00D27CBC">
      <w:pPr>
        <w:jc w:val="both"/>
        <w:rPr>
          <w:rFonts w:ascii="Arial" w:hAnsi="Arial" w:cs="Arial"/>
          <w:color w:val="808080" w:themeColor="background1" w:themeShade="80"/>
          <w:sz w:val="22"/>
          <w:szCs w:val="22"/>
          <w:lang w:val="en-GB"/>
        </w:rPr>
      </w:pPr>
    </w:p>
    <w:p w14:paraId="2F3A3310" w14:textId="045F543D" w:rsidR="00123EE6" w:rsidRDefault="00123EE6"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effect of registration is to put third parties on notice of the existence of the security.  Registration does not create priority.</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1704E2CD" w14:textId="77277068" w:rsidR="005A3A47" w:rsidRDefault="00F52F65"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w:t>
      </w:r>
      <w:r w:rsidR="005A3A47">
        <w:rPr>
          <w:rFonts w:ascii="Arial" w:hAnsi="Arial" w:cs="Arial"/>
          <w:color w:val="808080" w:themeColor="background1" w:themeShade="80"/>
          <w:sz w:val="22"/>
          <w:szCs w:val="22"/>
          <w:lang w:val="en-GB"/>
        </w:rPr>
        <w:t xml:space="preserve"> the Cayman Islands Grant Court</w:t>
      </w:r>
      <w:r w:rsidR="00E6696D">
        <w:rPr>
          <w:rFonts w:ascii="Arial" w:hAnsi="Arial" w:cs="Arial"/>
          <w:color w:val="808080" w:themeColor="background1" w:themeShade="80"/>
          <w:sz w:val="22"/>
          <w:szCs w:val="22"/>
          <w:lang w:val="en-GB"/>
        </w:rPr>
        <w:t xml:space="preserve"> (</w:t>
      </w:r>
      <w:r w:rsidR="00E6696D" w:rsidRPr="00E6696D">
        <w:rPr>
          <w:rFonts w:ascii="Arial" w:hAnsi="Arial" w:cs="Arial"/>
          <w:b/>
          <w:bCs/>
          <w:color w:val="808080" w:themeColor="background1" w:themeShade="80"/>
          <w:sz w:val="22"/>
          <w:szCs w:val="22"/>
          <w:lang w:val="en-GB"/>
        </w:rPr>
        <w:t>Grand Court</w:t>
      </w:r>
      <w:r w:rsidR="00E6696D">
        <w:rPr>
          <w:rFonts w:ascii="Arial" w:hAnsi="Arial" w:cs="Arial"/>
          <w:color w:val="808080" w:themeColor="background1" w:themeShade="80"/>
          <w:sz w:val="22"/>
          <w:szCs w:val="22"/>
          <w:lang w:val="en-GB"/>
        </w:rPr>
        <w:t>)</w:t>
      </w:r>
      <w:r w:rsidR="005A3A47">
        <w:rPr>
          <w:rFonts w:ascii="Arial" w:hAnsi="Arial" w:cs="Arial"/>
          <w:color w:val="808080" w:themeColor="background1" w:themeShade="80"/>
          <w:sz w:val="22"/>
          <w:szCs w:val="22"/>
          <w:lang w:val="en-GB"/>
        </w:rPr>
        <w:t xml:space="preserve"> does have such power.  The Cayman Islands Companies </w:t>
      </w:r>
      <w:r w:rsidR="00877D28">
        <w:rPr>
          <w:rFonts w:ascii="Arial" w:hAnsi="Arial" w:cs="Arial"/>
          <w:color w:val="808080" w:themeColor="background1" w:themeShade="80"/>
          <w:sz w:val="22"/>
          <w:szCs w:val="22"/>
          <w:lang w:val="en-GB"/>
        </w:rPr>
        <w:t xml:space="preserve">Law (2018 Revision) </w:t>
      </w:r>
      <w:r w:rsidR="00ED341D">
        <w:rPr>
          <w:rFonts w:ascii="Arial" w:hAnsi="Arial" w:cs="Arial"/>
          <w:color w:val="808080" w:themeColor="background1" w:themeShade="80"/>
          <w:sz w:val="22"/>
          <w:szCs w:val="22"/>
          <w:lang w:val="en-GB"/>
        </w:rPr>
        <w:t>(</w:t>
      </w:r>
      <w:r w:rsidR="00ED341D" w:rsidRPr="00ED341D">
        <w:rPr>
          <w:rFonts w:ascii="Arial" w:hAnsi="Arial" w:cs="Arial"/>
          <w:b/>
          <w:bCs/>
          <w:color w:val="808080" w:themeColor="background1" w:themeShade="80"/>
          <w:sz w:val="22"/>
          <w:szCs w:val="22"/>
          <w:lang w:val="en-GB"/>
        </w:rPr>
        <w:t>Companies Act</w:t>
      </w:r>
      <w:r w:rsidR="00877D28">
        <w:rPr>
          <w:rFonts w:ascii="Arial" w:hAnsi="Arial" w:cs="Arial"/>
          <w:b/>
          <w:bCs/>
          <w:color w:val="808080" w:themeColor="background1" w:themeShade="80"/>
          <w:sz w:val="22"/>
          <w:szCs w:val="22"/>
          <w:lang w:val="en-GB"/>
        </w:rPr>
        <w:t xml:space="preserve"> or Companies Law</w:t>
      </w:r>
      <w:r w:rsidR="00ED341D">
        <w:rPr>
          <w:rFonts w:ascii="Arial" w:hAnsi="Arial" w:cs="Arial"/>
          <w:color w:val="808080" w:themeColor="background1" w:themeShade="80"/>
          <w:sz w:val="22"/>
          <w:szCs w:val="22"/>
          <w:lang w:val="en-GB"/>
        </w:rPr>
        <w:t xml:space="preserve">) </w:t>
      </w:r>
      <w:r w:rsidR="005A3A47">
        <w:rPr>
          <w:rFonts w:ascii="Arial" w:hAnsi="Arial" w:cs="Arial"/>
          <w:color w:val="808080" w:themeColor="background1" w:themeShade="80"/>
          <w:sz w:val="22"/>
          <w:szCs w:val="22"/>
          <w:lang w:val="en-GB"/>
        </w:rPr>
        <w:t xml:space="preserve">contains provisions dealing with cooperation in international bankruptcy and insolvency proceedings.  Foreign bankruptcy proceedings is defined to include proceedings for the purpose of reorganising or rehabilitating an insolvent debtor.  </w:t>
      </w:r>
    </w:p>
    <w:p w14:paraId="36B6F89F" w14:textId="246CCB86" w:rsidR="005A3A47" w:rsidRDefault="005A3A47" w:rsidP="00AB0E3A">
      <w:pPr>
        <w:jc w:val="both"/>
        <w:rPr>
          <w:rFonts w:ascii="Arial" w:hAnsi="Arial" w:cs="Arial"/>
          <w:color w:val="808080" w:themeColor="background1" w:themeShade="80"/>
          <w:sz w:val="22"/>
          <w:szCs w:val="22"/>
          <w:lang w:val="en-GB"/>
        </w:rPr>
      </w:pPr>
    </w:p>
    <w:p w14:paraId="22EFD318" w14:textId="44165AD9" w:rsidR="00111C6D" w:rsidRDefault="005A3A47"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representative, defined as a trustee, liquidator or other official appointed in respect of a debtor for the purposes of a foreign bankruptcy proceeding, can apply to the Grand Court </w:t>
      </w:r>
      <w:r w:rsidR="00C25BC8">
        <w:rPr>
          <w:rFonts w:ascii="Arial" w:hAnsi="Arial" w:cs="Arial"/>
          <w:color w:val="808080" w:themeColor="background1" w:themeShade="80"/>
          <w:sz w:val="22"/>
          <w:szCs w:val="22"/>
          <w:lang w:val="en-GB"/>
        </w:rPr>
        <w:t xml:space="preserve">for assistance and </w:t>
      </w:r>
      <w:r w:rsidR="00C25BC8">
        <w:rPr>
          <w:rFonts w:ascii="Arial" w:hAnsi="Arial" w:cs="Arial"/>
          <w:color w:val="808080" w:themeColor="background1" w:themeShade="80"/>
          <w:sz w:val="22"/>
          <w:szCs w:val="22"/>
          <w:lang w:val="en-GB"/>
        </w:rPr>
        <w:t xml:space="preserve">the Grand Court </w:t>
      </w:r>
      <w:r w:rsidR="00C25BC8">
        <w:rPr>
          <w:rFonts w:ascii="Arial" w:hAnsi="Arial" w:cs="Arial"/>
          <w:color w:val="808080" w:themeColor="background1" w:themeShade="80"/>
          <w:sz w:val="22"/>
          <w:szCs w:val="22"/>
          <w:lang w:val="en-GB"/>
        </w:rPr>
        <w:t>has</w:t>
      </w:r>
      <w:r w:rsidR="00C25BC8">
        <w:rPr>
          <w:rFonts w:ascii="Arial" w:hAnsi="Arial" w:cs="Arial"/>
          <w:color w:val="808080" w:themeColor="background1" w:themeShade="80"/>
          <w:sz w:val="22"/>
          <w:szCs w:val="22"/>
          <w:lang w:val="en-GB"/>
        </w:rPr>
        <w:t xml:space="preserve"> discretionary power to assist foreign bankruptcy proceedings.  </w:t>
      </w:r>
      <w:r w:rsidR="00111C6D">
        <w:rPr>
          <w:rFonts w:ascii="Arial" w:hAnsi="Arial" w:cs="Arial"/>
          <w:color w:val="808080" w:themeColor="background1" w:themeShade="80"/>
          <w:sz w:val="22"/>
          <w:szCs w:val="22"/>
          <w:lang w:val="en-GB"/>
        </w:rPr>
        <w:t xml:space="preserve">Assistance can include granting an order staying or preventing </w:t>
      </w:r>
      <w:r w:rsidR="003E1EE9">
        <w:rPr>
          <w:rFonts w:ascii="Arial" w:hAnsi="Arial" w:cs="Arial"/>
          <w:color w:val="808080" w:themeColor="background1" w:themeShade="80"/>
          <w:sz w:val="22"/>
          <w:szCs w:val="22"/>
          <w:lang w:val="en-GB"/>
        </w:rPr>
        <w:t>the commencement of legal proceedings and examining relevant persons mentioned in s. 103 of the Companies Law.</w:t>
      </w:r>
    </w:p>
    <w:p w14:paraId="49D9631B" w14:textId="77777777" w:rsidR="00111C6D" w:rsidRDefault="00111C6D" w:rsidP="00AB0E3A">
      <w:pPr>
        <w:jc w:val="both"/>
        <w:rPr>
          <w:rFonts w:ascii="Arial" w:hAnsi="Arial" w:cs="Arial"/>
          <w:color w:val="808080" w:themeColor="background1" w:themeShade="80"/>
          <w:sz w:val="22"/>
          <w:szCs w:val="22"/>
          <w:lang w:val="en-GB"/>
        </w:rPr>
      </w:pPr>
    </w:p>
    <w:p w14:paraId="119CF718" w14:textId="6582112A" w:rsidR="00C25BC8" w:rsidRDefault="00C25BC8"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exercising its discretion, the Grand Court will be guided by what will best assure an economic and expeditious administration of the debtor’s estate, including:</w:t>
      </w:r>
    </w:p>
    <w:p w14:paraId="53BF6ED8" w14:textId="720C3712" w:rsidR="00C25BC8" w:rsidRDefault="00C25BC8" w:rsidP="00AB0E3A">
      <w:pPr>
        <w:jc w:val="both"/>
        <w:rPr>
          <w:rFonts w:ascii="Arial" w:hAnsi="Arial" w:cs="Arial"/>
          <w:color w:val="808080" w:themeColor="background1" w:themeShade="80"/>
          <w:sz w:val="22"/>
          <w:szCs w:val="22"/>
          <w:lang w:val="en-GB"/>
        </w:rPr>
      </w:pPr>
    </w:p>
    <w:p w14:paraId="4E890165" w14:textId="6C2AEE18" w:rsidR="00C25BC8" w:rsidRDefault="00C25BC8" w:rsidP="00C25BC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just treatment of all holders of claims against or interests in a debtor’s estate, wherever they may be domiciled;</w:t>
      </w:r>
    </w:p>
    <w:p w14:paraId="45FD09D3" w14:textId="36A03AAA" w:rsidR="00C25BC8" w:rsidRDefault="00C25BC8" w:rsidP="00C25BC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protection of claim holders </w:t>
      </w:r>
      <w:r w:rsidR="00ED341D">
        <w:rPr>
          <w:rFonts w:ascii="Arial" w:hAnsi="Arial" w:cs="Arial"/>
          <w:color w:val="808080" w:themeColor="background1" w:themeShade="80"/>
          <w:sz w:val="22"/>
          <w:szCs w:val="22"/>
          <w:lang w:val="en-GB"/>
        </w:rPr>
        <w:t>in the Cayman Islands against prejudice and inconvenience in the processing of claims in the foreign bankruptcy proceeding;</w:t>
      </w:r>
    </w:p>
    <w:p w14:paraId="3BF74EF8" w14:textId="57848899" w:rsidR="00ED341D" w:rsidRDefault="00ED341D" w:rsidP="00C25BC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prevention of preferential treatment or fraudulent dispositions of property comprised in the debtor’s estate;</w:t>
      </w:r>
    </w:p>
    <w:p w14:paraId="1279418F" w14:textId="6AFA3734" w:rsidR="00ED341D" w:rsidRDefault="00ED341D" w:rsidP="00C25BC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distribution of the debtor’s estate amongst creditors in accordance with the order prescribed by Part V of the Companies Act;</w:t>
      </w:r>
    </w:p>
    <w:p w14:paraId="1C24C6C5" w14:textId="46C25F02" w:rsidR="00ED341D" w:rsidRDefault="00ED341D" w:rsidP="00C25BC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recognition and enforcement of security interests created by the debtor; </w:t>
      </w:r>
    </w:p>
    <w:p w14:paraId="7F35366C" w14:textId="68ACFA8B" w:rsidR="00ED341D" w:rsidRDefault="00ED341D" w:rsidP="00C25BC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non-enforcement of foreign taxes, fines and penalties; and</w:t>
      </w:r>
    </w:p>
    <w:p w14:paraId="4F148EA5" w14:textId="33DBF52B" w:rsidR="00ED341D" w:rsidRPr="00C25BC8" w:rsidRDefault="00ED341D" w:rsidP="00C25BC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principle of comity.</w:t>
      </w:r>
    </w:p>
    <w:p w14:paraId="1CAEB19C" w14:textId="5B3334B8" w:rsidR="005A3A47" w:rsidRDefault="005A3A47" w:rsidP="00AB0E3A">
      <w:pPr>
        <w:jc w:val="both"/>
        <w:rPr>
          <w:rFonts w:ascii="Arial" w:hAnsi="Arial" w:cs="Arial"/>
          <w:color w:val="808080" w:themeColor="background1" w:themeShade="80"/>
          <w:sz w:val="22"/>
          <w:szCs w:val="22"/>
          <w:lang w:val="en-GB"/>
        </w:rPr>
      </w:pPr>
    </w:p>
    <w:p w14:paraId="567A5DB8" w14:textId="697CFAA5" w:rsidR="00ED341D" w:rsidRDefault="00ED341D"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Bankruptcy Proceedings (International Cooperation) Rules 2018 contains the procedures by which a foreign representative can be recognised in the Cayman Islands and seek assistance of the Grand Court.</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210D4731" w:rsidR="00E4294D" w:rsidRDefault="00111C6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Judgments Reciprocal Enforcement Act (1996 Revision) provides a statutory scheme for the recognition and enforcement of foreign judgments, as long as the country from which the judgment originates has in place reciprocity of treatment regarding the enforcement of Cayman Islands judgments (see s. 3(1)).  However, t</w:t>
      </w:r>
      <w:r w:rsidR="003E1EE9">
        <w:rPr>
          <w:rFonts w:ascii="Arial" w:hAnsi="Arial" w:cs="Arial"/>
          <w:color w:val="808080" w:themeColor="background1" w:themeShade="80"/>
          <w:sz w:val="22"/>
          <w:szCs w:val="22"/>
          <w:lang w:val="en-GB"/>
        </w:rPr>
        <w:t>o date, only judgments from superior courts of Australia have been so recognised.  The procedure is governed by Order 71 of the Grand Court Rules.  In order to be enforceable, the judgment must be final, a money judgment (and not declaratory relief)</w:t>
      </w:r>
      <w:r w:rsidR="00682452">
        <w:rPr>
          <w:rFonts w:ascii="Arial" w:hAnsi="Arial" w:cs="Arial"/>
          <w:color w:val="808080" w:themeColor="background1" w:themeShade="80"/>
          <w:sz w:val="22"/>
          <w:szCs w:val="22"/>
          <w:lang w:val="en-GB"/>
        </w:rPr>
        <w:t>,</w:t>
      </w:r>
      <w:r w:rsidR="003E1EE9">
        <w:rPr>
          <w:rFonts w:ascii="Arial" w:hAnsi="Arial" w:cs="Arial"/>
          <w:color w:val="808080" w:themeColor="background1" w:themeShade="80"/>
          <w:sz w:val="22"/>
          <w:szCs w:val="22"/>
          <w:lang w:val="en-GB"/>
        </w:rPr>
        <w:t xml:space="preserve"> and made after the 1996 Revision of the </w:t>
      </w:r>
      <w:r w:rsidR="003E1EE9">
        <w:rPr>
          <w:rFonts w:ascii="Arial" w:hAnsi="Arial" w:cs="Arial"/>
          <w:color w:val="808080" w:themeColor="background1" w:themeShade="80"/>
          <w:sz w:val="22"/>
          <w:szCs w:val="22"/>
          <w:lang w:val="en-GB"/>
        </w:rPr>
        <w:t>Foreign Judgments Reciprocal Enforcement Act</w:t>
      </w:r>
      <w:r w:rsidR="003E1EE9">
        <w:rPr>
          <w:rFonts w:ascii="Arial" w:hAnsi="Arial" w:cs="Arial"/>
          <w:color w:val="808080" w:themeColor="background1" w:themeShade="80"/>
          <w:sz w:val="22"/>
          <w:szCs w:val="22"/>
          <w:lang w:val="en-GB"/>
        </w:rPr>
        <w:t xml:space="preserve"> was extended to the relevant foreign country.</w:t>
      </w:r>
    </w:p>
    <w:p w14:paraId="4537FE12" w14:textId="101AC4BF" w:rsidR="003E1EE9" w:rsidRDefault="003E1EE9" w:rsidP="00E4294D">
      <w:pPr>
        <w:jc w:val="both"/>
        <w:rPr>
          <w:rFonts w:ascii="Arial" w:hAnsi="Arial" w:cs="Arial"/>
          <w:color w:val="808080" w:themeColor="background1" w:themeShade="80"/>
          <w:sz w:val="22"/>
          <w:szCs w:val="22"/>
          <w:lang w:val="en-GB"/>
        </w:rPr>
      </w:pPr>
    </w:p>
    <w:p w14:paraId="05A377DF" w14:textId="3323069E" w:rsidR="00682452" w:rsidRDefault="003E1EE9"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Given th</w:t>
      </w:r>
      <w:r w:rsidR="00682452">
        <w:rPr>
          <w:rFonts w:ascii="Arial" w:hAnsi="Arial" w:cs="Arial"/>
          <w:color w:val="808080" w:themeColor="background1" w:themeShade="80"/>
          <w:sz w:val="22"/>
          <w:szCs w:val="22"/>
          <w:lang w:val="en-GB"/>
        </w:rPr>
        <w:t>e limited scope of judgments</w:t>
      </w:r>
      <w:r>
        <w:rPr>
          <w:rFonts w:ascii="Arial" w:hAnsi="Arial" w:cs="Arial"/>
          <w:color w:val="808080" w:themeColor="background1" w:themeShade="80"/>
          <w:sz w:val="22"/>
          <w:szCs w:val="22"/>
          <w:lang w:val="en-GB"/>
        </w:rPr>
        <w:t xml:space="preserve"> presently enforced by statute,</w:t>
      </w:r>
      <w:r w:rsidR="00682452">
        <w:rPr>
          <w:rFonts w:ascii="Arial" w:hAnsi="Arial" w:cs="Arial"/>
          <w:color w:val="808080" w:themeColor="background1" w:themeShade="80"/>
          <w:sz w:val="22"/>
          <w:szCs w:val="22"/>
          <w:lang w:val="en-GB"/>
        </w:rPr>
        <w:t xml:space="preserve"> foreign judgments from other jurisdictions can be achieved by commencing a new action in the Cayman Islands based on the foreign judgment as an unsatisfied debt or other obligation (monetary and non-monetary judgments are enforceable at common law).  Such actions are conducted under the Grand Court Rules.  To be enforceable at common law</w:t>
      </w:r>
      <w:r w:rsidR="00E86000">
        <w:rPr>
          <w:rFonts w:ascii="Arial" w:hAnsi="Arial" w:cs="Arial"/>
          <w:color w:val="808080" w:themeColor="background1" w:themeShade="80"/>
          <w:sz w:val="22"/>
          <w:szCs w:val="22"/>
          <w:lang w:val="en-GB"/>
        </w:rPr>
        <w:t>,</w:t>
      </w:r>
      <w:r w:rsidR="00682452">
        <w:rPr>
          <w:rFonts w:ascii="Arial" w:hAnsi="Arial" w:cs="Arial"/>
          <w:color w:val="808080" w:themeColor="background1" w:themeShade="80"/>
          <w:sz w:val="22"/>
          <w:szCs w:val="22"/>
          <w:lang w:val="en-GB"/>
        </w:rPr>
        <w:t>:</w:t>
      </w:r>
    </w:p>
    <w:p w14:paraId="3A6ACC5B" w14:textId="77777777" w:rsidR="00682452" w:rsidRDefault="00682452" w:rsidP="00E4294D">
      <w:pPr>
        <w:jc w:val="both"/>
        <w:rPr>
          <w:rFonts w:ascii="Arial" w:hAnsi="Arial" w:cs="Arial"/>
          <w:color w:val="808080" w:themeColor="background1" w:themeShade="80"/>
          <w:sz w:val="22"/>
          <w:szCs w:val="22"/>
          <w:lang w:val="en-GB"/>
        </w:rPr>
      </w:pPr>
    </w:p>
    <w:p w14:paraId="034277DB" w14:textId="28D96E6A" w:rsidR="00682452" w:rsidRDefault="00682452" w:rsidP="00682452">
      <w:pPr>
        <w:pStyle w:val="ListParagraph"/>
        <w:numPr>
          <w:ilvl w:val="0"/>
          <w:numId w:val="43"/>
        </w:numPr>
        <w:jc w:val="both"/>
        <w:rPr>
          <w:rFonts w:ascii="Arial" w:hAnsi="Arial" w:cs="Arial"/>
          <w:color w:val="808080" w:themeColor="background1" w:themeShade="80"/>
          <w:sz w:val="22"/>
          <w:szCs w:val="22"/>
          <w:lang w:val="en-GB"/>
        </w:rPr>
      </w:pPr>
      <w:r w:rsidRPr="00682452">
        <w:rPr>
          <w:rFonts w:ascii="Arial" w:hAnsi="Arial" w:cs="Arial"/>
          <w:color w:val="808080" w:themeColor="background1" w:themeShade="80"/>
          <w:sz w:val="22"/>
          <w:szCs w:val="22"/>
          <w:lang w:val="en-GB"/>
        </w:rPr>
        <w:t>the</w:t>
      </w:r>
      <w:r w:rsidR="00E86000">
        <w:rPr>
          <w:rFonts w:ascii="Arial" w:hAnsi="Arial" w:cs="Arial"/>
          <w:color w:val="808080" w:themeColor="background1" w:themeShade="80"/>
          <w:sz w:val="22"/>
          <w:szCs w:val="22"/>
          <w:lang w:val="en-GB"/>
        </w:rPr>
        <w:t xml:space="preserve"> foreign</w:t>
      </w:r>
      <w:r w:rsidRPr="00682452">
        <w:rPr>
          <w:rFonts w:ascii="Arial" w:hAnsi="Arial" w:cs="Arial"/>
          <w:color w:val="808080" w:themeColor="background1" w:themeShade="80"/>
          <w:sz w:val="22"/>
          <w:szCs w:val="22"/>
          <w:lang w:val="en-GB"/>
        </w:rPr>
        <w:t xml:space="preserve"> judgment must be final</w:t>
      </w:r>
      <w:r>
        <w:rPr>
          <w:rFonts w:ascii="Arial" w:hAnsi="Arial" w:cs="Arial"/>
          <w:color w:val="808080" w:themeColor="background1" w:themeShade="80"/>
          <w:sz w:val="22"/>
          <w:szCs w:val="22"/>
          <w:lang w:val="en-GB"/>
        </w:rPr>
        <w:t>;</w:t>
      </w:r>
    </w:p>
    <w:p w14:paraId="6DFA7C72" w14:textId="1E87159D" w:rsidR="003E1EE9" w:rsidRDefault="00682452" w:rsidP="0068245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682452">
        <w:rPr>
          <w:rFonts w:ascii="Arial" w:hAnsi="Arial" w:cs="Arial"/>
          <w:color w:val="808080" w:themeColor="background1" w:themeShade="80"/>
          <w:sz w:val="22"/>
          <w:szCs w:val="22"/>
          <w:lang w:val="en-GB"/>
        </w:rPr>
        <w:t>he foreign court had jurisdiction over the debtor</w:t>
      </w:r>
      <w:r>
        <w:rPr>
          <w:rFonts w:ascii="Arial" w:hAnsi="Arial" w:cs="Arial"/>
          <w:color w:val="808080" w:themeColor="background1" w:themeShade="80"/>
          <w:sz w:val="22"/>
          <w:szCs w:val="22"/>
          <w:lang w:val="en-GB"/>
        </w:rPr>
        <w:t>;</w:t>
      </w:r>
    </w:p>
    <w:p w14:paraId="3F54EEC5" w14:textId="12C6938D" w:rsidR="00682452" w:rsidRDefault="00682452" w:rsidP="0068245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 was not obtained by fraud;</w:t>
      </w:r>
    </w:p>
    <w:p w14:paraId="67173F85" w14:textId="3BEDBBCF" w:rsidR="00682452" w:rsidRDefault="00E86000" w:rsidP="0068245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w:t>
      </w:r>
      <w:r>
        <w:rPr>
          <w:rFonts w:ascii="Arial" w:hAnsi="Arial" w:cs="Arial"/>
          <w:color w:val="808080" w:themeColor="background1" w:themeShade="80"/>
          <w:sz w:val="22"/>
          <w:szCs w:val="22"/>
          <w:lang w:val="en-GB"/>
        </w:rPr>
        <w:t xml:space="preserve"> is not contrary to public policy in the Cayman Islands; and</w:t>
      </w:r>
    </w:p>
    <w:p w14:paraId="3414BC8F" w14:textId="6C5859F6" w:rsidR="00E86000" w:rsidRPr="00682452" w:rsidRDefault="00E86000" w:rsidP="0068245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w:t>
      </w:r>
      <w:r>
        <w:rPr>
          <w:rFonts w:ascii="Arial" w:hAnsi="Arial" w:cs="Arial"/>
          <w:color w:val="808080" w:themeColor="background1" w:themeShade="80"/>
          <w:sz w:val="22"/>
          <w:szCs w:val="22"/>
          <w:lang w:val="en-GB"/>
        </w:rPr>
        <w:t xml:space="preserve"> foreign judgment</w:t>
      </w:r>
      <w:r>
        <w:rPr>
          <w:rFonts w:ascii="Arial" w:hAnsi="Arial" w:cs="Arial"/>
          <w:color w:val="808080" w:themeColor="background1" w:themeShade="80"/>
          <w:sz w:val="22"/>
          <w:szCs w:val="22"/>
          <w:lang w:val="en-GB"/>
        </w:rPr>
        <w:t xml:space="preserve"> was not obtained contrary to the rules of natural justice.</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764974B8" w:rsidR="00E4294D" w:rsidRDefault="00A92B9D"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rPr>
        <w:t>Official</w:t>
      </w:r>
      <w:r>
        <w:rPr>
          <w:rFonts w:ascii="Arial" w:hAnsi="Arial" w:cs="Arial"/>
          <w:color w:val="808080" w:themeColor="background1" w:themeShade="80"/>
          <w:sz w:val="22"/>
          <w:szCs w:val="22"/>
          <w:lang w:val="en-GB"/>
        </w:rPr>
        <w:t xml:space="preserve"> liquidators can bring claims against directors on behalf of the company to make them personally liable for any losses caused </w:t>
      </w:r>
      <w:r>
        <w:rPr>
          <w:rFonts w:ascii="Arial" w:hAnsi="Arial" w:cs="Arial"/>
          <w:color w:val="808080" w:themeColor="background1" w:themeShade="80"/>
          <w:sz w:val="22"/>
          <w:szCs w:val="22"/>
          <w:lang w:val="en-GB"/>
        </w:rPr>
        <w:t>to the company</w:t>
      </w:r>
      <w:r>
        <w:rPr>
          <w:rFonts w:ascii="Arial" w:hAnsi="Arial" w:cs="Arial"/>
          <w:color w:val="808080" w:themeColor="background1" w:themeShade="80"/>
          <w:sz w:val="22"/>
          <w:szCs w:val="22"/>
          <w:lang w:val="en-GB"/>
        </w:rPr>
        <w:t xml:space="preserve">, if it can be shown that the directors acted in breach of their fiduciary duty to act in the best interests of the company. </w:t>
      </w:r>
      <w:r w:rsidR="000D57B4">
        <w:rPr>
          <w:rFonts w:ascii="Arial" w:hAnsi="Arial" w:cs="Arial"/>
          <w:color w:val="808080" w:themeColor="background1" w:themeShade="80"/>
          <w:sz w:val="22"/>
          <w:szCs w:val="22"/>
          <w:lang w:val="en-GB"/>
        </w:rPr>
        <w:t xml:space="preserve"> </w:t>
      </w:r>
    </w:p>
    <w:p w14:paraId="5C37A340" w14:textId="5D7EB161" w:rsidR="000D57B4" w:rsidRDefault="000D57B4" w:rsidP="00BC3A55">
      <w:pPr>
        <w:jc w:val="both"/>
        <w:rPr>
          <w:rFonts w:ascii="Arial" w:hAnsi="Arial" w:cs="Arial"/>
          <w:color w:val="808080" w:themeColor="background1" w:themeShade="80"/>
          <w:sz w:val="22"/>
          <w:szCs w:val="22"/>
          <w:lang w:val="en-GB"/>
        </w:rPr>
      </w:pPr>
    </w:p>
    <w:p w14:paraId="6067BBFD" w14:textId="7B154C12" w:rsidR="000D57B4" w:rsidRDefault="000D57B4"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s. 145 of the Companies Act, any payment or disposal of property to a creditor constitutes a voidable preference if </w:t>
      </w:r>
      <w:r w:rsidR="00DD1270">
        <w:rPr>
          <w:rFonts w:ascii="Arial" w:hAnsi="Arial" w:cs="Arial"/>
          <w:color w:val="808080" w:themeColor="background1" w:themeShade="80"/>
          <w:sz w:val="22"/>
          <w:szCs w:val="22"/>
          <w:lang w:val="en-GB"/>
        </w:rPr>
        <w:t xml:space="preserve">(a) </w:t>
      </w:r>
      <w:r>
        <w:rPr>
          <w:rFonts w:ascii="Arial" w:hAnsi="Arial" w:cs="Arial"/>
          <w:color w:val="808080" w:themeColor="background1" w:themeShade="80"/>
          <w:sz w:val="22"/>
          <w:szCs w:val="22"/>
          <w:lang w:val="en-GB"/>
        </w:rPr>
        <w:t>it occurs within 6 months prior to the deemed commencement of the company’s liquidation and at a time when it was unable to pay its debts</w:t>
      </w:r>
      <w:r w:rsidR="00DD127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and </w:t>
      </w:r>
      <w:r w:rsidR="00DD1270">
        <w:rPr>
          <w:rFonts w:ascii="Arial" w:hAnsi="Arial" w:cs="Arial"/>
          <w:color w:val="808080" w:themeColor="background1" w:themeShade="80"/>
          <w:sz w:val="22"/>
          <w:szCs w:val="22"/>
          <w:lang w:val="en-GB"/>
        </w:rPr>
        <w:t xml:space="preserve">(b) </w:t>
      </w:r>
      <w:r>
        <w:rPr>
          <w:rFonts w:ascii="Arial" w:hAnsi="Arial" w:cs="Arial"/>
          <w:color w:val="808080" w:themeColor="background1" w:themeShade="80"/>
          <w:sz w:val="22"/>
          <w:szCs w:val="22"/>
          <w:lang w:val="en-GB"/>
        </w:rPr>
        <w:t>the dominant intention of the directors was to give the relevant creditor a preference over other creditors.</w:t>
      </w:r>
      <w:r w:rsidR="00DD1270">
        <w:rPr>
          <w:rFonts w:ascii="Arial" w:hAnsi="Arial" w:cs="Arial"/>
          <w:color w:val="808080" w:themeColor="background1" w:themeShade="80"/>
          <w:sz w:val="22"/>
          <w:szCs w:val="22"/>
          <w:lang w:val="en-GB"/>
        </w:rPr>
        <w:t xml:space="preserve"> </w:t>
      </w:r>
      <w:r w:rsidR="00DD1270">
        <w:rPr>
          <w:rFonts w:ascii="Arial" w:hAnsi="Arial" w:cs="Arial"/>
          <w:color w:val="808080" w:themeColor="background1" w:themeShade="80"/>
          <w:sz w:val="22"/>
          <w:szCs w:val="22"/>
          <w:lang w:val="en-GB"/>
        </w:rPr>
        <w:t xml:space="preserve">The  Cayman Islands Court of Appeal and Judicial Committee of the Privy Council </w:t>
      </w:r>
      <w:r w:rsidR="00DD1270">
        <w:rPr>
          <w:rFonts w:ascii="Arial" w:hAnsi="Arial" w:cs="Arial"/>
          <w:color w:val="808080" w:themeColor="background1" w:themeShade="80"/>
          <w:sz w:val="22"/>
          <w:szCs w:val="22"/>
          <w:lang w:val="en-GB"/>
        </w:rPr>
        <w:t xml:space="preserve">in </w:t>
      </w:r>
      <w:r w:rsidR="00DD1270" w:rsidRPr="00DD1270">
        <w:rPr>
          <w:rFonts w:ascii="Arial" w:hAnsi="Arial" w:cs="Arial"/>
          <w:i/>
          <w:iCs/>
          <w:color w:val="808080" w:themeColor="background1" w:themeShade="80"/>
          <w:sz w:val="22"/>
          <w:szCs w:val="22"/>
          <w:lang w:val="en-GB"/>
        </w:rPr>
        <w:t>Re Weavering Macro Fixed Income Fund Ltd</w:t>
      </w:r>
      <w:r w:rsidR="00DD1270">
        <w:rPr>
          <w:rFonts w:ascii="Arial" w:hAnsi="Arial" w:cs="Arial"/>
          <w:color w:val="808080" w:themeColor="background1" w:themeShade="80"/>
          <w:sz w:val="22"/>
          <w:szCs w:val="22"/>
          <w:lang w:val="en-GB"/>
        </w:rPr>
        <w:t xml:space="preserve"> (in Liquidation) [2016] (2) CILR 514 and [2019] (2) CILR 245 </w:t>
      </w:r>
      <w:r w:rsidR="00DD1270">
        <w:rPr>
          <w:rFonts w:ascii="Arial" w:hAnsi="Arial" w:cs="Arial"/>
          <w:color w:val="808080" w:themeColor="background1" w:themeShade="80"/>
          <w:sz w:val="22"/>
          <w:szCs w:val="22"/>
          <w:lang w:val="en-GB"/>
        </w:rPr>
        <w:t xml:space="preserve">considered each </w:t>
      </w:r>
      <w:r w:rsidR="00DD1270">
        <w:rPr>
          <w:rFonts w:ascii="Arial" w:hAnsi="Arial" w:cs="Arial"/>
          <w:color w:val="808080" w:themeColor="background1" w:themeShade="80"/>
          <w:sz w:val="22"/>
          <w:szCs w:val="22"/>
          <w:lang w:val="en-GB"/>
        </w:rPr>
        <w:t>limb</w:t>
      </w:r>
      <w:r w:rsidR="00DD1270">
        <w:rPr>
          <w:rFonts w:ascii="Arial" w:hAnsi="Arial" w:cs="Arial"/>
          <w:color w:val="808080" w:themeColor="background1" w:themeShade="80"/>
          <w:sz w:val="22"/>
          <w:szCs w:val="22"/>
          <w:lang w:val="en-GB"/>
        </w:rPr>
        <w:t xml:space="preserve"> of the test</w:t>
      </w:r>
      <w:r w:rsidR="00DD1270">
        <w:rPr>
          <w:rFonts w:ascii="Arial" w:hAnsi="Arial" w:cs="Arial"/>
          <w:color w:val="808080" w:themeColor="background1" w:themeShade="80"/>
          <w:sz w:val="22"/>
          <w:szCs w:val="22"/>
          <w:lang w:val="en-GB"/>
        </w:rPr>
        <w:t xml:space="preserve"> above</w:t>
      </w:r>
      <w:r w:rsidR="00DD1270">
        <w:rPr>
          <w:rFonts w:ascii="Arial" w:hAnsi="Arial" w:cs="Arial"/>
          <w:color w:val="808080" w:themeColor="background1" w:themeShade="80"/>
          <w:sz w:val="22"/>
          <w:szCs w:val="22"/>
          <w:lang w:val="en-GB"/>
        </w:rPr>
        <w:t xml:space="preserve"> to be applied</w:t>
      </w:r>
      <w:r w:rsidR="00DD1270">
        <w:rPr>
          <w:rFonts w:ascii="Arial" w:hAnsi="Arial" w:cs="Arial"/>
          <w:color w:val="808080" w:themeColor="background1" w:themeShade="80"/>
          <w:sz w:val="22"/>
          <w:szCs w:val="22"/>
          <w:lang w:val="en-GB"/>
        </w:rPr>
        <w:t xml:space="preserve"> in identifying voidable preferences.</w:t>
      </w:r>
    </w:p>
    <w:p w14:paraId="7B14503D" w14:textId="55571E2F" w:rsidR="00DD1270" w:rsidRDefault="00DD1270" w:rsidP="00BC3A55">
      <w:pPr>
        <w:jc w:val="both"/>
        <w:rPr>
          <w:rFonts w:ascii="Arial" w:hAnsi="Arial" w:cs="Arial"/>
          <w:color w:val="808080" w:themeColor="background1" w:themeShade="80"/>
          <w:sz w:val="22"/>
          <w:szCs w:val="22"/>
          <w:lang w:val="en-GB"/>
        </w:rPr>
      </w:pPr>
    </w:p>
    <w:p w14:paraId="0A2DCBD1" w14:textId="08AB1F2A" w:rsidR="00DD1270" w:rsidRDefault="00DD1270"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s. 146 of the Companies Act, a transaction whereby property is disposed of at an undervalue (i.e. no consideration or substantially below the value of the property) and with the intention of willfully defeating an obligation owed to a creditor (i.e., an intent to defraud), is voidable </w:t>
      </w:r>
      <w:r w:rsidR="00274E52">
        <w:rPr>
          <w:rFonts w:ascii="Arial" w:hAnsi="Arial" w:cs="Arial"/>
          <w:color w:val="808080" w:themeColor="background1" w:themeShade="80"/>
          <w:sz w:val="22"/>
          <w:szCs w:val="22"/>
          <w:lang w:val="en-GB"/>
        </w:rPr>
        <w:t>on application by the liquidator to the court.  The application must be brought within 6 years of the disposal.</w:t>
      </w:r>
    </w:p>
    <w:p w14:paraId="02BD57F5" w14:textId="34E40F99" w:rsidR="00274E52" w:rsidRDefault="00274E52" w:rsidP="00BC3A55">
      <w:pPr>
        <w:jc w:val="both"/>
        <w:rPr>
          <w:rFonts w:ascii="Arial" w:hAnsi="Arial" w:cs="Arial"/>
          <w:color w:val="808080" w:themeColor="background1" w:themeShade="80"/>
          <w:sz w:val="22"/>
          <w:szCs w:val="22"/>
          <w:lang w:val="en-GB"/>
        </w:rPr>
      </w:pPr>
    </w:p>
    <w:p w14:paraId="633F7CD6" w14:textId="3CD2F43E" w:rsidR="00924973" w:rsidRDefault="00274E52" w:rsidP="002A37BB">
      <w:pPr>
        <w:jc w:val="both"/>
        <w:rPr>
          <w:rFonts w:ascii="Arial" w:hAnsi="Arial" w:cs="Arial"/>
          <w:sz w:val="22"/>
          <w:szCs w:val="22"/>
          <w:shd w:val="clear" w:color="auto" w:fill="FFFFFF"/>
        </w:rPr>
      </w:pPr>
      <w:r>
        <w:rPr>
          <w:rFonts w:ascii="Arial" w:hAnsi="Arial" w:cs="Arial"/>
          <w:color w:val="808080" w:themeColor="background1" w:themeShade="80"/>
          <w:sz w:val="22"/>
          <w:szCs w:val="22"/>
          <w:lang w:val="en-GB"/>
        </w:rPr>
        <w:t>Under s. 147 of the Companies Act, if the directors carried on the business of the company with the intent to defraud creditors or for any fraudulent purpose, a liquidator may apply to the Court for an order requiring any persons who were knowingly parties to such conduct to make contributions to the company’s assets as the Court thinks proper.</w:t>
      </w: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141E51A3" w:rsidR="00E4294D" w:rsidRDefault="00551E86"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 can play a role in a Cayman Islands insolvency.  A receiver appointed by way of order from the Grand Court or via appointment under a contractual security arrangement can be an effective enforcement tool for a secured creditor or a judgment creditor.  </w:t>
      </w:r>
    </w:p>
    <w:p w14:paraId="6A2E9182" w14:textId="17912A61" w:rsidR="00551E86" w:rsidRDefault="00551E86" w:rsidP="00E4294D">
      <w:pPr>
        <w:jc w:val="both"/>
        <w:rPr>
          <w:rFonts w:ascii="Arial" w:hAnsi="Arial" w:cs="Arial"/>
          <w:color w:val="808080" w:themeColor="background1" w:themeShade="80"/>
          <w:sz w:val="22"/>
          <w:szCs w:val="22"/>
          <w:lang w:val="en-GB"/>
        </w:rPr>
      </w:pPr>
    </w:p>
    <w:p w14:paraId="64EA2137" w14:textId="4D5015D5" w:rsidR="00F2126A" w:rsidRDefault="00551E86"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an inherent flexibility in receivership appointments arising under contract</w:t>
      </w:r>
      <w:r w:rsidR="00F2126A">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as there are no specific statutory provisions governing such </w:t>
      </w:r>
      <w:r w:rsidR="00F2126A">
        <w:rPr>
          <w:rFonts w:ascii="Arial" w:hAnsi="Arial" w:cs="Arial"/>
          <w:color w:val="808080" w:themeColor="background1" w:themeShade="80"/>
          <w:sz w:val="22"/>
          <w:szCs w:val="22"/>
          <w:lang w:val="en-GB"/>
        </w:rPr>
        <w:t>appointments and there is no statutory requirement to register the appointment of a receiver in the Cayman Islands.</w:t>
      </w:r>
    </w:p>
    <w:p w14:paraId="1462744F" w14:textId="470CAA8D" w:rsidR="00F2126A" w:rsidRDefault="00F2126A" w:rsidP="00E4294D">
      <w:pPr>
        <w:jc w:val="both"/>
        <w:rPr>
          <w:rFonts w:ascii="Arial" w:hAnsi="Arial" w:cs="Arial"/>
          <w:color w:val="808080" w:themeColor="background1" w:themeShade="80"/>
          <w:sz w:val="22"/>
          <w:szCs w:val="22"/>
          <w:lang w:val="en-GB"/>
        </w:rPr>
      </w:pPr>
    </w:p>
    <w:p w14:paraId="4BF7BA4A" w14:textId="04B66E3C" w:rsidR="00F2126A" w:rsidRDefault="00F2126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receiver appointed to a segregated portfolio of a segregated portfolio company (</w:t>
      </w:r>
      <w:r w:rsidRPr="00F2126A">
        <w:rPr>
          <w:rFonts w:ascii="Arial" w:hAnsi="Arial" w:cs="Arial"/>
          <w:b/>
          <w:bCs/>
          <w:color w:val="808080" w:themeColor="background1" w:themeShade="80"/>
          <w:sz w:val="22"/>
          <w:szCs w:val="22"/>
          <w:lang w:val="en-GB"/>
        </w:rPr>
        <w:t>SPC</w:t>
      </w:r>
      <w:r>
        <w:rPr>
          <w:rFonts w:ascii="Arial" w:hAnsi="Arial" w:cs="Arial"/>
          <w:color w:val="808080" w:themeColor="background1" w:themeShade="80"/>
          <w:sz w:val="22"/>
          <w:szCs w:val="22"/>
          <w:lang w:val="en-GB"/>
        </w:rPr>
        <w:t xml:space="preserve">) by the Grand Court triggers an automatic stay on proceedings so that the SPC </w:t>
      </w:r>
      <w:r w:rsidR="0000393E">
        <w:rPr>
          <w:rFonts w:ascii="Arial" w:hAnsi="Arial" w:cs="Arial"/>
          <w:color w:val="808080" w:themeColor="background1" w:themeShade="80"/>
          <w:sz w:val="22"/>
          <w:szCs w:val="22"/>
          <w:lang w:val="en-GB"/>
        </w:rPr>
        <w:t>can enjoy protection and relief from enforcemnt or any other action being taken against it.  In addition to realisation of the SPC’s assets a receiver can investigate into the conduct of the SPC’s segregated portfolio assets and if applicable the general assets, without the need for a liquidator to be appointed over the SPC.  A receiver could also apply to the Grand Court for further powers not expressly found in s. 224 of Companies Law (2018 Revision), if required.</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lastRenderedPageBreak/>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1911D9F" w14:textId="4E398C5B" w:rsidR="00952187" w:rsidRDefault="00952187" w:rsidP="00952187">
      <w:pPr>
        <w:jc w:val="both"/>
        <w:rPr>
          <w:rFonts w:ascii="Arial" w:hAnsi="Arial" w:cs="Arial"/>
          <w:color w:val="808080" w:themeColor="background1" w:themeShade="80"/>
          <w:sz w:val="22"/>
          <w:szCs w:val="22"/>
          <w:lang w:val="en-GB"/>
        </w:rPr>
      </w:pPr>
    </w:p>
    <w:p w14:paraId="7AF6E945" w14:textId="28F48CEB" w:rsidR="006521A8" w:rsidRPr="006521A8" w:rsidRDefault="006521A8" w:rsidP="002C50C2">
      <w:pPr>
        <w:pStyle w:val="ListParagraph"/>
        <w:numPr>
          <w:ilvl w:val="0"/>
          <w:numId w:val="44"/>
        </w:numPr>
        <w:jc w:val="both"/>
        <w:rPr>
          <w:rFonts w:ascii="Arial" w:hAnsi="Arial" w:cs="Arial"/>
          <w:color w:val="000000" w:themeColor="text1"/>
          <w:sz w:val="22"/>
          <w:szCs w:val="22"/>
          <w:lang w:val="en-GB"/>
        </w:rPr>
      </w:pPr>
      <w:r>
        <w:rPr>
          <w:rFonts w:ascii="Arial" w:hAnsi="Arial" w:cs="Arial"/>
          <w:color w:val="808080" w:themeColor="background1" w:themeShade="80"/>
          <w:sz w:val="22"/>
          <w:szCs w:val="22"/>
          <w:lang w:val="en-GB"/>
        </w:rPr>
        <w:t>As a precaution,</w:t>
      </w:r>
      <w:r w:rsidR="00877D28">
        <w:rPr>
          <w:rFonts w:ascii="Arial" w:hAnsi="Arial" w:cs="Arial"/>
          <w:color w:val="808080" w:themeColor="background1" w:themeShade="80"/>
          <w:sz w:val="22"/>
          <w:szCs w:val="22"/>
          <w:lang w:val="en-GB"/>
        </w:rPr>
        <w:t xml:space="preserve"> Sparrow should check that its security over the party boats is registered in the centrally maintained register for vessels in the Cayman Islands, to ensure that any third-party purchaser of the party boats </w:t>
      </w:r>
      <w:r>
        <w:rPr>
          <w:rFonts w:ascii="Arial" w:hAnsi="Arial" w:cs="Arial"/>
          <w:color w:val="808080" w:themeColor="background1" w:themeShade="80"/>
          <w:sz w:val="22"/>
          <w:szCs w:val="22"/>
          <w:lang w:val="en-GB"/>
        </w:rPr>
        <w:t xml:space="preserve">will be deemed to have notice of Sparrow’s interest. </w:t>
      </w:r>
      <w:r w:rsidR="00877D28">
        <w:rPr>
          <w:rFonts w:ascii="Arial" w:hAnsi="Arial" w:cs="Arial"/>
          <w:color w:val="808080" w:themeColor="background1" w:themeShade="80"/>
          <w:sz w:val="22"/>
          <w:szCs w:val="22"/>
          <w:lang w:val="en-GB"/>
        </w:rPr>
        <w:t xml:space="preserve"> </w:t>
      </w:r>
    </w:p>
    <w:p w14:paraId="15AB7CD6" w14:textId="77777777" w:rsidR="006521A8" w:rsidRPr="006521A8" w:rsidRDefault="006521A8" w:rsidP="006521A8">
      <w:pPr>
        <w:pStyle w:val="ListParagraph"/>
        <w:jc w:val="both"/>
        <w:rPr>
          <w:rFonts w:ascii="Arial" w:hAnsi="Arial" w:cs="Arial"/>
          <w:color w:val="000000" w:themeColor="text1"/>
          <w:sz w:val="22"/>
          <w:szCs w:val="22"/>
          <w:lang w:val="en-GB"/>
        </w:rPr>
      </w:pPr>
    </w:p>
    <w:p w14:paraId="0D8F3F10" w14:textId="07B45AE0" w:rsidR="00877D28" w:rsidRPr="00877D28" w:rsidRDefault="00E40D91" w:rsidP="006521A8">
      <w:pPr>
        <w:pStyle w:val="ListParagraph"/>
        <w:jc w:val="both"/>
        <w:rPr>
          <w:rFonts w:ascii="Arial" w:hAnsi="Arial" w:cs="Arial"/>
          <w:color w:val="000000" w:themeColor="text1"/>
          <w:sz w:val="22"/>
          <w:szCs w:val="22"/>
          <w:lang w:val="en-GB"/>
        </w:rPr>
      </w:pPr>
      <w:r w:rsidRPr="00DA06FE">
        <w:rPr>
          <w:rFonts w:ascii="Arial" w:hAnsi="Arial" w:cs="Arial"/>
          <w:color w:val="808080" w:themeColor="background1" w:themeShade="80"/>
          <w:sz w:val="22"/>
          <w:szCs w:val="22"/>
          <w:lang w:val="en-GB"/>
        </w:rPr>
        <w:t xml:space="preserve">Under </w:t>
      </w:r>
      <w:r w:rsidR="00DA06FE">
        <w:rPr>
          <w:rFonts w:ascii="Arial" w:hAnsi="Arial" w:cs="Arial"/>
          <w:color w:val="808080" w:themeColor="background1" w:themeShade="80"/>
          <w:sz w:val="22"/>
          <w:szCs w:val="22"/>
          <w:lang w:val="en-GB"/>
        </w:rPr>
        <w:t xml:space="preserve">s. 142 of </w:t>
      </w:r>
      <w:r w:rsidRPr="00DA06FE">
        <w:rPr>
          <w:rFonts w:ascii="Arial" w:hAnsi="Arial" w:cs="Arial"/>
          <w:color w:val="808080" w:themeColor="background1" w:themeShade="80"/>
          <w:sz w:val="22"/>
          <w:szCs w:val="22"/>
          <w:lang w:val="en-GB"/>
        </w:rPr>
        <w:t xml:space="preserve">the Companies Act, Sparrow can </w:t>
      </w:r>
      <w:r w:rsidR="006521A8">
        <w:rPr>
          <w:rFonts w:ascii="Arial" w:hAnsi="Arial" w:cs="Arial"/>
          <w:color w:val="808080" w:themeColor="background1" w:themeShade="80"/>
          <w:sz w:val="22"/>
          <w:szCs w:val="22"/>
          <w:lang w:val="en-GB"/>
        </w:rPr>
        <w:t xml:space="preserve">immediately </w:t>
      </w:r>
      <w:r w:rsidRPr="00DA06FE">
        <w:rPr>
          <w:rFonts w:ascii="Arial" w:hAnsi="Arial" w:cs="Arial"/>
          <w:color w:val="808080" w:themeColor="background1" w:themeShade="80"/>
          <w:sz w:val="22"/>
          <w:szCs w:val="22"/>
          <w:lang w:val="en-GB"/>
        </w:rPr>
        <w:t>enforce its security over the 4 party boats and sell the</w:t>
      </w:r>
      <w:r w:rsidR="00DA06FE">
        <w:rPr>
          <w:rFonts w:ascii="Arial" w:hAnsi="Arial" w:cs="Arial"/>
          <w:color w:val="808080" w:themeColor="background1" w:themeShade="80"/>
          <w:sz w:val="22"/>
          <w:szCs w:val="22"/>
          <w:lang w:val="en-GB"/>
        </w:rPr>
        <w:t>se</w:t>
      </w:r>
      <w:r w:rsidRPr="00DA06FE">
        <w:rPr>
          <w:rFonts w:ascii="Arial" w:hAnsi="Arial" w:cs="Arial"/>
          <w:color w:val="808080" w:themeColor="background1" w:themeShade="80"/>
          <w:sz w:val="22"/>
          <w:szCs w:val="22"/>
          <w:lang w:val="en-GB"/>
        </w:rPr>
        <w:t xml:space="preserve"> boats</w:t>
      </w:r>
      <w:r w:rsidR="006521A8">
        <w:rPr>
          <w:rFonts w:ascii="Arial" w:hAnsi="Arial" w:cs="Arial"/>
          <w:color w:val="808080" w:themeColor="background1" w:themeShade="80"/>
          <w:sz w:val="22"/>
          <w:szCs w:val="22"/>
          <w:lang w:val="en-GB"/>
        </w:rPr>
        <w:t xml:space="preserve"> to satisfy as much of the outstanding loan as possible</w:t>
      </w:r>
      <w:r w:rsidR="00DA06FE">
        <w:rPr>
          <w:rFonts w:ascii="Arial" w:hAnsi="Arial" w:cs="Arial"/>
          <w:color w:val="808080" w:themeColor="background1" w:themeShade="80"/>
          <w:sz w:val="22"/>
          <w:szCs w:val="22"/>
          <w:lang w:val="en-GB"/>
        </w:rPr>
        <w:t xml:space="preserve">.  Sparrow can do this at any time </w:t>
      </w:r>
      <w:r w:rsidR="00DA06FE" w:rsidRPr="00DA06FE">
        <w:rPr>
          <w:rFonts w:ascii="Arial" w:hAnsi="Arial" w:cs="Arial"/>
          <w:color w:val="808080" w:themeColor="background1" w:themeShade="80"/>
          <w:sz w:val="22"/>
          <w:szCs w:val="22"/>
          <w:lang w:val="en-GB"/>
        </w:rPr>
        <w:t>without the permission of the court or reference to any liquidator</w:t>
      </w:r>
      <w:r w:rsidR="00DA06FE">
        <w:rPr>
          <w:rFonts w:ascii="Arial" w:hAnsi="Arial" w:cs="Arial"/>
          <w:color w:val="808080" w:themeColor="background1" w:themeShade="80"/>
          <w:sz w:val="22"/>
          <w:szCs w:val="22"/>
          <w:lang w:val="en-GB"/>
        </w:rPr>
        <w:t xml:space="preserve"> (Order 17 of Companies Winding Up Rules 2018 (</w:t>
      </w:r>
      <w:r w:rsidR="00DA06FE" w:rsidRPr="00DA06FE">
        <w:rPr>
          <w:rFonts w:ascii="Arial" w:hAnsi="Arial" w:cs="Arial"/>
          <w:b/>
          <w:bCs/>
          <w:color w:val="808080" w:themeColor="background1" w:themeShade="80"/>
          <w:sz w:val="22"/>
          <w:szCs w:val="22"/>
          <w:lang w:val="en-GB"/>
        </w:rPr>
        <w:t>CWR</w:t>
      </w:r>
      <w:r w:rsidR="00DA06FE">
        <w:rPr>
          <w:rFonts w:ascii="Arial" w:hAnsi="Arial" w:cs="Arial"/>
          <w:color w:val="808080" w:themeColor="background1" w:themeShade="80"/>
          <w:sz w:val="22"/>
          <w:szCs w:val="22"/>
          <w:lang w:val="en-GB"/>
        </w:rPr>
        <w:t>)).</w:t>
      </w:r>
    </w:p>
    <w:p w14:paraId="187B8F92" w14:textId="77777777" w:rsidR="00877D28" w:rsidRDefault="00877D28" w:rsidP="00877D28">
      <w:pPr>
        <w:pStyle w:val="ListParagraph"/>
        <w:jc w:val="both"/>
        <w:rPr>
          <w:rFonts w:ascii="Arial" w:hAnsi="Arial" w:cs="Arial"/>
          <w:color w:val="808080" w:themeColor="background1" w:themeShade="80"/>
          <w:sz w:val="22"/>
          <w:szCs w:val="22"/>
          <w:lang w:val="en-GB"/>
        </w:rPr>
      </w:pPr>
    </w:p>
    <w:p w14:paraId="154681F0" w14:textId="4B7311B8" w:rsidR="009D20B1" w:rsidRPr="00DA06FE" w:rsidRDefault="00877D28" w:rsidP="00877D28">
      <w:pPr>
        <w:pStyle w:val="ListParagraph"/>
        <w:jc w:val="both"/>
        <w:rPr>
          <w:rFonts w:ascii="Arial" w:hAnsi="Arial" w:cs="Arial"/>
          <w:color w:val="000000" w:themeColor="text1"/>
          <w:sz w:val="22"/>
          <w:szCs w:val="22"/>
          <w:lang w:val="en-GB"/>
        </w:rPr>
      </w:pPr>
      <w:r>
        <w:rPr>
          <w:rFonts w:ascii="Arial" w:hAnsi="Arial" w:cs="Arial"/>
          <w:color w:val="808080" w:themeColor="background1" w:themeShade="80"/>
          <w:sz w:val="22"/>
          <w:szCs w:val="22"/>
          <w:lang w:val="en-GB"/>
        </w:rPr>
        <w:t xml:space="preserve">As the debt owed by S&amp;C to Sparrow is greater than the value of Sparrow’s security, Sparrow can prove in the ensuing liquidation for the unsecured balance.  </w:t>
      </w:r>
    </w:p>
    <w:p w14:paraId="0CE34777" w14:textId="48CEE8B7" w:rsidR="007B22CF" w:rsidRDefault="007B22CF" w:rsidP="00087F21">
      <w:pPr>
        <w:jc w:val="both"/>
        <w:rPr>
          <w:rFonts w:ascii="Arial" w:hAnsi="Arial" w:cs="Arial"/>
          <w:color w:val="000000" w:themeColor="text1"/>
          <w:sz w:val="22"/>
          <w:szCs w:val="22"/>
          <w:lang w:val="en-GB"/>
        </w:rPr>
      </w:pPr>
    </w:p>
    <w:p w14:paraId="266DEC41" w14:textId="6ECB4987" w:rsidR="0034795B" w:rsidRDefault="006521A8" w:rsidP="006521A8">
      <w:pPr>
        <w:pStyle w:val="ListParagraph"/>
        <w:numPr>
          <w:ilvl w:val="0"/>
          <w:numId w:val="44"/>
        </w:numPr>
        <w:jc w:val="both"/>
        <w:rPr>
          <w:rFonts w:ascii="Arial" w:hAnsi="Arial" w:cs="Arial"/>
          <w:color w:val="808080" w:themeColor="background1" w:themeShade="80"/>
          <w:sz w:val="22"/>
          <w:szCs w:val="22"/>
          <w:lang w:val="en-GB"/>
        </w:rPr>
      </w:pPr>
      <w:r w:rsidRPr="006521A8">
        <w:rPr>
          <w:rFonts w:ascii="Arial" w:hAnsi="Arial" w:cs="Arial"/>
          <w:color w:val="808080" w:themeColor="background1" w:themeShade="80"/>
          <w:sz w:val="22"/>
          <w:szCs w:val="22"/>
          <w:lang w:val="en-GB"/>
        </w:rPr>
        <w:t>Roger</w:t>
      </w:r>
      <w:r>
        <w:rPr>
          <w:rFonts w:ascii="Arial" w:hAnsi="Arial" w:cs="Arial"/>
          <w:color w:val="808080" w:themeColor="background1" w:themeShade="80"/>
          <w:sz w:val="22"/>
          <w:szCs w:val="22"/>
          <w:lang w:val="en-GB"/>
        </w:rPr>
        <w:t xml:space="preserve"> Jolly is a judgment creditor for the value of the arbitral award.  As such, it can apply to the Grand Court for appointment of a receiver pursuant to Order 30 GCR against S&amp;C.  A receiver appointed by the Court </w:t>
      </w:r>
      <w:r w:rsidR="0034795B">
        <w:rPr>
          <w:rFonts w:ascii="Arial" w:hAnsi="Arial" w:cs="Arial"/>
          <w:color w:val="808080" w:themeColor="background1" w:themeShade="80"/>
          <w:sz w:val="22"/>
          <w:szCs w:val="22"/>
          <w:lang w:val="en-GB"/>
        </w:rPr>
        <w:t xml:space="preserve">will be given the right to identify, investigate and sale of specified property which Roger Jolly proves to have an </w:t>
      </w:r>
      <w:r w:rsidR="0034795B">
        <w:rPr>
          <w:rFonts w:ascii="Arial" w:hAnsi="Arial" w:cs="Arial"/>
          <w:color w:val="808080" w:themeColor="background1" w:themeShade="80"/>
          <w:sz w:val="22"/>
          <w:szCs w:val="22"/>
          <w:lang w:val="en-GB"/>
        </w:rPr>
        <w:lastRenderedPageBreak/>
        <w:t>equitable interest to the satisfaction of the Court.  This specified property could be any unencumbered ships or the large dry dock facility, if they are owned by S&amp;C, up to the value of USD 50 million.</w:t>
      </w:r>
    </w:p>
    <w:p w14:paraId="1C2864F2" w14:textId="0ACBBFBB" w:rsidR="0034795B" w:rsidRDefault="0034795B" w:rsidP="0034795B">
      <w:pPr>
        <w:pStyle w:val="ListParagraph"/>
        <w:jc w:val="both"/>
        <w:rPr>
          <w:rFonts w:ascii="Arial" w:hAnsi="Arial" w:cs="Arial"/>
          <w:color w:val="808080" w:themeColor="background1" w:themeShade="80"/>
          <w:sz w:val="22"/>
          <w:szCs w:val="22"/>
          <w:lang w:val="en-GB"/>
        </w:rPr>
      </w:pPr>
    </w:p>
    <w:p w14:paraId="3129417D" w14:textId="6B63975E" w:rsidR="006521A8" w:rsidRDefault="002F4087" w:rsidP="006521A8">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Sums owed to</w:t>
      </w:r>
      <w:r w:rsidR="001B5624">
        <w:rPr>
          <w:rFonts w:ascii="Arial" w:hAnsi="Arial" w:cs="Arial"/>
          <w:color w:val="808080" w:themeColor="background1" w:themeShade="80"/>
          <w:sz w:val="22"/>
          <w:szCs w:val="22"/>
          <w:lang w:val="en-GB"/>
        </w:rPr>
        <w:t xml:space="preserve"> employees </w:t>
      </w:r>
      <w:r>
        <w:rPr>
          <w:rFonts w:ascii="Arial" w:hAnsi="Arial" w:cs="Arial"/>
          <w:color w:val="808080" w:themeColor="background1" w:themeShade="80"/>
          <w:sz w:val="22"/>
          <w:szCs w:val="22"/>
          <w:lang w:val="en-GB"/>
        </w:rPr>
        <w:t xml:space="preserve">comprise preferential debts under s. 141 of the Companies Act.  As such, should S&amp;C enter into an official liquidation and adequate sums are realised to repay preferential debts </w:t>
      </w:r>
      <w:r w:rsidRPr="002F4087">
        <w:rPr>
          <w:rFonts w:ascii="Arial" w:hAnsi="Arial" w:cs="Arial"/>
          <w:i/>
          <w:iCs/>
          <w:color w:val="808080" w:themeColor="background1" w:themeShade="80"/>
          <w:sz w:val="22"/>
          <w:szCs w:val="22"/>
          <w:lang w:val="en-GB"/>
        </w:rPr>
        <w:t>pari passu</w:t>
      </w:r>
      <w:r>
        <w:rPr>
          <w:rFonts w:ascii="Arial" w:hAnsi="Arial" w:cs="Arial"/>
          <w:color w:val="808080" w:themeColor="background1" w:themeShade="80"/>
          <w:sz w:val="22"/>
          <w:szCs w:val="22"/>
          <w:lang w:val="en-GB"/>
        </w:rPr>
        <w:t>, after paying the liquidation expenses, employees can be paid sums owed to them in equal proportion to other preferential debts, if any</w:t>
      </w:r>
      <w:r w:rsidR="003E1E48">
        <w:rPr>
          <w:rFonts w:ascii="Arial" w:hAnsi="Arial" w:cs="Arial"/>
          <w:color w:val="808080" w:themeColor="background1" w:themeShade="80"/>
          <w:sz w:val="22"/>
          <w:szCs w:val="22"/>
          <w:lang w:val="en-GB"/>
        </w:rPr>
        <w:t>, and ahead of any other creditors except secured creditors</w:t>
      </w:r>
      <w:r>
        <w:rPr>
          <w:rFonts w:ascii="Arial" w:hAnsi="Arial" w:cs="Arial"/>
          <w:color w:val="808080" w:themeColor="background1" w:themeShade="80"/>
          <w:sz w:val="22"/>
          <w:szCs w:val="22"/>
          <w:lang w:val="en-GB"/>
        </w:rPr>
        <w:t xml:space="preserve">.  </w:t>
      </w:r>
    </w:p>
    <w:p w14:paraId="56014C2D" w14:textId="77777777" w:rsidR="002F4087" w:rsidRPr="002F4087" w:rsidRDefault="002F4087" w:rsidP="002F4087">
      <w:pPr>
        <w:pStyle w:val="ListParagraph"/>
        <w:rPr>
          <w:rFonts w:ascii="Arial" w:hAnsi="Arial" w:cs="Arial"/>
          <w:color w:val="808080" w:themeColor="background1" w:themeShade="80"/>
          <w:sz w:val="22"/>
          <w:szCs w:val="22"/>
          <w:lang w:val="en-GB"/>
        </w:rPr>
      </w:pPr>
    </w:p>
    <w:p w14:paraId="798DF51D" w14:textId="780711C4" w:rsidR="002F4087" w:rsidRDefault="003E1E48" w:rsidP="006521A8">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Court does have jurisdiction over S&amp;C because it is registered in the Cayman Islands.</w:t>
      </w:r>
    </w:p>
    <w:p w14:paraId="6416AD2B" w14:textId="77777777" w:rsidR="003E1E48" w:rsidRPr="003E1E48" w:rsidRDefault="003E1E48" w:rsidP="003E1E48">
      <w:pPr>
        <w:pStyle w:val="ListParagraph"/>
        <w:rPr>
          <w:rFonts w:ascii="Arial" w:hAnsi="Arial" w:cs="Arial"/>
          <w:color w:val="808080" w:themeColor="background1" w:themeShade="80"/>
          <w:sz w:val="22"/>
          <w:szCs w:val="22"/>
          <w:lang w:val="en-GB"/>
        </w:rPr>
      </w:pPr>
    </w:p>
    <w:p w14:paraId="35A171E9" w14:textId="30EE1F60" w:rsidR="003E1E48" w:rsidRDefault="00BD7E8B" w:rsidP="006521A8">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not obliged to do so under the Companies Law, </w:t>
      </w:r>
      <w:r w:rsidR="003E1E48">
        <w:rPr>
          <w:rFonts w:ascii="Arial" w:hAnsi="Arial" w:cs="Arial"/>
          <w:color w:val="808080" w:themeColor="background1" w:themeShade="80"/>
          <w:sz w:val="22"/>
          <w:szCs w:val="22"/>
          <w:lang w:val="en-GB"/>
        </w:rPr>
        <w:t>S&amp;C can</w:t>
      </w:r>
      <w:r>
        <w:rPr>
          <w:rFonts w:ascii="Arial" w:hAnsi="Arial" w:cs="Arial"/>
          <w:color w:val="808080" w:themeColor="background1" w:themeShade="80"/>
          <w:sz w:val="22"/>
          <w:szCs w:val="22"/>
          <w:lang w:val="en-GB"/>
        </w:rPr>
        <w:t xml:space="preserve"> propose</w:t>
      </w:r>
      <w:r w:rsidR="003E1E48">
        <w:rPr>
          <w:rFonts w:ascii="Arial" w:hAnsi="Arial" w:cs="Arial"/>
          <w:color w:val="808080" w:themeColor="background1" w:themeShade="80"/>
          <w:sz w:val="22"/>
          <w:szCs w:val="22"/>
          <w:lang w:val="en-GB"/>
        </w:rPr>
        <w:t xml:space="preserve"> a scheme of arrangement to try and enter into an agreement with its creditors and shareholders</w:t>
      </w:r>
      <w:r>
        <w:rPr>
          <w:rFonts w:ascii="Arial" w:hAnsi="Arial" w:cs="Arial"/>
          <w:color w:val="808080" w:themeColor="background1" w:themeShade="80"/>
          <w:sz w:val="22"/>
          <w:szCs w:val="22"/>
          <w:lang w:val="en-GB"/>
        </w:rPr>
        <w:t xml:space="preserve"> (noting management and shareholders are all members of the same family)</w:t>
      </w:r>
      <w:r w:rsidR="003E1E48">
        <w:rPr>
          <w:rFonts w:ascii="Arial" w:hAnsi="Arial" w:cs="Arial"/>
          <w:color w:val="808080" w:themeColor="background1" w:themeShade="80"/>
          <w:sz w:val="22"/>
          <w:szCs w:val="22"/>
          <w:lang w:val="en-GB"/>
        </w:rPr>
        <w:t xml:space="preserve"> to either:</w:t>
      </w:r>
    </w:p>
    <w:p w14:paraId="0D9BB7DD" w14:textId="77777777" w:rsidR="003E1E48" w:rsidRPr="003E1E48" w:rsidRDefault="003E1E48" w:rsidP="003E1E48">
      <w:pPr>
        <w:pStyle w:val="ListParagraph"/>
        <w:rPr>
          <w:rFonts w:ascii="Arial" w:hAnsi="Arial" w:cs="Arial"/>
          <w:color w:val="808080" w:themeColor="background1" w:themeShade="80"/>
          <w:sz w:val="22"/>
          <w:szCs w:val="22"/>
          <w:lang w:val="en-GB"/>
        </w:rPr>
      </w:pPr>
    </w:p>
    <w:p w14:paraId="42417447" w14:textId="25DB4542" w:rsidR="003E1E48" w:rsidRDefault="003E1E48" w:rsidP="00BD7E8B">
      <w:pPr>
        <w:pStyle w:val="ListParagraph"/>
        <w:numPr>
          <w:ilvl w:val="1"/>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restructure its affairs </w:t>
      </w:r>
      <w:r w:rsidR="00BD7E8B">
        <w:rPr>
          <w:rFonts w:ascii="Arial" w:hAnsi="Arial" w:cs="Arial"/>
          <w:color w:val="808080" w:themeColor="background1" w:themeShade="80"/>
          <w:sz w:val="22"/>
          <w:szCs w:val="22"/>
          <w:lang w:val="en-GB"/>
        </w:rPr>
        <w:t>while solvent so that it can continue to trade and avoid liquidation (this seems unlikely as the facts presented do not appear to show that S&amp;C is solvent); or</w:t>
      </w:r>
    </w:p>
    <w:p w14:paraId="34DAED17" w14:textId="43962F44" w:rsidR="00874B20" w:rsidRPr="00874B20" w:rsidRDefault="00BD7E8B" w:rsidP="00874B20">
      <w:pPr>
        <w:pStyle w:val="ListParagraph"/>
        <w:numPr>
          <w:ilvl w:val="1"/>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reach a compromise or arrangement with creditors or shareholders after liquidation has commenced.</w:t>
      </w:r>
    </w:p>
    <w:p w14:paraId="0EF1EB27" w14:textId="77777777" w:rsidR="00BD7E8B" w:rsidRPr="00BD7E8B" w:rsidRDefault="00BD7E8B" w:rsidP="00BD7E8B">
      <w:pPr>
        <w:jc w:val="both"/>
        <w:rPr>
          <w:rFonts w:ascii="Arial" w:hAnsi="Arial" w:cs="Arial"/>
          <w:color w:val="808080" w:themeColor="background1" w:themeShade="80"/>
          <w:sz w:val="22"/>
          <w:szCs w:val="22"/>
          <w:lang w:val="en-GB"/>
        </w:rPr>
      </w:pPr>
    </w:p>
    <w:p w14:paraId="394CA5D1" w14:textId="33EA11C8" w:rsidR="00952187" w:rsidRDefault="00DC7025" w:rsidP="00BD7E8B">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S&amp;C stays out of liquidation, the Rackham family can stay in control of the company.  If the scheme of arrangement is placed into provisional liquidation so as to </w:t>
      </w:r>
      <w:r w:rsidR="00874B20">
        <w:rPr>
          <w:rFonts w:ascii="Arial" w:hAnsi="Arial" w:cs="Arial"/>
          <w:color w:val="808080" w:themeColor="background1" w:themeShade="80"/>
          <w:sz w:val="22"/>
          <w:szCs w:val="22"/>
          <w:lang w:val="en-GB"/>
        </w:rPr>
        <w:t xml:space="preserve">protect </w:t>
      </w:r>
      <w:r>
        <w:rPr>
          <w:rFonts w:ascii="Arial" w:hAnsi="Arial" w:cs="Arial"/>
          <w:color w:val="808080" w:themeColor="background1" w:themeShade="80"/>
          <w:sz w:val="22"/>
          <w:szCs w:val="22"/>
          <w:lang w:val="en-GB"/>
        </w:rPr>
        <w:t>S&amp;C from creditors</w:t>
      </w:r>
      <w:r w:rsidR="00874B20">
        <w:rPr>
          <w:rFonts w:ascii="Arial" w:hAnsi="Arial" w:cs="Arial"/>
          <w:color w:val="808080" w:themeColor="background1" w:themeShade="80"/>
          <w:sz w:val="22"/>
          <w:szCs w:val="22"/>
          <w:lang w:val="en-GB"/>
        </w:rPr>
        <w:t xml:space="preserve"> and allow it time to restructure its business</w:t>
      </w:r>
      <w:r>
        <w:rPr>
          <w:rFonts w:ascii="Arial" w:hAnsi="Arial" w:cs="Arial"/>
          <w:color w:val="808080" w:themeColor="background1" w:themeShade="80"/>
          <w:sz w:val="22"/>
          <w:szCs w:val="22"/>
          <w:lang w:val="en-GB"/>
        </w:rPr>
        <w:t>), t</w:t>
      </w:r>
      <w:r w:rsidR="00BD7E8B">
        <w:rPr>
          <w:rFonts w:ascii="Arial" w:hAnsi="Arial" w:cs="Arial"/>
          <w:color w:val="808080" w:themeColor="background1" w:themeShade="80"/>
          <w:sz w:val="22"/>
          <w:szCs w:val="22"/>
          <w:lang w:val="en-GB"/>
        </w:rPr>
        <w:t>he Rackham family</w:t>
      </w:r>
      <w:r>
        <w:rPr>
          <w:rFonts w:ascii="Arial" w:hAnsi="Arial" w:cs="Arial"/>
          <w:color w:val="808080" w:themeColor="background1" w:themeShade="80"/>
          <w:sz w:val="22"/>
          <w:szCs w:val="22"/>
          <w:lang w:val="en-GB"/>
        </w:rPr>
        <w:t xml:space="preserve"> may be allowed to continue managing and controlling S&amp;C subject to the supervision of the provisional liquidator and the Grand Court.  Whether this is permitted by the Grand Court depends on the circumstances – sometimes directors are relieved of control of the company.  </w:t>
      </w:r>
      <w:r>
        <w:rPr>
          <w:rFonts w:ascii="Arial" w:hAnsi="Arial" w:cs="Arial"/>
          <w:color w:val="808080" w:themeColor="background1" w:themeShade="80"/>
          <w:sz w:val="22"/>
          <w:szCs w:val="22"/>
          <w:lang w:val="en-GB"/>
        </w:rPr>
        <w:t xml:space="preserve">If </w:t>
      </w:r>
      <w:r>
        <w:rPr>
          <w:rFonts w:ascii="Arial" w:hAnsi="Arial" w:cs="Arial"/>
          <w:color w:val="808080" w:themeColor="background1" w:themeShade="80"/>
          <w:sz w:val="22"/>
          <w:szCs w:val="22"/>
          <w:lang w:val="en-GB"/>
        </w:rPr>
        <w:t xml:space="preserve">the directors are permitted to remain in control, this is called </w:t>
      </w:r>
      <w:r>
        <w:rPr>
          <w:rFonts w:ascii="Arial" w:hAnsi="Arial" w:cs="Arial"/>
          <w:color w:val="808080" w:themeColor="background1" w:themeShade="80"/>
          <w:sz w:val="22"/>
          <w:szCs w:val="22"/>
          <w:lang w:val="en-GB"/>
        </w:rPr>
        <w:t>a “light touch” provisional liquidation</w:t>
      </w:r>
      <w:r>
        <w:rPr>
          <w:rFonts w:ascii="Arial" w:hAnsi="Arial" w:cs="Arial"/>
          <w:color w:val="808080" w:themeColor="background1" w:themeShade="80"/>
          <w:sz w:val="22"/>
          <w:szCs w:val="22"/>
          <w:lang w:val="en-GB"/>
        </w:rPr>
        <w:t>.</w:t>
      </w:r>
    </w:p>
    <w:p w14:paraId="1DA8A0F1" w14:textId="017738E8" w:rsidR="00DC7025" w:rsidRDefault="00DC7025" w:rsidP="00DC7025">
      <w:pPr>
        <w:pStyle w:val="ListParagraph"/>
        <w:jc w:val="both"/>
        <w:rPr>
          <w:rFonts w:ascii="Arial" w:hAnsi="Arial" w:cs="Arial"/>
          <w:color w:val="808080" w:themeColor="background1" w:themeShade="80"/>
          <w:sz w:val="22"/>
          <w:szCs w:val="22"/>
          <w:lang w:val="en-GB"/>
        </w:rPr>
      </w:pPr>
    </w:p>
    <w:p w14:paraId="5ABCCCA6" w14:textId="77777777" w:rsidR="00782F3E" w:rsidRDefault="00874B20" w:rsidP="00BD7E8B">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scheme of arrangement requires the sanction of the Grand Court in order for it to be binding on creditors and shareholders.  </w:t>
      </w:r>
      <w:r w:rsidR="00782F3E">
        <w:rPr>
          <w:rFonts w:ascii="Arial" w:hAnsi="Arial" w:cs="Arial"/>
          <w:color w:val="808080" w:themeColor="background1" w:themeShade="80"/>
          <w:sz w:val="22"/>
          <w:szCs w:val="22"/>
          <w:lang w:val="en-GB"/>
        </w:rPr>
        <w:t xml:space="preserve">The Court will consider whether it is appropriate to convene class meetings of creditors and if so, what the composition of those classes should be.  It looks like there will be different classes of creditors here, with preferential debt holders, unsecured trade creditors and the unsecured balance of the mortgage held by Sparrow.  </w:t>
      </w:r>
    </w:p>
    <w:p w14:paraId="1803EFEC" w14:textId="77777777" w:rsidR="00782F3E" w:rsidRPr="00782F3E" w:rsidRDefault="00782F3E" w:rsidP="00782F3E">
      <w:pPr>
        <w:pStyle w:val="ListParagraph"/>
        <w:rPr>
          <w:rFonts w:ascii="Arial" w:hAnsi="Arial" w:cs="Arial"/>
          <w:color w:val="808080" w:themeColor="background1" w:themeShade="80"/>
          <w:sz w:val="22"/>
          <w:szCs w:val="22"/>
          <w:lang w:val="en-GB"/>
        </w:rPr>
      </w:pPr>
    </w:p>
    <w:p w14:paraId="71456788" w14:textId="77777777" w:rsidR="0085398F" w:rsidRDefault="00782F3E" w:rsidP="00782F3E">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applicant (either S&amp;C or creditors (or any class of them) or shareholders) must satisfy the Court that the scheme documentation will provide creditors with all information </w:t>
      </w:r>
      <w:r w:rsidR="0085398F">
        <w:rPr>
          <w:rFonts w:ascii="Arial" w:hAnsi="Arial" w:cs="Arial"/>
          <w:color w:val="808080" w:themeColor="background1" w:themeShade="80"/>
          <w:sz w:val="22"/>
          <w:szCs w:val="22"/>
          <w:lang w:val="en-GB"/>
        </w:rPr>
        <w:t xml:space="preserve">reasonably </w:t>
      </w:r>
      <w:r>
        <w:rPr>
          <w:rFonts w:ascii="Arial" w:hAnsi="Arial" w:cs="Arial"/>
          <w:color w:val="808080" w:themeColor="background1" w:themeShade="80"/>
          <w:sz w:val="22"/>
          <w:szCs w:val="22"/>
          <w:lang w:val="en-GB"/>
        </w:rPr>
        <w:t xml:space="preserve">necessary to </w:t>
      </w:r>
      <w:r w:rsidR="0085398F">
        <w:rPr>
          <w:rFonts w:ascii="Arial" w:hAnsi="Arial" w:cs="Arial"/>
          <w:color w:val="808080" w:themeColor="background1" w:themeShade="80"/>
          <w:sz w:val="22"/>
          <w:szCs w:val="22"/>
          <w:lang w:val="en-GB"/>
        </w:rPr>
        <w:t xml:space="preserve">make an informed decision about the merits of the proposed scheme of arrangement and that they will have the right to attend and be heard at the hearing of the petition.  </w:t>
      </w:r>
    </w:p>
    <w:p w14:paraId="6D564F52" w14:textId="77777777" w:rsidR="0085398F" w:rsidRDefault="0085398F" w:rsidP="00782F3E">
      <w:pPr>
        <w:pStyle w:val="ListParagraph"/>
        <w:jc w:val="both"/>
        <w:rPr>
          <w:rFonts w:ascii="Arial" w:hAnsi="Arial" w:cs="Arial"/>
          <w:color w:val="808080" w:themeColor="background1" w:themeShade="80"/>
          <w:sz w:val="22"/>
          <w:szCs w:val="22"/>
          <w:lang w:val="en-GB"/>
        </w:rPr>
      </w:pPr>
    </w:p>
    <w:p w14:paraId="5ACA93AB" w14:textId="29412744" w:rsidR="00DC7025" w:rsidRPr="006521A8" w:rsidRDefault="0085398F" w:rsidP="00782F3E">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this regard, within 7 days of the creditors’ meeting, the application must file a supplementary affidavit sworn by the Chairman of the meeting verifying that notice was duly sent in accordance with the Court’s order for directions, that the meeting was duly held and giving particulars of the results.  If a majority in number representing 75% in value of the creditors present and voting either in person or by proxy, agree to the scheme of arrangement, the scheme shall, if sanctioned by the Court, bind all creditors and S&amp;C.</w:t>
      </w: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DDE5" w14:textId="77777777" w:rsidR="00355181" w:rsidRDefault="00355181" w:rsidP="00241B44">
      <w:r>
        <w:separator/>
      </w:r>
    </w:p>
  </w:endnote>
  <w:endnote w:type="continuationSeparator" w:id="0">
    <w:p w14:paraId="23FB1B56" w14:textId="77777777" w:rsidR="00355181" w:rsidRDefault="0035518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937D886"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Pr>
        <w:rFonts w:ascii="Arial" w:hAnsi="Arial" w:cs="Arial"/>
        <w:sz w:val="18"/>
        <w:szCs w:val="18"/>
        <w:lang w:val="en-GB"/>
      </w:rPr>
      <w:fldChar w:fldCharType="end"/>
    </w:r>
    <w:r w:rsidR="00442CDA">
      <w:rPr>
        <w:rFonts w:ascii="Arial" w:hAnsi="Arial" w:cs="Arial"/>
        <w:sz w:val="18"/>
        <w:szCs w:val="18"/>
        <w:lang w:val="en-GB"/>
      </w:rPr>
      <w:t>202122-607</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8FED" w14:textId="77777777" w:rsidR="00355181" w:rsidRDefault="00355181" w:rsidP="00241B44">
      <w:r>
        <w:separator/>
      </w:r>
    </w:p>
  </w:footnote>
  <w:footnote w:type="continuationSeparator" w:id="0">
    <w:p w14:paraId="7267A132" w14:textId="77777777" w:rsidR="00355181" w:rsidRDefault="0035518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0DB7232"/>
    <w:multiLevelType w:val="hybridMultilevel"/>
    <w:tmpl w:val="F0348860"/>
    <w:lvl w:ilvl="0" w:tplc="4F889F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20727"/>
    <w:multiLevelType w:val="hybridMultilevel"/>
    <w:tmpl w:val="33384170"/>
    <w:lvl w:ilvl="0" w:tplc="9D88E9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337264D"/>
    <w:multiLevelType w:val="hybridMultilevel"/>
    <w:tmpl w:val="2F0AD9D8"/>
    <w:lvl w:ilvl="0" w:tplc="382C434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5C922010"/>
    <w:multiLevelType w:val="hybridMultilevel"/>
    <w:tmpl w:val="3FDC6196"/>
    <w:lvl w:ilvl="0" w:tplc="FFFFFFFF">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776352">
    <w:abstractNumId w:val="43"/>
  </w:num>
  <w:num w:numId="2" w16cid:durableId="674958842">
    <w:abstractNumId w:val="22"/>
  </w:num>
  <w:num w:numId="3" w16cid:durableId="9646067">
    <w:abstractNumId w:val="18"/>
  </w:num>
  <w:num w:numId="4" w16cid:durableId="865606992">
    <w:abstractNumId w:val="41"/>
  </w:num>
  <w:num w:numId="5" w16cid:durableId="2001423266">
    <w:abstractNumId w:val="19"/>
  </w:num>
  <w:num w:numId="6" w16cid:durableId="996542091">
    <w:abstractNumId w:val="33"/>
  </w:num>
  <w:num w:numId="7" w16cid:durableId="1421632981">
    <w:abstractNumId w:val="42"/>
  </w:num>
  <w:num w:numId="8" w16cid:durableId="1715081407">
    <w:abstractNumId w:val="38"/>
  </w:num>
  <w:num w:numId="9" w16cid:durableId="1485856420">
    <w:abstractNumId w:val="16"/>
  </w:num>
  <w:num w:numId="10" w16cid:durableId="1714111388">
    <w:abstractNumId w:val="10"/>
  </w:num>
  <w:num w:numId="11" w16cid:durableId="459033351">
    <w:abstractNumId w:val="12"/>
  </w:num>
  <w:num w:numId="12" w16cid:durableId="1986276131">
    <w:abstractNumId w:val="17"/>
  </w:num>
  <w:num w:numId="13" w16cid:durableId="2117213239">
    <w:abstractNumId w:val="26"/>
  </w:num>
  <w:num w:numId="14" w16cid:durableId="1335378860">
    <w:abstractNumId w:val="3"/>
  </w:num>
  <w:num w:numId="15" w16cid:durableId="256908381">
    <w:abstractNumId w:val="13"/>
  </w:num>
  <w:num w:numId="16" w16cid:durableId="1932002565">
    <w:abstractNumId w:val="40"/>
  </w:num>
  <w:num w:numId="17" w16cid:durableId="710498164">
    <w:abstractNumId w:val="6"/>
  </w:num>
  <w:num w:numId="18" w16cid:durableId="565454696">
    <w:abstractNumId w:val="8"/>
  </w:num>
  <w:num w:numId="19" w16cid:durableId="634874021">
    <w:abstractNumId w:val="30"/>
  </w:num>
  <w:num w:numId="20" w16cid:durableId="2075009379">
    <w:abstractNumId w:val="27"/>
  </w:num>
  <w:num w:numId="21" w16cid:durableId="2071995576">
    <w:abstractNumId w:val="2"/>
  </w:num>
  <w:num w:numId="22" w16cid:durableId="287397552">
    <w:abstractNumId w:val="11"/>
  </w:num>
  <w:num w:numId="23" w16cid:durableId="727411752">
    <w:abstractNumId w:val="44"/>
  </w:num>
  <w:num w:numId="24" w16cid:durableId="250504532">
    <w:abstractNumId w:val="0"/>
  </w:num>
  <w:num w:numId="25" w16cid:durableId="1626963393">
    <w:abstractNumId w:val="35"/>
  </w:num>
  <w:num w:numId="26" w16cid:durableId="1032345419">
    <w:abstractNumId w:val="9"/>
  </w:num>
  <w:num w:numId="27" w16cid:durableId="1682195617">
    <w:abstractNumId w:val="14"/>
  </w:num>
  <w:num w:numId="28" w16cid:durableId="1118137890">
    <w:abstractNumId w:val="4"/>
  </w:num>
  <w:num w:numId="29" w16cid:durableId="322634164">
    <w:abstractNumId w:val="7"/>
  </w:num>
  <w:num w:numId="30" w16cid:durableId="1058669747">
    <w:abstractNumId w:val="20"/>
  </w:num>
  <w:num w:numId="31" w16cid:durableId="982806412">
    <w:abstractNumId w:val="29"/>
  </w:num>
  <w:num w:numId="32" w16cid:durableId="1670139489">
    <w:abstractNumId w:val="24"/>
  </w:num>
  <w:num w:numId="33" w16cid:durableId="775487847">
    <w:abstractNumId w:val="31"/>
  </w:num>
  <w:num w:numId="34" w16cid:durableId="746075080">
    <w:abstractNumId w:val="21"/>
  </w:num>
  <w:num w:numId="35" w16cid:durableId="1310669792">
    <w:abstractNumId w:val="15"/>
  </w:num>
  <w:num w:numId="36" w16cid:durableId="785470830">
    <w:abstractNumId w:val="1"/>
  </w:num>
  <w:num w:numId="37" w16cid:durableId="861556906">
    <w:abstractNumId w:val="32"/>
  </w:num>
  <w:num w:numId="38" w16cid:durableId="558367148">
    <w:abstractNumId w:val="25"/>
  </w:num>
  <w:num w:numId="39" w16cid:durableId="228732684">
    <w:abstractNumId w:val="39"/>
  </w:num>
  <w:num w:numId="40" w16cid:durableId="844126913">
    <w:abstractNumId w:val="36"/>
  </w:num>
  <w:num w:numId="41" w16cid:durableId="1080561252">
    <w:abstractNumId w:val="5"/>
  </w:num>
  <w:num w:numId="42" w16cid:durableId="9380960">
    <w:abstractNumId w:val="23"/>
  </w:num>
  <w:num w:numId="43" w16cid:durableId="589581538">
    <w:abstractNumId w:val="28"/>
  </w:num>
  <w:num w:numId="44" w16cid:durableId="1601714526">
    <w:abstractNumId w:val="34"/>
  </w:num>
  <w:num w:numId="45" w16cid:durableId="122895881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93E"/>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D57B4"/>
    <w:rsid w:val="000E4841"/>
    <w:rsid w:val="000F1677"/>
    <w:rsid w:val="000F3D6C"/>
    <w:rsid w:val="000F6063"/>
    <w:rsid w:val="00101707"/>
    <w:rsid w:val="00102CC9"/>
    <w:rsid w:val="0010593A"/>
    <w:rsid w:val="001108F8"/>
    <w:rsid w:val="00111C6D"/>
    <w:rsid w:val="0011473D"/>
    <w:rsid w:val="00115C85"/>
    <w:rsid w:val="00123855"/>
    <w:rsid w:val="00123EE6"/>
    <w:rsid w:val="00126A4D"/>
    <w:rsid w:val="0014171F"/>
    <w:rsid w:val="0014622C"/>
    <w:rsid w:val="001463D6"/>
    <w:rsid w:val="00152348"/>
    <w:rsid w:val="0015456D"/>
    <w:rsid w:val="00155FA2"/>
    <w:rsid w:val="00161F1B"/>
    <w:rsid w:val="00162829"/>
    <w:rsid w:val="00163644"/>
    <w:rsid w:val="001656E3"/>
    <w:rsid w:val="00180548"/>
    <w:rsid w:val="00180AC4"/>
    <w:rsid w:val="00180CCE"/>
    <w:rsid w:val="0018267A"/>
    <w:rsid w:val="00182779"/>
    <w:rsid w:val="001830DF"/>
    <w:rsid w:val="0018424C"/>
    <w:rsid w:val="001862CB"/>
    <w:rsid w:val="00192ADD"/>
    <w:rsid w:val="001966D9"/>
    <w:rsid w:val="001A007A"/>
    <w:rsid w:val="001A7E9A"/>
    <w:rsid w:val="001B0F70"/>
    <w:rsid w:val="001B5016"/>
    <w:rsid w:val="001B5624"/>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74E52"/>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4087"/>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795B"/>
    <w:rsid w:val="00355181"/>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1E48"/>
    <w:rsid w:val="003E1EE9"/>
    <w:rsid w:val="003E3CE5"/>
    <w:rsid w:val="003E67D1"/>
    <w:rsid w:val="003E7675"/>
    <w:rsid w:val="00404329"/>
    <w:rsid w:val="00405DC1"/>
    <w:rsid w:val="00406382"/>
    <w:rsid w:val="00415F1F"/>
    <w:rsid w:val="00416D2B"/>
    <w:rsid w:val="0042108F"/>
    <w:rsid w:val="00425401"/>
    <w:rsid w:val="00430FED"/>
    <w:rsid w:val="00434A8C"/>
    <w:rsid w:val="00437297"/>
    <w:rsid w:val="00442CDA"/>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0F23"/>
    <w:rsid w:val="00532230"/>
    <w:rsid w:val="005327B7"/>
    <w:rsid w:val="005331CA"/>
    <w:rsid w:val="005349E9"/>
    <w:rsid w:val="00537970"/>
    <w:rsid w:val="00540E3A"/>
    <w:rsid w:val="00544127"/>
    <w:rsid w:val="005463A9"/>
    <w:rsid w:val="00551038"/>
    <w:rsid w:val="00551E86"/>
    <w:rsid w:val="00553EB2"/>
    <w:rsid w:val="00560534"/>
    <w:rsid w:val="005614A6"/>
    <w:rsid w:val="0056391B"/>
    <w:rsid w:val="005650E2"/>
    <w:rsid w:val="00567AD7"/>
    <w:rsid w:val="00575B2D"/>
    <w:rsid w:val="005833D0"/>
    <w:rsid w:val="005846F3"/>
    <w:rsid w:val="0058622F"/>
    <w:rsid w:val="00592F82"/>
    <w:rsid w:val="00596D08"/>
    <w:rsid w:val="005A0CCA"/>
    <w:rsid w:val="005A2E18"/>
    <w:rsid w:val="005A3A47"/>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21A8"/>
    <w:rsid w:val="00654C2F"/>
    <w:rsid w:val="00657087"/>
    <w:rsid w:val="006574C0"/>
    <w:rsid w:val="00661556"/>
    <w:rsid w:val="006639DB"/>
    <w:rsid w:val="006661EF"/>
    <w:rsid w:val="00677AEB"/>
    <w:rsid w:val="00680EF2"/>
    <w:rsid w:val="0068245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1A68"/>
    <w:rsid w:val="00756650"/>
    <w:rsid w:val="007603F5"/>
    <w:rsid w:val="00764DB0"/>
    <w:rsid w:val="0076764D"/>
    <w:rsid w:val="0077498C"/>
    <w:rsid w:val="00775E93"/>
    <w:rsid w:val="007808EB"/>
    <w:rsid w:val="007809BC"/>
    <w:rsid w:val="00782F3E"/>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98F"/>
    <w:rsid w:val="00853B56"/>
    <w:rsid w:val="00867701"/>
    <w:rsid w:val="008723F3"/>
    <w:rsid w:val="00874B20"/>
    <w:rsid w:val="00876F56"/>
    <w:rsid w:val="00877D28"/>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15E97"/>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2B9D"/>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05E27"/>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C476F"/>
    <w:rsid w:val="00BD7E8B"/>
    <w:rsid w:val="00BE4FF3"/>
    <w:rsid w:val="00BF50F7"/>
    <w:rsid w:val="00C02F29"/>
    <w:rsid w:val="00C17718"/>
    <w:rsid w:val="00C20AFE"/>
    <w:rsid w:val="00C22A25"/>
    <w:rsid w:val="00C25BC8"/>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6FE"/>
    <w:rsid w:val="00DA0DC0"/>
    <w:rsid w:val="00DB243C"/>
    <w:rsid w:val="00DB482A"/>
    <w:rsid w:val="00DB50FB"/>
    <w:rsid w:val="00DB56F2"/>
    <w:rsid w:val="00DB6EF5"/>
    <w:rsid w:val="00DC3089"/>
    <w:rsid w:val="00DC4420"/>
    <w:rsid w:val="00DC7025"/>
    <w:rsid w:val="00DD0802"/>
    <w:rsid w:val="00DD1270"/>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0D91"/>
    <w:rsid w:val="00E4294D"/>
    <w:rsid w:val="00E450A4"/>
    <w:rsid w:val="00E45C5C"/>
    <w:rsid w:val="00E472D4"/>
    <w:rsid w:val="00E506BE"/>
    <w:rsid w:val="00E55547"/>
    <w:rsid w:val="00E55912"/>
    <w:rsid w:val="00E6302B"/>
    <w:rsid w:val="00E6452F"/>
    <w:rsid w:val="00E64F45"/>
    <w:rsid w:val="00E6696D"/>
    <w:rsid w:val="00E6742D"/>
    <w:rsid w:val="00E71CB0"/>
    <w:rsid w:val="00E7776B"/>
    <w:rsid w:val="00E77C3D"/>
    <w:rsid w:val="00E86000"/>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341D"/>
    <w:rsid w:val="00ED447D"/>
    <w:rsid w:val="00ED5BDC"/>
    <w:rsid w:val="00EE425D"/>
    <w:rsid w:val="00EE4971"/>
    <w:rsid w:val="00EE6CB0"/>
    <w:rsid w:val="00EF090E"/>
    <w:rsid w:val="00EF5572"/>
    <w:rsid w:val="00F033DA"/>
    <w:rsid w:val="00F13691"/>
    <w:rsid w:val="00F13FB1"/>
    <w:rsid w:val="00F2126A"/>
    <w:rsid w:val="00F27CD8"/>
    <w:rsid w:val="00F30351"/>
    <w:rsid w:val="00F3323E"/>
    <w:rsid w:val="00F341F4"/>
    <w:rsid w:val="00F34F9D"/>
    <w:rsid w:val="00F35CCE"/>
    <w:rsid w:val="00F52F65"/>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Cheng-Yee Khong</cp:lastModifiedBy>
  <cp:revision>10</cp:revision>
  <cp:lastPrinted>2019-08-27T05:42:00Z</cp:lastPrinted>
  <dcterms:created xsi:type="dcterms:W3CDTF">2022-07-13T03:22:00Z</dcterms:created>
  <dcterms:modified xsi:type="dcterms:W3CDTF">2022-07-30T10:16:00Z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