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FF6CBB">
        <w:rPr>
          <w:rFonts w:ascii="Arial" w:eastAsia="MS Mincho" w:hAnsi="Arial" w:cs="Arial"/>
          <w:sz w:val="22"/>
          <w:szCs w:val="22"/>
          <w:highlight w:val="yellow"/>
          <w:lang w:val="en-GB"/>
        </w:rPr>
        <w:t xml:space="preserve">On the </w:t>
      </w:r>
      <w:r w:rsidR="009C2D45" w:rsidRPr="00FF6CBB">
        <w:rPr>
          <w:rFonts w:ascii="Arial" w:eastAsia="MS Mincho" w:hAnsi="Arial" w:cs="Arial"/>
          <w:sz w:val="22"/>
          <w:szCs w:val="22"/>
          <w:highlight w:val="yellow"/>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FF6CBB" w:rsidRDefault="00516777" w:rsidP="00E87B1B">
      <w:pPr>
        <w:pStyle w:val="ListParagraph"/>
        <w:numPr>
          <w:ilvl w:val="0"/>
          <w:numId w:val="14"/>
        </w:numPr>
        <w:ind w:left="426"/>
        <w:jc w:val="both"/>
        <w:rPr>
          <w:rFonts w:ascii="Arial" w:hAnsi="Arial" w:cs="Arial"/>
          <w:sz w:val="22"/>
          <w:szCs w:val="22"/>
          <w:highlight w:val="yellow"/>
          <w:lang w:val="en-GB"/>
        </w:rPr>
      </w:pPr>
      <w:r w:rsidRPr="00FF6CBB">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Pr="00D70298" w:rsidRDefault="00617A39" w:rsidP="001B77C3">
      <w:pPr>
        <w:pStyle w:val="ListParagraph"/>
        <w:numPr>
          <w:ilvl w:val="0"/>
          <w:numId w:val="15"/>
        </w:numPr>
        <w:ind w:left="426"/>
        <w:jc w:val="both"/>
        <w:rPr>
          <w:rFonts w:ascii="Arial" w:hAnsi="Arial" w:cs="Arial"/>
          <w:sz w:val="22"/>
          <w:szCs w:val="22"/>
          <w:lang w:val="en-GB"/>
        </w:rPr>
      </w:pPr>
      <w:r w:rsidRPr="00D70298">
        <w:rPr>
          <w:rFonts w:ascii="Arial" w:hAnsi="Arial" w:cs="Arial"/>
          <w:sz w:val="22"/>
          <w:szCs w:val="22"/>
          <w:lang w:val="en-GB"/>
        </w:rPr>
        <w:t>A member of t</w:t>
      </w:r>
      <w:r w:rsidR="00511CB4" w:rsidRPr="00D70298">
        <w:rPr>
          <w:rFonts w:ascii="Arial" w:hAnsi="Arial" w:cs="Arial"/>
          <w:sz w:val="22"/>
          <w:szCs w:val="22"/>
          <w:lang w:val="en-GB"/>
        </w:rPr>
        <w:t>he company</w:t>
      </w:r>
      <w:r w:rsidR="001B77C3" w:rsidRPr="00D70298">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Pr="00D70298" w:rsidRDefault="00617A39" w:rsidP="001B77C3">
      <w:pPr>
        <w:pStyle w:val="ListParagraph"/>
        <w:numPr>
          <w:ilvl w:val="0"/>
          <w:numId w:val="15"/>
        </w:numPr>
        <w:ind w:left="426"/>
        <w:jc w:val="both"/>
        <w:rPr>
          <w:rFonts w:ascii="Arial" w:hAnsi="Arial" w:cs="Arial"/>
          <w:sz w:val="22"/>
          <w:szCs w:val="22"/>
          <w:lang w:val="en-GB"/>
        </w:rPr>
      </w:pPr>
      <w:r w:rsidRPr="00D70298">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D70298" w:rsidRDefault="00617A39" w:rsidP="001B77C3">
      <w:pPr>
        <w:pStyle w:val="ListParagraph"/>
        <w:numPr>
          <w:ilvl w:val="0"/>
          <w:numId w:val="15"/>
        </w:numPr>
        <w:ind w:left="426"/>
        <w:jc w:val="both"/>
        <w:rPr>
          <w:rFonts w:ascii="Arial" w:hAnsi="Arial" w:cs="Arial"/>
          <w:sz w:val="22"/>
          <w:szCs w:val="22"/>
          <w:highlight w:val="yellow"/>
          <w:lang w:val="en-GB"/>
        </w:rPr>
      </w:pPr>
      <w:r w:rsidRPr="00D70298">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Default="00802DB8" w:rsidP="00966035">
      <w:pPr>
        <w:pStyle w:val="ListParagraph"/>
        <w:numPr>
          <w:ilvl w:val="0"/>
          <w:numId w:val="16"/>
        </w:numPr>
        <w:ind w:left="426"/>
        <w:jc w:val="both"/>
        <w:rPr>
          <w:rFonts w:ascii="Arial" w:hAnsi="Arial" w:cs="Arial"/>
          <w:sz w:val="22"/>
          <w:szCs w:val="22"/>
          <w:lang w:val="en-GB"/>
        </w:rPr>
      </w:pPr>
      <w:r w:rsidRPr="00BB49CF">
        <w:rPr>
          <w:rFonts w:ascii="Arial" w:hAnsi="Arial" w:cs="Arial"/>
          <w:sz w:val="22"/>
          <w:szCs w:val="22"/>
          <w:highlight w:val="yellow"/>
          <w:lang w:val="en-GB"/>
        </w:rPr>
        <w:t>The creditors, sureties, persons claiming an interest in the assets of the company and the company</w:t>
      </w:r>
      <w:r w:rsidRPr="008065CE">
        <w:rPr>
          <w:rFonts w:ascii="Arial" w:hAnsi="Arial" w:cs="Arial"/>
          <w:sz w:val="22"/>
          <w:szCs w:val="22"/>
          <w:lang w:val="en-GB"/>
        </w:rPr>
        <w:t>.</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Default="002B4F0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E35CCF">
        <w:rPr>
          <w:rFonts w:ascii="Arial" w:hAnsi="Arial" w:cs="Arial"/>
          <w:sz w:val="22"/>
          <w:szCs w:val="22"/>
          <w:highlight w:val="yellow"/>
          <w:lang w:val="en-GB"/>
        </w:rPr>
        <w:t>He</w:t>
      </w:r>
      <w:r w:rsidR="00903504" w:rsidRPr="00E35CCF">
        <w:rPr>
          <w:rFonts w:ascii="Arial" w:hAnsi="Arial" w:cs="Arial"/>
          <w:sz w:val="22"/>
          <w:szCs w:val="22"/>
          <w:highlight w:val="yellow"/>
          <w:lang w:val="en-GB"/>
        </w:rPr>
        <w:t xml:space="preserve"> or she</w:t>
      </w:r>
      <w:r w:rsidRPr="00E35CCF">
        <w:rPr>
          <w:rFonts w:ascii="Arial" w:hAnsi="Arial" w:cs="Arial"/>
          <w:sz w:val="22"/>
          <w:szCs w:val="22"/>
          <w:highlight w:val="yellow"/>
          <w:lang w:val="en-GB"/>
        </w:rPr>
        <w:t xml:space="preserve"> is a licenced insolvency practitioner; has given written consent to act; </w:t>
      </w:r>
      <w:r w:rsidR="00903504" w:rsidRPr="00E35CCF">
        <w:rPr>
          <w:rFonts w:ascii="Arial" w:hAnsi="Arial" w:cs="Arial"/>
          <w:sz w:val="22"/>
          <w:szCs w:val="22"/>
          <w:highlight w:val="yellow"/>
          <w:lang w:val="en-GB"/>
        </w:rPr>
        <w:t xml:space="preserve">is </w:t>
      </w:r>
      <w:r w:rsidRPr="00E35CCF">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E35CCF">
        <w:rPr>
          <w:rFonts w:ascii="Arial" w:hAnsi="Arial" w:cs="Arial"/>
          <w:sz w:val="22"/>
          <w:szCs w:val="22"/>
          <w:highlight w:val="yellow"/>
          <w:lang w:val="en-GB"/>
        </w:rPr>
        <w:t xml:space="preserve"> or her</w:t>
      </w:r>
      <w:r w:rsidRPr="00E35CCF">
        <w:rPr>
          <w:rFonts w:ascii="Arial" w:hAnsi="Arial" w:cs="Arial"/>
          <w:sz w:val="22"/>
          <w:szCs w:val="22"/>
          <w:highlight w:val="yellow"/>
          <w:lang w:val="en-GB"/>
        </w:rPr>
        <w:t xml:space="preserve"> functions</w:t>
      </w:r>
      <w:r>
        <w:rPr>
          <w:rFonts w:ascii="Arial" w:hAnsi="Arial" w:cs="Arial"/>
          <w:sz w:val="22"/>
          <w:szCs w:val="22"/>
          <w:lang w:val="en-GB"/>
        </w:rPr>
        <w:t>.</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E35CCF">
        <w:rPr>
          <w:rFonts w:ascii="Arial" w:hAnsi="Arial" w:cs="Arial"/>
          <w:sz w:val="22"/>
          <w:szCs w:val="22"/>
          <w:highlight w:val="yellow"/>
          <w:lang w:val="en-GB"/>
        </w:rPr>
        <w:t>Within 12 months of the date of judgment</w:t>
      </w:r>
      <w:r w:rsidR="0027374E">
        <w:rPr>
          <w:rFonts w:ascii="Arial" w:hAnsi="Arial" w:cs="Arial"/>
          <w:sz w:val="22"/>
          <w:szCs w:val="22"/>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sidRPr="00E35CCF">
        <w:rPr>
          <w:rFonts w:ascii="Arial" w:hAnsi="Arial" w:cs="Arial"/>
          <w:sz w:val="22"/>
          <w:szCs w:val="22"/>
          <w:highlight w:val="yellow"/>
          <w:lang w:val="en-GB"/>
        </w:rPr>
        <w:t>The assets automatically vest in the liquidator.</w:t>
      </w:r>
      <w:r>
        <w:rPr>
          <w:rFonts w:ascii="Arial" w:hAnsi="Arial" w:cs="Arial"/>
          <w:sz w:val="22"/>
          <w:szCs w:val="22"/>
          <w:lang w:val="en-GB"/>
        </w:rPr>
        <w:t xml:space="preserve">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E35CCF" w:rsidRDefault="00B54DB9" w:rsidP="002649C2">
      <w:pPr>
        <w:pStyle w:val="ListParagraph"/>
        <w:numPr>
          <w:ilvl w:val="0"/>
          <w:numId w:val="20"/>
        </w:numPr>
        <w:ind w:left="426"/>
        <w:jc w:val="both"/>
        <w:rPr>
          <w:rFonts w:ascii="Arial" w:hAnsi="Arial" w:cs="Arial"/>
          <w:sz w:val="22"/>
          <w:szCs w:val="22"/>
          <w:highlight w:val="yellow"/>
          <w:lang w:val="en-GB"/>
        </w:rPr>
      </w:pPr>
      <w:r w:rsidRPr="00E35CCF">
        <w:rPr>
          <w:rFonts w:ascii="Arial" w:hAnsi="Arial" w:cs="Arial"/>
          <w:sz w:val="22"/>
          <w:szCs w:val="22"/>
          <w:highlight w:val="yellow"/>
          <w:lang w:val="en-GB"/>
        </w:rPr>
        <w:t>Two (</w:t>
      </w:r>
      <w:r w:rsidR="00802DB8" w:rsidRPr="00E35CCF">
        <w:rPr>
          <w:rFonts w:ascii="Arial" w:hAnsi="Arial" w:cs="Arial"/>
          <w:sz w:val="22"/>
          <w:szCs w:val="22"/>
          <w:highlight w:val="yellow"/>
          <w:lang w:val="en-GB"/>
        </w:rPr>
        <w:t>2</w:t>
      </w:r>
      <w:r w:rsidRPr="00E35CCF">
        <w:rPr>
          <w:rFonts w:ascii="Arial" w:hAnsi="Arial" w:cs="Arial"/>
          <w:sz w:val="22"/>
          <w:szCs w:val="22"/>
          <w:highlight w:val="yellow"/>
          <w:lang w:val="en-GB"/>
        </w:rPr>
        <w:t>)</w:t>
      </w:r>
      <w:r w:rsidR="00802DB8" w:rsidRPr="00E35CCF">
        <w:rPr>
          <w:rFonts w:ascii="Arial" w:hAnsi="Arial" w:cs="Arial"/>
          <w:sz w:val="22"/>
          <w:szCs w:val="22"/>
          <w:highlight w:val="yellow"/>
          <w:lang w:val="en-GB"/>
        </w:rPr>
        <w:t xml:space="preserve"> years prior to the onset of insolvency</w:t>
      </w:r>
      <w:r w:rsidR="00CE62E7" w:rsidRPr="00E35CCF">
        <w:rPr>
          <w:rFonts w:ascii="Arial" w:hAnsi="Arial" w:cs="Arial"/>
          <w:sz w:val="22"/>
          <w:szCs w:val="22"/>
          <w:highlight w:val="yellow"/>
          <w:lang w:val="en-GB"/>
        </w:rPr>
        <w:t xml:space="preserve"> and ending on the appointment of the liquidator</w:t>
      </w:r>
      <w:r w:rsidR="009859BA" w:rsidRPr="00E35CCF">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w:t>
      </w:r>
      <w:r w:rsidRPr="00A36CD9">
        <w:rPr>
          <w:rFonts w:ascii="Arial" w:hAnsi="Arial" w:cs="Arial"/>
          <w:sz w:val="22"/>
          <w:szCs w:val="22"/>
          <w:highlight w:val="yellow"/>
          <w:lang w:val="en-GB"/>
        </w:rPr>
        <w:t>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E35CCF" w:rsidRDefault="00A52262" w:rsidP="002649C2">
      <w:pPr>
        <w:pStyle w:val="ListParagraph"/>
        <w:numPr>
          <w:ilvl w:val="0"/>
          <w:numId w:val="22"/>
        </w:numPr>
        <w:ind w:left="426"/>
        <w:jc w:val="both"/>
        <w:rPr>
          <w:rFonts w:ascii="Arial" w:hAnsi="Arial" w:cs="Arial"/>
          <w:sz w:val="22"/>
          <w:szCs w:val="22"/>
          <w:highlight w:val="yellow"/>
          <w:lang w:val="en-GB"/>
        </w:rPr>
      </w:pPr>
      <w:r w:rsidRPr="00E35CCF">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281EA19E" w14:textId="58395A16" w:rsidR="00BD21EC" w:rsidRDefault="00BD21E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Voluntary liquidator who should be an “eligible person” is appointed when a company is put to Voluntary Liquidation, which is possible under Part XII of the BCA 2004 only when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company has no liabilities or (ii) the company is able to pay its debt as they fall due and the assets of the company are more than its liabilities.</w:t>
      </w:r>
    </w:p>
    <w:p w14:paraId="1ED2CF65" w14:textId="77777777" w:rsidR="00BD21EC" w:rsidRDefault="00BD21EC" w:rsidP="008065CE">
      <w:pPr>
        <w:ind w:left="720" w:hanging="720"/>
        <w:jc w:val="both"/>
        <w:rPr>
          <w:rFonts w:ascii="Arial" w:hAnsi="Arial" w:cs="Arial"/>
          <w:color w:val="7B7B7B" w:themeColor="accent3" w:themeShade="BF"/>
          <w:sz w:val="22"/>
          <w:szCs w:val="22"/>
          <w:lang w:val="en-GB"/>
        </w:rPr>
      </w:pPr>
    </w:p>
    <w:p w14:paraId="5137EFEA" w14:textId="77777777" w:rsidR="00BD21EC" w:rsidRDefault="00BD21E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Now to appoint a voluntary liquidator, the directors of the company </w:t>
      </w:r>
      <w:proofErr w:type="gramStart"/>
      <w:r>
        <w:rPr>
          <w:rFonts w:ascii="Arial" w:hAnsi="Arial" w:cs="Arial"/>
          <w:color w:val="7B7B7B" w:themeColor="accent3" w:themeShade="BF"/>
          <w:sz w:val="22"/>
          <w:szCs w:val="22"/>
          <w:lang w:val="en-GB"/>
        </w:rPr>
        <w:t>has</w:t>
      </w:r>
      <w:proofErr w:type="gramEnd"/>
      <w:r>
        <w:rPr>
          <w:rFonts w:ascii="Arial" w:hAnsi="Arial" w:cs="Arial"/>
          <w:color w:val="7B7B7B" w:themeColor="accent3" w:themeShade="BF"/>
          <w:sz w:val="22"/>
          <w:szCs w:val="22"/>
          <w:lang w:val="en-GB"/>
        </w:rPr>
        <w:t xml:space="preserve"> to make a declaration of solvency and approve a liquidation plan. As per BCA voluntary liquidator can be appointed by resolution of directors/members. </w:t>
      </w:r>
    </w:p>
    <w:p w14:paraId="0B38C93D" w14:textId="5809C74A" w:rsidR="009B07AD" w:rsidRPr="008065CE" w:rsidRDefault="00BD21EC"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In case a Liquidator has already been appointed under the insolvency act then the voluntary liquidator cannot be appointed.</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24C872C5" w:rsidR="009B07AD" w:rsidRDefault="003E3A2B"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officer of a company under liquidation is deemed to have committed fraudulent conduct if the officer has any time while being an officer of the company or during 12 months period preceding the commencement of liquidation </w:t>
      </w:r>
      <w:proofErr w:type="gramStart"/>
      <w:r>
        <w:rPr>
          <w:rFonts w:ascii="Arial" w:hAnsi="Arial" w:cs="Arial"/>
          <w:color w:val="7B7B7B" w:themeColor="accent3" w:themeShade="BF"/>
          <w:sz w:val="22"/>
          <w:szCs w:val="22"/>
          <w:lang w:val="en-GB"/>
        </w:rPr>
        <w:t>has:-</w:t>
      </w:r>
      <w:proofErr w:type="gramEnd"/>
    </w:p>
    <w:p w14:paraId="38E7B1A7" w14:textId="64214F5C" w:rsidR="003E3A2B" w:rsidRPr="00916D9B" w:rsidRDefault="003E3A2B" w:rsidP="003E3A2B">
      <w:pPr>
        <w:pStyle w:val="ListParagraph"/>
        <w:numPr>
          <w:ilvl w:val="0"/>
          <w:numId w:val="23"/>
        </w:numPr>
        <w:jc w:val="both"/>
        <w:rPr>
          <w:rFonts w:ascii="Arial" w:hAnsi="Arial" w:cs="Arial"/>
          <w:color w:val="808080" w:themeColor="background1" w:themeShade="80"/>
          <w:sz w:val="22"/>
          <w:szCs w:val="22"/>
          <w:lang w:val="en-GB"/>
        </w:rPr>
      </w:pPr>
      <w:r w:rsidRPr="00916D9B">
        <w:rPr>
          <w:rFonts w:ascii="Arial" w:hAnsi="Arial" w:cs="Arial"/>
          <w:color w:val="808080" w:themeColor="background1" w:themeShade="80"/>
          <w:sz w:val="22"/>
          <w:szCs w:val="22"/>
          <w:lang w:val="en-GB"/>
        </w:rPr>
        <w:t>Made or cause to make a gift tor transfer of or charge on or enabled levying of an execution on/against the assets of the company</w:t>
      </w:r>
    </w:p>
    <w:p w14:paraId="6CEE68D7" w14:textId="5AC7EA06" w:rsidR="003E3A2B" w:rsidRPr="00916D9B" w:rsidRDefault="003E3A2B" w:rsidP="003E3A2B">
      <w:pPr>
        <w:pStyle w:val="ListParagraph"/>
        <w:numPr>
          <w:ilvl w:val="0"/>
          <w:numId w:val="23"/>
        </w:numPr>
        <w:jc w:val="both"/>
        <w:rPr>
          <w:rFonts w:ascii="Arial" w:hAnsi="Arial" w:cs="Arial"/>
          <w:color w:val="808080" w:themeColor="background1" w:themeShade="80"/>
          <w:sz w:val="22"/>
          <w:szCs w:val="22"/>
          <w:lang w:val="en-GB"/>
        </w:rPr>
      </w:pPr>
      <w:r w:rsidRPr="00916D9B">
        <w:rPr>
          <w:rFonts w:ascii="Arial" w:hAnsi="Arial" w:cs="Arial"/>
          <w:color w:val="808080" w:themeColor="background1" w:themeShade="80"/>
          <w:sz w:val="22"/>
          <w:szCs w:val="22"/>
          <w:lang w:val="en-GB"/>
        </w:rPr>
        <w:t>Has concealed or removed any of the company assets within 60 days of any unsatisfied judgement or order for the payment of money obtained against the company</w:t>
      </w:r>
    </w:p>
    <w:p w14:paraId="71F6C0F0" w14:textId="43638D41" w:rsidR="003E3A2B" w:rsidRPr="00916D9B" w:rsidRDefault="003E3A2B" w:rsidP="003E3A2B">
      <w:pPr>
        <w:jc w:val="both"/>
        <w:rPr>
          <w:rFonts w:ascii="Arial" w:hAnsi="Arial" w:cs="Arial"/>
          <w:color w:val="808080" w:themeColor="background1" w:themeShade="80"/>
          <w:sz w:val="22"/>
          <w:szCs w:val="22"/>
          <w:lang w:val="en-GB"/>
        </w:rPr>
      </w:pPr>
    </w:p>
    <w:p w14:paraId="5D2EDADE" w14:textId="14DB240C" w:rsidR="003E3A2B" w:rsidRPr="00916D9B" w:rsidRDefault="003E3A2B" w:rsidP="003E3A2B">
      <w:pPr>
        <w:jc w:val="both"/>
        <w:rPr>
          <w:rFonts w:ascii="Arial" w:hAnsi="Arial" w:cs="Arial"/>
          <w:color w:val="808080" w:themeColor="background1" w:themeShade="80"/>
          <w:sz w:val="22"/>
          <w:szCs w:val="22"/>
          <w:lang w:val="en-GB"/>
        </w:rPr>
      </w:pPr>
      <w:proofErr w:type="gramStart"/>
      <w:r w:rsidRPr="00916D9B">
        <w:rPr>
          <w:rFonts w:ascii="Arial" w:hAnsi="Arial" w:cs="Arial"/>
          <w:color w:val="808080" w:themeColor="background1" w:themeShade="80"/>
          <w:sz w:val="22"/>
          <w:szCs w:val="22"/>
          <w:lang w:val="en-GB"/>
        </w:rPr>
        <w:t>However</w:t>
      </w:r>
      <w:proofErr w:type="gramEnd"/>
      <w:r w:rsidRPr="00916D9B">
        <w:rPr>
          <w:rFonts w:ascii="Arial" w:hAnsi="Arial" w:cs="Arial"/>
          <w:color w:val="808080" w:themeColor="background1" w:themeShade="80"/>
          <w:sz w:val="22"/>
          <w:szCs w:val="22"/>
          <w:lang w:val="en-GB"/>
        </w:rPr>
        <w:t xml:space="preserve"> the officer is not guilty of fraudulent conduct in case</w:t>
      </w:r>
      <w:r w:rsidR="00916D9B" w:rsidRPr="00916D9B">
        <w:rPr>
          <w:rFonts w:ascii="Arial" w:hAnsi="Arial" w:cs="Arial"/>
          <w:color w:val="808080" w:themeColor="background1" w:themeShade="80"/>
          <w:sz w:val="22"/>
          <w:szCs w:val="22"/>
          <w:lang w:val="en-GB"/>
        </w:rPr>
        <w:t xml:space="preserve"> the event occurred more than 5 years before the commencement of liquidation or the officer is able to prove that at time of the conduct he had no intention to defraud the company</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5B6C822B" w14:textId="77777777" w:rsidR="00F52E12" w:rsidRDefault="00916D9B"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powers provided to BVI courts </w:t>
      </w:r>
      <w:r w:rsidR="00F52E12">
        <w:rPr>
          <w:rFonts w:ascii="Arial" w:hAnsi="Arial" w:cs="Arial"/>
          <w:color w:val="7B7B7B" w:themeColor="accent3" w:themeShade="BF"/>
          <w:sz w:val="22"/>
          <w:szCs w:val="22"/>
          <w:lang w:val="en-GB"/>
        </w:rPr>
        <w:t>to make orders in respect to the foreign insolvency proceedings are enshrined in part XIX of the Insolvency Act. The BVI court through this can recognise certain foreign insolvency proceedings and provide assistance to foreign representatives.</w:t>
      </w:r>
    </w:p>
    <w:p w14:paraId="32549BAF" w14:textId="77777777" w:rsidR="00F52E12" w:rsidRDefault="00F52E12" w:rsidP="008065CE">
      <w:pPr>
        <w:ind w:left="720" w:hanging="720"/>
        <w:jc w:val="both"/>
        <w:rPr>
          <w:rFonts w:ascii="Arial" w:hAnsi="Arial" w:cs="Arial"/>
          <w:color w:val="7B7B7B" w:themeColor="accent3" w:themeShade="BF"/>
          <w:sz w:val="22"/>
          <w:szCs w:val="22"/>
          <w:lang w:val="en-GB"/>
        </w:rPr>
      </w:pPr>
    </w:p>
    <w:p w14:paraId="2725466E" w14:textId="77777777" w:rsidR="00F52E12" w:rsidRDefault="00F52E12"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powers provided to BVI courts in this regard </w:t>
      </w:r>
      <w:proofErr w:type="gramStart"/>
      <w:r>
        <w:rPr>
          <w:rFonts w:ascii="Arial" w:hAnsi="Arial" w:cs="Arial"/>
          <w:color w:val="7B7B7B" w:themeColor="accent3" w:themeShade="BF"/>
          <w:sz w:val="22"/>
          <w:szCs w:val="22"/>
          <w:lang w:val="en-GB"/>
        </w:rPr>
        <w:t>are:-</w:t>
      </w:r>
      <w:proofErr w:type="gramEnd"/>
    </w:p>
    <w:p w14:paraId="048E7E9F" w14:textId="77777777" w:rsidR="00F52E12" w:rsidRPr="00F52E12" w:rsidRDefault="00F52E12" w:rsidP="00F52E12">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Restraining the commencement or continuation of proceedings against a debtor or its assets</w:t>
      </w:r>
    </w:p>
    <w:p w14:paraId="22F42429" w14:textId="77777777" w:rsidR="00F52E12" w:rsidRPr="00F52E12" w:rsidRDefault="00F52E12" w:rsidP="00F52E12">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Restraining the creation, enforcement and exercise of any rights or remedy over or against the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property</w:t>
      </w:r>
    </w:p>
    <w:p w14:paraId="056E33FA" w14:textId="77777777" w:rsidR="00F52E12" w:rsidRPr="00F52E12" w:rsidRDefault="00F52E12" w:rsidP="00F52E12">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Making a person to deliver back any property or proceeds of the property back to the debtor</w:t>
      </w:r>
    </w:p>
    <w:p w14:paraId="26DED593" w14:textId="77777777" w:rsidR="00D47F6A" w:rsidRPr="00D47F6A" w:rsidRDefault="00F52E12" w:rsidP="00F52E12">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Granting relief so as to </w:t>
      </w:r>
      <w:proofErr w:type="gramStart"/>
      <w:r>
        <w:rPr>
          <w:rFonts w:ascii="Arial" w:hAnsi="Arial" w:cs="Arial"/>
          <w:color w:val="7B7B7B" w:themeColor="accent3" w:themeShade="BF"/>
          <w:sz w:val="22"/>
          <w:szCs w:val="22"/>
          <w:lang w:val="en-GB"/>
        </w:rPr>
        <w:t>facilitate ,</w:t>
      </w:r>
      <w:proofErr w:type="gramEnd"/>
      <w:r>
        <w:rPr>
          <w:rFonts w:ascii="Arial" w:hAnsi="Arial" w:cs="Arial"/>
          <w:color w:val="7B7B7B" w:themeColor="accent3" w:themeShade="BF"/>
          <w:sz w:val="22"/>
          <w:szCs w:val="22"/>
          <w:lang w:val="en-GB"/>
        </w:rPr>
        <w:t xml:space="preserve"> approve or implement arrangement to coordinat</w:t>
      </w:r>
      <w:r w:rsidR="00D47F6A">
        <w:rPr>
          <w:rFonts w:ascii="Arial" w:hAnsi="Arial" w:cs="Arial"/>
          <w:color w:val="7B7B7B" w:themeColor="accent3" w:themeShade="BF"/>
          <w:sz w:val="22"/>
          <w:szCs w:val="22"/>
          <w:lang w:val="en-GB"/>
        </w:rPr>
        <w:t>e BVI insolvency proceedings with the foreign proceedings</w:t>
      </w:r>
    </w:p>
    <w:p w14:paraId="09110316" w14:textId="77777777" w:rsidR="00D47F6A" w:rsidRPr="00D47F6A" w:rsidRDefault="00D47F6A" w:rsidP="00D47F6A">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Appointment of interim receiver of the property of debtor for the period deemed fit by the courts</w:t>
      </w:r>
    </w:p>
    <w:p w14:paraId="01BBE599" w14:textId="77777777" w:rsidR="00D47F6A" w:rsidRPr="00D47F6A" w:rsidRDefault="00D47F6A" w:rsidP="00D47F6A">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Authorising the examination of foreign representative of the debtor or of any person connected with the foreign proceedings</w:t>
      </w:r>
    </w:p>
    <w:p w14:paraId="1706C35D" w14:textId="77C873C6" w:rsidR="00C72848" w:rsidRPr="00D47F6A" w:rsidRDefault="00D47F6A" w:rsidP="00D47F6A">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Staying or terminating or making any order it deems fit in relation to BVI insolvency proceedings</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5D1B8A68" w14:textId="27C00AD8" w:rsidR="006526F8" w:rsidRDefault="006526F8"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shall be deemed to insolvent in BVI if any of the following circumstances </w:t>
      </w:r>
      <w:proofErr w:type="gramStart"/>
      <w:r>
        <w:rPr>
          <w:rFonts w:ascii="Arial" w:hAnsi="Arial" w:cs="Arial"/>
          <w:color w:val="7B7B7B" w:themeColor="accent3" w:themeShade="BF"/>
          <w:sz w:val="22"/>
          <w:szCs w:val="22"/>
          <w:lang w:val="en-GB"/>
        </w:rPr>
        <w:t>exist:-</w:t>
      </w:r>
      <w:proofErr w:type="gramEnd"/>
    </w:p>
    <w:p w14:paraId="539CDE89" w14:textId="77777777" w:rsidR="006526F8" w:rsidRPr="006526F8" w:rsidRDefault="006526F8" w:rsidP="006526F8">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company is unable to pay a debt as it falls </w:t>
      </w:r>
      <w:proofErr w:type="gramStart"/>
      <w:r>
        <w:rPr>
          <w:rFonts w:ascii="Arial" w:hAnsi="Arial" w:cs="Arial"/>
          <w:color w:val="7B7B7B" w:themeColor="accent3" w:themeShade="BF"/>
          <w:sz w:val="22"/>
          <w:szCs w:val="22"/>
          <w:lang w:val="en-GB"/>
        </w:rPr>
        <w:t>due ,</w:t>
      </w:r>
      <w:proofErr w:type="gramEnd"/>
      <w:r>
        <w:rPr>
          <w:rFonts w:ascii="Arial" w:hAnsi="Arial" w:cs="Arial"/>
          <w:color w:val="7B7B7B" w:themeColor="accent3" w:themeShade="BF"/>
          <w:sz w:val="22"/>
          <w:szCs w:val="22"/>
          <w:lang w:val="en-GB"/>
        </w:rPr>
        <w:t xml:space="preserve"> if the debt is not disputable. As more elaborated in the English case of Cornhill Insurance Plc Vs Improvement Services Ltd.</w:t>
      </w:r>
    </w:p>
    <w:p w14:paraId="4D66E617" w14:textId="2B6C53DA" w:rsidR="00802DB8" w:rsidRPr="008B5D40" w:rsidRDefault="006526F8" w:rsidP="006526F8">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The liabilities of the company are more than its assets, this is also known as the “balance sheet test”. All the liabilities as per section 10(1) of the Insolvency Act, of the nature (whether present or future. Certain or contingent etc) as per section 10(2) of the Insolvency Ac</w:t>
      </w:r>
      <w:r w:rsidR="008B5D40">
        <w:rPr>
          <w:rFonts w:ascii="Arial" w:hAnsi="Arial" w:cs="Arial"/>
          <w:color w:val="7B7B7B" w:themeColor="accent3" w:themeShade="BF"/>
          <w:sz w:val="22"/>
          <w:szCs w:val="22"/>
          <w:lang w:val="en-GB"/>
        </w:rPr>
        <w:t xml:space="preserve"> are considered for this test. </w:t>
      </w:r>
      <w:proofErr w:type="gramStart"/>
      <w:r w:rsidR="008B5D40">
        <w:rPr>
          <w:rFonts w:ascii="Arial" w:hAnsi="Arial" w:cs="Arial"/>
          <w:color w:val="7B7B7B" w:themeColor="accent3" w:themeShade="BF"/>
          <w:sz w:val="22"/>
          <w:szCs w:val="22"/>
          <w:lang w:val="en-GB"/>
        </w:rPr>
        <w:t>However</w:t>
      </w:r>
      <w:proofErr w:type="gramEnd"/>
      <w:r w:rsidR="008B5D40">
        <w:rPr>
          <w:rFonts w:ascii="Arial" w:hAnsi="Arial" w:cs="Arial"/>
          <w:color w:val="7B7B7B" w:themeColor="accent3" w:themeShade="BF"/>
          <w:sz w:val="22"/>
          <w:szCs w:val="22"/>
          <w:lang w:val="en-GB"/>
        </w:rPr>
        <w:t xml:space="preserve"> in case the liabilities are more than the assets for only a short period of time, then the company is not said to be insolvent (as more elaborated in the “Trade &amp; Commerce Bank Vs Island Point Properties”</w:t>
      </w:r>
    </w:p>
    <w:p w14:paraId="75D9A6A3" w14:textId="4B1E1515" w:rsidR="008B5D40" w:rsidRPr="008B5D40" w:rsidRDefault="008B5D40" w:rsidP="006526F8">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company fails to satisfy (wholly or partially) and execution decree, any judgement decree or any order of BVI courts in </w:t>
      </w:r>
      <w:proofErr w:type="spellStart"/>
      <w:r>
        <w:rPr>
          <w:rFonts w:ascii="Arial" w:hAnsi="Arial" w:cs="Arial"/>
          <w:color w:val="7B7B7B" w:themeColor="accent3" w:themeShade="BF"/>
          <w:sz w:val="22"/>
          <w:szCs w:val="22"/>
          <w:lang w:val="en-GB"/>
        </w:rPr>
        <w:t>favor</w:t>
      </w:r>
      <w:proofErr w:type="spellEnd"/>
      <w:r>
        <w:rPr>
          <w:rFonts w:ascii="Arial" w:hAnsi="Arial" w:cs="Arial"/>
          <w:color w:val="7B7B7B" w:themeColor="accent3" w:themeShade="BF"/>
          <w:sz w:val="22"/>
          <w:szCs w:val="22"/>
          <w:lang w:val="en-GB"/>
        </w:rPr>
        <w:t xml:space="preserve"> of the creditors</w:t>
      </w:r>
    </w:p>
    <w:p w14:paraId="5C1B912E" w14:textId="22C57C14" w:rsidR="008B5D40" w:rsidRPr="008B5D40" w:rsidRDefault="008B5D40" w:rsidP="006526F8">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company fails to meet and satisfy the Statutory Demand in case the demand </w:t>
      </w:r>
      <w:proofErr w:type="gramStart"/>
      <w:r>
        <w:rPr>
          <w:rFonts w:ascii="Arial" w:hAnsi="Arial" w:cs="Arial"/>
          <w:color w:val="7B7B7B" w:themeColor="accent3" w:themeShade="BF"/>
          <w:sz w:val="22"/>
          <w:szCs w:val="22"/>
          <w:lang w:val="en-GB"/>
        </w:rPr>
        <w:t>are</w:t>
      </w:r>
      <w:proofErr w:type="gramEnd"/>
      <w:r>
        <w:rPr>
          <w:rFonts w:ascii="Arial" w:hAnsi="Arial" w:cs="Arial"/>
          <w:color w:val="7B7B7B" w:themeColor="accent3" w:themeShade="BF"/>
          <w:sz w:val="22"/>
          <w:szCs w:val="22"/>
          <w:lang w:val="en-GB"/>
        </w:rPr>
        <w:t xml:space="preserve"> not set aside within 21 days of the service as per section 156 and 157 of the insolvency act</w:t>
      </w:r>
    </w:p>
    <w:p w14:paraId="40822D8D" w14:textId="77777777" w:rsidR="008B5D40" w:rsidRPr="008B5D40" w:rsidRDefault="008B5D40" w:rsidP="008B5D40">
      <w:pPr>
        <w:jc w:val="both"/>
        <w:rPr>
          <w:rFonts w:ascii="Arial" w:hAnsi="Arial" w:cs="Arial"/>
          <w:sz w:val="22"/>
          <w:szCs w:val="22"/>
          <w:lang w:val="en-GB"/>
        </w:rPr>
      </w:pP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4F57D993" w14:textId="77777777" w:rsidR="00D70298" w:rsidRDefault="00D70298"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Liquidation of a company is terminated </w:t>
      </w:r>
      <w:proofErr w:type="gramStart"/>
      <w:r>
        <w:rPr>
          <w:rFonts w:ascii="Arial" w:hAnsi="Arial" w:cs="Arial"/>
          <w:color w:val="7B7B7B" w:themeColor="accent3" w:themeShade="BF"/>
          <w:sz w:val="22"/>
          <w:szCs w:val="22"/>
          <w:lang w:val="en-GB"/>
        </w:rPr>
        <w:t>when:-</w:t>
      </w:r>
      <w:proofErr w:type="gramEnd"/>
    </w:p>
    <w:p w14:paraId="3793ED3A" w14:textId="367B1A56" w:rsidR="00D70298" w:rsidRPr="00D70298" w:rsidRDefault="00D70298" w:rsidP="00D70298">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court on an application of </w:t>
      </w:r>
      <w:proofErr w:type="gramStart"/>
      <w:r>
        <w:rPr>
          <w:rFonts w:ascii="Arial" w:hAnsi="Arial" w:cs="Arial"/>
          <w:color w:val="7B7B7B" w:themeColor="accent3" w:themeShade="BF"/>
          <w:sz w:val="22"/>
          <w:szCs w:val="22"/>
          <w:lang w:val="en-GB"/>
        </w:rPr>
        <w:t>liquidator ,creditor</w:t>
      </w:r>
      <w:proofErr w:type="gramEnd"/>
      <w:r>
        <w:rPr>
          <w:rFonts w:ascii="Arial" w:hAnsi="Arial" w:cs="Arial"/>
          <w:color w:val="7B7B7B" w:themeColor="accent3" w:themeShade="BF"/>
          <w:sz w:val="22"/>
          <w:szCs w:val="22"/>
          <w:lang w:val="en-GB"/>
        </w:rPr>
        <w:t xml:space="preserve"> , director, official receiver makes an order for termination of the liquidation</w:t>
      </w:r>
    </w:p>
    <w:p w14:paraId="41022156" w14:textId="1A89E4CA" w:rsidR="00D70298" w:rsidRPr="004E4A5A" w:rsidRDefault="00D70298" w:rsidP="00D70298">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When the liquidator under Section 234(2) of the Insolvency Act files his report/certificate of compliance before the court, the court may by an order exempt the liquidator from filing the report/compliance certificate.</w:t>
      </w:r>
    </w:p>
    <w:p w14:paraId="0AF1D21E" w14:textId="77777777" w:rsidR="004E4A5A" w:rsidRPr="00B13B46" w:rsidRDefault="004E4A5A" w:rsidP="004E4A5A">
      <w:pPr>
        <w:jc w:val="both"/>
        <w:rPr>
          <w:rFonts w:ascii="Arial" w:hAnsi="Arial" w:cs="Arial"/>
          <w:color w:val="808080" w:themeColor="background1" w:themeShade="80"/>
          <w:sz w:val="22"/>
          <w:szCs w:val="22"/>
          <w:lang w:val="en-GB"/>
        </w:rPr>
      </w:pPr>
      <w:r w:rsidRPr="00B13B46">
        <w:rPr>
          <w:rFonts w:ascii="Arial" w:hAnsi="Arial" w:cs="Arial"/>
          <w:color w:val="808080" w:themeColor="background1" w:themeShade="80"/>
          <w:sz w:val="22"/>
          <w:szCs w:val="22"/>
          <w:lang w:val="en-GB"/>
        </w:rPr>
        <w:t xml:space="preserve">This final report of the liquidator is prepared after the liquidator has completed all his duties pertaining to the liquidation </w:t>
      </w:r>
      <w:proofErr w:type="gramStart"/>
      <w:r w:rsidRPr="00B13B46">
        <w:rPr>
          <w:rFonts w:ascii="Arial" w:hAnsi="Arial" w:cs="Arial"/>
          <w:color w:val="808080" w:themeColor="background1" w:themeShade="80"/>
          <w:sz w:val="22"/>
          <w:szCs w:val="22"/>
          <w:lang w:val="en-GB"/>
        </w:rPr>
        <w:t>process ,</w:t>
      </w:r>
      <w:proofErr w:type="gramEnd"/>
      <w:r w:rsidRPr="00B13B46">
        <w:rPr>
          <w:rFonts w:ascii="Arial" w:hAnsi="Arial" w:cs="Arial"/>
          <w:color w:val="808080" w:themeColor="background1" w:themeShade="80"/>
          <w:sz w:val="22"/>
          <w:szCs w:val="22"/>
          <w:lang w:val="en-GB"/>
        </w:rPr>
        <w:t xml:space="preserve"> which includes:-</w:t>
      </w:r>
    </w:p>
    <w:p w14:paraId="09EBC909" w14:textId="77777777" w:rsidR="004E4A5A" w:rsidRPr="00B13B46" w:rsidRDefault="004E4A5A" w:rsidP="004E4A5A">
      <w:pPr>
        <w:pStyle w:val="ListParagraph"/>
        <w:numPr>
          <w:ilvl w:val="0"/>
          <w:numId w:val="27"/>
        </w:numPr>
        <w:jc w:val="both"/>
        <w:rPr>
          <w:rFonts w:ascii="Arial" w:hAnsi="Arial" w:cs="Arial"/>
          <w:color w:val="808080" w:themeColor="background1" w:themeShade="80"/>
          <w:sz w:val="22"/>
          <w:szCs w:val="22"/>
          <w:lang w:val="en-GB"/>
        </w:rPr>
      </w:pPr>
      <w:r w:rsidRPr="00B13B46">
        <w:rPr>
          <w:rFonts w:ascii="Arial" w:hAnsi="Arial" w:cs="Arial"/>
          <w:color w:val="808080" w:themeColor="background1" w:themeShade="80"/>
          <w:sz w:val="22"/>
          <w:szCs w:val="22"/>
          <w:lang w:val="en-GB"/>
        </w:rPr>
        <w:t xml:space="preserve">To take possession </w:t>
      </w:r>
      <w:proofErr w:type="gramStart"/>
      <w:r w:rsidRPr="00B13B46">
        <w:rPr>
          <w:rFonts w:ascii="Arial" w:hAnsi="Arial" w:cs="Arial"/>
          <w:color w:val="808080" w:themeColor="background1" w:themeShade="80"/>
          <w:sz w:val="22"/>
          <w:szCs w:val="22"/>
          <w:lang w:val="en-GB"/>
        </w:rPr>
        <w:t>of ,</w:t>
      </w:r>
      <w:proofErr w:type="gramEnd"/>
      <w:r w:rsidRPr="00B13B46">
        <w:rPr>
          <w:rFonts w:ascii="Arial" w:hAnsi="Arial" w:cs="Arial"/>
          <w:color w:val="808080" w:themeColor="background1" w:themeShade="80"/>
          <w:sz w:val="22"/>
          <w:szCs w:val="22"/>
          <w:lang w:val="en-GB"/>
        </w:rPr>
        <w:t xml:space="preserve"> protect and realize the assets of the company</w:t>
      </w:r>
    </w:p>
    <w:p w14:paraId="7D5D812E" w14:textId="77777777" w:rsidR="004E4A5A" w:rsidRPr="00B13B46" w:rsidRDefault="004E4A5A" w:rsidP="004E4A5A">
      <w:pPr>
        <w:pStyle w:val="ListParagraph"/>
        <w:numPr>
          <w:ilvl w:val="0"/>
          <w:numId w:val="27"/>
        </w:numPr>
        <w:jc w:val="both"/>
        <w:rPr>
          <w:rFonts w:ascii="Arial" w:hAnsi="Arial" w:cs="Arial"/>
          <w:color w:val="808080" w:themeColor="background1" w:themeShade="80"/>
          <w:sz w:val="22"/>
          <w:szCs w:val="22"/>
          <w:lang w:val="en-GB"/>
        </w:rPr>
      </w:pPr>
      <w:r w:rsidRPr="00B13B46">
        <w:rPr>
          <w:rFonts w:ascii="Arial" w:hAnsi="Arial" w:cs="Arial"/>
          <w:color w:val="808080" w:themeColor="background1" w:themeShade="80"/>
          <w:sz w:val="22"/>
          <w:szCs w:val="22"/>
          <w:lang w:val="en-GB"/>
        </w:rPr>
        <w:t>To distribute the proceeds of realization of the assets as per the waterfall mechanism as per the provisions of the Insolvency Act</w:t>
      </w:r>
    </w:p>
    <w:p w14:paraId="57767782" w14:textId="77777777" w:rsidR="004E4A5A" w:rsidRPr="00B13B46" w:rsidRDefault="004E4A5A" w:rsidP="004E4A5A">
      <w:pPr>
        <w:pStyle w:val="ListParagraph"/>
        <w:numPr>
          <w:ilvl w:val="0"/>
          <w:numId w:val="27"/>
        </w:numPr>
        <w:jc w:val="both"/>
        <w:rPr>
          <w:rFonts w:ascii="Arial" w:hAnsi="Arial" w:cs="Arial"/>
          <w:color w:val="808080" w:themeColor="background1" w:themeShade="80"/>
          <w:sz w:val="22"/>
          <w:szCs w:val="22"/>
          <w:lang w:val="en-GB"/>
        </w:rPr>
      </w:pPr>
      <w:r w:rsidRPr="00B13B46">
        <w:rPr>
          <w:rFonts w:ascii="Arial" w:hAnsi="Arial" w:cs="Arial"/>
          <w:color w:val="808080" w:themeColor="background1" w:themeShade="80"/>
          <w:sz w:val="22"/>
          <w:szCs w:val="22"/>
          <w:lang w:val="en-GB"/>
        </w:rPr>
        <w:lastRenderedPageBreak/>
        <w:t>If there is any surplus after (ii</w:t>
      </w:r>
      <w:proofErr w:type="gramStart"/>
      <w:r w:rsidRPr="00B13B46">
        <w:rPr>
          <w:rFonts w:ascii="Arial" w:hAnsi="Arial" w:cs="Arial"/>
          <w:color w:val="808080" w:themeColor="background1" w:themeShade="80"/>
          <w:sz w:val="22"/>
          <w:szCs w:val="22"/>
          <w:lang w:val="en-GB"/>
        </w:rPr>
        <w:t>) ,</w:t>
      </w:r>
      <w:proofErr w:type="gramEnd"/>
      <w:r w:rsidRPr="00B13B46">
        <w:rPr>
          <w:rFonts w:ascii="Arial" w:hAnsi="Arial" w:cs="Arial"/>
          <w:color w:val="808080" w:themeColor="background1" w:themeShade="80"/>
          <w:sz w:val="22"/>
          <w:szCs w:val="22"/>
          <w:lang w:val="en-GB"/>
        </w:rPr>
        <w:t xml:space="preserve"> then the same too be distributed as per the provisions of Insolvency Act</w:t>
      </w:r>
    </w:p>
    <w:p w14:paraId="30E28477" w14:textId="0F3D8B6B" w:rsidR="004E4A5A" w:rsidRPr="00B13B46" w:rsidRDefault="004E4A5A" w:rsidP="004E4A5A">
      <w:pPr>
        <w:ind w:left="360"/>
        <w:jc w:val="both"/>
        <w:rPr>
          <w:rFonts w:ascii="Arial" w:hAnsi="Arial" w:cs="Arial"/>
          <w:color w:val="808080" w:themeColor="background1" w:themeShade="80"/>
          <w:sz w:val="22"/>
          <w:szCs w:val="22"/>
          <w:lang w:val="en-GB"/>
        </w:rPr>
      </w:pPr>
    </w:p>
    <w:p w14:paraId="471A3354" w14:textId="216A81D6" w:rsidR="004E4A5A" w:rsidRPr="00B13B46" w:rsidRDefault="004E4A5A" w:rsidP="004E4A5A">
      <w:pPr>
        <w:ind w:left="360"/>
        <w:jc w:val="both"/>
        <w:rPr>
          <w:rFonts w:ascii="Arial" w:hAnsi="Arial" w:cs="Arial"/>
          <w:color w:val="808080" w:themeColor="background1" w:themeShade="80"/>
          <w:sz w:val="22"/>
          <w:szCs w:val="22"/>
          <w:lang w:val="en-GB"/>
        </w:rPr>
      </w:pPr>
      <w:r w:rsidRPr="00B13B46">
        <w:rPr>
          <w:rFonts w:ascii="Arial" w:hAnsi="Arial" w:cs="Arial"/>
          <w:color w:val="808080" w:themeColor="background1" w:themeShade="80"/>
          <w:sz w:val="22"/>
          <w:szCs w:val="22"/>
          <w:lang w:val="en-GB"/>
        </w:rPr>
        <w:t xml:space="preserve">The final report so prepared shall be submitted by the liquidator to </w:t>
      </w:r>
      <w:r w:rsidR="004A37AD" w:rsidRPr="00B13B46">
        <w:rPr>
          <w:rFonts w:ascii="Arial" w:hAnsi="Arial" w:cs="Arial"/>
          <w:color w:val="808080" w:themeColor="background1" w:themeShade="80"/>
          <w:sz w:val="22"/>
          <w:szCs w:val="22"/>
          <w:lang w:val="en-GB"/>
        </w:rPr>
        <w:t>every admitted creditor and the member of the company. As per section 234(3</w:t>
      </w:r>
      <w:proofErr w:type="gramStart"/>
      <w:r w:rsidR="004A37AD" w:rsidRPr="00B13B46">
        <w:rPr>
          <w:rFonts w:ascii="Arial" w:hAnsi="Arial" w:cs="Arial"/>
          <w:color w:val="808080" w:themeColor="background1" w:themeShade="80"/>
          <w:sz w:val="22"/>
          <w:szCs w:val="22"/>
          <w:lang w:val="en-GB"/>
        </w:rPr>
        <w:t>) ,</w:t>
      </w:r>
      <w:proofErr w:type="gramEnd"/>
      <w:r w:rsidR="004A37AD" w:rsidRPr="00B13B46">
        <w:rPr>
          <w:rFonts w:ascii="Arial" w:hAnsi="Arial" w:cs="Arial"/>
          <w:color w:val="808080" w:themeColor="background1" w:themeShade="80"/>
          <w:sz w:val="22"/>
          <w:szCs w:val="22"/>
          <w:lang w:val="en-GB"/>
        </w:rPr>
        <w:t xml:space="preserve"> the reports should contain some mandatory statements. The liquidator also has power to submit an application for exemption to file the final report with the court.</w:t>
      </w:r>
    </w:p>
    <w:p w14:paraId="0E03BBFF" w14:textId="404FE387" w:rsidR="004A37AD" w:rsidRPr="00B13B46" w:rsidRDefault="004A37AD" w:rsidP="004E4A5A">
      <w:pPr>
        <w:ind w:left="360"/>
        <w:jc w:val="both"/>
        <w:rPr>
          <w:rFonts w:ascii="Arial" w:hAnsi="Arial" w:cs="Arial"/>
          <w:color w:val="808080" w:themeColor="background1" w:themeShade="80"/>
          <w:sz w:val="22"/>
          <w:szCs w:val="22"/>
          <w:lang w:val="en-GB"/>
        </w:rPr>
      </w:pPr>
    </w:p>
    <w:p w14:paraId="53D88D3B" w14:textId="71E7F7C4" w:rsidR="004A37AD" w:rsidRPr="00B13B46" w:rsidRDefault="004A37AD" w:rsidP="004E4A5A">
      <w:pPr>
        <w:ind w:left="360"/>
        <w:jc w:val="both"/>
        <w:rPr>
          <w:rFonts w:ascii="Arial" w:hAnsi="Arial" w:cs="Arial"/>
          <w:color w:val="808080" w:themeColor="background1" w:themeShade="80"/>
          <w:sz w:val="22"/>
          <w:szCs w:val="22"/>
          <w:lang w:val="en-GB"/>
        </w:rPr>
      </w:pPr>
      <w:proofErr w:type="gramStart"/>
      <w:r w:rsidRPr="00B13B46">
        <w:rPr>
          <w:rFonts w:ascii="Arial" w:hAnsi="Arial" w:cs="Arial"/>
          <w:color w:val="808080" w:themeColor="background1" w:themeShade="80"/>
          <w:sz w:val="22"/>
          <w:szCs w:val="22"/>
          <w:lang w:val="en-GB"/>
        </w:rPr>
        <w:t>Also</w:t>
      </w:r>
      <w:proofErr w:type="gramEnd"/>
      <w:r w:rsidRPr="00B13B46">
        <w:rPr>
          <w:rFonts w:ascii="Arial" w:hAnsi="Arial" w:cs="Arial"/>
          <w:color w:val="808080" w:themeColor="background1" w:themeShade="80"/>
          <w:sz w:val="22"/>
          <w:szCs w:val="22"/>
          <w:lang w:val="en-GB"/>
        </w:rPr>
        <w:t xml:space="preserve"> as per section 235, the liquidator too can file an application before the court to discharge him (liquidator) of all the liabilities that may arise due to any act done by the liquidator during the course of liquidation.</w:t>
      </w:r>
    </w:p>
    <w:p w14:paraId="6B191C20" w14:textId="3D58F6A1" w:rsidR="004A37AD" w:rsidRPr="00B13B46" w:rsidRDefault="004A37AD" w:rsidP="004E4A5A">
      <w:pPr>
        <w:ind w:left="360"/>
        <w:jc w:val="both"/>
        <w:rPr>
          <w:rFonts w:ascii="Arial" w:hAnsi="Arial" w:cs="Arial"/>
          <w:color w:val="808080" w:themeColor="background1" w:themeShade="80"/>
          <w:sz w:val="22"/>
          <w:szCs w:val="22"/>
          <w:lang w:val="en-GB"/>
        </w:rPr>
      </w:pPr>
    </w:p>
    <w:p w14:paraId="18FA53D6" w14:textId="5FF6B8FC" w:rsidR="004A37AD" w:rsidRPr="00B13B46" w:rsidRDefault="004A37AD" w:rsidP="004E4A5A">
      <w:pPr>
        <w:ind w:left="360"/>
        <w:jc w:val="both"/>
        <w:rPr>
          <w:rFonts w:ascii="Arial" w:hAnsi="Arial" w:cs="Arial"/>
          <w:color w:val="808080" w:themeColor="background1" w:themeShade="80"/>
          <w:sz w:val="22"/>
          <w:szCs w:val="22"/>
          <w:lang w:val="en-GB"/>
        </w:rPr>
      </w:pPr>
      <w:r w:rsidRPr="00B13B46">
        <w:rPr>
          <w:rFonts w:ascii="Arial" w:hAnsi="Arial" w:cs="Arial"/>
          <w:color w:val="808080" w:themeColor="background1" w:themeShade="80"/>
          <w:sz w:val="22"/>
          <w:szCs w:val="22"/>
          <w:lang w:val="en-GB"/>
        </w:rPr>
        <w:t xml:space="preserve">Once the liquidator has filed his final report and the liquidator is released and the liquidation </w:t>
      </w:r>
      <w:proofErr w:type="gramStart"/>
      <w:r w:rsidRPr="00B13B46">
        <w:rPr>
          <w:rFonts w:ascii="Arial" w:hAnsi="Arial" w:cs="Arial"/>
          <w:color w:val="808080" w:themeColor="background1" w:themeShade="80"/>
          <w:sz w:val="22"/>
          <w:szCs w:val="22"/>
          <w:lang w:val="en-GB"/>
        </w:rPr>
        <w:t>terminated ,</w:t>
      </w:r>
      <w:proofErr w:type="gramEnd"/>
      <w:r w:rsidRPr="00B13B46">
        <w:rPr>
          <w:rFonts w:ascii="Arial" w:hAnsi="Arial" w:cs="Arial"/>
          <w:color w:val="808080" w:themeColor="background1" w:themeShade="80"/>
          <w:sz w:val="22"/>
          <w:szCs w:val="22"/>
          <w:lang w:val="en-GB"/>
        </w:rPr>
        <w:t xml:space="preserve"> the company is normally </w:t>
      </w:r>
      <w:proofErr w:type="spellStart"/>
      <w:r w:rsidRPr="00B13B46">
        <w:rPr>
          <w:rFonts w:ascii="Arial" w:hAnsi="Arial" w:cs="Arial"/>
          <w:color w:val="808080" w:themeColor="background1" w:themeShade="80"/>
          <w:sz w:val="22"/>
          <w:szCs w:val="22"/>
          <w:lang w:val="en-GB"/>
        </w:rPr>
        <w:t>refered</w:t>
      </w:r>
      <w:proofErr w:type="spellEnd"/>
      <w:r w:rsidRPr="00B13B46">
        <w:rPr>
          <w:rFonts w:ascii="Arial" w:hAnsi="Arial" w:cs="Arial"/>
          <w:color w:val="808080" w:themeColor="background1" w:themeShade="80"/>
          <w:sz w:val="22"/>
          <w:szCs w:val="22"/>
          <w:lang w:val="en-GB"/>
        </w:rPr>
        <w:t xml:space="preserve"> for dissolution (only if the company liquidation is terminated due to payment of the debt to the appointing </w:t>
      </w:r>
      <w:r w:rsidR="00B13B46" w:rsidRPr="00B13B46">
        <w:rPr>
          <w:rFonts w:ascii="Arial" w:hAnsi="Arial" w:cs="Arial"/>
          <w:color w:val="808080" w:themeColor="background1" w:themeShade="80"/>
          <w:sz w:val="22"/>
          <w:szCs w:val="22"/>
          <w:lang w:val="en-GB"/>
        </w:rPr>
        <w:t>creditor)</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122CA41F" w14:textId="77777777" w:rsidR="00957883" w:rsidRDefault="0095788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it is possible to make an application to BVI courts to appoint an overseas insolvency practitioner in relation to BVI Company</w:t>
      </w:r>
    </w:p>
    <w:p w14:paraId="1836F0E3" w14:textId="77777777" w:rsidR="00957883" w:rsidRDefault="00957883" w:rsidP="008065CE">
      <w:pPr>
        <w:jc w:val="both"/>
        <w:rPr>
          <w:rFonts w:ascii="Arial" w:hAnsi="Arial" w:cs="Arial"/>
          <w:color w:val="7B7B7B" w:themeColor="accent3" w:themeShade="BF"/>
          <w:sz w:val="22"/>
          <w:szCs w:val="22"/>
          <w:lang w:val="en-GB"/>
        </w:rPr>
      </w:pPr>
    </w:p>
    <w:p w14:paraId="0EB91921" w14:textId="4B936C22" w:rsidR="00957883" w:rsidRPr="00957883" w:rsidRDefault="00957883" w:rsidP="00957883">
      <w:pPr>
        <w:pStyle w:val="ListParagraph"/>
        <w:numPr>
          <w:ilvl w:val="0"/>
          <w:numId w:val="28"/>
        </w:numPr>
        <w:jc w:val="both"/>
        <w:rPr>
          <w:rFonts w:ascii="Arial" w:hAnsi="Arial" w:cs="Arial"/>
          <w:sz w:val="22"/>
          <w:szCs w:val="22"/>
          <w:lang w:val="en-GB"/>
        </w:rPr>
      </w:pPr>
      <w:r>
        <w:rPr>
          <w:rFonts w:ascii="Arial" w:hAnsi="Arial" w:cs="Arial"/>
          <w:color w:val="7B7B7B" w:themeColor="accent3" w:themeShade="BF"/>
          <w:sz w:val="22"/>
          <w:szCs w:val="22"/>
          <w:lang w:val="en-GB"/>
        </w:rPr>
        <w:t>In most of the BVI companies, there is always a substantial/some part of its assets located overseas, therefore it is always helpful that an insolvency professional from the overseas jurisdiction wherein the overseas assets are located be appointed. This insolvency professional (called the overseas insolvency practitioner) though will add its own cost to the process, but the local expertise and saving of time with respect to travelling and communication achieved makes it worthwh</w:t>
      </w:r>
      <w:r w:rsidR="007650BE">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le to app</w:t>
      </w:r>
      <w:r w:rsidR="007650BE">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int an overseas insolvency professional in relation to a BVI company.</w:t>
      </w:r>
    </w:p>
    <w:p w14:paraId="4465FC33" w14:textId="77777777" w:rsidR="00CC0651" w:rsidRPr="00CC0651" w:rsidRDefault="007650BE" w:rsidP="00957883">
      <w:pPr>
        <w:pStyle w:val="ListParagraph"/>
        <w:numPr>
          <w:ilvl w:val="0"/>
          <w:numId w:val="28"/>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appointment of overseas insolvency professional is done under section 483 of the Insolvency Act. To be appointed as overseas insolvency practitioner the foreign insolvency professional will first write to the FSC (Finance Service Commission) submitting his desire to act as overseas insolvency professional along with all his expertise and qualification credentials. </w:t>
      </w:r>
      <w:proofErr w:type="gramStart"/>
      <w:r w:rsidR="00CC0651">
        <w:rPr>
          <w:rFonts w:ascii="Arial" w:hAnsi="Arial" w:cs="Arial"/>
          <w:color w:val="7B7B7B" w:themeColor="accent3" w:themeShade="BF"/>
          <w:sz w:val="22"/>
          <w:szCs w:val="22"/>
          <w:lang w:val="en-GB"/>
        </w:rPr>
        <w:t>Similarly</w:t>
      </w:r>
      <w:proofErr w:type="gramEnd"/>
      <w:r w:rsidR="00CC0651">
        <w:rPr>
          <w:rFonts w:ascii="Arial" w:hAnsi="Arial" w:cs="Arial"/>
          <w:color w:val="7B7B7B" w:themeColor="accent3" w:themeShade="BF"/>
          <w:sz w:val="22"/>
          <w:szCs w:val="22"/>
          <w:lang w:val="en-GB"/>
        </w:rPr>
        <w:t xml:space="preserve"> FSC needs to be given a notice by the court appointing the overseas insolvency practitioner. </w:t>
      </w:r>
    </w:p>
    <w:p w14:paraId="7C9989C3" w14:textId="77777777" w:rsidR="00CC0651" w:rsidRDefault="00CC0651" w:rsidP="00CC0651">
      <w:pPr>
        <w:pStyle w:val="ListParagraph"/>
        <w:ind w:left="1080"/>
        <w:jc w:val="both"/>
        <w:rPr>
          <w:rFonts w:ascii="Arial" w:hAnsi="Arial" w:cs="Arial"/>
          <w:color w:val="7B7B7B" w:themeColor="accent3" w:themeShade="BF"/>
          <w:sz w:val="22"/>
          <w:szCs w:val="22"/>
          <w:lang w:val="en-GB"/>
        </w:rPr>
      </w:pPr>
    </w:p>
    <w:p w14:paraId="6303A96B" w14:textId="1D55BD89" w:rsidR="00DF75F8" w:rsidRPr="00957883" w:rsidRDefault="007650BE" w:rsidP="00CC0651">
      <w:pPr>
        <w:pStyle w:val="ListParagraph"/>
        <w:ind w:left="1080"/>
        <w:jc w:val="both"/>
        <w:rPr>
          <w:rFonts w:ascii="Arial" w:hAnsi="Arial" w:cs="Arial"/>
          <w:sz w:val="22"/>
          <w:szCs w:val="22"/>
          <w:lang w:val="en-GB"/>
        </w:rPr>
      </w:pPr>
      <w:r>
        <w:rPr>
          <w:rFonts w:ascii="Arial" w:hAnsi="Arial" w:cs="Arial"/>
          <w:color w:val="7B7B7B" w:themeColor="accent3" w:themeShade="BF"/>
          <w:sz w:val="22"/>
          <w:szCs w:val="22"/>
          <w:lang w:val="en-GB"/>
        </w:rPr>
        <w:t xml:space="preserve">The FSC based on this submission </w:t>
      </w:r>
      <w:r w:rsidR="00CC0651">
        <w:rPr>
          <w:rFonts w:ascii="Arial" w:hAnsi="Arial" w:cs="Arial"/>
          <w:color w:val="7B7B7B" w:themeColor="accent3" w:themeShade="BF"/>
          <w:sz w:val="22"/>
          <w:szCs w:val="22"/>
          <w:lang w:val="en-GB"/>
        </w:rPr>
        <w:t xml:space="preserve">by the foreign professional and notice from the Courts, </w:t>
      </w:r>
      <w:r>
        <w:rPr>
          <w:rFonts w:ascii="Arial" w:hAnsi="Arial" w:cs="Arial"/>
          <w:color w:val="7B7B7B" w:themeColor="accent3" w:themeShade="BF"/>
          <w:sz w:val="22"/>
          <w:szCs w:val="22"/>
          <w:lang w:val="en-GB"/>
        </w:rPr>
        <w:t xml:space="preserve">may appear before the relevant court appointing the Overseas insolvency practitioner. The FSC can therein either consent or object to the appointment and in case the FSC gives is consent to the </w:t>
      </w:r>
      <w:proofErr w:type="gramStart"/>
      <w:r>
        <w:rPr>
          <w:rFonts w:ascii="Arial" w:hAnsi="Arial" w:cs="Arial"/>
          <w:color w:val="7B7B7B" w:themeColor="accent3" w:themeShade="BF"/>
          <w:sz w:val="22"/>
          <w:szCs w:val="22"/>
          <w:lang w:val="en-GB"/>
        </w:rPr>
        <w:t>appointment ,</w:t>
      </w:r>
      <w:proofErr w:type="gramEnd"/>
      <w:r>
        <w:rPr>
          <w:rFonts w:ascii="Arial" w:hAnsi="Arial" w:cs="Arial"/>
          <w:color w:val="7B7B7B" w:themeColor="accent3" w:themeShade="BF"/>
          <w:sz w:val="22"/>
          <w:szCs w:val="22"/>
          <w:lang w:val="en-GB"/>
        </w:rPr>
        <w:t xml:space="preserve"> the court may appoint the foreign insolvency practitioner as the overseas insolvency practitioner.</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CF743FB" w:rsidR="00802DB8" w:rsidRDefault="00802DB8" w:rsidP="008065CE">
      <w:pPr>
        <w:ind w:left="720" w:hanging="720"/>
        <w:jc w:val="both"/>
        <w:rPr>
          <w:rFonts w:ascii="Arial" w:hAnsi="Arial" w:cs="Arial"/>
          <w:b/>
          <w:bCs/>
          <w:sz w:val="22"/>
          <w:szCs w:val="22"/>
          <w:lang w:val="en-GB"/>
        </w:rPr>
      </w:pPr>
    </w:p>
    <w:p w14:paraId="34F7ED0B" w14:textId="63DE34E6" w:rsidR="00644F04" w:rsidRPr="00B9183A" w:rsidRDefault="00644F04" w:rsidP="008065CE">
      <w:pPr>
        <w:ind w:left="720" w:hanging="720"/>
        <w:jc w:val="both"/>
        <w:rPr>
          <w:rFonts w:ascii="Arial" w:hAnsi="Arial" w:cs="Arial"/>
          <w:color w:val="808080" w:themeColor="background1" w:themeShade="80"/>
          <w:sz w:val="22"/>
          <w:szCs w:val="22"/>
          <w:lang w:val="en-GB"/>
        </w:rPr>
      </w:pPr>
      <w:r w:rsidRPr="00B9183A">
        <w:rPr>
          <w:rFonts w:ascii="Arial" w:hAnsi="Arial" w:cs="Arial"/>
          <w:color w:val="808080" w:themeColor="background1" w:themeShade="80"/>
          <w:sz w:val="22"/>
          <w:szCs w:val="22"/>
          <w:lang w:val="en-GB"/>
        </w:rPr>
        <w:lastRenderedPageBreak/>
        <w:t xml:space="preserve">Under the BVI Insolvency framework the following protections and options are provided to secured </w:t>
      </w:r>
      <w:proofErr w:type="gramStart"/>
      <w:r w:rsidRPr="00B9183A">
        <w:rPr>
          <w:rFonts w:ascii="Arial" w:hAnsi="Arial" w:cs="Arial"/>
          <w:color w:val="808080" w:themeColor="background1" w:themeShade="80"/>
          <w:sz w:val="22"/>
          <w:szCs w:val="22"/>
          <w:lang w:val="en-GB"/>
        </w:rPr>
        <w:t>creditors:-</w:t>
      </w:r>
      <w:proofErr w:type="gramEnd"/>
    </w:p>
    <w:p w14:paraId="5EA037DD" w14:textId="438C804F" w:rsidR="00D47D49" w:rsidRPr="00B9183A" w:rsidRDefault="00D47D49" w:rsidP="008065CE">
      <w:pPr>
        <w:ind w:left="720" w:hanging="720"/>
        <w:jc w:val="both"/>
        <w:rPr>
          <w:rFonts w:ascii="Arial" w:hAnsi="Arial" w:cs="Arial"/>
          <w:color w:val="808080" w:themeColor="background1" w:themeShade="80"/>
          <w:sz w:val="22"/>
          <w:szCs w:val="22"/>
          <w:lang w:val="en-GB"/>
        </w:rPr>
      </w:pPr>
    </w:p>
    <w:p w14:paraId="00233DE1" w14:textId="1188505E" w:rsidR="00D47D49" w:rsidRPr="00B9183A" w:rsidRDefault="00D47D49" w:rsidP="00D47D49">
      <w:pPr>
        <w:pStyle w:val="ListParagraph"/>
        <w:numPr>
          <w:ilvl w:val="0"/>
          <w:numId w:val="35"/>
        </w:numPr>
        <w:jc w:val="both"/>
        <w:rPr>
          <w:rFonts w:ascii="Arial" w:hAnsi="Arial" w:cs="Arial"/>
          <w:b/>
          <w:bCs/>
          <w:color w:val="808080" w:themeColor="background1" w:themeShade="80"/>
          <w:sz w:val="22"/>
          <w:szCs w:val="22"/>
          <w:lang w:val="en-GB"/>
        </w:rPr>
      </w:pPr>
      <w:r w:rsidRPr="00B9183A">
        <w:rPr>
          <w:rFonts w:ascii="Arial" w:hAnsi="Arial" w:cs="Arial"/>
          <w:b/>
          <w:bCs/>
          <w:color w:val="808080" w:themeColor="background1" w:themeShade="80"/>
          <w:sz w:val="22"/>
          <w:szCs w:val="22"/>
          <w:lang w:val="en-GB"/>
        </w:rPr>
        <w:t>Charge</w:t>
      </w:r>
    </w:p>
    <w:p w14:paraId="0F78DA7A" w14:textId="77777777" w:rsidR="00B9183A" w:rsidRPr="00B9183A" w:rsidRDefault="00CC7021" w:rsidP="00CC7021">
      <w:pPr>
        <w:pStyle w:val="ListParagraph"/>
        <w:jc w:val="both"/>
        <w:rPr>
          <w:rFonts w:ascii="Arial" w:hAnsi="Arial" w:cs="Arial"/>
          <w:color w:val="808080" w:themeColor="background1" w:themeShade="80"/>
          <w:sz w:val="22"/>
          <w:szCs w:val="22"/>
          <w:lang w:val="en-GB"/>
        </w:rPr>
      </w:pPr>
      <w:r w:rsidRPr="00B9183A">
        <w:rPr>
          <w:rFonts w:ascii="Arial" w:hAnsi="Arial" w:cs="Arial"/>
          <w:color w:val="808080" w:themeColor="background1" w:themeShade="80"/>
          <w:sz w:val="22"/>
          <w:szCs w:val="22"/>
          <w:lang w:val="en-GB"/>
        </w:rPr>
        <w:t xml:space="preserve">Section 161(1) of BCA provides the BVI companies with an option to create charge over their assets by an instrument in writing. The law governing the charge to be agreed between the parties in section 161(2) of BCA whereby (a) </w:t>
      </w:r>
      <w:r w:rsidR="00B9183A" w:rsidRPr="00B9183A">
        <w:rPr>
          <w:rFonts w:ascii="Arial" w:hAnsi="Arial" w:cs="Arial"/>
          <w:color w:val="808080" w:themeColor="background1" w:themeShade="80"/>
          <w:sz w:val="22"/>
          <w:szCs w:val="22"/>
          <w:lang w:val="en-GB"/>
        </w:rPr>
        <w:t>no formalities such as notarizing the document is needed (b) No stamp duty is payable on creation of a charge.</w:t>
      </w:r>
    </w:p>
    <w:p w14:paraId="20A9CC05" w14:textId="77777777" w:rsidR="00B9183A" w:rsidRPr="00B9183A" w:rsidRDefault="00B9183A" w:rsidP="00CC7021">
      <w:pPr>
        <w:pStyle w:val="ListParagraph"/>
        <w:jc w:val="both"/>
        <w:rPr>
          <w:rFonts w:ascii="Arial" w:hAnsi="Arial" w:cs="Arial"/>
          <w:color w:val="808080" w:themeColor="background1" w:themeShade="80"/>
          <w:sz w:val="22"/>
          <w:szCs w:val="22"/>
          <w:lang w:val="en-GB"/>
        </w:rPr>
      </w:pPr>
      <w:r w:rsidRPr="00B9183A">
        <w:rPr>
          <w:rFonts w:ascii="Arial" w:hAnsi="Arial" w:cs="Arial"/>
          <w:color w:val="808080" w:themeColor="background1" w:themeShade="80"/>
          <w:sz w:val="22"/>
          <w:szCs w:val="22"/>
          <w:lang w:val="en-GB"/>
        </w:rPr>
        <w:t xml:space="preserve">Public registration of the charge is not </w:t>
      </w:r>
      <w:proofErr w:type="gramStart"/>
      <w:r w:rsidRPr="00B9183A">
        <w:rPr>
          <w:rFonts w:ascii="Arial" w:hAnsi="Arial" w:cs="Arial"/>
          <w:color w:val="808080" w:themeColor="background1" w:themeShade="80"/>
          <w:sz w:val="22"/>
          <w:szCs w:val="22"/>
          <w:lang w:val="en-GB"/>
        </w:rPr>
        <w:t>mandatory ,</w:t>
      </w:r>
      <w:proofErr w:type="gramEnd"/>
      <w:r w:rsidRPr="00B9183A">
        <w:rPr>
          <w:rFonts w:ascii="Arial" w:hAnsi="Arial" w:cs="Arial"/>
          <w:color w:val="808080" w:themeColor="background1" w:themeShade="80"/>
          <w:sz w:val="22"/>
          <w:szCs w:val="22"/>
          <w:lang w:val="en-GB"/>
        </w:rPr>
        <w:t xml:space="preserve"> but only the charges registered publicly (not the private charge) determines the priority of the charge in BVI laws.</w:t>
      </w:r>
    </w:p>
    <w:p w14:paraId="357FE1DE" w14:textId="3CB626F9" w:rsidR="00CC7021" w:rsidRPr="00B9183A" w:rsidRDefault="00B9183A" w:rsidP="00CC7021">
      <w:pPr>
        <w:pStyle w:val="ListParagraph"/>
        <w:jc w:val="both"/>
        <w:rPr>
          <w:rFonts w:ascii="Arial" w:hAnsi="Arial" w:cs="Arial"/>
          <w:color w:val="808080" w:themeColor="background1" w:themeShade="80"/>
          <w:sz w:val="22"/>
          <w:szCs w:val="22"/>
          <w:lang w:val="en-GB"/>
        </w:rPr>
      </w:pPr>
      <w:r w:rsidRPr="00B9183A">
        <w:rPr>
          <w:rFonts w:ascii="Arial" w:hAnsi="Arial" w:cs="Arial"/>
          <w:color w:val="808080" w:themeColor="background1" w:themeShade="80"/>
          <w:sz w:val="22"/>
          <w:szCs w:val="22"/>
          <w:lang w:val="en-GB"/>
        </w:rPr>
        <w:t>Section 162 and 163 of the BCA provides the provisions of the ways of registering the charges</w:t>
      </w:r>
      <w:r w:rsidR="00CC7021" w:rsidRPr="00B9183A">
        <w:rPr>
          <w:rFonts w:ascii="Arial" w:hAnsi="Arial" w:cs="Arial"/>
          <w:color w:val="808080" w:themeColor="background1" w:themeShade="80"/>
          <w:sz w:val="22"/>
          <w:szCs w:val="22"/>
          <w:lang w:val="en-GB"/>
        </w:rPr>
        <w:t xml:space="preserve"> </w:t>
      </w:r>
    </w:p>
    <w:p w14:paraId="0A9DA1F3" w14:textId="77777777" w:rsidR="00D47D49" w:rsidRPr="00B9183A" w:rsidRDefault="00D47D49" w:rsidP="00D47D49">
      <w:pPr>
        <w:pStyle w:val="ListParagraph"/>
        <w:jc w:val="both"/>
        <w:rPr>
          <w:rFonts w:ascii="Arial" w:hAnsi="Arial" w:cs="Arial"/>
          <w:color w:val="808080" w:themeColor="background1" w:themeShade="80"/>
          <w:sz w:val="22"/>
          <w:szCs w:val="22"/>
          <w:lang w:val="en-GB"/>
        </w:rPr>
      </w:pPr>
    </w:p>
    <w:p w14:paraId="4ABF6C72" w14:textId="06EC5313" w:rsidR="00D47D49" w:rsidRPr="00B9183A" w:rsidRDefault="00D47D49" w:rsidP="00D47D49">
      <w:pPr>
        <w:pStyle w:val="ListParagraph"/>
        <w:numPr>
          <w:ilvl w:val="0"/>
          <w:numId w:val="35"/>
        </w:numPr>
        <w:jc w:val="both"/>
        <w:rPr>
          <w:rFonts w:ascii="Arial" w:hAnsi="Arial" w:cs="Arial"/>
          <w:b/>
          <w:bCs/>
          <w:color w:val="808080" w:themeColor="background1" w:themeShade="80"/>
          <w:sz w:val="22"/>
          <w:szCs w:val="22"/>
          <w:lang w:val="en-GB"/>
        </w:rPr>
      </w:pPr>
      <w:r w:rsidRPr="00B9183A">
        <w:rPr>
          <w:rFonts w:ascii="Arial" w:hAnsi="Arial" w:cs="Arial"/>
          <w:b/>
          <w:bCs/>
          <w:color w:val="808080" w:themeColor="background1" w:themeShade="80"/>
          <w:sz w:val="22"/>
          <w:szCs w:val="22"/>
          <w:lang w:val="en-GB"/>
        </w:rPr>
        <w:t>Legal Mortgage</w:t>
      </w:r>
    </w:p>
    <w:p w14:paraId="16CD25D9" w14:textId="15DE0ECF" w:rsidR="00366C1F" w:rsidRPr="00B9183A" w:rsidRDefault="00366C1F" w:rsidP="00366C1F">
      <w:pPr>
        <w:pStyle w:val="ListParagraph"/>
        <w:rPr>
          <w:rFonts w:ascii="Arial" w:hAnsi="Arial" w:cs="Arial"/>
          <w:color w:val="808080" w:themeColor="background1" w:themeShade="80"/>
          <w:sz w:val="22"/>
          <w:szCs w:val="22"/>
          <w:lang w:val="en-GB"/>
        </w:rPr>
      </w:pPr>
      <w:r w:rsidRPr="00B9183A">
        <w:rPr>
          <w:rFonts w:ascii="Arial" w:hAnsi="Arial" w:cs="Arial"/>
          <w:color w:val="808080" w:themeColor="background1" w:themeShade="80"/>
          <w:sz w:val="22"/>
          <w:szCs w:val="22"/>
          <w:lang w:val="en-GB"/>
        </w:rPr>
        <w:t>A legal mortgage is one in which the secured creditors are given a legal right in the asset, subject to the right to have the asset re-conveyed once the obligation of debt has been settled/repaid by the company (right of redemption). In case of default the holder of the legal mortgage can (a) Foreclose (b) Sell (c) appoint a receiver</w:t>
      </w:r>
    </w:p>
    <w:p w14:paraId="333BC3A3" w14:textId="77777777" w:rsidR="00366C1F" w:rsidRPr="00B9183A" w:rsidRDefault="00366C1F" w:rsidP="00366C1F">
      <w:pPr>
        <w:pStyle w:val="ListParagraph"/>
        <w:jc w:val="both"/>
        <w:rPr>
          <w:rFonts w:ascii="Arial" w:hAnsi="Arial" w:cs="Arial"/>
          <w:color w:val="808080" w:themeColor="background1" w:themeShade="80"/>
          <w:sz w:val="22"/>
          <w:szCs w:val="22"/>
          <w:lang w:val="en-GB"/>
        </w:rPr>
      </w:pPr>
    </w:p>
    <w:p w14:paraId="09558E07" w14:textId="216AB9E7" w:rsidR="00D47D49" w:rsidRPr="00B9183A" w:rsidRDefault="00D47D49" w:rsidP="00D47D49">
      <w:pPr>
        <w:pStyle w:val="ListParagraph"/>
        <w:numPr>
          <w:ilvl w:val="0"/>
          <w:numId w:val="35"/>
        </w:numPr>
        <w:jc w:val="both"/>
        <w:rPr>
          <w:rFonts w:ascii="Arial" w:hAnsi="Arial" w:cs="Arial"/>
          <w:b/>
          <w:bCs/>
          <w:color w:val="808080" w:themeColor="background1" w:themeShade="80"/>
          <w:sz w:val="22"/>
          <w:szCs w:val="22"/>
          <w:lang w:val="en-GB"/>
        </w:rPr>
      </w:pPr>
      <w:r w:rsidRPr="00B9183A">
        <w:rPr>
          <w:rFonts w:ascii="Arial" w:hAnsi="Arial" w:cs="Arial"/>
          <w:b/>
          <w:bCs/>
          <w:color w:val="808080" w:themeColor="background1" w:themeShade="80"/>
          <w:sz w:val="22"/>
          <w:szCs w:val="22"/>
          <w:lang w:val="en-GB"/>
        </w:rPr>
        <w:t>Equitable Mortgage</w:t>
      </w:r>
    </w:p>
    <w:p w14:paraId="166AA198" w14:textId="0EB05573" w:rsidR="00366C1F" w:rsidRPr="00B9183A" w:rsidRDefault="00366C1F" w:rsidP="00366C1F">
      <w:pPr>
        <w:pStyle w:val="ListParagraph"/>
        <w:jc w:val="both"/>
        <w:rPr>
          <w:rFonts w:ascii="Arial" w:hAnsi="Arial" w:cs="Arial"/>
          <w:color w:val="808080" w:themeColor="background1" w:themeShade="80"/>
          <w:sz w:val="22"/>
          <w:szCs w:val="22"/>
          <w:lang w:val="en-GB"/>
        </w:rPr>
      </w:pPr>
      <w:r w:rsidRPr="00B9183A">
        <w:rPr>
          <w:rFonts w:ascii="Arial" w:hAnsi="Arial" w:cs="Arial"/>
          <w:color w:val="808080" w:themeColor="background1" w:themeShade="80"/>
          <w:sz w:val="22"/>
          <w:szCs w:val="22"/>
          <w:lang w:val="en-GB"/>
        </w:rPr>
        <w:t>This provided the secured creditor with a power to sell the assets which have been charged upon. This security prevents the charger (the company) from disposing of the assets.</w:t>
      </w:r>
    </w:p>
    <w:p w14:paraId="1DCAC4CB" w14:textId="77777777" w:rsidR="00366C1F" w:rsidRPr="00B9183A" w:rsidRDefault="00366C1F" w:rsidP="00366C1F">
      <w:pPr>
        <w:pStyle w:val="ListParagraph"/>
        <w:jc w:val="both"/>
        <w:rPr>
          <w:rFonts w:ascii="Arial" w:hAnsi="Arial" w:cs="Arial"/>
          <w:color w:val="808080" w:themeColor="background1" w:themeShade="80"/>
          <w:sz w:val="22"/>
          <w:szCs w:val="22"/>
          <w:lang w:val="en-GB"/>
        </w:rPr>
      </w:pPr>
    </w:p>
    <w:p w14:paraId="23B2BAAC" w14:textId="0DFCA716" w:rsidR="00D47D49" w:rsidRPr="00B9183A" w:rsidRDefault="00D47D49" w:rsidP="00D47D49">
      <w:pPr>
        <w:pStyle w:val="ListParagraph"/>
        <w:numPr>
          <w:ilvl w:val="0"/>
          <w:numId w:val="35"/>
        </w:numPr>
        <w:jc w:val="both"/>
        <w:rPr>
          <w:rFonts w:ascii="Arial" w:hAnsi="Arial" w:cs="Arial"/>
          <w:b/>
          <w:bCs/>
          <w:color w:val="808080" w:themeColor="background1" w:themeShade="80"/>
          <w:sz w:val="22"/>
          <w:szCs w:val="22"/>
          <w:lang w:val="en-GB"/>
        </w:rPr>
      </w:pPr>
      <w:r w:rsidRPr="00B9183A">
        <w:rPr>
          <w:rFonts w:ascii="Arial" w:hAnsi="Arial" w:cs="Arial"/>
          <w:b/>
          <w:bCs/>
          <w:color w:val="808080" w:themeColor="background1" w:themeShade="80"/>
          <w:sz w:val="22"/>
          <w:szCs w:val="22"/>
          <w:lang w:val="en-GB"/>
        </w:rPr>
        <w:t>Floating Charge</w:t>
      </w:r>
    </w:p>
    <w:p w14:paraId="30A2B782" w14:textId="7772FA6C" w:rsidR="00D47D49" w:rsidRPr="00B9183A" w:rsidRDefault="00D47D49" w:rsidP="00D47D49">
      <w:pPr>
        <w:pStyle w:val="ListParagraph"/>
        <w:jc w:val="both"/>
        <w:rPr>
          <w:rFonts w:ascii="Arial" w:hAnsi="Arial" w:cs="Arial"/>
          <w:color w:val="808080" w:themeColor="background1" w:themeShade="80"/>
          <w:sz w:val="22"/>
          <w:szCs w:val="22"/>
          <w:lang w:val="en-GB"/>
        </w:rPr>
      </w:pPr>
      <w:r w:rsidRPr="00B9183A">
        <w:rPr>
          <w:rFonts w:ascii="Arial" w:hAnsi="Arial" w:cs="Arial"/>
          <w:color w:val="808080" w:themeColor="background1" w:themeShade="80"/>
          <w:sz w:val="22"/>
          <w:szCs w:val="22"/>
          <w:lang w:val="en-GB"/>
        </w:rPr>
        <w:t>Floating charge is provided on all the assets/</w:t>
      </w:r>
      <w:proofErr w:type="spellStart"/>
      <w:r w:rsidRPr="00B9183A">
        <w:rPr>
          <w:rFonts w:ascii="Arial" w:hAnsi="Arial" w:cs="Arial"/>
          <w:color w:val="808080" w:themeColor="background1" w:themeShade="80"/>
          <w:sz w:val="22"/>
          <w:szCs w:val="22"/>
          <w:lang w:val="en-GB"/>
        </w:rPr>
        <w:t>an</w:t>
      </w:r>
      <w:proofErr w:type="spellEnd"/>
      <w:r w:rsidRPr="00B9183A">
        <w:rPr>
          <w:rFonts w:ascii="Arial" w:hAnsi="Arial" w:cs="Arial"/>
          <w:color w:val="808080" w:themeColor="background1" w:themeShade="80"/>
          <w:sz w:val="22"/>
          <w:szCs w:val="22"/>
          <w:lang w:val="en-GB"/>
        </w:rPr>
        <w:t xml:space="preserve"> asset class of the company on a continuous basis (and not restricted to a particular asset), thereby allowing the company to keep selling the assets in a</w:t>
      </w:r>
      <w:r w:rsidR="00366C1F" w:rsidRPr="00B9183A">
        <w:rPr>
          <w:rFonts w:ascii="Arial" w:hAnsi="Arial" w:cs="Arial"/>
          <w:color w:val="808080" w:themeColor="background1" w:themeShade="80"/>
          <w:sz w:val="22"/>
          <w:szCs w:val="22"/>
          <w:lang w:val="en-GB"/>
        </w:rPr>
        <w:t xml:space="preserve"> normal course of business and yet the charge remains broadly on the entire asset. The charge is not fixed or limited on a particular asset. Example – Inventory of the company/ Receivable and Book Debt of the company</w:t>
      </w:r>
    </w:p>
    <w:p w14:paraId="10FDFF3B" w14:textId="77777777" w:rsidR="00366C1F" w:rsidRPr="00B9183A" w:rsidRDefault="00366C1F" w:rsidP="00D47D49">
      <w:pPr>
        <w:pStyle w:val="ListParagraph"/>
        <w:jc w:val="both"/>
        <w:rPr>
          <w:rFonts w:ascii="Arial" w:hAnsi="Arial" w:cs="Arial"/>
          <w:b/>
          <w:bCs/>
          <w:color w:val="808080" w:themeColor="background1" w:themeShade="80"/>
          <w:sz w:val="22"/>
          <w:szCs w:val="22"/>
          <w:lang w:val="en-GB"/>
        </w:rPr>
      </w:pPr>
    </w:p>
    <w:p w14:paraId="767CB540" w14:textId="02EADBDE" w:rsidR="00D47D49" w:rsidRPr="00B9183A" w:rsidRDefault="00D47D49" w:rsidP="00D47D49">
      <w:pPr>
        <w:pStyle w:val="ListParagraph"/>
        <w:numPr>
          <w:ilvl w:val="0"/>
          <w:numId w:val="35"/>
        </w:numPr>
        <w:jc w:val="both"/>
        <w:rPr>
          <w:rFonts w:ascii="Arial" w:hAnsi="Arial" w:cs="Arial"/>
          <w:b/>
          <w:bCs/>
          <w:color w:val="808080" w:themeColor="background1" w:themeShade="80"/>
          <w:sz w:val="22"/>
          <w:szCs w:val="22"/>
          <w:lang w:val="en-GB"/>
        </w:rPr>
      </w:pPr>
      <w:r w:rsidRPr="00B9183A">
        <w:rPr>
          <w:rFonts w:ascii="Arial" w:hAnsi="Arial" w:cs="Arial"/>
          <w:b/>
          <w:bCs/>
          <w:color w:val="808080" w:themeColor="background1" w:themeShade="80"/>
          <w:sz w:val="22"/>
          <w:szCs w:val="22"/>
          <w:lang w:val="en-GB"/>
        </w:rPr>
        <w:t>Mortgages and Security over the shares in a BVI Company</w:t>
      </w:r>
    </w:p>
    <w:p w14:paraId="07017DC3" w14:textId="2C2138AF" w:rsidR="00366C1F" w:rsidRPr="00B9183A" w:rsidRDefault="00CC7021" w:rsidP="00366C1F">
      <w:pPr>
        <w:pStyle w:val="ListParagraph"/>
        <w:jc w:val="both"/>
        <w:rPr>
          <w:rFonts w:ascii="Arial" w:hAnsi="Arial" w:cs="Arial"/>
          <w:color w:val="808080" w:themeColor="background1" w:themeShade="80"/>
          <w:sz w:val="22"/>
          <w:szCs w:val="22"/>
          <w:lang w:val="en-GB"/>
        </w:rPr>
      </w:pPr>
      <w:r w:rsidRPr="00B9183A">
        <w:rPr>
          <w:rFonts w:ascii="Arial" w:hAnsi="Arial" w:cs="Arial"/>
          <w:color w:val="808080" w:themeColor="background1" w:themeShade="80"/>
          <w:sz w:val="22"/>
          <w:szCs w:val="22"/>
          <w:lang w:val="en-GB"/>
        </w:rPr>
        <w:t xml:space="preserve">Under section 66 of BCA the shares of a BVI company can be mortgaged to a lender by creation of a charge (a) In writing by the holder (or its authority) of the shares (b) clearly indicating the creation of charge (c) amount secured against the mortgage. A mere deposit of the shares certificate will not give effect of the </w:t>
      </w:r>
      <w:proofErr w:type="spellStart"/>
      <w:r w:rsidRPr="00B9183A">
        <w:rPr>
          <w:rFonts w:ascii="Arial" w:hAnsi="Arial" w:cs="Arial"/>
          <w:color w:val="808080" w:themeColor="background1" w:themeShade="80"/>
          <w:sz w:val="22"/>
          <w:szCs w:val="22"/>
          <w:lang w:val="en-GB"/>
        </w:rPr>
        <w:t>charg</w:t>
      </w:r>
      <w:proofErr w:type="spellEnd"/>
    </w:p>
    <w:p w14:paraId="60894A84" w14:textId="77777777" w:rsidR="00D47D49" w:rsidRPr="00B9183A" w:rsidRDefault="00D47D49" w:rsidP="00D47D49">
      <w:pPr>
        <w:pStyle w:val="ListParagraph"/>
        <w:jc w:val="both"/>
        <w:rPr>
          <w:rFonts w:ascii="Arial" w:hAnsi="Arial" w:cs="Arial"/>
          <w:b/>
          <w:bCs/>
          <w:color w:val="808080" w:themeColor="background1" w:themeShade="80"/>
          <w:sz w:val="22"/>
          <w:szCs w:val="22"/>
          <w:lang w:val="en-GB"/>
        </w:rPr>
      </w:pPr>
    </w:p>
    <w:p w14:paraId="30740825" w14:textId="656568C5" w:rsidR="00D47D49" w:rsidRPr="00B9183A" w:rsidRDefault="00D47D49" w:rsidP="00D47D49">
      <w:pPr>
        <w:pStyle w:val="ListParagraph"/>
        <w:numPr>
          <w:ilvl w:val="0"/>
          <w:numId w:val="35"/>
        </w:numPr>
        <w:jc w:val="both"/>
        <w:rPr>
          <w:rFonts w:ascii="Arial" w:hAnsi="Arial" w:cs="Arial"/>
          <w:b/>
          <w:bCs/>
          <w:color w:val="808080" w:themeColor="background1" w:themeShade="80"/>
          <w:sz w:val="22"/>
          <w:szCs w:val="22"/>
          <w:lang w:val="en-GB"/>
        </w:rPr>
      </w:pPr>
      <w:r w:rsidRPr="00B9183A">
        <w:rPr>
          <w:rFonts w:ascii="Arial" w:hAnsi="Arial" w:cs="Arial"/>
          <w:b/>
          <w:bCs/>
          <w:color w:val="808080" w:themeColor="background1" w:themeShade="80"/>
          <w:sz w:val="22"/>
          <w:szCs w:val="22"/>
          <w:lang w:val="en-GB"/>
        </w:rPr>
        <w:t>Pledge</w:t>
      </w:r>
    </w:p>
    <w:p w14:paraId="7E71418D" w14:textId="1058BDA5" w:rsidR="00D47D49" w:rsidRPr="00B9183A" w:rsidRDefault="00D47D49" w:rsidP="00D47D49">
      <w:pPr>
        <w:pStyle w:val="ListParagraph"/>
        <w:jc w:val="both"/>
        <w:rPr>
          <w:rFonts w:ascii="Arial" w:hAnsi="Arial" w:cs="Arial"/>
          <w:color w:val="808080" w:themeColor="background1" w:themeShade="80"/>
          <w:sz w:val="22"/>
          <w:szCs w:val="22"/>
          <w:lang w:val="en-GB"/>
        </w:rPr>
      </w:pPr>
      <w:r w:rsidRPr="00B9183A">
        <w:rPr>
          <w:rFonts w:ascii="Arial" w:hAnsi="Arial" w:cs="Arial"/>
          <w:color w:val="808080" w:themeColor="background1" w:themeShade="80"/>
          <w:sz w:val="22"/>
          <w:szCs w:val="22"/>
          <w:lang w:val="en-GB"/>
        </w:rPr>
        <w:t xml:space="preserve">In this form of </w:t>
      </w:r>
      <w:proofErr w:type="gramStart"/>
      <w:r w:rsidRPr="00B9183A">
        <w:rPr>
          <w:rFonts w:ascii="Arial" w:hAnsi="Arial" w:cs="Arial"/>
          <w:color w:val="808080" w:themeColor="background1" w:themeShade="80"/>
          <w:sz w:val="22"/>
          <w:szCs w:val="22"/>
          <w:lang w:val="en-GB"/>
        </w:rPr>
        <w:t>security</w:t>
      </w:r>
      <w:proofErr w:type="gramEnd"/>
      <w:r w:rsidRPr="00B9183A">
        <w:rPr>
          <w:rFonts w:ascii="Arial" w:hAnsi="Arial" w:cs="Arial"/>
          <w:color w:val="808080" w:themeColor="background1" w:themeShade="80"/>
          <w:sz w:val="22"/>
          <w:szCs w:val="22"/>
          <w:lang w:val="en-GB"/>
        </w:rPr>
        <w:t xml:space="preserve"> the secured creditor is given power of sale over the physical assets of the Company (the shares of the BVI company cannot be pledged). The pledge </w:t>
      </w:r>
      <w:proofErr w:type="spellStart"/>
      <w:r w:rsidRPr="00B9183A">
        <w:rPr>
          <w:rFonts w:ascii="Arial" w:hAnsi="Arial" w:cs="Arial"/>
          <w:color w:val="808080" w:themeColor="background1" w:themeShade="80"/>
          <w:sz w:val="22"/>
          <w:szCs w:val="22"/>
          <w:lang w:val="en-GB"/>
        </w:rPr>
        <w:t>doesnot</w:t>
      </w:r>
      <w:proofErr w:type="spellEnd"/>
      <w:r w:rsidRPr="00B9183A">
        <w:rPr>
          <w:rFonts w:ascii="Arial" w:hAnsi="Arial" w:cs="Arial"/>
          <w:color w:val="808080" w:themeColor="background1" w:themeShade="80"/>
          <w:sz w:val="22"/>
          <w:szCs w:val="22"/>
          <w:lang w:val="en-GB"/>
        </w:rPr>
        <w:t xml:space="preserve"> confer rights to appoint a liquidator or foreclose</w:t>
      </w:r>
    </w:p>
    <w:p w14:paraId="7A3F44A2" w14:textId="77777777" w:rsidR="00644F04" w:rsidRPr="00644F04" w:rsidRDefault="00644F04" w:rsidP="008065CE">
      <w:pPr>
        <w:ind w:left="720" w:hanging="720"/>
        <w:jc w:val="both"/>
        <w:rPr>
          <w:rFonts w:ascii="Arial" w:hAnsi="Arial" w:cs="Arial"/>
          <w:sz w:val="22"/>
          <w:szCs w:val="22"/>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proofErr w:type="spellStart"/>
      <w:r w:rsidR="001E1A4E">
        <w:rPr>
          <w:rFonts w:ascii="Arial" w:hAnsi="Arial" w:cs="Arial"/>
          <w:sz w:val="22"/>
          <w:szCs w:val="22"/>
          <w:lang w:val="en-GB"/>
        </w:rPr>
        <w:t>Pinforth</w:t>
      </w:r>
      <w:proofErr w:type="spellEnd"/>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proofErr w:type="spellStart"/>
      <w:r w:rsidR="00045717">
        <w:rPr>
          <w:rFonts w:ascii="Arial" w:hAnsi="Arial" w:cs="Arial"/>
          <w:sz w:val="22"/>
          <w:szCs w:val="22"/>
          <w:lang w:val="en-GB"/>
        </w:rPr>
        <w:t>Pinforth</w:t>
      </w:r>
      <w:proofErr w:type="spellEnd"/>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lastRenderedPageBreak/>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proofErr w:type="spellStart"/>
      <w:r w:rsidR="00BA1DB6">
        <w:rPr>
          <w:rFonts w:ascii="Arial" w:hAnsi="Arial" w:cs="Arial"/>
          <w:sz w:val="22"/>
          <w:szCs w:val="22"/>
          <w:lang w:val="en-GB"/>
        </w:rPr>
        <w:t>Pinforth</w:t>
      </w:r>
      <w:proofErr w:type="spellEnd"/>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5289DE5F" w14:textId="51160C53" w:rsidR="007A474E" w:rsidRDefault="007A474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present case,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by virtue of the judgement award of USD 4.5Million becomes a judgement debtor for Expat. To get enforced the foreign judgement debt,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has the following two </w:t>
      </w:r>
      <w:proofErr w:type="gramStart"/>
      <w:r>
        <w:rPr>
          <w:rFonts w:ascii="Arial" w:hAnsi="Arial" w:cs="Arial"/>
          <w:color w:val="7B7B7B" w:themeColor="accent3" w:themeShade="BF"/>
          <w:sz w:val="22"/>
          <w:szCs w:val="22"/>
          <w:lang w:val="en-GB"/>
        </w:rPr>
        <w:t>options:-</w:t>
      </w:r>
      <w:proofErr w:type="gramEnd"/>
    </w:p>
    <w:p w14:paraId="211C7B61" w14:textId="77777777" w:rsidR="007A474E" w:rsidRPr="007A474E" w:rsidRDefault="007A474E" w:rsidP="007A474E">
      <w:pPr>
        <w:pStyle w:val="ListParagraph"/>
        <w:numPr>
          <w:ilvl w:val="0"/>
          <w:numId w:val="29"/>
        </w:numPr>
        <w:autoSpaceDE w:val="0"/>
        <w:autoSpaceDN w:val="0"/>
        <w:adjustRightInd w:val="0"/>
        <w:jc w:val="both"/>
        <w:rPr>
          <w:rFonts w:ascii="Arial" w:hAnsi="Arial" w:cs="Arial"/>
          <w:sz w:val="22"/>
          <w:szCs w:val="22"/>
          <w:lang w:val="en-GB"/>
        </w:rPr>
      </w:pPr>
      <w:r w:rsidRPr="007A474E">
        <w:rPr>
          <w:rFonts w:ascii="Arial" w:hAnsi="Arial" w:cs="Arial"/>
          <w:b/>
          <w:bCs/>
          <w:color w:val="7B7B7B" w:themeColor="accent3" w:themeShade="BF"/>
          <w:sz w:val="22"/>
          <w:szCs w:val="22"/>
          <w:lang w:val="en-GB"/>
        </w:rPr>
        <w:t>Enforcement through Reciprocal Enforcement of Judgements Act 1922</w:t>
      </w:r>
      <w:r>
        <w:rPr>
          <w:rFonts w:ascii="Arial" w:hAnsi="Arial" w:cs="Arial"/>
          <w:color w:val="7B7B7B" w:themeColor="accent3" w:themeShade="BF"/>
          <w:sz w:val="22"/>
          <w:szCs w:val="22"/>
          <w:lang w:val="en-GB"/>
        </w:rPr>
        <w:t>.</w:t>
      </w:r>
    </w:p>
    <w:p w14:paraId="495B9126" w14:textId="77777777" w:rsidR="005C1F4F" w:rsidRDefault="007A474E" w:rsidP="007A474E">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the Reciprocal Enforcement of Judgements Act 1922</w:t>
      </w:r>
      <w:r w:rsidR="005C1F4F">
        <w:rPr>
          <w:rFonts w:ascii="Arial" w:hAnsi="Arial" w:cs="Arial"/>
          <w:color w:val="7B7B7B" w:themeColor="accent3" w:themeShade="BF"/>
          <w:sz w:val="22"/>
          <w:szCs w:val="22"/>
          <w:lang w:val="en-GB"/>
        </w:rPr>
        <w:t xml:space="preserve"> judgements given by the courts of England, Wales, Northern Ireland, Scotland and 9-10 more overseas jurisdiction (all of which were part of the commonwealth) can be recognised by the courts of BVI as foreign judgements. </w:t>
      </w:r>
    </w:p>
    <w:p w14:paraId="6EF40E73" w14:textId="686A195A" w:rsidR="005C1F4F" w:rsidRDefault="005C1F4F" w:rsidP="007A474E">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judgement so recognised should </w:t>
      </w:r>
      <w:proofErr w:type="gramStart"/>
      <w:r>
        <w:rPr>
          <w:rFonts w:ascii="Arial" w:hAnsi="Arial" w:cs="Arial"/>
          <w:color w:val="7B7B7B" w:themeColor="accent3" w:themeShade="BF"/>
          <w:sz w:val="22"/>
          <w:szCs w:val="22"/>
          <w:lang w:val="en-GB"/>
        </w:rPr>
        <w:t>be :</w:t>
      </w:r>
      <w:proofErr w:type="gramEnd"/>
      <w:r>
        <w:rPr>
          <w:rFonts w:ascii="Arial" w:hAnsi="Arial" w:cs="Arial"/>
          <w:color w:val="7B7B7B" w:themeColor="accent3" w:themeShade="BF"/>
          <w:sz w:val="22"/>
          <w:szCs w:val="22"/>
          <w:lang w:val="en-GB"/>
        </w:rPr>
        <w:t>-</w:t>
      </w:r>
    </w:p>
    <w:p w14:paraId="5D27722C" w14:textId="00555BC4" w:rsidR="005C1F4F" w:rsidRPr="005C1F4F" w:rsidRDefault="007A474E" w:rsidP="005C1F4F">
      <w:pPr>
        <w:pStyle w:val="ListParagraph"/>
        <w:numPr>
          <w:ilvl w:val="0"/>
          <w:numId w:val="30"/>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005C1F4F">
        <w:rPr>
          <w:rFonts w:ascii="Arial" w:hAnsi="Arial" w:cs="Arial"/>
          <w:color w:val="7B7B7B" w:themeColor="accent3" w:themeShade="BF"/>
          <w:sz w:val="22"/>
          <w:szCs w:val="22"/>
          <w:lang w:val="en-GB"/>
        </w:rPr>
        <w:t>Given by a court in a civil proceeding whereby any sum of money is payable</w:t>
      </w:r>
      <w:r w:rsidR="00F50AC9">
        <w:rPr>
          <w:rFonts w:ascii="Arial" w:hAnsi="Arial" w:cs="Arial"/>
          <w:color w:val="7B7B7B" w:themeColor="accent3" w:themeShade="BF"/>
          <w:sz w:val="22"/>
          <w:szCs w:val="22"/>
          <w:lang w:val="en-GB"/>
        </w:rPr>
        <w:t>, therefore only judgements for final and conclusive monetary sums can be enforced</w:t>
      </w:r>
    </w:p>
    <w:p w14:paraId="57CD2AC0" w14:textId="77777777" w:rsidR="005C1F4F" w:rsidRPr="005C1F4F" w:rsidRDefault="005C1F4F" w:rsidP="005C1F4F">
      <w:pPr>
        <w:pStyle w:val="ListParagraph"/>
        <w:numPr>
          <w:ilvl w:val="0"/>
          <w:numId w:val="30"/>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enforcement of the foreign judgement is only effective when the judgement debtor has any assets in BVI</w:t>
      </w:r>
    </w:p>
    <w:p w14:paraId="421F213D" w14:textId="77777777" w:rsidR="00F50AC9" w:rsidRPr="00F50AC9" w:rsidRDefault="00F50AC9" w:rsidP="005C1F4F">
      <w:pPr>
        <w:pStyle w:val="ListParagraph"/>
        <w:numPr>
          <w:ilvl w:val="0"/>
          <w:numId w:val="30"/>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foreign judgement should be registered within 12 months of the date of judgment (however this time can be extended by the BVI courts)</w:t>
      </w:r>
    </w:p>
    <w:p w14:paraId="709B235A" w14:textId="77777777" w:rsidR="00F50AC9" w:rsidRPr="00F50AC9" w:rsidRDefault="00F50AC9" w:rsidP="005C1F4F">
      <w:pPr>
        <w:pStyle w:val="ListParagraph"/>
        <w:numPr>
          <w:ilvl w:val="0"/>
          <w:numId w:val="30"/>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Once foreign judgements are </w:t>
      </w:r>
      <w:proofErr w:type="gramStart"/>
      <w:r>
        <w:rPr>
          <w:rFonts w:ascii="Arial" w:hAnsi="Arial" w:cs="Arial"/>
          <w:color w:val="7B7B7B" w:themeColor="accent3" w:themeShade="BF"/>
          <w:sz w:val="22"/>
          <w:szCs w:val="22"/>
          <w:lang w:val="en-GB"/>
        </w:rPr>
        <w:t>registered</w:t>
      </w:r>
      <w:proofErr w:type="gramEnd"/>
      <w:r>
        <w:rPr>
          <w:rFonts w:ascii="Arial" w:hAnsi="Arial" w:cs="Arial"/>
          <w:color w:val="7B7B7B" w:themeColor="accent3" w:themeShade="BF"/>
          <w:sz w:val="22"/>
          <w:szCs w:val="22"/>
          <w:lang w:val="en-GB"/>
        </w:rPr>
        <w:t xml:space="preserve"> they are treated with same force and effect of judgment as if judgement was made by BVI courts.</w:t>
      </w:r>
    </w:p>
    <w:p w14:paraId="71A812A0" w14:textId="1EBB00D0" w:rsidR="00F50AC9" w:rsidRDefault="00F50AC9" w:rsidP="00F50AC9">
      <w:pPr>
        <w:autoSpaceDE w:val="0"/>
        <w:autoSpaceDN w:val="0"/>
        <w:adjustRightInd w:val="0"/>
        <w:ind w:left="720"/>
        <w:jc w:val="both"/>
        <w:rPr>
          <w:rFonts w:ascii="Arial" w:hAnsi="Arial" w:cs="Arial"/>
          <w:sz w:val="22"/>
          <w:szCs w:val="22"/>
          <w:lang w:val="en-GB"/>
        </w:rPr>
      </w:pPr>
    </w:p>
    <w:p w14:paraId="071AFCA4" w14:textId="5B4697E5" w:rsidR="00F50AC9" w:rsidRPr="00C658B3" w:rsidRDefault="00F50AC9" w:rsidP="00F50AC9">
      <w:pPr>
        <w:autoSpaceDE w:val="0"/>
        <w:autoSpaceDN w:val="0"/>
        <w:adjustRightInd w:val="0"/>
        <w:ind w:left="720"/>
        <w:jc w:val="both"/>
        <w:rPr>
          <w:rFonts w:ascii="Arial" w:hAnsi="Arial" w:cs="Arial"/>
          <w:color w:val="808080" w:themeColor="background1" w:themeShade="80"/>
          <w:sz w:val="22"/>
          <w:szCs w:val="22"/>
          <w:lang w:val="en-GB"/>
        </w:rPr>
      </w:pPr>
      <w:r w:rsidRPr="00C658B3">
        <w:rPr>
          <w:rFonts w:ascii="Arial" w:hAnsi="Arial" w:cs="Arial"/>
          <w:color w:val="808080" w:themeColor="background1" w:themeShade="80"/>
          <w:sz w:val="22"/>
          <w:szCs w:val="22"/>
          <w:lang w:val="en-GB"/>
        </w:rPr>
        <w:t xml:space="preserve">In the present case, the award judgment given by the English courts fulfils </w:t>
      </w:r>
      <w:r w:rsidR="00650A93" w:rsidRPr="00C658B3">
        <w:rPr>
          <w:rFonts w:ascii="Arial" w:hAnsi="Arial" w:cs="Arial"/>
          <w:color w:val="808080" w:themeColor="background1" w:themeShade="80"/>
          <w:sz w:val="22"/>
          <w:szCs w:val="22"/>
          <w:lang w:val="en-GB"/>
        </w:rPr>
        <w:t xml:space="preserve">the basic criteria (judgement being of English Court) and also </w:t>
      </w:r>
      <w:r w:rsidRPr="00C658B3">
        <w:rPr>
          <w:rFonts w:ascii="Arial" w:hAnsi="Arial" w:cs="Arial"/>
          <w:color w:val="808080" w:themeColor="background1" w:themeShade="80"/>
          <w:sz w:val="22"/>
          <w:szCs w:val="22"/>
          <w:lang w:val="en-GB"/>
        </w:rPr>
        <w:t>(a) and (b) above</w:t>
      </w:r>
      <w:r w:rsidR="00650A93" w:rsidRPr="00C658B3">
        <w:rPr>
          <w:rFonts w:ascii="Arial" w:hAnsi="Arial" w:cs="Arial"/>
          <w:color w:val="808080" w:themeColor="background1" w:themeShade="80"/>
          <w:sz w:val="22"/>
          <w:szCs w:val="22"/>
          <w:lang w:val="en-GB"/>
        </w:rPr>
        <w:t>, so the firs</w:t>
      </w:r>
      <w:r w:rsidR="00653B07" w:rsidRPr="00C658B3">
        <w:rPr>
          <w:rFonts w:ascii="Arial" w:hAnsi="Arial" w:cs="Arial"/>
          <w:color w:val="808080" w:themeColor="background1" w:themeShade="80"/>
          <w:sz w:val="22"/>
          <w:szCs w:val="22"/>
          <w:lang w:val="en-GB"/>
        </w:rPr>
        <w:t>t</w:t>
      </w:r>
      <w:r w:rsidR="00650A93" w:rsidRPr="00C658B3">
        <w:rPr>
          <w:rFonts w:ascii="Arial" w:hAnsi="Arial" w:cs="Arial"/>
          <w:color w:val="808080" w:themeColor="background1" w:themeShade="80"/>
          <w:sz w:val="22"/>
          <w:szCs w:val="22"/>
          <w:lang w:val="en-GB"/>
        </w:rPr>
        <w:t xml:space="preserve"> step to be taken by </w:t>
      </w:r>
      <w:proofErr w:type="spellStart"/>
      <w:r w:rsidR="00650A93" w:rsidRPr="00C658B3">
        <w:rPr>
          <w:rFonts w:ascii="Arial" w:hAnsi="Arial" w:cs="Arial"/>
          <w:color w:val="808080" w:themeColor="background1" w:themeShade="80"/>
          <w:sz w:val="22"/>
          <w:szCs w:val="22"/>
          <w:lang w:val="en-GB"/>
        </w:rPr>
        <w:t>Pinforth</w:t>
      </w:r>
      <w:proofErr w:type="spellEnd"/>
      <w:r w:rsidR="00650A93" w:rsidRPr="00C658B3">
        <w:rPr>
          <w:rFonts w:ascii="Arial" w:hAnsi="Arial" w:cs="Arial"/>
          <w:color w:val="808080" w:themeColor="background1" w:themeShade="80"/>
          <w:sz w:val="22"/>
          <w:szCs w:val="22"/>
          <w:lang w:val="en-GB"/>
        </w:rPr>
        <w:t xml:space="preserve"> is to get the award judgement registered within 12 months of the date of judgement by an application to the courts under CPR Part 72. </w:t>
      </w:r>
    </w:p>
    <w:p w14:paraId="7FA4A5A1" w14:textId="77777777" w:rsidR="00650A93" w:rsidRPr="00C658B3" w:rsidRDefault="00650A93" w:rsidP="00F50AC9">
      <w:pPr>
        <w:autoSpaceDE w:val="0"/>
        <w:autoSpaceDN w:val="0"/>
        <w:adjustRightInd w:val="0"/>
        <w:ind w:left="720"/>
        <w:jc w:val="both"/>
        <w:rPr>
          <w:rFonts w:ascii="Arial" w:hAnsi="Arial" w:cs="Arial"/>
          <w:color w:val="808080" w:themeColor="background1" w:themeShade="80"/>
          <w:sz w:val="22"/>
          <w:szCs w:val="22"/>
          <w:lang w:val="en-GB"/>
        </w:rPr>
      </w:pPr>
    </w:p>
    <w:p w14:paraId="12FA6412" w14:textId="77777777" w:rsidR="00AA62D3" w:rsidRPr="00C658B3" w:rsidRDefault="00650A93" w:rsidP="00F50AC9">
      <w:pPr>
        <w:autoSpaceDE w:val="0"/>
        <w:autoSpaceDN w:val="0"/>
        <w:adjustRightInd w:val="0"/>
        <w:ind w:left="720"/>
        <w:jc w:val="both"/>
        <w:rPr>
          <w:rFonts w:ascii="Arial" w:hAnsi="Arial" w:cs="Arial"/>
          <w:color w:val="808080" w:themeColor="background1" w:themeShade="80"/>
          <w:sz w:val="22"/>
          <w:szCs w:val="22"/>
          <w:lang w:val="en-GB"/>
        </w:rPr>
      </w:pPr>
      <w:r w:rsidRPr="00C658B3">
        <w:rPr>
          <w:rFonts w:ascii="Arial" w:hAnsi="Arial" w:cs="Arial"/>
          <w:color w:val="808080" w:themeColor="background1" w:themeShade="80"/>
          <w:sz w:val="22"/>
          <w:szCs w:val="22"/>
          <w:lang w:val="en-GB"/>
        </w:rPr>
        <w:t xml:space="preserve">The only defence that Expat Properties may give </w:t>
      </w:r>
      <w:r w:rsidR="00AA62D3" w:rsidRPr="00C658B3">
        <w:rPr>
          <w:rFonts w:ascii="Arial" w:hAnsi="Arial" w:cs="Arial"/>
          <w:color w:val="808080" w:themeColor="background1" w:themeShade="80"/>
          <w:sz w:val="22"/>
          <w:szCs w:val="22"/>
          <w:lang w:val="en-GB"/>
        </w:rPr>
        <w:t xml:space="preserve">in order to not let the award judgement be recognised is that Expat will </w:t>
      </w:r>
      <w:proofErr w:type="gramStart"/>
      <w:r w:rsidR="00AA62D3" w:rsidRPr="00C658B3">
        <w:rPr>
          <w:rFonts w:ascii="Arial" w:hAnsi="Arial" w:cs="Arial"/>
          <w:color w:val="808080" w:themeColor="background1" w:themeShade="80"/>
          <w:sz w:val="22"/>
          <w:szCs w:val="22"/>
          <w:lang w:val="en-GB"/>
        </w:rPr>
        <w:t>be :</w:t>
      </w:r>
      <w:proofErr w:type="gramEnd"/>
      <w:r w:rsidR="00AA62D3" w:rsidRPr="00C658B3">
        <w:rPr>
          <w:rFonts w:ascii="Arial" w:hAnsi="Arial" w:cs="Arial"/>
          <w:color w:val="808080" w:themeColor="background1" w:themeShade="80"/>
          <w:sz w:val="22"/>
          <w:szCs w:val="22"/>
          <w:lang w:val="en-GB"/>
        </w:rPr>
        <w:t>-</w:t>
      </w:r>
    </w:p>
    <w:p w14:paraId="417F1683" w14:textId="77777777" w:rsidR="00AA62D3" w:rsidRPr="00C658B3" w:rsidRDefault="00AA62D3" w:rsidP="00AA62D3">
      <w:pPr>
        <w:pStyle w:val="ListParagraph"/>
        <w:numPr>
          <w:ilvl w:val="0"/>
          <w:numId w:val="31"/>
        </w:numPr>
        <w:autoSpaceDE w:val="0"/>
        <w:autoSpaceDN w:val="0"/>
        <w:adjustRightInd w:val="0"/>
        <w:jc w:val="both"/>
        <w:rPr>
          <w:rFonts w:ascii="Arial" w:hAnsi="Arial" w:cs="Arial"/>
          <w:color w:val="808080" w:themeColor="background1" w:themeShade="80"/>
          <w:sz w:val="22"/>
          <w:szCs w:val="22"/>
          <w:lang w:val="en-GB"/>
        </w:rPr>
      </w:pPr>
      <w:r w:rsidRPr="00C658B3">
        <w:rPr>
          <w:rFonts w:ascii="Arial" w:hAnsi="Arial" w:cs="Arial"/>
          <w:color w:val="808080" w:themeColor="background1" w:themeShade="80"/>
          <w:sz w:val="22"/>
          <w:szCs w:val="22"/>
          <w:lang w:val="en-GB"/>
        </w:rPr>
        <w:t>That Expat was not carrying out any business in England</w:t>
      </w:r>
    </w:p>
    <w:p w14:paraId="7DCADC22" w14:textId="77777777" w:rsidR="00AA62D3" w:rsidRPr="00C658B3" w:rsidRDefault="00AA62D3" w:rsidP="00AA62D3">
      <w:pPr>
        <w:pStyle w:val="ListParagraph"/>
        <w:numPr>
          <w:ilvl w:val="0"/>
          <w:numId w:val="31"/>
        </w:numPr>
        <w:autoSpaceDE w:val="0"/>
        <w:autoSpaceDN w:val="0"/>
        <w:adjustRightInd w:val="0"/>
        <w:jc w:val="both"/>
        <w:rPr>
          <w:rFonts w:ascii="Arial" w:hAnsi="Arial" w:cs="Arial"/>
          <w:color w:val="808080" w:themeColor="background1" w:themeShade="80"/>
          <w:sz w:val="22"/>
          <w:szCs w:val="22"/>
          <w:lang w:val="en-GB"/>
        </w:rPr>
      </w:pPr>
      <w:r w:rsidRPr="00C658B3">
        <w:rPr>
          <w:rFonts w:ascii="Arial" w:hAnsi="Arial" w:cs="Arial"/>
          <w:color w:val="808080" w:themeColor="background1" w:themeShade="80"/>
          <w:sz w:val="22"/>
          <w:szCs w:val="22"/>
          <w:lang w:val="en-GB"/>
        </w:rPr>
        <w:t>That Expat has not appeared before the English Court</w:t>
      </w:r>
    </w:p>
    <w:p w14:paraId="7FEC71D6" w14:textId="1F259EEA" w:rsidR="00650A93" w:rsidRPr="00C658B3" w:rsidRDefault="00AA62D3" w:rsidP="00AA62D3">
      <w:pPr>
        <w:autoSpaceDE w:val="0"/>
        <w:autoSpaceDN w:val="0"/>
        <w:adjustRightInd w:val="0"/>
        <w:ind w:left="720"/>
        <w:jc w:val="both"/>
        <w:rPr>
          <w:rFonts w:ascii="Arial" w:hAnsi="Arial" w:cs="Arial"/>
          <w:color w:val="808080" w:themeColor="background1" w:themeShade="80"/>
          <w:sz w:val="22"/>
          <w:szCs w:val="22"/>
          <w:lang w:val="en-GB"/>
        </w:rPr>
      </w:pPr>
      <w:r w:rsidRPr="00C658B3">
        <w:rPr>
          <w:rFonts w:ascii="Arial" w:hAnsi="Arial" w:cs="Arial"/>
          <w:color w:val="808080" w:themeColor="background1" w:themeShade="80"/>
          <w:sz w:val="22"/>
          <w:szCs w:val="22"/>
          <w:lang w:val="en-GB"/>
        </w:rPr>
        <w:t>Based on these defence it will try to not let the judgment be recognised by BVI courts</w:t>
      </w:r>
      <w:r w:rsidR="00650A93" w:rsidRPr="00C658B3">
        <w:rPr>
          <w:rFonts w:ascii="Arial" w:hAnsi="Arial" w:cs="Arial"/>
          <w:color w:val="808080" w:themeColor="background1" w:themeShade="80"/>
          <w:sz w:val="22"/>
          <w:szCs w:val="22"/>
          <w:lang w:val="en-GB"/>
        </w:rPr>
        <w:t xml:space="preserve"> </w:t>
      </w:r>
    </w:p>
    <w:p w14:paraId="638B44C0" w14:textId="70D9529D" w:rsidR="00650A93" w:rsidRPr="00C658B3" w:rsidRDefault="00650A93" w:rsidP="00F50AC9">
      <w:pPr>
        <w:autoSpaceDE w:val="0"/>
        <w:autoSpaceDN w:val="0"/>
        <w:adjustRightInd w:val="0"/>
        <w:ind w:left="720"/>
        <w:jc w:val="both"/>
        <w:rPr>
          <w:rFonts w:ascii="Arial" w:hAnsi="Arial" w:cs="Arial"/>
          <w:color w:val="808080" w:themeColor="background1" w:themeShade="80"/>
          <w:sz w:val="22"/>
          <w:szCs w:val="22"/>
          <w:lang w:val="en-GB"/>
        </w:rPr>
      </w:pPr>
    </w:p>
    <w:p w14:paraId="4B4CB0C1" w14:textId="3E3E02A9" w:rsidR="00AA62D3" w:rsidRPr="00C658B3" w:rsidRDefault="00AA62D3" w:rsidP="00F50AC9">
      <w:pPr>
        <w:autoSpaceDE w:val="0"/>
        <w:autoSpaceDN w:val="0"/>
        <w:adjustRightInd w:val="0"/>
        <w:ind w:left="720"/>
        <w:jc w:val="both"/>
        <w:rPr>
          <w:rFonts w:ascii="Arial" w:hAnsi="Arial" w:cs="Arial"/>
          <w:color w:val="808080" w:themeColor="background1" w:themeShade="80"/>
          <w:sz w:val="22"/>
          <w:szCs w:val="22"/>
          <w:lang w:val="en-GB"/>
        </w:rPr>
      </w:pPr>
      <w:r w:rsidRPr="00C658B3">
        <w:rPr>
          <w:rFonts w:ascii="Arial" w:hAnsi="Arial" w:cs="Arial"/>
          <w:color w:val="808080" w:themeColor="background1" w:themeShade="80"/>
          <w:sz w:val="22"/>
          <w:szCs w:val="22"/>
          <w:lang w:val="en-GB"/>
        </w:rPr>
        <w:t xml:space="preserve">However, if the </w:t>
      </w:r>
      <w:r w:rsidR="00650A93" w:rsidRPr="00C658B3">
        <w:rPr>
          <w:rFonts w:ascii="Arial" w:hAnsi="Arial" w:cs="Arial"/>
          <w:color w:val="808080" w:themeColor="background1" w:themeShade="80"/>
          <w:sz w:val="22"/>
          <w:szCs w:val="22"/>
          <w:lang w:val="en-GB"/>
        </w:rPr>
        <w:t>award judgement</w:t>
      </w:r>
      <w:r w:rsidRPr="00C658B3">
        <w:rPr>
          <w:rFonts w:ascii="Arial" w:hAnsi="Arial" w:cs="Arial"/>
          <w:color w:val="808080" w:themeColor="background1" w:themeShade="80"/>
          <w:sz w:val="22"/>
          <w:szCs w:val="22"/>
          <w:lang w:val="en-GB"/>
        </w:rPr>
        <w:t xml:space="preserve"> is recognised by the BVI courts then pursuant to CPR 45.2, </w:t>
      </w:r>
      <w:r w:rsidRPr="00C658B3">
        <w:rPr>
          <w:rFonts w:ascii="Arial" w:hAnsi="Arial" w:cs="Arial"/>
          <w:b/>
          <w:bCs/>
          <w:color w:val="808080" w:themeColor="background1" w:themeShade="80"/>
          <w:sz w:val="22"/>
          <w:szCs w:val="22"/>
          <w:lang w:val="en-GB"/>
        </w:rPr>
        <w:t>a Receiver can be appointed on the assets of the company EXPAT</w:t>
      </w:r>
      <w:r w:rsidRPr="00C658B3">
        <w:rPr>
          <w:rFonts w:ascii="Arial" w:hAnsi="Arial" w:cs="Arial"/>
          <w:color w:val="808080" w:themeColor="background1" w:themeShade="80"/>
          <w:sz w:val="22"/>
          <w:szCs w:val="22"/>
          <w:lang w:val="en-GB"/>
        </w:rPr>
        <w:t>.</w:t>
      </w:r>
    </w:p>
    <w:p w14:paraId="7C3E51E6" w14:textId="7DD8D28C" w:rsidR="00AA62D3" w:rsidRPr="00C658B3" w:rsidRDefault="00AA62D3" w:rsidP="00F50AC9">
      <w:pPr>
        <w:autoSpaceDE w:val="0"/>
        <w:autoSpaceDN w:val="0"/>
        <w:adjustRightInd w:val="0"/>
        <w:ind w:left="720"/>
        <w:jc w:val="both"/>
        <w:rPr>
          <w:rFonts w:ascii="Arial" w:hAnsi="Arial" w:cs="Arial"/>
          <w:color w:val="808080" w:themeColor="background1" w:themeShade="80"/>
          <w:sz w:val="22"/>
          <w:szCs w:val="22"/>
          <w:lang w:val="en-GB"/>
        </w:rPr>
      </w:pPr>
    </w:p>
    <w:p w14:paraId="02123794" w14:textId="2830CD3F" w:rsidR="00AA62D3" w:rsidRPr="00C658B3" w:rsidRDefault="00AA62D3" w:rsidP="00AA62D3">
      <w:pPr>
        <w:pStyle w:val="ListParagraph"/>
        <w:numPr>
          <w:ilvl w:val="0"/>
          <w:numId w:val="29"/>
        </w:numPr>
        <w:autoSpaceDE w:val="0"/>
        <w:autoSpaceDN w:val="0"/>
        <w:adjustRightInd w:val="0"/>
        <w:jc w:val="both"/>
        <w:rPr>
          <w:rFonts w:ascii="Arial" w:hAnsi="Arial" w:cs="Arial"/>
          <w:b/>
          <w:bCs/>
          <w:color w:val="808080" w:themeColor="background1" w:themeShade="80"/>
          <w:sz w:val="22"/>
          <w:szCs w:val="22"/>
          <w:lang w:val="en-GB"/>
        </w:rPr>
      </w:pPr>
      <w:r w:rsidRPr="00C658B3">
        <w:rPr>
          <w:rFonts w:ascii="Arial" w:hAnsi="Arial" w:cs="Arial"/>
          <w:b/>
          <w:bCs/>
          <w:color w:val="808080" w:themeColor="background1" w:themeShade="80"/>
          <w:sz w:val="22"/>
          <w:szCs w:val="22"/>
          <w:lang w:val="en-GB"/>
        </w:rPr>
        <w:t>Initiation of Liquidation under Insolvency Act of BVI</w:t>
      </w:r>
    </w:p>
    <w:p w14:paraId="3B1DF3AA" w14:textId="16C0165C" w:rsidR="00AA62D3" w:rsidRPr="00C658B3" w:rsidRDefault="00653B07" w:rsidP="00C658B3">
      <w:pPr>
        <w:pStyle w:val="ListParagraph"/>
        <w:autoSpaceDE w:val="0"/>
        <w:autoSpaceDN w:val="0"/>
        <w:adjustRightInd w:val="0"/>
        <w:ind w:left="1080"/>
        <w:jc w:val="both"/>
        <w:rPr>
          <w:rFonts w:ascii="Arial" w:hAnsi="Arial" w:cs="Arial"/>
          <w:color w:val="808080" w:themeColor="background1" w:themeShade="80"/>
          <w:sz w:val="22"/>
          <w:szCs w:val="22"/>
          <w:lang w:val="en-GB"/>
        </w:rPr>
      </w:pPr>
      <w:r w:rsidRPr="00C658B3">
        <w:rPr>
          <w:rFonts w:ascii="Arial" w:hAnsi="Arial" w:cs="Arial"/>
          <w:color w:val="808080" w:themeColor="background1" w:themeShade="80"/>
          <w:sz w:val="22"/>
          <w:szCs w:val="22"/>
          <w:lang w:val="en-GB"/>
        </w:rPr>
        <w:t>The Receiver so appointed can be converted into a Liquidator in case the company EXPAT is unable to honour and clear the judgement debt. Once the liquidator is appointed then the judgement debt can be recovered</w:t>
      </w:r>
    </w:p>
    <w:p w14:paraId="62268F80" w14:textId="77777777" w:rsidR="00C658B3" w:rsidRPr="00C658B3" w:rsidRDefault="00C658B3" w:rsidP="00C658B3">
      <w:pPr>
        <w:pStyle w:val="ListParagraph"/>
        <w:autoSpaceDE w:val="0"/>
        <w:autoSpaceDN w:val="0"/>
        <w:adjustRightInd w:val="0"/>
        <w:ind w:left="1080"/>
        <w:jc w:val="both"/>
        <w:rPr>
          <w:rFonts w:ascii="Arial" w:hAnsi="Arial" w:cs="Arial"/>
          <w:color w:val="808080" w:themeColor="background1" w:themeShade="80"/>
          <w:sz w:val="22"/>
          <w:szCs w:val="22"/>
          <w:lang w:val="en-GB"/>
        </w:rPr>
      </w:pPr>
    </w:p>
    <w:p w14:paraId="6FE517D4" w14:textId="3C0BDBC6" w:rsidR="00C658B3" w:rsidRPr="00C658B3" w:rsidRDefault="00C658B3" w:rsidP="00C658B3">
      <w:pPr>
        <w:pStyle w:val="ListParagraph"/>
        <w:numPr>
          <w:ilvl w:val="0"/>
          <w:numId w:val="29"/>
        </w:numPr>
        <w:autoSpaceDE w:val="0"/>
        <w:autoSpaceDN w:val="0"/>
        <w:adjustRightInd w:val="0"/>
        <w:jc w:val="both"/>
        <w:rPr>
          <w:rFonts w:ascii="Arial" w:hAnsi="Arial" w:cs="Arial"/>
          <w:b/>
          <w:bCs/>
          <w:color w:val="808080" w:themeColor="background1" w:themeShade="80"/>
          <w:sz w:val="22"/>
          <w:szCs w:val="22"/>
          <w:lang w:val="en-GB"/>
        </w:rPr>
      </w:pPr>
      <w:r w:rsidRPr="00C658B3">
        <w:rPr>
          <w:rFonts w:ascii="Arial" w:hAnsi="Arial" w:cs="Arial"/>
          <w:b/>
          <w:bCs/>
          <w:color w:val="808080" w:themeColor="background1" w:themeShade="80"/>
          <w:sz w:val="22"/>
          <w:szCs w:val="22"/>
          <w:lang w:val="en-GB"/>
        </w:rPr>
        <w:t>Initiation of Insolvency proceedings in England and recognition of the same in BVI</w:t>
      </w:r>
    </w:p>
    <w:p w14:paraId="0F96B182" w14:textId="6C24BB78" w:rsidR="00653B07" w:rsidRPr="00C658B3" w:rsidRDefault="00653B07" w:rsidP="00C658B3">
      <w:pPr>
        <w:autoSpaceDE w:val="0"/>
        <w:autoSpaceDN w:val="0"/>
        <w:adjustRightInd w:val="0"/>
        <w:ind w:left="720"/>
        <w:jc w:val="both"/>
        <w:rPr>
          <w:rFonts w:ascii="Arial" w:hAnsi="Arial" w:cs="Arial"/>
          <w:color w:val="808080" w:themeColor="background1" w:themeShade="80"/>
          <w:sz w:val="22"/>
          <w:szCs w:val="22"/>
          <w:lang w:val="en-GB"/>
        </w:rPr>
      </w:pPr>
      <w:r w:rsidRPr="00C658B3">
        <w:rPr>
          <w:rFonts w:ascii="Arial" w:hAnsi="Arial" w:cs="Arial"/>
          <w:color w:val="808080" w:themeColor="background1" w:themeShade="80"/>
          <w:sz w:val="22"/>
          <w:szCs w:val="22"/>
          <w:lang w:val="en-GB"/>
        </w:rPr>
        <w:t xml:space="preserve">In case the BVI courts do not recognise the judgement award considering the defence of EXPAT then in that case </w:t>
      </w:r>
      <w:r w:rsidR="00C658B3" w:rsidRPr="00C658B3">
        <w:rPr>
          <w:rFonts w:ascii="Arial" w:hAnsi="Arial" w:cs="Arial"/>
          <w:color w:val="808080" w:themeColor="background1" w:themeShade="80"/>
          <w:sz w:val="22"/>
          <w:szCs w:val="22"/>
          <w:lang w:val="en-GB"/>
        </w:rPr>
        <w:t xml:space="preserve">PINFORTH may get an insolvency proceeding initiated against EXPAT in England and once </w:t>
      </w:r>
      <w:proofErr w:type="gramStart"/>
      <w:r w:rsidR="00C658B3" w:rsidRPr="00C658B3">
        <w:rPr>
          <w:rFonts w:ascii="Arial" w:hAnsi="Arial" w:cs="Arial"/>
          <w:color w:val="808080" w:themeColor="background1" w:themeShade="80"/>
          <w:sz w:val="22"/>
          <w:szCs w:val="22"/>
          <w:lang w:val="en-GB"/>
        </w:rPr>
        <w:t>initiated ,</w:t>
      </w:r>
      <w:proofErr w:type="gramEnd"/>
      <w:r w:rsidR="00C658B3" w:rsidRPr="00C658B3">
        <w:rPr>
          <w:rFonts w:ascii="Arial" w:hAnsi="Arial" w:cs="Arial"/>
          <w:color w:val="808080" w:themeColor="background1" w:themeShade="80"/>
          <w:sz w:val="22"/>
          <w:szCs w:val="22"/>
          <w:lang w:val="en-GB"/>
        </w:rPr>
        <w:t xml:space="preserve"> the insolvency proceeding so initiated in England can be recognised as foreign proceedings in BVI courts</w:t>
      </w:r>
      <w:r w:rsidR="00C658B3">
        <w:rPr>
          <w:rFonts w:ascii="Arial" w:hAnsi="Arial" w:cs="Arial"/>
          <w:color w:val="808080" w:themeColor="background1" w:themeShade="80"/>
          <w:sz w:val="22"/>
          <w:szCs w:val="22"/>
          <w:lang w:val="en-GB"/>
        </w:rPr>
        <w:t xml:space="preserve"> with English Jurisdiction,</w:t>
      </w:r>
      <w:r w:rsidR="00C658B3" w:rsidRPr="00C658B3">
        <w:rPr>
          <w:rFonts w:ascii="Arial" w:hAnsi="Arial" w:cs="Arial"/>
          <w:color w:val="808080" w:themeColor="background1" w:themeShade="80"/>
          <w:sz w:val="22"/>
          <w:szCs w:val="22"/>
          <w:lang w:val="en-GB"/>
        </w:rPr>
        <w:t xml:space="preserve"> thereby ringfencing the assets of EXPAT in BVI , ultimately leading to enforcement of the judgement award and recovering the judgement debt.</w:t>
      </w:r>
    </w:p>
    <w:p w14:paraId="5C433B35" w14:textId="5825BF04" w:rsidR="00650A93" w:rsidRPr="00F50AC9" w:rsidRDefault="00650A93" w:rsidP="00F50AC9">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 xml:space="preserve"> </w:t>
      </w: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lastRenderedPageBreak/>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proofErr w:type="spellStart"/>
      <w:r w:rsidR="00B40A71">
        <w:rPr>
          <w:rFonts w:ascii="Arial" w:hAnsi="Arial" w:cs="Arial"/>
          <w:sz w:val="22"/>
          <w:szCs w:val="22"/>
          <w:lang w:val="en-GB"/>
        </w:rPr>
        <w:t>Dendoncker</w:t>
      </w:r>
      <w:proofErr w:type="spellEnd"/>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and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successfully purchased the property. Subsequently,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55CF390E" w14:textId="77777777" w:rsidR="00C658B3" w:rsidRDefault="00C658B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present case, following facts are </w:t>
      </w:r>
      <w:proofErr w:type="gramStart"/>
      <w:r>
        <w:rPr>
          <w:rFonts w:ascii="Arial" w:hAnsi="Arial" w:cs="Arial"/>
          <w:color w:val="7B7B7B" w:themeColor="accent3" w:themeShade="BF"/>
          <w:sz w:val="22"/>
          <w:szCs w:val="22"/>
          <w:lang w:val="en-GB"/>
        </w:rPr>
        <w:t>important:-</w:t>
      </w:r>
      <w:proofErr w:type="gramEnd"/>
    </w:p>
    <w:p w14:paraId="212A886C" w14:textId="77777777" w:rsidR="00C658B3" w:rsidRPr="00C658B3" w:rsidRDefault="00C658B3" w:rsidP="00C658B3">
      <w:pPr>
        <w:pStyle w:val="ListParagraph"/>
        <w:numPr>
          <w:ilvl w:val="0"/>
          <w:numId w:val="33"/>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Abbeydale is incorporated in England,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in BVI</w:t>
      </w:r>
    </w:p>
    <w:p w14:paraId="270BDEE0" w14:textId="77777777" w:rsidR="00E56F33" w:rsidRPr="00E56F33" w:rsidRDefault="00C658B3" w:rsidP="00C658B3">
      <w:pPr>
        <w:pStyle w:val="ListParagraph"/>
        <w:numPr>
          <w:ilvl w:val="0"/>
          <w:numId w:val="33"/>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Abbeydale is a secured creditor and the asset </w:t>
      </w:r>
      <w:r w:rsidR="00E56F33">
        <w:rPr>
          <w:rFonts w:ascii="Arial" w:hAnsi="Arial" w:cs="Arial"/>
          <w:color w:val="7B7B7B" w:themeColor="accent3" w:themeShade="BF"/>
          <w:sz w:val="22"/>
          <w:szCs w:val="22"/>
          <w:lang w:val="en-GB"/>
        </w:rPr>
        <w:t>so mortgaged (purchased) are in BVI</w:t>
      </w:r>
    </w:p>
    <w:p w14:paraId="3AD10657" w14:textId="77777777" w:rsidR="00E56F33" w:rsidRDefault="00E56F33" w:rsidP="00E56F33">
      <w:pPr>
        <w:pStyle w:val="ListParagraph"/>
        <w:autoSpaceDE w:val="0"/>
        <w:autoSpaceDN w:val="0"/>
        <w:adjustRightInd w:val="0"/>
        <w:jc w:val="both"/>
        <w:rPr>
          <w:rFonts w:ascii="Arial" w:hAnsi="Arial" w:cs="Arial"/>
          <w:color w:val="7B7B7B" w:themeColor="accent3" w:themeShade="BF"/>
          <w:sz w:val="22"/>
          <w:szCs w:val="22"/>
          <w:lang w:val="en-GB"/>
        </w:rPr>
      </w:pPr>
    </w:p>
    <w:p w14:paraId="287A376F" w14:textId="77777777" w:rsidR="00E56F33" w:rsidRDefault="00E56F33" w:rsidP="00E56F33">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options before Abbeydale to enforce the debt owed to it are as </w:t>
      </w:r>
      <w:proofErr w:type="gramStart"/>
      <w:r>
        <w:rPr>
          <w:rFonts w:ascii="Arial" w:hAnsi="Arial" w:cs="Arial"/>
          <w:sz w:val="22"/>
          <w:szCs w:val="22"/>
          <w:lang w:val="en-GB"/>
        </w:rPr>
        <w:t>under:-</w:t>
      </w:r>
      <w:proofErr w:type="gramEnd"/>
    </w:p>
    <w:p w14:paraId="04C802AD" w14:textId="77777777" w:rsidR="00E56F33" w:rsidRPr="00644F04" w:rsidRDefault="00E56F33" w:rsidP="00E56F33">
      <w:pPr>
        <w:pStyle w:val="ListParagraph"/>
        <w:numPr>
          <w:ilvl w:val="0"/>
          <w:numId w:val="34"/>
        </w:numPr>
        <w:autoSpaceDE w:val="0"/>
        <w:autoSpaceDN w:val="0"/>
        <w:adjustRightInd w:val="0"/>
        <w:jc w:val="both"/>
        <w:rPr>
          <w:rFonts w:ascii="Arial" w:hAnsi="Arial" w:cs="Arial"/>
          <w:b/>
          <w:bCs/>
          <w:color w:val="808080" w:themeColor="background1" w:themeShade="80"/>
          <w:sz w:val="22"/>
          <w:szCs w:val="22"/>
          <w:lang w:val="en-GB"/>
        </w:rPr>
      </w:pPr>
      <w:r w:rsidRPr="00644F04">
        <w:rPr>
          <w:rFonts w:ascii="Arial" w:hAnsi="Arial" w:cs="Arial"/>
          <w:b/>
          <w:bCs/>
          <w:color w:val="808080" w:themeColor="background1" w:themeShade="80"/>
          <w:sz w:val="22"/>
          <w:szCs w:val="22"/>
          <w:lang w:val="en-GB"/>
        </w:rPr>
        <w:t>Right to Commence Insolvency in BVI Courts</w:t>
      </w:r>
    </w:p>
    <w:p w14:paraId="156659E4" w14:textId="2FD362CE" w:rsidR="002D3473" w:rsidRPr="00644F04" w:rsidRDefault="00E56F33" w:rsidP="00E56F33">
      <w:pPr>
        <w:pStyle w:val="ListParagraph"/>
        <w:autoSpaceDE w:val="0"/>
        <w:autoSpaceDN w:val="0"/>
        <w:adjustRightInd w:val="0"/>
        <w:jc w:val="both"/>
        <w:rPr>
          <w:rFonts w:ascii="Arial" w:hAnsi="Arial" w:cs="Arial"/>
          <w:color w:val="808080" w:themeColor="background1" w:themeShade="80"/>
          <w:sz w:val="22"/>
          <w:szCs w:val="22"/>
          <w:lang w:val="en-GB"/>
        </w:rPr>
      </w:pPr>
      <w:r w:rsidRPr="00644F04">
        <w:rPr>
          <w:rFonts w:ascii="Arial" w:hAnsi="Arial" w:cs="Arial"/>
          <w:color w:val="808080" w:themeColor="background1" w:themeShade="80"/>
          <w:sz w:val="22"/>
          <w:szCs w:val="22"/>
          <w:lang w:val="en-GB"/>
        </w:rPr>
        <w:t xml:space="preserve">As per section 446 of the Insolvency </w:t>
      </w:r>
      <w:proofErr w:type="gramStart"/>
      <w:r w:rsidRPr="00644F04">
        <w:rPr>
          <w:rFonts w:ascii="Arial" w:hAnsi="Arial" w:cs="Arial"/>
          <w:color w:val="808080" w:themeColor="background1" w:themeShade="80"/>
          <w:sz w:val="22"/>
          <w:szCs w:val="22"/>
          <w:lang w:val="en-GB"/>
        </w:rPr>
        <w:t>Act ,</w:t>
      </w:r>
      <w:proofErr w:type="gramEnd"/>
      <w:r w:rsidRPr="00644F04">
        <w:rPr>
          <w:rFonts w:ascii="Arial" w:hAnsi="Arial" w:cs="Arial"/>
          <w:color w:val="808080" w:themeColor="background1" w:themeShade="80"/>
          <w:sz w:val="22"/>
          <w:szCs w:val="22"/>
          <w:lang w:val="en-GB"/>
        </w:rPr>
        <w:t xml:space="preserve"> foreign creditors are provided a “right of direct access” to BVI courts to commence Insolvency proceedings as creditors in BVI. </w:t>
      </w:r>
      <w:proofErr w:type="gramStart"/>
      <w:r w:rsidRPr="00644F04">
        <w:rPr>
          <w:rFonts w:ascii="Arial" w:hAnsi="Arial" w:cs="Arial"/>
          <w:color w:val="808080" w:themeColor="background1" w:themeShade="80"/>
          <w:sz w:val="22"/>
          <w:szCs w:val="22"/>
          <w:lang w:val="en-GB"/>
        </w:rPr>
        <w:t>Therefore</w:t>
      </w:r>
      <w:proofErr w:type="gramEnd"/>
      <w:r w:rsidRPr="00644F04">
        <w:rPr>
          <w:rFonts w:ascii="Arial" w:hAnsi="Arial" w:cs="Arial"/>
          <w:color w:val="808080" w:themeColor="background1" w:themeShade="80"/>
          <w:sz w:val="22"/>
          <w:szCs w:val="22"/>
          <w:lang w:val="en-GB"/>
        </w:rPr>
        <w:t xml:space="preserve"> </w:t>
      </w:r>
      <w:r w:rsidR="00081E62" w:rsidRPr="00644F04">
        <w:rPr>
          <w:rFonts w:ascii="Arial" w:hAnsi="Arial" w:cs="Arial"/>
          <w:color w:val="808080" w:themeColor="background1" w:themeShade="80"/>
          <w:sz w:val="22"/>
          <w:szCs w:val="22"/>
          <w:lang w:val="en-GB"/>
        </w:rPr>
        <w:t>Abbeydale will have to file an application for initiation of Liquidation proceedings before the BVI court as “Secured Creditors” under the procedure as per Part-VII of the Insolvency Act. Once a liquidator is appointed under the Insolvency Act, the debt owed can be enforced</w:t>
      </w:r>
    </w:p>
    <w:p w14:paraId="158C0808" w14:textId="5C869605" w:rsidR="00081E62" w:rsidRPr="00644F04" w:rsidRDefault="00081E62" w:rsidP="00E56F33">
      <w:pPr>
        <w:pStyle w:val="ListParagraph"/>
        <w:autoSpaceDE w:val="0"/>
        <w:autoSpaceDN w:val="0"/>
        <w:adjustRightInd w:val="0"/>
        <w:jc w:val="both"/>
        <w:rPr>
          <w:rFonts w:ascii="Arial" w:hAnsi="Arial" w:cs="Arial"/>
          <w:color w:val="808080" w:themeColor="background1" w:themeShade="80"/>
          <w:sz w:val="22"/>
          <w:szCs w:val="22"/>
          <w:lang w:val="en-GB"/>
        </w:rPr>
      </w:pPr>
    </w:p>
    <w:p w14:paraId="32362BBD" w14:textId="3C052039" w:rsidR="00081E62" w:rsidRPr="00644F04" w:rsidRDefault="00081E62" w:rsidP="00081E62">
      <w:pPr>
        <w:pStyle w:val="ListParagraph"/>
        <w:numPr>
          <w:ilvl w:val="0"/>
          <w:numId w:val="34"/>
        </w:numPr>
        <w:autoSpaceDE w:val="0"/>
        <w:autoSpaceDN w:val="0"/>
        <w:adjustRightInd w:val="0"/>
        <w:jc w:val="both"/>
        <w:rPr>
          <w:rFonts w:ascii="Arial" w:hAnsi="Arial" w:cs="Arial"/>
          <w:b/>
          <w:bCs/>
          <w:color w:val="808080" w:themeColor="background1" w:themeShade="80"/>
          <w:sz w:val="22"/>
          <w:szCs w:val="22"/>
          <w:lang w:val="en-GB"/>
        </w:rPr>
      </w:pPr>
      <w:r w:rsidRPr="00644F04">
        <w:rPr>
          <w:rFonts w:ascii="Arial" w:hAnsi="Arial" w:cs="Arial"/>
          <w:b/>
          <w:bCs/>
          <w:color w:val="808080" w:themeColor="background1" w:themeShade="80"/>
          <w:sz w:val="22"/>
          <w:szCs w:val="22"/>
          <w:lang w:val="en-GB"/>
        </w:rPr>
        <w:t>Concurrent insolvency Proceedings</w:t>
      </w:r>
    </w:p>
    <w:p w14:paraId="65605494" w14:textId="77777777" w:rsidR="00B107BC" w:rsidRPr="00644F04" w:rsidRDefault="00081E62" w:rsidP="00081E62">
      <w:pPr>
        <w:pStyle w:val="ListParagraph"/>
        <w:autoSpaceDE w:val="0"/>
        <w:autoSpaceDN w:val="0"/>
        <w:adjustRightInd w:val="0"/>
        <w:jc w:val="both"/>
        <w:rPr>
          <w:rFonts w:ascii="Arial" w:hAnsi="Arial" w:cs="Arial"/>
          <w:color w:val="808080" w:themeColor="background1" w:themeShade="80"/>
          <w:sz w:val="22"/>
          <w:szCs w:val="22"/>
          <w:lang w:val="en-GB"/>
        </w:rPr>
      </w:pPr>
      <w:r w:rsidRPr="00644F04">
        <w:rPr>
          <w:rFonts w:ascii="Arial" w:hAnsi="Arial" w:cs="Arial"/>
          <w:color w:val="808080" w:themeColor="background1" w:themeShade="80"/>
          <w:sz w:val="22"/>
          <w:szCs w:val="22"/>
          <w:lang w:val="en-GB"/>
        </w:rPr>
        <w:t xml:space="preserve">Abbeydale can initiate insolvency proceedings in England and </w:t>
      </w:r>
      <w:r w:rsidR="00B107BC" w:rsidRPr="00644F04">
        <w:rPr>
          <w:rFonts w:ascii="Arial" w:hAnsi="Arial" w:cs="Arial"/>
          <w:color w:val="808080" w:themeColor="background1" w:themeShade="80"/>
          <w:sz w:val="22"/>
          <w:szCs w:val="22"/>
          <w:lang w:val="en-GB"/>
        </w:rPr>
        <w:t xml:space="preserve">get appointed a liquidator in England. Once a liquidator is appointed in England a Liquidator too </w:t>
      </w:r>
      <w:proofErr w:type="spellStart"/>
      <w:r w:rsidR="00B107BC" w:rsidRPr="00644F04">
        <w:rPr>
          <w:rFonts w:ascii="Arial" w:hAnsi="Arial" w:cs="Arial"/>
          <w:color w:val="808080" w:themeColor="background1" w:themeShade="80"/>
          <w:sz w:val="22"/>
          <w:szCs w:val="22"/>
          <w:lang w:val="en-GB"/>
        </w:rPr>
        <w:t>cn</w:t>
      </w:r>
      <w:proofErr w:type="spellEnd"/>
      <w:r w:rsidR="00B107BC" w:rsidRPr="00644F04">
        <w:rPr>
          <w:rFonts w:ascii="Arial" w:hAnsi="Arial" w:cs="Arial"/>
          <w:color w:val="808080" w:themeColor="background1" w:themeShade="80"/>
          <w:sz w:val="22"/>
          <w:szCs w:val="22"/>
          <w:lang w:val="en-GB"/>
        </w:rPr>
        <w:t xml:space="preserve"> be appointed in BVI over the assets of the </w:t>
      </w:r>
      <w:proofErr w:type="spellStart"/>
      <w:r w:rsidR="00B107BC" w:rsidRPr="00644F04">
        <w:rPr>
          <w:rFonts w:ascii="Arial" w:hAnsi="Arial" w:cs="Arial"/>
          <w:color w:val="808080" w:themeColor="background1" w:themeShade="80"/>
          <w:sz w:val="22"/>
          <w:szCs w:val="22"/>
          <w:lang w:val="en-GB"/>
        </w:rPr>
        <w:t>Dendoncker</w:t>
      </w:r>
      <w:proofErr w:type="spellEnd"/>
      <w:r w:rsidR="00B107BC" w:rsidRPr="00644F04">
        <w:rPr>
          <w:rFonts w:ascii="Arial" w:hAnsi="Arial" w:cs="Arial"/>
          <w:color w:val="808080" w:themeColor="background1" w:themeShade="80"/>
          <w:sz w:val="22"/>
          <w:szCs w:val="22"/>
          <w:lang w:val="en-GB"/>
        </w:rPr>
        <w:t xml:space="preserve"> assets in BVI. Since </w:t>
      </w:r>
      <w:proofErr w:type="spellStart"/>
      <w:r w:rsidR="00B107BC" w:rsidRPr="00644F04">
        <w:rPr>
          <w:rFonts w:ascii="Arial" w:hAnsi="Arial" w:cs="Arial"/>
          <w:color w:val="808080" w:themeColor="background1" w:themeShade="80"/>
          <w:sz w:val="22"/>
          <w:szCs w:val="22"/>
          <w:lang w:val="en-GB"/>
        </w:rPr>
        <w:t>Dendoncker</w:t>
      </w:r>
      <w:proofErr w:type="spellEnd"/>
      <w:r w:rsidR="00B107BC" w:rsidRPr="00644F04">
        <w:rPr>
          <w:rFonts w:ascii="Arial" w:hAnsi="Arial" w:cs="Arial"/>
          <w:color w:val="808080" w:themeColor="background1" w:themeShade="80"/>
          <w:sz w:val="22"/>
          <w:szCs w:val="22"/>
          <w:lang w:val="en-GB"/>
        </w:rPr>
        <w:t xml:space="preserve"> is incorporated in BVI, the liquidator appointed in BVI will be the primary liquidator to liquidate </w:t>
      </w:r>
      <w:proofErr w:type="spellStart"/>
      <w:r w:rsidR="00B107BC" w:rsidRPr="00644F04">
        <w:rPr>
          <w:rFonts w:ascii="Arial" w:hAnsi="Arial" w:cs="Arial"/>
          <w:color w:val="808080" w:themeColor="background1" w:themeShade="80"/>
          <w:sz w:val="22"/>
          <w:szCs w:val="22"/>
          <w:lang w:val="en-GB"/>
        </w:rPr>
        <w:t>Dendoncker</w:t>
      </w:r>
      <w:proofErr w:type="spellEnd"/>
      <w:r w:rsidR="00B107BC" w:rsidRPr="00644F04">
        <w:rPr>
          <w:rFonts w:ascii="Arial" w:hAnsi="Arial" w:cs="Arial"/>
          <w:color w:val="808080" w:themeColor="background1" w:themeShade="80"/>
          <w:sz w:val="22"/>
          <w:szCs w:val="22"/>
          <w:lang w:val="en-GB"/>
        </w:rPr>
        <w:t xml:space="preserve"> and enforce the debt of Abbeydale.</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0476" w14:textId="77777777" w:rsidR="001C3AF4" w:rsidRDefault="001C3AF4" w:rsidP="00241B44">
      <w:r>
        <w:separator/>
      </w:r>
    </w:p>
  </w:endnote>
  <w:endnote w:type="continuationSeparator" w:id="0">
    <w:p w14:paraId="15ABBEC7" w14:textId="77777777" w:rsidR="001C3AF4" w:rsidRDefault="001C3AF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70404300"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462AE">
      <w:rPr>
        <w:rFonts w:ascii="Arial" w:hAnsi="Arial" w:cs="Arial"/>
        <w:sz w:val="18"/>
        <w:szCs w:val="18"/>
        <w:lang w:val="en-GB"/>
      </w:rPr>
      <w:t>ID</w:t>
    </w:r>
    <w:r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393E" w14:textId="77777777" w:rsidR="001C3AF4" w:rsidRDefault="001C3AF4" w:rsidP="00241B44">
      <w:r>
        <w:separator/>
      </w:r>
    </w:p>
  </w:footnote>
  <w:footnote w:type="continuationSeparator" w:id="0">
    <w:p w14:paraId="48526AF2" w14:textId="77777777" w:rsidR="001C3AF4" w:rsidRDefault="001C3AF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D2FC6"/>
    <w:multiLevelType w:val="hybridMultilevel"/>
    <w:tmpl w:val="7E480138"/>
    <w:lvl w:ilvl="0" w:tplc="A422364C">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3C40E0"/>
    <w:multiLevelType w:val="hybridMultilevel"/>
    <w:tmpl w:val="83ACFFD8"/>
    <w:lvl w:ilvl="0" w:tplc="3788A4D2">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B3D41"/>
    <w:multiLevelType w:val="hybridMultilevel"/>
    <w:tmpl w:val="CBC86D3A"/>
    <w:lvl w:ilvl="0" w:tplc="943E94A4">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10034"/>
    <w:multiLevelType w:val="hybridMultilevel"/>
    <w:tmpl w:val="652E34FE"/>
    <w:lvl w:ilvl="0" w:tplc="29783BA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5D60CD7"/>
    <w:multiLevelType w:val="hybridMultilevel"/>
    <w:tmpl w:val="01267CBC"/>
    <w:lvl w:ilvl="0" w:tplc="ACA010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5E3821"/>
    <w:multiLevelType w:val="hybridMultilevel"/>
    <w:tmpl w:val="58725E58"/>
    <w:lvl w:ilvl="0" w:tplc="AB5EA7DE">
      <w:start w:val="1"/>
      <w:numFmt w:val="upp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CFD7BAA"/>
    <w:multiLevelType w:val="hybridMultilevel"/>
    <w:tmpl w:val="5A26C3B6"/>
    <w:lvl w:ilvl="0" w:tplc="26C4A1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D61E1"/>
    <w:multiLevelType w:val="hybridMultilevel"/>
    <w:tmpl w:val="7F80F8D0"/>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63447D"/>
    <w:multiLevelType w:val="hybridMultilevel"/>
    <w:tmpl w:val="37AE7A3A"/>
    <w:lvl w:ilvl="0" w:tplc="823A6A30">
      <w:start w:val="1"/>
      <w:numFmt w:val="lowerRoman"/>
      <w:lvlText w:val="%1)"/>
      <w:lvlJc w:val="left"/>
      <w:pPr>
        <w:ind w:left="1080" w:hanging="72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849127E"/>
    <w:multiLevelType w:val="hybridMultilevel"/>
    <w:tmpl w:val="717634FE"/>
    <w:lvl w:ilvl="0" w:tplc="FDBE2F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68932D93"/>
    <w:multiLevelType w:val="hybridMultilevel"/>
    <w:tmpl w:val="79FC1380"/>
    <w:lvl w:ilvl="0" w:tplc="5D2846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6203A4"/>
    <w:multiLevelType w:val="hybridMultilevel"/>
    <w:tmpl w:val="59F20C80"/>
    <w:lvl w:ilvl="0" w:tplc="2472B5BC">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01D69EF"/>
    <w:multiLevelType w:val="hybridMultilevel"/>
    <w:tmpl w:val="A9604A2E"/>
    <w:lvl w:ilvl="0" w:tplc="75C0B38C">
      <w:start w:val="1"/>
      <w:numFmt w:val="lowerLetter"/>
      <w:lvlText w:val="%1)"/>
      <w:lvlJc w:val="left"/>
      <w:pPr>
        <w:ind w:left="1080" w:hanging="360"/>
      </w:pPr>
      <w:rPr>
        <w:rFonts w:hint="default"/>
        <w:color w:val="7B7B7B" w:themeColor="accent3" w:themeShade="BF"/>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70357D5D"/>
    <w:multiLevelType w:val="hybridMultilevel"/>
    <w:tmpl w:val="B79675DE"/>
    <w:lvl w:ilvl="0" w:tplc="1A06A41E">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40401502">
    <w:abstractNumId w:val="22"/>
  </w:num>
  <w:num w:numId="2" w16cid:durableId="2014530593">
    <w:abstractNumId w:val="31"/>
  </w:num>
  <w:num w:numId="3" w16cid:durableId="1506019924">
    <w:abstractNumId w:val="10"/>
  </w:num>
  <w:num w:numId="4" w16cid:durableId="1074742642">
    <w:abstractNumId w:val="18"/>
  </w:num>
  <w:num w:numId="5" w16cid:durableId="1253972938">
    <w:abstractNumId w:val="2"/>
  </w:num>
  <w:num w:numId="6" w16cid:durableId="921529916">
    <w:abstractNumId w:val="11"/>
  </w:num>
  <w:num w:numId="7" w16cid:durableId="349725181">
    <w:abstractNumId w:val="19"/>
  </w:num>
  <w:num w:numId="8" w16cid:durableId="448741572">
    <w:abstractNumId w:val="25"/>
  </w:num>
  <w:num w:numId="9" w16cid:durableId="188297672">
    <w:abstractNumId w:val="17"/>
  </w:num>
  <w:num w:numId="10" w16cid:durableId="158665210">
    <w:abstractNumId w:val="12"/>
  </w:num>
  <w:num w:numId="11" w16cid:durableId="1707873440">
    <w:abstractNumId w:val="0"/>
  </w:num>
  <w:num w:numId="12" w16cid:durableId="186720170">
    <w:abstractNumId w:val="23"/>
  </w:num>
  <w:num w:numId="13" w16cid:durableId="1880167374">
    <w:abstractNumId w:val="26"/>
  </w:num>
  <w:num w:numId="14" w16cid:durableId="1371809204">
    <w:abstractNumId w:val="6"/>
  </w:num>
  <w:num w:numId="15" w16cid:durableId="1271862043">
    <w:abstractNumId w:val="21"/>
  </w:num>
  <w:num w:numId="16" w16cid:durableId="1511916912">
    <w:abstractNumId w:val="3"/>
  </w:num>
  <w:num w:numId="17" w16cid:durableId="97601748">
    <w:abstractNumId w:val="7"/>
  </w:num>
  <w:num w:numId="18" w16cid:durableId="775176769">
    <w:abstractNumId w:val="24"/>
  </w:num>
  <w:num w:numId="19" w16cid:durableId="1008992286">
    <w:abstractNumId w:val="8"/>
  </w:num>
  <w:num w:numId="20" w16cid:durableId="436221244">
    <w:abstractNumId w:val="20"/>
  </w:num>
  <w:num w:numId="21" w16cid:durableId="123278051">
    <w:abstractNumId w:val="27"/>
  </w:num>
  <w:num w:numId="22" w16cid:durableId="412287505">
    <w:abstractNumId w:val="1"/>
  </w:num>
  <w:num w:numId="23" w16cid:durableId="1372146783">
    <w:abstractNumId w:val="32"/>
  </w:num>
  <w:num w:numId="24" w16cid:durableId="96558696">
    <w:abstractNumId w:val="34"/>
  </w:num>
  <w:num w:numId="25" w16cid:durableId="1370686138">
    <w:abstractNumId w:val="9"/>
  </w:num>
  <w:num w:numId="26" w16cid:durableId="1514145457">
    <w:abstractNumId w:val="15"/>
  </w:num>
  <w:num w:numId="27" w16cid:durableId="1668943747">
    <w:abstractNumId w:val="14"/>
  </w:num>
  <w:num w:numId="28" w16cid:durableId="293408333">
    <w:abstractNumId w:val="28"/>
  </w:num>
  <w:num w:numId="29" w16cid:durableId="1789347875">
    <w:abstractNumId w:val="5"/>
  </w:num>
  <w:num w:numId="30" w16cid:durableId="1153566791">
    <w:abstractNumId w:val="33"/>
  </w:num>
  <w:num w:numId="31" w16cid:durableId="861013122">
    <w:abstractNumId w:val="13"/>
  </w:num>
  <w:num w:numId="32" w16cid:durableId="1360935068">
    <w:abstractNumId w:val="29"/>
  </w:num>
  <w:num w:numId="33" w16cid:durableId="2014066643">
    <w:abstractNumId w:val="4"/>
  </w:num>
  <w:num w:numId="34" w16cid:durableId="516237418">
    <w:abstractNumId w:val="16"/>
  </w:num>
  <w:num w:numId="35" w16cid:durableId="82162626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1E62"/>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3AF4"/>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66C1F"/>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3A2B"/>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DC0"/>
    <w:rsid w:val="00495E79"/>
    <w:rsid w:val="004A2D83"/>
    <w:rsid w:val="004A37AD"/>
    <w:rsid w:val="004A57DD"/>
    <w:rsid w:val="004A7B51"/>
    <w:rsid w:val="004A7D71"/>
    <w:rsid w:val="004A7EF3"/>
    <w:rsid w:val="004B11FD"/>
    <w:rsid w:val="004B23A2"/>
    <w:rsid w:val="004D1A5A"/>
    <w:rsid w:val="004D2FFF"/>
    <w:rsid w:val="004D3721"/>
    <w:rsid w:val="004D64F9"/>
    <w:rsid w:val="004E3A6B"/>
    <w:rsid w:val="004E4A5A"/>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C1F4F"/>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44F04"/>
    <w:rsid w:val="00650A93"/>
    <w:rsid w:val="006526F8"/>
    <w:rsid w:val="00653B07"/>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50BE"/>
    <w:rsid w:val="00766F06"/>
    <w:rsid w:val="0076764D"/>
    <w:rsid w:val="0077498C"/>
    <w:rsid w:val="007809BC"/>
    <w:rsid w:val="00784128"/>
    <w:rsid w:val="00787BCC"/>
    <w:rsid w:val="00793173"/>
    <w:rsid w:val="007A2A33"/>
    <w:rsid w:val="007A474E"/>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5D40"/>
    <w:rsid w:val="008B6223"/>
    <w:rsid w:val="008C0297"/>
    <w:rsid w:val="008C66E0"/>
    <w:rsid w:val="008D4C1A"/>
    <w:rsid w:val="008E3339"/>
    <w:rsid w:val="008E3696"/>
    <w:rsid w:val="008E73F9"/>
    <w:rsid w:val="008F20FC"/>
    <w:rsid w:val="008F5FFE"/>
    <w:rsid w:val="00903504"/>
    <w:rsid w:val="00905A43"/>
    <w:rsid w:val="00912C79"/>
    <w:rsid w:val="00916D9B"/>
    <w:rsid w:val="00921B8C"/>
    <w:rsid w:val="00936614"/>
    <w:rsid w:val="00942123"/>
    <w:rsid w:val="0095207B"/>
    <w:rsid w:val="00957883"/>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36CD9"/>
    <w:rsid w:val="00A407EF"/>
    <w:rsid w:val="00A46B4C"/>
    <w:rsid w:val="00A5117B"/>
    <w:rsid w:val="00A52262"/>
    <w:rsid w:val="00A56D34"/>
    <w:rsid w:val="00A60074"/>
    <w:rsid w:val="00A6627C"/>
    <w:rsid w:val="00A71019"/>
    <w:rsid w:val="00A81029"/>
    <w:rsid w:val="00A845F5"/>
    <w:rsid w:val="00A96489"/>
    <w:rsid w:val="00AA62D3"/>
    <w:rsid w:val="00AB2425"/>
    <w:rsid w:val="00AB685C"/>
    <w:rsid w:val="00AB6C2D"/>
    <w:rsid w:val="00AC08F7"/>
    <w:rsid w:val="00AC3839"/>
    <w:rsid w:val="00AC7082"/>
    <w:rsid w:val="00AD4BE8"/>
    <w:rsid w:val="00AD6B0B"/>
    <w:rsid w:val="00AF228E"/>
    <w:rsid w:val="00AF2D54"/>
    <w:rsid w:val="00AF69E4"/>
    <w:rsid w:val="00B016A8"/>
    <w:rsid w:val="00B107BC"/>
    <w:rsid w:val="00B13B46"/>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183A"/>
    <w:rsid w:val="00B9639B"/>
    <w:rsid w:val="00BA1DB6"/>
    <w:rsid w:val="00BA4849"/>
    <w:rsid w:val="00BB0F2B"/>
    <w:rsid w:val="00BB49CF"/>
    <w:rsid w:val="00BD21EC"/>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658B3"/>
    <w:rsid w:val="00C72848"/>
    <w:rsid w:val="00C7736C"/>
    <w:rsid w:val="00C82D87"/>
    <w:rsid w:val="00C8712A"/>
    <w:rsid w:val="00C902C8"/>
    <w:rsid w:val="00C919D1"/>
    <w:rsid w:val="00C963D3"/>
    <w:rsid w:val="00CA76DF"/>
    <w:rsid w:val="00CB1983"/>
    <w:rsid w:val="00CB2CBB"/>
    <w:rsid w:val="00CB7CAC"/>
    <w:rsid w:val="00CC0651"/>
    <w:rsid w:val="00CC5335"/>
    <w:rsid w:val="00CC5BA4"/>
    <w:rsid w:val="00CC7021"/>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47D49"/>
    <w:rsid w:val="00D47F6A"/>
    <w:rsid w:val="00D52412"/>
    <w:rsid w:val="00D5259E"/>
    <w:rsid w:val="00D53719"/>
    <w:rsid w:val="00D61985"/>
    <w:rsid w:val="00D63EFD"/>
    <w:rsid w:val="00D657A7"/>
    <w:rsid w:val="00D7001E"/>
    <w:rsid w:val="00D70298"/>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35CCF"/>
    <w:rsid w:val="00E40D1E"/>
    <w:rsid w:val="00E450A4"/>
    <w:rsid w:val="00E45902"/>
    <w:rsid w:val="00E462AE"/>
    <w:rsid w:val="00E506BE"/>
    <w:rsid w:val="00E55547"/>
    <w:rsid w:val="00E56F33"/>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4AF2"/>
    <w:rsid w:val="00F07A01"/>
    <w:rsid w:val="00F11A3E"/>
    <w:rsid w:val="00F13691"/>
    <w:rsid w:val="00F13FB1"/>
    <w:rsid w:val="00F2585D"/>
    <w:rsid w:val="00F27CD8"/>
    <w:rsid w:val="00F30351"/>
    <w:rsid w:val="00F3323E"/>
    <w:rsid w:val="00F341F4"/>
    <w:rsid w:val="00F34F9D"/>
    <w:rsid w:val="00F35CCE"/>
    <w:rsid w:val="00F50AC9"/>
    <w:rsid w:val="00F52E12"/>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6CB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stressedassets@gmail.com</cp:lastModifiedBy>
  <cp:revision>13</cp:revision>
  <cp:lastPrinted>2019-08-27T05:42:00Z</cp:lastPrinted>
  <dcterms:created xsi:type="dcterms:W3CDTF">2022-05-09T13:58:00Z</dcterms:created>
  <dcterms:modified xsi:type="dcterms:W3CDTF">2022-07-31T06:02:00Z</dcterms:modified>
</cp:coreProperties>
</file>