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Pr>
          <w:rFonts w:ascii="Arial" w:hAnsi="Arial" w:cs="Arial"/>
          <w:b/>
          <w:bCs/>
          <w:sz w:val="22"/>
          <w:szCs w:val="22"/>
          <w:lang w:val="en-GB"/>
        </w:rPr>
        <w:t>ID</w:t>
      </w:r>
      <w:r w:rsidRPr="001E23FD">
        <w:rPr>
          <w:rFonts w:ascii="Arial" w:hAnsi="Arial" w:cs="Arial"/>
          <w:b/>
          <w:bCs/>
          <w:sz w:val="22"/>
          <w:szCs w:val="22"/>
          <w:lang w:val="en-GB"/>
        </w:rPr>
        <w:t>.assessment</w:t>
      </w:r>
      <w:r>
        <w:rPr>
          <w:rFonts w:ascii="Arial" w:hAnsi="Arial" w:cs="Arial"/>
          <w:b/>
          <w:bCs/>
          <w:sz w:val="22"/>
          <w:szCs w:val="22"/>
          <w:lang w:val="en-GB"/>
        </w:rPr>
        <w:t>8E</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Pr>
          <w:rFonts w:ascii="Arial" w:hAnsi="Arial" w:cs="Arial"/>
          <w:sz w:val="22"/>
          <w:szCs w:val="22"/>
          <w:lang w:val="en-GB"/>
        </w:rPr>
        <w:t>1</w:t>
      </w:r>
      <w:r w:rsidRPr="001E23FD">
        <w:rPr>
          <w:rFonts w:ascii="Arial" w:hAnsi="Arial" w:cs="Arial"/>
          <w:sz w:val="22"/>
          <w:szCs w:val="22"/>
          <w:lang w:val="en-GB"/>
        </w:rPr>
        <w:t>2</w:t>
      </w:r>
      <w:r>
        <w:rPr>
          <w:rFonts w:ascii="Arial" w:hAnsi="Arial" w:cs="Arial"/>
          <w:sz w:val="22"/>
          <w:szCs w:val="22"/>
          <w:lang w:val="en-GB"/>
        </w:rPr>
        <w:t>2</w:t>
      </w:r>
      <w:r w:rsidRPr="001E23FD">
        <w:rPr>
          <w:rFonts w:ascii="Arial" w:hAnsi="Arial" w:cs="Arial"/>
          <w:sz w:val="22"/>
          <w:szCs w:val="22"/>
          <w:lang w:val="en-GB"/>
        </w:rPr>
        <w:t>-3</w:t>
      </w:r>
      <w:r>
        <w:rPr>
          <w:rFonts w:ascii="Arial" w:hAnsi="Arial" w:cs="Arial"/>
          <w:sz w:val="22"/>
          <w:szCs w:val="22"/>
          <w:lang w:val="en-GB"/>
        </w:rPr>
        <w:t>36</w:t>
      </w:r>
      <w:r w:rsidRPr="001E23FD">
        <w:rPr>
          <w:rFonts w:ascii="Arial" w:hAnsi="Arial" w:cs="Arial"/>
          <w:sz w:val="22"/>
          <w:szCs w:val="22"/>
          <w:lang w:val="en-GB"/>
        </w:rPr>
        <w:t>.assessment</w:t>
      </w:r>
      <w:r>
        <w:rPr>
          <w:rFonts w:ascii="Arial" w:hAnsi="Arial" w:cs="Arial"/>
          <w:sz w:val="22"/>
          <w:szCs w:val="22"/>
          <w:lang w:val="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6C39F2">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5A03A7" w:rsidRDefault="00831582" w:rsidP="006C39F2">
      <w:pPr>
        <w:pStyle w:val="ListParagraph"/>
        <w:numPr>
          <w:ilvl w:val="0"/>
          <w:numId w:val="3"/>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To</w:t>
      </w:r>
      <w:r w:rsidR="005E32B3" w:rsidRPr="005A03A7">
        <w:rPr>
          <w:rFonts w:ascii="Arial" w:hAnsi="Arial" w:cs="Arial"/>
          <w:sz w:val="22"/>
          <w:szCs w:val="22"/>
          <w:highlight w:val="yellow"/>
          <w:lang w:val="en-GB"/>
        </w:rPr>
        <w:t xml:space="preserve"> run the business of the </w:t>
      </w:r>
      <w:r w:rsidR="00787521" w:rsidRPr="005A03A7">
        <w:rPr>
          <w:rFonts w:ascii="Arial" w:hAnsi="Arial" w:cs="Arial"/>
          <w:sz w:val="22"/>
          <w:szCs w:val="22"/>
          <w:highlight w:val="yellow"/>
          <w:lang w:val="en-GB"/>
        </w:rPr>
        <w:t xml:space="preserve">debtor </w:t>
      </w:r>
      <w:r w:rsidR="005E32B3" w:rsidRPr="005A03A7">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6C39F2">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6C39F2">
      <w:pPr>
        <w:pStyle w:val="ListParagraph"/>
        <w:numPr>
          <w:ilvl w:val="0"/>
          <w:numId w:val="3"/>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6C39F2">
      <w:pPr>
        <w:pStyle w:val="ListParagraph"/>
        <w:numPr>
          <w:ilvl w:val="0"/>
          <w:numId w:val="4"/>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6C39F2">
      <w:pPr>
        <w:pStyle w:val="ListParagraph"/>
        <w:numPr>
          <w:ilvl w:val="0"/>
          <w:numId w:val="4"/>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5A03A7" w:rsidRDefault="004C294D" w:rsidP="006C39F2">
      <w:pPr>
        <w:pStyle w:val="ListParagraph"/>
        <w:numPr>
          <w:ilvl w:val="0"/>
          <w:numId w:val="4"/>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A</w:t>
      </w:r>
      <w:r w:rsidR="00C041E8" w:rsidRPr="005A03A7">
        <w:rPr>
          <w:rFonts w:ascii="Arial" w:hAnsi="Arial" w:cs="Arial"/>
          <w:sz w:val="22"/>
          <w:szCs w:val="22"/>
          <w:highlight w:val="yellow"/>
          <w:lang w:val="en-GB"/>
        </w:rPr>
        <w:t xml:space="preserve"> </w:t>
      </w:r>
      <w:r w:rsidR="00DE0963" w:rsidRPr="005A03A7">
        <w:rPr>
          <w:rFonts w:ascii="Arial" w:hAnsi="Arial" w:cs="Arial"/>
          <w:sz w:val="22"/>
          <w:szCs w:val="22"/>
          <w:highlight w:val="yellow"/>
          <w:lang w:val="en-GB"/>
        </w:rPr>
        <w:t>pledge</w:t>
      </w:r>
      <w:r w:rsidR="0007291B" w:rsidRPr="005A03A7">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6C39F2">
      <w:pPr>
        <w:pStyle w:val="ListParagraph"/>
        <w:numPr>
          <w:ilvl w:val="0"/>
          <w:numId w:val="4"/>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6C39F2">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6C39F2">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6C39F2">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5A03A7" w:rsidRDefault="00FC32B6" w:rsidP="006C39F2">
      <w:pPr>
        <w:pStyle w:val="ListParagraph"/>
        <w:numPr>
          <w:ilvl w:val="0"/>
          <w:numId w:val="5"/>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Any of the above</w:t>
      </w:r>
      <w:r w:rsidR="00EA6F96" w:rsidRPr="005A03A7">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6C39F2">
      <w:pPr>
        <w:pStyle w:val="ListParagraph"/>
        <w:numPr>
          <w:ilvl w:val="0"/>
          <w:numId w:val="6"/>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6C39F2">
      <w:pPr>
        <w:pStyle w:val="ListParagraph"/>
        <w:numPr>
          <w:ilvl w:val="0"/>
          <w:numId w:val="6"/>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6C39F2">
      <w:pPr>
        <w:pStyle w:val="ListParagraph"/>
        <w:numPr>
          <w:ilvl w:val="0"/>
          <w:numId w:val="6"/>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5A03A7" w:rsidRDefault="0007291B" w:rsidP="006C39F2">
      <w:pPr>
        <w:pStyle w:val="ListParagraph"/>
        <w:numPr>
          <w:ilvl w:val="0"/>
          <w:numId w:val="6"/>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 xml:space="preserve">75% or more in </w:t>
      </w:r>
      <w:r w:rsidR="00483BC6" w:rsidRPr="005A03A7">
        <w:rPr>
          <w:rFonts w:ascii="Arial" w:hAnsi="Arial" w:cs="Arial"/>
          <w:sz w:val="22"/>
          <w:szCs w:val="22"/>
          <w:highlight w:val="yellow"/>
          <w:lang w:val="en-GB"/>
        </w:rPr>
        <w:t>value</w:t>
      </w:r>
      <w:r w:rsidR="00F50041" w:rsidRPr="005A03A7">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6C39F2">
      <w:pPr>
        <w:pStyle w:val="ListParagraph"/>
        <w:numPr>
          <w:ilvl w:val="0"/>
          <w:numId w:val="7"/>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6C39F2">
      <w:pPr>
        <w:pStyle w:val="ListParagraph"/>
        <w:numPr>
          <w:ilvl w:val="0"/>
          <w:numId w:val="7"/>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6C39F2">
      <w:pPr>
        <w:pStyle w:val="ListParagraph"/>
        <w:numPr>
          <w:ilvl w:val="0"/>
          <w:numId w:val="7"/>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5A03A7" w:rsidRDefault="00FC32B6" w:rsidP="006C39F2">
      <w:pPr>
        <w:pStyle w:val="ListParagraph"/>
        <w:numPr>
          <w:ilvl w:val="0"/>
          <w:numId w:val="7"/>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T</w:t>
      </w:r>
      <w:r w:rsidR="00DE2CD9" w:rsidRPr="005A03A7">
        <w:rPr>
          <w:rFonts w:ascii="Arial" w:hAnsi="Arial" w:cs="Arial"/>
          <w:sz w:val="22"/>
          <w:szCs w:val="22"/>
          <w:highlight w:val="yellow"/>
          <w:lang w:val="en-GB"/>
        </w:rPr>
        <w:t>o not travel overseas under any circumstances whatsoever</w:t>
      </w:r>
      <w:r w:rsidR="00384F62" w:rsidRPr="005A03A7">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6C39F2">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5F70AA" w:rsidRDefault="00FA4DD1" w:rsidP="006C39F2">
      <w:pPr>
        <w:pStyle w:val="ListParagraph"/>
        <w:numPr>
          <w:ilvl w:val="0"/>
          <w:numId w:val="8"/>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The court can deny recognition only if recognition is “manifestly contrary” to public policy</w:t>
      </w:r>
      <w:r w:rsidR="00EB7B75" w:rsidRPr="005F70AA">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6C39F2">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6C39F2">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Pr="005F70AA" w:rsidRDefault="00BC2272" w:rsidP="006C39F2">
      <w:pPr>
        <w:pStyle w:val="ListParagraph"/>
        <w:numPr>
          <w:ilvl w:val="0"/>
          <w:numId w:val="9"/>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The automatic moratorium</w:t>
      </w:r>
      <w:r w:rsidR="00384F62" w:rsidRPr="005F70AA">
        <w:rPr>
          <w:rFonts w:ascii="Arial" w:hAnsi="Arial" w:cs="Arial"/>
          <w:sz w:val="22"/>
          <w:szCs w:val="22"/>
          <w:highlight w:val="yellow"/>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6C39F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Default="00C87FF9" w:rsidP="006C39F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Restrictions on </w:t>
      </w:r>
      <w:r w:rsidR="00BC2272" w:rsidRPr="00384F62">
        <w:rPr>
          <w:rFonts w:ascii="Arial" w:hAnsi="Arial" w:cs="Arial"/>
          <w:i/>
          <w:iCs/>
          <w:sz w:val="22"/>
          <w:szCs w:val="22"/>
          <w:lang w:val="en-GB"/>
        </w:rPr>
        <w:t>ipso facto</w:t>
      </w:r>
      <w:r w:rsidR="00BC2272">
        <w:rPr>
          <w:rFonts w:ascii="Arial" w:hAnsi="Arial" w:cs="Arial"/>
          <w:sz w:val="22"/>
          <w:szCs w:val="22"/>
          <w:lang w:val="en-GB"/>
        </w:rPr>
        <w:t xml:space="preserve"> clauses</w:t>
      </w:r>
      <w:r w:rsidR="00384F62">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6C39F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6C39F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5F70AA" w:rsidRDefault="00C21EB5" w:rsidP="006C39F2">
      <w:pPr>
        <w:pStyle w:val="ListParagraph"/>
        <w:numPr>
          <w:ilvl w:val="0"/>
          <w:numId w:val="10"/>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 xml:space="preserve">The </w:t>
      </w:r>
      <w:r w:rsidR="00384F62" w:rsidRPr="005F70AA">
        <w:rPr>
          <w:rFonts w:ascii="Arial" w:hAnsi="Arial" w:cs="Arial"/>
          <w:sz w:val="22"/>
          <w:szCs w:val="22"/>
          <w:highlight w:val="yellow"/>
          <w:lang w:val="en-GB"/>
        </w:rPr>
        <w:t>l</w:t>
      </w:r>
      <w:r w:rsidRPr="005F70AA">
        <w:rPr>
          <w:rFonts w:ascii="Arial" w:hAnsi="Arial" w:cs="Arial"/>
          <w:sz w:val="22"/>
          <w:szCs w:val="22"/>
          <w:highlight w:val="yellow"/>
          <w:lang w:val="en-GB"/>
        </w:rPr>
        <w:t xml:space="preserve">iquidator by way of an application to </w:t>
      </w:r>
      <w:r w:rsidR="00384F62" w:rsidRPr="005F70AA">
        <w:rPr>
          <w:rFonts w:ascii="Arial" w:hAnsi="Arial" w:cs="Arial"/>
          <w:sz w:val="22"/>
          <w:szCs w:val="22"/>
          <w:highlight w:val="yellow"/>
          <w:lang w:val="en-GB"/>
        </w:rPr>
        <w:t>c</w:t>
      </w:r>
      <w:r w:rsidRPr="005F70AA">
        <w:rPr>
          <w:rFonts w:ascii="Arial" w:hAnsi="Arial" w:cs="Arial"/>
          <w:sz w:val="22"/>
          <w:szCs w:val="22"/>
          <w:highlight w:val="yellow"/>
          <w:lang w:val="en-GB"/>
        </w:rPr>
        <w:t>ourt</w:t>
      </w:r>
      <w:r w:rsidR="00384F62" w:rsidRPr="005F70AA">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6C39F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rsidP="006C39F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6C39F2">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6C39F2">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5F70AA" w:rsidRDefault="00391426" w:rsidP="006C39F2">
      <w:pPr>
        <w:pStyle w:val="ListParagraph"/>
        <w:numPr>
          <w:ilvl w:val="0"/>
          <w:numId w:val="11"/>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Not being able to travel overseas at all</w:t>
      </w:r>
      <w:r w:rsidR="00384F62" w:rsidRPr="005F70AA">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6C39F2">
      <w:pPr>
        <w:pStyle w:val="ListParagraph"/>
        <w:widowControl w:val="0"/>
        <w:numPr>
          <w:ilvl w:val="0"/>
          <w:numId w:val="11"/>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6C39F2">
      <w:pPr>
        <w:pStyle w:val="ListParagraph"/>
        <w:numPr>
          <w:ilvl w:val="0"/>
          <w:numId w:val="12"/>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5F70AA" w:rsidRDefault="0007291B" w:rsidP="006C39F2">
      <w:pPr>
        <w:pStyle w:val="ListParagraph"/>
        <w:numPr>
          <w:ilvl w:val="0"/>
          <w:numId w:val="12"/>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 xml:space="preserve">The </w:t>
      </w:r>
      <w:r w:rsidR="008569B9" w:rsidRPr="005F70AA">
        <w:rPr>
          <w:rFonts w:ascii="Arial" w:hAnsi="Arial" w:cs="Arial"/>
          <w:sz w:val="22"/>
          <w:szCs w:val="22"/>
          <w:highlight w:val="yellow"/>
          <w:lang w:val="en-GB"/>
        </w:rPr>
        <w:t>more advantageous realisation of the property than in a liquidation</w:t>
      </w:r>
      <w:r w:rsidR="00384F62" w:rsidRPr="005F70AA">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6C39F2">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6C39F2">
      <w:pPr>
        <w:pStyle w:val="ListParagraph"/>
        <w:numPr>
          <w:ilvl w:val="0"/>
          <w:numId w:val="12"/>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56101E32" w:rsidR="002C13C8" w:rsidRDefault="002C13C8" w:rsidP="002A37BB">
      <w:pPr>
        <w:ind w:left="720" w:hanging="720"/>
        <w:jc w:val="both"/>
        <w:rPr>
          <w:rFonts w:ascii="Arial" w:hAnsi="Arial" w:cs="Arial"/>
          <w:sz w:val="22"/>
          <w:szCs w:val="22"/>
          <w:lang w:val="en-GB"/>
        </w:rPr>
      </w:pPr>
    </w:p>
    <w:p w14:paraId="43633A68" w14:textId="083DDE42" w:rsidR="008E34AF" w:rsidRPr="001D3BF4" w:rsidRDefault="00C527B6" w:rsidP="00D02990">
      <w:pPr>
        <w:ind w:left="720" w:hanging="720"/>
        <w:jc w:val="both"/>
        <w:rPr>
          <w:rFonts w:ascii="Arial" w:hAnsi="Arial" w:cs="Arial"/>
          <w:color w:val="808080" w:themeColor="background1" w:themeShade="80"/>
          <w:sz w:val="22"/>
          <w:szCs w:val="22"/>
          <w:lang w:val="en-GB"/>
        </w:rPr>
      </w:pPr>
      <w:r w:rsidRPr="001D3BF4">
        <w:rPr>
          <w:rFonts w:ascii="Arial" w:hAnsi="Arial" w:cs="Arial"/>
          <w:i/>
          <w:iCs/>
          <w:color w:val="808080" w:themeColor="background1" w:themeShade="80"/>
          <w:sz w:val="22"/>
          <w:szCs w:val="22"/>
          <w:lang w:val="en-GB"/>
        </w:rPr>
        <w:t xml:space="preserve">The Court of Appeal in </w:t>
      </w:r>
      <w:r w:rsidR="008E34AF" w:rsidRPr="001D3BF4">
        <w:rPr>
          <w:rFonts w:ascii="Arial" w:hAnsi="Arial" w:cs="Arial"/>
          <w:i/>
          <w:iCs/>
          <w:color w:val="808080" w:themeColor="background1" w:themeShade="80"/>
          <w:sz w:val="22"/>
          <w:szCs w:val="22"/>
          <w:lang w:val="en-GB"/>
        </w:rPr>
        <w:t>Sun Electric Power Pte Ltd v RCMA Asia Pte Ltd</w:t>
      </w:r>
      <w:r w:rsidR="008E34AF" w:rsidRPr="001D3BF4">
        <w:rPr>
          <w:rFonts w:ascii="Arial" w:hAnsi="Arial" w:cs="Arial"/>
          <w:color w:val="808080" w:themeColor="background1" w:themeShade="80"/>
          <w:sz w:val="22"/>
          <w:szCs w:val="22"/>
          <w:lang w:val="en-GB"/>
        </w:rPr>
        <w:t xml:space="preserve"> [2021] SGCA 60 </w:t>
      </w:r>
      <w:r w:rsidRPr="001D3BF4">
        <w:rPr>
          <w:rFonts w:ascii="Arial" w:hAnsi="Arial" w:cs="Arial"/>
          <w:color w:val="808080" w:themeColor="background1" w:themeShade="80"/>
          <w:sz w:val="22"/>
          <w:szCs w:val="22"/>
          <w:lang w:val="en-GB"/>
        </w:rPr>
        <w:t xml:space="preserve">have clarified the following three issues: </w:t>
      </w:r>
    </w:p>
    <w:p w14:paraId="5D8DC3DC" w14:textId="77777777" w:rsidR="00C527B6" w:rsidRPr="001D3BF4" w:rsidRDefault="00C527B6" w:rsidP="00D02990">
      <w:pPr>
        <w:pStyle w:val="ListParagraph"/>
        <w:numPr>
          <w:ilvl w:val="0"/>
          <w:numId w:val="27"/>
        </w:numPr>
        <w:jc w:val="both"/>
        <w:rPr>
          <w:rFonts w:ascii="Arial" w:hAnsi="Arial" w:cs="Arial"/>
          <w:color w:val="808080" w:themeColor="background1" w:themeShade="80"/>
          <w:sz w:val="22"/>
          <w:szCs w:val="22"/>
          <w:lang w:val="en-GB"/>
        </w:rPr>
      </w:pPr>
      <w:r w:rsidRPr="001D3BF4">
        <w:rPr>
          <w:rFonts w:ascii="Arial" w:hAnsi="Arial" w:cs="Arial"/>
          <w:color w:val="808080" w:themeColor="background1" w:themeShade="80"/>
          <w:sz w:val="22"/>
          <w:szCs w:val="22"/>
        </w:rPr>
        <w:t>who should control the conduct of an appeal against a winding up order and at whose cost</w:t>
      </w:r>
    </w:p>
    <w:p w14:paraId="5B56BCA0" w14:textId="1FB9347E" w:rsidR="00C527B6" w:rsidRPr="001D3BF4" w:rsidRDefault="00C527B6" w:rsidP="00D02990">
      <w:pPr>
        <w:pStyle w:val="ListParagraph"/>
        <w:numPr>
          <w:ilvl w:val="0"/>
          <w:numId w:val="27"/>
        </w:numPr>
        <w:jc w:val="both"/>
        <w:rPr>
          <w:rFonts w:ascii="Arial" w:hAnsi="Arial" w:cs="Arial"/>
          <w:color w:val="808080" w:themeColor="background1" w:themeShade="80"/>
          <w:sz w:val="22"/>
          <w:szCs w:val="22"/>
          <w:lang w:val="en-GB"/>
        </w:rPr>
      </w:pPr>
      <w:r w:rsidRPr="001D3BF4">
        <w:rPr>
          <w:rFonts w:ascii="Arial" w:hAnsi="Arial" w:cs="Arial"/>
          <w:color w:val="808080" w:themeColor="background1" w:themeShade="80"/>
          <w:sz w:val="22"/>
          <w:szCs w:val="22"/>
        </w:rPr>
        <w:t>which test applies for the purpose of determining insolvency under s 254(2)(</w:t>
      </w:r>
      <w:r w:rsidRPr="001D3BF4">
        <w:rPr>
          <w:rFonts w:ascii="Arial" w:hAnsi="Arial" w:cs="Arial"/>
          <w:i/>
          <w:iCs/>
          <w:color w:val="808080" w:themeColor="background1" w:themeShade="80"/>
          <w:sz w:val="22"/>
          <w:szCs w:val="22"/>
        </w:rPr>
        <w:t>c</w:t>
      </w:r>
      <w:r w:rsidRPr="001D3BF4">
        <w:rPr>
          <w:rFonts w:ascii="Arial" w:hAnsi="Arial" w:cs="Arial"/>
          <w:color w:val="808080" w:themeColor="background1" w:themeShade="80"/>
          <w:sz w:val="22"/>
          <w:szCs w:val="22"/>
        </w:rPr>
        <w:t xml:space="preserve">) of the Companies Act (Cap 50, 2006 Rev Ed) (“Companies Act”) </w:t>
      </w:r>
    </w:p>
    <w:p w14:paraId="6C8F9BF9" w14:textId="77777777" w:rsidR="00C527B6" w:rsidRPr="001D3BF4" w:rsidRDefault="00C527B6" w:rsidP="00D02990">
      <w:pPr>
        <w:pStyle w:val="ListParagraph"/>
        <w:numPr>
          <w:ilvl w:val="0"/>
          <w:numId w:val="27"/>
        </w:numPr>
        <w:jc w:val="both"/>
        <w:rPr>
          <w:rFonts w:ascii="Arial" w:hAnsi="Arial" w:cs="Arial"/>
          <w:color w:val="808080" w:themeColor="background1" w:themeShade="80"/>
          <w:sz w:val="22"/>
          <w:szCs w:val="22"/>
          <w:lang w:val="en-GB"/>
        </w:rPr>
      </w:pPr>
      <w:r w:rsidRPr="001D3BF4">
        <w:rPr>
          <w:rFonts w:ascii="Arial" w:hAnsi="Arial" w:cs="Arial"/>
          <w:color w:val="808080" w:themeColor="background1" w:themeShade="80"/>
          <w:sz w:val="22"/>
          <w:szCs w:val="22"/>
        </w:rPr>
        <w:lastRenderedPageBreak/>
        <w:t>whether a company may still be deemed to be unable to pay its debts under s 254(2)(</w:t>
      </w:r>
      <w:r w:rsidRPr="001D3BF4">
        <w:rPr>
          <w:rFonts w:ascii="Arial" w:hAnsi="Arial" w:cs="Arial"/>
          <w:i/>
          <w:iCs/>
          <w:color w:val="808080" w:themeColor="background1" w:themeShade="80"/>
          <w:sz w:val="22"/>
          <w:szCs w:val="22"/>
        </w:rPr>
        <w:t>a</w:t>
      </w:r>
      <w:r w:rsidRPr="001D3BF4">
        <w:rPr>
          <w:rFonts w:ascii="Arial" w:hAnsi="Arial" w:cs="Arial"/>
          <w:color w:val="808080" w:themeColor="background1" w:themeShade="80"/>
          <w:sz w:val="22"/>
          <w:szCs w:val="22"/>
        </w:rPr>
        <w:t xml:space="preserve">) of the Companies Act if it pays part of the statutory demand such that the remaining debt falls below the prescribed minimum quantum needed to serve the demand. </w:t>
      </w:r>
    </w:p>
    <w:p w14:paraId="2CAE37AD" w14:textId="77777777" w:rsidR="00C527B6" w:rsidRPr="001D3BF4" w:rsidRDefault="00C527B6" w:rsidP="00D02990">
      <w:pPr>
        <w:ind w:left="360"/>
        <w:jc w:val="both"/>
        <w:rPr>
          <w:rFonts w:ascii="Arial" w:hAnsi="Arial" w:cs="Arial"/>
          <w:color w:val="808080" w:themeColor="background1" w:themeShade="80"/>
          <w:sz w:val="22"/>
          <w:szCs w:val="22"/>
        </w:rPr>
      </w:pPr>
    </w:p>
    <w:p w14:paraId="00DF0C22" w14:textId="1EF1438B" w:rsidR="00D10819" w:rsidRPr="001D3BF4" w:rsidRDefault="00D10819" w:rsidP="00D02990">
      <w:pPr>
        <w:spacing w:before="100" w:beforeAutospacing="1" w:after="100" w:afterAutospacing="1"/>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The significant issues clarified in this case is issue (b) as stated above.  When a company “unable to pay its debt” it will be categories as Insolvent and this is the most common ground to wind up a company. A company will be deemed to be unable pay its debt</w:t>
      </w:r>
      <w:r w:rsidR="00B433C8" w:rsidRPr="001D3BF4">
        <w:rPr>
          <w:rFonts w:ascii="Arial" w:hAnsi="Arial" w:cs="Arial"/>
          <w:color w:val="808080" w:themeColor="background1" w:themeShade="80"/>
          <w:sz w:val="22"/>
          <w:szCs w:val="22"/>
        </w:rPr>
        <w:t xml:space="preserve"> if: </w:t>
      </w:r>
    </w:p>
    <w:p w14:paraId="6DE6D674" w14:textId="77777777" w:rsidR="00B433C8" w:rsidRPr="001D3BF4" w:rsidRDefault="00B433C8" w:rsidP="00D02990">
      <w:pPr>
        <w:pStyle w:val="NormalWeb"/>
        <w:numPr>
          <w:ilvl w:val="0"/>
          <w:numId w:val="28"/>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a creditor to whom the company is indebted in a sum exceeding SGD 15,000 then due has served on the company a demand requiring the company to pay the sum so due and the company has for three weeks thereafter neglected to pay the sum to, or to secure or compound to the reasonable satisfaction of the creditor </w:t>
      </w:r>
    </w:p>
    <w:p w14:paraId="16BC3B56" w14:textId="77777777" w:rsidR="00B433C8" w:rsidRPr="001D3BF4" w:rsidRDefault="00B433C8" w:rsidP="00D02990">
      <w:pPr>
        <w:pStyle w:val="NormalWeb"/>
        <w:numPr>
          <w:ilvl w:val="0"/>
          <w:numId w:val="28"/>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execution or other process issued on a judgment, decree or order of any court in favour of a creditor of the company is returned unsatisfied in whole or in part; </w:t>
      </w:r>
    </w:p>
    <w:p w14:paraId="5B0F425E" w14:textId="77777777" w:rsidR="00B433C8" w:rsidRPr="001D3BF4" w:rsidRDefault="00B433C8" w:rsidP="00D02990">
      <w:pPr>
        <w:pStyle w:val="NormalWeb"/>
        <w:numPr>
          <w:ilvl w:val="0"/>
          <w:numId w:val="28"/>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it is proved to the satisfaction of the Court that the company is unable to pay its debts and in determining whether a company is unable to pay its debts the Court must take into account the contingent and prospective liabilities of the company </w:t>
      </w:r>
    </w:p>
    <w:p w14:paraId="1FE12BC0" w14:textId="77777777" w:rsidR="0011398F" w:rsidRPr="001D3BF4" w:rsidRDefault="00345255" w:rsidP="00D02990">
      <w:pPr>
        <w:pStyle w:val="NormalWeb"/>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In </w:t>
      </w:r>
      <w:r w:rsidRPr="001D3BF4">
        <w:rPr>
          <w:rFonts w:ascii="Arial" w:hAnsi="Arial" w:cs="Arial"/>
          <w:i/>
          <w:iCs/>
          <w:color w:val="808080" w:themeColor="background1" w:themeShade="80"/>
          <w:sz w:val="22"/>
          <w:szCs w:val="22"/>
          <w:lang w:val="en-GB"/>
        </w:rPr>
        <w:t>Sun Electric Power Pte Ltd v RCMA Asia Pte Ltd</w:t>
      </w:r>
      <w:r w:rsidRPr="001D3BF4">
        <w:rPr>
          <w:rFonts w:ascii="Arial" w:hAnsi="Arial" w:cs="Arial"/>
          <w:color w:val="808080" w:themeColor="background1" w:themeShade="80"/>
          <w:sz w:val="22"/>
          <w:szCs w:val="22"/>
          <w:lang w:val="en-GB"/>
        </w:rPr>
        <w:t xml:space="preserve"> case the court has clarified that the cash flow test should be the sole test applicable under section 124(2)(c)</w:t>
      </w:r>
      <w:r w:rsidR="00916C38" w:rsidRPr="001D3BF4">
        <w:rPr>
          <w:rFonts w:ascii="Arial" w:hAnsi="Arial" w:cs="Arial"/>
          <w:color w:val="808080" w:themeColor="background1" w:themeShade="80"/>
          <w:sz w:val="22"/>
          <w:szCs w:val="22"/>
          <w:lang w:val="en-GB"/>
        </w:rPr>
        <w:t xml:space="preserve">. </w:t>
      </w:r>
      <w:r w:rsidR="00AA54D4" w:rsidRPr="001D3BF4">
        <w:rPr>
          <w:rFonts w:ascii="Arial" w:hAnsi="Arial" w:cs="Arial"/>
          <w:color w:val="808080" w:themeColor="background1" w:themeShade="80"/>
          <w:sz w:val="22"/>
          <w:szCs w:val="22"/>
          <w:lang w:val="en-GB"/>
        </w:rPr>
        <w:t xml:space="preserve"> </w:t>
      </w:r>
      <w:r w:rsidR="0011398F" w:rsidRPr="001D3BF4">
        <w:rPr>
          <w:rFonts w:ascii="Arial" w:hAnsi="Arial" w:cs="Arial"/>
          <w:color w:val="808080" w:themeColor="background1" w:themeShade="80"/>
          <w:sz w:val="22"/>
          <w:szCs w:val="22"/>
        </w:rPr>
        <w:t xml:space="preserve">The cash flow test assesses whether the company’s current assets exceed its current liabilities such that it is able to meet all debts as and when they fall due. </w:t>
      </w:r>
    </w:p>
    <w:p w14:paraId="3C36C83F" w14:textId="743B3EB2" w:rsidR="0011398F" w:rsidRPr="001D3BF4" w:rsidRDefault="0011398F" w:rsidP="00D02990">
      <w:pPr>
        <w:pStyle w:val="NormalWeb"/>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lang w:val="en-GB"/>
        </w:rPr>
        <w:t>I</w:t>
      </w:r>
      <w:r w:rsidR="00AA54D4" w:rsidRPr="001D3BF4">
        <w:rPr>
          <w:rFonts w:ascii="Arial" w:hAnsi="Arial" w:cs="Arial"/>
          <w:color w:val="808080" w:themeColor="background1" w:themeShade="80"/>
          <w:sz w:val="22"/>
          <w:szCs w:val="22"/>
          <w:lang w:val="en-GB"/>
        </w:rPr>
        <w:t xml:space="preserve">t also clarifies that </w:t>
      </w:r>
      <w:r w:rsidR="00AA54D4" w:rsidRPr="001D3BF4">
        <w:rPr>
          <w:rFonts w:ascii="Arial" w:hAnsi="Arial" w:cs="Arial"/>
          <w:color w:val="808080" w:themeColor="background1" w:themeShade="80"/>
          <w:sz w:val="22"/>
          <w:szCs w:val="22"/>
        </w:rPr>
        <w:t>the single test intended by s 254(2)(</w:t>
      </w:r>
      <w:r w:rsidR="00AA54D4" w:rsidRPr="001D3BF4">
        <w:rPr>
          <w:rFonts w:ascii="Arial" w:hAnsi="Arial" w:cs="Arial"/>
          <w:i/>
          <w:iCs/>
          <w:color w:val="808080" w:themeColor="background1" w:themeShade="80"/>
          <w:sz w:val="22"/>
          <w:szCs w:val="22"/>
        </w:rPr>
        <w:t>c</w:t>
      </w:r>
      <w:r w:rsidR="00AA54D4" w:rsidRPr="001D3BF4">
        <w:rPr>
          <w:rFonts w:ascii="Arial" w:hAnsi="Arial" w:cs="Arial"/>
          <w:color w:val="808080" w:themeColor="background1" w:themeShade="80"/>
          <w:sz w:val="22"/>
          <w:szCs w:val="22"/>
        </w:rPr>
        <w:t xml:space="preserve">) of the Companies Act is not the balance sheet test. </w:t>
      </w:r>
      <w:r w:rsidRPr="001D3BF4">
        <w:rPr>
          <w:rFonts w:ascii="Arial" w:hAnsi="Arial" w:cs="Arial"/>
          <w:color w:val="808080" w:themeColor="background1" w:themeShade="80"/>
          <w:sz w:val="22"/>
          <w:szCs w:val="22"/>
        </w:rPr>
        <w:t>The balance sheet test compares a company’s total assets with its total liabilities. However, this ratio has no direct correlation with whether a company “</w:t>
      </w:r>
      <w:r w:rsidRPr="001D3BF4">
        <w:rPr>
          <w:rFonts w:ascii="Arial" w:hAnsi="Arial" w:cs="Arial"/>
          <w:i/>
          <w:iCs/>
          <w:color w:val="808080" w:themeColor="background1" w:themeShade="80"/>
          <w:sz w:val="22"/>
          <w:szCs w:val="22"/>
        </w:rPr>
        <w:t xml:space="preserve">is </w:t>
      </w:r>
      <w:r w:rsidRPr="001D3BF4">
        <w:rPr>
          <w:rFonts w:ascii="Arial" w:hAnsi="Arial" w:cs="Arial"/>
          <w:color w:val="808080" w:themeColor="background1" w:themeShade="80"/>
          <w:sz w:val="22"/>
          <w:szCs w:val="22"/>
        </w:rPr>
        <w:t>unable to pay its debts”. The case law also quoted that “ For example, a company may have total liabilities that exceed its total assets by ten times, but these liabilities may only materialise in a hundred years, which means that the company will be able to pay its debts for the next hundred years (if nothing changes). Conversely, a company may have total assets which are ten times the total liabilities but these assets may all be illiquid and only realisable in a hundred years, whereas the liabilities may all be current. This means that the company may not be able to pay its debts for the next hundred years. As can be seen from these two contrasting examples, it is not the total asset to total liability ratio which determines a company’s present ability to pay its debt. “</w:t>
      </w:r>
    </w:p>
    <w:p w14:paraId="3321F42F" w14:textId="77777777" w:rsidR="0026590D" w:rsidRPr="001D3BF4" w:rsidRDefault="0026590D" w:rsidP="00D02990">
      <w:pPr>
        <w:pStyle w:val="NormalWeb"/>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The court also set out a non-exhaustive list of factors which should be considered under the cash flow test: </w:t>
      </w:r>
    </w:p>
    <w:p w14:paraId="38A16DCA" w14:textId="77777777" w:rsidR="0026590D" w:rsidRPr="001D3BF4" w:rsidRDefault="0026590D" w:rsidP="00D02990">
      <w:pPr>
        <w:pStyle w:val="NormalWeb"/>
        <w:numPr>
          <w:ilvl w:val="0"/>
          <w:numId w:val="13"/>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(a)  the quantum of all debts which are due or will be due in the reasonably near future; </w:t>
      </w:r>
    </w:p>
    <w:p w14:paraId="23FDB97F" w14:textId="77777777" w:rsidR="0026590D" w:rsidRPr="001D3BF4" w:rsidRDefault="0026590D" w:rsidP="00D02990">
      <w:pPr>
        <w:pStyle w:val="NormalWeb"/>
        <w:numPr>
          <w:ilvl w:val="0"/>
          <w:numId w:val="13"/>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(b)  whether payment is being demanded or is likely to be demanded for those debts; </w:t>
      </w:r>
    </w:p>
    <w:p w14:paraId="57C2122E" w14:textId="77777777" w:rsidR="0026590D" w:rsidRPr="001D3BF4" w:rsidRDefault="0026590D" w:rsidP="00D02990">
      <w:pPr>
        <w:pStyle w:val="NormalWeb"/>
        <w:numPr>
          <w:ilvl w:val="0"/>
          <w:numId w:val="13"/>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(c)  whether the company has failed to pay any of its debts, the quantum of such debt, and for how long the company has failed to pay it; </w:t>
      </w:r>
    </w:p>
    <w:p w14:paraId="4B404EC5" w14:textId="77777777" w:rsidR="0026590D" w:rsidRPr="001D3BF4" w:rsidRDefault="0026590D" w:rsidP="00D02990">
      <w:pPr>
        <w:pStyle w:val="NormalWeb"/>
        <w:numPr>
          <w:ilvl w:val="0"/>
          <w:numId w:val="13"/>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(d)  the length of time that has passed since the commencement of the winding up proceedings; </w:t>
      </w:r>
    </w:p>
    <w:p w14:paraId="7D1AB028" w14:textId="77777777" w:rsidR="0026590D" w:rsidRPr="001D3BF4" w:rsidRDefault="0026590D" w:rsidP="00D02990">
      <w:pPr>
        <w:pStyle w:val="NormalWeb"/>
        <w:numPr>
          <w:ilvl w:val="0"/>
          <w:numId w:val="13"/>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(e)  the value of the company’s current assets and assets that will be realisable in the reasonably near future; </w:t>
      </w:r>
    </w:p>
    <w:p w14:paraId="03E4F183" w14:textId="77777777" w:rsidR="0026590D" w:rsidRPr="001D3BF4" w:rsidRDefault="0026590D" w:rsidP="00D02990">
      <w:pPr>
        <w:pStyle w:val="NormalWeb"/>
        <w:numPr>
          <w:ilvl w:val="0"/>
          <w:numId w:val="13"/>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t xml:space="preserve">(f)  the state of the company’s business, in order to determine its expected net cash flow from the business by deducting from projected future sales the cash expenses which would be necessary to generate those sales; </w:t>
      </w:r>
    </w:p>
    <w:p w14:paraId="0111CF30" w14:textId="77777777" w:rsidR="0026590D" w:rsidRPr="001D3BF4" w:rsidRDefault="0026590D" w:rsidP="00D02990">
      <w:pPr>
        <w:pStyle w:val="NormalWeb"/>
        <w:numPr>
          <w:ilvl w:val="0"/>
          <w:numId w:val="13"/>
        </w:numPr>
        <w:jc w:val="both"/>
        <w:rPr>
          <w:rFonts w:ascii="Arial" w:hAnsi="Arial" w:cs="Arial"/>
          <w:color w:val="808080" w:themeColor="background1" w:themeShade="80"/>
          <w:sz w:val="22"/>
          <w:szCs w:val="22"/>
        </w:rPr>
      </w:pPr>
      <w:r w:rsidRPr="001D3BF4">
        <w:rPr>
          <w:rFonts w:ascii="Arial" w:hAnsi="Arial" w:cs="Arial"/>
          <w:color w:val="808080" w:themeColor="background1" w:themeShade="80"/>
          <w:sz w:val="22"/>
          <w:szCs w:val="22"/>
        </w:rPr>
        <w:lastRenderedPageBreak/>
        <w:t xml:space="preserve">(g)  any other income or payment which the company may receive in the reasonably near future; and </w:t>
      </w:r>
    </w:p>
    <w:p w14:paraId="6B0A5190" w14:textId="3F9998B1" w:rsidR="003B1D74" w:rsidRPr="001D3BF4" w:rsidRDefault="0026590D" w:rsidP="00D02990">
      <w:pPr>
        <w:pStyle w:val="ListParagraph"/>
        <w:numPr>
          <w:ilvl w:val="0"/>
          <w:numId w:val="13"/>
        </w:numPr>
        <w:spacing w:before="100" w:beforeAutospacing="1" w:after="100" w:afterAutospacing="1"/>
        <w:jc w:val="both"/>
        <w:rPr>
          <w:rFonts w:ascii="Arial" w:hAnsi="Arial" w:cs="Arial"/>
          <w:color w:val="808080" w:themeColor="background1" w:themeShade="80"/>
          <w:sz w:val="22"/>
          <w:szCs w:val="22"/>
          <w:lang w:eastAsia="ja-JP"/>
        </w:rPr>
      </w:pPr>
      <w:r w:rsidRPr="001D3BF4">
        <w:rPr>
          <w:rFonts w:ascii="Arial" w:hAnsi="Arial" w:cs="Arial"/>
          <w:color w:val="808080" w:themeColor="background1" w:themeShade="80"/>
          <w:sz w:val="22"/>
          <w:szCs w:val="22"/>
          <w:lang w:eastAsia="ja-JP"/>
        </w:rPr>
        <w:t xml:space="preserve">(h) arrangements between the company and prospective lenders, such as its bankers and shareholders, in order to determine whether any shortfall in liquid and realisable assets and cash flow could be made up by borrowings which would be repayable at a time later than the debts. </w:t>
      </w:r>
    </w:p>
    <w:p w14:paraId="1AA97A10" w14:textId="77777777" w:rsidR="003B1D74" w:rsidRDefault="003B1D74" w:rsidP="002A37BB">
      <w:pPr>
        <w:ind w:left="720" w:hanging="720"/>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78A52B83" w:rsidR="000214ED" w:rsidRDefault="000214ED" w:rsidP="002A37BB">
      <w:pPr>
        <w:jc w:val="both"/>
        <w:rPr>
          <w:rFonts w:ascii="Arial" w:hAnsi="Arial" w:cs="Arial"/>
          <w:sz w:val="22"/>
          <w:szCs w:val="22"/>
          <w:lang w:val="en-GB"/>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73832E5B" w14:textId="77777777" w:rsidR="005024A2" w:rsidRPr="002A37BB" w:rsidRDefault="005024A2" w:rsidP="002A37BB">
      <w:pPr>
        <w:jc w:val="both"/>
        <w:rPr>
          <w:rFonts w:ascii="Arial" w:hAnsi="Arial" w:cs="Arial"/>
          <w:sz w:val="22"/>
          <w:szCs w:val="22"/>
        </w:rPr>
      </w:pPr>
    </w:p>
    <w:p w14:paraId="5D31BC1D" w14:textId="1E9A304F" w:rsidR="005024A2" w:rsidRPr="003E60FC" w:rsidRDefault="005024A2" w:rsidP="003E60FC">
      <w:pPr>
        <w:pStyle w:val="ListParagraph"/>
        <w:numPr>
          <w:ilvl w:val="0"/>
          <w:numId w:val="14"/>
        </w:numPr>
        <w:jc w:val="both"/>
        <w:rPr>
          <w:rFonts w:ascii="Arial" w:hAnsi="Arial" w:cs="Arial"/>
          <w:color w:val="808080" w:themeColor="background1" w:themeShade="80"/>
          <w:sz w:val="22"/>
          <w:szCs w:val="22"/>
          <w:lang w:val="en-GB"/>
        </w:rPr>
      </w:pPr>
      <w:r w:rsidRPr="003E60FC">
        <w:rPr>
          <w:rFonts w:ascii="Arial" w:hAnsi="Arial" w:cs="Arial"/>
          <w:color w:val="808080" w:themeColor="background1" w:themeShade="80"/>
          <w:sz w:val="22"/>
          <w:szCs w:val="22"/>
          <w:lang w:val="en-GB"/>
        </w:rPr>
        <w:t>The cross-class cram down.</w:t>
      </w:r>
    </w:p>
    <w:p w14:paraId="1C3C0A83" w14:textId="55F17BA6" w:rsidR="004C6811" w:rsidRPr="003E60FC" w:rsidRDefault="004C6811" w:rsidP="003E60FC">
      <w:pPr>
        <w:pStyle w:val="ListParagraph"/>
        <w:jc w:val="both"/>
        <w:rPr>
          <w:rFonts w:ascii="Arial" w:hAnsi="Arial" w:cs="Arial"/>
          <w:color w:val="808080" w:themeColor="background1" w:themeShade="80"/>
          <w:sz w:val="22"/>
          <w:szCs w:val="22"/>
          <w:lang w:val="en-GB"/>
        </w:rPr>
      </w:pPr>
      <w:r w:rsidRPr="003E60FC">
        <w:rPr>
          <w:rFonts w:ascii="Arial" w:hAnsi="Arial" w:cs="Arial"/>
          <w:color w:val="808080" w:themeColor="background1" w:themeShade="80"/>
          <w:sz w:val="22"/>
          <w:szCs w:val="22"/>
          <w:lang w:val="en-GB"/>
        </w:rPr>
        <w:t>Inspired by the US Chapter 11 reorganisation procedure, the new restructuring framework in Singapore allows debtors to impose a reorganisation plan on dissenting classes of creditors. At the same time, the new legislation has provided creditors with several safeguards against the opportunistic use of this provision by the debtor. Therefore, the system is expected to facilitate a debt restructuring without undermining the interests of creditors.</w:t>
      </w:r>
    </w:p>
    <w:p w14:paraId="2C217A14" w14:textId="77777777" w:rsidR="00AD7125" w:rsidRPr="003E60FC" w:rsidRDefault="00AD7125" w:rsidP="003E60FC">
      <w:pPr>
        <w:pStyle w:val="ListParagraph"/>
        <w:jc w:val="both"/>
        <w:rPr>
          <w:rFonts w:ascii="Arial" w:hAnsi="Arial" w:cs="Arial"/>
          <w:color w:val="808080" w:themeColor="background1" w:themeShade="80"/>
          <w:sz w:val="22"/>
          <w:szCs w:val="22"/>
          <w:lang w:val="en-GB"/>
        </w:rPr>
      </w:pPr>
    </w:p>
    <w:p w14:paraId="7A870291" w14:textId="77777777" w:rsidR="00E94F66" w:rsidRPr="003E60FC" w:rsidRDefault="00E94F66" w:rsidP="003E60FC">
      <w:pPr>
        <w:pStyle w:val="ListParagraph"/>
        <w:numPr>
          <w:ilvl w:val="0"/>
          <w:numId w:val="14"/>
        </w:numPr>
        <w:jc w:val="both"/>
        <w:rPr>
          <w:rFonts w:ascii="Arial" w:hAnsi="Arial" w:cs="Arial"/>
          <w:color w:val="808080" w:themeColor="background1" w:themeShade="80"/>
          <w:sz w:val="22"/>
          <w:szCs w:val="22"/>
          <w:lang w:val="en-GB"/>
        </w:rPr>
      </w:pPr>
      <w:r w:rsidRPr="003E60FC">
        <w:rPr>
          <w:rFonts w:ascii="Arial" w:hAnsi="Arial" w:cs="Arial"/>
          <w:color w:val="808080" w:themeColor="background1" w:themeShade="80"/>
          <w:sz w:val="22"/>
          <w:szCs w:val="22"/>
          <w:lang w:val="en-GB"/>
        </w:rPr>
        <w:t>New licensing and regulatory regime for all insolvency practitioners</w:t>
      </w:r>
    </w:p>
    <w:p w14:paraId="287A7315" w14:textId="77777777" w:rsidR="00E94F66" w:rsidRPr="003E60FC" w:rsidRDefault="00E94F66" w:rsidP="003E60FC">
      <w:pPr>
        <w:pStyle w:val="ListParagraph"/>
        <w:jc w:val="both"/>
        <w:rPr>
          <w:rFonts w:ascii="Arial" w:hAnsi="Arial" w:cs="Arial"/>
          <w:color w:val="808080" w:themeColor="background1" w:themeShade="80"/>
          <w:sz w:val="22"/>
          <w:szCs w:val="22"/>
          <w:lang w:val="en-GB"/>
        </w:rPr>
      </w:pPr>
    </w:p>
    <w:p w14:paraId="79CE9A90" w14:textId="41A90B40" w:rsidR="00E94F66" w:rsidRPr="003E60FC" w:rsidRDefault="00E94F66" w:rsidP="003E60FC">
      <w:pPr>
        <w:pStyle w:val="ListParagraph"/>
        <w:jc w:val="both"/>
        <w:rPr>
          <w:rFonts w:ascii="Arial" w:hAnsi="Arial" w:cs="Arial"/>
          <w:color w:val="808080" w:themeColor="background1" w:themeShade="80"/>
          <w:sz w:val="22"/>
          <w:szCs w:val="22"/>
          <w:lang w:val="en-GB"/>
        </w:rPr>
      </w:pPr>
      <w:r w:rsidRPr="003E60FC">
        <w:rPr>
          <w:rFonts w:ascii="Arial" w:hAnsi="Arial" w:cs="Arial"/>
          <w:color w:val="808080" w:themeColor="background1" w:themeShade="80"/>
          <w:sz w:val="22"/>
          <w:szCs w:val="22"/>
          <w:lang w:val="en-GB"/>
        </w:rPr>
        <w:t>Prior to the IRDA, there was no dedicated regime for the licensing and regulation of insolvency practitioners, such as accountants appointed to act as liquidators, judicial managers or receivers. Section 50 of the IRDA now expressly provides that solicitors can act as liquidators, judicial managers or receivers as well, a move which is in line with the practice in other jurisdictions</w:t>
      </w:r>
    </w:p>
    <w:p w14:paraId="580A8424" w14:textId="77777777" w:rsidR="005024A2" w:rsidRPr="003E60FC" w:rsidRDefault="005024A2" w:rsidP="003E60FC">
      <w:pPr>
        <w:jc w:val="both"/>
        <w:rPr>
          <w:rFonts w:ascii="Arial" w:hAnsi="Arial" w:cs="Arial"/>
          <w:color w:val="808080" w:themeColor="background1" w:themeShade="80"/>
          <w:sz w:val="22"/>
          <w:szCs w:val="22"/>
          <w:lang w:val="en-GB"/>
        </w:rPr>
      </w:pPr>
    </w:p>
    <w:p w14:paraId="267C5097" w14:textId="03AAB669" w:rsidR="005024A2" w:rsidRPr="003E60FC" w:rsidRDefault="005024A2" w:rsidP="003E60FC">
      <w:pPr>
        <w:pStyle w:val="ListParagraph"/>
        <w:numPr>
          <w:ilvl w:val="0"/>
          <w:numId w:val="14"/>
        </w:numPr>
        <w:ind w:left="426"/>
        <w:jc w:val="both"/>
        <w:rPr>
          <w:rFonts w:ascii="Arial" w:hAnsi="Arial" w:cs="Arial"/>
          <w:color w:val="808080" w:themeColor="background1" w:themeShade="80"/>
          <w:sz w:val="22"/>
          <w:szCs w:val="22"/>
          <w:lang w:val="en-GB"/>
        </w:rPr>
      </w:pPr>
      <w:r w:rsidRPr="003E60FC">
        <w:rPr>
          <w:rFonts w:ascii="Arial" w:hAnsi="Arial" w:cs="Arial"/>
          <w:color w:val="808080" w:themeColor="background1" w:themeShade="80"/>
          <w:sz w:val="22"/>
          <w:szCs w:val="22"/>
          <w:lang w:val="en-GB"/>
        </w:rPr>
        <w:t xml:space="preserve">Restrictions on </w:t>
      </w:r>
      <w:r w:rsidRPr="003E60FC">
        <w:rPr>
          <w:rFonts w:ascii="Arial" w:hAnsi="Arial" w:cs="Arial"/>
          <w:i/>
          <w:iCs/>
          <w:color w:val="808080" w:themeColor="background1" w:themeShade="80"/>
          <w:sz w:val="22"/>
          <w:szCs w:val="22"/>
          <w:lang w:val="en-GB"/>
        </w:rPr>
        <w:t>ipso facto</w:t>
      </w:r>
      <w:r w:rsidRPr="003E60FC">
        <w:rPr>
          <w:rFonts w:ascii="Arial" w:hAnsi="Arial" w:cs="Arial"/>
          <w:color w:val="808080" w:themeColor="background1" w:themeShade="80"/>
          <w:sz w:val="22"/>
          <w:szCs w:val="22"/>
          <w:lang w:val="en-GB"/>
        </w:rPr>
        <w:t xml:space="preserve"> clauses.</w:t>
      </w:r>
    </w:p>
    <w:p w14:paraId="61E0CCD8" w14:textId="77777777" w:rsidR="007C6C11" w:rsidRPr="003E60FC" w:rsidRDefault="007C6C11" w:rsidP="003E60FC">
      <w:pPr>
        <w:pStyle w:val="ListParagraph"/>
        <w:jc w:val="both"/>
        <w:rPr>
          <w:rFonts w:ascii="Arial" w:hAnsi="Arial" w:cs="Arial"/>
          <w:color w:val="808080" w:themeColor="background1" w:themeShade="80"/>
          <w:sz w:val="22"/>
          <w:szCs w:val="22"/>
          <w:lang w:val="en-GB"/>
        </w:rPr>
      </w:pPr>
    </w:p>
    <w:p w14:paraId="4FFB35A1" w14:textId="77777777" w:rsidR="007C6C11" w:rsidRPr="003E60FC" w:rsidRDefault="007C6C11" w:rsidP="003E60FC">
      <w:pPr>
        <w:pStyle w:val="ListParagraph"/>
        <w:jc w:val="both"/>
        <w:rPr>
          <w:rFonts w:ascii="Arial" w:hAnsi="Arial" w:cs="Arial"/>
          <w:color w:val="808080" w:themeColor="background1" w:themeShade="80"/>
          <w:sz w:val="22"/>
          <w:szCs w:val="22"/>
          <w:lang w:val="en-GB"/>
        </w:rPr>
      </w:pPr>
      <w:r w:rsidRPr="003E60FC">
        <w:rPr>
          <w:rFonts w:ascii="Arial" w:hAnsi="Arial" w:cs="Arial"/>
          <w:color w:val="808080" w:themeColor="background1" w:themeShade="80"/>
          <w:sz w:val="22"/>
          <w:szCs w:val="22"/>
          <w:lang w:val="en-GB"/>
        </w:rPr>
        <w:t>Prior to the IRDA, there were no statutory restrictions on Ipso facto clauses. This left much to be desired as struggling companies seeking to restructure their liabilities would be put in an unenviable position of having their counterparties terminate contracts, thus potentially losing valuable assets and incurring liabilities. To address this situation, Section 440(1) of the IRDA restricts parties from terminating contracts due to the sole reason or fact that the company has commenced restructuring efforts.</w:t>
      </w:r>
    </w:p>
    <w:p w14:paraId="73455121" w14:textId="77777777" w:rsidR="007C6C11" w:rsidRPr="003E60FC" w:rsidRDefault="007C6C11" w:rsidP="003E60FC">
      <w:pPr>
        <w:pStyle w:val="ListParagraph"/>
        <w:jc w:val="both"/>
        <w:rPr>
          <w:rFonts w:ascii="Arial" w:hAnsi="Arial" w:cs="Arial"/>
          <w:color w:val="808080" w:themeColor="background1" w:themeShade="80"/>
          <w:sz w:val="22"/>
          <w:szCs w:val="22"/>
          <w:lang w:val="en-GB"/>
        </w:rPr>
      </w:pPr>
    </w:p>
    <w:p w14:paraId="12847BB9" w14:textId="77777777" w:rsidR="0021446A" w:rsidRPr="003E60FC" w:rsidRDefault="007C6C11" w:rsidP="003E60FC">
      <w:pPr>
        <w:pStyle w:val="ListParagraph"/>
        <w:jc w:val="both"/>
        <w:rPr>
          <w:rFonts w:ascii="Arial" w:hAnsi="Arial" w:cs="Arial"/>
          <w:color w:val="808080" w:themeColor="background1" w:themeShade="80"/>
          <w:sz w:val="22"/>
          <w:szCs w:val="22"/>
          <w:lang w:val="en-GB"/>
        </w:rPr>
      </w:pPr>
      <w:r w:rsidRPr="003E60FC">
        <w:rPr>
          <w:rFonts w:ascii="Arial" w:hAnsi="Arial" w:cs="Arial"/>
          <w:color w:val="808080" w:themeColor="background1" w:themeShade="80"/>
          <w:sz w:val="22"/>
          <w:szCs w:val="22"/>
          <w:lang w:val="en-GB"/>
        </w:rPr>
        <w:t>The practical effect of Section 440(1) remains to be seen as Section 440(1) does not prevent a party from terminating the contract by relying on other triggering events contained in the ipso facto clause, such as the failure to meet a performance deadline.</w:t>
      </w:r>
    </w:p>
    <w:p w14:paraId="763CBBF1" w14:textId="77777777" w:rsidR="001154F1" w:rsidRPr="003E60FC" w:rsidRDefault="001154F1" w:rsidP="003E60FC">
      <w:pPr>
        <w:jc w:val="both"/>
        <w:rPr>
          <w:rFonts w:ascii="Arial" w:hAnsi="Arial" w:cs="Arial"/>
          <w:color w:val="808080" w:themeColor="background1" w:themeShade="80"/>
          <w:sz w:val="22"/>
          <w:szCs w:val="22"/>
        </w:rPr>
      </w:pPr>
    </w:p>
    <w:p w14:paraId="5E4A32C7" w14:textId="6F6B8B15" w:rsidR="00FE4A37" w:rsidRPr="003E60FC" w:rsidRDefault="001154F1" w:rsidP="003E60FC">
      <w:pPr>
        <w:jc w:val="both"/>
        <w:rPr>
          <w:rFonts w:ascii="Arial" w:hAnsi="Arial" w:cs="Arial"/>
          <w:color w:val="808080" w:themeColor="background1" w:themeShade="80"/>
          <w:sz w:val="22"/>
          <w:szCs w:val="22"/>
          <w:lang w:val="en-GB"/>
        </w:rPr>
      </w:pPr>
      <w:r w:rsidRPr="003E60FC">
        <w:rPr>
          <w:rFonts w:ascii="Arial" w:hAnsi="Arial" w:cs="Arial"/>
          <w:color w:val="808080" w:themeColor="background1" w:themeShade="80"/>
          <w:sz w:val="22"/>
          <w:szCs w:val="22"/>
        </w:rPr>
        <w:t xml:space="preserve">(D) </w:t>
      </w:r>
      <w:r w:rsidR="005024A2" w:rsidRPr="003E60FC">
        <w:rPr>
          <w:rFonts w:ascii="Arial" w:hAnsi="Arial" w:cs="Arial"/>
          <w:color w:val="808080" w:themeColor="background1" w:themeShade="80"/>
          <w:sz w:val="22"/>
          <w:szCs w:val="22"/>
        </w:rPr>
        <w:t xml:space="preserve">New wrongful trading provision </w:t>
      </w:r>
    </w:p>
    <w:p w14:paraId="39E5E798" w14:textId="42309ED5" w:rsidR="003662E3" w:rsidRPr="003E60FC" w:rsidRDefault="003662E3" w:rsidP="003E60FC">
      <w:pPr>
        <w:pStyle w:val="NormalWeb"/>
        <w:ind w:left="720"/>
        <w:jc w:val="both"/>
        <w:rPr>
          <w:rFonts w:ascii="Arial" w:hAnsi="Arial" w:cs="Arial"/>
          <w:color w:val="808080" w:themeColor="background1" w:themeShade="80"/>
        </w:rPr>
      </w:pPr>
      <w:r w:rsidRPr="003E60FC">
        <w:rPr>
          <w:rFonts w:ascii="Arial" w:hAnsi="Arial" w:cs="Arial"/>
          <w:color w:val="808080" w:themeColor="background1" w:themeShade="80"/>
          <w:sz w:val="22"/>
          <w:szCs w:val="22"/>
        </w:rPr>
        <w:t>The IRDA has largely kept the provision on fraudulent trading but has also introduced a new concept of “wrongful trading” which replaces the old concept of “insolvent trading”.  Under the new regime, a company "trades wrongfully" if it incurs debts or other liabilities, when insolvent (or becomes insolvent as a result of incurring such debts or other liabilities), without reasonable prospect of meeting them in full (Section 239(12)) of the IRDA).</w:t>
      </w:r>
    </w:p>
    <w:p w14:paraId="4B94E5E1" w14:textId="4B4922A3" w:rsidR="003662E3" w:rsidRPr="003E60FC" w:rsidRDefault="003662E3" w:rsidP="003E60FC">
      <w:pPr>
        <w:pStyle w:val="NormalWeb"/>
        <w:ind w:left="720"/>
        <w:jc w:val="both"/>
        <w:rPr>
          <w:rFonts w:ascii="Arial" w:hAnsi="Arial" w:cs="Arial"/>
          <w:color w:val="808080" w:themeColor="background1" w:themeShade="80"/>
          <w:sz w:val="22"/>
          <w:szCs w:val="22"/>
        </w:rPr>
      </w:pPr>
      <w:r w:rsidRPr="003E60FC">
        <w:rPr>
          <w:rFonts w:ascii="Arial" w:hAnsi="Arial" w:cs="Arial"/>
          <w:color w:val="808080" w:themeColor="background1" w:themeShade="80"/>
          <w:sz w:val="22"/>
          <w:szCs w:val="22"/>
        </w:rPr>
        <w:t xml:space="preserve">The "wrongful trading" regime also abolishes the pre-requisite (present under the insolvent trading regime) of having to establish criminal liability first before the </w:t>
      </w:r>
      <w:r w:rsidRPr="003E60FC">
        <w:rPr>
          <w:rFonts w:ascii="Arial" w:hAnsi="Arial" w:cs="Arial"/>
          <w:color w:val="808080" w:themeColor="background1" w:themeShade="80"/>
          <w:sz w:val="22"/>
          <w:szCs w:val="22"/>
        </w:rPr>
        <w:lastRenderedPageBreak/>
        <w:t>director could be made personally liable for the debt. Section 239(1) of the IRDA simply provides that in the course of the judicial management or winding up of a company or in any proceedings against the company, the Singapore Court may, on the application of a judicial manager, liquidator or creditor or contributory of the company, declare that any person who was a party to the company trading wrongfully is personally responsible for any or all of the debts or other liabilities of the company if that person: (a) knew the company was trading wrongfully; or (b) as an officer of the company ought, in all the circumstances, to have known that the company was trading wrongfully.</w:t>
      </w:r>
    </w:p>
    <w:p w14:paraId="77417BE8" w14:textId="25FEC311" w:rsidR="005024A2" w:rsidRPr="003E60FC" w:rsidRDefault="003662E3" w:rsidP="003E60FC">
      <w:pPr>
        <w:pStyle w:val="NormalWeb"/>
        <w:ind w:left="720"/>
        <w:jc w:val="both"/>
        <w:rPr>
          <w:rFonts w:ascii="Arial" w:hAnsi="Arial" w:cs="Arial"/>
          <w:color w:val="808080" w:themeColor="background1" w:themeShade="80"/>
          <w:sz w:val="22"/>
          <w:szCs w:val="22"/>
        </w:rPr>
      </w:pPr>
      <w:r w:rsidRPr="003E60FC">
        <w:rPr>
          <w:rFonts w:ascii="Arial" w:hAnsi="Arial" w:cs="Arial"/>
          <w:color w:val="808080" w:themeColor="background1" w:themeShade="80"/>
          <w:sz w:val="22"/>
          <w:szCs w:val="22"/>
        </w:rPr>
        <w:t>The IRDA also  introduces a new statutory defence (Section 239(2)) which allows the Singapore Court to relieve the person declared responsible from the personal liability if: (a) the person acted honestly; and (b) having regard to all the circumstances of the case, the person ought fairly to be relieved from personal liability.</w:t>
      </w: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09AA614E" w14:textId="77777777" w:rsidR="006A1DF6" w:rsidRDefault="006A1DF6" w:rsidP="00384F62">
      <w:pPr>
        <w:jc w:val="both"/>
        <w:rPr>
          <w:rFonts w:ascii="Arial" w:hAnsi="Arial" w:cs="Arial"/>
          <w:sz w:val="22"/>
          <w:szCs w:val="22"/>
          <w:lang w:val="en-GB"/>
        </w:rPr>
      </w:pPr>
    </w:p>
    <w:p w14:paraId="1950C738" w14:textId="6907BFC5" w:rsidR="00962045" w:rsidRPr="00A00172" w:rsidRDefault="006A1DF6" w:rsidP="00A00172">
      <w:pPr>
        <w:jc w:val="both"/>
        <w:rPr>
          <w:rFonts w:ascii="Arial" w:hAnsi="Arial" w:cs="Arial"/>
          <w:color w:val="808080" w:themeColor="background1" w:themeShade="80"/>
          <w:sz w:val="22"/>
          <w:szCs w:val="22"/>
          <w:lang w:val="en-GB"/>
        </w:rPr>
      </w:pPr>
      <w:r w:rsidRPr="00A00172">
        <w:rPr>
          <w:rFonts w:ascii="Arial" w:hAnsi="Arial" w:cs="Arial"/>
          <w:color w:val="808080" w:themeColor="background1" w:themeShade="80"/>
          <w:sz w:val="22"/>
          <w:szCs w:val="22"/>
          <w:lang w:val="en-GB"/>
        </w:rPr>
        <w:t xml:space="preserve">The alternative to formal bankruptcy are Voluntary Arrangements and Debt Repayment Scheme.  </w:t>
      </w:r>
    </w:p>
    <w:p w14:paraId="77E8012A" w14:textId="77777777" w:rsidR="00A131C6" w:rsidRPr="00A00172" w:rsidRDefault="00A131C6" w:rsidP="00A00172">
      <w:pPr>
        <w:jc w:val="both"/>
        <w:rPr>
          <w:rFonts w:ascii="Arial" w:hAnsi="Arial" w:cs="Arial"/>
          <w:color w:val="808080" w:themeColor="background1" w:themeShade="80"/>
          <w:sz w:val="22"/>
          <w:szCs w:val="22"/>
          <w:shd w:val="clear" w:color="auto" w:fill="FFFFFF"/>
        </w:rPr>
      </w:pPr>
    </w:p>
    <w:p w14:paraId="3FF52A24" w14:textId="5E966C74" w:rsidR="00A131C6" w:rsidRPr="00A00172" w:rsidRDefault="00A131C6" w:rsidP="00A00172">
      <w:pPr>
        <w:jc w:val="both"/>
        <w:rPr>
          <w:rFonts w:ascii="Arial" w:hAnsi="Arial" w:cs="Arial"/>
          <w:color w:val="808080" w:themeColor="background1" w:themeShade="80"/>
          <w:sz w:val="22"/>
          <w:szCs w:val="22"/>
          <w:lang w:val="en-GB"/>
        </w:rPr>
      </w:pPr>
      <w:r w:rsidRPr="00A00172">
        <w:rPr>
          <w:rFonts w:ascii="Arial" w:hAnsi="Arial" w:cs="Arial"/>
          <w:color w:val="808080" w:themeColor="background1" w:themeShade="80"/>
          <w:sz w:val="22"/>
          <w:szCs w:val="22"/>
          <w:lang w:val="en-GB"/>
        </w:rPr>
        <w:t>The Voluntary Arrangements is a negotiated formal debt settlement under Part 13 of the Insolvency, Restructuring and Dissolution  Act 208. The debtor discloses his assets and liabilities, and makes a proposal on how he intends to settle his debts with various creditors. If the proposal is accepted by the creditors and implemented successfully, it will benefit both the debtor and his creditors. </w:t>
      </w:r>
    </w:p>
    <w:p w14:paraId="750FFAE4" w14:textId="6036C998" w:rsidR="005024A2" w:rsidRPr="00A00172" w:rsidRDefault="005024A2" w:rsidP="00A00172">
      <w:pPr>
        <w:pStyle w:val="NormalWeb"/>
        <w:jc w:val="both"/>
        <w:rPr>
          <w:rFonts w:ascii="Arial" w:hAnsi="Arial" w:cs="Arial"/>
          <w:color w:val="808080" w:themeColor="background1" w:themeShade="80"/>
          <w:sz w:val="22"/>
          <w:szCs w:val="22"/>
          <w:lang w:val="en-GB"/>
        </w:rPr>
      </w:pPr>
      <w:r w:rsidRPr="00A00172">
        <w:rPr>
          <w:rFonts w:ascii="Arial" w:hAnsi="Arial" w:cs="Arial"/>
          <w:color w:val="808080" w:themeColor="background1" w:themeShade="80"/>
          <w:sz w:val="22"/>
          <w:szCs w:val="22"/>
          <w:lang w:val="en-GB"/>
        </w:rPr>
        <w:t>A Voluntary Arrangement is a formal arrangement made between a debtor and his creditors for the satisfaction of its debts overseen by a nominee.</w:t>
      </w:r>
    </w:p>
    <w:p w14:paraId="287B4AB5" w14:textId="2CB97625" w:rsidR="003608F9" w:rsidRPr="00A00172" w:rsidRDefault="003608F9" w:rsidP="00A00172">
      <w:pPr>
        <w:pStyle w:val="NormalWeb"/>
        <w:jc w:val="both"/>
        <w:rPr>
          <w:rFonts w:ascii="Arial" w:hAnsi="Arial" w:cs="Arial"/>
          <w:b/>
          <w:bCs/>
          <w:color w:val="808080" w:themeColor="background1" w:themeShade="80"/>
          <w:sz w:val="22"/>
          <w:szCs w:val="22"/>
        </w:rPr>
      </w:pPr>
      <w:r w:rsidRPr="00A00172">
        <w:rPr>
          <w:rFonts w:ascii="Arial" w:hAnsi="Arial" w:cs="Arial"/>
          <w:b/>
          <w:bCs/>
          <w:color w:val="808080" w:themeColor="background1" w:themeShade="80"/>
          <w:sz w:val="22"/>
          <w:szCs w:val="22"/>
        </w:rPr>
        <w:t>Nominees</w:t>
      </w:r>
    </w:p>
    <w:p w14:paraId="71377EE3" w14:textId="7607E8CF" w:rsidR="006A1DF6" w:rsidRPr="00A00172" w:rsidRDefault="00FA2182" w:rsidP="00A00172">
      <w:pPr>
        <w:pStyle w:val="NormalWeb"/>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The </w:t>
      </w:r>
      <w:r w:rsidRPr="00A00172">
        <w:rPr>
          <w:rFonts w:ascii="Arial" w:hAnsi="Arial" w:cs="Arial"/>
          <w:color w:val="808080" w:themeColor="background1" w:themeShade="80"/>
          <w:sz w:val="22"/>
          <w:szCs w:val="22"/>
          <w:lang w:val="en-GB"/>
        </w:rPr>
        <w:t xml:space="preserve">Voluntary Arrangements is </w:t>
      </w:r>
      <w:r w:rsidRPr="00A00172">
        <w:rPr>
          <w:rFonts w:ascii="Arial" w:hAnsi="Arial" w:cs="Arial"/>
          <w:color w:val="808080" w:themeColor="background1" w:themeShade="80"/>
          <w:sz w:val="22"/>
          <w:szCs w:val="22"/>
        </w:rPr>
        <w:t xml:space="preserve">overseen by a nominee appointed by the </w:t>
      </w:r>
      <w:r w:rsidR="005024A2" w:rsidRPr="00A00172">
        <w:rPr>
          <w:rFonts w:ascii="Arial" w:hAnsi="Arial" w:cs="Arial"/>
          <w:color w:val="808080" w:themeColor="background1" w:themeShade="80"/>
          <w:sz w:val="22"/>
          <w:szCs w:val="22"/>
        </w:rPr>
        <w:t>as part of any proposal for a Voluntary Arrangement.</w:t>
      </w:r>
      <w:r w:rsidR="006A1DF6" w:rsidRPr="00A00172">
        <w:rPr>
          <w:rFonts w:ascii="Arial" w:hAnsi="Arial" w:cs="Arial"/>
          <w:color w:val="808080" w:themeColor="background1" w:themeShade="80"/>
          <w:sz w:val="22"/>
          <w:szCs w:val="22"/>
        </w:rPr>
        <w:t xml:space="preserve"> The nominee must be a licensed insolvency practitioner.  </w:t>
      </w:r>
    </w:p>
    <w:p w14:paraId="37AAC912" w14:textId="5B83D953" w:rsidR="00D43EB7" w:rsidRPr="00A00172" w:rsidRDefault="00D43EB7" w:rsidP="00A00172">
      <w:pPr>
        <w:pStyle w:val="NormalWeb"/>
        <w:jc w:val="both"/>
        <w:rPr>
          <w:rFonts w:ascii="Arial" w:hAnsi="Arial" w:cs="Arial"/>
          <w:b/>
          <w:bCs/>
          <w:color w:val="808080" w:themeColor="background1" w:themeShade="80"/>
          <w:sz w:val="22"/>
          <w:szCs w:val="22"/>
        </w:rPr>
      </w:pPr>
      <w:r w:rsidRPr="00A00172">
        <w:rPr>
          <w:rFonts w:ascii="Arial" w:hAnsi="Arial" w:cs="Arial"/>
          <w:b/>
          <w:bCs/>
          <w:color w:val="808080" w:themeColor="background1" w:themeShade="80"/>
          <w:sz w:val="22"/>
          <w:szCs w:val="22"/>
        </w:rPr>
        <w:t>Interim order of Court</w:t>
      </w:r>
    </w:p>
    <w:p w14:paraId="363A1308" w14:textId="057332EB" w:rsidR="005024A2" w:rsidRPr="00A00172" w:rsidRDefault="00F300EF" w:rsidP="00A00172">
      <w:pPr>
        <w:pStyle w:val="NormalWeb"/>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The insolvent debtor may make an application to court if they </w:t>
      </w:r>
      <w:r w:rsidR="005024A2" w:rsidRPr="00A00172">
        <w:rPr>
          <w:rFonts w:ascii="Arial" w:hAnsi="Arial" w:cs="Arial"/>
          <w:color w:val="808080" w:themeColor="background1" w:themeShade="80"/>
          <w:sz w:val="22"/>
          <w:szCs w:val="22"/>
        </w:rPr>
        <w:t xml:space="preserve">intends to make such a proposal to its creditors, </w:t>
      </w:r>
      <w:r w:rsidRPr="00A00172">
        <w:rPr>
          <w:rFonts w:ascii="Arial" w:hAnsi="Arial" w:cs="Arial"/>
          <w:color w:val="808080" w:themeColor="background1" w:themeShade="80"/>
          <w:sz w:val="22"/>
          <w:szCs w:val="22"/>
        </w:rPr>
        <w:t xml:space="preserve">for </w:t>
      </w:r>
      <w:r w:rsidR="005024A2" w:rsidRPr="00A00172">
        <w:rPr>
          <w:rFonts w:ascii="Arial" w:hAnsi="Arial" w:cs="Arial"/>
          <w:color w:val="808080" w:themeColor="background1" w:themeShade="80"/>
          <w:sz w:val="22"/>
          <w:szCs w:val="22"/>
        </w:rPr>
        <w:t xml:space="preserve">an interim moratorium order pursuant to which: </w:t>
      </w:r>
    </w:p>
    <w:p w14:paraId="6CF8EA61" w14:textId="77777777" w:rsidR="005024A2" w:rsidRPr="00A00172" w:rsidRDefault="005024A2" w:rsidP="00A00172">
      <w:pPr>
        <w:pStyle w:val="NormalWeb"/>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(a) no bankruptcy application may be made or proceeded with against the debtor; and </w:t>
      </w:r>
    </w:p>
    <w:p w14:paraId="244473B1" w14:textId="77777777" w:rsidR="005024A2" w:rsidRPr="00A00172" w:rsidRDefault="005024A2" w:rsidP="00A00172">
      <w:pPr>
        <w:pStyle w:val="NormalWeb"/>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(b) no other proceedings, execution or other legal process may be commenced or continued against the person or property of the debtor without the leave of the court; and </w:t>
      </w:r>
    </w:p>
    <w:p w14:paraId="711708DE" w14:textId="77777777" w:rsidR="005024A2" w:rsidRPr="00A00172" w:rsidRDefault="005024A2" w:rsidP="00A00172">
      <w:pPr>
        <w:pStyle w:val="NormalWeb"/>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(c) where the interim order is in respect of a firm — </w:t>
      </w:r>
    </w:p>
    <w:p w14:paraId="1BBC1600" w14:textId="77777777" w:rsidR="005024A2" w:rsidRPr="00A00172" w:rsidRDefault="005024A2" w:rsidP="00A00172">
      <w:pPr>
        <w:pStyle w:val="NormalWeb"/>
        <w:numPr>
          <w:ilvl w:val="0"/>
          <w:numId w:val="15"/>
        </w:num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(i)  no bankruptcy application may be made or proceeded with against the firm or, except with the leave of the court, any partner therein; and </w:t>
      </w:r>
    </w:p>
    <w:p w14:paraId="19A4C077" w14:textId="77777777" w:rsidR="005024A2" w:rsidRPr="00A00172" w:rsidRDefault="005024A2" w:rsidP="00A00172">
      <w:pPr>
        <w:pStyle w:val="NormalWeb"/>
        <w:numPr>
          <w:ilvl w:val="0"/>
          <w:numId w:val="15"/>
        </w:num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lastRenderedPageBreak/>
        <w:t>(ii)  no other proceedings, execution or other legal process may be commenced or continued against the firm or its property or against the person or property of any partner in the firm, without the leave of the court.</w:t>
      </w:r>
      <w:r w:rsidRPr="00A00172">
        <w:rPr>
          <w:rFonts w:ascii="Arial" w:hAnsi="Arial" w:cs="Arial"/>
          <w:color w:val="808080" w:themeColor="background1" w:themeShade="80"/>
          <w:position w:val="8"/>
          <w:sz w:val="22"/>
          <w:szCs w:val="22"/>
        </w:rPr>
        <w:t xml:space="preserve">40 </w:t>
      </w:r>
    </w:p>
    <w:p w14:paraId="6D0C2423" w14:textId="72AD1B94" w:rsidR="003608F9" w:rsidRPr="00A00172" w:rsidRDefault="003608F9" w:rsidP="00A00172">
      <w:pPr>
        <w:pStyle w:val="NormalWeb"/>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The interim order is in effect for 42 days from the making of the order. </w:t>
      </w:r>
    </w:p>
    <w:p w14:paraId="3F12B7BE" w14:textId="10E7C85C" w:rsidR="003608F9" w:rsidRPr="00A00172" w:rsidRDefault="003608F9" w:rsidP="00A00172">
      <w:pPr>
        <w:pStyle w:val="NormalWeb"/>
        <w:jc w:val="both"/>
        <w:rPr>
          <w:rFonts w:ascii="Arial" w:hAnsi="Arial" w:cs="Arial"/>
          <w:b/>
          <w:bCs/>
          <w:color w:val="808080" w:themeColor="background1" w:themeShade="80"/>
          <w:sz w:val="22"/>
          <w:szCs w:val="22"/>
        </w:rPr>
      </w:pPr>
      <w:r w:rsidRPr="00A00172">
        <w:rPr>
          <w:rFonts w:ascii="Arial" w:hAnsi="Arial" w:cs="Arial"/>
          <w:b/>
          <w:bCs/>
          <w:color w:val="808080" w:themeColor="background1" w:themeShade="80"/>
          <w:sz w:val="22"/>
          <w:szCs w:val="22"/>
        </w:rPr>
        <w:t>Nominee’s report on debtor’s proposal</w:t>
      </w:r>
    </w:p>
    <w:p w14:paraId="56AE41EB" w14:textId="0981C0F5" w:rsidR="00DE2AD9" w:rsidRPr="00A00172" w:rsidRDefault="00DE2AD9" w:rsidP="00A00172">
      <w:pPr>
        <w:pStyle w:val="NormalWeb"/>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The debtor must submit to the nominee the following document to enable the nominee prepare the report to the court pursuant to section 280: </w:t>
      </w:r>
    </w:p>
    <w:p w14:paraId="51D43A24" w14:textId="13881A3E" w:rsidR="00783A99" w:rsidRPr="00A00172" w:rsidRDefault="00783A99" w:rsidP="00A00172">
      <w:pPr>
        <w:pStyle w:val="NormalWeb"/>
        <w:numPr>
          <w:ilvl w:val="0"/>
          <w:numId w:val="30"/>
        </w:num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a document setting out the terms of the voluntary arrangement which the debtor is proposing; and </w:t>
      </w:r>
    </w:p>
    <w:p w14:paraId="0A556B06" w14:textId="5B1587F1" w:rsidR="00783A99" w:rsidRPr="00A00172" w:rsidRDefault="00783A99" w:rsidP="00A00172">
      <w:pPr>
        <w:pStyle w:val="NormalWeb"/>
        <w:numPr>
          <w:ilvl w:val="0"/>
          <w:numId w:val="30"/>
        </w:num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a statement of the debtor’s affairs containing </w:t>
      </w:r>
    </w:p>
    <w:p w14:paraId="640D1738" w14:textId="1CA1472A" w:rsidR="00783A99" w:rsidRPr="00A00172" w:rsidRDefault="00783A99" w:rsidP="00A00172">
      <w:pPr>
        <w:pStyle w:val="NormalWeb"/>
        <w:numPr>
          <w:ilvl w:val="0"/>
          <w:numId w:val="31"/>
        </w:num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where the debtor is an individual, such particulars of his or her assets, creditors, debts and other liabilities as may be prescribed</w:t>
      </w:r>
    </w:p>
    <w:p w14:paraId="6CAC717B" w14:textId="44B42CDE" w:rsidR="00783A99" w:rsidRPr="00A00172" w:rsidRDefault="00783A99" w:rsidP="00A00172">
      <w:pPr>
        <w:pStyle w:val="NormalWeb"/>
        <w:numPr>
          <w:ilvl w:val="0"/>
          <w:numId w:val="31"/>
        </w:num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where the debtor is a firm, such particulars of the assets, creditors, debts and other liabilities of the firm and of each partner in the firm, as may be prescribed; and</w:t>
      </w:r>
    </w:p>
    <w:p w14:paraId="79110648" w14:textId="011E03C2" w:rsidR="00DE2AD9" w:rsidRPr="00A00172" w:rsidRDefault="00783A99" w:rsidP="00A00172">
      <w:pPr>
        <w:pStyle w:val="NormalWeb"/>
        <w:numPr>
          <w:ilvl w:val="0"/>
          <w:numId w:val="31"/>
        </w:num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such other information as may be prescribed</w:t>
      </w:r>
    </w:p>
    <w:p w14:paraId="4DD23FDD" w14:textId="77777777" w:rsidR="00B07F8D" w:rsidRPr="00A00172" w:rsidRDefault="00DE2AD9" w:rsidP="00A00172">
      <w:pPr>
        <w:pStyle w:val="NormalWeb"/>
        <w:jc w:val="both"/>
        <w:rPr>
          <w:rFonts w:ascii="Arial" w:hAnsi="Arial" w:cs="Arial"/>
          <w:color w:val="808080" w:themeColor="background1" w:themeShade="80"/>
          <w:position w:val="8"/>
          <w:sz w:val="22"/>
          <w:szCs w:val="22"/>
          <w:lang w:eastAsia="ja-JP"/>
        </w:rPr>
      </w:pPr>
      <w:r w:rsidRPr="00A00172">
        <w:rPr>
          <w:rFonts w:ascii="Arial" w:hAnsi="Arial" w:cs="Arial"/>
          <w:color w:val="808080" w:themeColor="background1" w:themeShade="80"/>
          <w:sz w:val="22"/>
          <w:szCs w:val="22"/>
        </w:rPr>
        <w:t xml:space="preserve">The </w:t>
      </w:r>
      <w:r w:rsidR="005024A2" w:rsidRPr="00A00172">
        <w:rPr>
          <w:rFonts w:ascii="Arial" w:hAnsi="Arial" w:cs="Arial"/>
          <w:color w:val="808080" w:themeColor="background1" w:themeShade="80"/>
          <w:sz w:val="22"/>
          <w:szCs w:val="22"/>
        </w:rPr>
        <w:t xml:space="preserve">nominee </w:t>
      </w:r>
      <w:r w:rsidRPr="00A00172">
        <w:rPr>
          <w:rFonts w:ascii="Arial" w:hAnsi="Arial" w:cs="Arial"/>
          <w:color w:val="808080" w:themeColor="background1" w:themeShade="80"/>
          <w:sz w:val="22"/>
          <w:szCs w:val="22"/>
        </w:rPr>
        <w:t xml:space="preserve">upon pursing the documents provided by the debtors, </w:t>
      </w:r>
      <w:r w:rsidR="005024A2" w:rsidRPr="00A00172">
        <w:rPr>
          <w:rFonts w:ascii="Arial" w:hAnsi="Arial" w:cs="Arial"/>
          <w:color w:val="808080" w:themeColor="background1" w:themeShade="80"/>
          <w:sz w:val="22"/>
          <w:szCs w:val="22"/>
        </w:rPr>
        <w:t xml:space="preserve">must submit a report to the Court </w:t>
      </w:r>
      <w:r w:rsidRPr="00A00172">
        <w:rPr>
          <w:rFonts w:ascii="Arial" w:hAnsi="Arial" w:cs="Arial"/>
          <w:color w:val="808080" w:themeColor="background1" w:themeShade="80"/>
          <w:sz w:val="22"/>
          <w:szCs w:val="22"/>
        </w:rPr>
        <w:t>before the expiry of the 42 days stating</w:t>
      </w:r>
      <w:r w:rsidR="005024A2" w:rsidRPr="00A00172">
        <w:rPr>
          <w:rFonts w:ascii="Arial" w:hAnsi="Arial" w:cs="Arial"/>
          <w:color w:val="808080" w:themeColor="background1" w:themeShade="80"/>
          <w:sz w:val="22"/>
          <w:szCs w:val="22"/>
        </w:rPr>
        <w:t xml:space="preserve"> whether in his opinion, a meeting of the debtor’s creditors should be summoned and if </w:t>
      </w:r>
      <w:r w:rsidR="005024A2" w:rsidRPr="00A00172">
        <w:rPr>
          <w:rFonts w:ascii="Arial" w:hAnsi="Arial" w:cs="Arial"/>
          <w:color w:val="808080" w:themeColor="background1" w:themeShade="80"/>
          <w:sz w:val="22"/>
          <w:szCs w:val="22"/>
          <w:lang w:eastAsia="ja-JP"/>
        </w:rPr>
        <w:t>so, the date, time and place which the meeting should take place.</w:t>
      </w:r>
      <w:r w:rsidR="005024A2" w:rsidRPr="00A00172">
        <w:rPr>
          <w:rFonts w:ascii="Arial" w:hAnsi="Arial" w:cs="Arial"/>
          <w:color w:val="808080" w:themeColor="background1" w:themeShade="80"/>
          <w:position w:val="8"/>
          <w:sz w:val="22"/>
          <w:szCs w:val="22"/>
          <w:lang w:eastAsia="ja-JP"/>
        </w:rPr>
        <w:t xml:space="preserve"> </w:t>
      </w:r>
    </w:p>
    <w:p w14:paraId="5A81EFCB" w14:textId="13943CF9" w:rsidR="00145BB3" w:rsidRPr="00A00172" w:rsidRDefault="00B07F8D" w:rsidP="00A00172">
      <w:p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lang w:eastAsia="ja-JP"/>
        </w:rPr>
        <w:t xml:space="preserve">Once the court satisfied of the nominee’s report, the court shall </w:t>
      </w:r>
      <w:r w:rsidR="00145BB3" w:rsidRPr="00A00172">
        <w:rPr>
          <w:rFonts w:ascii="Arial" w:hAnsi="Arial" w:cs="Arial"/>
          <w:color w:val="808080" w:themeColor="background1" w:themeShade="80"/>
          <w:sz w:val="22"/>
          <w:szCs w:val="22"/>
          <w:lang w:eastAsia="ja-JP"/>
        </w:rPr>
        <w:t>direct the expended period of the in</w:t>
      </w:r>
      <w:r w:rsidR="00CA04D7" w:rsidRPr="00A00172">
        <w:rPr>
          <w:rFonts w:ascii="Arial" w:hAnsi="Arial" w:cs="Arial"/>
          <w:color w:val="808080" w:themeColor="background1" w:themeShade="80"/>
          <w:sz w:val="22"/>
          <w:szCs w:val="22"/>
          <w:lang w:eastAsia="ja-JP"/>
        </w:rPr>
        <w:t xml:space="preserve">terim order </w:t>
      </w:r>
      <w:r w:rsidR="00145BB3" w:rsidRPr="00A00172">
        <w:rPr>
          <w:rFonts w:ascii="Arial" w:hAnsi="Arial" w:cs="Arial"/>
          <w:color w:val="808080" w:themeColor="background1" w:themeShade="80"/>
          <w:sz w:val="22"/>
          <w:szCs w:val="22"/>
          <w:lang w:eastAsia="ja-JP"/>
        </w:rPr>
        <w:t xml:space="preserve">which the interim </w:t>
      </w:r>
      <w:r w:rsidR="00145BB3" w:rsidRPr="00A00172">
        <w:rPr>
          <w:rFonts w:ascii="Arial" w:hAnsi="Arial" w:cs="Arial"/>
          <w:color w:val="808080" w:themeColor="background1" w:themeShade="80"/>
          <w:sz w:val="22"/>
          <w:szCs w:val="22"/>
          <w:shd w:val="clear" w:color="auto" w:fill="FFFFFF"/>
        </w:rPr>
        <w:t>order has effect for the purposes of enabling the debtor’s proposal to be considered by the debtor’s creditors, and the nominee to report to the Court the results of the meeting of the debtor’s creditors, in accordance with sections 281 to 283.</w:t>
      </w:r>
    </w:p>
    <w:p w14:paraId="0F7D4826" w14:textId="0D5AF8BF" w:rsidR="00145BB3" w:rsidRPr="00A00172" w:rsidRDefault="00145BB3" w:rsidP="00A00172">
      <w:pPr>
        <w:jc w:val="both"/>
        <w:rPr>
          <w:rFonts w:ascii="Arial" w:hAnsi="Arial" w:cs="Arial"/>
          <w:color w:val="808080" w:themeColor="background1" w:themeShade="80"/>
          <w:sz w:val="22"/>
          <w:szCs w:val="22"/>
        </w:rPr>
      </w:pPr>
    </w:p>
    <w:p w14:paraId="76056D7B" w14:textId="38F3DCC0" w:rsidR="00145BB3" w:rsidRPr="00A00172" w:rsidRDefault="00145BB3" w:rsidP="00A00172">
      <w:pPr>
        <w:jc w:val="both"/>
        <w:rPr>
          <w:rFonts w:ascii="Arial" w:hAnsi="Arial" w:cs="Arial"/>
          <w:b/>
          <w:bCs/>
          <w:color w:val="808080" w:themeColor="background1" w:themeShade="80"/>
          <w:sz w:val="22"/>
          <w:szCs w:val="22"/>
        </w:rPr>
      </w:pPr>
      <w:r w:rsidRPr="00A00172">
        <w:rPr>
          <w:rFonts w:ascii="Arial" w:hAnsi="Arial" w:cs="Arial"/>
          <w:b/>
          <w:bCs/>
          <w:color w:val="808080" w:themeColor="background1" w:themeShade="80"/>
          <w:sz w:val="22"/>
          <w:szCs w:val="22"/>
        </w:rPr>
        <w:t>Summoning of creditors’ meeting</w:t>
      </w:r>
    </w:p>
    <w:p w14:paraId="7E687661" w14:textId="084B24F9" w:rsidR="00CA04D7" w:rsidRPr="00A00172" w:rsidRDefault="00CA04D7" w:rsidP="00A00172">
      <w:pPr>
        <w:jc w:val="both"/>
        <w:rPr>
          <w:rFonts w:ascii="Arial" w:hAnsi="Arial" w:cs="Arial"/>
          <w:b/>
          <w:bCs/>
          <w:color w:val="808080" w:themeColor="background1" w:themeShade="80"/>
          <w:sz w:val="22"/>
          <w:szCs w:val="22"/>
        </w:rPr>
      </w:pPr>
    </w:p>
    <w:p w14:paraId="45D6250C" w14:textId="16AD4357" w:rsidR="00CA04D7" w:rsidRPr="00A00172" w:rsidRDefault="00CA04D7" w:rsidP="00A00172">
      <w:p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 xml:space="preserve">The nominees must summoned the debtor’s creditors meeting in accordance with the nominee’s report to the court. </w:t>
      </w:r>
    </w:p>
    <w:p w14:paraId="649EDF4C" w14:textId="77777777" w:rsidR="00CA04D7" w:rsidRPr="00A00172" w:rsidRDefault="00CA04D7" w:rsidP="00A00172">
      <w:pPr>
        <w:jc w:val="both"/>
        <w:rPr>
          <w:rFonts w:ascii="Arial" w:hAnsi="Arial" w:cs="Arial"/>
          <w:color w:val="808080" w:themeColor="background1" w:themeShade="80"/>
          <w:sz w:val="22"/>
          <w:szCs w:val="22"/>
        </w:rPr>
      </w:pPr>
    </w:p>
    <w:p w14:paraId="0FFD2265" w14:textId="33191747" w:rsidR="00CA04D7" w:rsidRPr="00A00172" w:rsidRDefault="00CA04D7" w:rsidP="00A00172">
      <w:pPr>
        <w:jc w:val="both"/>
        <w:rPr>
          <w:rFonts w:ascii="Arial" w:hAnsi="Arial" w:cs="Arial"/>
          <w:b/>
          <w:bCs/>
          <w:color w:val="808080" w:themeColor="background1" w:themeShade="80"/>
          <w:sz w:val="22"/>
          <w:szCs w:val="22"/>
        </w:rPr>
      </w:pPr>
      <w:r w:rsidRPr="00A00172">
        <w:rPr>
          <w:rFonts w:ascii="Arial" w:hAnsi="Arial" w:cs="Arial"/>
          <w:b/>
          <w:bCs/>
          <w:color w:val="808080" w:themeColor="background1" w:themeShade="80"/>
          <w:sz w:val="22"/>
          <w:szCs w:val="22"/>
        </w:rPr>
        <w:t>Decision of creditors meeting</w:t>
      </w:r>
    </w:p>
    <w:p w14:paraId="332EC5FA" w14:textId="6BC5CD4F" w:rsidR="00711A9D" w:rsidRPr="00A00172" w:rsidRDefault="005024A2" w:rsidP="00A00172">
      <w:pPr>
        <w:spacing w:before="100" w:beforeAutospacing="1" w:after="100" w:afterAutospacing="1"/>
        <w:jc w:val="both"/>
        <w:rPr>
          <w:rFonts w:ascii="Arial" w:hAnsi="Arial" w:cs="Arial"/>
          <w:color w:val="808080" w:themeColor="background1" w:themeShade="80"/>
          <w:sz w:val="22"/>
          <w:szCs w:val="22"/>
          <w:lang w:eastAsia="ja-JP"/>
        </w:rPr>
      </w:pPr>
      <w:r w:rsidRPr="00A00172">
        <w:rPr>
          <w:rFonts w:ascii="Arial" w:hAnsi="Arial" w:cs="Arial"/>
          <w:color w:val="808080" w:themeColor="background1" w:themeShade="80"/>
          <w:sz w:val="22"/>
          <w:szCs w:val="22"/>
          <w:lang w:eastAsia="ja-JP"/>
        </w:rPr>
        <w:t xml:space="preserve">The </w:t>
      </w:r>
      <w:r w:rsidR="00CA04D7" w:rsidRPr="00A00172">
        <w:rPr>
          <w:rFonts w:ascii="Arial" w:hAnsi="Arial" w:cs="Arial"/>
          <w:color w:val="808080" w:themeColor="background1" w:themeShade="80"/>
          <w:sz w:val="22"/>
          <w:szCs w:val="22"/>
          <w:lang w:eastAsia="ja-JP"/>
        </w:rPr>
        <w:t xml:space="preserve">proposal </w:t>
      </w:r>
      <w:r w:rsidR="0075157B" w:rsidRPr="00A00172">
        <w:rPr>
          <w:rFonts w:ascii="Arial" w:hAnsi="Arial" w:cs="Arial"/>
          <w:color w:val="808080" w:themeColor="background1" w:themeShade="80"/>
          <w:sz w:val="22"/>
          <w:szCs w:val="22"/>
          <w:lang w:eastAsia="ja-JP"/>
        </w:rPr>
        <w:t xml:space="preserve">at the creditors meeting shall be approved by </w:t>
      </w:r>
      <w:r w:rsidR="00711A9D" w:rsidRPr="00A00172">
        <w:rPr>
          <w:rFonts w:ascii="Arial" w:hAnsi="Arial" w:cs="Arial"/>
          <w:color w:val="808080" w:themeColor="background1" w:themeShade="80"/>
          <w:sz w:val="22"/>
          <w:szCs w:val="22"/>
          <w:lang w:eastAsia="ja-JP"/>
        </w:rPr>
        <w:t xml:space="preserve">a </w:t>
      </w:r>
      <w:r w:rsidR="0075157B" w:rsidRPr="00A00172">
        <w:rPr>
          <w:rFonts w:ascii="Arial" w:hAnsi="Arial" w:cs="Arial"/>
          <w:color w:val="808080" w:themeColor="background1" w:themeShade="80"/>
          <w:sz w:val="22"/>
          <w:szCs w:val="22"/>
          <w:lang w:eastAsia="ja-JP"/>
        </w:rPr>
        <w:t xml:space="preserve">special resolution </w:t>
      </w:r>
      <w:r w:rsidR="00711A9D" w:rsidRPr="00A00172">
        <w:rPr>
          <w:rFonts w:ascii="Arial" w:hAnsi="Arial" w:cs="Arial"/>
          <w:color w:val="808080" w:themeColor="background1" w:themeShade="80"/>
          <w:sz w:val="22"/>
          <w:szCs w:val="22"/>
          <w:lang w:eastAsia="ja-JP"/>
        </w:rPr>
        <w:t xml:space="preserve">by the creditors at the creditors meeting. The proposal shall not bind the secured creditors without the secured creditors consent.  </w:t>
      </w:r>
    </w:p>
    <w:p w14:paraId="4FBE0397" w14:textId="39543C2C" w:rsidR="00711A9D" w:rsidRPr="00A00172" w:rsidRDefault="00711A9D" w:rsidP="00A00172">
      <w:pPr>
        <w:spacing w:before="100" w:beforeAutospacing="1" w:after="100" w:afterAutospacing="1"/>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lang w:eastAsia="ja-JP"/>
        </w:rPr>
        <w:t>The cre</w:t>
      </w:r>
      <w:r w:rsidR="00D948D3" w:rsidRPr="00A00172">
        <w:rPr>
          <w:rFonts w:ascii="Arial" w:hAnsi="Arial" w:cs="Arial"/>
          <w:color w:val="808080" w:themeColor="background1" w:themeShade="80"/>
          <w:sz w:val="22"/>
          <w:szCs w:val="22"/>
          <w:lang w:eastAsia="ja-JP"/>
        </w:rPr>
        <w:t>di</w:t>
      </w:r>
      <w:r w:rsidRPr="00A00172">
        <w:rPr>
          <w:rFonts w:ascii="Arial" w:hAnsi="Arial" w:cs="Arial"/>
          <w:color w:val="808080" w:themeColor="background1" w:themeShade="80"/>
          <w:sz w:val="22"/>
          <w:szCs w:val="22"/>
          <w:lang w:eastAsia="ja-JP"/>
        </w:rPr>
        <w:t xml:space="preserve">tors </w:t>
      </w:r>
      <w:r w:rsidRPr="00A00172">
        <w:rPr>
          <w:rFonts w:ascii="Arial" w:hAnsi="Arial" w:cs="Arial"/>
          <w:color w:val="808080" w:themeColor="background1" w:themeShade="80"/>
          <w:sz w:val="22"/>
          <w:szCs w:val="22"/>
        </w:rPr>
        <w:t>must not approve any proposal which affects the right of a secured creditor of the debtor to enforce the secured creditor’s security, except with the concurrence of the secured creditor</w:t>
      </w:r>
    </w:p>
    <w:p w14:paraId="5998C063" w14:textId="087F1E0F" w:rsidR="00D948D3" w:rsidRPr="00A00172" w:rsidRDefault="00D948D3" w:rsidP="00A00172">
      <w:pPr>
        <w:spacing w:before="100" w:beforeAutospacing="1" w:after="100" w:afterAutospacing="1"/>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The creditors also must not approve any proposal or any modification to the proposal which affects the right of a secured creditor of the debtor to enforce the secured creditor’s security, except with the concurrence of the secured</w:t>
      </w:r>
      <w:bookmarkStart w:id="0" w:name="pr282-ps6-"/>
      <w:bookmarkEnd w:id="0"/>
    </w:p>
    <w:p w14:paraId="41384533" w14:textId="7AE6B6AA" w:rsidR="00D948D3" w:rsidRPr="00A00172" w:rsidRDefault="00D948D3" w:rsidP="00A00172">
      <w:pPr>
        <w:ind w:firstLine="288"/>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The creditors’ meeting must not, without the concurrence of the preferential creditor in question, approve any proposal or any modification of the proposal under which —</w:t>
      </w:r>
    </w:p>
    <w:p w14:paraId="705E6A83" w14:textId="043343AF" w:rsidR="00F218C9" w:rsidRPr="00A00172" w:rsidRDefault="00F218C9" w:rsidP="00A00172">
      <w:pPr>
        <w:pStyle w:val="ListParagraph"/>
        <w:numPr>
          <w:ilvl w:val="0"/>
          <w:numId w:val="29"/>
        </w:num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lastRenderedPageBreak/>
        <w:t>any debt of the debtor, not being a preferential debt, is to be paid in priority to any preferential debt of the debtor;</w:t>
      </w:r>
    </w:p>
    <w:p w14:paraId="3DB855CF" w14:textId="01598C04" w:rsidR="00F218C9" w:rsidRPr="00A00172" w:rsidRDefault="00F218C9" w:rsidP="00A00172">
      <w:pPr>
        <w:pStyle w:val="ListParagraph"/>
        <w:numPr>
          <w:ilvl w:val="0"/>
          <w:numId w:val="29"/>
        </w:numPr>
        <w:jc w:val="both"/>
        <w:rPr>
          <w:rFonts w:ascii="Arial" w:hAnsi="Arial" w:cs="Arial"/>
          <w:color w:val="808080" w:themeColor="background1" w:themeShade="80"/>
          <w:sz w:val="22"/>
          <w:szCs w:val="22"/>
        </w:rPr>
      </w:pPr>
      <w:r w:rsidRPr="00A00172">
        <w:rPr>
          <w:rFonts w:ascii="Arial" w:hAnsi="Arial" w:cs="Arial"/>
          <w:color w:val="808080" w:themeColor="background1" w:themeShade="80"/>
          <w:sz w:val="22"/>
          <w:szCs w:val="22"/>
        </w:rPr>
        <w:t>the priority of payment of any preferential debt of the debtor, in relation to any other preferential debt of the debtor, is not in accordance with section 352</w:t>
      </w:r>
    </w:p>
    <w:p w14:paraId="3310C4F9" w14:textId="77777777" w:rsidR="00F218C9" w:rsidRPr="00A00172" w:rsidRDefault="00F218C9" w:rsidP="00A00172">
      <w:pPr>
        <w:jc w:val="both"/>
        <w:rPr>
          <w:rFonts w:ascii="Arial" w:hAnsi="Arial" w:cs="Arial"/>
          <w:b/>
          <w:bCs/>
          <w:color w:val="808080" w:themeColor="background1" w:themeShade="80"/>
          <w:sz w:val="22"/>
          <w:szCs w:val="22"/>
          <w:shd w:val="clear" w:color="auto" w:fill="FFFFFF"/>
        </w:rPr>
      </w:pPr>
    </w:p>
    <w:p w14:paraId="37F36A66" w14:textId="7F106572" w:rsidR="00F218C9" w:rsidRPr="00A00172" w:rsidRDefault="00F218C9" w:rsidP="00A00172">
      <w:pPr>
        <w:jc w:val="both"/>
        <w:rPr>
          <w:rFonts w:ascii="Arial" w:hAnsi="Arial" w:cs="Arial"/>
          <w:b/>
          <w:bCs/>
          <w:color w:val="808080" w:themeColor="background1" w:themeShade="80"/>
          <w:sz w:val="22"/>
          <w:szCs w:val="22"/>
          <w:lang w:eastAsia="ja-JP"/>
        </w:rPr>
      </w:pPr>
      <w:r w:rsidRPr="00A00172">
        <w:rPr>
          <w:rFonts w:ascii="Arial" w:hAnsi="Arial" w:cs="Arial"/>
          <w:b/>
          <w:bCs/>
          <w:color w:val="808080" w:themeColor="background1" w:themeShade="80"/>
          <w:sz w:val="22"/>
          <w:szCs w:val="22"/>
          <w:lang w:eastAsia="ja-JP"/>
        </w:rPr>
        <w:t>Report of decisions to Court</w:t>
      </w:r>
    </w:p>
    <w:p w14:paraId="3F374E9E" w14:textId="2B25CEAA" w:rsidR="00F218C9" w:rsidRPr="00A00172" w:rsidRDefault="00F218C9" w:rsidP="00A00172">
      <w:pPr>
        <w:spacing w:before="100" w:beforeAutospacing="1" w:after="100" w:afterAutospacing="1"/>
        <w:jc w:val="both"/>
        <w:rPr>
          <w:rFonts w:ascii="Arial" w:hAnsi="Arial" w:cs="Arial"/>
          <w:color w:val="808080" w:themeColor="background1" w:themeShade="80"/>
          <w:sz w:val="22"/>
          <w:szCs w:val="22"/>
          <w:lang w:eastAsia="ja-JP"/>
        </w:rPr>
      </w:pPr>
      <w:r w:rsidRPr="00A00172">
        <w:rPr>
          <w:rFonts w:ascii="Arial" w:hAnsi="Arial" w:cs="Arial"/>
          <w:color w:val="808080" w:themeColor="background1" w:themeShade="80"/>
          <w:sz w:val="22"/>
          <w:szCs w:val="22"/>
          <w:lang w:eastAsia="ja-JP"/>
        </w:rPr>
        <w:t xml:space="preserve">The result of meeting must be reported to the court and where the proposal is rejected at the meeting of creditors, the court may discharge the interim order. </w:t>
      </w:r>
    </w:p>
    <w:p w14:paraId="64760B2D" w14:textId="78C121D9" w:rsidR="00F218C9" w:rsidRPr="00A00172" w:rsidRDefault="00F218C9" w:rsidP="00A00172">
      <w:pPr>
        <w:spacing w:before="100" w:beforeAutospacing="1" w:after="100" w:afterAutospacing="1"/>
        <w:jc w:val="both"/>
        <w:rPr>
          <w:rFonts w:ascii="Arial" w:hAnsi="Arial" w:cs="Arial"/>
          <w:b/>
          <w:bCs/>
          <w:color w:val="808080" w:themeColor="background1" w:themeShade="80"/>
          <w:sz w:val="22"/>
          <w:szCs w:val="22"/>
          <w:lang w:eastAsia="ja-JP"/>
        </w:rPr>
      </w:pPr>
      <w:r w:rsidRPr="00A00172">
        <w:rPr>
          <w:rFonts w:ascii="Arial" w:hAnsi="Arial" w:cs="Arial"/>
          <w:b/>
          <w:bCs/>
          <w:color w:val="808080" w:themeColor="background1" w:themeShade="80"/>
          <w:sz w:val="22"/>
          <w:szCs w:val="22"/>
          <w:lang w:eastAsia="ja-JP"/>
        </w:rPr>
        <w:t>Effect of the approval</w:t>
      </w:r>
    </w:p>
    <w:p w14:paraId="2C0C9A6C" w14:textId="7E613928" w:rsidR="005024A2" w:rsidRPr="00A00172" w:rsidRDefault="005024A2" w:rsidP="00A00172">
      <w:pPr>
        <w:spacing w:before="100" w:beforeAutospacing="1" w:after="100" w:afterAutospacing="1"/>
        <w:jc w:val="both"/>
        <w:rPr>
          <w:rFonts w:ascii="Arial" w:hAnsi="Arial" w:cs="Arial"/>
          <w:color w:val="808080" w:themeColor="background1" w:themeShade="80"/>
          <w:sz w:val="22"/>
          <w:szCs w:val="22"/>
          <w:lang w:eastAsia="ja-JP"/>
        </w:rPr>
      </w:pPr>
      <w:r w:rsidRPr="00A00172">
        <w:rPr>
          <w:rFonts w:ascii="Arial" w:hAnsi="Arial" w:cs="Arial"/>
          <w:color w:val="808080" w:themeColor="background1" w:themeShade="80"/>
          <w:sz w:val="22"/>
          <w:szCs w:val="22"/>
          <w:lang w:eastAsia="ja-JP"/>
        </w:rPr>
        <w:t xml:space="preserve">The </w:t>
      </w:r>
      <w:r w:rsidR="00F218C9" w:rsidRPr="00A00172">
        <w:rPr>
          <w:rFonts w:ascii="Arial" w:hAnsi="Arial" w:cs="Arial"/>
          <w:color w:val="808080" w:themeColor="background1" w:themeShade="80"/>
          <w:sz w:val="22"/>
          <w:szCs w:val="22"/>
          <w:lang w:eastAsia="ja-JP"/>
        </w:rPr>
        <w:t xml:space="preserve">proposed </w:t>
      </w:r>
      <w:r w:rsidRPr="00A00172">
        <w:rPr>
          <w:rFonts w:ascii="Arial" w:hAnsi="Arial" w:cs="Arial"/>
          <w:color w:val="808080" w:themeColor="background1" w:themeShade="80"/>
          <w:sz w:val="22"/>
          <w:szCs w:val="22"/>
          <w:lang w:eastAsia="ja-JP"/>
        </w:rPr>
        <w:t xml:space="preserve">Voluntary Arrangement, if approved by the requisite majority, </w:t>
      </w:r>
      <w:r w:rsidR="00F218C9" w:rsidRPr="00A00172">
        <w:rPr>
          <w:rFonts w:ascii="Arial" w:hAnsi="Arial" w:cs="Arial"/>
          <w:color w:val="808080" w:themeColor="background1" w:themeShade="80"/>
          <w:sz w:val="22"/>
          <w:szCs w:val="22"/>
          <w:lang w:eastAsia="ja-JP"/>
        </w:rPr>
        <w:t>will be</w:t>
      </w:r>
      <w:r w:rsidRPr="00A00172">
        <w:rPr>
          <w:rFonts w:ascii="Arial" w:hAnsi="Arial" w:cs="Arial"/>
          <w:color w:val="808080" w:themeColor="background1" w:themeShade="80"/>
          <w:sz w:val="22"/>
          <w:szCs w:val="22"/>
          <w:lang w:eastAsia="ja-JP"/>
        </w:rPr>
        <w:t xml:space="preserve"> bind </w:t>
      </w:r>
      <w:r w:rsidR="00F218C9" w:rsidRPr="00A00172">
        <w:rPr>
          <w:rFonts w:ascii="Arial" w:hAnsi="Arial" w:cs="Arial"/>
          <w:color w:val="808080" w:themeColor="background1" w:themeShade="80"/>
          <w:sz w:val="22"/>
          <w:szCs w:val="22"/>
          <w:lang w:eastAsia="ja-JP"/>
        </w:rPr>
        <w:t xml:space="preserve">on </w:t>
      </w:r>
      <w:r w:rsidRPr="00A00172">
        <w:rPr>
          <w:rFonts w:ascii="Arial" w:hAnsi="Arial" w:cs="Arial"/>
          <w:color w:val="808080" w:themeColor="background1" w:themeShade="80"/>
          <w:sz w:val="22"/>
          <w:szCs w:val="22"/>
          <w:lang w:eastAsia="ja-JP"/>
        </w:rPr>
        <w:t>all creditors who have had notice of and were entitled to vote at the meeting</w:t>
      </w:r>
      <w:r w:rsidR="001F7B52" w:rsidRPr="00A00172">
        <w:rPr>
          <w:rFonts w:ascii="Arial" w:hAnsi="Arial" w:cs="Arial"/>
          <w:color w:val="808080" w:themeColor="background1" w:themeShade="80"/>
          <w:sz w:val="22"/>
          <w:szCs w:val="22"/>
          <w:lang w:eastAsia="ja-JP"/>
        </w:rPr>
        <w:t xml:space="preserve"> and takes effect as if made by the debtor at the meeting</w:t>
      </w:r>
      <w:r w:rsidRPr="00A00172">
        <w:rPr>
          <w:rFonts w:ascii="Arial" w:hAnsi="Arial" w:cs="Arial"/>
          <w:color w:val="808080" w:themeColor="background1" w:themeShade="80"/>
          <w:sz w:val="22"/>
          <w:szCs w:val="22"/>
          <w:lang w:eastAsia="ja-JP"/>
        </w:rPr>
        <w:t>.</w:t>
      </w:r>
    </w:p>
    <w:p w14:paraId="3E715AF7" w14:textId="504F10FF" w:rsidR="001F7B52" w:rsidRPr="00A00172" w:rsidRDefault="001F7B52" w:rsidP="00A00172">
      <w:pPr>
        <w:spacing w:before="100" w:beforeAutospacing="1" w:after="100" w:afterAutospacing="1"/>
        <w:jc w:val="both"/>
        <w:rPr>
          <w:rFonts w:ascii="Arial" w:hAnsi="Arial" w:cs="Arial"/>
          <w:b/>
          <w:bCs/>
          <w:color w:val="808080" w:themeColor="background1" w:themeShade="80"/>
          <w:sz w:val="22"/>
          <w:szCs w:val="22"/>
          <w:lang w:eastAsia="ja-JP"/>
        </w:rPr>
      </w:pPr>
      <w:r w:rsidRPr="00A00172">
        <w:rPr>
          <w:rFonts w:ascii="Arial" w:hAnsi="Arial" w:cs="Arial"/>
          <w:b/>
          <w:bCs/>
          <w:color w:val="808080" w:themeColor="background1" w:themeShade="80"/>
          <w:sz w:val="22"/>
          <w:szCs w:val="22"/>
          <w:lang w:eastAsia="ja-JP"/>
        </w:rPr>
        <w:t>Review of decision of creditors meeting</w:t>
      </w:r>
    </w:p>
    <w:p w14:paraId="076EE35D" w14:textId="77777777" w:rsidR="001F7B52" w:rsidRPr="00A00172" w:rsidRDefault="001F7B52" w:rsidP="00A00172">
      <w:pPr>
        <w:jc w:val="both"/>
        <w:rPr>
          <w:rFonts w:ascii="Arial" w:hAnsi="Arial" w:cs="Arial"/>
          <w:color w:val="808080" w:themeColor="background1" w:themeShade="80"/>
          <w:sz w:val="22"/>
          <w:szCs w:val="22"/>
          <w:lang w:eastAsia="ja-JP"/>
        </w:rPr>
      </w:pPr>
      <w:r w:rsidRPr="00A00172">
        <w:rPr>
          <w:rFonts w:ascii="Arial" w:hAnsi="Arial" w:cs="Arial"/>
          <w:color w:val="808080" w:themeColor="background1" w:themeShade="80"/>
          <w:sz w:val="22"/>
          <w:szCs w:val="22"/>
          <w:lang w:eastAsia="ja-JP"/>
        </w:rPr>
        <w:t>Any debtor, nominee or the creditors entitled to vote at the creditors meeting may apply to court to review the decision of the meeting if the the voluntary arrangement approved by the meeting unfairly prejudices the interests of the debtor or any of the debtor’s creditors; or there has been some material irregularity at or in relation to the meeting</w:t>
      </w:r>
    </w:p>
    <w:p w14:paraId="3F270AFD" w14:textId="4415158A" w:rsidR="001F7B52" w:rsidRPr="00A00172" w:rsidRDefault="001F7B52" w:rsidP="00A00172">
      <w:pPr>
        <w:jc w:val="both"/>
        <w:rPr>
          <w:rFonts w:ascii="Arial" w:hAnsi="Arial" w:cs="Arial"/>
          <w:color w:val="808080" w:themeColor="background1" w:themeShade="80"/>
          <w:sz w:val="22"/>
          <w:szCs w:val="22"/>
          <w:lang w:eastAsia="ja-JP"/>
        </w:rPr>
      </w:pPr>
    </w:p>
    <w:p w14:paraId="78ABFD8B" w14:textId="77777777" w:rsidR="001F7B52" w:rsidRPr="00A00172" w:rsidRDefault="001F7B52" w:rsidP="00A00172">
      <w:pPr>
        <w:jc w:val="both"/>
        <w:rPr>
          <w:rFonts w:ascii="Arial" w:hAnsi="Arial" w:cs="Arial"/>
          <w:b/>
          <w:bCs/>
          <w:color w:val="808080" w:themeColor="background1" w:themeShade="80"/>
          <w:sz w:val="22"/>
          <w:szCs w:val="22"/>
          <w:lang w:eastAsia="ja-JP"/>
        </w:rPr>
      </w:pPr>
      <w:r w:rsidRPr="00A00172">
        <w:rPr>
          <w:rFonts w:ascii="Arial" w:hAnsi="Arial" w:cs="Arial"/>
          <w:b/>
          <w:bCs/>
          <w:color w:val="808080" w:themeColor="background1" w:themeShade="80"/>
          <w:sz w:val="22"/>
          <w:szCs w:val="22"/>
          <w:lang w:eastAsia="ja-JP"/>
        </w:rPr>
        <w:t>Implementation and supervision of approved voluntary arrangement</w:t>
      </w:r>
    </w:p>
    <w:p w14:paraId="044BDCCF" w14:textId="4F680181" w:rsidR="001F7B52" w:rsidRPr="00A00172" w:rsidRDefault="001F7B52" w:rsidP="00A00172">
      <w:pPr>
        <w:spacing w:before="100" w:beforeAutospacing="1" w:after="100" w:afterAutospacing="1"/>
        <w:jc w:val="both"/>
        <w:rPr>
          <w:rFonts w:ascii="Arial" w:hAnsi="Arial" w:cs="Arial"/>
          <w:color w:val="808080" w:themeColor="background1" w:themeShade="80"/>
          <w:sz w:val="22"/>
          <w:szCs w:val="22"/>
          <w:lang w:eastAsia="ja-JP"/>
        </w:rPr>
      </w:pPr>
      <w:r w:rsidRPr="00A00172">
        <w:rPr>
          <w:rFonts w:ascii="Arial" w:hAnsi="Arial" w:cs="Arial"/>
          <w:color w:val="808080" w:themeColor="background1" w:themeShade="80"/>
          <w:sz w:val="22"/>
          <w:szCs w:val="22"/>
          <w:lang w:eastAsia="ja-JP"/>
        </w:rPr>
        <w:t xml:space="preserve">The nominee must supervise the implementation of the voluntary arrangement once the voluntary arrangement is approved by </w:t>
      </w:r>
      <w:r w:rsidR="00783A99" w:rsidRPr="00A00172">
        <w:rPr>
          <w:rFonts w:ascii="Arial" w:hAnsi="Arial" w:cs="Arial"/>
          <w:color w:val="808080" w:themeColor="background1" w:themeShade="80"/>
          <w:sz w:val="22"/>
          <w:szCs w:val="22"/>
          <w:lang w:eastAsia="ja-JP"/>
        </w:rPr>
        <w:t xml:space="preserve">the creditors meeting. </w:t>
      </w:r>
    </w:p>
    <w:p w14:paraId="640E82B6" w14:textId="18E565C3" w:rsidR="00783A99" w:rsidRPr="00A00172" w:rsidRDefault="00783A99" w:rsidP="00A00172">
      <w:pPr>
        <w:jc w:val="both"/>
        <w:rPr>
          <w:rFonts w:ascii="Arial" w:hAnsi="Arial" w:cs="Arial"/>
          <w:b/>
          <w:bCs/>
          <w:color w:val="808080" w:themeColor="background1" w:themeShade="80"/>
          <w:sz w:val="22"/>
          <w:szCs w:val="22"/>
          <w:lang w:eastAsia="ja-JP"/>
        </w:rPr>
      </w:pPr>
      <w:r w:rsidRPr="00A00172">
        <w:rPr>
          <w:rFonts w:ascii="Arial" w:hAnsi="Arial" w:cs="Arial"/>
          <w:b/>
          <w:bCs/>
          <w:color w:val="808080" w:themeColor="background1" w:themeShade="80"/>
          <w:sz w:val="22"/>
          <w:szCs w:val="22"/>
          <w:lang w:eastAsia="ja-JP"/>
        </w:rPr>
        <w:t>Consequence of failure by debtor to comply with voluntary arrangement</w:t>
      </w:r>
    </w:p>
    <w:p w14:paraId="7A8CDA07" w14:textId="6D5E3DE4" w:rsidR="005024A2" w:rsidRPr="00A00172" w:rsidRDefault="005024A2" w:rsidP="00A00172">
      <w:pPr>
        <w:spacing w:before="100" w:beforeAutospacing="1" w:after="100" w:afterAutospacing="1"/>
        <w:jc w:val="both"/>
        <w:rPr>
          <w:color w:val="808080" w:themeColor="background1" w:themeShade="80"/>
          <w:lang w:eastAsia="ja-JP"/>
        </w:rPr>
      </w:pPr>
      <w:r w:rsidRPr="00A00172">
        <w:rPr>
          <w:rFonts w:ascii="Arial" w:hAnsi="Arial" w:cs="Arial"/>
          <w:color w:val="808080" w:themeColor="background1" w:themeShade="80"/>
          <w:sz w:val="22"/>
          <w:szCs w:val="22"/>
          <w:lang w:eastAsia="ja-JP"/>
        </w:rPr>
        <w:t>If, however, the debtor fails to comply with any of the obligations under the voluntary arrangement, the nominee or any creditor bound by the Voluntary Arrangement</w:t>
      </w:r>
      <w:r w:rsidRPr="005024A2">
        <w:rPr>
          <w:rFonts w:ascii="AvenirNext" w:hAnsi="AvenirNext"/>
          <w:sz w:val="22"/>
          <w:szCs w:val="22"/>
          <w:lang w:eastAsia="ja-JP"/>
        </w:rPr>
        <w:t xml:space="preserve"> </w:t>
      </w:r>
      <w:r w:rsidRPr="00A00172">
        <w:rPr>
          <w:rFonts w:ascii="AvenirNext" w:hAnsi="AvenirNext"/>
          <w:color w:val="808080" w:themeColor="background1" w:themeShade="80"/>
          <w:sz w:val="22"/>
          <w:szCs w:val="22"/>
          <w:lang w:eastAsia="ja-JP"/>
        </w:rPr>
        <w:t xml:space="preserve">may </w:t>
      </w:r>
      <w:r w:rsidR="00783A99" w:rsidRPr="00A00172">
        <w:rPr>
          <w:rFonts w:ascii="AvenirNext" w:hAnsi="AvenirNext"/>
          <w:color w:val="808080" w:themeColor="background1" w:themeShade="80"/>
          <w:sz w:val="22"/>
          <w:szCs w:val="22"/>
          <w:lang w:eastAsia="ja-JP"/>
        </w:rPr>
        <w:t>make</w:t>
      </w:r>
      <w:r w:rsidRPr="00A00172">
        <w:rPr>
          <w:rFonts w:ascii="AvenirNext" w:hAnsi="AvenirNext"/>
          <w:color w:val="808080" w:themeColor="background1" w:themeShade="80"/>
          <w:sz w:val="22"/>
          <w:szCs w:val="22"/>
          <w:lang w:eastAsia="ja-JP"/>
        </w:rPr>
        <w:t xml:space="preserve"> a bankruptcy application against the debtor</w:t>
      </w:r>
      <w:r w:rsidR="00783A99" w:rsidRPr="00A00172">
        <w:rPr>
          <w:rFonts w:ascii="AvenirNext" w:hAnsi="AvenirNext"/>
          <w:color w:val="808080" w:themeColor="background1" w:themeShade="80"/>
          <w:sz w:val="22"/>
          <w:szCs w:val="22"/>
          <w:lang w:eastAsia="ja-JP"/>
        </w:rPr>
        <w:t xml:space="preserve"> in accordance with Part 16</w:t>
      </w:r>
      <w:r w:rsidRPr="00A00172">
        <w:rPr>
          <w:rFonts w:ascii="AvenirNext" w:hAnsi="AvenirNext"/>
          <w:color w:val="808080" w:themeColor="background1" w:themeShade="80"/>
          <w:sz w:val="22"/>
          <w:szCs w:val="22"/>
          <w:lang w:eastAsia="ja-JP"/>
        </w:rPr>
        <w:t>.</w:t>
      </w:r>
    </w:p>
    <w:p w14:paraId="0F85A4BD" w14:textId="77777777" w:rsidR="0045683E" w:rsidRPr="005024A2" w:rsidRDefault="0045683E" w:rsidP="002A37BB">
      <w:pPr>
        <w:jc w:val="both"/>
        <w:rPr>
          <w:rFonts w:ascii="Arial" w:hAnsi="Arial" w:cs="Arial"/>
          <w:bCs/>
          <w:sz w:val="22"/>
          <w:szCs w:val="22"/>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1DA9F78" w14:textId="09B165CC" w:rsidR="001D63AE" w:rsidRPr="00310C44" w:rsidRDefault="001D63AE" w:rsidP="0096554C">
      <w:pPr>
        <w:pStyle w:val="NormalWeb"/>
        <w:jc w:val="both"/>
        <w:rPr>
          <w:rFonts w:ascii="Arial" w:hAnsi="Arial" w:cs="Arial"/>
          <w:color w:val="808080" w:themeColor="background1" w:themeShade="80"/>
          <w:sz w:val="22"/>
          <w:szCs w:val="22"/>
        </w:rPr>
      </w:pPr>
      <w:r w:rsidRPr="00310C44">
        <w:rPr>
          <w:rFonts w:ascii="Arial" w:hAnsi="Arial" w:cs="Arial"/>
          <w:b/>
          <w:bCs/>
          <w:color w:val="808080" w:themeColor="background1" w:themeShade="80"/>
          <w:sz w:val="22"/>
          <w:szCs w:val="22"/>
        </w:rPr>
        <w:t>1. Impeachable transactions</w:t>
      </w:r>
    </w:p>
    <w:p w14:paraId="5C72010B" w14:textId="41A4FF15" w:rsidR="00E47628" w:rsidRPr="0096554C" w:rsidRDefault="00E47628" w:rsidP="0096554C">
      <w:pPr>
        <w:pStyle w:val="NormalWeb"/>
        <w:jc w:val="both"/>
        <w:rPr>
          <w:rFonts w:ascii="Arial" w:hAnsi="Arial" w:cs="Arial"/>
          <w:color w:val="808080" w:themeColor="background1" w:themeShade="80"/>
          <w:sz w:val="22"/>
          <w:szCs w:val="22"/>
        </w:rPr>
      </w:pPr>
      <w:r w:rsidRPr="00310C44">
        <w:rPr>
          <w:rFonts w:ascii="Arial" w:hAnsi="Arial" w:cs="Arial"/>
          <w:color w:val="808080" w:themeColor="background1" w:themeShade="80"/>
          <w:sz w:val="22"/>
          <w:szCs w:val="22"/>
        </w:rPr>
        <w:t>The liquidator or Judicial manager can set aside the insolvent debtor’s pre-insolvency transactions by applying to court to claw back assets previously transferred in transactions where:</w:t>
      </w:r>
    </w:p>
    <w:p w14:paraId="045B054C" w14:textId="1C9EF3FE" w:rsidR="00E47628" w:rsidRPr="0096554C" w:rsidRDefault="00E47628" w:rsidP="00310C44">
      <w:pPr>
        <w:pStyle w:val="NormalWeb"/>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 xml:space="preserve"> (a) an unfair or undue preference was given; or</w:t>
      </w:r>
      <w:r w:rsidRPr="0096554C">
        <w:rPr>
          <w:rFonts w:ascii="Arial" w:hAnsi="Arial" w:cs="Arial"/>
          <w:color w:val="808080" w:themeColor="background1" w:themeShade="80"/>
          <w:sz w:val="22"/>
          <w:szCs w:val="22"/>
        </w:rPr>
        <w:br/>
        <w:t xml:space="preserve">(b) the transaction was conducted at an undervalue. </w:t>
      </w:r>
    </w:p>
    <w:p w14:paraId="7C41F0BB" w14:textId="05B5B748" w:rsidR="00B35562" w:rsidRPr="0096554C" w:rsidRDefault="00E47628" w:rsidP="0096554C">
      <w:pPr>
        <w:pStyle w:val="NormalWeb"/>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lastRenderedPageBreak/>
        <w:t xml:space="preserve">a) </w:t>
      </w:r>
      <w:r w:rsidR="00B35562" w:rsidRPr="0096554C">
        <w:rPr>
          <w:rFonts w:ascii="Arial" w:hAnsi="Arial" w:cs="Arial"/>
          <w:color w:val="808080" w:themeColor="background1" w:themeShade="80"/>
          <w:sz w:val="22"/>
          <w:szCs w:val="22"/>
        </w:rPr>
        <w:t xml:space="preserve">the liquidator or judicial manager must show </w:t>
      </w:r>
      <w:r w:rsidR="001B5615" w:rsidRPr="0096554C">
        <w:rPr>
          <w:rFonts w:ascii="Arial" w:hAnsi="Arial" w:cs="Arial"/>
          <w:color w:val="808080" w:themeColor="background1" w:themeShade="80"/>
          <w:sz w:val="22"/>
          <w:szCs w:val="22"/>
        </w:rPr>
        <w:t xml:space="preserve">the following </w:t>
      </w:r>
      <w:r w:rsidR="00B35562" w:rsidRPr="0096554C">
        <w:rPr>
          <w:rFonts w:ascii="Arial" w:hAnsi="Arial" w:cs="Arial"/>
          <w:color w:val="808080" w:themeColor="background1" w:themeShade="80"/>
          <w:sz w:val="22"/>
          <w:szCs w:val="22"/>
        </w:rPr>
        <w:t>four elements</w:t>
      </w:r>
      <w:r w:rsidR="001B5615" w:rsidRPr="0096554C">
        <w:rPr>
          <w:rFonts w:ascii="Arial" w:hAnsi="Arial" w:cs="Arial"/>
          <w:color w:val="808080" w:themeColor="background1" w:themeShade="80"/>
          <w:sz w:val="22"/>
          <w:szCs w:val="22"/>
        </w:rPr>
        <w:t xml:space="preserve"> in order to claim unfair preference transaction: </w:t>
      </w:r>
    </w:p>
    <w:p w14:paraId="08BD2A60" w14:textId="62A80F50" w:rsidR="00B35562" w:rsidRPr="0096554C" w:rsidRDefault="00B35562" w:rsidP="0096554C">
      <w:pPr>
        <w:pStyle w:val="NormalWeb"/>
        <w:numPr>
          <w:ilvl w:val="0"/>
          <w:numId w:val="32"/>
        </w:numPr>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 xml:space="preserve">the preferred party (the beneficiary of the transaction) is a creditor or guarantor for any of the company’s debts or liabilities; </w:t>
      </w:r>
    </w:p>
    <w:p w14:paraId="74B5FF2B" w14:textId="77777777" w:rsidR="00ED09C5" w:rsidRPr="0096554C" w:rsidRDefault="00B35562" w:rsidP="0096554C">
      <w:pPr>
        <w:pStyle w:val="NormalWeb"/>
        <w:numPr>
          <w:ilvl w:val="0"/>
          <w:numId w:val="32"/>
        </w:numPr>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 xml:space="preserve">the company was insolvent (or became insolvent as a consequence of the transaction) at the time of giving the preference; </w:t>
      </w:r>
    </w:p>
    <w:p w14:paraId="09F93E80" w14:textId="77777777" w:rsidR="00ED09C5" w:rsidRPr="0096554C" w:rsidRDefault="001B5615" w:rsidP="0096554C">
      <w:pPr>
        <w:pStyle w:val="NormalWeb"/>
        <w:numPr>
          <w:ilvl w:val="0"/>
          <w:numId w:val="32"/>
        </w:numPr>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 xml:space="preserve">the company </w:t>
      </w:r>
      <w:r w:rsidR="00B35562" w:rsidRPr="0096554C">
        <w:rPr>
          <w:rFonts w:ascii="Arial" w:hAnsi="Arial" w:cs="Arial"/>
          <w:color w:val="808080" w:themeColor="background1" w:themeShade="80"/>
          <w:sz w:val="22"/>
          <w:szCs w:val="22"/>
        </w:rPr>
        <w:t>has</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done</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anything</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which</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puts</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the</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preferred</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party</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in</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a</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better</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position</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than</w:t>
      </w:r>
      <w:r w:rsidRPr="0096554C">
        <w:rPr>
          <w:rFonts w:ascii="Arial" w:hAnsi="Arial" w:cs="Arial"/>
          <w:color w:val="808080" w:themeColor="background1" w:themeShade="80"/>
          <w:sz w:val="22"/>
          <w:szCs w:val="22"/>
        </w:rPr>
        <w:t xml:space="preserve"> </w:t>
      </w:r>
      <w:r w:rsidR="00B35562" w:rsidRPr="0096554C">
        <w:rPr>
          <w:rFonts w:ascii="Arial" w:hAnsi="Arial" w:cs="Arial"/>
          <w:color w:val="808080" w:themeColor="background1" w:themeShade="80"/>
          <w:sz w:val="22"/>
          <w:szCs w:val="22"/>
        </w:rPr>
        <w:t>the preferred party would otherwise have been had the transaction not been entered in the event of the company’s liquidation or judicial management; and</w:t>
      </w:r>
    </w:p>
    <w:p w14:paraId="7312362E" w14:textId="1C80884A" w:rsidR="00E51853" w:rsidRPr="0096554C" w:rsidRDefault="00E51853" w:rsidP="0096554C">
      <w:pPr>
        <w:pStyle w:val="NormalWeb"/>
        <w:numPr>
          <w:ilvl w:val="0"/>
          <w:numId w:val="32"/>
        </w:numPr>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lang w:eastAsia="ko-KR"/>
        </w:rPr>
        <w:t xml:space="preserve">the company was influenced in deciding to enter the transaction by a desire to prefer the preferred party, noting that the company is presumed to have been influenced by a desire to prefer if the preferred party is an associate of the company. </w:t>
      </w:r>
    </w:p>
    <w:p w14:paraId="73B518DB" w14:textId="66093B25" w:rsidR="001B5615" w:rsidRPr="0096554C" w:rsidRDefault="00ED09C5" w:rsidP="0096554C">
      <w:pPr>
        <w:spacing w:before="100" w:beforeAutospacing="1" w:after="100" w:afterAutospacing="1"/>
        <w:jc w:val="both"/>
        <w:rPr>
          <w:rFonts w:ascii="Arial" w:hAnsi="Arial" w:cs="Arial"/>
          <w:color w:val="808080" w:themeColor="background1" w:themeShade="80"/>
          <w:sz w:val="22"/>
          <w:szCs w:val="22"/>
          <w:lang w:eastAsia="ko-KR"/>
        </w:rPr>
      </w:pPr>
      <w:r w:rsidRPr="0096554C">
        <w:rPr>
          <w:rFonts w:ascii="Arial" w:hAnsi="Arial" w:cs="Arial"/>
          <w:color w:val="808080" w:themeColor="background1" w:themeShade="80"/>
          <w:sz w:val="22"/>
          <w:szCs w:val="22"/>
          <w:lang w:eastAsia="ko-KR"/>
        </w:rPr>
        <w:t xml:space="preserve">b) </w:t>
      </w:r>
      <w:r w:rsidRPr="0096554C">
        <w:rPr>
          <w:rFonts w:ascii="Arial" w:hAnsi="Arial" w:cs="Arial"/>
          <w:color w:val="808080" w:themeColor="background1" w:themeShade="80"/>
          <w:sz w:val="22"/>
          <w:szCs w:val="22"/>
        </w:rPr>
        <w:t xml:space="preserve">the liquidator or judicial manager must show the following four elements in order to claim for </w:t>
      </w:r>
      <w:r w:rsidRPr="0096554C">
        <w:rPr>
          <w:rFonts w:ascii="Arial" w:hAnsi="Arial" w:cs="Arial"/>
          <w:color w:val="808080" w:themeColor="background1" w:themeShade="80"/>
          <w:sz w:val="22"/>
          <w:szCs w:val="22"/>
          <w:lang w:eastAsia="ko-KR"/>
        </w:rPr>
        <w:t>a transaction at an undervalue</w:t>
      </w:r>
    </w:p>
    <w:p w14:paraId="69FA0072" w14:textId="77777777" w:rsidR="00ED09C5" w:rsidRPr="0096554C" w:rsidRDefault="00ED09C5" w:rsidP="0096554C">
      <w:pPr>
        <w:pStyle w:val="ListParagraph"/>
        <w:numPr>
          <w:ilvl w:val="0"/>
          <w:numId w:val="33"/>
        </w:numPr>
        <w:spacing w:before="100" w:beforeAutospacing="1" w:after="100" w:afterAutospacing="1"/>
        <w:jc w:val="both"/>
        <w:rPr>
          <w:rFonts w:ascii="Arial" w:hAnsi="Arial" w:cs="Arial"/>
          <w:color w:val="808080" w:themeColor="background1" w:themeShade="80"/>
          <w:sz w:val="22"/>
          <w:szCs w:val="22"/>
          <w:lang w:eastAsia="ko-KR"/>
        </w:rPr>
      </w:pPr>
      <w:r w:rsidRPr="0096554C">
        <w:rPr>
          <w:rFonts w:ascii="Arial" w:hAnsi="Arial" w:cs="Arial"/>
          <w:color w:val="808080" w:themeColor="background1" w:themeShade="80"/>
          <w:sz w:val="22"/>
          <w:szCs w:val="22"/>
          <w:lang w:eastAsia="ko-KR"/>
        </w:rPr>
        <w:t xml:space="preserve">the company makes a gift to the recipient or the company enters into a transaction where the value of consideration received is significantly less than the value of the consideration provided; and </w:t>
      </w:r>
    </w:p>
    <w:p w14:paraId="46A56609" w14:textId="36F002F6" w:rsidR="00ED09C5" w:rsidRPr="0096554C" w:rsidRDefault="00ED09C5" w:rsidP="0096554C">
      <w:pPr>
        <w:pStyle w:val="ListParagraph"/>
        <w:numPr>
          <w:ilvl w:val="0"/>
          <w:numId w:val="33"/>
        </w:numPr>
        <w:spacing w:before="100" w:beforeAutospacing="1" w:after="100" w:afterAutospacing="1"/>
        <w:jc w:val="both"/>
        <w:rPr>
          <w:rFonts w:ascii="Arial" w:hAnsi="Arial" w:cs="Arial"/>
          <w:color w:val="808080" w:themeColor="background1" w:themeShade="80"/>
          <w:sz w:val="22"/>
          <w:szCs w:val="22"/>
          <w:lang w:eastAsia="ko-KR"/>
        </w:rPr>
      </w:pPr>
      <w:r w:rsidRPr="0096554C">
        <w:rPr>
          <w:rFonts w:ascii="Arial" w:hAnsi="Arial" w:cs="Arial"/>
          <w:color w:val="808080" w:themeColor="background1" w:themeShade="80"/>
          <w:sz w:val="22"/>
          <w:szCs w:val="22"/>
          <w:lang w:eastAsia="ko-KR"/>
        </w:rPr>
        <w:t xml:space="preserve">the company was or became insolvent as a result of that transaction. </w:t>
      </w:r>
    </w:p>
    <w:p w14:paraId="30AE6046" w14:textId="257BB3DE" w:rsidR="00ED09C5" w:rsidRPr="0096554C" w:rsidRDefault="00ED09C5" w:rsidP="0096554C">
      <w:pPr>
        <w:spacing w:before="100" w:beforeAutospacing="1" w:after="100" w:afterAutospacing="1"/>
        <w:jc w:val="both"/>
        <w:rPr>
          <w:rFonts w:ascii="Arial" w:hAnsi="Arial" w:cs="Arial"/>
          <w:color w:val="808080" w:themeColor="background1" w:themeShade="80"/>
          <w:sz w:val="22"/>
          <w:szCs w:val="22"/>
          <w:lang w:eastAsia="ko-KR"/>
        </w:rPr>
      </w:pPr>
      <w:r w:rsidRPr="0096554C">
        <w:rPr>
          <w:rFonts w:ascii="Arial" w:hAnsi="Arial" w:cs="Arial"/>
          <w:color w:val="808080" w:themeColor="background1" w:themeShade="80"/>
          <w:sz w:val="22"/>
          <w:szCs w:val="22"/>
          <w:lang w:eastAsia="ko-KR"/>
        </w:rPr>
        <w:t>The relevant time period during which assets may be clawed back for an unfair preference is two years from the date of the winding-up application or the date of the judicial management application where the preferred party is an associate and one year for unrelated parties.</w:t>
      </w:r>
    </w:p>
    <w:p w14:paraId="0B2EDC14" w14:textId="135DA832" w:rsidR="00ED09C5" w:rsidRPr="0096554C" w:rsidRDefault="00ED09C5" w:rsidP="0096554C">
      <w:pPr>
        <w:spacing w:before="100" w:beforeAutospacing="1" w:after="100" w:afterAutospacing="1"/>
        <w:jc w:val="both"/>
        <w:rPr>
          <w:rFonts w:ascii="Arial" w:hAnsi="Arial" w:cs="Arial"/>
          <w:color w:val="808080" w:themeColor="background1" w:themeShade="80"/>
          <w:sz w:val="22"/>
          <w:szCs w:val="22"/>
          <w:lang w:eastAsia="ko-KR"/>
        </w:rPr>
      </w:pPr>
      <w:r w:rsidRPr="0096554C">
        <w:rPr>
          <w:rFonts w:ascii="Arial" w:hAnsi="Arial" w:cs="Arial"/>
          <w:color w:val="808080" w:themeColor="background1" w:themeShade="80"/>
          <w:sz w:val="22"/>
          <w:szCs w:val="22"/>
          <w:lang w:eastAsia="ko-KR"/>
        </w:rPr>
        <w:t>As for the undervalue the relevant time period is 3 years from the date of the winding-up application or the judicial management application</w:t>
      </w:r>
    </w:p>
    <w:p w14:paraId="0A1701F1" w14:textId="49BC2B92" w:rsidR="00E51853" w:rsidRPr="0096554C" w:rsidRDefault="006478A6" w:rsidP="0096554C">
      <w:pPr>
        <w:pStyle w:val="NormalWeb"/>
        <w:numPr>
          <w:ilvl w:val="0"/>
          <w:numId w:val="35"/>
        </w:numPr>
        <w:jc w:val="both"/>
        <w:rPr>
          <w:rFonts w:ascii="Arial" w:hAnsi="Arial" w:cs="Arial"/>
          <w:b/>
          <w:bCs/>
          <w:color w:val="808080" w:themeColor="background1" w:themeShade="80"/>
          <w:sz w:val="22"/>
          <w:szCs w:val="22"/>
        </w:rPr>
      </w:pPr>
      <w:r w:rsidRPr="0096554C">
        <w:rPr>
          <w:rFonts w:ascii="Arial" w:hAnsi="Arial" w:cs="Arial"/>
          <w:b/>
          <w:bCs/>
          <w:color w:val="808080" w:themeColor="background1" w:themeShade="80"/>
          <w:sz w:val="22"/>
          <w:szCs w:val="22"/>
        </w:rPr>
        <w:t>Disclaimer of onerous contract</w:t>
      </w:r>
    </w:p>
    <w:p w14:paraId="6B66ED71" w14:textId="523E2118" w:rsidR="00E51853" w:rsidRPr="0096554C" w:rsidRDefault="00E51853" w:rsidP="0096554C">
      <w:pPr>
        <w:pStyle w:val="NormalWeb"/>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Both judicial managers and liquidators, have the power to disclaim onerous contracts</w:t>
      </w:r>
      <w:r w:rsidRPr="0096554C">
        <w:rPr>
          <w:rFonts w:ascii="Arial" w:hAnsi="Arial" w:cs="Arial"/>
          <w:color w:val="808080" w:themeColor="background1" w:themeShade="80"/>
          <w:position w:val="8"/>
          <w:sz w:val="22"/>
          <w:szCs w:val="22"/>
        </w:rPr>
        <w:t xml:space="preserve"> </w:t>
      </w:r>
      <w:r w:rsidRPr="0096554C">
        <w:rPr>
          <w:rFonts w:ascii="Arial" w:hAnsi="Arial" w:cs="Arial"/>
          <w:color w:val="808080" w:themeColor="background1" w:themeShade="80"/>
          <w:sz w:val="22"/>
          <w:szCs w:val="22"/>
        </w:rPr>
        <w:t xml:space="preserve">entered into by the company prior to the judicial management order or the liquidation. </w:t>
      </w:r>
    </w:p>
    <w:p w14:paraId="0D0CC9E1" w14:textId="6DCAAFF7" w:rsidR="00E51853" w:rsidRPr="0096554C" w:rsidRDefault="00E51853" w:rsidP="0096554C">
      <w:pPr>
        <w:pStyle w:val="ListParagraph"/>
        <w:numPr>
          <w:ilvl w:val="0"/>
          <w:numId w:val="15"/>
        </w:numPr>
        <w:spacing w:before="100" w:beforeAutospacing="1" w:after="100" w:afterAutospacing="1"/>
        <w:jc w:val="both"/>
        <w:rPr>
          <w:rFonts w:ascii="Arial" w:hAnsi="Arial" w:cs="Arial"/>
          <w:color w:val="808080" w:themeColor="background1" w:themeShade="80"/>
          <w:sz w:val="22"/>
          <w:szCs w:val="22"/>
          <w:lang w:eastAsia="ko-KR"/>
        </w:rPr>
      </w:pPr>
      <w:r w:rsidRPr="0096554C">
        <w:rPr>
          <w:rFonts w:ascii="Arial" w:hAnsi="Arial" w:cs="Arial"/>
          <w:b/>
          <w:bCs/>
          <w:color w:val="808080" w:themeColor="background1" w:themeShade="80"/>
          <w:sz w:val="22"/>
          <w:szCs w:val="22"/>
          <w:lang w:eastAsia="ko-KR"/>
        </w:rPr>
        <w:t xml:space="preserve">New wrongful trading provision </w:t>
      </w:r>
    </w:p>
    <w:p w14:paraId="6EFECF6F" w14:textId="77777777" w:rsidR="000A1E11" w:rsidRPr="0096554C" w:rsidRDefault="000A1E11" w:rsidP="0096554C">
      <w:pPr>
        <w:pStyle w:val="ListParagraph"/>
        <w:jc w:val="both"/>
        <w:rPr>
          <w:rFonts w:ascii="Arial" w:hAnsi="Arial" w:cs="Arial"/>
          <w:color w:val="808080" w:themeColor="background1" w:themeShade="80"/>
          <w:sz w:val="22"/>
          <w:szCs w:val="22"/>
          <w:lang w:eastAsia="ko-KR"/>
        </w:rPr>
      </w:pPr>
    </w:p>
    <w:p w14:paraId="2D3A6B29" w14:textId="51FF622A" w:rsidR="000878FB" w:rsidRPr="0096554C" w:rsidRDefault="000878FB" w:rsidP="0096554C">
      <w:pPr>
        <w:spacing w:after="150"/>
        <w:jc w:val="both"/>
        <w:textAlignment w:val="baseline"/>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Under the old Act, an officer of the company would only be personally liable to pay the whole or part of the debt incurred by the company, if there was a criminal conviction under the Companies Act. Consequently, the earlier insolvent trading provisions were seldom relied on to hold company officers accountable. These new provisions in IRDA herald a shift towards greater accountability, not just of directors and officers of the company.</w:t>
      </w:r>
    </w:p>
    <w:p w14:paraId="4068D574" w14:textId="77777777" w:rsidR="000A1E11" w:rsidRPr="0096554C" w:rsidRDefault="000A1E11" w:rsidP="0096554C">
      <w:pPr>
        <w:pStyle w:val="NormalWeb"/>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The IRDA has largely kept the provision on fraudulent trading but has also introduced a new concept of “wrongful trading” which replaces the old concept of “insolvent trading”.  Under the new regime, a company "trades wrongfully" if it incurs debts or other liabilities, when insolvent (or becomes insolvent as a result of incurring such debts or other liabilities), without reasonable prospect of meeting them in full (Section 239(12)) of the IRDA).</w:t>
      </w:r>
    </w:p>
    <w:p w14:paraId="7CB157F0" w14:textId="642BC48A" w:rsidR="0032402A" w:rsidRPr="0096554C" w:rsidRDefault="000A1E11" w:rsidP="0096554C">
      <w:pPr>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 xml:space="preserve">The "wrongful trading" regime also abolishes the pre-requisite (present under the insolvent trading regime) of having to establish criminal liability first before the director could be made personally liable for the debt. </w:t>
      </w:r>
      <w:r w:rsidR="0032402A" w:rsidRPr="0096554C">
        <w:rPr>
          <w:rFonts w:ascii="Arial" w:hAnsi="Arial" w:cs="Arial"/>
          <w:color w:val="808080" w:themeColor="background1" w:themeShade="80"/>
          <w:sz w:val="22"/>
          <w:szCs w:val="22"/>
        </w:rPr>
        <w:t xml:space="preserve">The upshot of this is that it may be easier to impose civil </w:t>
      </w:r>
      <w:r w:rsidR="0032402A" w:rsidRPr="0096554C">
        <w:rPr>
          <w:rFonts w:ascii="Arial" w:hAnsi="Arial" w:cs="Arial"/>
          <w:color w:val="808080" w:themeColor="background1" w:themeShade="80"/>
          <w:sz w:val="22"/>
          <w:szCs w:val="22"/>
        </w:rPr>
        <w:lastRenderedPageBreak/>
        <w:t xml:space="preserve">liability on those who are party to wrongful trading. Prior to the IRDA, it would have been necessary to satisfy the higher criminal standard of proof (of proving beyond reasonable doubt) before civil liability could be found, since criminal liability was a prerequisite. Now, under the IRDA, the only applicable standard of proof would be the civil standard of proof (of proving on a balance of probabilities) since there is no longer a prerequisite for criminal liability. </w:t>
      </w:r>
    </w:p>
    <w:p w14:paraId="14891A14" w14:textId="024D225C" w:rsidR="0032402A" w:rsidRPr="0096554C" w:rsidRDefault="000A1E11" w:rsidP="0096554C">
      <w:pPr>
        <w:pStyle w:val="NormalWeb"/>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Section 239(1) of the IRDA simply provides that in the course of the judicial management or winding up of a company or in any proceedings against the company, the Singapore Court may, on the application of a judicial manager, liquidator or creditor or contributory of the company, declare that any person who was a party to the company trading wrongfully is personally responsible for any or all of the debts or other liabilities of the company if that person: (a) knew the company was trading wrongfully; or (b) as an officer of the company ought, in all the circumstances, to have known that the company was trading wrongfully.</w:t>
      </w:r>
      <w:r w:rsidR="000878FB" w:rsidRPr="0096554C">
        <w:rPr>
          <w:rFonts w:ascii="Arial" w:hAnsi="Arial" w:cs="Arial"/>
          <w:color w:val="808080" w:themeColor="background1" w:themeShade="80"/>
          <w:sz w:val="22"/>
          <w:szCs w:val="22"/>
        </w:rPr>
        <w:t xml:space="preserve"> The liability can apply to any person who was a party to the wrongful trading, regardless of whether they are a director and/or officer of the company. What this means is that liability could therefore extend to other persons involved in managing a distressed company and entering into contracts on its behalf.</w:t>
      </w:r>
    </w:p>
    <w:p w14:paraId="524134B8" w14:textId="1E49E955" w:rsidR="000A1E11" w:rsidRPr="0096554C" w:rsidRDefault="000A1E11" w:rsidP="0096554C">
      <w:pPr>
        <w:pStyle w:val="NormalWeb"/>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The IRDA also  introduces a new statutory defence (Section 239(2)) which allows the Singapore Court to relieve the person declared responsible from the personal liability if: (a) the person acted honestly; and (b) having regard to all the circumstances of the case, the person ought fairly to be relieved from personal liability.</w:t>
      </w:r>
    </w:p>
    <w:p w14:paraId="73C4FC26" w14:textId="77777777" w:rsidR="00E51853" w:rsidRPr="0096554C" w:rsidRDefault="00E51853" w:rsidP="0096554C">
      <w:pPr>
        <w:spacing w:before="100" w:beforeAutospacing="1" w:after="100" w:afterAutospacing="1"/>
        <w:jc w:val="both"/>
        <w:rPr>
          <w:rFonts w:ascii="Arial" w:hAnsi="Arial" w:cs="Arial"/>
          <w:color w:val="808080" w:themeColor="background1" w:themeShade="80"/>
          <w:sz w:val="22"/>
          <w:szCs w:val="22"/>
        </w:rPr>
      </w:pPr>
      <w:r w:rsidRPr="0096554C">
        <w:rPr>
          <w:rFonts w:ascii="Arial" w:hAnsi="Arial" w:cs="Arial"/>
          <w:color w:val="808080" w:themeColor="background1" w:themeShade="80"/>
          <w:sz w:val="22"/>
          <w:szCs w:val="22"/>
        </w:rPr>
        <w:t xml:space="preserve">This provision is adopted from English insolvency legislation and does not require criminal liability before taking effect. </w:t>
      </w:r>
    </w:p>
    <w:p w14:paraId="4E6412EF" w14:textId="3F1DE8B5" w:rsidR="00544127" w:rsidRPr="00A473F0" w:rsidRDefault="006C7E2E" w:rsidP="0096554C">
      <w:pPr>
        <w:pStyle w:val="ListParagraph"/>
        <w:numPr>
          <w:ilvl w:val="0"/>
          <w:numId w:val="15"/>
        </w:numPr>
        <w:jc w:val="both"/>
        <w:rPr>
          <w:rFonts w:ascii="Arial" w:hAnsi="Arial" w:cs="Arial"/>
          <w:b/>
          <w:bCs/>
          <w:color w:val="808080" w:themeColor="background1" w:themeShade="80"/>
          <w:sz w:val="22"/>
          <w:szCs w:val="22"/>
        </w:rPr>
      </w:pPr>
      <w:r w:rsidRPr="00A473F0">
        <w:rPr>
          <w:rFonts w:ascii="Arial" w:hAnsi="Arial" w:cs="Arial"/>
          <w:b/>
          <w:bCs/>
          <w:color w:val="808080" w:themeColor="background1" w:themeShade="80"/>
          <w:sz w:val="22"/>
          <w:szCs w:val="22"/>
        </w:rPr>
        <w:t>Avoidance of floating charge</w:t>
      </w:r>
    </w:p>
    <w:p w14:paraId="2840B311" w14:textId="77777777" w:rsidR="005171A2" w:rsidRPr="0096554C" w:rsidRDefault="005171A2" w:rsidP="004604C2">
      <w:pPr>
        <w:spacing w:after="300"/>
        <w:jc w:val="both"/>
        <w:textAlignment w:val="baseline"/>
        <w:rPr>
          <w:rFonts w:ascii="Arial" w:hAnsi="Arial" w:cs="Arial"/>
          <w:color w:val="808080" w:themeColor="background1" w:themeShade="80"/>
          <w:spacing w:val="11"/>
          <w:sz w:val="22"/>
          <w:szCs w:val="22"/>
        </w:rPr>
      </w:pPr>
      <w:r w:rsidRPr="0096554C">
        <w:rPr>
          <w:rFonts w:ascii="Arial" w:hAnsi="Arial" w:cs="Arial"/>
          <w:color w:val="808080" w:themeColor="background1" w:themeShade="80"/>
          <w:spacing w:val="11"/>
          <w:sz w:val="22"/>
          <w:szCs w:val="22"/>
        </w:rPr>
        <w:t>Under Section 330 of the Companies Act, a floating charge which was created on a company’s property within 6 months of the commencement of the company’s winding up would generally be considered invalid. Now, under Section 229 of the IRDA, the 6 month period has been extended and a floating charge will generally be invalid if:</w:t>
      </w:r>
    </w:p>
    <w:p w14:paraId="55225257" w14:textId="77777777" w:rsidR="005171A2" w:rsidRPr="0096554C" w:rsidRDefault="005171A2" w:rsidP="0096554C">
      <w:pPr>
        <w:numPr>
          <w:ilvl w:val="0"/>
          <w:numId w:val="34"/>
        </w:numPr>
        <w:spacing w:after="75"/>
        <w:jc w:val="both"/>
        <w:textAlignment w:val="baseline"/>
        <w:rPr>
          <w:rFonts w:ascii="Arial" w:hAnsi="Arial" w:cs="Arial"/>
          <w:color w:val="808080" w:themeColor="background1" w:themeShade="80"/>
          <w:spacing w:val="11"/>
          <w:sz w:val="22"/>
          <w:szCs w:val="22"/>
        </w:rPr>
      </w:pPr>
      <w:r w:rsidRPr="0096554C">
        <w:rPr>
          <w:rFonts w:ascii="Arial" w:hAnsi="Arial" w:cs="Arial"/>
          <w:color w:val="808080" w:themeColor="background1" w:themeShade="80"/>
          <w:spacing w:val="11"/>
          <w:sz w:val="22"/>
          <w:szCs w:val="22"/>
        </w:rPr>
        <w:t>Such a floating charge was created in favour of a person who is connected with the company, within the period of 2 years ending on the commencement winding up, as the case may be;</w:t>
      </w:r>
    </w:p>
    <w:p w14:paraId="20BDB22B" w14:textId="77777777" w:rsidR="005171A2" w:rsidRPr="0096554C" w:rsidRDefault="005171A2" w:rsidP="0096554C">
      <w:pPr>
        <w:numPr>
          <w:ilvl w:val="0"/>
          <w:numId w:val="34"/>
        </w:numPr>
        <w:spacing w:after="75"/>
        <w:jc w:val="both"/>
        <w:textAlignment w:val="baseline"/>
        <w:rPr>
          <w:rFonts w:ascii="Arial" w:hAnsi="Arial" w:cs="Arial"/>
          <w:color w:val="808080" w:themeColor="background1" w:themeShade="80"/>
          <w:spacing w:val="11"/>
          <w:sz w:val="22"/>
          <w:szCs w:val="22"/>
        </w:rPr>
      </w:pPr>
      <w:r w:rsidRPr="0096554C">
        <w:rPr>
          <w:rFonts w:ascii="Arial" w:hAnsi="Arial" w:cs="Arial"/>
          <w:color w:val="808080" w:themeColor="background1" w:themeShade="80"/>
          <w:spacing w:val="11"/>
          <w:sz w:val="22"/>
          <w:szCs w:val="22"/>
        </w:rPr>
        <w:t>Such a floating charge was created in favour of any other person, within the period of 1 year ending on the commencement of the winding up; or</w:t>
      </w:r>
    </w:p>
    <w:p w14:paraId="2868D7F1" w14:textId="77777777" w:rsidR="005171A2" w:rsidRPr="0096554C" w:rsidRDefault="005171A2" w:rsidP="0096554C">
      <w:pPr>
        <w:numPr>
          <w:ilvl w:val="0"/>
          <w:numId w:val="34"/>
        </w:numPr>
        <w:spacing w:after="75"/>
        <w:jc w:val="both"/>
        <w:textAlignment w:val="baseline"/>
        <w:rPr>
          <w:rFonts w:ascii="Arial" w:hAnsi="Arial" w:cs="Arial"/>
          <w:color w:val="808080" w:themeColor="background1" w:themeShade="80"/>
          <w:spacing w:val="11"/>
          <w:sz w:val="22"/>
          <w:szCs w:val="22"/>
        </w:rPr>
      </w:pPr>
      <w:r w:rsidRPr="0096554C">
        <w:rPr>
          <w:rFonts w:ascii="Arial" w:hAnsi="Arial" w:cs="Arial"/>
          <w:color w:val="808080" w:themeColor="background1" w:themeShade="80"/>
          <w:spacing w:val="11"/>
          <w:sz w:val="22"/>
          <w:szCs w:val="22"/>
        </w:rPr>
        <w:t>Such a floating charge was created within the period starting on the commencement of the judicial management of the company and ending on the date the company enters judicial management.</w:t>
      </w:r>
    </w:p>
    <w:p w14:paraId="703729DF" w14:textId="48C3981B" w:rsidR="007E40F0" w:rsidRPr="0096554C" w:rsidRDefault="007E40F0" w:rsidP="0096554C">
      <w:pPr>
        <w:jc w:val="both"/>
        <w:rPr>
          <w:rFonts w:ascii="Arial" w:hAnsi="Arial" w:cs="Arial"/>
          <w:color w:val="808080" w:themeColor="background1" w:themeShade="80"/>
          <w:sz w:val="22"/>
          <w:szCs w:val="22"/>
        </w:rPr>
      </w:pPr>
    </w:p>
    <w:p w14:paraId="12AF1DE0" w14:textId="695DFF58" w:rsidR="00B96CB1" w:rsidRPr="004604C2" w:rsidRDefault="00B96CB1" w:rsidP="004604C2">
      <w:pPr>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490D2CF" w:rsidR="00DF75F8" w:rsidRDefault="00DF75F8" w:rsidP="002A37BB">
      <w:pPr>
        <w:jc w:val="both"/>
        <w:rPr>
          <w:rFonts w:ascii="Arial" w:hAnsi="Arial" w:cs="Arial"/>
          <w:sz w:val="22"/>
          <w:szCs w:val="22"/>
        </w:rPr>
      </w:pPr>
    </w:p>
    <w:p w14:paraId="72F4558B" w14:textId="3AB4567E" w:rsidR="00FF635F" w:rsidRPr="00A473F0" w:rsidRDefault="00FF635F" w:rsidP="00A473F0">
      <w:pPr>
        <w:ind w:left="360"/>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 xml:space="preserve">A company can be put in Judicial Management </w:t>
      </w:r>
      <w:r w:rsidR="0028212A" w:rsidRPr="00A473F0">
        <w:rPr>
          <w:rFonts w:ascii="Arial" w:hAnsi="Arial" w:cs="Arial"/>
          <w:color w:val="808080" w:themeColor="background1" w:themeShade="80"/>
          <w:sz w:val="22"/>
          <w:szCs w:val="22"/>
        </w:rPr>
        <w:t xml:space="preserve">via 2 method; </w:t>
      </w:r>
    </w:p>
    <w:p w14:paraId="3366FEB5" w14:textId="53044D85" w:rsidR="0028212A" w:rsidRPr="00A473F0" w:rsidRDefault="0028212A" w:rsidP="00A473F0">
      <w:pPr>
        <w:pStyle w:val="ListParagraph"/>
        <w:numPr>
          <w:ilvl w:val="0"/>
          <w:numId w:val="16"/>
        </w:numPr>
        <w:tabs>
          <w:tab w:val="clear" w:pos="720"/>
          <w:tab w:val="num" w:pos="1080"/>
        </w:tabs>
        <w:ind w:left="1080"/>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 xml:space="preserve">Application to Court; or </w:t>
      </w:r>
    </w:p>
    <w:p w14:paraId="62E8F500" w14:textId="37A439AE" w:rsidR="0028212A" w:rsidRPr="00A473F0" w:rsidRDefault="0028212A" w:rsidP="00A473F0">
      <w:pPr>
        <w:pStyle w:val="ListParagraph"/>
        <w:numPr>
          <w:ilvl w:val="0"/>
          <w:numId w:val="16"/>
        </w:numPr>
        <w:tabs>
          <w:tab w:val="clear" w:pos="720"/>
          <w:tab w:val="num" w:pos="1080"/>
        </w:tabs>
        <w:ind w:left="1080"/>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Creditors resolution</w:t>
      </w:r>
    </w:p>
    <w:p w14:paraId="1C20E95A" w14:textId="77777777" w:rsidR="0079115F" w:rsidRPr="00A473F0" w:rsidRDefault="0079115F" w:rsidP="00A473F0">
      <w:pPr>
        <w:ind w:left="360"/>
        <w:jc w:val="both"/>
        <w:rPr>
          <w:rFonts w:ascii="Arial" w:hAnsi="Arial" w:cs="Arial"/>
          <w:color w:val="808080" w:themeColor="background1" w:themeShade="80"/>
          <w:sz w:val="22"/>
          <w:szCs w:val="22"/>
        </w:rPr>
      </w:pPr>
    </w:p>
    <w:p w14:paraId="1BDC85DF" w14:textId="7E8EB768" w:rsidR="0079115F" w:rsidRPr="00A473F0" w:rsidRDefault="0079115F" w:rsidP="00A473F0">
      <w:pPr>
        <w:pStyle w:val="NormalWeb"/>
        <w:ind w:left="360"/>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 xml:space="preserve">Appointment of judicial manager via a creditors’ resolution is also known as voluntary judicial management. Section 94(1) of the IRDA introduced this new voluntary process for initiating judicial management without having to first apply to the Court. </w:t>
      </w:r>
      <w:r w:rsidR="0052138D" w:rsidRPr="00A473F0">
        <w:rPr>
          <w:rFonts w:ascii="Arial" w:hAnsi="Arial" w:cs="Arial"/>
          <w:color w:val="808080" w:themeColor="background1" w:themeShade="80"/>
          <w:sz w:val="22"/>
          <w:szCs w:val="22"/>
        </w:rPr>
        <w:t xml:space="preserve">The company may obtain a resolution of the company’s creditors for the company to be placed under judicial management instead of applying to the court if: </w:t>
      </w:r>
    </w:p>
    <w:p w14:paraId="76AD675C" w14:textId="77777777" w:rsidR="0052138D" w:rsidRPr="00A473F0" w:rsidRDefault="0052138D" w:rsidP="00A473F0">
      <w:pPr>
        <w:pStyle w:val="NormalWeb"/>
        <w:numPr>
          <w:ilvl w:val="1"/>
          <w:numId w:val="16"/>
        </w:numPr>
        <w:tabs>
          <w:tab w:val="clear" w:pos="1440"/>
          <w:tab w:val="num" w:pos="1800"/>
        </w:tabs>
        <w:ind w:left="1800"/>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 xml:space="preserve">the company is, or is likely to become, unable to pay its debts; </w:t>
      </w:r>
    </w:p>
    <w:p w14:paraId="7563305A" w14:textId="77777777" w:rsidR="0052138D" w:rsidRPr="00A473F0" w:rsidRDefault="0052138D" w:rsidP="00A473F0">
      <w:pPr>
        <w:pStyle w:val="NormalWeb"/>
        <w:numPr>
          <w:ilvl w:val="1"/>
          <w:numId w:val="16"/>
        </w:numPr>
        <w:tabs>
          <w:tab w:val="clear" w:pos="1440"/>
          <w:tab w:val="num" w:pos="1800"/>
        </w:tabs>
        <w:ind w:left="1800"/>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 xml:space="preserve">(b)  there is a reasonable probability of achieving one or more of the purposes of judicial management mentioned in section 89(1); and </w:t>
      </w:r>
    </w:p>
    <w:p w14:paraId="31F614F5" w14:textId="7124446A" w:rsidR="0048687C" w:rsidRPr="00296EBE" w:rsidRDefault="0052138D" w:rsidP="00296EBE">
      <w:pPr>
        <w:pStyle w:val="NormalWeb"/>
        <w:numPr>
          <w:ilvl w:val="1"/>
          <w:numId w:val="16"/>
        </w:numPr>
        <w:tabs>
          <w:tab w:val="clear" w:pos="1440"/>
          <w:tab w:val="num" w:pos="1800"/>
        </w:tabs>
        <w:ind w:left="1800"/>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 xml:space="preserve">(c)  a resolution of its creditors is obtained. </w:t>
      </w:r>
    </w:p>
    <w:p w14:paraId="2D5E4268" w14:textId="62C3699B" w:rsidR="00F86C54" w:rsidRPr="00387050" w:rsidRDefault="00F86C54" w:rsidP="00A473F0">
      <w:pPr>
        <w:pStyle w:val="NormalWeb"/>
        <w:ind w:left="36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The process by which a company may enter judicial management without a court order is set out in the IRDA under dection 94, the key steps of which include the following:</w:t>
      </w:r>
    </w:p>
    <w:p w14:paraId="20412905" w14:textId="77777777" w:rsidR="00924869" w:rsidRPr="00387050" w:rsidRDefault="00F86C54" w:rsidP="00A473F0">
      <w:pPr>
        <w:pStyle w:val="NormalWeb"/>
        <w:numPr>
          <w:ilvl w:val="1"/>
          <w:numId w:val="34"/>
        </w:numPr>
        <w:ind w:left="180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The company must give at least seven days’ notice of its intention to propose to be placed under judicial management to its proposed interim judicial manager and a</w:t>
      </w:r>
      <w:r w:rsidR="002A440C" w:rsidRPr="00387050">
        <w:rPr>
          <w:rFonts w:ascii="Arial" w:hAnsi="Arial" w:cs="Arial"/>
          <w:color w:val="808080" w:themeColor="background1" w:themeShade="80"/>
          <w:sz w:val="22"/>
          <w:szCs w:val="22"/>
        </w:rPr>
        <w:t xml:space="preserve"> to any person who has appointed, or is or may be entitled to appoint, a receiver and manager of the whole (or substantially the whole) of the company’s property under the terms of any debentures of the company secured by a floating charge or by a floating charge and one or more fixed charge</w:t>
      </w:r>
      <w:r w:rsidR="00924869" w:rsidRPr="00387050">
        <w:rPr>
          <w:rFonts w:ascii="Arial" w:hAnsi="Arial" w:cs="Arial"/>
          <w:color w:val="808080" w:themeColor="background1" w:themeShade="80"/>
          <w:sz w:val="22"/>
          <w:szCs w:val="22"/>
        </w:rPr>
        <w:t xml:space="preserve">. </w:t>
      </w:r>
    </w:p>
    <w:p w14:paraId="5F694593" w14:textId="73ABC8BE" w:rsidR="0016042F" w:rsidRPr="00387050" w:rsidRDefault="00AA0480" w:rsidP="00A473F0">
      <w:pPr>
        <w:pStyle w:val="NormalWeb"/>
        <w:numPr>
          <w:ilvl w:val="1"/>
          <w:numId w:val="34"/>
        </w:numPr>
        <w:ind w:left="180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 xml:space="preserve">The company may appoint an interim judicial manager </w:t>
      </w:r>
      <w:r w:rsidR="00E007A6" w:rsidRPr="00387050">
        <w:rPr>
          <w:rFonts w:ascii="Arial" w:hAnsi="Arial" w:cs="Arial"/>
          <w:color w:val="808080" w:themeColor="background1" w:themeShade="80"/>
          <w:sz w:val="22"/>
          <w:szCs w:val="22"/>
        </w:rPr>
        <w:t xml:space="preserve">only if all the followong conditions are </w:t>
      </w:r>
      <w:r w:rsidR="00E43B09" w:rsidRPr="00387050">
        <w:rPr>
          <w:rFonts w:ascii="Arial" w:hAnsi="Arial" w:cs="Arial"/>
          <w:color w:val="808080" w:themeColor="background1" w:themeShade="80"/>
          <w:sz w:val="22"/>
          <w:szCs w:val="22"/>
        </w:rPr>
        <w:t xml:space="preserve">met: </w:t>
      </w:r>
      <w:r w:rsidR="00F86C54" w:rsidRPr="00387050">
        <w:rPr>
          <w:rFonts w:ascii="Arial" w:hAnsi="Arial" w:cs="Arial"/>
          <w:color w:val="808080" w:themeColor="background1" w:themeShade="80"/>
          <w:sz w:val="22"/>
          <w:szCs w:val="22"/>
        </w:rPr>
        <w:t xml:space="preserve"> </w:t>
      </w:r>
    </w:p>
    <w:p w14:paraId="29FCC1D5" w14:textId="16A04002" w:rsidR="00F86C54" w:rsidRPr="00387050" w:rsidRDefault="00F86C54" w:rsidP="00A473F0">
      <w:pPr>
        <w:pStyle w:val="NormalWeb"/>
        <w:numPr>
          <w:ilvl w:val="2"/>
          <w:numId w:val="34"/>
        </w:numPr>
        <w:ind w:left="25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The members of the company resolve to appoint the interim judicial manager</w:t>
      </w:r>
      <w:r w:rsidR="008765F5" w:rsidRPr="00387050">
        <w:rPr>
          <w:rFonts w:ascii="Arial" w:hAnsi="Arial" w:cs="Arial"/>
          <w:color w:val="808080" w:themeColor="background1" w:themeShade="80"/>
          <w:sz w:val="22"/>
          <w:szCs w:val="22"/>
        </w:rPr>
        <w:t xml:space="preserve"> or where so authorised by the </w:t>
      </w:r>
      <w:r w:rsidR="004110F8" w:rsidRPr="00387050">
        <w:rPr>
          <w:rFonts w:ascii="Arial" w:hAnsi="Arial" w:cs="Arial"/>
          <w:color w:val="808080" w:themeColor="background1" w:themeShade="80"/>
          <w:sz w:val="22"/>
          <w:szCs w:val="22"/>
        </w:rPr>
        <w:t>constitution of the company by resolution of its board directors</w:t>
      </w:r>
      <w:r w:rsidRPr="00387050">
        <w:rPr>
          <w:rFonts w:ascii="Arial" w:hAnsi="Arial" w:cs="Arial"/>
          <w:color w:val="808080" w:themeColor="background1" w:themeShade="80"/>
          <w:sz w:val="22"/>
          <w:szCs w:val="22"/>
        </w:rPr>
        <w:t>.</w:t>
      </w:r>
    </w:p>
    <w:p w14:paraId="19DD069B" w14:textId="77777777" w:rsidR="00214AA9" w:rsidRPr="00387050" w:rsidRDefault="003F531E" w:rsidP="00A473F0">
      <w:pPr>
        <w:pStyle w:val="NormalWeb"/>
        <w:numPr>
          <w:ilvl w:val="2"/>
          <w:numId w:val="34"/>
        </w:numPr>
        <w:ind w:left="25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The above seven days notice has expired</w:t>
      </w:r>
    </w:p>
    <w:p w14:paraId="11DF121F" w14:textId="1FEB1DA5" w:rsidR="00214AA9" w:rsidRPr="00387050" w:rsidRDefault="00214AA9" w:rsidP="00A473F0">
      <w:pPr>
        <w:pStyle w:val="NormalWeb"/>
        <w:numPr>
          <w:ilvl w:val="2"/>
          <w:numId w:val="34"/>
        </w:numPr>
        <w:ind w:left="25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The interim judicial manager is appointed no later than 21 days from the date of the notice.</w:t>
      </w:r>
    </w:p>
    <w:p w14:paraId="7ED4DC2E" w14:textId="2C3EE4FC" w:rsidR="003F531E" w:rsidRPr="00387050" w:rsidRDefault="00F3462A" w:rsidP="00A473F0">
      <w:pPr>
        <w:pStyle w:val="NormalWeb"/>
        <w:numPr>
          <w:ilvl w:val="2"/>
          <w:numId w:val="34"/>
        </w:numPr>
        <w:ind w:left="25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 xml:space="preserve">The interim judicial manager and holder of floating charge given </w:t>
      </w:r>
      <w:r w:rsidR="00365E6B" w:rsidRPr="00387050">
        <w:rPr>
          <w:rFonts w:ascii="Arial" w:hAnsi="Arial" w:cs="Arial"/>
          <w:color w:val="808080" w:themeColor="background1" w:themeShade="80"/>
          <w:sz w:val="22"/>
          <w:szCs w:val="22"/>
        </w:rPr>
        <w:t xml:space="preserve">to whom the </w:t>
      </w:r>
      <w:r w:rsidR="003B09C1" w:rsidRPr="00387050">
        <w:rPr>
          <w:rFonts w:ascii="Arial" w:hAnsi="Arial" w:cs="Arial"/>
          <w:color w:val="808080" w:themeColor="background1" w:themeShade="80"/>
          <w:sz w:val="22"/>
          <w:szCs w:val="22"/>
        </w:rPr>
        <w:t xml:space="preserve">7 days </w:t>
      </w:r>
      <w:r w:rsidR="00365E6B" w:rsidRPr="00387050">
        <w:rPr>
          <w:rFonts w:ascii="Arial" w:hAnsi="Arial" w:cs="Arial"/>
          <w:color w:val="808080" w:themeColor="background1" w:themeShade="80"/>
          <w:sz w:val="22"/>
          <w:szCs w:val="22"/>
        </w:rPr>
        <w:t>notice</w:t>
      </w:r>
      <w:r w:rsidR="003B09C1" w:rsidRPr="00387050">
        <w:rPr>
          <w:rFonts w:ascii="Arial" w:hAnsi="Arial" w:cs="Arial"/>
          <w:color w:val="808080" w:themeColor="background1" w:themeShade="80"/>
          <w:sz w:val="22"/>
          <w:szCs w:val="22"/>
        </w:rPr>
        <w:t xml:space="preserve"> was served has consented in writing to the appointment of the interim judicial manager</w:t>
      </w:r>
    </w:p>
    <w:p w14:paraId="44F10A52" w14:textId="77777777" w:rsidR="00D441C4" w:rsidRPr="00387050" w:rsidRDefault="00D441C4" w:rsidP="00A473F0">
      <w:pPr>
        <w:pStyle w:val="NormalWeb"/>
        <w:numPr>
          <w:ilvl w:val="2"/>
          <w:numId w:val="34"/>
        </w:numPr>
        <w:ind w:left="25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the proposed interim judicial manager has lodged, with the Official Receiver and the Registrar of Companies, a statutory declaration by the proposed interim judicial manager stating that —</w:t>
      </w:r>
    </w:p>
    <w:p w14:paraId="6E25D343" w14:textId="77777777" w:rsidR="00D441C4" w:rsidRPr="00387050" w:rsidRDefault="00D441C4" w:rsidP="00A473F0">
      <w:pPr>
        <w:pStyle w:val="NormalWeb"/>
        <w:ind w:left="25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(i)</w:t>
      </w:r>
      <w:r w:rsidRPr="00387050">
        <w:rPr>
          <w:rFonts w:ascii="Arial" w:hAnsi="Arial" w:cs="Arial"/>
          <w:color w:val="808080" w:themeColor="background1" w:themeShade="80"/>
          <w:sz w:val="22"/>
          <w:szCs w:val="22"/>
        </w:rPr>
        <w:tab/>
        <w:t>the proposed interim judicial manager is not in a position of conflict of interest;</w:t>
      </w:r>
    </w:p>
    <w:p w14:paraId="3C26ABA0" w14:textId="77777777" w:rsidR="00D441C4" w:rsidRPr="00387050" w:rsidRDefault="00D441C4" w:rsidP="00A473F0">
      <w:pPr>
        <w:pStyle w:val="NormalWeb"/>
        <w:ind w:left="25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(ii)</w:t>
      </w:r>
      <w:r w:rsidRPr="00387050">
        <w:rPr>
          <w:rFonts w:ascii="Arial" w:hAnsi="Arial" w:cs="Arial"/>
          <w:color w:val="808080" w:themeColor="background1" w:themeShade="80"/>
          <w:sz w:val="22"/>
          <w:szCs w:val="22"/>
        </w:rPr>
        <w:tab/>
        <w:t>in the view of the proposed interim judicial manager, one or more purposes of judicial management mentioned in section 89(1) can be achieved; and</w:t>
      </w:r>
    </w:p>
    <w:p w14:paraId="03E36BD8" w14:textId="3292DD63" w:rsidR="00D441C4" w:rsidRPr="00387050" w:rsidRDefault="00D441C4" w:rsidP="00A473F0">
      <w:pPr>
        <w:pStyle w:val="NormalWeb"/>
        <w:ind w:left="25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(iii)</w:t>
      </w:r>
      <w:r w:rsidRPr="00387050">
        <w:rPr>
          <w:rFonts w:ascii="Arial" w:hAnsi="Arial" w:cs="Arial"/>
          <w:color w:val="808080" w:themeColor="background1" w:themeShade="80"/>
          <w:sz w:val="22"/>
          <w:szCs w:val="22"/>
        </w:rPr>
        <w:tab/>
        <w:t>the proposed interim judicial manager consents to be appointed as interim judicial manager;</w:t>
      </w:r>
    </w:p>
    <w:p w14:paraId="4814489B" w14:textId="1E5C18C7" w:rsidR="00393848" w:rsidRPr="00387050" w:rsidRDefault="00393848" w:rsidP="00A473F0">
      <w:pPr>
        <w:pStyle w:val="NormalWeb"/>
        <w:ind w:left="1800" w:firstLine="7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 The company’s directors have lodged with the Registrar of Companies a statutory declaration stating that —</w:t>
      </w:r>
    </w:p>
    <w:p w14:paraId="4D323601" w14:textId="300CC156" w:rsidR="00393848" w:rsidRPr="00387050" w:rsidRDefault="00393848" w:rsidP="00A473F0">
      <w:pPr>
        <w:pStyle w:val="NormalWeb"/>
        <w:ind w:left="1800" w:firstLine="7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(i)</w:t>
      </w:r>
      <w:r w:rsidR="00DF40A1" w:rsidRPr="00387050">
        <w:rPr>
          <w:rFonts w:ascii="Arial" w:hAnsi="Arial" w:cs="Arial"/>
          <w:color w:val="808080" w:themeColor="background1" w:themeShade="80"/>
          <w:sz w:val="22"/>
          <w:szCs w:val="22"/>
        </w:rPr>
        <w:t xml:space="preserve"> </w:t>
      </w:r>
      <w:r w:rsidRPr="00387050">
        <w:rPr>
          <w:rFonts w:ascii="Arial" w:hAnsi="Arial" w:cs="Arial"/>
          <w:color w:val="808080" w:themeColor="background1" w:themeShade="80"/>
          <w:sz w:val="22"/>
          <w:szCs w:val="22"/>
        </w:rPr>
        <w:t>the company is or is likely to become unable to pay its debts;</w:t>
      </w:r>
    </w:p>
    <w:p w14:paraId="1A4E9A15" w14:textId="77777777" w:rsidR="00393848" w:rsidRPr="00387050" w:rsidRDefault="00393848" w:rsidP="00A473F0">
      <w:pPr>
        <w:pStyle w:val="NormalWeb"/>
        <w:ind w:left="1800" w:firstLine="7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lastRenderedPageBreak/>
        <w:t>(ii)</w:t>
      </w:r>
      <w:r w:rsidRPr="00387050">
        <w:rPr>
          <w:rFonts w:ascii="Arial" w:hAnsi="Arial" w:cs="Arial"/>
          <w:color w:val="808080" w:themeColor="background1" w:themeShade="80"/>
          <w:sz w:val="22"/>
          <w:szCs w:val="22"/>
        </w:rPr>
        <w:tab/>
        <w:t>the company will summon a meeting of the company’s creditors to be held on a date not later than 30 days after the date of lodgment of the statutory declaration mentioned in paragraph (e); and</w:t>
      </w:r>
    </w:p>
    <w:p w14:paraId="0DF627D5" w14:textId="5479E9AD" w:rsidR="003F531E" w:rsidRPr="00387050" w:rsidRDefault="00393848" w:rsidP="00A473F0">
      <w:pPr>
        <w:pStyle w:val="NormalWeb"/>
        <w:ind w:left="1800" w:firstLine="7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(iii)</w:t>
      </w:r>
      <w:r w:rsidRPr="00387050">
        <w:rPr>
          <w:rFonts w:ascii="Arial" w:hAnsi="Arial" w:cs="Arial"/>
          <w:color w:val="808080" w:themeColor="background1" w:themeShade="80"/>
          <w:sz w:val="22"/>
          <w:szCs w:val="22"/>
        </w:rPr>
        <w:tab/>
        <w:t>the directors believe that one or more of the purposes of judicial management mentioned in section 89(1) is likely to be achieved</w:t>
      </w:r>
    </w:p>
    <w:p w14:paraId="7C06107D" w14:textId="397D30DD" w:rsidR="00567ED5" w:rsidRPr="00387050" w:rsidRDefault="00924869" w:rsidP="00A473F0">
      <w:pPr>
        <w:pStyle w:val="NormalWeb"/>
        <w:ind w:left="36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 xml:space="preserve">3. </w:t>
      </w:r>
      <w:r w:rsidR="00567ED5" w:rsidRPr="00387050">
        <w:rPr>
          <w:rFonts w:ascii="Arial" w:hAnsi="Arial" w:cs="Arial"/>
          <w:color w:val="808080" w:themeColor="background1" w:themeShade="80"/>
          <w:sz w:val="22"/>
          <w:szCs w:val="22"/>
        </w:rPr>
        <w:t>Upon the appointment of the interim judicial manager under subsection (3), the company must —</w:t>
      </w:r>
    </w:p>
    <w:p w14:paraId="0FB379A2" w14:textId="77777777" w:rsidR="00567ED5" w:rsidRPr="00387050" w:rsidRDefault="00567ED5" w:rsidP="00A473F0">
      <w:pPr>
        <w:pStyle w:val="NormalWeb"/>
        <w:ind w:left="1800" w:firstLine="7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(a)</w:t>
      </w:r>
      <w:r w:rsidRPr="00387050">
        <w:rPr>
          <w:rFonts w:ascii="Arial" w:hAnsi="Arial" w:cs="Arial"/>
          <w:color w:val="808080" w:themeColor="background1" w:themeShade="80"/>
          <w:sz w:val="22"/>
          <w:szCs w:val="22"/>
        </w:rPr>
        <w:tab/>
        <w:t>within 3 days after the appointment of the interim judicial manager, cause a written notice of the appointment to be lodged in the prescribed form with the Official Receiver and the Registrar of Companies; and</w:t>
      </w:r>
    </w:p>
    <w:p w14:paraId="76156C5A" w14:textId="2F35D1A9" w:rsidR="00F86C54" w:rsidRPr="00387050" w:rsidRDefault="00567ED5" w:rsidP="00A473F0">
      <w:pPr>
        <w:pStyle w:val="NormalWeb"/>
        <w:ind w:left="1800" w:firstLine="72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(b)</w:t>
      </w:r>
      <w:r w:rsidRPr="00387050">
        <w:rPr>
          <w:rFonts w:ascii="Arial" w:hAnsi="Arial" w:cs="Arial"/>
          <w:color w:val="808080" w:themeColor="background1" w:themeShade="80"/>
          <w:sz w:val="22"/>
          <w:szCs w:val="22"/>
        </w:rPr>
        <w:tab/>
        <w:t>within 7 days after the lodgment of the notice under paragraph (a), cause a notice of the appointment to be published in the Gazette and in an English local daily newspaper.</w:t>
      </w:r>
    </w:p>
    <w:p w14:paraId="3EB91AD5" w14:textId="7466B4C7" w:rsidR="00CC7DB7" w:rsidRPr="00387050" w:rsidRDefault="005E20DD" w:rsidP="00A473F0">
      <w:pPr>
        <w:pStyle w:val="NormalWeb"/>
        <w:ind w:left="36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 xml:space="preserve">4. </w:t>
      </w:r>
      <w:r w:rsidR="000341D3" w:rsidRPr="00387050">
        <w:rPr>
          <w:rFonts w:ascii="Arial" w:hAnsi="Arial" w:cs="Arial"/>
          <w:color w:val="808080" w:themeColor="background1" w:themeShade="80"/>
          <w:sz w:val="22"/>
          <w:szCs w:val="22"/>
        </w:rPr>
        <w:t xml:space="preserve">After the lodgment of the statutory declaration mentioned in subsection </w:t>
      </w:r>
      <w:r w:rsidR="005A48EB" w:rsidRPr="00387050">
        <w:rPr>
          <w:rFonts w:ascii="Arial" w:hAnsi="Arial" w:cs="Arial"/>
          <w:color w:val="808080" w:themeColor="background1" w:themeShade="80"/>
          <w:sz w:val="22"/>
          <w:szCs w:val="22"/>
        </w:rPr>
        <w:t>94</w:t>
      </w:r>
      <w:r w:rsidR="000341D3" w:rsidRPr="00387050">
        <w:rPr>
          <w:rFonts w:ascii="Arial" w:hAnsi="Arial" w:cs="Arial"/>
          <w:color w:val="808080" w:themeColor="background1" w:themeShade="80"/>
          <w:sz w:val="22"/>
          <w:szCs w:val="22"/>
        </w:rPr>
        <w:t>(3)(e), the company must convene a meeting of the creditors of the company to be held not later than 30 days after the date of lodgment of the statutory declaration, at a time and place convenient to the majority in value of the creditors, to consider a resolution for the company to be placed under judicial management.</w:t>
      </w:r>
    </w:p>
    <w:p w14:paraId="0AB10C91" w14:textId="21B559FF" w:rsidR="00513AF8" w:rsidRPr="00387050" w:rsidRDefault="00513AF8" w:rsidP="00A473F0">
      <w:pPr>
        <w:pStyle w:val="NormalWeb"/>
        <w:ind w:left="36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The company must, in convening the</w:t>
      </w:r>
      <w:r w:rsidR="00A85550" w:rsidRPr="00387050">
        <w:rPr>
          <w:rFonts w:ascii="Arial" w:hAnsi="Arial" w:cs="Arial"/>
          <w:color w:val="808080" w:themeColor="background1" w:themeShade="80"/>
          <w:sz w:val="22"/>
          <w:szCs w:val="22"/>
        </w:rPr>
        <w:t xml:space="preserve"> above</w:t>
      </w:r>
      <w:r w:rsidRPr="00387050">
        <w:rPr>
          <w:rFonts w:ascii="Arial" w:hAnsi="Arial" w:cs="Arial"/>
          <w:color w:val="808080" w:themeColor="background1" w:themeShade="80"/>
          <w:sz w:val="22"/>
          <w:szCs w:val="22"/>
        </w:rPr>
        <w:t xml:space="preserve"> meeting —</w:t>
      </w:r>
    </w:p>
    <w:p w14:paraId="453BCFB2" w14:textId="77777777" w:rsidR="00513AF8" w:rsidRPr="00387050" w:rsidRDefault="00513AF8" w:rsidP="00A473F0">
      <w:pPr>
        <w:pStyle w:val="NormalWeb"/>
        <w:ind w:left="36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(a)</w:t>
      </w:r>
      <w:r w:rsidRPr="00387050">
        <w:rPr>
          <w:rFonts w:ascii="Arial" w:hAnsi="Arial" w:cs="Arial"/>
          <w:color w:val="808080" w:themeColor="background1" w:themeShade="80"/>
          <w:sz w:val="22"/>
          <w:szCs w:val="22"/>
        </w:rPr>
        <w:tab/>
        <w:t>give to the creditors at least 14 days’ written notice of the meeting, together with —</w:t>
      </w:r>
    </w:p>
    <w:p w14:paraId="229BC246" w14:textId="77777777" w:rsidR="00513AF8" w:rsidRPr="00387050" w:rsidRDefault="00513AF8" w:rsidP="00A473F0">
      <w:pPr>
        <w:pStyle w:val="NormalWeb"/>
        <w:ind w:left="36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(i)</w:t>
      </w:r>
      <w:r w:rsidRPr="00387050">
        <w:rPr>
          <w:rFonts w:ascii="Arial" w:hAnsi="Arial" w:cs="Arial"/>
          <w:color w:val="808080" w:themeColor="background1" w:themeShade="80"/>
          <w:sz w:val="22"/>
          <w:szCs w:val="22"/>
        </w:rPr>
        <w:tab/>
        <w:t>a statement showing the names of all creditors and the amounts of their claims; and</w:t>
      </w:r>
    </w:p>
    <w:p w14:paraId="4C78AC67" w14:textId="77777777" w:rsidR="00513AF8" w:rsidRPr="00387050" w:rsidRDefault="00513AF8" w:rsidP="00A473F0">
      <w:pPr>
        <w:pStyle w:val="NormalWeb"/>
        <w:ind w:left="36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(ii)</w:t>
      </w:r>
      <w:r w:rsidRPr="00387050">
        <w:rPr>
          <w:rFonts w:ascii="Arial" w:hAnsi="Arial" w:cs="Arial"/>
          <w:color w:val="808080" w:themeColor="background1" w:themeShade="80"/>
          <w:sz w:val="22"/>
          <w:szCs w:val="22"/>
        </w:rPr>
        <w:tab/>
        <w:t>a full statement of the company’s affairs showing in respect of the company’s assets or property the method and manner in which the valuation of the assets or property was arrived at; and</w:t>
      </w:r>
    </w:p>
    <w:p w14:paraId="23322A49" w14:textId="396B72AD" w:rsidR="00513AF8" w:rsidRPr="00387050" w:rsidRDefault="00513AF8" w:rsidP="00A473F0">
      <w:pPr>
        <w:pStyle w:val="NormalWeb"/>
        <w:ind w:left="36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(b)</w:t>
      </w:r>
      <w:r w:rsidRPr="00387050">
        <w:rPr>
          <w:rFonts w:ascii="Arial" w:hAnsi="Arial" w:cs="Arial"/>
          <w:color w:val="808080" w:themeColor="background1" w:themeShade="80"/>
          <w:sz w:val="22"/>
          <w:szCs w:val="22"/>
        </w:rPr>
        <w:tab/>
        <w:t>cause notice of the meeting of the creditors to be published at least 10 days before the date of the meeting in an English local daily newspaper.</w:t>
      </w:r>
    </w:p>
    <w:p w14:paraId="2F0463E0" w14:textId="77777777" w:rsidR="000742B2" w:rsidRPr="00387050" w:rsidRDefault="0060370A" w:rsidP="00A473F0">
      <w:pPr>
        <w:pStyle w:val="NormalWeb"/>
        <w:ind w:left="36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 xml:space="preserve">The directors of the company must appoint at least one of their number to attend the meeting above. </w:t>
      </w:r>
      <w:r w:rsidR="00BA5DFB" w:rsidRPr="00387050">
        <w:rPr>
          <w:rFonts w:ascii="Arial" w:hAnsi="Arial" w:cs="Arial"/>
          <w:color w:val="808080" w:themeColor="background1" w:themeShade="80"/>
          <w:sz w:val="22"/>
          <w:szCs w:val="22"/>
        </w:rPr>
        <w:t xml:space="preserve"> Each director appointed to attend the meeting, and the secretary of the company, must attend the meeting and disclose to the meeting the company’s affairs and the circumstances leading up to the proposed judicial management.</w:t>
      </w:r>
    </w:p>
    <w:p w14:paraId="5A3BBABD" w14:textId="017BCDB8" w:rsidR="000742B2" w:rsidRPr="00387050" w:rsidRDefault="000742B2" w:rsidP="00A473F0">
      <w:pPr>
        <w:pStyle w:val="NormalWeb"/>
        <w:numPr>
          <w:ilvl w:val="0"/>
          <w:numId w:val="15"/>
        </w:numPr>
        <w:tabs>
          <w:tab w:val="clear" w:pos="720"/>
          <w:tab w:val="num" w:pos="1080"/>
        </w:tabs>
        <w:ind w:left="108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At the meeting</w:t>
      </w:r>
      <w:r w:rsidR="005D1296" w:rsidRPr="00387050">
        <w:rPr>
          <w:rFonts w:ascii="Arial" w:hAnsi="Arial" w:cs="Arial"/>
          <w:color w:val="808080" w:themeColor="background1" w:themeShade="80"/>
          <w:sz w:val="22"/>
          <w:szCs w:val="22"/>
        </w:rPr>
        <w:t xml:space="preserve"> of creditors</w:t>
      </w:r>
      <w:r w:rsidRPr="00387050">
        <w:rPr>
          <w:rFonts w:ascii="Arial" w:hAnsi="Arial" w:cs="Arial"/>
          <w:color w:val="808080" w:themeColor="background1" w:themeShade="80"/>
          <w:sz w:val="22"/>
          <w:szCs w:val="22"/>
        </w:rPr>
        <w:t>—</w:t>
      </w:r>
    </w:p>
    <w:p w14:paraId="4077B9B4" w14:textId="77777777" w:rsidR="000742B2" w:rsidRPr="00387050" w:rsidRDefault="000742B2" w:rsidP="00A473F0">
      <w:pPr>
        <w:pStyle w:val="NormalWeb"/>
        <w:ind w:left="180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(a)</w:t>
      </w:r>
      <w:r w:rsidRPr="00387050">
        <w:rPr>
          <w:rFonts w:ascii="Arial" w:hAnsi="Arial" w:cs="Arial"/>
          <w:color w:val="808080" w:themeColor="background1" w:themeShade="80"/>
          <w:sz w:val="22"/>
          <w:szCs w:val="22"/>
        </w:rPr>
        <w:tab/>
        <w:t>the creditors may appoint one of their number, the interim judicial manager, or any director appointed under subsection (9), to be chairperson of the meeting (called in this section the chairperson);</w:t>
      </w:r>
    </w:p>
    <w:p w14:paraId="4C1C0E73" w14:textId="77777777" w:rsidR="000742B2" w:rsidRPr="00387050" w:rsidRDefault="000742B2" w:rsidP="00A473F0">
      <w:pPr>
        <w:pStyle w:val="NormalWeb"/>
        <w:ind w:left="180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(b)</w:t>
      </w:r>
      <w:r w:rsidRPr="00387050">
        <w:rPr>
          <w:rFonts w:ascii="Arial" w:hAnsi="Arial" w:cs="Arial"/>
          <w:color w:val="808080" w:themeColor="background1" w:themeShade="80"/>
          <w:sz w:val="22"/>
          <w:szCs w:val="22"/>
        </w:rPr>
        <w:tab/>
        <w:t>the chairperson must determine whether the meeting is being held at a time and place convenient to the majority in value of the creditors, and the chairperson’s decision is final;</w:t>
      </w:r>
    </w:p>
    <w:p w14:paraId="6B63265E" w14:textId="77777777" w:rsidR="000742B2" w:rsidRPr="00387050" w:rsidRDefault="000742B2" w:rsidP="00A473F0">
      <w:pPr>
        <w:pStyle w:val="NormalWeb"/>
        <w:ind w:left="180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lastRenderedPageBreak/>
        <w:t>(c)</w:t>
      </w:r>
      <w:r w:rsidRPr="00387050">
        <w:rPr>
          <w:rFonts w:ascii="Arial" w:hAnsi="Arial" w:cs="Arial"/>
          <w:color w:val="808080" w:themeColor="background1" w:themeShade="80"/>
          <w:sz w:val="22"/>
          <w:szCs w:val="22"/>
        </w:rPr>
        <w:tab/>
        <w:t>if the chairperson decides that the meeting is not being held at a time and place convenient to that majority, the meeting lapses and a further meeting must be summoned by the company as soon as is practicable;</w:t>
      </w:r>
    </w:p>
    <w:p w14:paraId="55C3E71F" w14:textId="77777777" w:rsidR="000742B2" w:rsidRPr="00387050" w:rsidRDefault="000742B2" w:rsidP="00A473F0">
      <w:pPr>
        <w:pStyle w:val="NormalWeb"/>
        <w:ind w:left="180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(d)</w:t>
      </w:r>
      <w:r w:rsidRPr="00387050">
        <w:rPr>
          <w:rFonts w:ascii="Arial" w:hAnsi="Arial" w:cs="Arial"/>
          <w:color w:val="808080" w:themeColor="background1" w:themeShade="80"/>
          <w:sz w:val="22"/>
          <w:szCs w:val="22"/>
        </w:rPr>
        <w:tab/>
        <w:t>the company is placed under the judicial management of a judicial manager if a majority in number and value of the creditors present and voting resolve to do so; and</w:t>
      </w:r>
    </w:p>
    <w:p w14:paraId="79D32E9E" w14:textId="436041D5" w:rsidR="00F86C54" w:rsidRPr="00387050" w:rsidRDefault="000742B2" w:rsidP="00A473F0">
      <w:pPr>
        <w:pStyle w:val="NormalWeb"/>
        <w:ind w:left="1800"/>
        <w:jc w:val="both"/>
        <w:rPr>
          <w:rFonts w:ascii="Arial" w:hAnsi="Arial" w:cs="Arial"/>
          <w:color w:val="808080" w:themeColor="background1" w:themeShade="80"/>
          <w:sz w:val="22"/>
          <w:szCs w:val="22"/>
        </w:rPr>
      </w:pPr>
      <w:r w:rsidRPr="00387050">
        <w:rPr>
          <w:rFonts w:ascii="Arial" w:hAnsi="Arial" w:cs="Arial"/>
          <w:color w:val="808080" w:themeColor="background1" w:themeShade="80"/>
          <w:sz w:val="22"/>
          <w:szCs w:val="22"/>
        </w:rPr>
        <w:t>(e)</w:t>
      </w:r>
      <w:r w:rsidRPr="00387050">
        <w:rPr>
          <w:rFonts w:ascii="Arial" w:hAnsi="Arial" w:cs="Arial"/>
          <w:color w:val="808080" w:themeColor="background1" w:themeShade="80"/>
          <w:sz w:val="22"/>
          <w:szCs w:val="22"/>
        </w:rPr>
        <w:tab/>
        <w:t>where the meeting passes a resolution to place the company under the judicial management of a judicial manager, the meeting must approve, by a majority in number and value of the creditors of the company present and voting, the appointment of a person as judicial manager.</w:t>
      </w:r>
    </w:p>
    <w:p w14:paraId="271E5B75" w14:textId="6E7AAEA2" w:rsidR="0048687C" w:rsidRPr="00A473F0" w:rsidRDefault="00F86C54" w:rsidP="00A473F0">
      <w:pPr>
        <w:pStyle w:val="NormalWeb"/>
        <w:numPr>
          <w:ilvl w:val="0"/>
          <w:numId w:val="15"/>
        </w:numPr>
        <w:tabs>
          <w:tab w:val="clear" w:pos="720"/>
          <w:tab w:val="num" w:pos="1080"/>
        </w:tabs>
        <w:ind w:left="1080"/>
        <w:jc w:val="both"/>
        <w:rPr>
          <w:rFonts w:ascii="Arial" w:hAnsi="Arial" w:cs="Arial"/>
          <w:b/>
          <w:bCs/>
          <w:color w:val="808080" w:themeColor="background1" w:themeShade="80"/>
          <w:sz w:val="22"/>
          <w:szCs w:val="22"/>
        </w:rPr>
      </w:pPr>
      <w:r w:rsidRPr="00387050">
        <w:rPr>
          <w:rFonts w:ascii="Arial" w:hAnsi="Arial" w:cs="Arial"/>
          <w:color w:val="808080" w:themeColor="background1" w:themeShade="80"/>
          <w:sz w:val="22"/>
          <w:szCs w:val="22"/>
        </w:rPr>
        <w:t xml:space="preserve"> If the requisite majority of creditors resolve to place the company under judicial management, it will enter judicial management. If the requisite majority is</w:t>
      </w:r>
      <w:r w:rsidR="00F15316" w:rsidRPr="00387050">
        <w:rPr>
          <w:rFonts w:ascii="Arial" w:hAnsi="Arial" w:cs="Arial"/>
          <w:color w:val="808080" w:themeColor="background1" w:themeShade="80"/>
          <w:sz w:val="22"/>
          <w:szCs w:val="22"/>
        </w:rPr>
        <w:t xml:space="preserve"> </w:t>
      </w:r>
      <w:r w:rsidRPr="00387050">
        <w:rPr>
          <w:rFonts w:ascii="Arial" w:hAnsi="Arial" w:cs="Arial"/>
          <w:color w:val="808080" w:themeColor="background1" w:themeShade="80"/>
          <w:sz w:val="22"/>
          <w:szCs w:val="22"/>
        </w:rPr>
        <w:t>not obtained, the process ends</w:t>
      </w:r>
    </w:p>
    <w:p w14:paraId="3A50D09A" w14:textId="495F6B34" w:rsidR="000341D3" w:rsidRPr="00A473F0" w:rsidRDefault="000341D3" w:rsidP="00A473F0">
      <w:pPr>
        <w:pStyle w:val="NormalWeb"/>
        <w:ind w:left="360"/>
        <w:jc w:val="both"/>
        <w:rPr>
          <w:rFonts w:ascii="Arial" w:hAnsi="Arial" w:cs="Arial"/>
          <w:b/>
          <w:bCs/>
          <w:color w:val="808080" w:themeColor="background1" w:themeShade="80"/>
          <w:sz w:val="22"/>
          <w:szCs w:val="22"/>
        </w:rPr>
      </w:pPr>
    </w:p>
    <w:p w14:paraId="441F0FC9" w14:textId="488EBE11" w:rsidR="0052138D" w:rsidRPr="00A473F0" w:rsidRDefault="007F1703" w:rsidP="00A473F0">
      <w:pPr>
        <w:pStyle w:val="NormalWeb"/>
        <w:ind w:left="360"/>
        <w:jc w:val="both"/>
        <w:rPr>
          <w:rFonts w:ascii="Arial" w:hAnsi="Arial" w:cs="Arial"/>
          <w:b/>
          <w:bCs/>
          <w:color w:val="808080" w:themeColor="background1" w:themeShade="80"/>
          <w:sz w:val="22"/>
          <w:szCs w:val="22"/>
        </w:rPr>
      </w:pPr>
      <w:r w:rsidRPr="00A473F0">
        <w:rPr>
          <w:rFonts w:ascii="Arial" w:hAnsi="Arial" w:cs="Arial"/>
          <w:b/>
          <w:bCs/>
          <w:color w:val="808080" w:themeColor="background1" w:themeShade="80"/>
          <w:sz w:val="22"/>
          <w:szCs w:val="22"/>
        </w:rPr>
        <w:t>Different between Voluntary Judicial Management and Court appointed Judicial Management</w:t>
      </w:r>
    </w:p>
    <w:p w14:paraId="3630AF21" w14:textId="24698867" w:rsidR="00D875A7" w:rsidRPr="00A473F0" w:rsidRDefault="00D875A7" w:rsidP="0036082E">
      <w:pPr>
        <w:pStyle w:val="ListParagraph"/>
        <w:numPr>
          <w:ilvl w:val="1"/>
          <w:numId w:val="15"/>
        </w:numPr>
        <w:tabs>
          <w:tab w:val="clear" w:pos="1440"/>
          <w:tab w:val="left" w:pos="1134"/>
          <w:tab w:val="num" w:pos="1800"/>
        </w:tabs>
        <w:spacing w:before="100" w:beforeAutospacing="1" w:after="100" w:afterAutospacing="1"/>
        <w:ind w:left="1985" w:hanging="1374"/>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Commencement of Judicial Management</w:t>
      </w:r>
    </w:p>
    <w:p w14:paraId="05753E1B" w14:textId="77777777" w:rsidR="00D875A7" w:rsidRPr="00A473F0" w:rsidRDefault="00D875A7" w:rsidP="0036082E">
      <w:pPr>
        <w:pStyle w:val="ListParagraph"/>
        <w:tabs>
          <w:tab w:val="left" w:pos="1134"/>
        </w:tabs>
        <w:spacing w:before="100" w:beforeAutospacing="1" w:after="100" w:afterAutospacing="1"/>
        <w:ind w:left="1985" w:hanging="1374"/>
        <w:jc w:val="both"/>
        <w:rPr>
          <w:rFonts w:ascii="Arial" w:hAnsi="Arial" w:cs="Arial"/>
          <w:b/>
          <w:bCs/>
          <w:color w:val="808080" w:themeColor="background1" w:themeShade="80"/>
          <w:sz w:val="22"/>
          <w:szCs w:val="22"/>
        </w:rPr>
      </w:pPr>
    </w:p>
    <w:p w14:paraId="004AC28B" w14:textId="4AA62D41" w:rsidR="00D875A7" w:rsidRPr="00A473F0" w:rsidRDefault="00D875A7" w:rsidP="007D72E5">
      <w:pPr>
        <w:pStyle w:val="ListParagraph"/>
        <w:numPr>
          <w:ilvl w:val="0"/>
          <w:numId w:val="40"/>
        </w:numPr>
        <w:tabs>
          <w:tab w:val="left" w:pos="1134"/>
        </w:tabs>
        <w:spacing w:before="100" w:beforeAutospacing="1" w:after="100" w:afterAutospacing="1"/>
        <w:jc w:val="both"/>
        <w:rPr>
          <w:rFonts w:ascii="Arial" w:hAnsi="Arial" w:cs="Arial"/>
          <w:color w:val="808080" w:themeColor="background1" w:themeShade="80"/>
          <w:sz w:val="22"/>
          <w:szCs w:val="22"/>
        </w:rPr>
      </w:pPr>
      <w:r w:rsidRPr="007664AD">
        <w:rPr>
          <w:rFonts w:ascii="Arial" w:hAnsi="Arial" w:cs="Arial"/>
          <w:color w:val="808080" w:themeColor="background1" w:themeShade="80"/>
          <w:sz w:val="22"/>
          <w:szCs w:val="22"/>
        </w:rPr>
        <w:t xml:space="preserve">judicial management commenced by creditors’ resolution: </w:t>
      </w:r>
      <w:r w:rsidRPr="00A473F0">
        <w:rPr>
          <w:rFonts w:ascii="Arial" w:hAnsi="Arial" w:cs="Arial"/>
          <w:color w:val="808080" w:themeColor="background1" w:themeShade="80"/>
          <w:sz w:val="22"/>
          <w:szCs w:val="22"/>
        </w:rPr>
        <w:t xml:space="preserve"> </w:t>
      </w:r>
      <w:r w:rsidR="007F1703" w:rsidRPr="00A473F0">
        <w:rPr>
          <w:rFonts w:ascii="Arial" w:hAnsi="Arial" w:cs="Arial"/>
          <w:color w:val="808080" w:themeColor="background1" w:themeShade="80"/>
          <w:sz w:val="22"/>
          <w:szCs w:val="22"/>
        </w:rPr>
        <w:t>judicial</w:t>
      </w:r>
      <w:r w:rsidR="007664AD">
        <w:rPr>
          <w:rFonts w:ascii="Arial" w:hAnsi="Arial" w:cs="Arial"/>
          <w:color w:val="808080" w:themeColor="background1" w:themeShade="80"/>
          <w:sz w:val="22"/>
          <w:szCs w:val="22"/>
        </w:rPr>
        <w:t xml:space="preserve"> </w:t>
      </w:r>
      <w:r w:rsidR="007F1703" w:rsidRPr="00A473F0">
        <w:rPr>
          <w:rFonts w:ascii="Arial" w:hAnsi="Arial" w:cs="Arial"/>
          <w:color w:val="808080" w:themeColor="background1" w:themeShade="80"/>
          <w:sz w:val="22"/>
          <w:szCs w:val="22"/>
        </w:rPr>
        <w:t>management is commenced through a creditors’ resolution by a majority in value (of the total amount of the creditors’ claims) and in number of creditors present and voting</w:t>
      </w:r>
    </w:p>
    <w:p w14:paraId="1F32E41E" w14:textId="25942C1A" w:rsidR="007F1703" w:rsidRPr="00A473F0" w:rsidRDefault="00D875A7" w:rsidP="007D72E5">
      <w:pPr>
        <w:pStyle w:val="ListParagraph"/>
        <w:numPr>
          <w:ilvl w:val="0"/>
          <w:numId w:val="40"/>
        </w:numPr>
        <w:tabs>
          <w:tab w:val="left" w:pos="1134"/>
        </w:tabs>
        <w:spacing w:before="100" w:beforeAutospacing="1" w:after="100" w:afterAutospacing="1"/>
        <w:jc w:val="both"/>
        <w:rPr>
          <w:rFonts w:ascii="Arial" w:hAnsi="Arial" w:cs="Arial"/>
          <w:color w:val="808080" w:themeColor="background1" w:themeShade="80"/>
          <w:sz w:val="22"/>
          <w:szCs w:val="22"/>
        </w:rPr>
      </w:pPr>
      <w:r w:rsidRPr="0068685D">
        <w:rPr>
          <w:rFonts w:ascii="Arial" w:hAnsi="Arial" w:cs="Arial"/>
          <w:color w:val="808080" w:themeColor="background1" w:themeShade="80"/>
          <w:sz w:val="22"/>
          <w:szCs w:val="22"/>
        </w:rPr>
        <w:t>judicial management commenced by court order:</w:t>
      </w:r>
      <w:r w:rsidRPr="00A473F0">
        <w:rPr>
          <w:rFonts w:ascii="Arial" w:hAnsi="Arial" w:cs="Arial"/>
          <w:color w:val="808080" w:themeColor="background1" w:themeShade="80"/>
          <w:sz w:val="22"/>
          <w:szCs w:val="22"/>
        </w:rPr>
        <w:t xml:space="preserve"> can be commenced</w:t>
      </w:r>
      <w:r w:rsidR="007F1703" w:rsidRPr="00A473F0">
        <w:rPr>
          <w:rFonts w:ascii="Arial" w:hAnsi="Arial" w:cs="Arial"/>
          <w:color w:val="808080" w:themeColor="background1" w:themeShade="80"/>
          <w:sz w:val="22"/>
          <w:szCs w:val="22"/>
        </w:rPr>
        <w:t xml:space="preserve"> by a single creditor </w:t>
      </w:r>
    </w:p>
    <w:p w14:paraId="0D0EE935" w14:textId="77777777" w:rsidR="007F1703" w:rsidRPr="00A473F0" w:rsidRDefault="007F1703" w:rsidP="0036082E">
      <w:pPr>
        <w:pStyle w:val="ListParagraph"/>
        <w:tabs>
          <w:tab w:val="left" w:pos="1134"/>
        </w:tabs>
        <w:spacing w:before="100" w:beforeAutospacing="1" w:after="100" w:afterAutospacing="1"/>
        <w:ind w:left="1985" w:hanging="1374"/>
        <w:jc w:val="both"/>
        <w:rPr>
          <w:rFonts w:ascii="Arial" w:hAnsi="Arial" w:cs="Arial"/>
          <w:color w:val="808080" w:themeColor="background1" w:themeShade="80"/>
          <w:sz w:val="22"/>
          <w:szCs w:val="22"/>
        </w:rPr>
      </w:pPr>
    </w:p>
    <w:p w14:paraId="3C086E6F" w14:textId="77777777" w:rsidR="00D875A7" w:rsidRPr="00A473F0" w:rsidRDefault="00D875A7" w:rsidP="0036082E">
      <w:pPr>
        <w:pStyle w:val="ListParagraph"/>
        <w:numPr>
          <w:ilvl w:val="1"/>
          <w:numId w:val="15"/>
        </w:numPr>
        <w:tabs>
          <w:tab w:val="clear" w:pos="1440"/>
          <w:tab w:val="left" w:pos="1134"/>
          <w:tab w:val="num" w:pos="1800"/>
        </w:tabs>
        <w:spacing w:before="100" w:beforeAutospacing="1" w:after="100" w:afterAutospacing="1"/>
        <w:ind w:left="1985" w:hanging="1374"/>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Appointment of Interim Judicial Manager</w:t>
      </w:r>
    </w:p>
    <w:p w14:paraId="07BC634A" w14:textId="77777777" w:rsidR="00D875A7" w:rsidRPr="00A473F0" w:rsidRDefault="00D875A7" w:rsidP="0036082E">
      <w:pPr>
        <w:pStyle w:val="ListParagraph"/>
        <w:tabs>
          <w:tab w:val="left" w:pos="1134"/>
        </w:tabs>
        <w:spacing w:before="100" w:beforeAutospacing="1" w:after="100" w:afterAutospacing="1"/>
        <w:ind w:left="1985" w:hanging="1374"/>
        <w:jc w:val="both"/>
        <w:rPr>
          <w:rFonts w:ascii="Arial" w:hAnsi="Arial" w:cs="Arial"/>
          <w:b/>
          <w:bCs/>
          <w:color w:val="808080" w:themeColor="background1" w:themeShade="80"/>
          <w:sz w:val="22"/>
          <w:szCs w:val="22"/>
        </w:rPr>
      </w:pPr>
    </w:p>
    <w:p w14:paraId="7E660FF6" w14:textId="3CE48B9A" w:rsidR="007F1703" w:rsidRPr="00A473F0" w:rsidRDefault="00D875A7" w:rsidP="0068685D">
      <w:pPr>
        <w:pStyle w:val="ListParagraph"/>
        <w:numPr>
          <w:ilvl w:val="0"/>
          <w:numId w:val="41"/>
        </w:numPr>
        <w:tabs>
          <w:tab w:val="left" w:pos="1134"/>
        </w:tabs>
        <w:spacing w:before="100" w:beforeAutospacing="1" w:after="100" w:afterAutospacing="1"/>
        <w:jc w:val="both"/>
        <w:rPr>
          <w:rFonts w:ascii="Arial" w:hAnsi="Arial" w:cs="Arial"/>
          <w:color w:val="808080" w:themeColor="background1" w:themeShade="80"/>
          <w:sz w:val="22"/>
          <w:szCs w:val="22"/>
        </w:rPr>
      </w:pPr>
      <w:r w:rsidRPr="00A473F0">
        <w:rPr>
          <w:rFonts w:ascii="Arial" w:hAnsi="Arial" w:cs="Arial"/>
          <w:b/>
          <w:bCs/>
          <w:color w:val="808080" w:themeColor="background1" w:themeShade="80"/>
          <w:sz w:val="22"/>
          <w:szCs w:val="22"/>
        </w:rPr>
        <w:t>judicial management commenced by creditors’ resolution</w:t>
      </w:r>
      <w:r w:rsidRPr="00A473F0">
        <w:rPr>
          <w:rFonts w:ascii="Arial" w:hAnsi="Arial" w:cs="Arial"/>
          <w:color w:val="808080" w:themeColor="background1" w:themeShade="80"/>
          <w:sz w:val="22"/>
          <w:szCs w:val="22"/>
        </w:rPr>
        <w:t xml:space="preserve">: </w:t>
      </w:r>
      <w:r w:rsidR="007F1703" w:rsidRPr="00A473F0">
        <w:rPr>
          <w:rFonts w:ascii="Arial" w:hAnsi="Arial" w:cs="Arial"/>
          <w:color w:val="808080" w:themeColor="background1" w:themeShade="80"/>
          <w:sz w:val="22"/>
          <w:szCs w:val="22"/>
        </w:rPr>
        <w:t>an interim judicial manager must be appointed before the creditors meet to vote on the resolution for a formal judicial manager.</w:t>
      </w:r>
    </w:p>
    <w:p w14:paraId="7B5EC695" w14:textId="72247DA6" w:rsidR="00D875A7" w:rsidRPr="00A473F0" w:rsidRDefault="00D875A7" w:rsidP="0068685D">
      <w:pPr>
        <w:pStyle w:val="ListParagraph"/>
        <w:numPr>
          <w:ilvl w:val="0"/>
          <w:numId w:val="41"/>
        </w:numPr>
        <w:tabs>
          <w:tab w:val="left" w:pos="1134"/>
        </w:tabs>
        <w:spacing w:before="100" w:beforeAutospacing="1" w:after="100" w:afterAutospacing="1"/>
        <w:jc w:val="both"/>
        <w:rPr>
          <w:rFonts w:ascii="Arial" w:hAnsi="Arial" w:cs="Arial"/>
          <w:color w:val="808080" w:themeColor="background1" w:themeShade="80"/>
          <w:sz w:val="22"/>
          <w:szCs w:val="22"/>
        </w:rPr>
      </w:pPr>
      <w:r w:rsidRPr="00A473F0">
        <w:rPr>
          <w:rFonts w:ascii="Arial" w:hAnsi="Arial" w:cs="Arial"/>
          <w:b/>
          <w:bCs/>
          <w:color w:val="808080" w:themeColor="background1" w:themeShade="80"/>
          <w:sz w:val="22"/>
          <w:szCs w:val="22"/>
        </w:rPr>
        <w:t xml:space="preserve">judicial management commenced by court order: </w:t>
      </w:r>
      <w:r w:rsidRPr="00A473F0">
        <w:rPr>
          <w:rFonts w:ascii="Arial" w:hAnsi="Arial" w:cs="Arial"/>
          <w:color w:val="808080" w:themeColor="background1" w:themeShade="80"/>
          <w:sz w:val="22"/>
          <w:szCs w:val="22"/>
        </w:rPr>
        <w:t>Not compulsory to appoint an interim judicial manager</w:t>
      </w:r>
    </w:p>
    <w:p w14:paraId="03E0116E" w14:textId="7FE9E13A" w:rsidR="00D875A7" w:rsidRPr="00A473F0" w:rsidRDefault="00D875A7" w:rsidP="0036082E">
      <w:pPr>
        <w:pStyle w:val="ListParagraph"/>
        <w:tabs>
          <w:tab w:val="left" w:pos="1134"/>
        </w:tabs>
        <w:ind w:left="1985" w:hanging="1374"/>
        <w:jc w:val="both"/>
        <w:rPr>
          <w:rFonts w:ascii="Arial" w:hAnsi="Arial" w:cs="Arial"/>
          <w:color w:val="808080" w:themeColor="background1" w:themeShade="80"/>
          <w:sz w:val="22"/>
          <w:szCs w:val="22"/>
        </w:rPr>
      </w:pPr>
    </w:p>
    <w:p w14:paraId="4A7277CA" w14:textId="3DD02C6D" w:rsidR="00D875A7" w:rsidRPr="00A473F0" w:rsidRDefault="00D875A7" w:rsidP="007B183F">
      <w:pPr>
        <w:pStyle w:val="ListParagraph"/>
        <w:numPr>
          <w:ilvl w:val="1"/>
          <w:numId w:val="15"/>
        </w:numPr>
        <w:tabs>
          <w:tab w:val="clear" w:pos="1440"/>
          <w:tab w:val="left" w:pos="1134"/>
          <w:tab w:val="num" w:pos="1800"/>
        </w:tabs>
        <w:ind w:left="1134" w:hanging="567"/>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Interim Moratorium</w:t>
      </w:r>
      <w:r w:rsidR="00294317" w:rsidRPr="00A473F0">
        <w:rPr>
          <w:rFonts w:ascii="Arial" w:hAnsi="Arial" w:cs="Arial"/>
          <w:color w:val="808080" w:themeColor="background1" w:themeShade="80"/>
          <w:sz w:val="22"/>
          <w:szCs w:val="22"/>
        </w:rPr>
        <w:t>/automatic moratorium period is provided to the company</w:t>
      </w:r>
      <w:r w:rsidR="00C85824">
        <w:rPr>
          <w:rFonts w:ascii="Arial" w:hAnsi="Arial" w:cs="Arial"/>
          <w:color w:val="808080" w:themeColor="background1" w:themeShade="80"/>
          <w:sz w:val="22"/>
          <w:szCs w:val="22"/>
        </w:rPr>
        <w:t xml:space="preserve"> </w:t>
      </w:r>
      <w:r w:rsidR="00294317" w:rsidRPr="00A473F0">
        <w:rPr>
          <w:rFonts w:ascii="Arial" w:hAnsi="Arial" w:cs="Arial"/>
          <w:color w:val="808080" w:themeColor="background1" w:themeShade="80"/>
          <w:sz w:val="22"/>
          <w:szCs w:val="22"/>
        </w:rPr>
        <w:t xml:space="preserve">before the formal judicial management begins which restrain certain action being taken against the company. </w:t>
      </w:r>
    </w:p>
    <w:p w14:paraId="48FCC251" w14:textId="77777777" w:rsidR="00072058" w:rsidRPr="00A473F0" w:rsidRDefault="00072058" w:rsidP="0036082E">
      <w:pPr>
        <w:pStyle w:val="ListParagraph"/>
        <w:tabs>
          <w:tab w:val="left" w:pos="1134"/>
        </w:tabs>
        <w:ind w:left="1985" w:hanging="1374"/>
        <w:jc w:val="both"/>
        <w:rPr>
          <w:rFonts w:ascii="Arial" w:hAnsi="Arial" w:cs="Arial"/>
          <w:color w:val="808080" w:themeColor="background1" w:themeShade="80"/>
          <w:sz w:val="22"/>
          <w:szCs w:val="22"/>
        </w:rPr>
      </w:pPr>
    </w:p>
    <w:p w14:paraId="2DAF09F1" w14:textId="3DF8193C" w:rsidR="001D205C" w:rsidRPr="00A473F0" w:rsidRDefault="00D875A7" w:rsidP="00A55207">
      <w:pPr>
        <w:tabs>
          <w:tab w:val="left" w:pos="1134"/>
        </w:tabs>
        <w:ind w:left="1276" w:hanging="142"/>
        <w:jc w:val="both"/>
        <w:rPr>
          <w:rFonts w:ascii="Arial" w:hAnsi="Arial" w:cs="Arial"/>
          <w:color w:val="808080" w:themeColor="background1" w:themeShade="80"/>
          <w:sz w:val="22"/>
          <w:szCs w:val="22"/>
          <w:shd w:val="clear" w:color="auto" w:fill="FFFFFF"/>
        </w:rPr>
      </w:pPr>
      <w:r w:rsidRPr="00A473F0">
        <w:rPr>
          <w:rFonts w:ascii="Arial" w:hAnsi="Arial" w:cs="Arial"/>
          <w:color w:val="808080" w:themeColor="background1" w:themeShade="80"/>
          <w:sz w:val="22"/>
          <w:szCs w:val="22"/>
        </w:rPr>
        <w:t xml:space="preserve">These actions include </w:t>
      </w:r>
      <w:r w:rsidR="001D205C" w:rsidRPr="00A473F0">
        <w:rPr>
          <w:rFonts w:ascii="Arial" w:hAnsi="Arial" w:cs="Arial"/>
          <w:color w:val="808080" w:themeColor="background1" w:themeShade="80"/>
          <w:sz w:val="22"/>
          <w:szCs w:val="22"/>
        </w:rPr>
        <w:t xml:space="preserve">no commencing or continuing legal proceeding, </w:t>
      </w:r>
      <w:r w:rsidR="001D205C" w:rsidRPr="00A473F0">
        <w:rPr>
          <w:rFonts w:ascii="Arial" w:hAnsi="Arial" w:cs="Arial"/>
          <w:color w:val="808080" w:themeColor="background1" w:themeShade="80"/>
          <w:sz w:val="22"/>
          <w:szCs w:val="22"/>
          <w:shd w:val="clear" w:color="auto" w:fill="FFFFFF"/>
        </w:rPr>
        <w:t>no resolution</w:t>
      </w:r>
      <w:r w:rsidR="007B183F">
        <w:rPr>
          <w:rFonts w:ascii="Arial" w:hAnsi="Arial" w:cs="Arial"/>
          <w:color w:val="808080" w:themeColor="background1" w:themeShade="80"/>
          <w:sz w:val="22"/>
          <w:szCs w:val="22"/>
          <w:shd w:val="clear" w:color="auto" w:fill="FFFFFF"/>
        </w:rPr>
        <w:t xml:space="preserve"> </w:t>
      </w:r>
      <w:r w:rsidR="001D205C" w:rsidRPr="00A473F0">
        <w:rPr>
          <w:rFonts w:ascii="Arial" w:hAnsi="Arial" w:cs="Arial"/>
          <w:color w:val="808080" w:themeColor="background1" w:themeShade="80"/>
          <w:sz w:val="22"/>
          <w:szCs w:val="22"/>
          <w:shd w:val="clear" w:color="auto" w:fill="FFFFFF"/>
        </w:rPr>
        <w:t>may be passed, for the winding up of the company</w:t>
      </w:r>
      <w:r w:rsidR="009B4D18" w:rsidRPr="00A473F0">
        <w:rPr>
          <w:rFonts w:ascii="Arial" w:hAnsi="Arial" w:cs="Arial"/>
          <w:color w:val="808080" w:themeColor="background1" w:themeShade="80"/>
          <w:sz w:val="22"/>
          <w:szCs w:val="22"/>
          <w:shd w:val="clear" w:color="auto" w:fill="FFFFFF"/>
        </w:rPr>
        <w:t>, no enforcement of charges</w:t>
      </w:r>
      <w:r w:rsidR="00FA4EFF" w:rsidRPr="00A473F0">
        <w:rPr>
          <w:rFonts w:ascii="Arial" w:hAnsi="Arial" w:cs="Arial"/>
          <w:color w:val="808080" w:themeColor="background1" w:themeShade="80"/>
          <w:sz w:val="22"/>
          <w:szCs w:val="22"/>
          <w:shd w:val="clear" w:color="auto" w:fill="FFFFFF"/>
        </w:rPr>
        <w:t xml:space="preserve"> over the company’s assets. </w:t>
      </w:r>
      <w:r w:rsidR="002B1DD3" w:rsidRPr="00A473F0">
        <w:rPr>
          <w:rFonts w:ascii="Arial" w:hAnsi="Arial" w:cs="Arial"/>
          <w:color w:val="808080" w:themeColor="background1" w:themeShade="80"/>
          <w:sz w:val="22"/>
          <w:szCs w:val="22"/>
          <w:shd w:val="clear" w:color="auto" w:fill="FFFFFF"/>
        </w:rPr>
        <w:t xml:space="preserve">The interim moratorium </w:t>
      </w:r>
      <w:r w:rsidR="009F4E9C" w:rsidRPr="00A473F0">
        <w:rPr>
          <w:rFonts w:ascii="Arial" w:hAnsi="Arial" w:cs="Arial"/>
          <w:color w:val="808080" w:themeColor="background1" w:themeShade="80"/>
          <w:sz w:val="22"/>
          <w:szCs w:val="22"/>
          <w:shd w:val="clear" w:color="auto" w:fill="FFFFFF"/>
        </w:rPr>
        <w:t>will operator for the following period:</w:t>
      </w:r>
    </w:p>
    <w:p w14:paraId="0FB4D56D" w14:textId="7B2A3922" w:rsidR="00FA4EFF" w:rsidRPr="00A473F0" w:rsidRDefault="00FA4EFF" w:rsidP="0036082E">
      <w:pPr>
        <w:tabs>
          <w:tab w:val="left" w:pos="1134"/>
        </w:tabs>
        <w:ind w:left="1985" w:hanging="1374"/>
        <w:jc w:val="both"/>
        <w:rPr>
          <w:rFonts w:ascii="Arial" w:hAnsi="Arial" w:cs="Arial"/>
          <w:color w:val="808080" w:themeColor="background1" w:themeShade="80"/>
          <w:sz w:val="22"/>
          <w:szCs w:val="22"/>
        </w:rPr>
      </w:pPr>
    </w:p>
    <w:p w14:paraId="276C67FA" w14:textId="2993CAF1" w:rsidR="00FA4EFF" w:rsidRPr="00A55207" w:rsidRDefault="00FA4EFF" w:rsidP="00A55207">
      <w:pPr>
        <w:pStyle w:val="ListParagraph"/>
        <w:numPr>
          <w:ilvl w:val="0"/>
          <w:numId w:val="42"/>
        </w:numPr>
        <w:tabs>
          <w:tab w:val="left" w:pos="1134"/>
        </w:tabs>
        <w:jc w:val="both"/>
        <w:rPr>
          <w:rFonts w:ascii="Arial" w:hAnsi="Arial" w:cs="Arial"/>
          <w:color w:val="808080" w:themeColor="background1" w:themeShade="80"/>
          <w:sz w:val="22"/>
          <w:szCs w:val="22"/>
        </w:rPr>
      </w:pPr>
      <w:r w:rsidRPr="00A55207">
        <w:rPr>
          <w:rFonts w:ascii="Arial" w:hAnsi="Arial" w:cs="Arial"/>
          <w:b/>
          <w:bCs/>
          <w:color w:val="808080" w:themeColor="background1" w:themeShade="80"/>
          <w:sz w:val="22"/>
          <w:szCs w:val="22"/>
        </w:rPr>
        <w:t>judicial management commenced by creditors’ resolution:</w:t>
      </w:r>
      <w:r w:rsidRPr="00A55207">
        <w:rPr>
          <w:rFonts w:ascii="Arial" w:hAnsi="Arial" w:cs="Arial"/>
          <w:color w:val="808080" w:themeColor="background1" w:themeShade="80"/>
          <w:sz w:val="22"/>
          <w:szCs w:val="22"/>
        </w:rPr>
        <w:t> starting once a written notice of appointment for an interim judicial manager has been lodged and ending when either a formal judicial manager has been appointed, the interim judicial manager’s term has ended or when the creditors reject the resolution for judicial management.</w:t>
      </w:r>
    </w:p>
    <w:p w14:paraId="2892BE51" w14:textId="77777777" w:rsidR="008F20C8" w:rsidRPr="00A473F0" w:rsidRDefault="008F20C8" w:rsidP="0036082E">
      <w:pPr>
        <w:tabs>
          <w:tab w:val="left" w:pos="1134"/>
        </w:tabs>
        <w:ind w:left="1985" w:hanging="1374"/>
        <w:jc w:val="both"/>
        <w:rPr>
          <w:rFonts w:ascii="Arial" w:hAnsi="Arial" w:cs="Arial"/>
          <w:color w:val="808080" w:themeColor="background1" w:themeShade="80"/>
          <w:sz w:val="22"/>
          <w:szCs w:val="22"/>
        </w:rPr>
      </w:pPr>
    </w:p>
    <w:p w14:paraId="0710774E" w14:textId="16918C5D" w:rsidR="00617C8C" w:rsidRPr="00A55207" w:rsidRDefault="00617C8C" w:rsidP="00A55207">
      <w:pPr>
        <w:pStyle w:val="ListParagraph"/>
        <w:numPr>
          <w:ilvl w:val="0"/>
          <w:numId w:val="42"/>
        </w:numPr>
        <w:tabs>
          <w:tab w:val="left" w:pos="1134"/>
        </w:tabs>
        <w:jc w:val="both"/>
        <w:rPr>
          <w:rFonts w:ascii="Arial" w:hAnsi="Arial" w:cs="Arial"/>
          <w:color w:val="808080" w:themeColor="background1" w:themeShade="80"/>
          <w:sz w:val="22"/>
          <w:szCs w:val="22"/>
        </w:rPr>
      </w:pPr>
      <w:r w:rsidRPr="00A55207">
        <w:rPr>
          <w:rFonts w:ascii="Arial" w:hAnsi="Arial" w:cs="Arial"/>
          <w:b/>
          <w:bCs/>
          <w:color w:val="808080" w:themeColor="background1" w:themeShade="80"/>
          <w:sz w:val="22"/>
          <w:szCs w:val="22"/>
        </w:rPr>
        <w:lastRenderedPageBreak/>
        <w:t>Judicial management commenced by court order:</w:t>
      </w:r>
      <w:r w:rsidRPr="00A55207">
        <w:rPr>
          <w:rFonts w:ascii="Arial" w:hAnsi="Arial" w:cs="Arial"/>
          <w:color w:val="808080" w:themeColor="background1" w:themeShade="80"/>
          <w:sz w:val="22"/>
          <w:szCs w:val="22"/>
        </w:rPr>
        <w:t> from the making of the application to the time when the court makes its decision on whether to grant the order.</w:t>
      </w:r>
    </w:p>
    <w:p w14:paraId="4F075DDC" w14:textId="77777777" w:rsidR="002D673A" w:rsidRPr="00A473F0" w:rsidRDefault="002D673A" w:rsidP="0036082E">
      <w:pPr>
        <w:tabs>
          <w:tab w:val="left" w:pos="1134"/>
        </w:tabs>
        <w:ind w:left="1985" w:hanging="1374"/>
        <w:jc w:val="both"/>
        <w:rPr>
          <w:rFonts w:ascii="Arial" w:hAnsi="Arial" w:cs="Arial"/>
          <w:color w:val="808080" w:themeColor="background1" w:themeShade="80"/>
          <w:sz w:val="22"/>
          <w:szCs w:val="22"/>
        </w:rPr>
      </w:pPr>
    </w:p>
    <w:p w14:paraId="6C8F0A3E" w14:textId="56389D3B" w:rsidR="008F20C8" w:rsidRPr="00A473F0" w:rsidRDefault="00975C2A" w:rsidP="0036082E">
      <w:pPr>
        <w:tabs>
          <w:tab w:val="left" w:pos="1134"/>
        </w:tabs>
        <w:ind w:left="1985" w:hanging="1374"/>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b/>
      </w:r>
      <w:r>
        <w:rPr>
          <w:rFonts w:ascii="Arial" w:hAnsi="Arial" w:cs="Arial"/>
          <w:color w:val="808080" w:themeColor="background1" w:themeShade="80"/>
          <w:sz w:val="22"/>
          <w:szCs w:val="22"/>
        </w:rPr>
        <w:tab/>
      </w:r>
      <w:r w:rsidR="008F20C8" w:rsidRPr="00A473F0">
        <w:rPr>
          <w:rFonts w:ascii="Arial" w:hAnsi="Arial" w:cs="Arial"/>
          <w:color w:val="808080" w:themeColor="background1" w:themeShade="80"/>
          <w:sz w:val="22"/>
          <w:szCs w:val="22"/>
        </w:rPr>
        <w:t>In the case of judicial management by court order, any creditor of the company can also apply to court whilst the application is still pending for an order to restrain the company from disposing of its property or altering shareholdings or shareholder rights</w:t>
      </w:r>
    </w:p>
    <w:p w14:paraId="362DA236" w14:textId="499DC135" w:rsidR="00FA4EFF" w:rsidRPr="00A473F0" w:rsidRDefault="00FA4EFF" w:rsidP="0036082E">
      <w:pPr>
        <w:tabs>
          <w:tab w:val="left" w:pos="1134"/>
        </w:tabs>
        <w:ind w:left="1985" w:hanging="1374"/>
        <w:jc w:val="both"/>
        <w:rPr>
          <w:rFonts w:ascii="Arial" w:hAnsi="Arial" w:cs="Arial"/>
          <w:color w:val="808080" w:themeColor="background1" w:themeShade="80"/>
          <w:sz w:val="22"/>
          <w:szCs w:val="22"/>
        </w:rPr>
      </w:pPr>
    </w:p>
    <w:p w14:paraId="6C361270" w14:textId="77777777" w:rsidR="00D61940" w:rsidRDefault="007A235C" w:rsidP="0036082E">
      <w:pPr>
        <w:pStyle w:val="ListParagraph"/>
        <w:numPr>
          <w:ilvl w:val="1"/>
          <w:numId w:val="15"/>
        </w:numPr>
        <w:tabs>
          <w:tab w:val="clear" w:pos="1440"/>
          <w:tab w:val="left" w:pos="1134"/>
          <w:tab w:val="num" w:pos="1800"/>
        </w:tabs>
        <w:ind w:left="1985" w:hanging="1374"/>
        <w:jc w:val="both"/>
        <w:rPr>
          <w:rFonts w:ascii="Arial" w:hAnsi="Arial" w:cs="Arial"/>
          <w:color w:val="808080" w:themeColor="background1" w:themeShade="80"/>
          <w:sz w:val="22"/>
          <w:szCs w:val="22"/>
        </w:rPr>
      </w:pPr>
      <w:r w:rsidRPr="00A473F0">
        <w:rPr>
          <w:rFonts w:ascii="Arial" w:hAnsi="Arial" w:cs="Arial"/>
          <w:color w:val="808080" w:themeColor="background1" w:themeShade="80"/>
          <w:sz w:val="22"/>
          <w:szCs w:val="22"/>
        </w:rPr>
        <w:t>Result of creditors meeting after the company placed in Judicial Management</w:t>
      </w:r>
      <w:r w:rsidR="007277CF">
        <w:rPr>
          <w:rFonts w:ascii="Arial" w:hAnsi="Arial" w:cs="Arial"/>
          <w:color w:val="808080" w:themeColor="background1" w:themeShade="80"/>
          <w:sz w:val="22"/>
          <w:szCs w:val="22"/>
        </w:rPr>
        <w:t>.</w:t>
      </w:r>
    </w:p>
    <w:p w14:paraId="7826DAE2" w14:textId="00A8F11A" w:rsidR="007A235C" w:rsidRPr="007277CF" w:rsidRDefault="007A235C" w:rsidP="00D61940">
      <w:pPr>
        <w:pStyle w:val="ListParagraph"/>
        <w:numPr>
          <w:ilvl w:val="0"/>
          <w:numId w:val="43"/>
        </w:numPr>
        <w:tabs>
          <w:tab w:val="left" w:pos="1985"/>
        </w:tabs>
        <w:ind w:left="1985" w:hanging="567"/>
        <w:jc w:val="both"/>
        <w:rPr>
          <w:rFonts w:ascii="Arial" w:hAnsi="Arial" w:cs="Arial"/>
          <w:color w:val="808080" w:themeColor="background1" w:themeShade="80"/>
          <w:sz w:val="22"/>
          <w:szCs w:val="22"/>
        </w:rPr>
      </w:pPr>
      <w:r w:rsidRPr="007277CF">
        <w:rPr>
          <w:rFonts w:ascii="Arial" w:hAnsi="Arial" w:cs="Arial"/>
          <w:color w:val="808080" w:themeColor="background1" w:themeShade="80"/>
          <w:sz w:val="22"/>
          <w:szCs w:val="22"/>
        </w:rPr>
        <w:t xml:space="preserve">judicial management commenced by creditors’ resolution: the result of the meeting </w:t>
      </w:r>
      <w:r w:rsidR="005725EA" w:rsidRPr="007277CF">
        <w:rPr>
          <w:rFonts w:ascii="Arial" w:hAnsi="Arial" w:cs="Arial"/>
          <w:color w:val="808080" w:themeColor="background1" w:themeShade="80"/>
          <w:sz w:val="22"/>
          <w:szCs w:val="22"/>
        </w:rPr>
        <w:t>is not required to be filed in the court</w:t>
      </w:r>
    </w:p>
    <w:p w14:paraId="00A63FF2" w14:textId="7B009437" w:rsidR="00DA7614" w:rsidRPr="00387050" w:rsidRDefault="005725EA" w:rsidP="00DA7614">
      <w:pPr>
        <w:pStyle w:val="ListParagraph"/>
        <w:numPr>
          <w:ilvl w:val="0"/>
          <w:numId w:val="43"/>
        </w:numPr>
        <w:tabs>
          <w:tab w:val="left" w:pos="1701"/>
        </w:tabs>
        <w:ind w:left="1985" w:hanging="567"/>
        <w:jc w:val="both"/>
        <w:rPr>
          <w:rFonts w:ascii="Arial" w:hAnsi="Arial" w:cs="Arial"/>
          <w:b/>
          <w:bCs/>
          <w:color w:val="808080" w:themeColor="background1" w:themeShade="80"/>
          <w:sz w:val="22"/>
          <w:szCs w:val="22"/>
        </w:rPr>
      </w:pPr>
      <w:r w:rsidRPr="007277CF">
        <w:rPr>
          <w:rFonts w:ascii="Arial" w:hAnsi="Arial" w:cs="Arial"/>
          <w:color w:val="808080" w:themeColor="background1" w:themeShade="80"/>
          <w:sz w:val="22"/>
          <w:szCs w:val="22"/>
        </w:rPr>
        <w:t xml:space="preserve">Judicial management commenced by court order: the result </w:t>
      </w:r>
      <w:r w:rsidR="00687E8A">
        <w:rPr>
          <w:rFonts w:ascii="Arial" w:hAnsi="Arial" w:cs="Arial"/>
          <w:color w:val="808080" w:themeColor="background1" w:themeShade="80"/>
          <w:sz w:val="22"/>
          <w:szCs w:val="22"/>
        </w:rPr>
        <w:t xml:space="preserve">should be recorded in court. </w:t>
      </w:r>
    </w:p>
    <w:p w14:paraId="6042EA0E" w14:textId="77777777" w:rsidR="00387050" w:rsidRPr="00387050" w:rsidRDefault="00387050" w:rsidP="00387050">
      <w:pPr>
        <w:pStyle w:val="ListParagraph"/>
        <w:tabs>
          <w:tab w:val="left" w:pos="1701"/>
        </w:tabs>
        <w:ind w:left="1985"/>
        <w:jc w:val="both"/>
        <w:rPr>
          <w:rFonts w:ascii="Arial" w:hAnsi="Arial" w:cs="Arial"/>
          <w:b/>
          <w:bCs/>
          <w:color w:val="808080" w:themeColor="background1" w:themeShade="80"/>
          <w:sz w:val="22"/>
          <w:szCs w:val="22"/>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1"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lastRenderedPageBreak/>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604AFC3E" w14:textId="69120198" w:rsidR="00DA7614" w:rsidRPr="001A79A9" w:rsidRDefault="007A6F38" w:rsidP="00384F62">
      <w:pPr>
        <w:ind w:left="720" w:hanging="720"/>
        <w:jc w:val="both"/>
        <w:rPr>
          <w:rStyle w:val="prov2txtil"/>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 xml:space="preserve">Pursuant to </w:t>
      </w:r>
      <w:r w:rsidR="00703991" w:rsidRPr="001A79A9">
        <w:rPr>
          <w:rFonts w:ascii="Arial" w:hAnsi="Arial" w:cs="Arial"/>
          <w:color w:val="808080" w:themeColor="background1" w:themeShade="80"/>
          <w:sz w:val="22"/>
          <w:szCs w:val="22"/>
        </w:rPr>
        <w:t>Section 64</w:t>
      </w:r>
      <w:r w:rsidR="004F08D7" w:rsidRPr="001A79A9">
        <w:rPr>
          <w:rFonts w:ascii="Arial" w:hAnsi="Arial" w:cs="Arial"/>
          <w:color w:val="808080" w:themeColor="background1" w:themeShade="80"/>
          <w:sz w:val="22"/>
          <w:szCs w:val="22"/>
        </w:rPr>
        <w:t xml:space="preserve">(1) </w:t>
      </w:r>
      <w:r w:rsidR="00B37CD1" w:rsidRPr="001A79A9">
        <w:rPr>
          <w:rStyle w:val="prov2txtil"/>
          <w:rFonts w:ascii="Arial" w:hAnsi="Arial" w:cs="Arial"/>
          <w:color w:val="808080" w:themeColor="background1" w:themeShade="80"/>
          <w:sz w:val="22"/>
          <w:szCs w:val="22"/>
        </w:rPr>
        <w:t>Where a company proposes, or intends to propose, a compromise or an arrangement between the company and its creditors, the court may grant the following order</w:t>
      </w:r>
      <w:r w:rsidR="00D33A12" w:rsidRPr="001A79A9">
        <w:rPr>
          <w:rStyle w:val="prov2txtil"/>
          <w:rFonts w:ascii="Arial" w:hAnsi="Arial" w:cs="Arial"/>
          <w:color w:val="808080" w:themeColor="background1" w:themeShade="80"/>
          <w:sz w:val="22"/>
          <w:szCs w:val="22"/>
        </w:rPr>
        <w:t xml:space="preserve">: </w:t>
      </w:r>
    </w:p>
    <w:p w14:paraId="72D4021A" w14:textId="07C40BC2" w:rsidR="00D33A12" w:rsidRPr="001A79A9" w:rsidRDefault="00D33A12" w:rsidP="00F147D3">
      <w:pPr>
        <w:jc w:val="both"/>
        <w:rPr>
          <w:rFonts w:ascii="Arial" w:hAnsi="Arial" w:cs="Arial"/>
          <w:color w:val="808080" w:themeColor="background1" w:themeShade="8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080"/>
        <w:gridCol w:w="7961"/>
      </w:tblGrid>
      <w:tr w:rsidR="001A79A9" w:rsidRPr="001A79A9" w14:paraId="5BACC9AC" w14:textId="77777777" w:rsidTr="006F4A3A">
        <w:tc>
          <w:tcPr>
            <w:tcW w:w="1080" w:type="dxa"/>
            <w:noWrap/>
            <w:tcMar>
              <w:top w:w="144" w:type="dxa"/>
              <w:left w:w="15" w:type="dxa"/>
              <w:bottom w:w="0" w:type="dxa"/>
              <w:right w:w="144" w:type="dxa"/>
            </w:tcMar>
            <w:hideMark/>
          </w:tcPr>
          <w:p w14:paraId="08311AF3" w14:textId="77777777" w:rsidR="00F147D3" w:rsidRPr="001A79A9" w:rsidRDefault="00F147D3" w:rsidP="006F4A3A">
            <w:pPr>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w:t>
            </w:r>
            <w:r w:rsidRPr="001A79A9">
              <w:rPr>
                <w:rStyle w:val="Emphasis"/>
                <w:rFonts w:ascii="Arial" w:hAnsi="Arial" w:cs="Arial"/>
                <w:color w:val="808080" w:themeColor="background1" w:themeShade="80"/>
                <w:sz w:val="22"/>
                <w:szCs w:val="22"/>
              </w:rPr>
              <w:t>a</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5EE393DF" w14:textId="77777777" w:rsidR="00F147D3" w:rsidRPr="001A79A9" w:rsidRDefault="00F147D3"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an order restraining the passing of a resolution for the winding up of the company;</w:t>
            </w:r>
          </w:p>
        </w:tc>
      </w:tr>
      <w:tr w:rsidR="001A79A9" w:rsidRPr="001A79A9" w14:paraId="04219790" w14:textId="77777777" w:rsidTr="006F4A3A">
        <w:tc>
          <w:tcPr>
            <w:tcW w:w="1080" w:type="dxa"/>
            <w:noWrap/>
            <w:tcMar>
              <w:top w:w="144" w:type="dxa"/>
              <w:left w:w="15" w:type="dxa"/>
              <w:bottom w:w="0" w:type="dxa"/>
              <w:right w:w="144" w:type="dxa"/>
            </w:tcMar>
            <w:hideMark/>
          </w:tcPr>
          <w:p w14:paraId="0EC1A866" w14:textId="77777777" w:rsidR="00F147D3" w:rsidRPr="001A79A9" w:rsidRDefault="00F147D3" w:rsidP="006F4A3A">
            <w:pPr>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w:t>
            </w:r>
            <w:r w:rsidRPr="001A79A9">
              <w:rPr>
                <w:rStyle w:val="Emphasis"/>
                <w:rFonts w:ascii="Arial" w:hAnsi="Arial" w:cs="Arial"/>
                <w:color w:val="808080" w:themeColor="background1" w:themeShade="80"/>
                <w:sz w:val="22"/>
                <w:szCs w:val="22"/>
              </w:rPr>
              <w:t>b</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36660D86" w14:textId="77777777" w:rsidR="00F147D3" w:rsidRPr="001A79A9" w:rsidRDefault="00F147D3"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an order restraining the appointment of a receiver or manager over any property or undertaking of the company;</w:t>
            </w:r>
          </w:p>
        </w:tc>
      </w:tr>
      <w:tr w:rsidR="001A79A9" w:rsidRPr="001A79A9" w14:paraId="45D5AE02" w14:textId="77777777" w:rsidTr="006F4A3A">
        <w:tc>
          <w:tcPr>
            <w:tcW w:w="1080" w:type="dxa"/>
            <w:noWrap/>
            <w:tcMar>
              <w:top w:w="144" w:type="dxa"/>
              <w:left w:w="15" w:type="dxa"/>
              <w:bottom w:w="0" w:type="dxa"/>
              <w:right w:w="144" w:type="dxa"/>
            </w:tcMar>
            <w:hideMark/>
          </w:tcPr>
          <w:p w14:paraId="17C0268A" w14:textId="77777777" w:rsidR="00F147D3" w:rsidRPr="001A79A9" w:rsidRDefault="00F147D3" w:rsidP="006F4A3A">
            <w:pPr>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w:t>
            </w:r>
            <w:r w:rsidRPr="001A79A9">
              <w:rPr>
                <w:rStyle w:val="Emphasis"/>
                <w:rFonts w:ascii="Arial" w:hAnsi="Arial" w:cs="Arial"/>
                <w:color w:val="808080" w:themeColor="background1" w:themeShade="80"/>
                <w:sz w:val="22"/>
                <w:szCs w:val="22"/>
              </w:rPr>
              <w:t>c</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41932A97" w14:textId="77777777" w:rsidR="00F147D3" w:rsidRPr="001A79A9" w:rsidRDefault="00F147D3"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an order restraining the commencement or continuation of any proceedings (other than proceedings under section 210 or 212 of the Companies Act, or this section or section 66, 69 or 70) against the company, except with the leave of the Court and subject to such terms as the Court imposes;</w:t>
            </w:r>
          </w:p>
        </w:tc>
      </w:tr>
      <w:tr w:rsidR="001A79A9" w:rsidRPr="001A79A9" w14:paraId="070D9357" w14:textId="77777777" w:rsidTr="006F4A3A">
        <w:tc>
          <w:tcPr>
            <w:tcW w:w="1080" w:type="dxa"/>
            <w:noWrap/>
            <w:tcMar>
              <w:top w:w="144" w:type="dxa"/>
              <w:left w:w="15" w:type="dxa"/>
              <w:bottom w:w="0" w:type="dxa"/>
              <w:right w:w="144" w:type="dxa"/>
            </w:tcMar>
            <w:hideMark/>
          </w:tcPr>
          <w:p w14:paraId="318163AF" w14:textId="77777777" w:rsidR="00F147D3" w:rsidRPr="001A79A9" w:rsidRDefault="00F147D3" w:rsidP="006F4A3A">
            <w:pPr>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w:t>
            </w:r>
            <w:r w:rsidRPr="001A79A9">
              <w:rPr>
                <w:rStyle w:val="Emphasis"/>
                <w:rFonts w:ascii="Arial" w:hAnsi="Arial" w:cs="Arial"/>
                <w:color w:val="808080" w:themeColor="background1" w:themeShade="80"/>
                <w:sz w:val="22"/>
                <w:szCs w:val="22"/>
              </w:rPr>
              <w:t>d</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4BDA0C10" w14:textId="77777777" w:rsidR="00F147D3" w:rsidRPr="001A79A9" w:rsidRDefault="00F147D3"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an order restraining the commencement, continuation or levying of any execution, distress or other legal process against any property of the company, except with the leave of the Court and subject to such terms as the Court imposes;</w:t>
            </w:r>
          </w:p>
        </w:tc>
      </w:tr>
      <w:tr w:rsidR="001A79A9" w:rsidRPr="001A79A9" w14:paraId="4B99F75B" w14:textId="77777777" w:rsidTr="006F4A3A">
        <w:tc>
          <w:tcPr>
            <w:tcW w:w="1080" w:type="dxa"/>
            <w:noWrap/>
            <w:tcMar>
              <w:top w:w="144" w:type="dxa"/>
              <w:left w:w="15" w:type="dxa"/>
              <w:bottom w:w="0" w:type="dxa"/>
              <w:right w:w="144" w:type="dxa"/>
            </w:tcMar>
            <w:hideMark/>
          </w:tcPr>
          <w:p w14:paraId="2EDA15B2" w14:textId="77777777" w:rsidR="00F147D3" w:rsidRPr="001A79A9" w:rsidRDefault="00F147D3" w:rsidP="006F4A3A">
            <w:pPr>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w:t>
            </w:r>
            <w:r w:rsidRPr="001A79A9">
              <w:rPr>
                <w:rStyle w:val="Emphasis"/>
                <w:rFonts w:ascii="Arial" w:hAnsi="Arial" w:cs="Arial"/>
                <w:color w:val="808080" w:themeColor="background1" w:themeShade="80"/>
                <w:sz w:val="22"/>
                <w:szCs w:val="22"/>
              </w:rPr>
              <w:t>e</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7F7F2421" w14:textId="77777777" w:rsidR="00F147D3" w:rsidRPr="001A79A9" w:rsidRDefault="00F147D3"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an order restraining the taking of any step to enforce any security over any property of the company, or to repossess any goods held by the company under any chattels leasing agreement, hire</w:t>
            </w:r>
            <w:r w:rsidRPr="001A79A9">
              <w:rPr>
                <w:rFonts w:ascii="Arial" w:hAnsi="Arial" w:cs="Arial"/>
                <w:color w:val="808080" w:themeColor="background1" w:themeShade="80"/>
                <w:sz w:val="22"/>
                <w:szCs w:val="22"/>
              </w:rPr>
              <w:noBreakHyphen/>
              <w:t>purchase agreement or retention of title agreement, except with the leave of the Court and subject to such terms as the Court imposes;</w:t>
            </w:r>
          </w:p>
        </w:tc>
      </w:tr>
      <w:tr w:rsidR="00F147D3" w:rsidRPr="001A79A9" w14:paraId="6CA9044C" w14:textId="77777777" w:rsidTr="006F4A3A">
        <w:tc>
          <w:tcPr>
            <w:tcW w:w="1080" w:type="dxa"/>
            <w:noWrap/>
            <w:tcMar>
              <w:top w:w="144" w:type="dxa"/>
              <w:left w:w="15" w:type="dxa"/>
              <w:bottom w:w="0" w:type="dxa"/>
              <w:right w:w="144" w:type="dxa"/>
            </w:tcMar>
            <w:hideMark/>
          </w:tcPr>
          <w:p w14:paraId="6CB33127" w14:textId="77777777" w:rsidR="00F147D3" w:rsidRPr="001A79A9" w:rsidRDefault="00F147D3" w:rsidP="006F4A3A">
            <w:pPr>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lastRenderedPageBreak/>
              <w:t>(</w:t>
            </w:r>
            <w:r w:rsidRPr="001A79A9">
              <w:rPr>
                <w:rStyle w:val="Emphasis"/>
                <w:rFonts w:ascii="Arial" w:hAnsi="Arial" w:cs="Arial"/>
                <w:color w:val="808080" w:themeColor="background1" w:themeShade="80"/>
                <w:sz w:val="22"/>
                <w:szCs w:val="22"/>
              </w:rPr>
              <w:t>f</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31718FDE" w14:textId="77777777" w:rsidR="00F147D3" w:rsidRPr="001A79A9" w:rsidRDefault="00F147D3"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an order restraining the enforcement of any right of re</w:t>
            </w:r>
            <w:r w:rsidRPr="001A79A9">
              <w:rPr>
                <w:rFonts w:ascii="Arial" w:hAnsi="Arial" w:cs="Arial"/>
                <w:color w:val="808080" w:themeColor="background1" w:themeShade="80"/>
                <w:sz w:val="22"/>
                <w:szCs w:val="22"/>
              </w:rPr>
              <w:noBreakHyphen/>
              <w:t>entry or forfeiture under any lease in respect of any premises occupied by the company (including any enforcement pursuant to section 18 or 18A of the Conveyancing and Law of Property Act (Cap. 61)), except with the leave of the Court and subject to such terms as the Court imposes.</w:t>
            </w:r>
          </w:p>
        </w:tc>
      </w:tr>
    </w:tbl>
    <w:p w14:paraId="407FF6F0" w14:textId="77777777" w:rsidR="00F147D3" w:rsidRPr="001A79A9" w:rsidRDefault="00F147D3" w:rsidP="002C16CB">
      <w:pPr>
        <w:pStyle w:val="ListParagraph"/>
        <w:ind w:left="1069"/>
        <w:jc w:val="both"/>
        <w:rPr>
          <w:rStyle w:val="prov2txtil"/>
          <w:rFonts w:ascii="Arial" w:hAnsi="Arial" w:cs="Arial"/>
          <w:color w:val="808080" w:themeColor="background1" w:themeShade="80"/>
          <w:sz w:val="22"/>
          <w:szCs w:val="22"/>
        </w:rPr>
      </w:pPr>
    </w:p>
    <w:p w14:paraId="55DD3DFC" w14:textId="24502E43" w:rsidR="009C6FE1" w:rsidRPr="001A79A9" w:rsidRDefault="009C6FE1" w:rsidP="006F4A3A">
      <w:pPr>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shd w:val="clear" w:color="auto" w:fill="FFFFFF"/>
        </w:rPr>
        <w:t xml:space="preserve">The following must be </w:t>
      </w:r>
      <w:r w:rsidR="00B25D91" w:rsidRPr="001A79A9">
        <w:rPr>
          <w:rFonts w:ascii="Arial" w:hAnsi="Arial" w:cs="Arial"/>
          <w:color w:val="808080" w:themeColor="background1" w:themeShade="80"/>
          <w:sz w:val="22"/>
          <w:szCs w:val="22"/>
          <w:shd w:val="clear" w:color="auto" w:fill="FFFFFF"/>
        </w:rPr>
        <w:t xml:space="preserve">presented to the court in order to obtain </w:t>
      </w:r>
      <w:r w:rsidRPr="001A79A9">
        <w:rPr>
          <w:rFonts w:ascii="Arial" w:hAnsi="Arial" w:cs="Arial"/>
          <w:color w:val="808080" w:themeColor="background1" w:themeShade="80"/>
          <w:sz w:val="22"/>
          <w:szCs w:val="22"/>
          <w:shd w:val="clear" w:color="auto" w:fill="FFFFFF"/>
        </w:rPr>
        <w:t xml:space="preserve"> </w:t>
      </w:r>
      <w:r w:rsidR="00B25D91" w:rsidRPr="001A79A9">
        <w:rPr>
          <w:rFonts w:ascii="Arial" w:hAnsi="Arial" w:cs="Arial"/>
          <w:color w:val="808080" w:themeColor="background1" w:themeShade="80"/>
          <w:sz w:val="22"/>
          <w:szCs w:val="22"/>
          <w:lang w:val="en-GB"/>
        </w:rPr>
        <w:t>moratorium protection order under section 64(1) IRDA</w:t>
      </w:r>
    </w:p>
    <w:tbl>
      <w:tblPr>
        <w:tblW w:w="5000" w:type="pct"/>
        <w:tblCellMar>
          <w:top w:w="15" w:type="dxa"/>
          <w:left w:w="15" w:type="dxa"/>
          <w:bottom w:w="15" w:type="dxa"/>
          <w:right w:w="15" w:type="dxa"/>
        </w:tblCellMar>
        <w:tblLook w:val="04A0" w:firstRow="1" w:lastRow="0" w:firstColumn="1" w:lastColumn="0" w:noHBand="0" w:noVBand="1"/>
      </w:tblPr>
      <w:tblGrid>
        <w:gridCol w:w="1080"/>
        <w:gridCol w:w="7961"/>
      </w:tblGrid>
      <w:tr w:rsidR="001A79A9" w:rsidRPr="001A79A9" w14:paraId="231A0A8A" w14:textId="77777777" w:rsidTr="006F4A3A">
        <w:tc>
          <w:tcPr>
            <w:tcW w:w="1080" w:type="dxa"/>
            <w:noWrap/>
            <w:tcMar>
              <w:top w:w="144" w:type="dxa"/>
              <w:left w:w="15" w:type="dxa"/>
              <w:bottom w:w="0" w:type="dxa"/>
              <w:right w:w="144" w:type="dxa"/>
            </w:tcMar>
            <w:hideMark/>
          </w:tcPr>
          <w:p w14:paraId="239FBEE5" w14:textId="77777777" w:rsidR="009C6FE1" w:rsidRPr="001A79A9" w:rsidRDefault="009C6FE1" w:rsidP="006F4A3A">
            <w:pPr>
              <w:ind w:firstLine="288"/>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w:t>
            </w:r>
            <w:r w:rsidRPr="001A79A9">
              <w:rPr>
                <w:rStyle w:val="Emphasis"/>
                <w:rFonts w:ascii="Arial" w:hAnsi="Arial" w:cs="Arial"/>
                <w:color w:val="808080" w:themeColor="background1" w:themeShade="80"/>
                <w:sz w:val="22"/>
                <w:szCs w:val="22"/>
              </w:rPr>
              <w:t>a</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426B2292" w14:textId="77777777" w:rsidR="009C6FE1" w:rsidRPr="001A79A9" w:rsidRDefault="009C6FE1"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evidence of support from the company’s creditors for the intended or proposed compromise or arrangement, together with an explanation of how such support would be important for the success of the intended or proposed compromise or arrangement;</w:t>
            </w:r>
          </w:p>
        </w:tc>
      </w:tr>
      <w:tr w:rsidR="001A79A9" w:rsidRPr="001A79A9" w14:paraId="604F3003" w14:textId="77777777" w:rsidTr="006F4A3A">
        <w:tc>
          <w:tcPr>
            <w:tcW w:w="1080" w:type="dxa"/>
            <w:noWrap/>
            <w:tcMar>
              <w:top w:w="144" w:type="dxa"/>
              <w:left w:w="15" w:type="dxa"/>
              <w:bottom w:w="0" w:type="dxa"/>
              <w:right w:w="144" w:type="dxa"/>
            </w:tcMar>
            <w:hideMark/>
          </w:tcPr>
          <w:p w14:paraId="39131F42" w14:textId="77777777" w:rsidR="009C6FE1" w:rsidRPr="001A79A9" w:rsidRDefault="009C6FE1" w:rsidP="006F4A3A">
            <w:pPr>
              <w:ind w:firstLine="288"/>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w:t>
            </w:r>
            <w:r w:rsidRPr="001A79A9">
              <w:rPr>
                <w:rStyle w:val="Emphasis"/>
                <w:rFonts w:ascii="Arial" w:hAnsi="Arial" w:cs="Arial"/>
                <w:color w:val="808080" w:themeColor="background1" w:themeShade="80"/>
                <w:sz w:val="22"/>
                <w:szCs w:val="22"/>
              </w:rPr>
              <w:t>b</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2DA2F9A0" w14:textId="77777777" w:rsidR="009C6FE1" w:rsidRPr="001A79A9" w:rsidRDefault="009C6FE1"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in a case where the company has not proposed the compromise or arrangement to the creditors or class of creditors yet, a brief description of the intended compromise or arrangement, containing sufficient particulars to enable the Court to assess whether the intended compromise or arrangement is feasible and merits consideration by the company’s creditors when a statement mentioned in section 211(1)(</w:t>
            </w:r>
            <w:r w:rsidRPr="001A79A9">
              <w:rPr>
                <w:rStyle w:val="Emphasis"/>
                <w:rFonts w:ascii="Arial" w:hAnsi="Arial" w:cs="Arial"/>
                <w:color w:val="808080" w:themeColor="background1" w:themeShade="80"/>
                <w:sz w:val="22"/>
                <w:szCs w:val="22"/>
              </w:rPr>
              <w:t>a</w:t>
            </w:r>
            <w:r w:rsidRPr="001A79A9">
              <w:rPr>
                <w:rFonts w:ascii="Arial" w:hAnsi="Arial" w:cs="Arial"/>
                <w:color w:val="808080" w:themeColor="background1" w:themeShade="80"/>
                <w:sz w:val="22"/>
                <w:szCs w:val="22"/>
              </w:rPr>
              <w:t>) of the Companies Act or section 71(3)(</w:t>
            </w:r>
            <w:r w:rsidRPr="001A79A9">
              <w:rPr>
                <w:rStyle w:val="Emphasis"/>
                <w:rFonts w:ascii="Arial" w:hAnsi="Arial" w:cs="Arial"/>
                <w:color w:val="808080" w:themeColor="background1" w:themeShade="80"/>
                <w:sz w:val="22"/>
                <w:szCs w:val="22"/>
              </w:rPr>
              <w:t>a</w:t>
            </w:r>
            <w:r w:rsidRPr="001A79A9">
              <w:rPr>
                <w:rFonts w:ascii="Arial" w:hAnsi="Arial" w:cs="Arial"/>
                <w:color w:val="808080" w:themeColor="background1" w:themeShade="80"/>
                <w:sz w:val="22"/>
                <w:szCs w:val="22"/>
              </w:rPr>
              <w:t>) relating to the intended compromise or arrangement is placed before those creditors;</w:t>
            </w:r>
          </w:p>
        </w:tc>
      </w:tr>
      <w:tr w:rsidR="001A79A9" w:rsidRPr="001A79A9" w14:paraId="160B4CE8" w14:textId="77777777" w:rsidTr="006F4A3A">
        <w:tc>
          <w:tcPr>
            <w:tcW w:w="1080" w:type="dxa"/>
            <w:noWrap/>
            <w:tcMar>
              <w:top w:w="144" w:type="dxa"/>
              <w:left w:w="15" w:type="dxa"/>
              <w:bottom w:w="0" w:type="dxa"/>
              <w:right w:w="144" w:type="dxa"/>
            </w:tcMar>
            <w:hideMark/>
          </w:tcPr>
          <w:p w14:paraId="58F1C877" w14:textId="77777777" w:rsidR="009C6FE1" w:rsidRPr="001A79A9" w:rsidRDefault="009C6FE1" w:rsidP="006F4A3A">
            <w:pPr>
              <w:ind w:firstLine="288"/>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w:t>
            </w:r>
            <w:r w:rsidRPr="001A79A9">
              <w:rPr>
                <w:rStyle w:val="Emphasis"/>
                <w:rFonts w:ascii="Arial" w:hAnsi="Arial" w:cs="Arial"/>
                <w:color w:val="808080" w:themeColor="background1" w:themeShade="80"/>
                <w:sz w:val="22"/>
                <w:szCs w:val="22"/>
              </w:rPr>
              <w:t>c</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4EA47437" w14:textId="77777777" w:rsidR="009C6FE1" w:rsidRPr="001A79A9" w:rsidRDefault="009C6FE1"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a list of every secured creditor of the company;</w:t>
            </w:r>
          </w:p>
        </w:tc>
      </w:tr>
      <w:tr w:rsidR="009C6FE1" w:rsidRPr="001A79A9" w14:paraId="212EE4EF" w14:textId="77777777" w:rsidTr="006F4A3A">
        <w:tc>
          <w:tcPr>
            <w:tcW w:w="1080" w:type="dxa"/>
            <w:noWrap/>
            <w:tcMar>
              <w:top w:w="144" w:type="dxa"/>
              <w:left w:w="15" w:type="dxa"/>
              <w:bottom w:w="0" w:type="dxa"/>
              <w:right w:w="144" w:type="dxa"/>
            </w:tcMar>
            <w:hideMark/>
          </w:tcPr>
          <w:p w14:paraId="4A921B79" w14:textId="77777777" w:rsidR="009C6FE1" w:rsidRPr="001A79A9" w:rsidRDefault="009C6FE1" w:rsidP="006F4A3A">
            <w:pPr>
              <w:ind w:firstLine="288"/>
              <w:jc w:val="right"/>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w:t>
            </w:r>
            <w:r w:rsidRPr="001A79A9">
              <w:rPr>
                <w:rStyle w:val="Emphasis"/>
                <w:rFonts w:ascii="Arial" w:hAnsi="Arial" w:cs="Arial"/>
                <w:color w:val="808080" w:themeColor="background1" w:themeShade="80"/>
                <w:sz w:val="22"/>
                <w:szCs w:val="22"/>
              </w:rPr>
              <w:t>d</w:t>
            </w:r>
            <w:r w:rsidRPr="001A79A9">
              <w:rPr>
                <w:rFonts w:ascii="Arial" w:hAnsi="Arial" w:cs="Arial"/>
                <w:color w:val="808080" w:themeColor="background1" w:themeShade="80"/>
                <w:sz w:val="22"/>
                <w:szCs w:val="22"/>
              </w:rPr>
              <w:t>)</w:t>
            </w:r>
          </w:p>
        </w:tc>
        <w:tc>
          <w:tcPr>
            <w:tcW w:w="0" w:type="auto"/>
            <w:tcMar>
              <w:top w:w="144" w:type="dxa"/>
              <w:left w:w="72" w:type="dxa"/>
              <w:bottom w:w="0" w:type="dxa"/>
              <w:right w:w="0" w:type="dxa"/>
            </w:tcMar>
            <w:hideMark/>
          </w:tcPr>
          <w:p w14:paraId="6234DDD3" w14:textId="77777777" w:rsidR="009C6FE1" w:rsidRPr="001A79A9" w:rsidRDefault="009C6FE1" w:rsidP="006F4A3A">
            <w:pPr>
              <w:jc w:val="both"/>
              <w:rPr>
                <w:rFonts w:ascii="Arial" w:hAnsi="Arial" w:cs="Arial"/>
                <w:color w:val="808080" w:themeColor="background1" w:themeShade="80"/>
                <w:sz w:val="22"/>
                <w:szCs w:val="22"/>
              </w:rPr>
            </w:pPr>
            <w:r w:rsidRPr="001A79A9">
              <w:rPr>
                <w:rFonts w:ascii="Arial" w:hAnsi="Arial" w:cs="Arial"/>
                <w:color w:val="808080" w:themeColor="background1" w:themeShade="80"/>
                <w:sz w:val="22"/>
                <w:szCs w:val="22"/>
              </w:rPr>
              <w:t>a list of all unsecured creditors who are not related to the company or, if there are more than 20 such unsecured creditors, a list of the 20 such unsecured creditors whose claims against the company are the largest among all such unsecured creditors.</w:t>
            </w:r>
          </w:p>
        </w:tc>
      </w:tr>
    </w:tbl>
    <w:p w14:paraId="613FB6AB" w14:textId="644FB4BB" w:rsidR="00384F62" w:rsidRPr="001A79A9" w:rsidRDefault="00384F62" w:rsidP="00384F62">
      <w:pPr>
        <w:jc w:val="both"/>
        <w:rPr>
          <w:rFonts w:ascii="Arial" w:hAnsi="Arial" w:cs="Arial"/>
          <w:color w:val="808080" w:themeColor="background1" w:themeShade="80"/>
          <w:sz w:val="22"/>
          <w:szCs w:val="22"/>
          <w:lang w:val="en-GB"/>
        </w:rPr>
      </w:pPr>
    </w:p>
    <w:p w14:paraId="60D55860" w14:textId="77777777"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74D9392A" w14:textId="77777777" w:rsidR="00BB08EB" w:rsidRDefault="00BB08EB" w:rsidP="00384F62">
      <w:pPr>
        <w:jc w:val="both"/>
        <w:rPr>
          <w:rFonts w:ascii="Arial" w:hAnsi="Arial" w:cs="Arial"/>
          <w:sz w:val="22"/>
          <w:szCs w:val="22"/>
          <w:lang w:val="en-GB"/>
        </w:rPr>
      </w:pPr>
    </w:p>
    <w:p w14:paraId="61003B87" w14:textId="04CB2C80" w:rsidR="00757419" w:rsidRPr="006F5C8E" w:rsidRDefault="00D97902" w:rsidP="00384F62">
      <w:pPr>
        <w:jc w:val="both"/>
        <w:rPr>
          <w:rFonts w:ascii="Arial" w:hAnsi="Arial" w:cs="Arial"/>
          <w:color w:val="808080" w:themeColor="background1" w:themeShade="80"/>
          <w:sz w:val="22"/>
          <w:szCs w:val="22"/>
          <w:lang w:val="en-GB"/>
        </w:rPr>
      </w:pPr>
      <w:r w:rsidRPr="006F5C8E">
        <w:rPr>
          <w:rFonts w:ascii="Arial" w:hAnsi="Arial" w:cs="Arial"/>
          <w:color w:val="808080" w:themeColor="background1" w:themeShade="80"/>
          <w:sz w:val="22"/>
          <w:szCs w:val="22"/>
          <w:lang w:val="en-GB"/>
        </w:rPr>
        <w:t>I</w:t>
      </w:r>
      <w:r w:rsidR="00BB08EB" w:rsidRPr="006F5C8E">
        <w:rPr>
          <w:rFonts w:ascii="Arial" w:hAnsi="Arial" w:cs="Arial"/>
          <w:color w:val="808080" w:themeColor="background1" w:themeShade="80"/>
          <w:sz w:val="22"/>
          <w:szCs w:val="22"/>
          <w:lang w:val="en-GB"/>
        </w:rPr>
        <w:t>n order to obtain moratorium protection order under section 65(1) IRDA the applicant must present to the court that</w:t>
      </w:r>
      <w:r w:rsidR="00757419" w:rsidRPr="006F5C8E">
        <w:rPr>
          <w:rFonts w:ascii="Arial" w:hAnsi="Arial" w:cs="Arial"/>
          <w:color w:val="808080" w:themeColor="background1" w:themeShade="80"/>
          <w:sz w:val="22"/>
          <w:szCs w:val="22"/>
          <w:lang w:val="en-GB"/>
        </w:rPr>
        <w:t xml:space="preserve">: </w:t>
      </w:r>
    </w:p>
    <w:p w14:paraId="6745D5B5" w14:textId="5132100A" w:rsidR="00757419" w:rsidRPr="006F5C8E" w:rsidRDefault="00757419" w:rsidP="00757419">
      <w:pPr>
        <w:jc w:val="both"/>
        <w:rPr>
          <w:rFonts w:ascii="Arial" w:hAnsi="Arial" w:cs="Arial"/>
          <w:color w:val="808080" w:themeColor="background1" w:themeShade="80"/>
          <w:sz w:val="22"/>
          <w:szCs w:val="22"/>
          <w:lang w:val="en-GB"/>
        </w:rPr>
      </w:pPr>
      <w:r w:rsidRPr="006F5C8E">
        <w:rPr>
          <w:rFonts w:ascii="Arial" w:hAnsi="Arial" w:cs="Arial"/>
          <w:color w:val="808080" w:themeColor="background1" w:themeShade="80"/>
          <w:sz w:val="22"/>
          <w:szCs w:val="22"/>
          <w:lang w:val="en-GB"/>
        </w:rPr>
        <w:t>(a)</w:t>
      </w:r>
      <w:r w:rsidRPr="006F5C8E">
        <w:rPr>
          <w:rFonts w:ascii="Arial" w:hAnsi="Arial" w:cs="Arial"/>
          <w:color w:val="808080" w:themeColor="background1" w:themeShade="80"/>
          <w:sz w:val="22"/>
          <w:szCs w:val="22"/>
          <w:lang w:val="en-GB"/>
        </w:rPr>
        <w:tab/>
        <w:t>no order has been made and no resolution has been passed for the winding up of the related company;</w:t>
      </w:r>
    </w:p>
    <w:p w14:paraId="7D245C50" w14:textId="77777777" w:rsidR="00757419" w:rsidRPr="006F5C8E" w:rsidRDefault="00757419" w:rsidP="00757419">
      <w:pPr>
        <w:jc w:val="both"/>
        <w:rPr>
          <w:rFonts w:ascii="Arial" w:hAnsi="Arial" w:cs="Arial"/>
          <w:color w:val="808080" w:themeColor="background1" w:themeShade="80"/>
          <w:sz w:val="22"/>
          <w:szCs w:val="22"/>
          <w:lang w:val="en-GB"/>
        </w:rPr>
      </w:pPr>
      <w:r w:rsidRPr="006F5C8E">
        <w:rPr>
          <w:rFonts w:ascii="Arial" w:hAnsi="Arial" w:cs="Arial"/>
          <w:color w:val="808080" w:themeColor="background1" w:themeShade="80"/>
          <w:sz w:val="22"/>
          <w:szCs w:val="22"/>
          <w:lang w:val="en-GB"/>
        </w:rPr>
        <w:t>(b)</w:t>
      </w:r>
      <w:r w:rsidRPr="006F5C8E">
        <w:rPr>
          <w:rFonts w:ascii="Arial" w:hAnsi="Arial" w:cs="Arial"/>
          <w:color w:val="808080" w:themeColor="background1" w:themeShade="80"/>
          <w:sz w:val="22"/>
          <w:szCs w:val="22"/>
          <w:lang w:val="en-GB"/>
        </w:rPr>
        <w:tab/>
        <w:t>the order under section 64(1) made in relation to the subject company is in force;</w:t>
      </w:r>
    </w:p>
    <w:p w14:paraId="76F667EA" w14:textId="77777777" w:rsidR="00757419" w:rsidRPr="006F5C8E" w:rsidRDefault="00757419" w:rsidP="00757419">
      <w:pPr>
        <w:jc w:val="both"/>
        <w:rPr>
          <w:rFonts w:ascii="Arial" w:hAnsi="Arial" w:cs="Arial"/>
          <w:color w:val="808080" w:themeColor="background1" w:themeShade="80"/>
          <w:sz w:val="22"/>
          <w:szCs w:val="22"/>
          <w:lang w:val="en-GB"/>
        </w:rPr>
      </w:pPr>
      <w:r w:rsidRPr="006F5C8E">
        <w:rPr>
          <w:rFonts w:ascii="Arial" w:hAnsi="Arial" w:cs="Arial"/>
          <w:color w:val="808080" w:themeColor="background1" w:themeShade="80"/>
          <w:sz w:val="22"/>
          <w:szCs w:val="22"/>
          <w:lang w:val="en-GB"/>
        </w:rPr>
        <w:t>(c)</w:t>
      </w:r>
      <w:r w:rsidRPr="006F5C8E">
        <w:rPr>
          <w:rFonts w:ascii="Arial" w:hAnsi="Arial" w:cs="Arial"/>
          <w:color w:val="808080" w:themeColor="background1" w:themeShade="80"/>
          <w:sz w:val="22"/>
          <w:szCs w:val="22"/>
          <w:lang w:val="en-GB"/>
        </w:rPr>
        <w:tab/>
        <w:t>the related company plays a necessary and integral role in the compromise or arrangement relied on by the subject company to make the application for the order under section 64(1);</w:t>
      </w:r>
    </w:p>
    <w:p w14:paraId="65FD69C7" w14:textId="77777777" w:rsidR="00757419" w:rsidRPr="006F5C8E" w:rsidRDefault="00757419" w:rsidP="00757419">
      <w:pPr>
        <w:jc w:val="both"/>
        <w:rPr>
          <w:rFonts w:ascii="Arial" w:hAnsi="Arial" w:cs="Arial"/>
          <w:color w:val="808080" w:themeColor="background1" w:themeShade="80"/>
          <w:sz w:val="22"/>
          <w:szCs w:val="22"/>
          <w:lang w:val="en-GB"/>
        </w:rPr>
      </w:pPr>
      <w:r w:rsidRPr="006F5C8E">
        <w:rPr>
          <w:rFonts w:ascii="Arial" w:hAnsi="Arial" w:cs="Arial"/>
          <w:color w:val="808080" w:themeColor="background1" w:themeShade="80"/>
          <w:sz w:val="22"/>
          <w:szCs w:val="22"/>
          <w:lang w:val="en-GB"/>
        </w:rPr>
        <w:t>(d)</w:t>
      </w:r>
      <w:r w:rsidRPr="006F5C8E">
        <w:rPr>
          <w:rFonts w:ascii="Arial" w:hAnsi="Arial" w:cs="Arial"/>
          <w:color w:val="808080" w:themeColor="background1" w:themeShade="80"/>
          <w:sz w:val="22"/>
          <w:szCs w:val="22"/>
          <w:lang w:val="en-GB"/>
        </w:rPr>
        <w:tab/>
        <w:t>the compromise or arrangement mentioned in paragraph (c) will be frustrated if one or more of the actions that may be restrained by an order under subsection (1) are taken against the related company;</w:t>
      </w:r>
    </w:p>
    <w:p w14:paraId="56CE8A8E" w14:textId="45CFD52E" w:rsidR="00BA1D2F" w:rsidRPr="006F5C8E" w:rsidRDefault="00757419" w:rsidP="00BD1187">
      <w:pPr>
        <w:jc w:val="both"/>
        <w:rPr>
          <w:rFonts w:ascii="Arial" w:hAnsi="Arial" w:cs="Arial"/>
          <w:color w:val="808080" w:themeColor="background1" w:themeShade="80"/>
          <w:sz w:val="22"/>
          <w:szCs w:val="22"/>
          <w:lang w:val="en-GB"/>
        </w:rPr>
      </w:pPr>
      <w:r w:rsidRPr="006F5C8E">
        <w:rPr>
          <w:rFonts w:ascii="Arial" w:hAnsi="Arial" w:cs="Arial"/>
          <w:color w:val="808080" w:themeColor="background1" w:themeShade="80"/>
          <w:sz w:val="22"/>
          <w:szCs w:val="22"/>
          <w:lang w:val="en-GB"/>
        </w:rPr>
        <w:t>(e)</w:t>
      </w:r>
      <w:r w:rsidRPr="006F5C8E">
        <w:rPr>
          <w:rFonts w:ascii="Arial" w:hAnsi="Arial" w:cs="Arial"/>
          <w:color w:val="808080" w:themeColor="background1" w:themeShade="80"/>
          <w:sz w:val="22"/>
          <w:szCs w:val="22"/>
          <w:lang w:val="en-GB"/>
        </w:rPr>
        <w:tab/>
        <w:t>the Court is satisfied that the creditors of the related company will not be unfairly prejudiced by the making of an order under subsection (1)</w:t>
      </w:r>
    </w:p>
    <w:p w14:paraId="79015025" w14:textId="77777777" w:rsidR="00BB08EB" w:rsidRDefault="00BB08EB" w:rsidP="00BB08EB">
      <w:pPr>
        <w:jc w:val="both"/>
        <w:rPr>
          <w:rFonts w:ascii="Arial" w:hAnsi="Arial" w:cs="Arial"/>
          <w:sz w:val="22"/>
          <w:szCs w:val="22"/>
          <w:lang w:val="en-GB"/>
        </w:rPr>
      </w:pPr>
    </w:p>
    <w:p w14:paraId="22090A36" w14:textId="066BEB93" w:rsidR="00DA7614" w:rsidRDefault="00120005" w:rsidP="00384F62">
      <w:pPr>
        <w:jc w:val="both"/>
        <w:rPr>
          <w:rFonts w:ascii="Arial" w:hAnsi="Arial" w:cs="Arial"/>
          <w:sz w:val="22"/>
          <w:szCs w:val="22"/>
          <w:lang w:val="en-GB"/>
        </w:rPr>
      </w:pPr>
      <w:r w:rsidRPr="00BB08EB">
        <w:rPr>
          <w:rFonts w:ascii="Arial" w:hAnsi="Arial" w:cs="Arial"/>
          <w:sz w:val="22"/>
          <w:szCs w:val="22"/>
          <w:lang w:val="en-GB"/>
        </w:rPr>
        <w:t xml:space="preserve"> </w:t>
      </w:r>
    </w:p>
    <w:p w14:paraId="073CA7D3" w14:textId="45FDC610" w:rsidR="00384F62" w:rsidRPr="0039325D" w:rsidRDefault="00384F62" w:rsidP="0039325D">
      <w:pPr>
        <w:jc w:val="both"/>
        <w:rPr>
          <w:rFonts w:ascii="Arial" w:hAnsi="Arial" w:cs="Arial"/>
          <w:sz w:val="22"/>
          <w:szCs w:val="22"/>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6F5C8E" w:rsidRDefault="00384F62" w:rsidP="00384F62">
      <w:pPr>
        <w:jc w:val="both"/>
        <w:rPr>
          <w:rFonts w:ascii="Arial" w:hAnsi="Arial" w:cs="Arial"/>
          <w:b/>
          <w:bCs/>
          <w:sz w:val="22"/>
          <w:szCs w:val="22"/>
          <w:lang w:val="en-GB"/>
        </w:rPr>
      </w:pPr>
      <w:r w:rsidRPr="006F5C8E">
        <w:rPr>
          <w:rFonts w:ascii="Arial" w:hAnsi="Arial" w:cs="Arial"/>
          <w:b/>
          <w:bCs/>
          <w:sz w:val="22"/>
          <w:szCs w:val="22"/>
          <w:lang w:val="en-GB"/>
        </w:rPr>
        <w:t>Question 4.1.3 (2 marks)</w:t>
      </w:r>
    </w:p>
    <w:p w14:paraId="623DF5AE" w14:textId="77777777" w:rsidR="00384F62" w:rsidRPr="006F5C8E" w:rsidRDefault="00384F62" w:rsidP="00384F62">
      <w:pPr>
        <w:pStyle w:val="ListParagraph"/>
        <w:ind w:left="426"/>
        <w:jc w:val="both"/>
        <w:rPr>
          <w:rFonts w:ascii="Arial" w:hAnsi="Arial" w:cs="Arial"/>
          <w:sz w:val="22"/>
          <w:szCs w:val="22"/>
          <w:lang w:val="en-GB"/>
        </w:rPr>
      </w:pPr>
    </w:p>
    <w:p w14:paraId="7E0701C1" w14:textId="4074E242" w:rsidR="00384F62" w:rsidRPr="006F5C8E" w:rsidRDefault="00384F62" w:rsidP="00384F62">
      <w:pPr>
        <w:jc w:val="both"/>
        <w:rPr>
          <w:rFonts w:ascii="Arial" w:hAnsi="Arial" w:cs="Arial"/>
          <w:sz w:val="22"/>
          <w:szCs w:val="22"/>
          <w:lang w:val="en-GB"/>
        </w:rPr>
      </w:pPr>
      <w:r w:rsidRPr="006F5C8E">
        <w:rPr>
          <w:rFonts w:ascii="Arial" w:hAnsi="Arial" w:cs="Arial"/>
          <w:sz w:val="22"/>
          <w:szCs w:val="22"/>
          <w:lang w:val="en-GB"/>
        </w:rPr>
        <w:lastRenderedPageBreak/>
        <w:t>Can the moratoria sought by Juniperus and Casuarina be ordered to have extra-territorial effect? If so, what acts and / or creditors will the moratoria apply to?</w:t>
      </w:r>
    </w:p>
    <w:p w14:paraId="5F18D5A4" w14:textId="359ED9BA" w:rsidR="00472FFA" w:rsidRPr="006F5C8E" w:rsidRDefault="00472FFA" w:rsidP="00384F62">
      <w:pPr>
        <w:jc w:val="both"/>
        <w:rPr>
          <w:rFonts w:ascii="Arial" w:hAnsi="Arial" w:cs="Arial"/>
          <w:sz w:val="22"/>
          <w:szCs w:val="22"/>
          <w:lang w:val="en-GB"/>
        </w:rPr>
      </w:pPr>
    </w:p>
    <w:p w14:paraId="2A1379E1" w14:textId="67F19BE1" w:rsidR="00472FFA" w:rsidRPr="00AA4D35" w:rsidRDefault="00472FFA" w:rsidP="00384F62">
      <w:pPr>
        <w:jc w:val="both"/>
        <w:rPr>
          <w:rFonts w:ascii="Arial" w:hAnsi="Arial" w:cs="Arial"/>
          <w:color w:val="808080" w:themeColor="background1" w:themeShade="80"/>
          <w:sz w:val="22"/>
          <w:szCs w:val="22"/>
          <w:lang w:val="x-none"/>
        </w:rPr>
      </w:pPr>
      <w:r w:rsidRPr="00F030A5">
        <w:rPr>
          <w:rFonts w:ascii="Arial" w:hAnsi="Arial" w:cs="Arial"/>
          <w:color w:val="808080" w:themeColor="background1" w:themeShade="80"/>
          <w:sz w:val="22"/>
          <w:szCs w:val="22"/>
          <w:lang w:val="en-GB"/>
        </w:rPr>
        <w:t xml:space="preserve">Yes </w:t>
      </w:r>
      <w:r w:rsidR="00DE6ADB" w:rsidRPr="00AA4D35">
        <w:rPr>
          <w:rFonts w:ascii="Arial" w:hAnsi="Arial" w:cs="Arial"/>
          <w:color w:val="808080" w:themeColor="background1" w:themeShade="80"/>
          <w:sz w:val="22"/>
          <w:szCs w:val="22"/>
          <w:lang w:val="en-GB"/>
        </w:rPr>
        <w:t>Article 4 explained the competent court. T</w:t>
      </w:r>
      <w:r w:rsidR="00DE6ADB" w:rsidRPr="00AA4D35">
        <w:rPr>
          <w:rFonts w:ascii="Arial" w:hAnsi="Arial" w:cs="Arial"/>
          <w:color w:val="808080" w:themeColor="background1" w:themeShade="80"/>
          <w:sz w:val="22"/>
          <w:szCs w:val="22"/>
        </w:rPr>
        <w:t xml:space="preserve">he functions mentioned in this </w:t>
      </w:r>
      <w:r w:rsidR="00E71A2C" w:rsidRPr="00AA4D35">
        <w:rPr>
          <w:rFonts w:ascii="Arial" w:hAnsi="Arial" w:cs="Arial"/>
          <w:color w:val="808080" w:themeColor="background1" w:themeShade="80"/>
          <w:sz w:val="22"/>
          <w:szCs w:val="22"/>
        </w:rPr>
        <w:t>Article</w:t>
      </w:r>
      <w:r w:rsidR="00DE6ADB" w:rsidRPr="00AA4D35">
        <w:rPr>
          <w:rFonts w:ascii="Arial" w:hAnsi="Arial" w:cs="Arial"/>
          <w:color w:val="808080" w:themeColor="background1" w:themeShade="80"/>
          <w:sz w:val="22"/>
          <w:szCs w:val="22"/>
        </w:rPr>
        <w:t xml:space="preserve"> relating to recognition of foreign proceedings and cooperation with foreign courts are to be performed by the High Court in Singapore</w:t>
      </w:r>
      <w:r w:rsidR="00E71A2C" w:rsidRPr="00AA4D35">
        <w:rPr>
          <w:rFonts w:ascii="Arial" w:hAnsi="Arial" w:cs="Arial"/>
          <w:color w:val="808080" w:themeColor="background1" w:themeShade="80"/>
          <w:sz w:val="22"/>
          <w:szCs w:val="22"/>
        </w:rPr>
        <w:t xml:space="preserve">. </w:t>
      </w:r>
      <w:r w:rsidR="00F34BA0" w:rsidRPr="00AA4D35">
        <w:rPr>
          <w:rFonts w:ascii="Arial" w:hAnsi="Arial" w:cs="Arial"/>
          <w:color w:val="808080" w:themeColor="background1" w:themeShade="80"/>
          <w:sz w:val="22"/>
          <w:szCs w:val="22"/>
          <w:lang w:val="x-none"/>
        </w:rPr>
        <w:t xml:space="preserve">The court has jurisdiction in relation to the function mentioned in the paragraph if </w:t>
      </w:r>
    </w:p>
    <w:p w14:paraId="3AF60824" w14:textId="140708F9" w:rsidR="00F34BA0" w:rsidRPr="00AA4D35" w:rsidRDefault="005D43AE" w:rsidP="00F34BA0">
      <w:pPr>
        <w:pStyle w:val="ListParagraph"/>
        <w:numPr>
          <w:ilvl w:val="2"/>
          <w:numId w:val="15"/>
        </w:numPr>
        <w:jc w:val="both"/>
        <w:rPr>
          <w:rFonts w:ascii="Arial" w:hAnsi="Arial" w:cs="Arial"/>
          <w:color w:val="808080" w:themeColor="background1" w:themeShade="80"/>
          <w:sz w:val="22"/>
          <w:szCs w:val="22"/>
          <w:lang w:val="en-GB"/>
        </w:rPr>
      </w:pPr>
      <w:r w:rsidRPr="00AA4D35">
        <w:rPr>
          <w:rFonts w:ascii="Arial" w:hAnsi="Arial" w:cs="Arial"/>
          <w:color w:val="808080" w:themeColor="background1" w:themeShade="80"/>
          <w:sz w:val="22"/>
          <w:szCs w:val="22"/>
          <w:lang w:val="en-GB"/>
        </w:rPr>
        <w:t xml:space="preserve"> The debtor</w:t>
      </w:r>
    </w:p>
    <w:p w14:paraId="6CEFF585" w14:textId="7516982B" w:rsidR="005D43AE" w:rsidRPr="00AA4D35" w:rsidRDefault="00536A1A" w:rsidP="005D43AE">
      <w:pPr>
        <w:pStyle w:val="ListParagraph"/>
        <w:numPr>
          <w:ilvl w:val="3"/>
          <w:numId w:val="15"/>
        </w:numPr>
        <w:ind w:left="1701" w:hanging="567"/>
        <w:jc w:val="both"/>
        <w:rPr>
          <w:rFonts w:ascii="Arial" w:hAnsi="Arial" w:cs="Arial"/>
          <w:color w:val="808080" w:themeColor="background1" w:themeShade="80"/>
          <w:sz w:val="22"/>
          <w:szCs w:val="22"/>
          <w:lang w:val="en-GB"/>
        </w:rPr>
      </w:pPr>
      <w:r w:rsidRPr="00AA4D35">
        <w:rPr>
          <w:rFonts w:ascii="Arial" w:hAnsi="Arial" w:cs="Arial"/>
          <w:color w:val="808080" w:themeColor="background1" w:themeShade="80"/>
          <w:sz w:val="22"/>
          <w:szCs w:val="22"/>
          <w:lang w:val="en-GB"/>
        </w:rPr>
        <w:t xml:space="preserve"> Been carrying on business within the meaning of section 366 of the Company act  in Singapore or</w:t>
      </w:r>
    </w:p>
    <w:p w14:paraId="7ED895D0" w14:textId="7CE6BCA4" w:rsidR="00536A1A" w:rsidRPr="00AA4D35" w:rsidRDefault="00536A1A" w:rsidP="005D43AE">
      <w:pPr>
        <w:pStyle w:val="ListParagraph"/>
        <w:numPr>
          <w:ilvl w:val="3"/>
          <w:numId w:val="15"/>
        </w:numPr>
        <w:ind w:left="1701" w:hanging="567"/>
        <w:jc w:val="both"/>
        <w:rPr>
          <w:rFonts w:ascii="Arial" w:hAnsi="Arial" w:cs="Arial"/>
          <w:color w:val="808080" w:themeColor="background1" w:themeShade="80"/>
          <w:sz w:val="22"/>
          <w:szCs w:val="22"/>
          <w:lang w:val="en-GB"/>
        </w:rPr>
      </w:pPr>
      <w:r w:rsidRPr="00AA4D35">
        <w:rPr>
          <w:rFonts w:ascii="Arial" w:hAnsi="Arial" w:cs="Arial"/>
          <w:color w:val="808080" w:themeColor="background1" w:themeShade="80"/>
          <w:sz w:val="22"/>
          <w:szCs w:val="22"/>
          <w:lang w:val="en-GB"/>
        </w:rPr>
        <w:t xml:space="preserve"> As property situated in Singapore</w:t>
      </w:r>
    </w:p>
    <w:p w14:paraId="3ADFD571" w14:textId="57DEEFC7" w:rsidR="00536A1A" w:rsidRPr="00AA4D35" w:rsidRDefault="00536A1A" w:rsidP="00536A1A">
      <w:pPr>
        <w:pStyle w:val="ListParagraph"/>
        <w:numPr>
          <w:ilvl w:val="2"/>
          <w:numId w:val="15"/>
        </w:numPr>
        <w:jc w:val="both"/>
        <w:rPr>
          <w:rFonts w:ascii="Arial" w:hAnsi="Arial" w:cs="Arial"/>
          <w:color w:val="808080" w:themeColor="background1" w:themeShade="80"/>
          <w:sz w:val="22"/>
          <w:szCs w:val="22"/>
          <w:lang w:val="en-GB"/>
        </w:rPr>
      </w:pPr>
      <w:r w:rsidRPr="00AA4D35">
        <w:rPr>
          <w:rFonts w:ascii="Arial" w:hAnsi="Arial" w:cs="Arial"/>
          <w:color w:val="808080" w:themeColor="background1" w:themeShade="80"/>
          <w:sz w:val="22"/>
          <w:szCs w:val="22"/>
          <w:lang w:val="en-GB"/>
        </w:rPr>
        <w:t xml:space="preserve"> The court considers for any other reason that it is the appropriate forum to consider the</w:t>
      </w:r>
      <w:r w:rsidR="00F14425" w:rsidRPr="00AA4D35">
        <w:rPr>
          <w:rFonts w:ascii="Arial" w:hAnsi="Arial" w:cs="Arial"/>
          <w:color w:val="808080" w:themeColor="background1" w:themeShade="80"/>
          <w:sz w:val="22"/>
          <w:szCs w:val="22"/>
          <w:lang w:val="en-GB"/>
        </w:rPr>
        <w:t xml:space="preserve"> question or provide the assistance requested </w:t>
      </w:r>
    </w:p>
    <w:p w14:paraId="6729A5CF" w14:textId="606725C4" w:rsidR="00384F62" w:rsidRPr="002A37BB" w:rsidRDefault="00384F62" w:rsidP="00F030A5">
      <w:pPr>
        <w:jc w:val="both"/>
        <w:rPr>
          <w:rFonts w:ascii="Arial" w:hAnsi="Arial" w:cs="Arial"/>
          <w:sz w:val="22"/>
          <w:szCs w:val="22"/>
        </w:rPr>
      </w:pP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1D739C38" w:rsidR="00384F62" w:rsidRDefault="00384F62" w:rsidP="00384F62">
      <w:pPr>
        <w:jc w:val="both"/>
        <w:rPr>
          <w:rFonts w:ascii="Arial" w:hAnsi="Arial" w:cs="Arial"/>
          <w:b/>
          <w:bCs/>
          <w:sz w:val="22"/>
          <w:szCs w:val="22"/>
          <w:lang w:val="en-GB"/>
        </w:rPr>
      </w:pPr>
    </w:p>
    <w:p w14:paraId="4D57A123" w14:textId="39EF3290" w:rsidR="00317361" w:rsidRPr="000813A1" w:rsidRDefault="00317361" w:rsidP="001B3FFC">
      <w:pPr>
        <w:jc w:val="both"/>
        <w:rPr>
          <w:rFonts w:ascii="Arial" w:hAnsi="Arial" w:cs="Arial"/>
          <w:b/>
          <w:bCs/>
          <w:color w:val="808080" w:themeColor="background1" w:themeShade="80"/>
          <w:sz w:val="22"/>
          <w:szCs w:val="22"/>
          <w:lang w:val="en-GB"/>
        </w:rPr>
      </w:pPr>
      <w:r w:rsidRPr="000813A1">
        <w:rPr>
          <w:rFonts w:ascii="Arial" w:hAnsi="Arial" w:cs="Arial"/>
          <w:b/>
          <w:bCs/>
          <w:color w:val="808080" w:themeColor="background1" w:themeShade="80"/>
          <w:sz w:val="22"/>
          <w:szCs w:val="22"/>
          <w:lang w:val="en-GB"/>
        </w:rPr>
        <w:t xml:space="preserve">The following steps are to be taken to apply for scheme of arrangement under section 210 of the Companies Act: </w:t>
      </w:r>
    </w:p>
    <w:p w14:paraId="287381F9" w14:textId="77777777" w:rsidR="00317361" w:rsidRPr="000813A1" w:rsidRDefault="00317361" w:rsidP="001B3FFC">
      <w:pPr>
        <w:jc w:val="both"/>
        <w:rPr>
          <w:rFonts w:ascii="Arial" w:hAnsi="Arial" w:cs="Arial"/>
          <w:b/>
          <w:bCs/>
          <w:color w:val="808080" w:themeColor="background1" w:themeShade="80"/>
          <w:sz w:val="22"/>
          <w:szCs w:val="22"/>
          <w:lang w:val="en-GB"/>
        </w:rPr>
      </w:pPr>
    </w:p>
    <w:p w14:paraId="4CCCCADD" w14:textId="215B2BB5" w:rsidR="001B3FFC" w:rsidRPr="000813A1" w:rsidRDefault="00931602" w:rsidP="00317361">
      <w:pPr>
        <w:pStyle w:val="ListParagraph"/>
        <w:numPr>
          <w:ilvl w:val="0"/>
          <w:numId w:val="39"/>
        </w:numPr>
        <w:jc w:val="both"/>
        <w:rPr>
          <w:rFonts w:ascii="Arial" w:hAnsi="Arial" w:cs="Arial"/>
          <w:b/>
          <w:bCs/>
          <w:color w:val="808080" w:themeColor="background1" w:themeShade="80"/>
          <w:sz w:val="22"/>
          <w:szCs w:val="22"/>
          <w:lang w:val="en-GB"/>
        </w:rPr>
      </w:pPr>
      <w:r w:rsidRPr="000813A1">
        <w:rPr>
          <w:rFonts w:ascii="Arial" w:hAnsi="Arial" w:cs="Arial"/>
          <w:b/>
          <w:bCs/>
          <w:color w:val="808080" w:themeColor="background1" w:themeShade="80"/>
          <w:sz w:val="22"/>
          <w:szCs w:val="22"/>
          <w:lang w:val="en-GB"/>
        </w:rPr>
        <w:t>Apply to Court for a scheme</w:t>
      </w:r>
    </w:p>
    <w:p w14:paraId="678F5121" w14:textId="6A82BA58"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When applying for a scheme, the applicant has to unreservedly disclose all material information to the court. This is to assist the court as it decides how the creditors’ meeting would be conducted.</w:t>
      </w:r>
    </w:p>
    <w:p w14:paraId="00285ED2" w14:textId="77777777" w:rsidR="001B3FFC" w:rsidRPr="000813A1" w:rsidRDefault="001B3FFC" w:rsidP="001B3FFC">
      <w:pPr>
        <w:jc w:val="both"/>
        <w:rPr>
          <w:rFonts w:ascii="Arial" w:hAnsi="Arial" w:cs="Arial"/>
          <w:color w:val="808080" w:themeColor="background1" w:themeShade="80"/>
          <w:sz w:val="22"/>
          <w:szCs w:val="22"/>
          <w:lang w:val="en-GB"/>
        </w:rPr>
      </w:pPr>
    </w:p>
    <w:p w14:paraId="27CA4D1F"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Such material information includes any issues relating to a possible need to hold separate meetings for different classes of creditors. For example, where certain creditors have such different rights and interests from others that it will be inappropriate for them to consult each other on whether to vote for or against the proposed scheme.</w:t>
      </w:r>
    </w:p>
    <w:p w14:paraId="16FD65E6" w14:textId="77777777" w:rsidR="001B3FFC" w:rsidRPr="000813A1" w:rsidRDefault="001B3FFC" w:rsidP="001B3FFC">
      <w:pPr>
        <w:jc w:val="both"/>
        <w:rPr>
          <w:rFonts w:ascii="Arial" w:hAnsi="Arial" w:cs="Arial"/>
          <w:b/>
          <w:bCs/>
          <w:color w:val="808080" w:themeColor="background1" w:themeShade="80"/>
          <w:sz w:val="22"/>
          <w:szCs w:val="22"/>
          <w:lang w:val="en-GB"/>
        </w:rPr>
      </w:pPr>
    </w:p>
    <w:p w14:paraId="123ADCEF" w14:textId="0924121D" w:rsidR="001B3FFC" w:rsidRPr="000813A1" w:rsidRDefault="001B3FFC" w:rsidP="009F6794">
      <w:pPr>
        <w:pStyle w:val="ListParagraph"/>
        <w:numPr>
          <w:ilvl w:val="0"/>
          <w:numId w:val="39"/>
        </w:numPr>
        <w:jc w:val="both"/>
        <w:rPr>
          <w:rFonts w:ascii="Arial" w:hAnsi="Arial" w:cs="Arial"/>
          <w:b/>
          <w:bCs/>
          <w:color w:val="808080" w:themeColor="background1" w:themeShade="80"/>
          <w:sz w:val="22"/>
          <w:szCs w:val="22"/>
          <w:lang w:val="en-GB"/>
        </w:rPr>
      </w:pPr>
      <w:r w:rsidRPr="000813A1">
        <w:rPr>
          <w:rFonts w:ascii="Arial" w:hAnsi="Arial" w:cs="Arial"/>
          <w:b/>
          <w:bCs/>
          <w:color w:val="808080" w:themeColor="background1" w:themeShade="80"/>
          <w:sz w:val="22"/>
          <w:szCs w:val="22"/>
          <w:lang w:val="en-GB"/>
        </w:rPr>
        <w:t xml:space="preserve">Notice of Meeting and (if needed) appointment of scheme manager </w:t>
      </w:r>
    </w:p>
    <w:p w14:paraId="773A6F06" w14:textId="77777777" w:rsidR="001B3FFC" w:rsidRPr="000813A1" w:rsidRDefault="001B3FFC" w:rsidP="001B3FFC">
      <w:pPr>
        <w:jc w:val="both"/>
        <w:rPr>
          <w:rFonts w:ascii="Arial" w:hAnsi="Arial" w:cs="Arial"/>
          <w:b/>
          <w:bCs/>
          <w:color w:val="808080" w:themeColor="background1" w:themeShade="80"/>
          <w:sz w:val="22"/>
          <w:szCs w:val="22"/>
          <w:lang w:val="en-GB"/>
        </w:rPr>
      </w:pPr>
    </w:p>
    <w:p w14:paraId="17C22DD9"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lastRenderedPageBreak/>
        <w:t>If the court approves the creditors’ meeting, the company will send notice(s) summoning the meeting, as well as statement(s) explaining the effects of the proposed scheme to all creditors. A scheme manager may also need to be appointed by the company or court to administer and manage the scheme or facilitate negotiations.</w:t>
      </w:r>
    </w:p>
    <w:p w14:paraId="0F658A45" w14:textId="77777777" w:rsidR="001B3FFC" w:rsidRPr="000813A1" w:rsidRDefault="001B3FFC" w:rsidP="001B3FFC">
      <w:pPr>
        <w:jc w:val="both"/>
        <w:rPr>
          <w:rFonts w:ascii="Arial" w:hAnsi="Arial" w:cs="Arial"/>
          <w:color w:val="808080" w:themeColor="background1" w:themeShade="80"/>
          <w:sz w:val="22"/>
          <w:szCs w:val="22"/>
          <w:lang w:val="en-GB"/>
        </w:rPr>
      </w:pPr>
    </w:p>
    <w:p w14:paraId="45762187"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Upon receiving these documents, prospective scheme creditors can submit their proofs of debt (together with any supporting documents) to the chairman of the creditors’ meeting. The chairman will then decide which debts to admit or reject.</w:t>
      </w:r>
    </w:p>
    <w:p w14:paraId="5FF1152D" w14:textId="77777777" w:rsidR="001B3FFC" w:rsidRPr="000813A1" w:rsidRDefault="001B3FFC" w:rsidP="001B3FFC">
      <w:pPr>
        <w:jc w:val="both"/>
        <w:rPr>
          <w:rFonts w:ascii="Arial" w:hAnsi="Arial" w:cs="Arial"/>
          <w:color w:val="808080" w:themeColor="background1" w:themeShade="80"/>
          <w:sz w:val="22"/>
          <w:szCs w:val="22"/>
          <w:lang w:val="en-GB"/>
        </w:rPr>
      </w:pPr>
    </w:p>
    <w:p w14:paraId="3EC65715" w14:textId="684C336A"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The chairman’s list of approved creditors and the corresponding amounts of their admitted claims will be posted at the meeting venue before the meeting.</w:t>
      </w:r>
    </w:p>
    <w:p w14:paraId="5A07A482" w14:textId="77777777" w:rsidR="001B3FFC" w:rsidRPr="000813A1" w:rsidRDefault="001B3FFC" w:rsidP="001B3FFC">
      <w:pPr>
        <w:jc w:val="both"/>
        <w:rPr>
          <w:rFonts w:ascii="Arial" w:hAnsi="Arial" w:cs="Arial"/>
          <w:b/>
          <w:bCs/>
          <w:color w:val="808080" w:themeColor="background1" w:themeShade="80"/>
          <w:sz w:val="22"/>
          <w:szCs w:val="22"/>
          <w:lang w:val="en-GB"/>
        </w:rPr>
      </w:pPr>
    </w:p>
    <w:p w14:paraId="723EEDEF" w14:textId="797824CE" w:rsidR="001B3FFC" w:rsidRPr="000813A1" w:rsidRDefault="001B3FFC" w:rsidP="00081FCE">
      <w:pPr>
        <w:pStyle w:val="ListParagraph"/>
        <w:numPr>
          <w:ilvl w:val="0"/>
          <w:numId w:val="39"/>
        </w:numPr>
        <w:jc w:val="both"/>
        <w:rPr>
          <w:rFonts w:ascii="Arial" w:hAnsi="Arial" w:cs="Arial"/>
          <w:b/>
          <w:bCs/>
          <w:color w:val="808080" w:themeColor="background1" w:themeShade="80"/>
          <w:sz w:val="22"/>
          <w:szCs w:val="22"/>
          <w:lang w:val="en-GB"/>
        </w:rPr>
      </w:pPr>
      <w:r w:rsidRPr="000813A1">
        <w:rPr>
          <w:rFonts w:ascii="Arial" w:hAnsi="Arial" w:cs="Arial"/>
          <w:b/>
          <w:bCs/>
          <w:color w:val="808080" w:themeColor="background1" w:themeShade="80"/>
          <w:sz w:val="22"/>
          <w:szCs w:val="22"/>
          <w:lang w:val="en-GB"/>
        </w:rPr>
        <w:t>Approval via creditors’ voting</w:t>
      </w:r>
    </w:p>
    <w:p w14:paraId="733ADA70" w14:textId="77777777" w:rsidR="001B3FFC" w:rsidRPr="000813A1" w:rsidRDefault="001B3FFC" w:rsidP="001B3FFC">
      <w:pPr>
        <w:jc w:val="both"/>
        <w:rPr>
          <w:rFonts w:ascii="Arial" w:hAnsi="Arial" w:cs="Arial"/>
          <w:b/>
          <w:bCs/>
          <w:color w:val="808080" w:themeColor="background1" w:themeShade="80"/>
          <w:sz w:val="22"/>
          <w:szCs w:val="22"/>
          <w:lang w:val="en-GB"/>
        </w:rPr>
      </w:pPr>
    </w:p>
    <w:p w14:paraId="33DAFB31"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During the meeting, the scheme creditors will cast their votes. As mentioned earlier, scheme creditors may be classified differently for voting purposes if they have differing interests.</w:t>
      </w:r>
    </w:p>
    <w:p w14:paraId="72E34E0E" w14:textId="77777777" w:rsidR="001B3FFC" w:rsidRPr="000813A1" w:rsidRDefault="001B3FFC" w:rsidP="001B3FFC">
      <w:pPr>
        <w:jc w:val="both"/>
        <w:rPr>
          <w:rFonts w:ascii="Arial" w:hAnsi="Arial" w:cs="Arial"/>
          <w:color w:val="808080" w:themeColor="background1" w:themeShade="80"/>
          <w:sz w:val="22"/>
          <w:szCs w:val="22"/>
          <w:lang w:val="en-GB"/>
        </w:rPr>
      </w:pPr>
    </w:p>
    <w:p w14:paraId="15366553"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This classification is aimed at protecting minority creditors whose rights may be crammed down upon (i.e. forced into being bound by the scheme, also known as cross-class cram down) should they be outvoted.</w:t>
      </w:r>
    </w:p>
    <w:p w14:paraId="62D9ECE7" w14:textId="77777777" w:rsidR="001B3FFC" w:rsidRPr="000813A1" w:rsidRDefault="001B3FFC" w:rsidP="001B3FFC">
      <w:pPr>
        <w:jc w:val="both"/>
        <w:rPr>
          <w:rFonts w:ascii="Arial" w:hAnsi="Arial" w:cs="Arial"/>
          <w:color w:val="808080" w:themeColor="background1" w:themeShade="80"/>
          <w:sz w:val="22"/>
          <w:szCs w:val="22"/>
          <w:lang w:val="en-GB"/>
        </w:rPr>
      </w:pPr>
    </w:p>
    <w:p w14:paraId="5D624C42"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At the same time however, the court has to ensure that not too many classes of creditors are created, or this could possibly lead to minority creditors being able to veto the scheme for no good reason.</w:t>
      </w:r>
    </w:p>
    <w:p w14:paraId="1F1460DC" w14:textId="77777777" w:rsidR="001B3FFC" w:rsidRPr="000813A1" w:rsidRDefault="001B3FFC" w:rsidP="001B3FFC">
      <w:pPr>
        <w:jc w:val="both"/>
        <w:rPr>
          <w:rFonts w:ascii="Arial" w:hAnsi="Arial" w:cs="Arial"/>
          <w:color w:val="808080" w:themeColor="background1" w:themeShade="80"/>
          <w:sz w:val="22"/>
          <w:szCs w:val="22"/>
          <w:lang w:val="en-GB"/>
        </w:rPr>
      </w:pPr>
    </w:p>
    <w:p w14:paraId="6BD4AC70"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After voting, the chairman will tabulate the votes and announce the results. If at least 50% of the creditors or class of creditors (present and voting) holding at least 75% in value of debt claims agree to the proposed scheme, the court will then decide whether to approve it.</w:t>
      </w:r>
    </w:p>
    <w:p w14:paraId="58E840B1" w14:textId="77777777" w:rsidR="001B3FFC" w:rsidRPr="000813A1" w:rsidRDefault="001B3FFC" w:rsidP="001B3FFC">
      <w:pPr>
        <w:jc w:val="both"/>
        <w:rPr>
          <w:rFonts w:ascii="Arial" w:hAnsi="Arial" w:cs="Arial"/>
          <w:b/>
          <w:bCs/>
          <w:color w:val="808080" w:themeColor="background1" w:themeShade="80"/>
          <w:sz w:val="22"/>
          <w:szCs w:val="22"/>
          <w:lang w:val="en-GB"/>
        </w:rPr>
      </w:pPr>
    </w:p>
    <w:p w14:paraId="6106B7D1" w14:textId="4021D251" w:rsidR="001B3FFC" w:rsidRPr="000813A1" w:rsidRDefault="001B3FFC" w:rsidP="00391F57">
      <w:pPr>
        <w:pStyle w:val="ListParagraph"/>
        <w:numPr>
          <w:ilvl w:val="0"/>
          <w:numId w:val="39"/>
        </w:numPr>
        <w:jc w:val="both"/>
        <w:rPr>
          <w:rFonts w:ascii="Arial" w:hAnsi="Arial" w:cs="Arial"/>
          <w:b/>
          <w:bCs/>
          <w:color w:val="808080" w:themeColor="background1" w:themeShade="80"/>
          <w:sz w:val="22"/>
          <w:szCs w:val="22"/>
          <w:lang w:val="en-GB"/>
        </w:rPr>
      </w:pPr>
      <w:r w:rsidRPr="000813A1">
        <w:rPr>
          <w:rFonts w:ascii="Arial" w:hAnsi="Arial" w:cs="Arial"/>
          <w:b/>
          <w:bCs/>
          <w:color w:val="808080" w:themeColor="background1" w:themeShade="80"/>
          <w:sz w:val="22"/>
          <w:szCs w:val="22"/>
          <w:lang w:val="en-GB"/>
        </w:rPr>
        <w:t>Sanction by the court</w:t>
      </w:r>
    </w:p>
    <w:p w14:paraId="59C6ADE2" w14:textId="77777777" w:rsidR="001B3FFC" w:rsidRPr="000813A1" w:rsidRDefault="001B3FFC" w:rsidP="001B3FFC">
      <w:pPr>
        <w:jc w:val="both"/>
        <w:rPr>
          <w:rFonts w:ascii="Arial" w:hAnsi="Arial" w:cs="Arial"/>
          <w:b/>
          <w:bCs/>
          <w:color w:val="808080" w:themeColor="background1" w:themeShade="80"/>
          <w:sz w:val="22"/>
          <w:szCs w:val="22"/>
          <w:lang w:val="en-GB"/>
        </w:rPr>
      </w:pPr>
    </w:p>
    <w:p w14:paraId="36099297"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For the court to approve the scheme, it must be satisfied that:</w:t>
      </w:r>
    </w:p>
    <w:p w14:paraId="28497C61" w14:textId="77777777" w:rsidR="001B3FFC" w:rsidRPr="000813A1" w:rsidRDefault="001B3FFC" w:rsidP="001B3FFC">
      <w:pPr>
        <w:jc w:val="both"/>
        <w:rPr>
          <w:rFonts w:ascii="Arial" w:hAnsi="Arial" w:cs="Arial"/>
          <w:color w:val="808080" w:themeColor="background1" w:themeShade="80"/>
          <w:sz w:val="22"/>
          <w:szCs w:val="22"/>
          <w:lang w:val="en-GB"/>
        </w:rPr>
      </w:pPr>
    </w:p>
    <w:p w14:paraId="263560B1" w14:textId="0E64672F" w:rsidR="001B3FFC" w:rsidRPr="000813A1" w:rsidRDefault="001B3FFC" w:rsidP="00F5277A">
      <w:pPr>
        <w:pStyle w:val="ListParagraph"/>
        <w:numPr>
          <w:ilvl w:val="2"/>
          <w:numId w:val="34"/>
        </w:num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All statutory requirements for the scheme have been complied with;</w:t>
      </w:r>
    </w:p>
    <w:p w14:paraId="68CB3CC4" w14:textId="7A038D48" w:rsidR="001B3FFC" w:rsidRPr="000813A1" w:rsidRDefault="001B3FFC" w:rsidP="00F5277A">
      <w:pPr>
        <w:pStyle w:val="ListParagraph"/>
        <w:numPr>
          <w:ilvl w:val="2"/>
          <w:numId w:val="34"/>
        </w:num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The creditors present at the meeting were fairly representative of the class of creditors;</w:t>
      </w:r>
    </w:p>
    <w:p w14:paraId="57E71C92" w14:textId="3F638222" w:rsidR="001B3FFC" w:rsidRPr="000813A1" w:rsidRDefault="001B3FFC" w:rsidP="00665C0D">
      <w:pPr>
        <w:pStyle w:val="ListParagraph"/>
        <w:numPr>
          <w:ilvl w:val="2"/>
          <w:numId w:val="34"/>
        </w:num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The statutory majority did not coerce the minority at the meeting in order to promote interests detrimental to them; and</w:t>
      </w:r>
    </w:p>
    <w:p w14:paraId="583FE00F" w14:textId="32827C6D" w:rsidR="001B3FFC" w:rsidRPr="000813A1" w:rsidRDefault="001B3FFC" w:rsidP="00665C0D">
      <w:pPr>
        <w:pStyle w:val="ListParagraph"/>
        <w:numPr>
          <w:ilvl w:val="2"/>
          <w:numId w:val="34"/>
        </w:num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The scheme is one which a man of business or an intelligent and honest man, being a member of the class concerned and acting in his interest, would reasonably approve.</w:t>
      </w:r>
    </w:p>
    <w:p w14:paraId="2F215B70" w14:textId="77777777" w:rsidR="00665C0D" w:rsidRPr="000813A1" w:rsidRDefault="00665C0D" w:rsidP="001B3FFC">
      <w:pPr>
        <w:jc w:val="both"/>
        <w:rPr>
          <w:rFonts w:ascii="Arial" w:hAnsi="Arial" w:cs="Arial"/>
          <w:color w:val="808080" w:themeColor="background1" w:themeShade="80"/>
          <w:sz w:val="22"/>
          <w:szCs w:val="22"/>
          <w:lang w:val="en-GB"/>
        </w:rPr>
      </w:pPr>
    </w:p>
    <w:p w14:paraId="2583832E" w14:textId="116A1E84"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Where necessary, the court has the power to call for a new creditors’ meeting and order a re-vote before it decides whether or not to approve the scheme.</w:t>
      </w:r>
    </w:p>
    <w:p w14:paraId="414C4C7C" w14:textId="77777777" w:rsidR="001B3FFC" w:rsidRPr="000813A1" w:rsidRDefault="001B3FFC" w:rsidP="001B3FFC">
      <w:pPr>
        <w:jc w:val="both"/>
        <w:rPr>
          <w:rFonts w:ascii="Arial" w:hAnsi="Arial" w:cs="Arial"/>
          <w:color w:val="808080" w:themeColor="background1" w:themeShade="80"/>
          <w:sz w:val="22"/>
          <w:szCs w:val="22"/>
          <w:lang w:val="en-GB"/>
        </w:rPr>
      </w:pPr>
    </w:p>
    <w:p w14:paraId="271F038B"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The court may call for a re-vote where, for example, there are objections to the approval process or terms of the scheme, but the court does not want to restart the entire scheme process and incur additional costs.</w:t>
      </w:r>
    </w:p>
    <w:p w14:paraId="6BD7C4CF" w14:textId="77777777" w:rsidR="001B3FFC" w:rsidRPr="000813A1" w:rsidRDefault="001B3FFC" w:rsidP="001B3FFC">
      <w:pPr>
        <w:jc w:val="both"/>
        <w:rPr>
          <w:rFonts w:ascii="Arial" w:hAnsi="Arial" w:cs="Arial"/>
          <w:color w:val="808080" w:themeColor="background1" w:themeShade="80"/>
          <w:sz w:val="22"/>
          <w:szCs w:val="22"/>
          <w:lang w:val="en-GB"/>
        </w:rPr>
      </w:pPr>
    </w:p>
    <w:p w14:paraId="4FA626D2" w14:textId="77777777"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The court also has the power to approve a scheme, notwithstanding objections from dissenting classes of creditors, if:</w:t>
      </w:r>
    </w:p>
    <w:p w14:paraId="342C163D" w14:textId="77777777" w:rsidR="001B3FFC" w:rsidRPr="000813A1" w:rsidRDefault="001B3FFC" w:rsidP="001B3FFC">
      <w:pPr>
        <w:jc w:val="both"/>
        <w:rPr>
          <w:rFonts w:ascii="Arial" w:hAnsi="Arial" w:cs="Arial"/>
          <w:color w:val="808080" w:themeColor="background1" w:themeShade="80"/>
          <w:sz w:val="22"/>
          <w:szCs w:val="22"/>
          <w:lang w:val="en-GB"/>
        </w:rPr>
      </w:pPr>
    </w:p>
    <w:p w14:paraId="1A5DF4BC" w14:textId="7C8F09F3" w:rsidR="001B3FFC" w:rsidRPr="000813A1" w:rsidRDefault="001B3FFC" w:rsidP="007A66FE">
      <w:pPr>
        <w:pStyle w:val="ListParagraph"/>
        <w:numPr>
          <w:ilvl w:val="2"/>
          <w:numId w:val="34"/>
        </w:num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A majority in number of creditors, who were present at the meeting and are to be bound by the scheme, voted in favour of it;</w:t>
      </w:r>
    </w:p>
    <w:p w14:paraId="21828A38" w14:textId="57D453EC" w:rsidR="001B3FFC" w:rsidRPr="000813A1" w:rsidRDefault="001B3FFC" w:rsidP="007A66FE">
      <w:pPr>
        <w:pStyle w:val="ListParagraph"/>
        <w:numPr>
          <w:ilvl w:val="2"/>
          <w:numId w:val="34"/>
        </w:num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These creditors represented 75% in value of the debt claims; and</w:t>
      </w:r>
    </w:p>
    <w:p w14:paraId="27FD497B" w14:textId="00210707" w:rsidR="001B3FFC" w:rsidRPr="000813A1" w:rsidRDefault="001B3FFC" w:rsidP="007A66FE">
      <w:pPr>
        <w:pStyle w:val="ListParagraph"/>
        <w:numPr>
          <w:ilvl w:val="2"/>
          <w:numId w:val="34"/>
        </w:num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lastRenderedPageBreak/>
        <w:t>The court is satisfied that the scheme does not discriminate unfairly between 2 or more classes of creditors, and is fair and equitable to each dissenting class.</w:t>
      </w:r>
    </w:p>
    <w:p w14:paraId="7A577E90" w14:textId="77777777" w:rsidR="007A66FE" w:rsidRPr="000813A1" w:rsidRDefault="007A66FE" w:rsidP="001B3FFC">
      <w:pPr>
        <w:jc w:val="both"/>
        <w:rPr>
          <w:rFonts w:ascii="Arial" w:hAnsi="Arial" w:cs="Arial"/>
          <w:color w:val="808080" w:themeColor="background1" w:themeShade="80"/>
          <w:sz w:val="22"/>
          <w:szCs w:val="22"/>
          <w:lang w:val="en-GB"/>
        </w:rPr>
      </w:pPr>
    </w:p>
    <w:p w14:paraId="3AF8C3EF" w14:textId="60E2DD7A" w:rsidR="001B3FFC" w:rsidRPr="000813A1" w:rsidRDefault="001B3FFC" w:rsidP="001B3FFC">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Once the court has approved of the proposed scheme, a copy of the court’s order must be lodged with the Accounting and Corporate Regulatory Authority (ACRA). The scheme will then be binding on all creditors.</w:t>
      </w:r>
    </w:p>
    <w:p w14:paraId="773CC6D0" w14:textId="7517336F" w:rsidR="001B3FFC" w:rsidRPr="000813A1" w:rsidRDefault="001B3FFC" w:rsidP="00384F62">
      <w:pPr>
        <w:jc w:val="both"/>
        <w:rPr>
          <w:rFonts w:ascii="Arial" w:hAnsi="Arial" w:cs="Arial"/>
          <w:b/>
          <w:bCs/>
          <w:color w:val="808080" w:themeColor="background1" w:themeShade="80"/>
          <w:sz w:val="22"/>
          <w:szCs w:val="22"/>
          <w:lang w:val="en-GB"/>
        </w:rPr>
      </w:pPr>
    </w:p>
    <w:p w14:paraId="161D2E66" w14:textId="77777777" w:rsidR="003A5C3A" w:rsidRPr="000813A1" w:rsidRDefault="003A5C3A" w:rsidP="00384F62">
      <w:pPr>
        <w:jc w:val="both"/>
        <w:rPr>
          <w:rFonts w:ascii="Arial" w:hAnsi="Arial" w:cs="Arial"/>
          <w:b/>
          <w:bCs/>
          <w:color w:val="808080" w:themeColor="background1" w:themeShade="80"/>
          <w:sz w:val="22"/>
          <w:szCs w:val="22"/>
          <w:lang w:val="en-GB"/>
        </w:rPr>
      </w:pPr>
    </w:p>
    <w:p w14:paraId="05CB6DB0" w14:textId="77777777" w:rsidR="00FB38D2" w:rsidRPr="000813A1" w:rsidRDefault="00FB38D2" w:rsidP="00FB38D2">
      <w:pPr>
        <w:jc w:val="both"/>
        <w:rPr>
          <w:rFonts w:ascii="Arial" w:hAnsi="Arial" w:cs="Arial"/>
          <w:color w:val="808080" w:themeColor="background1" w:themeShade="80"/>
          <w:sz w:val="22"/>
          <w:szCs w:val="22"/>
          <w:lang w:val="en-GB"/>
        </w:rPr>
      </w:pPr>
      <w:r w:rsidRPr="000813A1">
        <w:rPr>
          <w:rFonts w:ascii="Arial" w:hAnsi="Arial" w:cs="Arial"/>
          <w:color w:val="808080" w:themeColor="background1" w:themeShade="80"/>
          <w:sz w:val="22"/>
          <w:szCs w:val="22"/>
          <w:lang w:val="en-GB"/>
        </w:rPr>
        <w:t>Under the Insolvency, Restructuring and Dissolution Act 2018 (IRDA), there is also a faster and less costly method of implementing a scheme of arrangement.</w:t>
      </w:r>
    </w:p>
    <w:p w14:paraId="04C2F579" w14:textId="7CFA66C0" w:rsidR="00FB38D2" w:rsidRPr="000813A1" w:rsidRDefault="00FB38D2" w:rsidP="00580797">
      <w:pPr>
        <w:pStyle w:val="ListParagraph"/>
        <w:numPr>
          <w:ilvl w:val="2"/>
          <w:numId w:val="34"/>
        </w:numPr>
        <w:jc w:val="both"/>
        <w:rPr>
          <w:rFonts w:ascii="Arial" w:hAnsi="Arial" w:cs="Arial"/>
          <w:color w:val="808080" w:themeColor="background1" w:themeShade="80"/>
          <w:sz w:val="22"/>
          <w:szCs w:val="22"/>
          <w:lang w:val="en-GB"/>
        </w:rPr>
      </w:pPr>
    </w:p>
    <w:p w14:paraId="75A0C017" w14:textId="0BCABE50" w:rsidR="00923267" w:rsidRPr="000813A1" w:rsidRDefault="00C87A93" w:rsidP="00A5477E">
      <w:pPr>
        <w:pStyle w:val="NormalWeb"/>
        <w:shd w:val="clear" w:color="auto" w:fill="FFFFFF"/>
        <w:rPr>
          <w:rFonts w:ascii="Arial" w:hAnsi="Arial" w:cs="Arial"/>
          <w:color w:val="808080" w:themeColor="background1" w:themeShade="80"/>
          <w:sz w:val="22"/>
          <w:szCs w:val="22"/>
        </w:rPr>
      </w:pPr>
      <w:r w:rsidRPr="000813A1">
        <w:rPr>
          <w:rFonts w:ascii="Arial" w:hAnsi="Arial" w:cs="Arial"/>
          <w:color w:val="808080" w:themeColor="background1" w:themeShade="80"/>
          <w:sz w:val="22"/>
          <w:szCs w:val="22"/>
        </w:rPr>
        <w:t>A pre-pack scheme of arrangement allows for a court to sanction a scheme of arrangement even though no meeting of creditors has been ordered by the court. This means that instead of making two applications to the court (i.e., once for the court to hold a creditors’ meeting and another for the court to sanction the scheme), the company will only need to make one application to the court (i.e., once for the court to sanction the scheme).</w:t>
      </w:r>
      <w:r w:rsidR="00923267" w:rsidRPr="000813A1">
        <w:rPr>
          <w:rFonts w:ascii="Arial" w:hAnsi="Arial" w:cs="Arial"/>
          <w:color w:val="808080" w:themeColor="background1" w:themeShade="80"/>
          <w:sz w:val="22"/>
          <w:szCs w:val="22"/>
        </w:rPr>
        <w:t xml:space="preserve"> This</w:t>
      </w:r>
      <w:r w:rsidRPr="000813A1">
        <w:rPr>
          <w:rFonts w:ascii="Arial" w:hAnsi="Arial" w:cs="Arial"/>
          <w:color w:val="808080" w:themeColor="background1" w:themeShade="80"/>
          <w:sz w:val="22"/>
          <w:szCs w:val="22"/>
        </w:rPr>
        <w:t xml:space="preserve"> </w:t>
      </w:r>
      <w:r w:rsidR="00923267" w:rsidRPr="000813A1">
        <w:rPr>
          <w:rFonts w:ascii="Arial" w:hAnsi="Arial" w:cs="Arial"/>
          <w:color w:val="808080" w:themeColor="background1" w:themeShade="80"/>
          <w:sz w:val="22"/>
          <w:szCs w:val="22"/>
          <w:lang w:val="en-GB"/>
        </w:rPr>
        <w:t>is also a faster and less costly method of implementing a scheme of arrangement.</w:t>
      </w:r>
    </w:p>
    <w:p w14:paraId="15F4235D" w14:textId="77777777" w:rsidR="00134CDB" w:rsidRPr="000813A1" w:rsidRDefault="00C87A93" w:rsidP="00A5477E">
      <w:pPr>
        <w:pStyle w:val="NormalWeb"/>
        <w:shd w:val="clear" w:color="auto" w:fill="FFFFFF"/>
        <w:rPr>
          <w:rFonts w:ascii="Arial" w:hAnsi="Arial" w:cs="Arial"/>
          <w:color w:val="808080" w:themeColor="background1" w:themeShade="80"/>
          <w:sz w:val="22"/>
          <w:szCs w:val="22"/>
        </w:rPr>
      </w:pPr>
      <w:r w:rsidRPr="000813A1">
        <w:rPr>
          <w:rFonts w:ascii="Arial" w:hAnsi="Arial" w:cs="Arial"/>
          <w:color w:val="808080" w:themeColor="background1" w:themeShade="80"/>
          <w:sz w:val="22"/>
          <w:szCs w:val="22"/>
        </w:rPr>
        <w:t xml:space="preserve">However, the court will only sanction the scheme of arrangement if </w:t>
      </w:r>
    </w:p>
    <w:p w14:paraId="005CC3EE" w14:textId="77777777" w:rsidR="00134CDB" w:rsidRPr="000813A1" w:rsidRDefault="00C87A93" w:rsidP="00A5477E">
      <w:pPr>
        <w:pStyle w:val="NormalWeb"/>
        <w:shd w:val="clear" w:color="auto" w:fill="FFFFFF"/>
        <w:rPr>
          <w:rFonts w:ascii="Arial" w:hAnsi="Arial" w:cs="Arial"/>
          <w:color w:val="808080" w:themeColor="background1" w:themeShade="80"/>
          <w:sz w:val="22"/>
          <w:szCs w:val="22"/>
        </w:rPr>
      </w:pPr>
      <w:r w:rsidRPr="000813A1">
        <w:rPr>
          <w:rFonts w:ascii="Arial" w:hAnsi="Arial" w:cs="Arial"/>
          <w:color w:val="808080" w:themeColor="background1" w:themeShade="80"/>
          <w:sz w:val="22"/>
          <w:szCs w:val="22"/>
        </w:rPr>
        <w:t xml:space="preserve">(1) the company has provided the creditors that are meant to be bound by the arrangement with the relevant information necessary for the creditors to make an informed decision (e.g., information about the company’s property, assets and business; how the scheme of arrangement will affect the rights of the creditors; and any material interests of the directors in the scheme); </w:t>
      </w:r>
    </w:p>
    <w:p w14:paraId="691DC6B9" w14:textId="77777777" w:rsidR="00134CDB" w:rsidRPr="000813A1" w:rsidRDefault="00C87A93" w:rsidP="00A5477E">
      <w:pPr>
        <w:pStyle w:val="NormalWeb"/>
        <w:shd w:val="clear" w:color="auto" w:fill="FFFFFF"/>
        <w:rPr>
          <w:rFonts w:ascii="Arial" w:hAnsi="Arial" w:cs="Arial"/>
          <w:color w:val="808080" w:themeColor="background1" w:themeShade="80"/>
          <w:sz w:val="22"/>
          <w:szCs w:val="22"/>
        </w:rPr>
      </w:pPr>
      <w:r w:rsidRPr="000813A1">
        <w:rPr>
          <w:rFonts w:ascii="Arial" w:hAnsi="Arial" w:cs="Arial"/>
          <w:color w:val="808080" w:themeColor="background1" w:themeShade="80"/>
          <w:sz w:val="22"/>
          <w:szCs w:val="22"/>
        </w:rPr>
        <w:t>(2) the notice of the company’s application to the court has been published to the public and sent to each creditor meant to be bound by the scheme; and</w:t>
      </w:r>
    </w:p>
    <w:p w14:paraId="5CB802A0" w14:textId="71C85701" w:rsidR="00A5477E" w:rsidRPr="000813A1" w:rsidRDefault="00C87A93" w:rsidP="00A5477E">
      <w:pPr>
        <w:pStyle w:val="NormalWeb"/>
        <w:shd w:val="clear" w:color="auto" w:fill="FFFFFF"/>
        <w:rPr>
          <w:rFonts w:ascii="Arial" w:hAnsi="Arial" w:cs="Arial"/>
          <w:color w:val="808080" w:themeColor="background1" w:themeShade="80"/>
          <w:sz w:val="22"/>
          <w:szCs w:val="22"/>
        </w:rPr>
      </w:pPr>
      <w:r w:rsidRPr="000813A1">
        <w:rPr>
          <w:rFonts w:ascii="Arial" w:hAnsi="Arial" w:cs="Arial"/>
          <w:color w:val="808080" w:themeColor="background1" w:themeShade="80"/>
          <w:sz w:val="22"/>
          <w:szCs w:val="22"/>
        </w:rPr>
        <w:t xml:space="preserve"> (3) the court is satisfied that had a meeting of creditors been summoned, the company would have obtained the requisite level of support from its creditors as would be required in a normal scheme of arrangement (i.e., a majority in number representing three-quarters in value of the creditors or class of creditors).</w:t>
      </w:r>
    </w:p>
    <w:p w14:paraId="2DBEA58B" w14:textId="4EA82491" w:rsidR="00DB69DC" w:rsidRPr="000813A1" w:rsidRDefault="009A6A71" w:rsidP="00A5477E">
      <w:pPr>
        <w:pStyle w:val="NormalWeb"/>
        <w:shd w:val="clear" w:color="auto" w:fill="FFFFFF"/>
        <w:rPr>
          <w:rFonts w:ascii="Arial" w:hAnsi="Arial" w:cs="Arial"/>
          <w:color w:val="808080" w:themeColor="background1" w:themeShade="80"/>
          <w:sz w:val="22"/>
          <w:szCs w:val="22"/>
        </w:rPr>
      </w:pPr>
      <w:r w:rsidRPr="000813A1">
        <w:rPr>
          <w:rFonts w:ascii="Arial" w:hAnsi="Arial" w:cs="Arial"/>
          <w:color w:val="808080" w:themeColor="background1" w:themeShade="80"/>
          <w:sz w:val="22"/>
          <w:szCs w:val="22"/>
        </w:rPr>
        <w:t>T</w:t>
      </w:r>
      <w:r w:rsidR="00DB69DC" w:rsidRPr="000813A1">
        <w:rPr>
          <w:rFonts w:ascii="Arial" w:hAnsi="Arial" w:cs="Arial"/>
          <w:color w:val="808080" w:themeColor="background1" w:themeShade="80"/>
          <w:sz w:val="22"/>
          <w:szCs w:val="22"/>
        </w:rPr>
        <w:t>o maintain some degree of protection of the creditors, the cram-down provision that is available under an ordinary scheme of arrangement is not available in a pre-pack scheme of arrangement</w:t>
      </w:r>
    </w:p>
    <w:p w14:paraId="22C3169A" w14:textId="77777777" w:rsidR="00384F62" w:rsidRPr="000813A1" w:rsidRDefault="00384F62" w:rsidP="00384F62">
      <w:pPr>
        <w:jc w:val="both"/>
        <w:rPr>
          <w:rFonts w:ascii="Arial" w:hAnsi="Arial" w:cs="Arial"/>
          <w:b/>
          <w:bCs/>
          <w:color w:val="808080" w:themeColor="background1" w:themeShade="80"/>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5A4358B0" w14:textId="50F8ADC8" w:rsidR="00C83D8F" w:rsidRPr="00C83D8F" w:rsidRDefault="004960E6" w:rsidP="00C83D8F">
      <w:pPr>
        <w:ind w:left="720" w:hanging="720"/>
        <w:jc w:val="both"/>
        <w:rPr>
          <w:rFonts w:ascii="Arial" w:hAnsi="Arial" w:cs="Arial"/>
          <w:color w:val="7B7B7B" w:themeColor="accent3" w:themeShade="BF"/>
          <w:sz w:val="22"/>
          <w:szCs w:val="22"/>
        </w:rPr>
      </w:pPr>
      <w:r>
        <w:rPr>
          <w:rFonts w:ascii="Arial" w:hAnsi="Arial" w:cs="Arial"/>
          <w:sz w:val="22"/>
          <w:szCs w:val="22"/>
          <w:lang w:val="en-GB"/>
        </w:rPr>
        <w:t>I</w:t>
      </w:r>
      <w:r w:rsidRPr="00215DB5">
        <w:rPr>
          <w:rFonts w:ascii="Arial" w:hAnsi="Arial" w:cs="Arial"/>
          <w:color w:val="808080" w:themeColor="background1" w:themeShade="80"/>
          <w:sz w:val="22"/>
          <w:szCs w:val="22"/>
          <w:lang w:val="en-GB"/>
        </w:rPr>
        <w:t xml:space="preserve">n order for </w:t>
      </w:r>
      <w:r w:rsidR="00964BF1" w:rsidRPr="00215DB5">
        <w:rPr>
          <w:rFonts w:ascii="Arial" w:hAnsi="Arial" w:cs="Arial"/>
          <w:color w:val="808080" w:themeColor="background1" w:themeShade="80"/>
          <w:sz w:val="22"/>
          <w:szCs w:val="22"/>
          <w:lang w:val="en-GB"/>
        </w:rPr>
        <w:t>Angostura Group to be able to access</w:t>
      </w:r>
      <w:r w:rsidR="00964BF1" w:rsidRPr="00215DB5">
        <w:rPr>
          <w:rFonts w:ascii="Arial" w:hAnsi="Arial" w:cs="Arial"/>
          <w:color w:val="808080" w:themeColor="background1" w:themeShade="80"/>
          <w:sz w:val="22"/>
          <w:szCs w:val="22"/>
        </w:rPr>
        <w:t xml:space="preserve"> </w:t>
      </w:r>
      <w:r w:rsidR="00C83D8F" w:rsidRPr="00215DB5">
        <w:rPr>
          <w:rFonts w:ascii="Arial" w:hAnsi="Arial" w:cs="Arial"/>
          <w:color w:val="808080" w:themeColor="background1" w:themeShade="80"/>
          <w:sz w:val="22"/>
          <w:szCs w:val="22"/>
        </w:rPr>
        <w:t>res</w:t>
      </w:r>
      <w:r w:rsidR="00C83D8F" w:rsidRPr="00C83D8F">
        <w:rPr>
          <w:rFonts w:ascii="Arial" w:hAnsi="Arial" w:cs="Arial"/>
          <w:color w:val="7B7B7B" w:themeColor="accent3" w:themeShade="BF"/>
          <w:sz w:val="22"/>
          <w:szCs w:val="22"/>
        </w:rPr>
        <w:t>cue financin</w:t>
      </w:r>
      <w:r>
        <w:rPr>
          <w:rFonts w:ascii="Arial" w:hAnsi="Arial" w:cs="Arial"/>
          <w:color w:val="7B7B7B" w:themeColor="accent3" w:themeShade="BF"/>
          <w:sz w:val="22"/>
          <w:szCs w:val="22"/>
        </w:rPr>
        <w:t xml:space="preserve">g under the IRDA it must be </w:t>
      </w:r>
      <w:r w:rsidR="005009A2">
        <w:rPr>
          <w:rFonts w:ascii="Arial" w:hAnsi="Arial" w:cs="Arial"/>
          <w:color w:val="7B7B7B" w:themeColor="accent3" w:themeShade="BF"/>
          <w:sz w:val="22"/>
          <w:szCs w:val="22"/>
        </w:rPr>
        <w:t xml:space="preserve">able to </w:t>
      </w:r>
      <w:r w:rsidR="00C83D8F" w:rsidRPr="00C83D8F">
        <w:rPr>
          <w:rFonts w:ascii="Arial" w:hAnsi="Arial" w:cs="Arial"/>
          <w:color w:val="7B7B7B" w:themeColor="accent3" w:themeShade="BF"/>
          <w:sz w:val="22"/>
          <w:szCs w:val="22"/>
        </w:rPr>
        <w:t>satisfies either or both of the following conditions:</w:t>
      </w:r>
    </w:p>
    <w:p w14:paraId="64AE4542" w14:textId="77777777" w:rsidR="00C83D8F" w:rsidRPr="00C83D8F" w:rsidRDefault="00C83D8F" w:rsidP="00C83D8F">
      <w:pPr>
        <w:ind w:left="720" w:hanging="720"/>
        <w:jc w:val="both"/>
        <w:rPr>
          <w:rFonts w:ascii="Arial" w:hAnsi="Arial" w:cs="Arial"/>
          <w:color w:val="7B7B7B" w:themeColor="accent3" w:themeShade="BF"/>
          <w:sz w:val="22"/>
          <w:szCs w:val="22"/>
        </w:rPr>
      </w:pPr>
      <w:r w:rsidRPr="00C83D8F">
        <w:rPr>
          <w:rFonts w:ascii="Arial" w:hAnsi="Arial" w:cs="Arial"/>
          <w:color w:val="7B7B7B" w:themeColor="accent3" w:themeShade="BF"/>
          <w:sz w:val="22"/>
          <w:szCs w:val="22"/>
        </w:rPr>
        <w:t>(a)</w:t>
      </w:r>
      <w:r w:rsidRPr="00C83D8F">
        <w:rPr>
          <w:rFonts w:ascii="Arial" w:hAnsi="Arial" w:cs="Arial"/>
          <w:color w:val="7B7B7B" w:themeColor="accent3" w:themeShade="BF"/>
          <w:sz w:val="22"/>
          <w:szCs w:val="22"/>
        </w:rPr>
        <w:tab/>
        <w:t>the financing is necessary for the survival of a company that obtains the financing, or of the whole or any part of the undertaking of that company, as a going concern;</w:t>
      </w:r>
    </w:p>
    <w:p w14:paraId="73C87D8A" w14:textId="23913298" w:rsidR="00A5477E" w:rsidRPr="002A37BB" w:rsidRDefault="00C83D8F" w:rsidP="00384F62">
      <w:pPr>
        <w:ind w:left="720" w:hanging="720"/>
        <w:jc w:val="both"/>
        <w:rPr>
          <w:rFonts w:ascii="Arial" w:hAnsi="Arial" w:cs="Arial"/>
          <w:color w:val="7B7B7B" w:themeColor="accent3" w:themeShade="BF"/>
          <w:sz w:val="22"/>
          <w:szCs w:val="22"/>
        </w:rPr>
      </w:pPr>
      <w:r w:rsidRPr="00C83D8F">
        <w:rPr>
          <w:rFonts w:ascii="Arial" w:hAnsi="Arial" w:cs="Arial"/>
          <w:color w:val="7B7B7B" w:themeColor="accent3" w:themeShade="BF"/>
          <w:sz w:val="22"/>
          <w:szCs w:val="22"/>
        </w:rPr>
        <w:t>(b)</w:t>
      </w:r>
      <w:r w:rsidRPr="00C83D8F">
        <w:rPr>
          <w:rFonts w:ascii="Arial" w:hAnsi="Arial" w:cs="Arial"/>
          <w:color w:val="7B7B7B" w:themeColor="accent3" w:themeShade="BF"/>
          <w:sz w:val="22"/>
          <w:szCs w:val="22"/>
        </w:rPr>
        <w:tab/>
        <w:t>the financing is necessary to achieve a more advantageous realisation of the assets of a company that obtains the financing, than on a winding up of that company</w:t>
      </w:r>
      <w:r w:rsidR="00B575E8">
        <w:rPr>
          <w:rFonts w:ascii="Arial" w:hAnsi="Arial" w:cs="Arial"/>
          <w:color w:val="7B7B7B" w:themeColor="accent3" w:themeShade="BF"/>
          <w:sz w:val="22"/>
          <w:szCs w:val="22"/>
        </w:rPr>
        <w:t xml:space="preserve">. </w:t>
      </w:r>
    </w:p>
    <w:p w14:paraId="26899022" w14:textId="5A365639" w:rsidR="00384F62"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0CBEE682" w:rsidR="00384F62" w:rsidRPr="002A37BB" w:rsidRDefault="00384F62" w:rsidP="007E1A67">
      <w:pPr>
        <w:jc w:val="both"/>
        <w:rPr>
          <w:rFonts w:ascii="Arial" w:hAnsi="Arial" w:cs="Arial"/>
          <w:sz w:val="22"/>
          <w:szCs w:val="22"/>
        </w:rPr>
      </w:pPr>
    </w:p>
    <w:p w14:paraId="66D4B224" w14:textId="6BE9CD8B" w:rsidR="00384F62" w:rsidRPr="00215DB5" w:rsidRDefault="003B4BAE" w:rsidP="00384F62">
      <w:pPr>
        <w:pStyle w:val="BodyText"/>
        <w:rPr>
          <w:rFonts w:ascii="Arial" w:hAnsi="Arial" w:cs="Arial"/>
          <w:color w:val="808080" w:themeColor="background1" w:themeShade="80"/>
          <w:sz w:val="22"/>
          <w:szCs w:val="22"/>
          <w:lang w:val="en-GB"/>
        </w:rPr>
      </w:pPr>
      <w:r w:rsidRPr="00215DB5">
        <w:rPr>
          <w:rFonts w:ascii="Arial" w:hAnsi="Arial" w:cs="Arial"/>
          <w:color w:val="808080" w:themeColor="background1" w:themeShade="80"/>
          <w:sz w:val="22"/>
          <w:szCs w:val="22"/>
          <w:lang w:val="en-GB"/>
        </w:rPr>
        <w:t xml:space="preserve">Article 17 set out the key requirement in order for Singapore court </w:t>
      </w:r>
      <w:r w:rsidR="00695DE5" w:rsidRPr="00215DB5">
        <w:rPr>
          <w:rFonts w:ascii="Arial" w:hAnsi="Arial" w:cs="Arial"/>
          <w:color w:val="808080" w:themeColor="background1" w:themeShade="80"/>
          <w:sz w:val="22"/>
          <w:szCs w:val="22"/>
          <w:lang w:val="en-GB"/>
        </w:rPr>
        <w:t xml:space="preserve">to recognise a foreign insolvency proceeding </w:t>
      </w:r>
    </w:p>
    <w:p w14:paraId="037F3580" w14:textId="6412B482" w:rsidR="00F459DF" w:rsidRPr="00215DB5" w:rsidRDefault="00F459DF" w:rsidP="00F459DF">
      <w:pPr>
        <w:pStyle w:val="BodyText"/>
        <w:numPr>
          <w:ilvl w:val="2"/>
          <w:numId w:val="34"/>
        </w:numPr>
        <w:rPr>
          <w:rFonts w:ascii="Arial" w:hAnsi="Arial" w:cs="Arial"/>
          <w:color w:val="808080" w:themeColor="background1" w:themeShade="80"/>
          <w:sz w:val="22"/>
          <w:szCs w:val="22"/>
          <w:lang w:val="en-GB"/>
        </w:rPr>
      </w:pPr>
      <w:r w:rsidRPr="00215DB5">
        <w:rPr>
          <w:rFonts w:ascii="Arial" w:hAnsi="Arial" w:cs="Arial"/>
          <w:color w:val="808080" w:themeColor="background1" w:themeShade="80"/>
          <w:sz w:val="22"/>
          <w:szCs w:val="22"/>
          <w:lang w:val="en-GB"/>
        </w:rPr>
        <w:t>The foreign insolvency proceeding order is made by a court of competent jurisdiction</w:t>
      </w:r>
    </w:p>
    <w:p w14:paraId="3CA3D16B" w14:textId="58397884" w:rsidR="00F459DF" w:rsidRPr="00215DB5" w:rsidRDefault="00F459DF" w:rsidP="00F459DF">
      <w:pPr>
        <w:pStyle w:val="BodyText"/>
        <w:numPr>
          <w:ilvl w:val="2"/>
          <w:numId w:val="34"/>
        </w:numPr>
        <w:rPr>
          <w:rFonts w:ascii="Arial" w:hAnsi="Arial" w:cs="Arial"/>
          <w:color w:val="808080" w:themeColor="background1" w:themeShade="80"/>
          <w:sz w:val="22"/>
          <w:szCs w:val="22"/>
          <w:lang w:val="en-GB"/>
        </w:rPr>
      </w:pPr>
      <w:r w:rsidRPr="00215DB5">
        <w:rPr>
          <w:rFonts w:ascii="Arial" w:hAnsi="Arial" w:cs="Arial"/>
          <w:color w:val="808080" w:themeColor="background1" w:themeShade="80"/>
          <w:sz w:val="22"/>
          <w:szCs w:val="22"/>
          <w:lang w:val="en-GB"/>
        </w:rPr>
        <w:t xml:space="preserve">That court have jurisdiction </w:t>
      </w:r>
      <w:r w:rsidR="00A61B02" w:rsidRPr="00215DB5">
        <w:rPr>
          <w:rFonts w:ascii="Arial" w:hAnsi="Arial" w:cs="Arial"/>
          <w:color w:val="808080" w:themeColor="background1" w:themeShade="80"/>
          <w:sz w:val="22"/>
          <w:szCs w:val="22"/>
          <w:lang w:val="en-GB"/>
        </w:rPr>
        <w:t xml:space="preserve">on the basis of: </w:t>
      </w:r>
    </w:p>
    <w:p w14:paraId="2FD13FCA" w14:textId="49C2F451" w:rsidR="00A61B02" w:rsidRPr="00215DB5" w:rsidRDefault="00A61B02" w:rsidP="00A61B02">
      <w:pPr>
        <w:pStyle w:val="BodyText"/>
        <w:numPr>
          <w:ilvl w:val="3"/>
          <w:numId w:val="34"/>
        </w:numPr>
        <w:rPr>
          <w:rFonts w:ascii="Arial" w:hAnsi="Arial" w:cs="Arial"/>
          <w:color w:val="808080" w:themeColor="background1" w:themeShade="80"/>
          <w:sz w:val="22"/>
          <w:szCs w:val="22"/>
          <w:lang w:val="en-GB"/>
        </w:rPr>
      </w:pPr>
      <w:r w:rsidRPr="00215DB5">
        <w:rPr>
          <w:rFonts w:ascii="Arial" w:hAnsi="Arial" w:cs="Arial"/>
          <w:color w:val="808080" w:themeColor="background1" w:themeShade="80"/>
          <w:sz w:val="22"/>
          <w:szCs w:val="22"/>
          <w:lang w:val="en-GB"/>
        </w:rPr>
        <w:t xml:space="preserve">The debtor’s domicile or residence; or </w:t>
      </w:r>
    </w:p>
    <w:p w14:paraId="5723B0A0" w14:textId="6DFE85B0" w:rsidR="00A61B02" w:rsidRPr="00215DB5" w:rsidRDefault="00A61B02" w:rsidP="00A61B02">
      <w:pPr>
        <w:pStyle w:val="BodyText"/>
        <w:numPr>
          <w:ilvl w:val="3"/>
          <w:numId w:val="34"/>
        </w:numPr>
        <w:rPr>
          <w:rFonts w:ascii="Arial" w:hAnsi="Arial" w:cs="Arial"/>
          <w:color w:val="808080" w:themeColor="background1" w:themeShade="80"/>
          <w:sz w:val="22"/>
          <w:szCs w:val="22"/>
          <w:lang w:val="en-GB"/>
        </w:rPr>
      </w:pPr>
      <w:r w:rsidRPr="00215DB5">
        <w:rPr>
          <w:rFonts w:ascii="Arial" w:hAnsi="Arial" w:cs="Arial"/>
          <w:color w:val="808080" w:themeColor="background1" w:themeShade="80"/>
          <w:sz w:val="22"/>
          <w:szCs w:val="22"/>
          <w:lang w:val="en-GB"/>
        </w:rPr>
        <w:t>Submission by the debtor to the jurisdiction of the court</w:t>
      </w:r>
    </w:p>
    <w:p w14:paraId="585BA4ED" w14:textId="296FB880" w:rsidR="00A61B02" w:rsidRPr="00215DB5" w:rsidRDefault="00A61B02" w:rsidP="00A61B02">
      <w:pPr>
        <w:pStyle w:val="BodyText"/>
        <w:numPr>
          <w:ilvl w:val="2"/>
          <w:numId w:val="34"/>
        </w:numPr>
        <w:rPr>
          <w:rFonts w:ascii="Arial" w:hAnsi="Arial" w:cs="Arial"/>
          <w:color w:val="808080" w:themeColor="background1" w:themeShade="80"/>
          <w:sz w:val="22"/>
          <w:szCs w:val="22"/>
          <w:lang w:val="en-GB"/>
        </w:rPr>
      </w:pPr>
      <w:r w:rsidRPr="00215DB5">
        <w:rPr>
          <w:rFonts w:ascii="Arial" w:hAnsi="Arial" w:cs="Arial"/>
          <w:color w:val="808080" w:themeColor="background1" w:themeShade="80"/>
          <w:sz w:val="22"/>
          <w:szCs w:val="22"/>
          <w:lang w:val="en-GB"/>
        </w:rPr>
        <w:t xml:space="preserve">The foreign </w:t>
      </w:r>
      <w:r w:rsidR="00C3103E" w:rsidRPr="00215DB5">
        <w:rPr>
          <w:rFonts w:ascii="Arial" w:hAnsi="Arial" w:cs="Arial"/>
          <w:color w:val="808080" w:themeColor="background1" w:themeShade="80"/>
          <w:sz w:val="22"/>
          <w:szCs w:val="22"/>
          <w:lang w:val="en-GB"/>
        </w:rPr>
        <w:t xml:space="preserve">insolvency proceeding order must be final and conclusive; and </w:t>
      </w:r>
    </w:p>
    <w:p w14:paraId="3E05DE04" w14:textId="286D034A" w:rsidR="00C3103E" w:rsidRPr="00215DB5" w:rsidRDefault="00C3103E" w:rsidP="00A61B02">
      <w:pPr>
        <w:pStyle w:val="BodyText"/>
        <w:numPr>
          <w:ilvl w:val="2"/>
          <w:numId w:val="34"/>
        </w:numPr>
        <w:rPr>
          <w:rFonts w:ascii="Arial" w:hAnsi="Arial" w:cs="Arial"/>
          <w:color w:val="808080" w:themeColor="background1" w:themeShade="80"/>
          <w:sz w:val="22"/>
          <w:szCs w:val="22"/>
          <w:lang w:val="en-GB"/>
        </w:rPr>
      </w:pPr>
      <w:r w:rsidRPr="00215DB5">
        <w:rPr>
          <w:rFonts w:ascii="Arial" w:hAnsi="Arial" w:cs="Arial"/>
          <w:color w:val="808080" w:themeColor="background1" w:themeShade="80"/>
          <w:sz w:val="22"/>
          <w:szCs w:val="22"/>
          <w:lang w:val="en-GB"/>
        </w:rPr>
        <w:t>No defence to recognise apply</w:t>
      </w:r>
    </w:p>
    <w:p w14:paraId="7923F104" w14:textId="72E21D10" w:rsidR="000B6149" w:rsidRPr="00215DB5" w:rsidRDefault="000B6149" w:rsidP="000B6149">
      <w:pPr>
        <w:pStyle w:val="BodyText"/>
        <w:rPr>
          <w:rFonts w:ascii="Arial" w:hAnsi="Arial" w:cs="Arial"/>
          <w:color w:val="808080" w:themeColor="background1" w:themeShade="80"/>
          <w:sz w:val="22"/>
          <w:szCs w:val="22"/>
          <w:lang w:val="en-GB"/>
        </w:rPr>
      </w:pPr>
    </w:p>
    <w:p w14:paraId="7C14DCB8" w14:textId="0CB69DA2" w:rsidR="000B6149" w:rsidRPr="00215DB5" w:rsidRDefault="000B6149" w:rsidP="00A304D3">
      <w:pPr>
        <w:ind w:firstLine="288"/>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The foreign proceeding must be recognised —</w:t>
      </w:r>
    </w:p>
    <w:tbl>
      <w:tblPr>
        <w:tblW w:w="5000" w:type="pct"/>
        <w:tblCellMar>
          <w:top w:w="15" w:type="dxa"/>
          <w:left w:w="15" w:type="dxa"/>
          <w:bottom w:w="15" w:type="dxa"/>
          <w:right w:w="15" w:type="dxa"/>
        </w:tblCellMar>
        <w:tblLook w:val="04A0" w:firstRow="1" w:lastRow="0" w:firstColumn="1" w:lastColumn="0" w:noHBand="0" w:noVBand="1"/>
      </w:tblPr>
      <w:tblGrid>
        <w:gridCol w:w="864"/>
        <w:gridCol w:w="8177"/>
      </w:tblGrid>
      <w:tr w:rsidR="00215DB5" w:rsidRPr="00215DB5" w14:paraId="121E91D4" w14:textId="77777777" w:rsidTr="00A304D3">
        <w:tc>
          <w:tcPr>
            <w:tcW w:w="864" w:type="dxa"/>
            <w:tcMar>
              <w:top w:w="144" w:type="dxa"/>
              <w:left w:w="15" w:type="dxa"/>
              <w:bottom w:w="0" w:type="dxa"/>
              <w:right w:w="0" w:type="dxa"/>
            </w:tcMar>
            <w:hideMark/>
          </w:tcPr>
          <w:p w14:paraId="47646CB0" w14:textId="77777777" w:rsidR="000B6149" w:rsidRPr="00215DB5" w:rsidRDefault="000B6149" w:rsidP="00A304D3">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a</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72AA80DD" w14:textId="77777777" w:rsidR="000B6149" w:rsidRPr="00215DB5" w:rsidRDefault="000B6149" w:rsidP="00A304D3">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as a foreign main proceeding if it is taking place in the State where the debtor has its centre of main interests; or</w:t>
            </w:r>
          </w:p>
        </w:tc>
      </w:tr>
      <w:tr w:rsidR="000B6149" w:rsidRPr="00215DB5" w14:paraId="48CADD8E" w14:textId="77777777" w:rsidTr="00A304D3">
        <w:tc>
          <w:tcPr>
            <w:tcW w:w="864" w:type="dxa"/>
            <w:tcMar>
              <w:top w:w="144" w:type="dxa"/>
              <w:left w:w="15" w:type="dxa"/>
              <w:bottom w:w="0" w:type="dxa"/>
              <w:right w:w="0" w:type="dxa"/>
            </w:tcMar>
            <w:hideMark/>
          </w:tcPr>
          <w:p w14:paraId="39CD2917" w14:textId="77777777" w:rsidR="000B6149" w:rsidRPr="00215DB5" w:rsidRDefault="000B6149" w:rsidP="00A304D3">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b</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0EAE1E3E" w14:textId="77777777" w:rsidR="000B6149" w:rsidRPr="00215DB5" w:rsidRDefault="000B6149" w:rsidP="00A304D3">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as a foreign non</w:t>
            </w:r>
            <w:r w:rsidRPr="00215DB5">
              <w:rPr>
                <w:rFonts w:ascii="Arial" w:hAnsi="Arial" w:cs="Arial"/>
                <w:color w:val="808080" w:themeColor="background1" w:themeShade="80"/>
                <w:sz w:val="22"/>
                <w:szCs w:val="22"/>
              </w:rPr>
              <w:noBreakHyphen/>
              <w:t>main proceeding, if the debtor has an establishment within the meaning of Article 2(</w:t>
            </w:r>
            <w:r w:rsidRPr="00215DB5">
              <w:rPr>
                <w:rStyle w:val="Emphasis"/>
                <w:rFonts w:ascii="Arial" w:hAnsi="Arial" w:cs="Arial"/>
                <w:color w:val="808080" w:themeColor="background1" w:themeShade="80"/>
                <w:sz w:val="22"/>
                <w:szCs w:val="22"/>
              </w:rPr>
              <w:t>d</w:t>
            </w:r>
            <w:r w:rsidRPr="00215DB5">
              <w:rPr>
                <w:rFonts w:ascii="Arial" w:hAnsi="Arial" w:cs="Arial"/>
                <w:color w:val="808080" w:themeColor="background1" w:themeShade="80"/>
                <w:sz w:val="22"/>
                <w:szCs w:val="22"/>
              </w:rPr>
              <w:t>) in the foreign State.</w:t>
            </w:r>
          </w:p>
        </w:tc>
      </w:tr>
    </w:tbl>
    <w:p w14:paraId="6781DD54" w14:textId="77777777" w:rsidR="000B6149" w:rsidRPr="00215DB5" w:rsidRDefault="000B6149" w:rsidP="000B6149">
      <w:pPr>
        <w:pStyle w:val="BodyText"/>
        <w:rPr>
          <w:rFonts w:ascii="Arial" w:hAnsi="Arial" w:cs="Arial"/>
          <w:color w:val="808080" w:themeColor="background1" w:themeShade="80"/>
          <w:sz w:val="22"/>
          <w:szCs w:val="22"/>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A5477E" w:rsidRPr="00215DB5" w14:paraId="4652A7B6" w14:textId="77777777" w:rsidTr="00A5477E">
        <w:tc>
          <w:tcPr>
            <w:tcW w:w="0" w:type="auto"/>
            <w:tcMar>
              <w:top w:w="144" w:type="dxa"/>
              <w:left w:w="15" w:type="dxa"/>
              <w:bottom w:w="72" w:type="dxa"/>
              <w:right w:w="15" w:type="dxa"/>
            </w:tcMar>
            <w:hideMark/>
          </w:tcPr>
          <w:p w14:paraId="416477BF" w14:textId="3C12653F" w:rsidR="00A5477E" w:rsidRPr="00215DB5" w:rsidRDefault="00A5477E">
            <w:pPr>
              <w:rPr>
                <w:rFonts w:ascii="Arial" w:hAnsi="Arial" w:cs="Arial"/>
                <w:b/>
                <w:bCs/>
                <w:color w:val="808080" w:themeColor="background1" w:themeShade="80"/>
                <w:sz w:val="22"/>
                <w:szCs w:val="22"/>
              </w:rPr>
            </w:pPr>
            <w:r w:rsidRPr="00215DB5">
              <w:rPr>
                <w:rFonts w:ascii="Arial" w:hAnsi="Arial" w:cs="Arial"/>
                <w:b/>
                <w:bCs/>
                <w:color w:val="808080" w:themeColor="background1" w:themeShade="80"/>
                <w:sz w:val="22"/>
                <w:szCs w:val="22"/>
              </w:rPr>
              <w:t>Article 20</w:t>
            </w:r>
            <w:r w:rsidR="004378DC" w:rsidRPr="00215DB5">
              <w:rPr>
                <w:rFonts w:ascii="Arial" w:hAnsi="Arial" w:cs="Arial"/>
                <w:b/>
                <w:bCs/>
                <w:color w:val="808080" w:themeColor="background1" w:themeShade="80"/>
                <w:sz w:val="22"/>
                <w:szCs w:val="22"/>
              </w:rPr>
              <w:t xml:space="preserve"> set out the</w:t>
            </w:r>
            <w:r w:rsidRPr="00215DB5">
              <w:rPr>
                <w:rFonts w:ascii="Arial" w:hAnsi="Arial" w:cs="Arial"/>
                <w:b/>
                <w:bCs/>
                <w:color w:val="808080" w:themeColor="background1" w:themeShade="80"/>
                <w:sz w:val="22"/>
                <w:szCs w:val="22"/>
              </w:rPr>
              <w:t xml:space="preserve"> </w:t>
            </w:r>
            <w:r w:rsidR="004378DC" w:rsidRPr="00215DB5">
              <w:rPr>
                <w:rFonts w:ascii="Arial" w:hAnsi="Arial" w:cs="Arial"/>
                <w:b/>
                <w:bCs/>
                <w:color w:val="808080" w:themeColor="background1" w:themeShade="80"/>
                <w:sz w:val="22"/>
                <w:szCs w:val="22"/>
              </w:rPr>
              <w:t>e</w:t>
            </w:r>
            <w:r w:rsidRPr="00215DB5">
              <w:rPr>
                <w:rFonts w:ascii="Arial" w:hAnsi="Arial" w:cs="Arial"/>
                <w:b/>
                <w:bCs/>
                <w:color w:val="808080" w:themeColor="background1" w:themeShade="80"/>
                <w:sz w:val="22"/>
                <w:szCs w:val="22"/>
              </w:rPr>
              <w:t>ffects of recognition of a foreign main proceeding</w:t>
            </w:r>
          </w:p>
        </w:tc>
      </w:tr>
    </w:tbl>
    <w:p w14:paraId="6BF8DC56" w14:textId="77777777" w:rsidR="00A5477E" w:rsidRPr="00215DB5" w:rsidRDefault="00A5477E" w:rsidP="00A5477E">
      <w:pPr>
        <w:rPr>
          <w:rFonts w:ascii="Arial" w:hAnsi="Arial" w:cs="Arial"/>
          <w:vanish/>
          <w:color w:val="808080" w:themeColor="background1" w:themeShade="8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A5477E" w:rsidRPr="00215DB5" w14:paraId="3852A1B2" w14:textId="77777777" w:rsidTr="00A5477E">
        <w:tc>
          <w:tcPr>
            <w:tcW w:w="0" w:type="auto"/>
            <w:tcMar>
              <w:top w:w="72" w:type="dxa"/>
              <w:left w:w="15" w:type="dxa"/>
              <w:bottom w:w="72" w:type="dxa"/>
              <w:right w:w="15" w:type="dxa"/>
            </w:tcMar>
            <w:hideMark/>
          </w:tcPr>
          <w:p w14:paraId="4529CCAC" w14:textId="77777777" w:rsidR="00A5477E" w:rsidRPr="00215DB5" w:rsidRDefault="00A5477E">
            <w:pPr>
              <w:ind w:firstLine="288"/>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1.  Upon recognition of a foreign proceeding that is a foreign main proceeding, subject to paragraph 2 of this Article —</w:t>
            </w:r>
          </w:p>
          <w:tbl>
            <w:tblPr>
              <w:tblW w:w="5000" w:type="pct"/>
              <w:tblCellMar>
                <w:top w:w="15" w:type="dxa"/>
                <w:left w:w="15" w:type="dxa"/>
                <w:bottom w:w="15" w:type="dxa"/>
                <w:right w:w="15" w:type="dxa"/>
              </w:tblCellMar>
              <w:tblLook w:val="04A0" w:firstRow="1" w:lastRow="0" w:firstColumn="1" w:lastColumn="0" w:noHBand="0" w:noVBand="1"/>
            </w:tblPr>
            <w:tblGrid>
              <w:gridCol w:w="864"/>
              <w:gridCol w:w="8162"/>
            </w:tblGrid>
            <w:tr w:rsidR="00215DB5" w:rsidRPr="00215DB5" w14:paraId="0F8A9542" w14:textId="77777777">
              <w:tc>
                <w:tcPr>
                  <w:tcW w:w="864" w:type="dxa"/>
                  <w:tcMar>
                    <w:top w:w="144" w:type="dxa"/>
                    <w:left w:w="15" w:type="dxa"/>
                    <w:bottom w:w="0" w:type="dxa"/>
                    <w:right w:w="0" w:type="dxa"/>
                  </w:tcMar>
                  <w:hideMark/>
                </w:tcPr>
                <w:p w14:paraId="6F9DBF05"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a</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11B6092C"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commencement or continuation of individual actions or individual proceedings concerning the debtor’s property, rights, obligations or liabilities is stayed;</w:t>
                  </w:r>
                </w:p>
              </w:tc>
            </w:tr>
            <w:tr w:rsidR="00215DB5" w:rsidRPr="00215DB5" w14:paraId="51144AE2" w14:textId="77777777">
              <w:tc>
                <w:tcPr>
                  <w:tcW w:w="864" w:type="dxa"/>
                  <w:tcMar>
                    <w:top w:w="144" w:type="dxa"/>
                    <w:left w:w="15" w:type="dxa"/>
                    <w:bottom w:w="0" w:type="dxa"/>
                    <w:right w:w="0" w:type="dxa"/>
                  </w:tcMar>
                  <w:hideMark/>
                </w:tcPr>
                <w:p w14:paraId="528CC843"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b</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7DEB9085"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execution against the debtor’s property is stayed; and</w:t>
                  </w:r>
                </w:p>
              </w:tc>
            </w:tr>
            <w:tr w:rsidR="00215DB5" w:rsidRPr="00215DB5" w14:paraId="20390DA8" w14:textId="77777777">
              <w:tc>
                <w:tcPr>
                  <w:tcW w:w="864" w:type="dxa"/>
                  <w:tcMar>
                    <w:top w:w="144" w:type="dxa"/>
                    <w:left w:w="15" w:type="dxa"/>
                    <w:bottom w:w="0" w:type="dxa"/>
                    <w:right w:w="0" w:type="dxa"/>
                  </w:tcMar>
                  <w:hideMark/>
                </w:tcPr>
                <w:p w14:paraId="128990A7"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c</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427F1442"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the right to transfer, encumber or otherwise dispose of any property of the debtor is suspended.</w:t>
                  </w:r>
                </w:p>
              </w:tc>
            </w:tr>
          </w:tbl>
          <w:p w14:paraId="47CDAC2A" w14:textId="77777777" w:rsidR="00A5477E" w:rsidRPr="00215DB5" w:rsidRDefault="00A5477E">
            <w:pPr>
              <w:ind w:firstLine="288"/>
              <w:jc w:val="both"/>
              <w:rPr>
                <w:rFonts w:ascii="Arial" w:hAnsi="Arial" w:cs="Arial"/>
                <w:color w:val="808080" w:themeColor="background1" w:themeShade="80"/>
                <w:sz w:val="22"/>
                <w:szCs w:val="22"/>
              </w:rPr>
            </w:pPr>
          </w:p>
        </w:tc>
      </w:tr>
    </w:tbl>
    <w:p w14:paraId="55120CB8" w14:textId="77777777" w:rsidR="00A5477E" w:rsidRPr="00215DB5" w:rsidRDefault="00A5477E" w:rsidP="00A5477E">
      <w:pPr>
        <w:rPr>
          <w:rFonts w:ascii="Arial" w:hAnsi="Arial" w:cs="Arial"/>
          <w:vanish/>
          <w:color w:val="808080" w:themeColor="background1" w:themeShade="8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A5477E" w:rsidRPr="00215DB5" w14:paraId="32F558A9" w14:textId="77777777" w:rsidTr="00A5477E">
        <w:tc>
          <w:tcPr>
            <w:tcW w:w="0" w:type="auto"/>
            <w:tcMar>
              <w:top w:w="72" w:type="dxa"/>
              <w:left w:w="15" w:type="dxa"/>
              <w:bottom w:w="72" w:type="dxa"/>
              <w:right w:w="15" w:type="dxa"/>
            </w:tcMar>
            <w:hideMark/>
          </w:tcPr>
          <w:p w14:paraId="307ECDA1" w14:textId="77777777" w:rsidR="00A5477E" w:rsidRPr="00215DB5" w:rsidRDefault="00A5477E">
            <w:pPr>
              <w:ind w:firstLine="288"/>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2.  The stay and suspension mentioned in paragraph 1 of this Article are —</w:t>
            </w:r>
          </w:p>
          <w:tbl>
            <w:tblPr>
              <w:tblW w:w="5000" w:type="pct"/>
              <w:tblCellMar>
                <w:top w:w="15" w:type="dxa"/>
                <w:left w:w="15" w:type="dxa"/>
                <w:bottom w:w="15" w:type="dxa"/>
                <w:right w:w="15" w:type="dxa"/>
              </w:tblCellMar>
              <w:tblLook w:val="04A0" w:firstRow="1" w:lastRow="0" w:firstColumn="1" w:lastColumn="0" w:noHBand="0" w:noVBand="1"/>
            </w:tblPr>
            <w:tblGrid>
              <w:gridCol w:w="864"/>
              <w:gridCol w:w="8162"/>
            </w:tblGrid>
            <w:tr w:rsidR="00215DB5" w:rsidRPr="00215DB5" w14:paraId="4B598C66" w14:textId="77777777">
              <w:tc>
                <w:tcPr>
                  <w:tcW w:w="864" w:type="dxa"/>
                  <w:tcMar>
                    <w:top w:w="144" w:type="dxa"/>
                    <w:left w:w="15" w:type="dxa"/>
                    <w:bottom w:w="0" w:type="dxa"/>
                    <w:right w:w="0" w:type="dxa"/>
                  </w:tcMar>
                  <w:hideMark/>
                </w:tcPr>
                <w:p w14:paraId="0BA36AB7"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a</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17419E10"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the same in scope and effect as if the debtor had been made the subject of a winding up order under this Act; and</w:t>
                  </w:r>
                </w:p>
              </w:tc>
            </w:tr>
            <w:tr w:rsidR="00215DB5" w:rsidRPr="00215DB5" w14:paraId="5D875B87" w14:textId="77777777">
              <w:tc>
                <w:tcPr>
                  <w:tcW w:w="864" w:type="dxa"/>
                  <w:tcMar>
                    <w:top w:w="144" w:type="dxa"/>
                    <w:left w:w="15" w:type="dxa"/>
                    <w:bottom w:w="0" w:type="dxa"/>
                    <w:right w:w="0" w:type="dxa"/>
                  </w:tcMar>
                  <w:hideMark/>
                </w:tcPr>
                <w:p w14:paraId="456C14EC"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b</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5E6B82D7"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subject to the same powers of the Court and the same prohibitions, limitations, exceptions and conditions as would apply under the law of Singapore in such a case,</w:t>
                  </w:r>
                </w:p>
              </w:tc>
            </w:tr>
          </w:tbl>
          <w:p w14:paraId="2CCF39B0" w14:textId="77777777" w:rsidR="00A5477E" w:rsidRPr="00215DB5" w:rsidRDefault="00A5477E">
            <w:pPr>
              <w:ind w:firstLine="288"/>
              <w:jc w:val="both"/>
              <w:rPr>
                <w:rFonts w:ascii="Arial" w:hAnsi="Arial" w:cs="Arial"/>
                <w:vanish/>
                <w:color w:val="808080" w:themeColor="background1" w:themeShade="8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215DB5" w:rsidRPr="00215DB5" w14:paraId="7B9DF180" w14:textId="77777777">
              <w:tc>
                <w:tcPr>
                  <w:tcW w:w="0" w:type="auto"/>
                  <w:tcMar>
                    <w:top w:w="144" w:type="dxa"/>
                    <w:left w:w="15" w:type="dxa"/>
                    <w:bottom w:w="15" w:type="dxa"/>
                    <w:right w:w="15" w:type="dxa"/>
                  </w:tcMar>
                  <w:hideMark/>
                </w:tcPr>
                <w:p w14:paraId="24E4E124"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and the provisions of paragraph 1 of this Article are to be interpreted accordingly.</w:t>
                  </w:r>
                </w:p>
              </w:tc>
            </w:tr>
          </w:tbl>
          <w:p w14:paraId="7546AA04" w14:textId="77777777" w:rsidR="00A5477E" w:rsidRPr="00215DB5" w:rsidRDefault="00A5477E">
            <w:pPr>
              <w:ind w:firstLine="288"/>
              <w:jc w:val="both"/>
              <w:rPr>
                <w:rFonts w:ascii="Arial" w:hAnsi="Arial" w:cs="Arial"/>
                <w:color w:val="808080" w:themeColor="background1" w:themeShade="80"/>
                <w:sz w:val="22"/>
                <w:szCs w:val="22"/>
              </w:rPr>
            </w:pPr>
          </w:p>
        </w:tc>
      </w:tr>
    </w:tbl>
    <w:p w14:paraId="095712F4" w14:textId="77777777" w:rsidR="00A5477E" w:rsidRPr="00215DB5" w:rsidRDefault="00A5477E" w:rsidP="00A5477E">
      <w:pPr>
        <w:rPr>
          <w:rFonts w:ascii="Arial" w:hAnsi="Arial" w:cs="Arial"/>
          <w:vanish/>
          <w:color w:val="808080" w:themeColor="background1" w:themeShade="8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A5477E" w:rsidRPr="00215DB5" w14:paraId="67EB5F89" w14:textId="77777777" w:rsidTr="00A5477E">
        <w:tc>
          <w:tcPr>
            <w:tcW w:w="0" w:type="auto"/>
            <w:tcMar>
              <w:top w:w="72" w:type="dxa"/>
              <w:left w:w="15" w:type="dxa"/>
              <w:bottom w:w="72" w:type="dxa"/>
              <w:right w:w="15" w:type="dxa"/>
            </w:tcMar>
            <w:hideMark/>
          </w:tcPr>
          <w:p w14:paraId="6C7EE006" w14:textId="77777777" w:rsidR="00A5477E" w:rsidRPr="00215DB5" w:rsidRDefault="00A5477E">
            <w:pPr>
              <w:ind w:firstLine="288"/>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3.  Without prejudice to paragraph 2 of this Article, the stay and suspension mentioned in paragraph 1 of this Article do not affect any right —</w:t>
            </w:r>
          </w:p>
          <w:tbl>
            <w:tblPr>
              <w:tblW w:w="5000" w:type="pct"/>
              <w:tblCellMar>
                <w:top w:w="15" w:type="dxa"/>
                <w:left w:w="15" w:type="dxa"/>
                <w:bottom w:w="15" w:type="dxa"/>
                <w:right w:w="15" w:type="dxa"/>
              </w:tblCellMar>
              <w:tblLook w:val="04A0" w:firstRow="1" w:lastRow="0" w:firstColumn="1" w:lastColumn="0" w:noHBand="0" w:noVBand="1"/>
            </w:tblPr>
            <w:tblGrid>
              <w:gridCol w:w="864"/>
              <w:gridCol w:w="8162"/>
            </w:tblGrid>
            <w:tr w:rsidR="00215DB5" w:rsidRPr="00215DB5" w14:paraId="64AA7284" w14:textId="77777777">
              <w:tc>
                <w:tcPr>
                  <w:tcW w:w="864" w:type="dxa"/>
                  <w:tcMar>
                    <w:top w:w="144" w:type="dxa"/>
                    <w:left w:w="15" w:type="dxa"/>
                    <w:bottom w:w="0" w:type="dxa"/>
                    <w:right w:w="0" w:type="dxa"/>
                  </w:tcMar>
                  <w:hideMark/>
                </w:tcPr>
                <w:p w14:paraId="5A6527A9"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a</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75AF645E"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to take any steps to enforce security over the debtor’s property;</w:t>
                  </w:r>
                </w:p>
              </w:tc>
            </w:tr>
            <w:tr w:rsidR="00215DB5" w:rsidRPr="00215DB5" w14:paraId="3843C59C" w14:textId="77777777">
              <w:tc>
                <w:tcPr>
                  <w:tcW w:w="864" w:type="dxa"/>
                  <w:tcMar>
                    <w:top w:w="144" w:type="dxa"/>
                    <w:left w:w="15" w:type="dxa"/>
                    <w:bottom w:w="0" w:type="dxa"/>
                    <w:right w:w="0" w:type="dxa"/>
                  </w:tcMar>
                  <w:hideMark/>
                </w:tcPr>
                <w:p w14:paraId="79F82244"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lastRenderedPageBreak/>
                    <w:t>(</w:t>
                  </w:r>
                  <w:r w:rsidRPr="00215DB5">
                    <w:rPr>
                      <w:rStyle w:val="Emphasis"/>
                      <w:rFonts w:ascii="Arial" w:hAnsi="Arial" w:cs="Arial"/>
                      <w:color w:val="808080" w:themeColor="background1" w:themeShade="80"/>
                      <w:sz w:val="22"/>
                      <w:szCs w:val="22"/>
                    </w:rPr>
                    <w:t>b</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3F47959F"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to take any steps to repossess goods in the debtor’s possession under a hire</w:t>
                  </w:r>
                  <w:r w:rsidRPr="00215DB5">
                    <w:rPr>
                      <w:rFonts w:ascii="Arial" w:hAnsi="Arial" w:cs="Arial"/>
                      <w:color w:val="808080" w:themeColor="background1" w:themeShade="80"/>
                      <w:sz w:val="22"/>
                      <w:szCs w:val="22"/>
                    </w:rPr>
                    <w:noBreakHyphen/>
                    <w:t>purchase agreement (as defined in section 88(1) of this Act);</w:t>
                  </w:r>
                </w:p>
              </w:tc>
            </w:tr>
            <w:tr w:rsidR="00215DB5" w:rsidRPr="00215DB5" w14:paraId="5E10FC46" w14:textId="77777777">
              <w:tc>
                <w:tcPr>
                  <w:tcW w:w="864" w:type="dxa"/>
                  <w:tcMar>
                    <w:top w:w="144" w:type="dxa"/>
                    <w:left w:w="15" w:type="dxa"/>
                    <w:bottom w:w="0" w:type="dxa"/>
                    <w:right w:w="0" w:type="dxa"/>
                  </w:tcMar>
                  <w:hideMark/>
                </w:tcPr>
                <w:p w14:paraId="1B00CB24"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c</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087DD2E9"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exercisable under or by virtue of or in connection with any written law mentioned in Article 1(3)(</w:t>
                  </w:r>
                  <w:r w:rsidRPr="00215DB5">
                    <w:rPr>
                      <w:rStyle w:val="Emphasis"/>
                      <w:rFonts w:ascii="Arial" w:hAnsi="Arial" w:cs="Arial"/>
                      <w:color w:val="808080" w:themeColor="background1" w:themeShade="80"/>
                      <w:sz w:val="22"/>
                      <w:szCs w:val="22"/>
                    </w:rPr>
                    <w:t>a</w:t>
                  </w:r>
                  <w:r w:rsidRPr="00215DB5">
                    <w:rPr>
                      <w:rFonts w:ascii="Arial" w:hAnsi="Arial" w:cs="Arial"/>
                      <w:color w:val="808080" w:themeColor="background1" w:themeShade="80"/>
                      <w:sz w:val="22"/>
                      <w:szCs w:val="22"/>
                    </w:rPr>
                    <w:t>) to (</w:t>
                  </w:r>
                  <w:r w:rsidRPr="00215DB5">
                    <w:rPr>
                      <w:rStyle w:val="Emphasis"/>
                      <w:rFonts w:ascii="Arial" w:hAnsi="Arial" w:cs="Arial"/>
                      <w:color w:val="808080" w:themeColor="background1" w:themeShade="80"/>
                      <w:sz w:val="22"/>
                      <w:szCs w:val="22"/>
                    </w:rPr>
                    <w:t>i</w:t>
                  </w:r>
                  <w:r w:rsidRPr="00215DB5">
                    <w:rPr>
                      <w:rFonts w:ascii="Arial" w:hAnsi="Arial" w:cs="Arial"/>
                      <w:color w:val="808080" w:themeColor="background1" w:themeShade="80"/>
                      <w:sz w:val="22"/>
                      <w:szCs w:val="22"/>
                    </w:rPr>
                    <w:t>); or</w:t>
                  </w:r>
                </w:p>
              </w:tc>
            </w:tr>
            <w:tr w:rsidR="00215DB5" w:rsidRPr="00215DB5" w14:paraId="1E9742C1" w14:textId="77777777">
              <w:tc>
                <w:tcPr>
                  <w:tcW w:w="864" w:type="dxa"/>
                  <w:tcMar>
                    <w:top w:w="144" w:type="dxa"/>
                    <w:left w:w="15" w:type="dxa"/>
                    <w:bottom w:w="0" w:type="dxa"/>
                    <w:right w:w="0" w:type="dxa"/>
                  </w:tcMar>
                  <w:hideMark/>
                </w:tcPr>
                <w:p w14:paraId="4CAAFC25"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d</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5697F4CD"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of a creditor to set off its claim against a claim of the debtor,</w:t>
                  </w:r>
                </w:p>
              </w:tc>
            </w:tr>
          </w:tbl>
          <w:p w14:paraId="2BE89745" w14:textId="77777777" w:rsidR="00A5477E" w:rsidRPr="00215DB5" w:rsidRDefault="00A5477E">
            <w:pPr>
              <w:ind w:firstLine="288"/>
              <w:jc w:val="both"/>
              <w:rPr>
                <w:rFonts w:ascii="Arial" w:hAnsi="Arial" w:cs="Arial"/>
                <w:vanish/>
                <w:color w:val="808080" w:themeColor="background1" w:themeShade="8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215DB5" w:rsidRPr="00215DB5" w14:paraId="38FBCCD3" w14:textId="77777777">
              <w:tc>
                <w:tcPr>
                  <w:tcW w:w="0" w:type="auto"/>
                  <w:tcMar>
                    <w:top w:w="144" w:type="dxa"/>
                    <w:left w:w="15" w:type="dxa"/>
                    <w:bottom w:w="15" w:type="dxa"/>
                    <w:right w:w="15" w:type="dxa"/>
                  </w:tcMar>
                  <w:hideMark/>
                </w:tcPr>
                <w:p w14:paraId="14FFEB8A"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being a right which would have been exercisable if the debtor had been made the subject of a winding up order under this Act.</w:t>
                  </w:r>
                </w:p>
              </w:tc>
            </w:tr>
          </w:tbl>
          <w:p w14:paraId="2EED7D44" w14:textId="77777777" w:rsidR="00A5477E" w:rsidRPr="00215DB5" w:rsidRDefault="00A5477E">
            <w:pPr>
              <w:ind w:firstLine="288"/>
              <w:jc w:val="both"/>
              <w:rPr>
                <w:rFonts w:ascii="Arial" w:hAnsi="Arial" w:cs="Arial"/>
                <w:color w:val="808080" w:themeColor="background1" w:themeShade="80"/>
                <w:sz w:val="22"/>
                <w:szCs w:val="22"/>
              </w:rPr>
            </w:pPr>
          </w:p>
        </w:tc>
      </w:tr>
    </w:tbl>
    <w:p w14:paraId="4BBCEFB3" w14:textId="77777777" w:rsidR="00A5477E" w:rsidRPr="00215DB5" w:rsidRDefault="00A5477E" w:rsidP="00A5477E">
      <w:pPr>
        <w:rPr>
          <w:rFonts w:ascii="Arial" w:hAnsi="Arial" w:cs="Arial"/>
          <w:vanish/>
          <w:color w:val="808080" w:themeColor="background1" w:themeShade="8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A5477E" w:rsidRPr="00215DB5" w14:paraId="0FDCCB36" w14:textId="77777777" w:rsidTr="00A5477E">
        <w:tc>
          <w:tcPr>
            <w:tcW w:w="0" w:type="auto"/>
            <w:tcMar>
              <w:top w:w="72" w:type="dxa"/>
              <w:left w:w="15" w:type="dxa"/>
              <w:bottom w:w="72" w:type="dxa"/>
              <w:right w:w="15" w:type="dxa"/>
            </w:tcMar>
            <w:hideMark/>
          </w:tcPr>
          <w:p w14:paraId="2A447335" w14:textId="77777777" w:rsidR="00A5477E" w:rsidRPr="00215DB5" w:rsidRDefault="00A5477E">
            <w:pPr>
              <w:ind w:firstLine="288"/>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4.  Paragraph 1(</w:t>
            </w:r>
            <w:r w:rsidRPr="00215DB5">
              <w:rPr>
                <w:rStyle w:val="Emphasis"/>
                <w:rFonts w:ascii="Arial" w:hAnsi="Arial" w:cs="Arial"/>
                <w:color w:val="808080" w:themeColor="background1" w:themeShade="80"/>
                <w:sz w:val="22"/>
                <w:szCs w:val="22"/>
              </w:rPr>
              <w:t>a</w:t>
            </w:r>
            <w:r w:rsidRPr="00215DB5">
              <w:rPr>
                <w:rFonts w:ascii="Arial" w:hAnsi="Arial" w:cs="Arial"/>
                <w:color w:val="808080" w:themeColor="background1" w:themeShade="80"/>
                <w:sz w:val="22"/>
                <w:szCs w:val="22"/>
              </w:rPr>
              <w:t>) of this Article does not affect the right to —</w:t>
            </w:r>
          </w:p>
          <w:tbl>
            <w:tblPr>
              <w:tblW w:w="5000" w:type="pct"/>
              <w:tblCellMar>
                <w:top w:w="15" w:type="dxa"/>
                <w:left w:w="15" w:type="dxa"/>
                <w:bottom w:w="15" w:type="dxa"/>
                <w:right w:w="15" w:type="dxa"/>
              </w:tblCellMar>
              <w:tblLook w:val="04A0" w:firstRow="1" w:lastRow="0" w:firstColumn="1" w:lastColumn="0" w:noHBand="0" w:noVBand="1"/>
            </w:tblPr>
            <w:tblGrid>
              <w:gridCol w:w="864"/>
              <w:gridCol w:w="8162"/>
            </w:tblGrid>
            <w:tr w:rsidR="00215DB5" w:rsidRPr="00215DB5" w14:paraId="4C0238AB" w14:textId="77777777">
              <w:tc>
                <w:tcPr>
                  <w:tcW w:w="864" w:type="dxa"/>
                  <w:tcMar>
                    <w:top w:w="144" w:type="dxa"/>
                    <w:left w:w="15" w:type="dxa"/>
                    <w:bottom w:w="0" w:type="dxa"/>
                    <w:right w:w="0" w:type="dxa"/>
                  </w:tcMar>
                  <w:hideMark/>
                </w:tcPr>
                <w:p w14:paraId="1F046F2E"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a</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0829F0A9"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commence individual actions or proceedings to the extent necessary to preserve a claim against the debtor; or</w:t>
                  </w:r>
                </w:p>
              </w:tc>
            </w:tr>
            <w:tr w:rsidR="00215DB5" w:rsidRPr="00215DB5" w14:paraId="0A0B0AD3" w14:textId="77777777">
              <w:tc>
                <w:tcPr>
                  <w:tcW w:w="864" w:type="dxa"/>
                  <w:tcMar>
                    <w:top w:w="144" w:type="dxa"/>
                    <w:left w:w="15" w:type="dxa"/>
                    <w:bottom w:w="0" w:type="dxa"/>
                    <w:right w:w="0" w:type="dxa"/>
                  </w:tcMar>
                  <w:hideMark/>
                </w:tcPr>
                <w:p w14:paraId="0C44D795" w14:textId="77777777" w:rsidR="00A5477E" w:rsidRPr="00215DB5" w:rsidRDefault="00A5477E">
                  <w:pPr>
                    <w:jc w:val="right"/>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w:t>
                  </w:r>
                  <w:r w:rsidRPr="00215DB5">
                    <w:rPr>
                      <w:rStyle w:val="Emphasis"/>
                      <w:rFonts w:ascii="Arial" w:hAnsi="Arial" w:cs="Arial"/>
                      <w:color w:val="808080" w:themeColor="background1" w:themeShade="80"/>
                      <w:sz w:val="22"/>
                      <w:szCs w:val="22"/>
                    </w:rPr>
                    <w:t>b</w:t>
                  </w:r>
                  <w:r w:rsidRPr="00215DB5">
                    <w:rPr>
                      <w:rFonts w:ascii="Arial" w:hAnsi="Arial" w:cs="Arial"/>
                      <w:color w:val="808080" w:themeColor="background1" w:themeShade="80"/>
                      <w:sz w:val="22"/>
                      <w:szCs w:val="22"/>
                    </w:rPr>
                    <w:t>)</w:t>
                  </w:r>
                </w:p>
              </w:tc>
              <w:tc>
                <w:tcPr>
                  <w:tcW w:w="0" w:type="auto"/>
                  <w:tcMar>
                    <w:top w:w="144" w:type="dxa"/>
                    <w:left w:w="216" w:type="dxa"/>
                    <w:bottom w:w="0" w:type="dxa"/>
                    <w:right w:w="0" w:type="dxa"/>
                  </w:tcMar>
                  <w:hideMark/>
                </w:tcPr>
                <w:p w14:paraId="480F3257" w14:textId="77777777" w:rsidR="00A5477E" w:rsidRPr="00215DB5" w:rsidRDefault="00A5477E">
                  <w:pPr>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commence or continue any criminal proceedings or any action or proceedings by a person or body having regulatory, supervisory or investigative functions of a public nature, being an action or proceedings brought in the exercise of those functions.</w:t>
                  </w:r>
                </w:p>
              </w:tc>
            </w:tr>
          </w:tbl>
          <w:p w14:paraId="64AB049C" w14:textId="77777777" w:rsidR="00A5477E" w:rsidRPr="00215DB5" w:rsidRDefault="00A5477E">
            <w:pPr>
              <w:ind w:firstLine="288"/>
              <w:jc w:val="both"/>
              <w:rPr>
                <w:rFonts w:ascii="Arial" w:hAnsi="Arial" w:cs="Arial"/>
                <w:color w:val="808080" w:themeColor="background1" w:themeShade="80"/>
                <w:sz w:val="22"/>
                <w:szCs w:val="22"/>
              </w:rPr>
            </w:pPr>
          </w:p>
        </w:tc>
      </w:tr>
    </w:tbl>
    <w:p w14:paraId="246C97BB" w14:textId="77777777" w:rsidR="00A5477E" w:rsidRPr="00215DB5" w:rsidRDefault="00A5477E" w:rsidP="00A5477E">
      <w:pPr>
        <w:rPr>
          <w:rFonts w:ascii="Arial" w:hAnsi="Arial" w:cs="Arial"/>
          <w:vanish/>
          <w:color w:val="808080" w:themeColor="background1" w:themeShade="8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A5477E" w:rsidRPr="00215DB5" w14:paraId="76F7F9D1" w14:textId="77777777" w:rsidTr="00A5477E">
        <w:tc>
          <w:tcPr>
            <w:tcW w:w="0" w:type="auto"/>
            <w:tcMar>
              <w:top w:w="72" w:type="dxa"/>
              <w:left w:w="15" w:type="dxa"/>
              <w:bottom w:w="72" w:type="dxa"/>
              <w:right w:w="15" w:type="dxa"/>
            </w:tcMar>
            <w:hideMark/>
          </w:tcPr>
          <w:p w14:paraId="7505B4DA" w14:textId="77777777" w:rsidR="00A5477E" w:rsidRPr="00215DB5" w:rsidRDefault="00A5477E">
            <w:pPr>
              <w:ind w:firstLine="288"/>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5.  Paragraph 1 of this Article does not affect the right to request or otherwise initiate the commencement of a proceeding under Singapore insolvency law or the right to file claims in such a proceeding.</w:t>
            </w:r>
          </w:p>
        </w:tc>
      </w:tr>
    </w:tbl>
    <w:p w14:paraId="2237B30D" w14:textId="77777777" w:rsidR="00A5477E" w:rsidRPr="00215DB5" w:rsidRDefault="00A5477E" w:rsidP="00A5477E">
      <w:pPr>
        <w:rPr>
          <w:rFonts w:ascii="Arial" w:hAnsi="Arial" w:cs="Arial"/>
          <w:vanish/>
          <w:color w:val="808080" w:themeColor="background1" w:themeShade="8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A5477E" w:rsidRPr="00215DB5" w14:paraId="268E47F5" w14:textId="77777777" w:rsidTr="00A5477E">
        <w:tc>
          <w:tcPr>
            <w:tcW w:w="0" w:type="auto"/>
            <w:tcMar>
              <w:top w:w="72" w:type="dxa"/>
              <w:left w:w="15" w:type="dxa"/>
              <w:bottom w:w="72" w:type="dxa"/>
              <w:right w:w="15" w:type="dxa"/>
            </w:tcMar>
            <w:hideMark/>
          </w:tcPr>
          <w:p w14:paraId="4DDCB165" w14:textId="77777777" w:rsidR="00A5477E" w:rsidRPr="00215DB5" w:rsidRDefault="00A5477E">
            <w:pPr>
              <w:ind w:firstLine="288"/>
              <w:jc w:val="both"/>
              <w:rPr>
                <w:rFonts w:ascii="Arial" w:hAnsi="Arial" w:cs="Arial"/>
                <w:color w:val="808080" w:themeColor="background1" w:themeShade="80"/>
                <w:sz w:val="22"/>
                <w:szCs w:val="22"/>
              </w:rPr>
            </w:pPr>
            <w:r w:rsidRPr="00215DB5">
              <w:rPr>
                <w:rFonts w:ascii="Arial" w:hAnsi="Arial" w:cs="Arial"/>
                <w:color w:val="808080" w:themeColor="background1" w:themeShade="80"/>
                <w:sz w:val="22"/>
                <w:szCs w:val="22"/>
              </w:rPr>
              <w:t>6.  In addition to and without prejudice to any powers of the Court under or by virtue of paragraph 2 of this Article, the Court may, on the application of the foreign representative or a person affected by the stay and suspension mentioned in paragraph 1 of this Article, or of its own motion, modify or terminate such stay and suspension or any part of it, either altogether or for a limited time, on such terms and conditions as the Court thinks fit.</w:t>
            </w:r>
          </w:p>
        </w:tc>
      </w:tr>
    </w:tbl>
    <w:p w14:paraId="70A82A0E" w14:textId="77777777" w:rsidR="000D2BEC" w:rsidRPr="00215DB5" w:rsidRDefault="000D2BEC" w:rsidP="00087F21">
      <w:pPr>
        <w:autoSpaceDE w:val="0"/>
        <w:autoSpaceDN w:val="0"/>
        <w:adjustRightInd w:val="0"/>
        <w:jc w:val="both"/>
        <w:rPr>
          <w:rFonts w:ascii="Arial" w:hAnsi="Arial" w:cs="Arial"/>
          <w:color w:val="808080" w:themeColor="background1" w:themeShade="80"/>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38B8" w14:textId="77777777" w:rsidR="00BC5BDE" w:rsidRDefault="00BC5BDE">
      <w:r>
        <w:separator/>
      </w:r>
    </w:p>
  </w:endnote>
  <w:endnote w:type="continuationSeparator" w:id="0">
    <w:p w14:paraId="7549D560" w14:textId="77777777" w:rsidR="00BC5BDE" w:rsidRDefault="00BC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Next">
    <w:altName w:val="Calibri"/>
    <w:panose1 w:val="020B0604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6DA6EC51" w:rsidR="008569B9" w:rsidRPr="009B4976" w:rsidRDefault="004A3412" w:rsidP="009B4976">
    <w:pPr>
      <w:pStyle w:val="Footer"/>
      <w:ind w:right="360"/>
      <w:rPr>
        <w:rFonts w:ascii="Arial" w:hAnsi="Arial" w:cs="Arial"/>
        <w:sz w:val="18"/>
        <w:szCs w:val="18"/>
        <w:lang w:val="en-GB"/>
      </w:rPr>
    </w:pPr>
    <w:r>
      <w:rPr>
        <w:rFonts w:ascii="Arial" w:hAnsi="Arial" w:cs="Arial"/>
        <w:sz w:val="18"/>
        <w:szCs w:val="18"/>
        <w:lang w:val="en-GB"/>
      </w:rPr>
      <w:t>202122-582</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C22F" w14:textId="77777777" w:rsidR="00BC5BDE" w:rsidRDefault="00BC5BDE">
      <w:r>
        <w:separator/>
      </w:r>
    </w:p>
  </w:footnote>
  <w:footnote w:type="continuationSeparator" w:id="0">
    <w:p w14:paraId="6509FA15" w14:textId="77777777" w:rsidR="00BC5BDE" w:rsidRDefault="00BC5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548"/>
    <w:multiLevelType w:val="hybridMultilevel"/>
    <w:tmpl w:val="4ADE8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73F30"/>
    <w:multiLevelType w:val="hybridMultilevel"/>
    <w:tmpl w:val="1A42AF38"/>
    <w:lvl w:ilvl="0" w:tplc="D31083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F07B8"/>
    <w:multiLevelType w:val="multilevel"/>
    <w:tmpl w:val="76E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A1388"/>
    <w:multiLevelType w:val="hybridMultilevel"/>
    <w:tmpl w:val="2DB61A9E"/>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81332"/>
    <w:multiLevelType w:val="multilevel"/>
    <w:tmpl w:val="41B2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7" w15:restartNumberingAfterBreak="0">
    <w:nsid w:val="1C4A66EF"/>
    <w:multiLevelType w:val="multilevel"/>
    <w:tmpl w:val="749C0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1069" w:hanging="360"/>
      </w:pPr>
      <w:rPr>
        <w:rFonts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019E4"/>
    <w:multiLevelType w:val="hybridMultilevel"/>
    <w:tmpl w:val="3B70C21A"/>
    <w:lvl w:ilvl="0" w:tplc="D280FE24">
      <w:start w:val="9"/>
      <w:numFmt w:val="bullet"/>
      <w:lvlText w:val="-"/>
      <w:lvlJc w:val="left"/>
      <w:pPr>
        <w:ind w:left="720" w:hanging="360"/>
      </w:pPr>
      <w:rPr>
        <w:rFonts w:ascii="AvenirNext" w:eastAsia="Times New Roman" w:hAnsi="AvenirNext" w:cs="Times New Roman"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F20EB"/>
    <w:multiLevelType w:val="multilevel"/>
    <w:tmpl w:val="B7B2998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1" w15:restartNumberingAfterBreak="0">
    <w:nsid w:val="22DA417D"/>
    <w:multiLevelType w:val="multilevel"/>
    <w:tmpl w:val="4254E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D599F"/>
    <w:multiLevelType w:val="multilevel"/>
    <w:tmpl w:val="EAAC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2D4503"/>
    <w:multiLevelType w:val="hybridMultilevel"/>
    <w:tmpl w:val="96B658A2"/>
    <w:lvl w:ilvl="0" w:tplc="3AB2206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B23186"/>
    <w:multiLevelType w:val="multilevel"/>
    <w:tmpl w:val="23F60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6"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91F43"/>
    <w:multiLevelType w:val="hybridMultilevel"/>
    <w:tmpl w:val="25AE0C2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E1FE3"/>
    <w:multiLevelType w:val="hybridMultilevel"/>
    <w:tmpl w:val="A420F1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260A0"/>
    <w:multiLevelType w:val="multilevel"/>
    <w:tmpl w:val="559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14D92"/>
    <w:multiLevelType w:val="multilevel"/>
    <w:tmpl w:val="23F60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28271D"/>
    <w:multiLevelType w:val="hybridMultilevel"/>
    <w:tmpl w:val="EBACD342"/>
    <w:lvl w:ilvl="0" w:tplc="2528F3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B1656"/>
    <w:multiLevelType w:val="hybridMultilevel"/>
    <w:tmpl w:val="B78C0510"/>
    <w:lvl w:ilvl="0" w:tplc="CFDCB5D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12318"/>
    <w:multiLevelType w:val="hybridMultilevel"/>
    <w:tmpl w:val="FA228488"/>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7" w15:restartNumberingAfterBreak="0">
    <w:nsid w:val="54713E0C"/>
    <w:multiLevelType w:val="hybridMultilevel"/>
    <w:tmpl w:val="A9DCE172"/>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8" w15:restartNumberingAfterBreak="0">
    <w:nsid w:val="56333D95"/>
    <w:multiLevelType w:val="multilevel"/>
    <w:tmpl w:val="76C6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F74BCA"/>
    <w:multiLevelType w:val="multilevel"/>
    <w:tmpl w:val="7C147E7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numFmt w:val="bullet"/>
      <w:lvlText w:val="-"/>
      <w:lvlJc w:val="left"/>
      <w:pPr>
        <w:ind w:left="2160" w:hanging="360"/>
      </w:pPr>
      <w:rPr>
        <w:rFonts w:ascii="AvenirNext" w:eastAsia="Times New Roman" w:hAnsi="AvenirNext" w:cs="Times New Roman" w:hint="default"/>
      </w:rPr>
    </w:lvl>
    <w:lvl w:ilvl="3">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0" w15:restartNumberingAfterBreak="0">
    <w:nsid w:val="5E1B02A8"/>
    <w:multiLevelType w:val="hybridMultilevel"/>
    <w:tmpl w:val="1CCAE1F0"/>
    <w:lvl w:ilvl="0" w:tplc="F926EEB4">
      <w:start w:val="1"/>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430B5"/>
    <w:multiLevelType w:val="multilevel"/>
    <w:tmpl w:val="9172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A722C"/>
    <w:multiLevelType w:val="multilevel"/>
    <w:tmpl w:val="933C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F4BFE"/>
    <w:multiLevelType w:val="hybridMultilevel"/>
    <w:tmpl w:val="9F2A74D4"/>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34" w15:restartNumberingAfterBreak="0">
    <w:nsid w:val="6AAA3F8D"/>
    <w:multiLevelType w:val="multilevel"/>
    <w:tmpl w:val="75E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E3A32"/>
    <w:multiLevelType w:val="multilevel"/>
    <w:tmpl w:val="A65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F37577"/>
    <w:multiLevelType w:val="hybridMultilevel"/>
    <w:tmpl w:val="253A95F8"/>
    <w:lvl w:ilvl="0" w:tplc="22B038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72325A"/>
    <w:multiLevelType w:val="hybridMultilevel"/>
    <w:tmpl w:val="C2DC0EEA"/>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42" w15:restartNumberingAfterBreak="0">
    <w:nsid w:val="7FCC00D6"/>
    <w:multiLevelType w:val="hybridMultilevel"/>
    <w:tmpl w:val="5DC6E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98149474">
    <w:abstractNumId w:val="15"/>
  </w:num>
  <w:num w:numId="2" w16cid:durableId="1380128531">
    <w:abstractNumId w:val="10"/>
  </w:num>
  <w:num w:numId="3" w16cid:durableId="1253395317">
    <w:abstractNumId w:val="4"/>
  </w:num>
  <w:num w:numId="4" w16cid:durableId="1716663325">
    <w:abstractNumId w:val="20"/>
  </w:num>
  <w:num w:numId="5" w16cid:durableId="1221594817">
    <w:abstractNumId w:val="41"/>
  </w:num>
  <w:num w:numId="6" w16cid:durableId="1955751225">
    <w:abstractNumId w:val="6"/>
  </w:num>
  <w:num w:numId="7" w16cid:durableId="1700743754">
    <w:abstractNumId w:val="37"/>
  </w:num>
  <w:num w:numId="8" w16cid:durableId="384332416">
    <w:abstractNumId w:val="38"/>
  </w:num>
  <w:num w:numId="9" w16cid:durableId="2114085806">
    <w:abstractNumId w:val="19"/>
  </w:num>
  <w:num w:numId="10" w16cid:durableId="667907275">
    <w:abstractNumId w:val="35"/>
  </w:num>
  <w:num w:numId="11" w16cid:durableId="1444500047">
    <w:abstractNumId w:val="21"/>
  </w:num>
  <w:num w:numId="12" w16cid:durableId="2014454945">
    <w:abstractNumId w:val="16"/>
  </w:num>
  <w:num w:numId="13" w16cid:durableId="655109800">
    <w:abstractNumId w:val="22"/>
  </w:num>
  <w:num w:numId="14" w16cid:durableId="945700045">
    <w:abstractNumId w:val="18"/>
  </w:num>
  <w:num w:numId="15" w16cid:durableId="1086995997">
    <w:abstractNumId w:val="7"/>
  </w:num>
  <w:num w:numId="16" w16cid:durableId="893273880">
    <w:abstractNumId w:val="14"/>
  </w:num>
  <w:num w:numId="17" w16cid:durableId="1994945477">
    <w:abstractNumId w:val="28"/>
  </w:num>
  <w:num w:numId="18" w16cid:durableId="580216989">
    <w:abstractNumId w:val="5"/>
  </w:num>
  <w:num w:numId="19" w16cid:durableId="706443893">
    <w:abstractNumId w:val="8"/>
  </w:num>
  <w:num w:numId="20" w16cid:durableId="1293828577">
    <w:abstractNumId w:val="11"/>
  </w:num>
  <w:num w:numId="21" w16cid:durableId="774786642">
    <w:abstractNumId w:val="32"/>
  </w:num>
  <w:num w:numId="22" w16cid:durableId="2037924128">
    <w:abstractNumId w:val="34"/>
  </w:num>
  <w:num w:numId="23" w16cid:durableId="1064598734">
    <w:abstractNumId w:val="36"/>
  </w:num>
  <w:num w:numId="24" w16cid:durableId="1206868248">
    <w:abstractNumId w:val="31"/>
  </w:num>
  <w:num w:numId="25" w16cid:durableId="1544252561">
    <w:abstractNumId w:val="2"/>
  </w:num>
  <w:num w:numId="26" w16cid:durableId="383678161">
    <w:abstractNumId w:val="12"/>
  </w:num>
  <w:num w:numId="27" w16cid:durableId="1980643964">
    <w:abstractNumId w:val="25"/>
  </w:num>
  <w:num w:numId="28" w16cid:durableId="1183325195">
    <w:abstractNumId w:val="24"/>
  </w:num>
  <w:num w:numId="29" w16cid:durableId="1242373255">
    <w:abstractNumId w:val="39"/>
  </w:num>
  <w:num w:numId="30" w16cid:durableId="515657789">
    <w:abstractNumId w:val="1"/>
  </w:num>
  <w:num w:numId="31" w16cid:durableId="359208313">
    <w:abstractNumId w:val="40"/>
  </w:num>
  <w:num w:numId="32" w16cid:durableId="1629316562">
    <w:abstractNumId w:val="0"/>
  </w:num>
  <w:num w:numId="33" w16cid:durableId="835802410">
    <w:abstractNumId w:val="42"/>
  </w:num>
  <w:num w:numId="34" w16cid:durableId="1236092229">
    <w:abstractNumId w:val="29"/>
  </w:num>
  <w:num w:numId="35" w16cid:durableId="932055491">
    <w:abstractNumId w:val="13"/>
  </w:num>
  <w:num w:numId="36" w16cid:durableId="454492396">
    <w:abstractNumId w:val="30"/>
  </w:num>
  <w:num w:numId="37" w16cid:durableId="115832705">
    <w:abstractNumId w:val="9"/>
  </w:num>
  <w:num w:numId="38" w16cid:durableId="770858904">
    <w:abstractNumId w:val="23"/>
  </w:num>
  <w:num w:numId="39" w16cid:durableId="2102945348">
    <w:abstractNumId w:val="17"/>
  </w:num>
  <w:num w:numId="40" w16cid:durableId="1783450471">
    <w:abstractNumId w:val="33"/>
  </w:num>
  <w:num w:numId="41" w16cid:durableId="1828085945">
    <w:abstractNumId w:val="26"/>
  </w:num>
  <w:num w:numId="42" w16cid:durableId="1059326589">
    <w:abstractNumId w:val="3"/>
  </w:num>
  <w:num w:numId="43" w16cid:durableId="1502357051">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4ED"/>
    <w:rsid w:val="000214FE"/>
    <w:rsid w:val="00021FC2"/>
    <w:rsid w:val="00022258"/>
    <w:rsid w:val="000232A1"/>
    <w:rsid w:val="00023BC6"/>
    <w:rsid w:val="000250C7"/>
    <w:rsid w:val="00026F16"/>
    <w:rsid w:val="00033C8E"/>
    <w:rsid w:val="000341D3"/>
    <w:rsid w:val="000357C3"/>
    <w:rsid w:val="00037621"/>
    <w:rsid w:val="00044D46"/>
    <w:rsid w:val="00045088"/>
    <w:rsid w:val="00045904"/>
    <w:rsid w:val="00046211"/>
    <w:rsid w:val="000502FD"/>
    <w:rsid w:val="00051719"/>
    <w:rsid w:val="00052B3C"/>
    <w:rsid w:val="00062F53"/>
    <w:rsid w:val="00065166"/>
    <w:rsid w:val="00067A22"/>
    <w:rsid w:val="00070D77"/>
    <w:rsid w:val="00072058"/>
    <w:rsid w:val="0007291B"/>
    <w:rsid w:val="000742B2"/>
    <w:rsid w:val="0007650A"/>
    <w:rsid w:val="000813A1"/>
    <w:rsid w:val="00081FCE"/>
    <w:rsid w:val="00082609"/>
    <w:rsid w:val="00083D18"/>
    <w:rsid w:val="000851CC"/>
    <w:rsid w:val="000878FB"/>
    <w:rsid w:val="00087F21"/>
    <w:rsid w:val="00093BE8"/>
    <w:rsid w:val="000A1E11"/>
    <w:rsid w:val="000A3893"/>
    <w:rsid w:val="000A407B"/>
    <w:rsid w:val="000A68ED"/>
    <w:rsid w:val="000B4074"/>
    <w:rsid w:val="000B5FF1"/>
    <w:rsid w:val="000B609F"/>
    <w:rsid w:val="000B6149"/>
    <w:rsid w:val="000D2BEC"/>
    <w:rsid w:val="000D55A8"/>
    <w:rsid w:val="000D5A7E"/>
    <w:rsid w:val="000E0D36"/>
    <w:rsid w:val="000E1246"/>
    <w:rsid w:val="000E1273"/>
    <w:rsid w:val="000E4841"/>
    <w:rsid w:val="000F0B79"/>
    <w:rsid w:val="000F0CF2"/>
    <w:rsid w:val="000F1677"/>
    <w:rsid w:val="000F3D6C"/>
    <w:rsid w:val="00101707"/>
    <w:rsid w:val="00102CC9"/>
    <w:rsid w:val="0010593A"/>
    <w:rsid w:val="0011398F"/>
    <w:rsid w:val="0011473D"/>
    <w:rsid w:val="001154F1"/>
    <w:rsid w:val="00115B1B"/>
    <w:rsid w:val="00115C85"/>
    <w:rsid w:val="00120005"/>
    <w:rsid w:val="00123855"/>
    <w:rsid w:val="00124A1B"/>
    <w:rsid w:val="00126A4D"/>
    <w:rsid w:val="00126C9D"/>
    <w:rsid w:val="00130E05"/>
    <w:rsid w:val="0013379E"/>
    <w:rsid w:val="00134CDB"/>
    <w:rsid w:val="0014171F"/>
    <w:rsid w:val="00145BB3"/>
    <w:rsid w:val="0014622C"/>
    <w:rsid w:val="00151F58"/>
    <w:rsid w:val="00152348"/>
    <w:rsid w:val="00152FD4"/>
    <w:rsid w:val="0015456D"/>
    <w:rsid w:val="00155FA2"/>
    <w:rsid w:val="001600E5"/>
    <w:rsid w:val="0016042F"/>
    <w:rsid w:val="00161F1B"/>
    <w:rsid w:val="00162829"/>
    <w:rsid w:val="0016368E"/>
    <w:rsid w:val="00166A82"/>
    <w:rsid w:val="00170EF8"/>
    <w:rsid w:val="00180548"/>
    <w:rsid w:val="00180AC4"/>
    <w:rsid w:val="00180CCE"/>
    <w:rsid w:val="00181A91"/>
    <w:rsid w:val="0018267A"/>
    <w:rsid w:val="00182779"/>
    <w:rsid w:val="00182A9B"/>
    <w:rsid w:val="001830DF"/>
    <w:rsid w:val="001957E8"/>
    <w:rsid w:val="00195E02"/>
    <w:rsid w:val="001966D9"/>
    <w:rsid w:val="001A007A"/>
    <w:rsid w:val="001A4484"/>
    <w:rsid w:val="001A79A9"/>
    <w:rsid w:val="001A7E9A"/>
    <w:rsid w:val="001B0F70"/>
    <w:rsid w:val="001B3FFC"/>
    <w:rsid w:val="001B5016"/>
    <w:rsid w:val="001B5615"/>
    <w:rsid w:val="001B73FB"/>
    <w:rsid w:val="001C45FC"/>
    <w:rsid w:val="001D0469"/>
    <w:rsid w:val="001D14EA"/>
    <w:rsid w:val="001D205C"/>
    <w:rsid w:val="001D29C0"/>
    <w:rsid w:val="001D3BF4"/>
    <w:rsid w:val="001D4862"/>
    <w:rsid w:val="001D57E2"/>
    <w:rsid w:val="001D63AE"/>
    <w:rsid w:val="001E25B9"/>
    <w:rsid w:val="001E49E0"/>
    <w:rsid w:val="001E7B5A"/>
    <w:rsid w:val="001F7412"/>
    <w:rsid w:val="001F7B52"/>
    <w:rsid w:val="0020090A"/>
    <w:rsid w:val="00200FF6"/>
    <w:rsid w:val="00202DFE"/>
    <w:rsid w:val="0020725B"/>
    <w:rsid w:val="002110F1"/>
    <w:rsid w:val="0021446A"/>
    <w:rsid w:val="00214AA9"/>
    <w:rsid w:val="00215DB5"/>
    <w:rsid w:val="002208D9"/>
    <w:rsid w:val="00223CAE"/>
    <w:rsid w:val="00226CA6"/>
    <w:rsid w:val="002311E3"/>
    <w:rsid w:val="002356EA"/>
    <w:rsid w:val="00235D7D"/>
    <w:rsid w:val="00240B0E"/>
    <w:rsid w:val="0024116D"/>
    <w:rsid w:val="00241B44"/>
    <w:rsid w:val="00241FA3"/>
    <w:rsid w:val="00245EFB"/>
    <w:rsid w:val="0024716F"/>
    <w:rsid w:val="00252DCF"/>
    <w:rsid w:val="0025386E"/>
    <w:rsid w:val="00255890"/>
    <w:rsid w:val="00256EEE"/>
    <w:rsid w:val="00262940"/>
    <w:rsid w:val="002638B0"/>
    <w:rsid w:val="0026590D"/>
    <w:rsid w:val="0026647A"/>
    <w:rsid w:val="002668D3"/>
    <w:rsid w:val="0027299F"/>
    <w:rsid w:val="0028212A"/>
    <w:rsid w:val="00284EBE"/>
    <w:rsid w:val="002903A7"/>
    <w:rsid w:val="00294317"/>
    <w:rsid w:val="0029433F"/>
    <w:rsid w:val="00294829"/>
    <w:rsid w:val="0029690F"/>
    <w:rsid w:val="00296EBE"/>
    <w:rsid w:val="00297C8A"/>
    <w:rsid w:val="002A23C2"/>
    <w:rsid w:val="002A2A60"/>
    <w:rsid w:val="002A37BB"/>
    <w:rsid w:val="002A440C"/>
    <w:rsid w:val="002A77E8"/>
    <w:rsid w:val="002B1C45"/>
    <w:rsid w:val="002B1DD3"/>
    <w:rsid w:val="002B2F9F"/>
    <w:rsid w:val="002C13C8"/>
    <w:rsid w:val="002C16CB"/>
    <w:rsid w:val="002C3547"/>
    <w:rsid w:val="002C72F3"/>
    <w:rsid w:val="002D0021"/>
    <w:rsid w:val="002D0C55"/>
    <w:rsid w:val="002D299D"/>
    <w:rsid w:val="002D3473"/>
    <w:rsid w:val="002D673A"/>
    <w:rsid w:val="002E38E2"/>
    <w:rsid w:val="002E4AF8"/>
    <w:rsid w:val="002F1956"/>
    <w:rsid w:val="002F3440"/>
    <w:rsid w:val="002F75A3"/>
    <w:rsid w:val="002F7D0F"/>
    <w:rsid w:val="00303C2F"/>
    <w:rsid w:val="00310C44"/>
    <w:rsid w:val="00311E9A"/>
    <w:rsid w:val="003144EF"/>
    <w:rsid w:val="00317361"/>
    <w:rsid w:val="00323BF3"/>
    <w:rsid w:val="0032402A"/>
    <w:rsid w:val="00326292"/>
    <w:rsid w:val="00326415"/>
    <w:rsid w:val="00330937"/>
    <w:rsid w:val="00330F31"/>
    <w:rsid w:val="00334648"/>
    <w:rsid w:val="0033768C"/>
    <w:rsid w:val="00337938"/>
    <w:rsid w:val="00340769"/>
    <w:rsid w:val="00341AA6"/>
    <w:rsid w:val="00342A74"/>
    <w:rsid w:val="00345255"/>
    <w:rsid w:val="003541EB"/>
    <w:rsid w:val="0036082E"/>
    <w:rsid w:val="003608F9"/>
    <w:rsid w:val="00361A0A"/>
    <w:rsid w:val="00361BAA"/>
    <w:rsid w:val="00364836"/>
    <w:rsid w:val="0036565C"/>
    <w:rsid w:val="00365E6B"/>
    <w:rsid w:val="0036625E"/>
    <w:rsid w:val="003662E3"/>
    <w:rsid w:val="0037465A"/>
    <w:rsid w:val="00376303"/>
    <w:rsid w:val="00380BAB"/>
    <w:rsid w:val="00381CA6"/>
    <w:rsid w:val="00382C98"/>
    <w:rsid w:val="00384F62"/>
    <w:rsid w:val="0038533C"/>
    <w:rsid w:val="00386568"/>
    <w:rsid w:val="00387050"/>
    <w:rsid w:val="00390B57"/>
    <w:rsid w:val="00391426"/>
    <w:rsid w:val="00391F57"/>
    <w:rsid w:val="0039325D"/>
    <w:rsid w:val="00393848"/>
    <w:rsid w:val="003948D5"/>
    <w:rsid w:val="00396821"/>
    <w:rsid w:val="00397D3A"/>
    <w:rsid w:val="003A051E"/>
    <w:rsid w:val="003A5C3A"/>
    <w:rsid w:val="003B09C1"/>
    <w:rsid w:val="003B170F"/>
    <w:rsid w:val="003B1D74"/>
    <w:rsid w:val="003B3C5F"/>
    <w:rsid w:val="003B4BAE"/>
    <w:rsid w:val="003B6014"/>
    <w:rsid w:val="003C4471"/>
    <w:rsid w:val="003D0A6D"/>
    <w:rsid w:val="003D1EF3"/>
    <w:rsid w:val="003D70A7"/>
    <w:rsid w:val="003E0B16"/>
    <w:rsid w:val="003E22E2"/>
    <w:rsid w:val="003E4669"/>
    <w:rsid w:val="003E60FC"/>
    <w:rsid w:val="003E67D1"/>
    <w:rsid w:val="003F531E"/>
    <w:rsid w:val="003F6783"/>
    <w:rsid w:val="003F7A69"/>
    <w:rsid w:val="00404329"/>
    <w:rsid w:val="00405DC1"/>
    <w:rsid w:val="00406AE7"/>
    <w:rsid w:val="004110F8"/>
    <w:rsid w:val="00415F1F"/>
    <w:rsid w:val="00416B96"/>
    <w:rsid w:val="0042108F"/>
    <w:rsid w:val="00430C5C"/>
    <w:rsid w:val="00430FED"/>
    <w:rsid w:val="00434A8C"/>
    <w:rsid w:val="00437297"/>
    <w:rsid w:val="004378DC"/>
    <w:rsid w:val="00444284"/>
    <w:rsid w:val="00445CE6"/>
    <w:rsid w:val="004534C2"/>
    <w:rsid w:val="0045446F"/>
    <w:rsid w:val="004551D5"/>
    <w:rsid w:val="0045683E"/>
    <w:rsid w:val="004604C2"/>
    <w:rsid w:val="00465497"/>
    <w:rsid w:val="0046555A"/>
    <w:rsid w:val="00472FFA"/>
    <w:rsid w:val="00477C72"/>
    <w:rsid w:val="00483BC6"/>
    <w:rsid w:val="0048687C"/>
    <w:rsid w:val="00491675"/>
    <w:rsid w:val="00493855"/>
    <w:rsid w:val="00494E28"/>
    <w:rsid w:val="00495E79"/>
    <w:rsid w:val="004960E6"/>
    <w:rsid w:val="004A2D83"/>
    <w:rsid w:val="004A3412"/>
    <w:rsid w:val="004A5280"/>
    <w:rsid w:val="004A57DD"/>
    <w:rsid w:val="004A7B51"/>
    <w:rsid w:val="004A7D71"/>
    <w:rsid w:val="004A7EF3"/>
    <w:rsid w:val="004B11FD"/>
    <w:rsid w:val="004B23A2"/>
    <w:rsid w:val="004C294D"/>
    <w:rsid w:val="004C6811"/>
    <w:rsid w:val="004D1A5A"/>
    <w:rsid w:val="004D2FFF"/>
    <w:rsid w:val="004D363D"/>
    <w:rsid w:val="004D3721"/>
    <w:rsid w:val="004D64F9"/>
    <w:rsid w:val="004D7749"/>
    <w:rsid w:val="004E30B0"/>
    <w:rsid w:val="004E3A6B"/>
    <w:rsid w:val="004E622C"/>
    <w:rsid w:val="004E6D1C"/>
    <w:rsid w:val="004E7D70"/>
    <w:rsid w:val="004F08D7"/>
    <w:rsid w:val="004F5DE9"/>
    <w:rsid w:val="004F5FDF"/>
    <w:rsid w:val="004F716A"/>
    <w:rsid w:val="005009A2"/>
    <w:rsid w:val="005024A2"/>
    <w:rsid w:val="00510B34"/>
    <w:rsid w:val="00513A41"/>
    <w:rsid w:val="00513AF8"/>
    <w:rsid w:val="005171A2"/>
    <w:rsid w:val="005177FE"/>
    <w:rsid w:val="0052138D"/>
    <w:rsid w:val="0052263B"/>
    <w:rsid w:val="00524728"/>
    <w:rsid w:val="005309CF"/>
    <w:rsid w:val="005312B3"/>
    <w:rsid w:val="00531721"/>
    <w:rsid w:val="005331CA"/>
    <w:rsid w:val="00536A1A"/>
    <w:rsid w:val="00537970"/>
    <w:rsid w:val="00540E3A"/>
    <w:rsid w:val="00544127"/>
    <w:rsid w:val="005463A9"/>
    <w:rsid w:val="00546D65"/>
    <w:rsid w:val="0054723D"/>
    <w:rsid w:val="0055251A"/>
    <w:rsid w:val="00553EB2"/>
    <w:rsid w:val="00560534"/>
    <w:rsid w:val="0056391B"/>
    <w:rsid w:val="005650E2"/>
    <w:rsid w:val="00567AD7"/>
    <w:rsid w:val="00567ED5"/>
    <w:rsid w:val="00570317"/>
    <w:rsid w:val="005725EA"/>
    <w:rsid w:val="005758A7"/>
    <w:rsid w:val="00575B2D"/>
    <w:rsid w:val="005771EA"/>
    <w:rsid w:val="00580797"/>
    <w:rsid w:val="0058230B"/>
    <w:rsid w:val="005833D0"/>
    <w:rsid w:val="005846F3"/>
    <w:rsid w:val="0058622F"/>
    <w:rsid w:val="00592F82"/>
    <w:rsid w:val="005A03A7"/>
    <w:rsid w:val="005A0CCA"/>
    <w:rsid w:val="005A48EB"/>
    <w:rsid w:val="005A6ED5"/>
    <w:rsid w:val="005A6FF2"/>
    <w:rsid w:val="005A726D"/>
    <w:rsid w:val="005B5514"/>
    <w:rsid w:val="005B67AC"/>
    <w:rsid w:val="005B79F4"/>
    <w:rsid w:val="005C49C7"/>
    <w:rsid w:val="005C523F"/>
    <w:rsid w:val="005C529D"/>
    <w:rsid w:val="005C5B99"/>
    <w:rsid w:val="005D1296"/>
    <w:rsid w:val="005D16DD"/>
    <w:rsid w:val="005D3298"/>
    <w:rsid w:val="005D34CF"/>
    <w:rsid w:val="005D43AE"/>
    <w:rsid w:val="005D43E0"/>
    <w:rsid w:val="005D58A3"/>
    <w:rsid w:val="005E15CE"/>
    <w:rsid w:val="005E1B79"/>
    <w:rsid w:val="005E20DD"/>
    <w:rsid w:val="005E32B3"/>
    <w:rsid w:val="005E6076"/>
    <w:rsid w:val="005E7008"/>
    <w:rsid w:val="005E7EC1"/>
    <w:rsid w:val="005F026D"/>
    <w:rsid w:val="005F2AEA"/>
    <w:rsid w:val="005F2D0B"/>
    <w:rsid w:val="005F4B31"/>
    <w:rsid w:val="005F70AA"/>
    <w:rsid w:val="0060370A"/>
    <w:rsid w:val="00610388"/>
    <w:rsid w:val="00610AC7"/>
    <w:rsid w:val="00612CA5"/>
    <w:rsid w:val="006153EC"/>
    <w:rsid w:val="006155A9"/>
    <w:rsid w:val="00615EED"/>
    <w:rsid w:val="00617C8C"/>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478A6"/>
    <w:rsid w:val="00650DD4"/>
    <w:rsid w:val="006532AA"/>
    <w:rsid w:val="00654AF0"/>
    <w:rsid w:val="00654C2F"/>
    <w:rsid w:val="00654C95"/>
    <w:rsid w:val="00657087"/>
    <w:rsid w:val="00661BA6"/>
    <w:rsid w:val="00661D51"/>
    <w:rsid w:val="006639DB"/>
    <w:rsid w:val="00665C0D"/>
    <w:rsid w:val="006661EF"/>
    <w:rsid w:val="00670CB1"/>
    <w:rsid w:val="00677AEB"/>
    <w:rsid w:val="00680EF2"/>
    <w:rsid w:val="00684441"/>
    <w:rsid w:val="0068530C"/>
    <w:rsid w:val="0068685D"/>
    <w:rsid w:val="00687A1D"/>
    <w:rsid w:val="00687E8A"/>
    <w:rsid w:val="00695DE5"/>
    <w:rsid w:val="00697EA1"/>
    <w:rsid w:val="006A1DF6"/>
    <w:rsid w:val="006A2646"/>
    <w:rsid w:val="006A6530"/>
    <w:rsid w:val="006B03C5"/>
    <w:rsid w:val="006B435A"/>
    <w:rsid w:val="006B4C64"/>
    <w:rsid w:val="006C03D4"/>
    <w:rsid w:val="006C39F2"/>
    <w:rsid w:val="006C7E2E"/>
    <w:rsid w:val="006D2BBF"/>
    <w:rsid w:val="006D6BD5"/>
    <w:rsid w:val="006E4183"/>
    <w:rsid w:val="006E481A"/>
    <w:rsid w:val="006E5298"/>
    <w:rsid w:val="006F2457"/>
    <w:rsid w:val="006F4A78"/>
    <w:rsid w:val="006F5C8E"/>
    <w:rsid w:val="006F6260"/>
    <w:rsid w:val="006F734A"/>
    <w:rsid w:val="00700D83"/>
    <w:rsid w:val="00703991"/>
    <w:rsid w:val="00704852"/>
    <w:rsid w:val="007074E9"/>
    <w:rsid w:val="00711A9D"/>
    <w:rsid w:val="00713DA4"/>
    <w:rsid w:val="00714BF1"/>
    <w:rsid w:val="00721383"/>
    <w:rsid w:val="00723343"/>
    <w:rsid w:val="007237A9"/>
    <w:rsid w:val="00726B93"/>
    <w:rsid w:val="007277CF"/>
    <w:rsid w:val="00730E8C"/>
    <w:rsid w:val="0073158B"/>
    <w:rsid w:val="00732611"/>
    <w:rsid w:val="007333CC"/>
    <w:rsid w:val="0073399A"/>
    <w:rsid w:val="00737587"/>
    <w:rsid w:val="00740DAD"/>
    <w:rsid w:val="0075157B"/>
    <w:rsid w:val="007543B4"/>
    <w:rsid w:val="00757419"/>
    <w:rsid w:val="007603F5"/>
    <w:rsid w:val="00763E62"/>
    <w:rsid w:val="00764DB0"/>
    <w:rsid w:val="007664AD"/>
    <w:rsid w:val="0076764D"/>
    <w:rsid w:val="0077498C"/>
    <w:rsid w:val="007809BC"/>
    <w:rsid w:val="00781734"/>
    <w:rsid w:val="007818AF"/>
    <w:rsid w:val="00783A99"/>
    <w:rsid w:val="00784128"/>
    <w:rsid w:val="00784A74"/>
    <w:rsid w:val="00784E9B"/>
    <w:rsid w:val="00787521"/>
    <w:rsid w:val="00787BCC"/>
    <w:rsid w:val="0079110D"/>
    <w:rsid w:val="0079115F"/>
    <w:rsid w:val="00793173"/>
    <w:rsid w:val="00796810"/>
    <w:rsid w:val="007A0F86"/>
    <w:rsid w:val="007A235C"/>
    <w:rsid w:val="007A2A33"/>
    <w:rsid w:val="007A50B0"/>
    <w:rsid w:val="007A66FE"/>
    <w:rsid w:val="007A6F38"/>
    <w:rsid w:val="007B183F"/>
    <w:rsid w:val="007B4FA2"/>
    <w:rsid w:val="007B5C89"/>
    <w:rsid w:val="007C1FCC"/>
    <w:rsid w:val="007C23F2"/>
    <w:rsid w:val="007C6201"/>
    <w:rsid w:val="007C6C11"/>
    <w:rsid w:val="007C6CC7"/>
    <w:rsid w:val="007C7036"/>
    <w:rsid w:val="007D3C92"/>
    <w:rsid w:val="007D72E5"/>
    <w:rsid w:val="007D7C92"/>
    <w:rsid w:val="007E1154"/>
    <w:rsid w:val="007E1A67"/>
    <w:rsid w:val="007E40F0"/>
    <w:rsid w:val="007E6BA4"/>
    <w:rsid w:val="007E7678"/>
    <w:rsid w:val="007F1703"/>
    <w:rsid w:val="007F41F8"/>
    <w:rsid w:val="007F5111"/>
    <w:rsid w:val="007F659B"/>
    <w:rsid w:val="0080454E"/>
    <w:rsid w:val="00804C32"/>
    <w:rsid w:val="00806302"/>
    <w:rsid w:val="00807119"/>
    <w:rsid w:val="0082483F"/>
    <w:rsid w:val="0082694D"/>
    <w:rsid w:val="008277A3"/>
    <w:rsid w:val="008279C0"/>
    <w:rsid w:val="00831582"/>
    <w:rsid w:val="0083508C"/>
    <w:rsid w:val="0084683C"/>
    <w:rsid w:val="00851178"/>
    <w:rsid w:val="00853901"/>
    <w:rsid w:val="008569B9"/>
    <w:rsid w:val="00856BD4"/>
    <w:rsid w:val="00867701"/>
    <w:rsid w:val="008723F3"/>
    <w:rsid w:val="008765F5"/>
    <w:rsid w:val="00876F56"/>
    <w:rsid w:val="00881DE6"/>
    <w:rsid w:val="008837A6"/>
    <w:rsid w:val="0089145D"/>
    <w:rsid w:val="008A33CF"/>
    <w:rsid w:val="008A4DF2"/>
    <w:rsid w:val="008A6CFE"/>
    <w:rsid w:val="008B0F78"/>
    <w:rsid w:val="008B155E"/>
    <w:rsid w:val="008B16E7"/>
    <w:rsid w:val="008B4B8F"/>
    <w:rsid w:val="008B5333"/>
    <w:rsid w:val="008B6223"/>
    <w:rsid w:val="008B779D"/>
    <w:rsid w:val="008C66E0"/>
    <w:rsid w:val="008E3339"/>
    <w:rsid w:val="008E34AF"/>
    <w:rsid w:val="008F20C8"/>
    <w:rsid w:val="008F20FC"/>
    <w:rsid w:val="008F5FFE"/>
    <w:rsid w:val="00905A43"/>
    <w:rsid w:val="00912C79"/>
    <w:rsid w:val="00916C38"/>
    <w:rsid w:val="00921B8C"/>
    <w:rsid w:val="00923267"/>
    <w:rsid w:val="00924869"/>
    <w:rsid w:val="00931602"/>
    <w:rsid w:val="00933923"/>
    <w:rsid w:val="00942123"/>
    <w:rsid w:val="0095207B"/>
    <w:rsid w:val="00954F89"/>
    <w:rsid w:val="00962045"/>
    <w:rsid w:val="00964BF1"/>
    <w:rsid w:val="0096554C"/>
    <w:rsid w:val="00975C2A"/>
    <w:rsid w:val="00980E61"/>
    <w:rsid w:val="00982D07"/>
    <w:rsid w:val="00987CB1"/>
    <w:rsid w:val="00991428"/>
    <w:rsid w:val="00992676"/>
    <w:rsid w:val="00994947"/>
    <w:rsid w:val="009954B2"/>
    <w:rsid w:val="00995576"/>
    <w:rsid w:val="00995B6C"/>
    <w:rsid w:val="00996691"/>
    <w:rsid w:val="009A3AB7"/>
    <w:rsid w:val="009A6A71"/>
    <w:rsid w:val="009B0723"/>
    <w:rsid w:val="009B07AD"/>
    <w:rsid w:val="009B0883"/>
    <w:rsid w:val="009B15E2"/>
    <w:rsid w:val="009B4976"/>
    <w:rsid w:val="009B4D18"/>
    <w:rsid w:val="009C0B8E"/>
    <w:rsid w:val="009C1BC8"/>
    <w:rsid w:val="009C2442"/>
    <w:rsid w:val="009C5286"/>
    <w:rsid w:val="009C616E"/>
    <w:rsid w:val="009C6FE1"/>
    <w:rsid w:val="009D0811"/>
    <w:rsid w:val="009D0EE1"/>
    <w:rsid w:val="009D23C6"/>
    <w:rsid w:val="009D62BD"/>
    <w:rsid w:val="009E2A56"/>
    <w:rsid w:val="009E2AEB"/>
    <w:rsid w:val="009E2E27"/>
    <w:rsid w:val="009E3DF6"/>
    <w:rsid w:val="009E45DF"/>
    <w:rsid w:val="009E4DE3"/>
    <w:rsid w:val="009E717E"/>
    <w:rsid w:val="009F1595"/>
    <w:rsid w:val="009F206F"/>
    <w:rsid w:val="009F275E"/>
    <w:rsid w:val="009F4E9C"/>
    <w:rsid w:val="009F6794"/>
    <w:rsid w:val="00A00172"/>
    <w:rsid w:val="00A01DDA"/>
    <w:rsid w:val="00A047EE"/>
    <w:rsid w:val="00A131C6"/>
    <w:rsid w:val="00A2274A"/>
    <w:rsid w:val="00A235B7"/>
    <w:rsid w:val="00A27A7A"/>
    <w:rsid w:val="00A34ABE"/>
    <w:rsid w:val="00A407EF"/>
    <w:rsid w:val="00A46B4C"/>
    <w:rsid w:val="00A473F0"/>
    <w:rsid w:val="00A5117B"/>
    <w:rsid w:val="00A5477E"/>
    <w:rsid w:val="00A55207"/>
    <w:rsid w:val="00A553E4"/>
    <w:rsid w:val="00A568A0"/>
    <w:rsid w:val="00A56D34"/>
    <w:rsid w:val="00A57528"/>
    <w:rsid w:val="00A60074"/>
    <w:rsid w:val="00A61B02"/>
    <w:rsid w:val="00A64900"/>
    <w:rsid w:val="00A6627C"/>
    <w:rsid w:val="00A71019"/>
    <w:rsid w:val="00A75A3A"/>
    <w:rsid w:val="00A81029"/>
    <w:rsid w:val="00A823BF"/>
    <w:rsid w:val="00A83805"/>
    <w:rsid w:val="00A83871"/>
    <w:rsid w:val="00A845F5"/>
    <w:rsid w:val="00A85550"/>
    <w:rsid w:val="00A915E4"/>
    <w:rsid w:val="00A92054"/>
    <w:rsid w:val="00A94591"/>
    <w:rsid w:val="00A94F39"/>
    <w:rsid w:val="00A96489"/>
    <w:rsid w:val="00AA0480"/>
    <w:rsid w:val="00AA4D35"/>
    <w:rsid w:val="00AA54D4"/>
    <w:rsid w:val="00AB124F"/>
    <w:rsid w:val="00AB2425"/>
    <w:rsid w:val="00AB4451"/>
    <w:rsid w:val="00AB6201"/>
    <w:rsid w:val="00AB685C"/>
    <w:rsid w:val="00AB6C2D"/>
    <w:rsid w:val="00AC08F7"/>
    <w:rsid w:val="00AC3839"/>
    <w:rsid w:val="00AC7082"/>
    <w:rsid w:val="00AD4BE8"/>
    <w:rsid w:val="00AD7125"/>
    <w:rsid w:val="00AE2020"/>
    <w:rsid w:val="00AE43E0"/>
    <w:rsid w:val="00AF228E"/>
    <w:rsid w:val="00AF44E3"/>
    <w:rsid w:val="00AF5D9C"/>
    <w:rsid w:val="00B016A8"/>
    <w:rsid w:val="00B07F8D"/>
    <w:rsid w:val="00B14819"/>
    <w:rsid w:val="00B15E2F"/>
    <w:rsid w:val="00B17582"/>
    <w:rsid w:val="00B17AA9"/>
    <w:rsid w:val="00B25D91"/>
    <w:rsid w:val="00B32DE4"/>
    <w:rsid w:val="00B35562"/>
    <w:rsid w:val="00B37CD1"/>
    <w:rsid w:val="00B40EA4"/>
    <w:rsid w:val="00B433C8"/>
    <w:rsid w:val="00B44713"/>
    <w:rsid w:val="00B44D9A"/>
    <w:rsid w:val="00B50EA0"/>
    <w:rsid w:val="00B51B95"/>
    <w:rsid w:val="00B54989"/>
    <w:rsid w:val="00B54D7D"/>
    <w:rsid w:val="00B56103"/>
    <w:rsid w:val="00B575E8"/>
    <w:rsid w:val="00B64929"/>
    <w:rsid w:val="00B736DF"/>
    <w:rsid w:val="00B743D6"/>
    <w:rsid w:val="00B74FBD"/>
    <w:rsid w:val="00B77F46"/>
    <w:rsid w:val="00B81AE8"/>
    <w:rsid w:val="00B82586"/>
    <w:rsid w:val="00B829A3"/>
    <w:rsid w:val="00B86DB1"/>
    <w:rsid w:val="00B87869"/>
    <w:rsid w:val="00B9639B"/>
    <w:rsid w:val="00B96CB1"/>
    <w:rsid w:val="00BA1D2F"/>
    <w:rsid w:val="00BA5DFB"/>
    <w:rsid w:val="00BB08EB"/>
    <w:rsid w:val="00BB0F2B"/>
    <w:rsid w:val="00BB457B"/>
    <w:rsid w:val="00BC2272"/>
    <w:rsid w:val="00BC5BDE"/>
    <w:rsid w:val="00BD1187"/>
    <w:rsid w:val="00BD3942"/>
    <w:rsid w:val="00BE07BB"/>
    <w:rsid w:val="00BE4FF3"/>
    <w:rsid w:val="00BE5B8E"/>
    <w:rsid w:val="00BE65AA"/>
    <w:rsid w:val="00BF42A8"/>
    <w:rsid w:val="00BF50F7"/>
    <w:rsid w:val="00C02F29"/>
    <w:rsid w:val="00C041E8"/>
    <w:rsid w:val="00C0731E"/>
    <w:rsid w:val="00C17718"/>
    <w:rsid w:val="00C20AFE"/>
    <w:rsid w:val="00C21EB5"/>
    <w:rsid w:val="00C22A25"/>
    <w:rsid w:val="00C2645B"/>
    <w:rsid w:val="00C3103E"/>
    <w:rsid w:val="00C35671"/>
    <w:rsid w:val="00C35B77"/>
    <w:rsid w:val="00C376EB"/>
    <w:rsid w:val="00C46820"/>
    <w:rsid w:val="00C46A92"/>
    <w:rsid w:val="00C46EC1"/>
    <w:rsid w:val="00C52796"/>
    <w:rsid w:val="00C527B6"/>
    <w:rsid w:val="00C5332A"/>
    <w:rsid w:val="00C53E2C"/>
    <w:rsid w:val="00C550C8"/>
    <w:rsid w:val="00C55824"/>
    <w:rsid w:val="00C56B61"/>
    <w:rsid w:val="00C606C3"/>
    <w:rsid w:val="00C620F4"/>
    <w:rsid w:val="00C66D43"/>
    <w:rsid w:val="00C72848"/>
    <w:rsid w:val="00C7736C"/>
    <w:rsid w:val="00C82D87"/>
    <w:rsid w:val="00C83D8F"/>
    <w:rsid w:val="00C85824"/>
    <w:rsid w:val="00C8712A"/>
    <w:rsid w:val="00C87A93"/>
    <w:rsid w:val="00C87FF9"/>
    <w:rsid w:val="00C902C8"/>
    <w:rsid w:val="00C919D1"/>
    <w:rsid w:val="00C960CA"/>
    <w:rsid w:val="00C963D3"/>
    <w:rsid w:val="00CA04D7"/>
    <w:rsid w:val="00CA5FA8"/>
    <w:rsid w:val="00CB1983"/>
    <w:rsid w:val="00CB2480"/>
    <w:rsid w:val="00CB2CBB"/>
    <w:rsid w:val="00CB5FD0"/>
    <w:rsid w:val="00CB7CAC"/>
    <w:rsid w:val="00CC158E"/>
    <w:rsid w:val="00CC5335"/>
    <w:rsid w:val="00CC5BA4"/>
    <w:rsid w:val="00CC7DB7"/>
    <w:rsid w:val="00CD4998"/>
    <w:rsid w:val="00CE1035"/>
    <w:rsid w:val="00CE6E50"/>
    <w:rsid w:val="00CE7E77"/>
    <w:rsid w:val="00CF14BE"/>
    <w:rsid w:val="00CF2819"/>
    <w:rsid w:val="00CF3A5A"/>
    <w:rsid w:val="00CF4F9D"/>
    <w:rsid w:val="00CF6E14"/>
    <w:rsid w:val="00CF70DC"/>
    <w:rsid w:val="00D0080B"/>
    <w:rsid w:val="00D02990"/>
    <w:rsid w:val="00D10819"/>
    <w:rsid w:val="00D148DC"/>
    <w:rsid w:val="00D17FDC"/>
    <w:rsid w:val="00D21D8C"/>
    <w:rsid w:val="00D21F25"/>
    <w:rsid w:val="00D307FA"/>
    <w:rsid w:val="00D33A12"/>
    <w:rsid w:val="00D373A2"/>
    <w:rsid w:val="00D43EB7"/>
    <w:rsid w:val="00D441C4"/>
    <w:rsid w:val="00D53719"/>
    <w:rsid w:val="00D60CD1"/>
    <w:rsid w:val="00D61940"/>
    <w:rsid w:val="00D62631"/>
    <w:rsid w:val="00D63EFD"/>
    <w:rsid w:val="00D65741"/>
    <w:rsid w:val="00D77884"/>
    <w:rsid w:val="00D80DC2"/>
    <w:rsid w:val="00D81E83"/>
    <w:rsid w:val="00D823C1"/>
    <w:rsid w:val="00D84752"/>
    <w:rsid w:val="00D86B3B"/>
    <w:rsid w:val="00D8748A"/>
    <w:rsid w:val="00D875A7"/>
    <w:rsid w:val="00D93196"/>
    <w:rsid w:val="00D948D3"/>
    <w:rsid w:val="00D97902"/>
    <w:rsid w:val="00DA0DC0"/>
    <w:rsid w:val="00DA124D"/>
    <w:rsid w:val="00DA7614"/>
    <w:rsid w:val="00DB243C"/>
    <w:rsid w:val="00DB2496"/>
    <w:rsid w:val="00DB482A"/>
    <w:rsid w:val="00DB50FB"/>
    <w:rsid w:val="00DB56F2"/>
    <w:rsid w:val="00DB69DC"/>
    <w:rsid w:val="00DB6EEB"/>
    <w:rsid w:val="00DB6EF5"/>
    <w:rsid w:val="00DC3089"/>
    <w:rsid w:val="00DC4420"/>
    <w:rsid w:val="00DC7761"/>
    <w:rsid w:val="00DD0802"/>
    <w:rsid w:val="00DD2E11"/>
    <w:rsid w:val="00DD7F33"/>
    <w:rsid w:val="00DE03AF"/>
    <w:rsid w:val="00DE0963"/>
    <w:rsid w:val="00DE121C"/>
    <w:rsid w:val="00DE28CA"/>
    <w:rsid w:val="00DE2AD9"/>
    <w:rsid w:val="00DE2CD9"/>
    <w:rsid w:val="00DE6633"/>
    <w:rsid w:val="00DE6ADB"/>
    <w:rsid w:val="00DF40A1"/>
    <w:rsid w:val="00DF5AD1"/>
    <w:rsid w:val="00DF75F8"/>
    <w:rsid w:val="00DF7A3A"/>
    <w:rsid w:val="00E007A6"/>
    <w:rsid w:val="00E00C00"/>
    <w:rsid w:val="00E07C5A"/>
    <w:rsid w:val="00E12050"/>
    <w:rsid w:val="00E15BA9"/>
    <w:rsid w:val="00E23A7A"/>
    <w:rsid w:val="00E26E19"/>
    <w:rsid w:val="00E3041B"/>
    <w:rsid w:val="00E30CC7"/>
    <w:rsid w:val="00E31DF3"/>
    <w:rsid w:val="00E40797"/>
    <w:rsid w:val="00E43B09"/>
    <w:rsid w:val="00E450A4"/>
    <w:rsid w:val="00E45264"/>
    <w:rsid w:val="00E45B05"/>
    <w:rsid w:val="00E47628"/>
    <w:rsid w:val="00E505C6"/>
    <w:rsid w:val="00E506BE"/>
    <w:rsid w:val="00E50994"/>
    <w:rsid w:val="00E51853"/>
    <w:rsid w:val="00E522E3"/>
    <w:rsid w:val="00E534E3"/>
    <w:rsid w:val="00E55547"/>
    <w:rsid w:val="00E6302B"/>
    <w:rsid w:val="00E6452F"/>
    <w:rsid w:val="00E64F45"/>
    <w:rsid w:val="00E6742D"/>
    <w:rsid w:val="00E7005A"/>
    <w:rsid w:val="00E700E4"/>
    <w:rsid w:val="00E71A2C"/>
    <w:rsid w:val="00E71CB0"/>
    <w:rsid w:val="00E73133"/>
    <w:rsid w:val="00E73C3B"/>
    <w:rsid w:val="00E77C3D"/>
    <w:rsid w:val="00E8231A"/>
    <w:rsid w:val="00E866E5"/>
    <w:rsid w:val="00E90991"/>
    <w:rsid w:val="00E909F0"/>
    <w:rsid w:val="00E90D47"/>
    <w:rsid w:val="00E91E1D"/>
    <w:rsid w:val="00E93993"/>
    <w:rsid w:val="00E94F66"/>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9C5"/>
    <w:rsid w:val="00ED0BC4"/>
    <w:rsid w:val="00ED0F72"/>
    <w:rsid w:val="00ED21C1"/>
    <w:rsid w:val="00ED29B3"/>
    <w:rsid w:val="00ED447D"/>
    <w:rsid w:val="00EE030D"/>
    <w:rsid w:val="00EE4971"/>
    <w:rsid w:val="00EE6CB0"/>
    <w:rsid w:val="00EF090E"/>
    <w:rsid w:val="00EF4D30"/>
    <w:rsid w:val="00EF4EE8"/>
    <w:rsid w:val="00EF5572"/>
    <w:rsid w:val="00F030A5"/>
    <w:rsid w:val="00F033DA"/>
    <w:rsid w:val="00F0392F"/>
    <w:rsid w:val="00F04A6D"/>
    <w:rsid w:val="00F04DF7"/>
    <w:rsid w:val="00F130CF"/>
    <w:rsid w:val="00F13691"/>
    <w:rsid w:val="00F13FB1"/>
    <w:rsid w:val="00F14425"/>
    <w:rsid w:val="00F147D3"/>
    <w:rsid w:val="00F14FAF"/>
    <w:rsid w:val="00F15316"/>
    <w:rsid w:val="00F218C9"/>
    <w:rsid w:val="00F22C53"/>
    <w:rsid w:val="00F27CD8"/>
    <w:rsid w:val="00F300EF"/>
    <w:rsid w:val="00F30351"/>
    <w:rsid w:val="00F3323E"/>
    <w:rsid w:val="00F341F4"/>
    <w:rsid w:val="00F3462A"/>
    <w:rsid w:val="00F34BA0"/>
    <w:rsid w:val="00F34F9D"/>
    <w:rsid w:val="00F35CCE"/>
    <w:rsid w:val="00F459DF"/>
    <w:rsid w:val="00F50041"/>
    <w:rsid w:val="00F5277A"/>
    <w:rsid w:val="00F5524B"/>
    <w:rsid w:val="00F5682A"/>
    <w:rsid w:val="00F60538"/>
    <w:rsid w:val="00F61DD2"/>
    <w:rsid w:val="00F66AFF"/>
    <w:rsid w:val="00F674C7"/>
    <w:rsid w:val="00F71433"/>
    <w:rsid w:val="00F7197D"/>
    <w:rsid w:val="00F74EAE"/>
    <w:rsid w:val="00F83F59"/>
    <w:rsid w:val="00F85B5D"/>
    <w:rsid w:val="00F860C9"/>
    <w:rsid w:val="00F86C54"/>
    <w:rsid w:val="00F927F0"/>
    <w:rsid w:val="00F97C5B"/>
    <w:rsid w:val="00FA2182"/>
    <w:rsid w:val="00FA3D50"/>
    <w:rsid w:val="00FA4DD1"/>
    <w:rsid w:val="00FA4EFF"/>
    <w:rsid w:val="00FA721C"/>
    <w:rsid w:val="00FB38D2"/>
    <w:rsid w:val="00FB7FBD"/>
    <w:rsid w:val="00FC32B6"/>
    <w:rsid w:val="00FC374A"/>
    <w:rsid w:val="00FC74C8"/>
    <w:rsid w:val="00FC7B47"/>
    <w:rsid w:val="00FD035C"/>
    <w:rsid w:val="00FD1A35"/>
    <w:rsid w:val="00FD1BDF"/>
    <w:rsid w:val="00FD2EA4"/>
    <w:rsid w:val="00FD36C5"/>
    <w:rsid w:val="00FD6310"/>
    <w:rsid w:val="00FD7C7B"/>
    <w:rsid w:val="00FE1D12"/>
    <w:rsid w:val="00FE2122"/>
    <w:rsid w:val="00FE26F6"/>
    <w:rsid w:val="00FE2A86"/>
    <w:rsid w:val="00FE2DE2"/>
    <w:rsid w:val="00FE4A37"/>
    <w:rsid w:val="00FF045E"/>
    <w:rsid w:val="00FF296F"/>
    <w:rsid w:val="00FF3D8B"/>
    <w:rsid w:val="00FF5E23"/>
    <w:rsid w:val="00FF635F"/>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11"/>
    <w:rPr>
      <w:rFonts w:ascii="Times New Roman" w:eastAsia="Times New Roman" w:hAnsi="Times New Roman" w:cs="Times New Roman"/>
      <w:lang w:val="en-MY" w:eastAsia="en-GB"/>
    </w:rPr>
  </w:style>
  <w:style w:type="paragraph" w:styleId="Heading2">
    <w:name w:val="heading 2"/>
    <w:basedOn w:val="Normal"/>
    <w:link w:val="Heading2Char"/>
    <w:uiPriority w:val="9"/>
    <w:qFormat/>
    <w:rsid w:val="00DA761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A76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style>
  <w:style w:type="character" w:customStyle="1" w:styleId="BodyTextChar">
    <w:name w:val="Body Text Char"/>
    <w:basedOn w:val="DefaultParagraphFont"/>
    <w:link w:val="BodyText"/>
    <w:rsid w:val="00384F62"/>
    <w:rPr>
      <w:rFonts w:eastAsia="Times New Roman"/>
      <w:sz w:val="20"/>
      <w:lang w:eastAsia="en-GB"/>
    </w:rPr>
  </w:style>
  <w:style w:type="character" w:customStyle="1" w:styleId="Heading2Char">
    <w:name w:val="Heading 2 Char"/>
    <w:basedOn w:val="DefaultParagraphFont"/>
    <w:link w:val="Heading2"/>
    <w:uiPriority w:val="9"/>
    <w:rsid w:val="00DA7614"/>
    <w:rPr>
      <w:rFonts w:ascii="Times New Roman" w:eastAsia="Times New Roman" w:hAnsi="Times New Roman" w:cs="Times New Roman"/>
      <w:b/>
      <w:bCs/>
      <w:sz w:val="36"/>
      <w:szCs w:val="36"/>
      <w:lang w:val="en-MY" w:eastAsia="en-GB"/>
    </w:rPr>
  </w:style>
  <w:style w:type="character" w:customStyle="1" w:styleId="Heading3Char">
    <w:name w:val="Heading 3 Char"/>
    <w:basedOn w:val="DefaultParagraphFont"/>
    <w:link w:val="Heading3"/>
    <w:uiPriority w:val="9"/>
    <w:rsid w:val="00DA7614"/>
    <w:rPr>
      <w:rFonts w:ascii="Times New Roman" w:eastAsia="Times New Roman" w:hAnsi="Times New Roman" w:cs="Times New Roman"/>
      <w:b/>
      <w:bCs/>
      <w:sz w:val="27"/>
      <w:szCs w:val="27"/>
      <w:lang w:val="en-MY" w:eastAsia="en-GB"/>
    </w:rPr>
  </w:style>
  <w:style w:type="character" w:customStyle="1" w:styleId="prov2txtil">
    <w:name w:val="prov2txtil"/>
    <w:basedOn w:val="DefaultParagraphFont"/>
    <w:rsid w:val="00DA7614"/>
  </w:style>
  <w:style w:type="character" w:styleId="Emphasis">
    <w:name w:val="Emphasis"/>
    <w:basedOn w:val="DefaultParagraphFont"/>
    <w:uiPriority w:val="20"/>
    <w:qFormat/>
    <w:rsid w:val="00DA7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260">
      <w:bodyDiv w:val="1"/>
      <w:marLeft w:val="0"/>
      <w:marRight w:val="0"/>
      <w:marTop w:val="0"/>
      <w:marBottom w:val="0"/>
      <w:divBdr>
        <w:top w:val="none" w:sz="0" w:space="0" w:color="auto"/>
        <w:left w:val="none" w:sz="0" w:space="0" w:color="auto"/>
        <w:bottom w:val="none" w:sz="0" w:space="0" w:color="auto"/>
        <w:right w:val="none" w:sz="0" w:space="0" w:color="auto"/>
      </w:divBdr>
    </w:div>
    <w:div w:id="177278967">
      <w:bodyDiv w:val="1"/>
      <w:marLeft w:val="0"/>
      <w:marRight w:val="0"/>
      <w:marTop w:val="0"/>
      <w:marBottom w:val="0"/>
      <w:divBdr>
        <w:top w:val="none" w:sz="0" w:space="0" w:color="auto"/>
        <w:left w:val="none" w:sz="0" w:space="0" w:color="auto"/>
        <w:bottom w:val="none" w:sz="0" w:space="0" w:color="auto"/>
        <w:right w:val="none" w:sz="0" w:space="0" w:color="auto"/>
      </w:divBdr>
    </w:div>
    <w:div w:id="201671681">
      <w:bodyDiv w:val="1"/>
      <w:marLeft w:val="0"/>
      <w:marRight w:val="0"/>
      <w:marTop w:val="0"/>
      <w:marBottom w:val="0"/>
      <w:divBdr>
        <w:top w:val="none" w:sz="0" w:space="0" w:color="auto"/>
        <w:left w:val="none" w:sz="0" w:space="0" w:color="auto"/>
        <w:bottom w:val="none" w:sz="0" w:space="0" w:color="auto"/>
        <w:right w:val="none" w:sz="0" w:space="0" w:color="auto"/>
      </w:divBdr>
    </w:div>
    <w:div w:id="232279671">
      <w:bodyDiv w:val="1"/>
      <w:marLeft w:val="0"/>
      <w:marRight w:val="0"/>
      <w:marTop w:val="0"/>
      <w:marBottom w:val="0"/>
      <w:divBdr>
        <w:top w:val="none" w:sz="0" w:space="0" w:color="auto"/>
        <w:left w:val="none" w:sz="0" w:space="0" w:color="auto"/>
        <w:bottom w:val="none" w:sz="0" w:space="0" w:color="auto"/>
        <w:right w:val="none" w:sz="0" w:space="0" w:color="auto"/>
      </w:divBdr>
      <w:divsChild>
        <w:div w:id="1660621465">
          <w:marLeft w:val="0"/>
          <w:marRight w:val="0"/>
          <w:marTop w:val="0"/>
          <w:marBottom w:val="0"/>
          <w:divBdr>
            <w:top w:val="none" w:sz="0" w:space="0" w:color="auto"/>
            <w:left w:val="none" w:sz="0" w:space="0" w:color="auto"/>
            <w:bottom w:val="none" w:sz="0" w:space="0" w:color="auto"/>
            <w:right w:val="none" w:sz="0" w:space="0" w:color="auto"/>
          </w:divBdr>
          <w:divsChild>
            <w:div w:id="200628186">
              <w:marLeft w:val="0"/>
              <w:marRight w:val="0"/>
              <w:marTop w:val="0"/>
              <w:marBottom w:val="0"/>
              <w:divBdr>
                <w:top w:val="none" w:sz="0" w:space="0" w:color="auto"/>
                <w:left w:val="none" w:sz="0" w:space="0" w:color="auto"/>
                <w:bottom w:val="none" w:sz="0" w:space="0" w:color="auto"/>
                <w:right w:val="none" w:sz="0" w:space="0" w:color="auto"/>
              </w:divBdr>
              <w:divsChild>
                <w:div w:id="6367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2593">
      <w:bodyDiv w:val="1"/>
      <w:marLeft w:val="0"/>
      <w:marRight w:val="0"/>
      <w:marTop w:val="0"/>
      <w:marBottom w:val="0"/>
      <w:divBdr>
        <w:top w:val="none" w:sz="0" w:space="0" w:color="auto"/>
        <w:left w:val="none" w:sz="0" w:space="0" w:color="auto"/>
        <w:bottom w:val="none" w:sz="0" w:space="0" w:color="auto"/>
        <w:right w:val="none" w:sz="0" w:space="0" w:color="auto"/>
      </w:divBdr>
      <w:divsChild>
        <w:div w:id="2076050409">
          <w:marLeft w:val="0"/>
          <w:marRight w:val="0"/>
          <w:marTop w:val="0"/>
          <w:marBottom w:val="0"/>
          <w:divBdr>
            <w:top w:val="none" w:sz="0" w:space="0" w:color="auto"/>
            <w:left w:val="none" w:sz="0" w:space="0" w:color="auto"/>
            <w:bottom w:val="none" w:sz="0" w:space="0" w:color="auto"/>
            <w:right w:val="none" w:sz="0" w:space="0" w:color="auto"/>
          </w:divBdr>
          <w:divsChild>
            <w:div w:id="1151101362">
              <w:marLeft w:val="0"/>
              <w:marRight w:val="0"/>
              <w:marTop w:val="0"/>
              <w:marBottom w:val="0"/>
              <w:divBdr>
                <w:top w:val="none" w:sz="0" w:space="0" w:color="auto"/>
                <w:left w:val="none" w:sz="0" w:space="0" w:color="auto"/>
                <w:bottom w:val="none" w:sz="0" w:space="0" w:color="auto"/>
                <w:right w:val="none" w:sz="0" w:space="0" w:color="auto"/>
              </w:divBdr>
              <w:divsChild>
                <w:div w:id="15983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44719">
      <w:bodyDiv w:val="1"/>
      <w:marLeft w:val="0"/>
      <w:marRight w:val="0"/>
      <w:marTop w:val="0"/>
      <w:marBottom w:val="0"/>
      <w:divBdr>
        <w:top w:val="none" w:sz="0" w:space="0" w:color="auto"/>
        <w:left w:val="none" w:sz="0" w:space="0" w:color="auto"/>
        <w:bottom w:val="none" w:sz="0" w:space="0" w:color="auto"/>
        <w:right w:val="none" w:sz="0" w:space="0" w:color="auto"/>
      </w:divBdr>
    </w:div>
    <w:div w:id="346056861">
      <w:bodyDiv w:val="1"/>
      <w:marLeft w:val="0"/>
      <w:marRight w:val="0"/>
      <w:marTop w:val="0"/>
      <w:marBottom w:val="0"/>
      <w:divBdr>
        <w:top w:val="none" w:sz="0" w:space="0" w:color="auto"/>
        <w:left w:val="none" w:sz="0" w:space="0" w:color="auto"/>
        <w:bottom w:val="none" w:sz="0" w:space="0" w:color="auto"/>
        <w:right w:val="none" w:sz="0" w:space="0" w:color="auto"/>
      </w:divBdr>
    </w:div>
    <w:div w:id="393242367">
      <w:bodyDiv w:val="1"/>
      <w:marLeft w:val="0"/>
      <w:marRight w:val="0"/>
      <w:marTop w:val="0"/>
      <w:marBottom w:val="0"/>
      <w:divBdr>
        <w:top w:val="none" w:sz="0" w:space="0" w:color="auto"/>
        <w:left w:val="none" w:sz="0" w:space="0" w:color="auto"/>
        <w:bottom w:val="none" w:sz="0" w:space="0" w:color="auto"/>
        <w:right w:val="none" w:sz="0" w:space="0" w:color="auto"/>
      </w:divBdr>
      <w:divsChild>
        <w:div w:id="588660981">
          <w:marLeft w:val="0"/>
          <w:marRight w:val="0"/>
          <w:marTop w:val="0"/>
          <w:marBottom w:val="0"/>
          <w:divBdr>
            <w:top w:val="none" w:sz="0" w:space="0" w:color="auto"/>
            <w:left w:val="none" w:sz="0" w:space="0" w:color="auto"/>
            <w:bottom w:val="none" w:sz="0" w:space="0" w:color="auto"/>
            <w:right w:val="none" w:sz="0" w:space="0" w:color="auto"/>
          </w:divBdr>
          <w:divsChild>
            <w:div w:id="2112969185">
              <w:marLeft w:val="0"/>
              <w:marRight w:val="0"/>
              <w:marTop w:val="0"/>
              <w:marBottom w:val="0"/>
              <w:divBdr>
                <w:top w:val="none" w:sz="0" w:space="0" w:color="auto"/>
                <w:left w:val="none" w:sz="0" w:space="0" w:color="auto"/>
                <w:bottom w:val="none" w:sz="0" w:space="0" w:color="auto"/>
                <w:right w:val="none" w:sz="0" w:space="0" w:color="auto"/>
              </w:divBdr>
              <w:divsChild>
                <w:div w:id="672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79">
      <w:bodyDiv w:val="1"/>
      <w:marLeft w:val="0"/>
      <w:marRight w:val="0"/>
      <w:marTop w:val="0"/>
      <w:marBottom w:val="0"/>
      <w:divBdr>
        <w:top w:val="none" w:sz="0" w:space="0" w:color="auto"/>
        <w:left w:val="none" w:sz="0" w:space="0" w:color="auto"/>
        <w:bottom w:val="none" w:sz="0" w:space="0" w:color="auto"/>
        <w:right w:val="none" w:sz="0" w:space="0" w:color="auto"/>
      </w:divBdr>
    </w:div>
    <w:div w:id="515654163">
      <w:bodyDiv w:val="1"/>
      <w:marLeft w:val="0"/>
      <w:marRight w:val="0"/>
      <w:marTop w:val="0"/>
      <w:marBottom w:val="0"/>
      <w:divBdr>
        <w:top w:val="none" w:sz="0" w:space="0" w:color="auto"/>
        <w:left w:val="none" w:sz="0" w:space="0" w:color="auto"/>
        <w:bottom w:val="none" w:sz="0" w:space="0" w:color="auto"/>
        <w:right w:val="none" w:sz="0" w:space="0" w:color="auto"/>
      </w:divBdr>
    </w:div>
    <w:div w:id="531261982">
      <w:bodyDiv w:val="1"/>
      <w:marLeft w:val="0"/>
      <w:marRight w:val="0"/>
      <w:marTop w:val="0"/>
      <w:marBottom w:val="0"/>
      <w:divBdr>
        <w:top w:val="none" w:sz="0" w:space="0" w:color="auto"/>
        <w:left w:val="none" w:sz="0" w:space="0" w:color="auto"/>
        <w:bottom w:val="none" w:sz="0" w:space="0" w:color="auto"/>
        <w:right w:val="none" w:sz="0" w:space="0" w:color="auto"/>
      </w:divBdr>
    </w:div>
    <w:div w:id="674696885">
      <w:bodyDiv w:val="1"/>
      <w:marLeft w:val="0"/>
      <w:marRight w:val="0"/>
      <w:marTop w:val="0"/>
      <w:marBottom w:val="0"/>
      <w:divBdr>
        <w:top w:val="none" w:sz="0" w:space="0" w:color="auto"/>
        <w:left w:val="none" w:sz="0" w:space="0" w:color="auto"/>
        <w:bottom w:val="none" w:sz="0" w:space="0" w:color="auto"/>
        <w:right w:val="none" w:sz="0" w:space="0" w:color="auto"/>
      </w:divBdr>
      <w:divsChild>
        <w:div w:id="1503088176">
          <w:marLeft w:val="0"/>
          <w:marRight w:val="0"/>
          <w:marTop w:val="0"/>
          <w:marBottom w:val="0"/>
          <w:divBdr>
            <w:top w:val="none" w:sz="0" w:space="0" w:color="auto"/>
            <w:left w:val="none" w:sz="0" w:space="0" w:color="auto"/>
            <w:bottom w:val="none" w:sz="0" w:space="0" w:color="auto"/>
            <w:right w:val="none" w:sz="0" w:space="0" w:color="auto"/>
          </w:divBdr>
          <w:divsChild>
            <w:div w:id="408427120">
              <w:marLeft w:val="0"/>
              <w:marRight w:val="0"/>
              <w:marTop w:val="0"/>
              <w:marBottom w:val="0"/>
              <w:divBdr>
                <w:top w:val="none" w:sz="0" w:space="0" w:color="auto"/>
                <w:left w:val="none" w:sz="0" w:space="0" w:color="auto"/>
                <w:bottom w:val="none" w:sz="0" w:space="0" w:color="auto"/>
                <w:right w:val="none" w:sz="0" w:space="0" w:color="auto"/>
              </w:divBdr>
              <w:divsChild>
                <w:div w:id="16426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5266">
      <w:bodyDiv w:val="1"/>
      <w:marLeft w:val="0"/>
      <w:marRight w:val="0"/>
      <w:marTop w:val="0"/>
      <w:marBottom w:val="0"/>
      <w:divBdr>
        <w:top w:val="none" w:sz="0" w:space="0" w:color="auto"/>
        <w:left w:val="none" w:sz="0" w:space="0" w:color="auto"/>
        <w:bottom w:val="none" w:sz="0" w:space="0" w:color="auto"/>
        <w:right w:val="none" w:sz="0" w:space="0" w:color="auto"/>
      </w:divBdr>
      <w:divsChild>
        <w:div w:id="1321612896">
          <w:marLeft w:val="0"/>
          <w:marRight w:val="0"/>
          <w:marTop w:val="0"/>
          <w:marBottom w:val="0"/>
          <w:divBdr>
            <w:top w:val="none" w:sz="0" w:space="0" w:color="auto"/>
            <w:left w:val="none" w:sz="0" w:space="0" w:color="auto"/>
            <w:bottom w:val="none" w:sz="0" w:space="0" w:color="auto"/>
            <w:right w:val="none" w:sz="0" w:space="0" w:color="auto"/>
          </w:divBdr>
          <w:divsChild>
            <w:div w:id="960039081">
              <w:marLeft w:val="0"/>
              <w:marRight w:val="0"/>
              <w:marTop w:val="0"/>
              <w:marBottom w:val="0"/>
              <w:divBdr>
                <w:top w:val="none" w:sz="0" w:space="0" w:color="auto"/>
                <w:left w:val="none" w:sz="0" w:space="0" w:color="auto"/>
                <w:bottom w:val="none" w:sz="0" w:space="0" w:color="auto"/>
                <w:right w:val="none" w:sz="0" w:space="0" w:color="auto"/>
              </w:divBdr>
              <w:divsChild>
                <w:div w:id="4518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2913">
      <w:bodyDiv w:val="1"/>
      <w:marLeft w:val="0"/>
      <w:marRight w:val="0"/>
      <w:marTop w:val="0"/>
      <w:marBottom w:val="0"/>
      <w:divBdr>
        <w:top w:val="none" w:sz="0" w:space="0" w:color="auto"/>
        <w:left w:val="none" w:sz="0" w:space="0" w:color="auto"/>
        <w:bottom w:val="none" w:sz="0" w:space="0" w:color="auto"/>
        <w:right w:val="none" w:sz="0" w:space="0" w:color="auto"/>
      </w:divBdr>
    </w:div>
    <w:div w:id="680934927">
      <w:bodyDiv w:val="1"/>
      <w:marLeft w:val="0"/>
      <w:marRight w:val="0"/>
      <w:marTop w:val="0"/>
      <w:marBottom w:val="0"/>
      <w:divBdr>
        <w:top w:val="none" w:sz="0" w:space="0" w:color="auto"/>
        <w:left w:val="none" w:sz="0" w:space="0" w:color="auto"/>
        <w:bottom w:val="none" w:sz="0" w:space="0" w:color="auto"/>
        <w:right w:val="none" w:sz="0" w:space="0" w:color="auto"/>
      </w:divBdr>
      <w:divsChild>
        <w:div w:id="1690791947">
          <w:marLeft w:val="0"/>
          <w:marRight w:val="0"/>
          <w:marTop w:val="0"/>
          <w:marBottom w:val="0"/>
          <w:divBdr>
            <w:top w:val="none" w:sz="0" w:space="0" w:color="auto"/>
            <w:left w:val="none" w:sz="0" w:space="0" w:color="auto"/>
            <w:bottom w:val="none" w:sz="0" w:space="0" w:color="auto"/>
            <w:right w:val="none" w:sz="0" w:space="0" w:color="auto"/>
          </w:divBdr>
          <w:divsChild>
            <w:div w:id="951520393">
              <w:marLeft w:val="0"/>
              <w:marRight w:val="0"/>
              <w:marTop w:val="0"/>
              <w:marBottom w:val="0"/>
              <w:divBdr>
                <w:top w:val="none" w:sz="0" w:space="0" w:color="auto"/>
                <w:left w:val="none" w:sz="0" w:space="0" w:color="auto"/>
                <w:bottom w:val="none" w:sz="0" w:space="0" w:color="auto"/>
                <w:right w:val="none" w:sz="0" w:space="0" w:color="auto"/>
              </w:divBdr>
              <w:divsChild>
                <w:div w:id="1927424334">
                  <w:marLeft w:val="0"/>
                  <w:marRight w:val="0"/>
                  <w:marTop w:val="0"/>
                  <w:marBottom w:val="0"/>
                  <w:divBdr>
                    <w:top w:val="none" w:sz="0" w:space="0" w:color="auto"/>
                    <w:left w:val="none" w:sz="0" w:space="0" w:color="auto"/>
                    <w:bottom w:val="none" w:sz="0" w:space="0" w:color="auto"/>
                    <w:right w:val="none" w:sz="0" w:space="0" w:color="auto"/>
                  </w:divBdr>
                  <w:divsChild>
                    <w:div w:id="1300305384">
                      <w:marLeft w:val="0"/>
                      <w:marRight w:val="0"/>
                      <w:marTop w:val="0"/>
                      <w:marBottom w:val="0"/>
                      <w:divBdr>
                        <w:top w:val="none" w:sz="0" w:space="0" w:color="auto"/>
                        <w:left w:val="none" w:sz="0" w:space="0" w:color="auto"/>
                        <w:bottom w:val="none" w:sz="0" w:space="0" w:color="auto"/>
                        <w:right w:val="none" w:sz="0" w:space="0" w:color="auto"/>
                      </w:divBdr>
                    </w:div>
                  </w:divsChild>
                </w:div>
                <w:div w:id="109323024">
                  <w:marLeft w:val="0"/>
                  <w:marRight w:val="0"/>
                  <w:marTop w:val="0"/>
                  <w:marBottom w:val="0"/>
                  <w:divBdr>
                    <w:top w:val="none" w:sz="0" w:space="0" w:color="auto"/>
                    <w:left w:val="none" w:sz="0" w:space="0" w:color="auto"/>
                    <w:bottom w:val="none" w:sz="0" w:space="0" w:color="auto"/>
                    <w:right w:val="none" w:sz="0" w:space="0" w:color="auto"/>
                  </w:divBdr>
                  <w:divsChild>
                    <w:div w:id="688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3450">
          <w:marLeft w:val="0"/>
          <w:marRight w:val="0"/>
          <w:marTop w:val="0"/>
          <w:marBottom w:val="0"/>
          <w:divBdr>
            <w:top w:val="none" w:sz="0" w:space="0" w:color="auto"/>
            <w:left w:val="none" w:sz="0" w:space="0" w:color="auto"/>
            <w:bottom w:val="none" w:sz="0" w:space="0" w:color="auto"/>
            <w:right w:val="none" w:sz="0" w:space="0" w:color="auto"/>
          </w:divBdr>
          <w:divsChild>
            <w:div w:id="1030375625">
              <w:marLeft w:val="0"/>
              <w:marRight w:val="0"/>
              <w:marTop w:val="0"/>
              <w:marBottom w:val="0"/>
              <w:divBdr>
                <w:top w:val="none" w:sz="0" w:space="0" w:color="auto"/>
                <w:left w:val="none" w:sz="0" w:space="0" w:color="auto"/>
                <w:bottom w:val="none" w:sz="0" w:space="0" w:color="auto"/>
                <w:right w:val="none" w:sz="0" w:space="0" w:color="auto"/>
              </w:divBdr>
              <w:divsChild>
                <w:div w:id="1561207464">
                  <w:marLeft w:val="0"/>
                  <w:marRight w:val="0"/>
                  <w:marTop w:val="0"/>
                  <w:marBottom w:val="0"/>
                  <w:divBdr>
                    <w:top w:val="none" w:sz="0" w:space="0" w:color="auto"/>
                    <w:left w:val="none" w:sz="0" w:space="0" w:color="auto"/>
                    <w:bottom w:val="none" w:sz="0" w:space="0" w:color="auto"/>
                    <w:right w:val="none" w:sz="0" w:space="0" w:color="auto"/>
                  </w:divBdr>
                  <w:divsChild>
                    <w:div w:id="53243007">
                      <w:marLeft w:val="0"/>
                      <w:marRight w:val="0"/>
                      <w:marTop w:val="0"/>
                      <w:marBottom w:val="0"/>
                      <w:divBdr>
                        <w:top w:val="none" w:sz="0" w:space="0" w:color="auto"/>
                        <w:left w:val="none" w:sz="0" w:space="0" w:color="auto"/>
                        <w:bottom w:val="none" w:sz="0" w:space="0" w:color="auto"/>
                        <w:right w:val="none" w:sz="0" w:space="0" w:color="auto"/>
                      </w:divBdr>
                    </w:div>
                  </w:divsChild>
                </w:div>
                <w:div w:id="470024785">
                  <w:marLeft w:val="0"/>
                  <w:marRight w:val="0"/>
                  <w:marTop w:val="0"/>
                  <w:marBottom w:val="0"/>
                  <w:divBdr>
                    <w:top w:val="none" w:sz="0" w:space="0" w:color="auto"/>
                    <w:left w:val="none" w:sz="0" w:space="0" w:color="auto"/>
                    <w:bottom w:val="none" w:sz="0" w:space="0" w:color="auto"/>
                    <w:right w:val="none" w:sz="0" w:space="0" w:color="auto"/>
                  </w:divBdr>
                  <w:divsChild>
                    <w:div w:id="610281122">
                      <w:marLeft w:val="0"/>
                      <w:marRight w:val="0"/>
                      <w:marTop w:val="0"/>
                      <w:marBottom w:val="0"/>
                      <w:divBdr>
                        <w:top w:val="none" w:sz="0" w:space="0" w:color="auto"/>
                        <w:left w:val="none" w:sz="0" w:space="0" w:color="auto"/>
                        <w:bottom w:val="none" w:sz="0" w:space="0" w:color="auto"/>
                        <w:right w:val="none" w:sz="0" w:space="0" w:color="auto"/>
                      </w:divBdr>
                    </w:div>
                  </w:divsChild>
                </w:div>
                <w:div w:id="1531606598">
                  <w:marLeft w:val="0"/>
                  <w:marRight w:val="0"/>
                  <w:marTop w:val="0"/>
                  <w:marBottom w:val="0"/>
                  <w:divBdr>
                    <w:top w:val="none" w:sz="0" w:space="0" w:color="auto"/>
                    <w:left w:val="none" w:sz="0" w:space="0" w:color="auto"/>
                    <w:bottom w:val="none" w:sz="0" w:space="0" w:color="auto"/>
                    <w:right w:val="none" w:sz="0" w:space="0" w:color="auto"/>
                  </w:divBdr>
                  <w:divsChild>
                    <w:div w:id="1463771429">
                      <w:marLeft w:val="0"/>
                      <w:marRight w:val="0"/>
                      <w:marTop w:val="0"/>
                      <w:marBottom w:val="0"/>
                      <w:divBdr>
                        <w:top w:val="none" w:sz="0" w:space="0" w:color="auto"/>
                        <w:left w:val="none" w:sz="0" w:space="0" w:color="auto"/>
                        <w:bottom w:val="none" w:sz="0" w:space="0" w:color="auto"/>
                        <w:right w:val="none" w:sz="0" w:space="0" w:color="auto"/>
                      </w:divBdr>
                    </w:div>
                  </w:divsChild>
                </w:div>
                <w:div w:id="1396272784">
                  <w:marLeft w:val="0"/>
                  <w:marRight w:val="0"/>
                  <w:marTop w:val="0"/>
                  <w:marBottom w:val="0"/>
                  <w:divBdr>
                    <w:top w:val="none" w:sz="0" w:space="0" w:color="auto"/>
                    <w:left w:val="none" w:sz="0" w:space="0" w:color="auto"/>
                    <w:bottom w:val="none" w:sz="0" w:space="0" w:color="auto"/>
                    <w:right w:val="none" w:sz="0" w:space="0" w:color="auto"/>
                  </w:divBdr>
                  <w:divsChild>
                    <w:div w:id="1941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32755">
          <w:marLeft w:val="0"/>
          <w:marRight w:val="0"/>
          <w:marTop w:val="0"/>
          <w:marBottom w:val="0"/>
          <w:divBdr>
            <w:top w:val="none" w:sz="0" w:space="0" w:color="auto"/>
            <w:left w:val="none" w:sz="0" w:space="0" w:color="auto"/>
            <w:bottom w:val="none" w:sz="0" w:space="0" w:color="auto"/>
            <w:right w:val="none" w:sz="0" w:space="0" w:color="auto"/>
          </w:divBdr>
          <w:divsChild>
            <w:div w:id="1603994807">
              <w:marLeft w:val="0"/>
              <w:marRight w:val="0"/>
              <w:marTop w:val="0"/>
              <w:marBottom w:val="0"/>
              <w:divBdr>
                <w:top w:val="none" w:sz="0" w:space="0" w:color="auto"/>
                <w:left w:val="none" w:sz="0" w:space="0" w:color="auto"/>
                <w:bottom w:val="none" w:sz="0" w:space="0" w:color="auto"/>
                <w:right w:val="none" w:sz="0" w:space="0" w:color="auto"/>
              </w:divBdr>
              <w:divsChild>
                <w:div w:id="826946219">
                  <w:marLeft w:val="0"/>
                  <w:marRight w:val="0"/>
                  <w:marTop w:val="0"/>
                  <w:marBottom w:val="0"/>
                  <w:divBdr>
                    <w:top w:val="none" w:sz="0" w:space="0" w:color="auto"/>
                    <w:left w:val="none" w:sz="0" w:space="0" w:color="auto"/>
                    <w:bottom w:val="none" w:sz="0" w:space="0" w:color="auto"/>
                    <w:right w:val="none" w:sz="0" w:space="0" w:color="auto"/>
                  </w:divBdr>
                  <w:divsChild>
                    <w:div w:id="14914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01931">
      <w:bodyDiv w:val="1"/>
      <w:marLeft w:val="0"/>
      <w:marRight w:val="0"/>
      <w:marTop w:val="0"/>
      <w:marBottom w:val="0"/>
      <w:divBdr>
        <w:top w:val="none" w:sz="0" w:space="0" w:color="auto"/>
        <w:left w:val="none" w:sz="0" w:space="0" w:color="auto"/>
        <w:bottom w:val="none" w:sz="0" w:space="0" w:color="auto"/>
        <w:right w:val="none" w:sz="0" w:space="0" w:color="auto"/>
      </w:divBdr>
    </w:div>
    <w:div w:id="711419572">
      <w:bodyDiv w:val="1"/>
      <w:marLeft w:val="0"/>
      <w:marRight w:val="0"/>
      <w:marTop w:val="0"/>
      <w:marBottom w:val="0"/>
      <w:divBdr>
        <w:top w:val="none" w:sz="0" w:space="0" w:color="auto"/>
        <w:left w:val="none" w:sz="0" w:space="0" w:color="auto"/>
        <w:bottom w:val="none" w:sz="0" w:space="0" w:color="auto"/>
        <w:right w:val="none" w:sz="0" w:space="0" w:color="auto"/>
      </w:divBdr>
      <w:divsChild>
        <w:div w:id="980040706">
          <w:marLeft w:val="0"/>
          <w:marRight w:val="0"/>
          <w:marTop w:val="0"/>
          <w:marBottom w:val="0"/>
          <w:divBdr>
            <w:top w:val="none" w:sz="0" w:space="0" w:color="auto"/>
            <w:left w:val="none" w:sz="0" w:space="0" w:color="auto"/>
            <w:bottom w:val="none" w:sz="0" w:space="0" w:color="auto"/>
            <w:right w:val="none" w:sz="0" w:space="0" w:color="auto"/>
          </w:divBdr>
          <w:divsChild>
            <w:div w:id="776565453">
              <w:marLeft w:val="0"/>
              <w:marRight w:val="0"/>
              <w:marTop w:val="0"/>
              <w:marBottom w:val="0"/>
              <w:divBdr>
                <w:top w:val="none" w:sz="0" w:space="0" w:color="auto"/>
                <w:left w:val="none" w:sz="0" w:space="0" w:color="auto"/>
                <w:bottom w:val="none" w:sz="0" w:space="0" w:color="auto"/>
                <w:right w:val="none" w:sz="0" w:space="0" w:color="auto"/>
              </w:divBdr>
              <w:divsChild>
                <w:div w:id="19974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31772">
      <w:bodyDiv w:val="1"/>
      <w:marLeft w:val="0"/>
      <w:marRight w:val="0"/>
      <w:marTop w:val="0"/>
      <w:marBottom w:val="0"/>
      <w:divBdr>
        <w:top w:val="none" w:sz="0" w:space="0" w:color="auto"/>
        <w:left w:val="none" w:sz="0" w:space="0" w:color="auto"/>
        <w:bottom w:val="none" w:sz="0" w:space="0" w:color="auto"/>
        <w:right w:val="none" w:sz="0" w:space="0" w:color="auto"/>
      </w:divBdr>
      <w:divsChild>
        <w:div w:id="945817231">
          <w:marLeft w:val="0"/>
          <w:marRight w:val="0"/>
          <w:marTop w:val="0"/>
          <w:marBottom w:val="0"/>
          <w:divBdr>
            <w:top w:val="none" w:sz="0" w:space="0" w:color="auto"/>
            <w:left w:val="none" w:sz="0" w:space="0" w:color="auto"/>
            <w:bottom w:val="none" w:sz="0" w:space="0" w:color="auto"/>
            <w:right w:val="none" w:sz="0" w:space="0" w:color="auto"/>
          </w:divBdr>
          <w:divsChild>
            <w:div w:id="163084942">
              <w:marLeft w:val="0"/>
              <w:marRight w:val="0"/>
              <w:marTop w:val="0"/>
              <w:marBottom w:val="0"/>
              <w:divBdr>
                <w:top w:val="none" w:sz="0" w:space="0" w:color="auto"/>
                <w:left w:val="none" w:sz="0" w:space="0" w:color="auto"/>
                <w:bottom w:val="none" w:sz="0" w:space="0" w:color="auto"/>
                <w:right w:val="none" w:sz="0" w:space="0" w:color="auto"/>
              </w:divBdr>
              <w:divsChild>
                <w:div w:id="14218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8292">
      <w:bodyDiv w:val="1"/>
      <w:marLeft w:val="0"/>
      <w:marRight w:val="0"/>
      <w:marTop w:val="0"/>
      <w:marBottom w:val="0"/>
      <w:divBdr>
        <w:top w:val="none" w:sz="0" w:space="0" w:color="auto"/>
        <w:left w:val="none" w:sz="0" w:space="0" w:color="auto"/>
        <w:bottom w:val="none" w:sz="0" w:space="0" w:color="auto"/>
        <w:right w:val="none" w:sz="0" w:space="0" w:color="auto"/>
      </w:divBdr>
      <w:divsChild>
        <w:div w:id="1093892122">
          <w:marLeft w:val="0"/>
          <w:marRight w:val="0"/>
          <w:marTop w:val="0"/>
          <w:marBottom w:val="0"/>
          <w:divBdr>
            <w:top w:val="none" w:sz="0" w:space="0" w:color="auto"/>
            <w:left w:val="none" w:sz="0" w:space="0" w:color="auto"/>
            <w:bottom w:val="none" w:sz="0" w:space="0" w:color="auto"/>
            <w:right w:val="none" w:sz="0" w:space="0" w:color="auto"/>
          </w:divBdr>
          <w:divsChild>
            <w:div w:id="2018263833">
              <w:marLeft w:val="0"/>
              <w:marRight w:val="0"/>
              <w:marTop w:val="0"/>
              <w:marBottom w:val="0"/>
              <w:divBdr>
                <w:top w:val="none" w:sz="0" w:space="0" w:color="auto"/>
                <w:left w:val="none" w:sz="0" w:space="0" w:color="auto"/>
                <w:bottom w:val="none" w:sz="0" w:space="0" w:color="auto"/>
                <w:right w:val="none" w:sz="0" w:space="0" w:color="auto"/>
              </w:divBdr>
              <w:divsChild>
                <w:div w:id="10351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5573">
      <w:bodyDiv w:val="1"/>
      <w:marLeft w:val="0"/>
      <w:marRight w:val="0"/>
      <w:marTop w:val="0"/>
      <w:marBottom w:val="0"/>
      <w:divBdr>
        <w:top w:val="none" w:sz="0" w:space="0" w:color="auto"/>
        <w:left w:val="none" w:sz="0" w:space="0" w:color="auto"/>
        <w:bottom w:val="none" w:sz="0" w:space="0" w:color="auto"/>
        <w:right w:val="none" w:sz="0" w:space="0" w:color="auto"/>
      </w:divBdr>
    </w:div>
    <w:div w:id="900286414">
      <w:bodyDiv w:val="1"/>
      <w:marLeft w:val="0"/>
      <w:marRight w:val="0"/>
      <w:marTop w:val="0"/>
      <w:marBottom w:val="0"/>
      <w:divBdr>
        <w:top w:val="none" w:sz="0" w:space="0" w:color="auto"/>
        <w:left w:val="none" w:sz="0" w:space="0" w:color="auto"/>
        <w:bottom w:val="none" w:sz="0" w:space="0" w:color="auto"/>
        <w:right w:val="none" w:sz="0" w:space="0" w:color="auto"/>
      </w:divBdr>
      <w:divsChild>
        <w:div w:id="1257636779">
          <w:marLeft w:val="0"/>
          <w:marRight w:val="0"/>
          <w:marTop w:val="0"/>
          <w:marBottom w:val="0"/>
          <w:divBdr>
            <w:top w:val="none" w:sz="0" w:space="0" w:color="auto"/>
            <w:left w:val="none" w:sz="0" w:space="0" w:color="auto"/>
            <w:bottom w:val="none" w:sz="0" w:space="0" w:color="auto"/>
            <w:right w:val="none" w:sz="0" w:space="0" w:color="auto"/>
          </w:divBdr>
          <w:divsChild>
            <w:div w:id="1056011744">
              <w:marLeft w:val="0"/>
              <w:marRight w:val="0"/>
              <w:marTop w:val="0"/>
              <w:marBottom w:val="0"/>
              <w:divBdr>
                <w:top w:val="none" w:sz="0" w:space="0" w:color="auto"/>
                <w:left w:val="none" w:sz="0" w:space="0" w:color="auto"/>
                <w:bottom w:val="none" w:sz="0" w:space="0" w:color="auto"/>
                <w:right w:val="none" w:sz="0" w:space="0" w:color="auto"/>
              </w:divBdr>
              <w:divsChild>
                <w:div w:id="18193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5497">
      <w:bodyDiv w:val="1"/>
      <w:marLeft w:val="0"/>
      <w:marRight w:val="0"/>
      <w:marTop w:val="0"/>
      <w:marBottom w:val="0"/>
      <w:divBdr>
        <w:top w:val="none" w:sz="0" w:space="0" w:color="auto"/>
        <w:left w:val="none" w:sz="0" w:space="0" w:color="auto"/>
        <w:bottom w:val="none" w:sz="0" w:space="0" w:color="auto"/>
        <w:right w:val="none" w:sz="0" w:space="0" w:color="auto"/>
      </w:divBdr>
    </w:div>
    <w:div w:id="923076218">
      <w:bodyDiv w:val="1"/>
      <w:marLeft w:val="0"/>
      <w:marRight w:val="0"/>
      <w:marTop w:val="0"/>
      <w:marBottom w:val="0"/>
      <w:divBdr>
        <w:top w:val="none" w:sz="0" w:space="0" w:color="auto"/>
        <w:left w:val="none" w:sz="0" w:space="0" w:color="auto"/>
        <w:bottom w:val="none" w:sz="0" w:space="0" w:color="auto"/>
        <w:right w:val="none" w:sz="0" w:space="0" w:color="auto"/>
      </w:divBdr>
      <w:divsChild>
        <w:div w:id="500897581">
          <w:marLeft w:val="0"/>
          <w:marRight w:val="0"/>
          <w:marTop w:val="0"/>
          <w:marBottom w:val="0"/>
          <w:divBdr>
            <w:top w:val="none" w:sz="0" w:space="0" w:color="auto"/>
            <w:left w:val="none" w:sz="0" w:space="0" w:color="auto"/>
            <w:bottom w:val="none" w:sz="0" w:space="0" w:color="auto"/>
            <w:right w:val="none" w:sz="0" w:space="0" w:color="auto"/>
          </w:divBdr>
          <w:divsChild>
            <w:div w:id="543567923">
              <w:marLeft w:val="0"/>
              <w:marRight w:val="0"/>
              <w:marTop w:val="0"/>
              <w:marBottom w:val="0"/>
              <w:divBdr>
                <w:top w:val="none" w:sz="0" w:space="0" w:color="auto"/>
                <w:left w:val="none" w:sz="0" w:space="0" w:color="auto"/>
                <w:bottom w:val="none" w:sz="0" w:space="0" w:color="auto"/>
                <w:right w:val="none" w:sz="0" w:space="0" w:color="auto"/>
              </w:divBdr>
              <w:divsChild>
                <w:div w:id="1335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5328">
      <w:bodyDiv w:val="1"/>
      <w:marLeft w:val="0"/>
      <w:marRight w:val="0"/>
      <w:marTop w:val="0"/>
      <w:marBottom w:val="0"/>
      <w:divBdr>
        <w:top w:val="none" w:sz="0" w:space="0" w:color="auto"/>
        <w:left w:val="none" w:sz="0" w:space="0" w:color="auto"/>
        <w:bottom w:val="none" w:sz="0" w:space="0" w:color="auto"/>
        <w:right w:val="none" w:sz="0" w:space="0" w:color="auto"/>
      </w:divBdr>
      <w:divsChild>
        <w:div w:id="759638197">
          <w:marLeft w:val="0"/>
          <w:marRight w:val="0"/>
          <w:marTop w:val="0"/>
          <w:marBottom w:val="0"/>
          <w:divBdr>
            <w:top w:val="none" w:sz="0" w:space="0" w:color="auto"/>
            <w:left w:val="none" w:sz="0" w:space="0" w:color="auto"/>
            <w:bottom w:val="none" w:sz="0" w:space="0" w:color="auto"/>
            <w:right w:val="none" w:sz="0" w:space="0" w:color="auto"/>
          </w:divBdr>
          <w:divsChild>
            <w:div w:id="1403025621">
              <w:marLeft w:val="0"/>
              <w:marRight w:val="0"/>
              <w:marTop w:val="0"/>
              <w:marBottom w:val="0"/>
              <w:divBdr>
                <w:top w:val="none" w:sz="0" w:space="0" w:color="auto"/>
                <w:left w:val="none" w:sz="0" w:space="0" w:color="auto"/>
                <w:bottom w:val="none" w:sz="0" w:space="0" w:color="auto"/>
                <w:right w:val="none" w:sz="0" w:space="0" w:color="auto"/>
              </w:divBdr>
              <w:divsChild>
                <w:div w:id="1386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901">
      <w:bodyDiv w:val="1"/>
      <w:marLeft w:val="0"/>
      <w:marRight w:val="0"/>
      <w:marTop w:val="0"/>
      <w:marBottom w:val="0"/>
      <w:divBdr>
        <w:top w:val="none" w:sz="0" w:space="0" w:color="auto"/>
        <w:left w:val="none" w:sz="0" w:space="0" w:color="auto"/>
        <w:bottom w:val="none" w:sz="0" w:space="0" w:color="auto"/>
        <w:right w:val="none" w:sz="0" w:space="0" w:color="auto"/>
      </w:divBdr>
    </w:div>
    <w:div w:id="966356765">
      <w:bodyDiv w:val="1"/>
      <w:marLeft w:val="0"/>
      <w:marRight w:val="0"/>
      <w:marTop w:val="0"/>
      <w:marBottom w:val="0"/>
      <w:divBdr>
        <w:top w:val="none" w:sz="0" w:space="0" w:color="auto"/>
        <w:left w:val="none" w:sz="0" w:space="0" w:color="auto"/>
        <w:bottom w:val="none" w:sz="0" w:space="0" w:color="auto"/>
        <w:right w:val="none" w:sz="0" w:space="0" w:color="auto"/>
      </w:divBdr>
      <w:divsChild>
        <w:div w:id="911239971">
          <w:marLeft w:val="0"/>
          <w:marRight w:val="0"/>
          <w:marTop w:val="0"/>
          <w:marBottom w:val="0"/>
          <w:divBdr>
            <w:top w:val="none" w:sz="0" w:space="0" w:color="auto"/>
            <w:left w:val="none" w:sz="0" w:space="0" w:color="auto"/>
            <w:bottom w:val="none" w:sz="0" w:space="0" w:color="auto"/>
            <w:right w:val="none" w:sz="0" w:space="0" w:color="auto"/>
          </w:divBdr>
          <w:divsChild>
            <w:div w:id="1358580085">
              <w:marLeft w:val="0"/>
              <w:marRight w:val="0"/>
              <w:marTop w:val="0"/>
              <w:marBottom w:val="0"/>
              <w:divBdr>
                <w:top w:val="none" w:sz="0" w:space="0" w:color="auto"/>
                <w:left w:val="none" w:sz="0" w:space="0" w:color="auto"/>
                <w:bottom w:val="none" w:sz="0" w:space="0" w:color="auto"/>
                <w:right w:val="none" w:sz="0" w:space="0" w:color="auto"/>
              </w:divBdr>
              <w:divsChild>
                <w:div w:id="5258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94117">
      <w:bodyDiv w:val="1"/>
      <w:marLeft w:val="0"/>
      <w:marRight w:val="0"/>
      <w:marTop w:val="0"/>
      <w:marBottom w:val="0"/>
      <w:divBdr>
        <w:top w:val="none" w:sz="0" w:space="0" w:color="auto"/>
        <w:left w:val="none" w:sz="0" w:space="0" w:color="auto"/>
        <w:bottom w:val="none" w:sz="0" w:space="0" w:color="auto"/>
        <w:right w:val="none" w:sz="0" w:space="0" w:color="auto"/>
      </w:divBdr>
      <w:divsChild>
        <w:div w:id="1974091405">
          <w:marLeft w:val="0"/>
          <w:marRight w:val="0"/>
          <w:marTop w:val="0"/>
          <w:marBottom w:val="0"/>
          <w:divBdr>
            <w:top w:val="none" w:sz="0" w:space="0" w:color="auto"/>
            <w:left w:val="none" w:sz="0" w:space="0" w:color="auto"/>
            <w:bottom w:val="none" w:sz="0" w:space="0" w:color="auto"/>
            <w:right w:val="none" w:sz="0" w:space="0" w:color="auto"/>
          </w:divBdr>
        </w:div>
      </w:divsChild>
    </w:div>
    <w:div w:id="1050376888">
      <w:bodyDiv w:val="1"/>
      <w:marLeft w:val="0"/>
      <w:marRight w:val="0"/>
      <w:marTop w:val="0"/>
      <w:marBottom w:val="0"/>
      <w:divBdr>
        <w:top w:val="none" w:sz="0" w:space="0" w:color="auto"/>
        <w:left w:val="none" w:sz="0" w:space="0" w:color="auto"/>
        <w:bottom w:val="none" w:sz="0" w:space="0" w:color="auto"/>
        <w:right w:val="none" w:sz="0" w:space="0" w:color="auto"/>
      </w:divBdr>
      <w:divsChild>
        <w:div w:id="842017550">
          <w:marLeft w:val="0"/>
          <w:marRight w:val="0"/>
          <w:marTop w:val="0"/>
          <w:marBottom w:val="0"/>
          <w:divBdr>
            <w:top w:val="none" w:sz="0" w:space="0" w:color="auto"/>
            <w:left w:val="none" w:sz="0" w:space="0" w:color="auto"/>
            <w:bottom w:val="none" w:sz="0" w:space="0" w:color="auto"/>
            <w:right w:val="none" w:sz="0" w:space="0" w:color="auto"/>
          </w:divBdr>
          <w:divsChild>
            <w:div w:id="121390410">
              <w:marLeft w:val="0"/>
              <w:marRight w:val="0"/>
              <w:marTop w:val="0"/>
              <w:marBottom w:val="0"/>
              <w:divBdr>
                <w:top w:val="none" w:sz="0" w:space="0" w:color="auto"/>
                <w:left w:val="none" w:sz="0" w:space="0" w:color="auto"/>
                <w:bottom w:val="none" w:sz="0" w:space="0" w:color="auto"/>
                <w:right w:val="none" w:sz="0" w:space="0" w:color="auto"/>
              </w:divBdr>
              <w:divsChild>
                <w:div w:id="6726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346">
      <w:bodyDiv w:val="1"/>
      <w:marLeft w:val="0"/>
      <w:marRight w:val="0"/>
      <w:marTop w:val="0"/>
      <w:marBottom w:val="0"/>
      <w:divBdr>
        <w:top w:val="none" w:sz="0" w:space="0" w:color="auto"/>
        <w:left w:val="none" w:sz="0" w:space="0" w:color="auto"/>
        <w:bottom w:val="none" w:sz="0" w:space="0" w:color="auto"/>
        <w:right w:val="none" w:sz="0" w:space="0" w:color="auto"/>
      </w:divBdr>
    </w:div>
    <w:div w:id="1095007983">
      <w:bodyDiv w:val="1"/>
      <w:marLeft w:val="0"/>
      <w:marRight w:val="0"/>
      <w:marTop w:val="0"/>
      <w:marBottom w:val="0"/>
      <w:divBdr>
        <w:top w:val="none" w:sz="0" w:space="0" w:color="auto"/>
        <w:left w:val="none" w:sz="0" w:space="0" w:color="auto"/>
        <w:bottom w:val="none" w:sz="0" w:space="0" w:color="auto"/>
        <w:right w:val="none" w:sz="0" w:space="0" w:color="auto"/>
      </w:divBdr>
    </w:div>
    <w:div w:id="1115757359">
      <w:bodyDiv w:val="1"/>
      <w:marLeft w:val="0"/>
      <w:marRight w:val="0"/>
      <w:marTop w:val="0"/>
      <w:marBottom w:val="0"/>
      <w:divBdr>
        <w:top w:val="none" w:sz="0" w:space="0" w:color="auto"/>
        <w:left w:val="none" w:sz="0" w:space="0" w:color="auto"/>
        <w:bottom w:val="none" w:sz="0" w:space="0" w:color="auto"/>
        <w:right w:val="none" w:sz="0" w:space="0" w:color="auto"/>
      </w:divBdr>
      <w:divsChild>
        <w:div w:id="18092065">
          <w:marLeft w:val="0"/>
          <w:marRight w:val="0"/>
          <w:marTop w:val="0"/>
          <w:marBottom w:val="0"/>
          <w:divBdr>
            <w:top w:val="none" w:sz="0" w:space="0" w:color="auto"/>
            <w:left w:val="none" w:sz="0" w:space="0" w:color="auto"/>
            <w:bottom w:val="none" w:sz="0" w:space="0" w:color="auto"/>
            <w:right w:val="none" w:sz="0" w:space="0" w:color="auto"/>
          </w:divBdr>
          <w:divsChild>
            <w:div w:id="171259494">
              <w:marLeft w:val="0"/>
              <w:marRight w:val="0"/>
              <w:marTop w:val="0"/>
              <w:marBottom w:val="0"/>
              <w:divBdr>
                <w:top w:val="none" w:sz="0" w:space="0" w:color="auto"/>
                <w:left w:val="none" w:sz="0" w:space="0" w:color="auto"/>
                <w:bottom w:val="none" w:sz="0" w:space="0" w:color="auto"/>
                <w:right w:val="none" w:sz="0" w:space="0" w:color="auto"/>
              </w:divBdr>
              <w:divsChild>
                <w:div w:id="5087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12400">
      <w:bodyDiv w:val="1"/>
      <w:marLeft w:val="0"/>
      <w:marRight w:val="0"/>
      <w:marTop w:val="0"/>
      <w:marBottom w:val="0"/>
      <w:divBdr>
        <w:top w:val="none" w:sz="0" w:space="0" w:color="auto"/>
        <w:left w:val="none" w:sz="0" w:space="0" w:color="auto"/>
        <w:bottom w:val="none" w:sz="0" w:space="0" w:color="auto"/>
        <w:right w:val="none" w:sz="0" w:space="0" w:color="auto"/>
      </w:divBdr>
      <w:divsChild>
        <w:div w:id="1871918809">
          <w:marLeft w:val="0"/>
          <w:marRight w:val="0"/>
          <w:marTop w:val="0"/>
          <w:marBottom w:val="0"/>
          <w:divBdr>
            <w:top w:val="none" w:sz="0" w:space="0" w:color="auto"/>
            <w:left w:val="none" w:sz="0" w:space="0" w:color="auto"/>
            <w:bottom w:val="none" w:sz="0" w:space="0" w:color="auto"/>
            <w:right w:val="none" w:sz="0" w:space="0" w:color="auto"/>
          </w:divBdr>
          <w:divsChild>
            <w:div w:id="289630922">
              <w:marLeft w:val="0"/>
              <w:marRight w:val="0"/>
              <w:marTop w:val="0"/>
              <w:marBottom w:val="0"/>
              <w:divBdr>
                <w:top w:val="none" w:sz="0" w:space="0" w:color="auto"/>
                <w:left w:val="none" w:sz="0" w:space="0" w:color="auto"/>
                <w:bottom w:val="none" w:sz="0" w:space="0" w:color="auto"/>
                <w:right w:val="none" w:sz="0" w:space="0" w:color="auto"/>
              </w:divBdr>
              <w:divsChild>
                <w:div w:id="2502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2464">
      <w:bodyDiv w:val="1"/>
      <w:marLeft w:val="0"/>
      <w:marRight w:val="0"/>
      <w:marTop w:val="0"/>
      <w:marBottom w:val="0"/>
      <w:divBdr>
        <w:top w:val="none" w:sz="0" w:space="0" w:color="auto"/>
        <w:left w:val="none" w:sz="0" w:space="0" w:color="auto"/>
        <w:bottom w:val="none" w:sz="0" w:space="0" w:color="auto"/>
        <w:right w:val="none" w:sz="0" w:space="0" w:color="auto"/>
      </w:divBdr>
      <w:divsChild>
        <w:div w:id="1535729646">
          <w:marLeft w:val="0"/>
          <w:marRight w:val="0"/>
          <w:marTop w:val="0"/>
          <w:marBottom w:val="0"/>
          <w:divBdr>
            <w:top w:val="none" w:sz="0" w:space="0" w:color="auto"/>
            <w:left w:val="none" w:sz="0" w:space="0" w:color="auto"/>
            <w:bottom w:val="none" w:sz="0" w:space="0" w:color="auto"/>
            <w:right w:val="none" w:sz="0" w:space="0" w:color="auto"/>
          </w:divBdr>
          <w:divsChild>
            <w:div w:id="600647685">
              <w:marLeft w:val="0"/>
              <w:marRight w:val="0"/>
              <w:marTop w:val="0"/>
              <w:marBottom w:val="0"/>
              <w:divBdr>
                <w:top w:val="none" w:sz="0" w:space="0" w:color="auto"/>
                <w:left w:val="none" w:sz="0" w:space="0" w:color="auto"/>
                <w:bottom w:val="none" w:sz="0" w:space="0" w:color="auto"/>
                <w:right w:val="none" w:sz="0" w:space="0" w:color="auto"/>
              </w:divBdr>
              <w:divsChild>
                <w:div w:id="15703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7756">
      <w:bodyDiv w:val="1"/>
      <w:marLeft w:val="0"/>
      <w:marRight w:val="0"/>
      <w:marTop w:val="0"/>
      <w:marBottom w:val="0"/>
      <w:divBdr>
        <w:top w:val="none" w:sz="0" w:space="0" w:color="auto"/>
        <w:left w:val="none" w:sz="0" w:space="0" w:color="auto"/>
        <w:bottom w:val="none" w:sz="0" w:space="0" w:color="auto"/>
        <w:right w:val="none" w:sz="0" w:space="0" w:color="auto"/>
      </w:divBdr>
    </w:div>
    <w:div w:id="1397318304">
      <w:bodyDiv w:val="1"/>
      <w:marLeft w:val="0"/>
      <w:marRight w:val="0"/>
      <w:marTop w:val="0"/>
      <w:marBottom w:val="0"/>
      <w:divBdr>
        <w:top w:val="none" w:sz="0" w:space="0" w:color="auto"/>
        <w:left w:val="none" w:sz="0" w:space="0" w:color="auto"/>
        <w:bottom w:val="none" w:sz="0" w:space="0" w:color="auto"/>
        <w:right w:val="none" w:sz="0" w:space="0" w:color="auto"/>
      </w:divBdr>
      <w:divsChild>
        <w:div w:id="831870190">
          <w:marLeft w:val="0"/>
          <w:marRight w:val="0"/>
          <w:marTop w:val="0"/>
          <w:marBottom w:val="0"/>
          <w:divBdr>
            <w:top w:val="none" w:sz="0" w:space="0" w:color="auto"/>
            <w:left w:val="none" w:sz="0" w:space="0" w:color="auto"/>
            <w:bottom w:val="none" w:sz="0" w:space="0" w:color="auto"/>
            <w:right w:val="none" w:sz="0" w:space="0" w:color="auto"/>
          </w:divBdr>
        </w:div>
      </w:divsChild>
    </w:div>
    <w:div w:id="1397973794">
      <w:bodyDiv w:val="1"/>
      <w:marLeft w:val="0"/>
      <w:marRight w:val="0"/>
      <w:marTop w:val="0"/>
      <w:marBottom w:val="0"/>
      <w:divBdr>
        <w:top w:val="none" w:sz="0" w:space="0" w:color="auto"/>
        <w:left w:val="none" w:sz="0" w:space="0" w:color="auto"/>
        <w:bottom w:val="none" w:sz="0" w:space="0" w:color="auto"/>
        <w:right w:val="none" w:sz="0" w:space="0" w:color="auto"/>
      </w:divBdr>
      <w:divsChild>
        <w:div w:id="848179259">
          <w:marLeft w:val="0"/>
          <w:marRight w:val="0"/>
          <w:marTop w:val="0"/>
          <w:marBottom w:val="0"/>
          <w:divBdr>
            <w:top w:val="none" w:sz="0" w:space="0" w:color="auto"/>
            <w:left w:val="none" w:sz="0" w:space="0" w:color="auto"/>
            <w:bottom w:val="none" w:sz="0" w:space="0" w:color="auto"/>
            <w:right w:val="none" w:sz="0" w:space="0" w:color="auto"/>
          </w:divBdr>
          <w:divsChild>
            <w:div w:id="544416151">
              <w:marLeft w:val="0"/>
              <w:marRight w:val="0"/>
              <w:marTop w:val="0"/>
              <w:marBottom w:val="0"/>
              <w:divBdr>
                <w:top w:val="none" w:sz="0" w:space="0" w:color="auto"/>
                <w:left w:val="none" w:sz="0" w:space="0" w:color="auto"/>
                <w:bottom w:val="none" w:sz="0" w:space="0" w:color="auto"/>
                <w:right w:val="none" w:sz="0" w:space="0" w:color="auto"/>
              </w:divBdr>
              <w:divsChild>
                <w:div w:id="3010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6737">
      <w:bodyDiv w:val="1"/>
      <w:marLeft w:val="0"/>
      <w:marRight w:val="0"/>
      <w:marTop w:val="0"/>
      <w:marBottom w:val="0"/>
      <w:divBdr>
        <w:top w:val="none" w:sz="0" w:space="0" w:color="auto"/>
        <w:left w:val="none" w:sz="0" w:space="0" w:color="auto"/>
        <w:bottom w:val="none" w:sz="0" w:space="0" w:color="auto"/>
        <w:right w:val="none" w:sz="0" w:space="0" w:color="auto"/>
      </w:divBdr>
    </w:div>
    <w:div w:id="1472207445">
      <w:bodyDiv w:val="1"/>
      <w:marLeft w:val="0"/>
      <w:marRight w:val="0"/>
      <w:marTop w:val="0"/>
      <w:marBottom w:val="0"/>
      <w:divBdr>
        <w:top w:val="none" w:sz="0" w:space="0" w:color="auto"/>
        <w:left w:val="none" w:sz="0" w:space="0" w:color="auto"/>
        <w:bottom w:val="none" w:sz="0" w:space="0" w:color="auto"/>
        <w:right w:val="none" w:sz="0" w:space="0" w:color="auto"/>
      </w:divBdr>
      <w:divsChild>
        <w:div w:id="188643155">
          <w:marLeft w:val="0"/>
          <w:marRight w:val="0"/>
          <w:marTop w:val="0"/>
          <w:marBottom w:val="0"/>
          <w:divBdr>
            <w:top w:val="none" w:sz="0" w:space="0" w:color="auto"/>
            <w:left w:val="none" w:sz="0" w:space="0" w:color="auto"/>
            <w:bottom w:val="none" w:sz="0" w:space="0" w:color="auto"/>
            <w:right w:val="none" w:sz="0" w:space="0" w:color="auto"/>
          </w:divBdr>
          <w:divsChild>
            <w:div w:id="1068723141">
              <w:marLeft w:val="0"/>
              <w:marRight w:val="0"/>
              <w:marTop w:val="0"/>
              <w:marBottom w:val="0"/>
              <w:divBdr>
                <w:top w:val="none" w:sz="0" w:space="0" w:color="auto"/>
                <w:left w:val="none" w:sz="0" w:space="0" w:color="auto"/>
                <w:bottom w:val="none" w:sz="0" w:space="0" w:color="auto"/>
                <w:right w:val="none" w:sz="0" w:space="0" w:color="auto"/>
              </w:divBdr>
              <w:divsChild>
                <w:div w:id="7359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7743">
      <w:bodyDiv w:val="1"/>
      <w:marLeft w:val="0"/>
      <w:marRight w:val="0"/>
      <w:marTop w:val="0"/>
      <w:marBottom w:val="0"/>
      <w:divBdr>
        <w:top w:val="none" w:sz="0" w:space="0" w:color="auto"/>
        <w:left w:val="none" w:sz="0" w:space="0" w:color="auto"/>
        <w:bottom w:val="none" w:sz="0" w:space="0" w:color="auto"/>
        <w:right w:val="none" w:sz="0" w:space="0" w:color="auto"/>
      </w:divBdr>
    </w:div>
    <w:div w:id="1480534540">
      <w:bodyDiv w:val="1"/>
      <w:marLeft w:val="0"/>
      <w:marRight w:val="0"/>
      <w:marTop w:val="0"/>
      <w:marBottom w:val="0"/>
      <w:divBdr>
        <w:top w:val="none" w:sz="0" w:space="0" w:color="auto"/>
        <w:left w:val="none" w:sz="0" w:space="0" w:color="auto"/>
        <w:bottom w:val="none" w:sz="0" w:space="0" w:color="auto"/>
        <w:right w:val="none" w:sz="0" w:space="0" w:color="auto"/>
      </w:divBdr>
    </w:div>
    <w:div w:id="1504200992">
      <w:bodyDiv w:val="1"/>
      <w:marLeft w:val="0"/>
      <w:marRight w:val="0"/>
      <w:marTop w:val="0"/>
      <w:marBottom w:val="0"/>
      <w:divBdr>
        <w:top w:val="none" w:sz="0" w:space="0" w:color="auto"/>
        <w:left w:val="none" w:sz="0" w:space="0" w:color="auto"/>
        <w:bottom w:val="none" w:sz="0" w:space="0" w:color="auto"/>
        <w:right w:val="none" w:sz="0" w:space="0" w:color="auto"/>
      </w:divBdr>
      <w:divsChild>
        <w:div w:id="170947447">
          <w:marLeft w:val="0"/>
          <w:marRight w:val="0"/>
          <w:marTop w:val="0"/>
          <w:marBottom w:val="0"/>
          <w:divBdr>
            <w:top w:val="none" w:sz="0" w:space="0" w:color="auto"/>
            <w:left w:val="none" w:sz="0" w:space="0" w:color="auto"/>
            <w:bottom w:val="none" w:sz="0" w:space="0" w:color="auto"/>
            <w:right w:val="none" w:sz="0" w:space="0" w:color="auto"/>
          </w:divBdr>
          <w:divsChild>
            <w:div w:id="1556549049">
              <w:marLeft w:val="0"/>
              <w:marRight w:val="0"/>
              <w:marTop w:val="0"/>
              <w:marBottom w:val="0"/>
              <w:divBdr>
                <w:top w:val="none" w:sz="0" w:space="0" w:color="auto"/>
                <w:left w:val="none" w:sz="0" w:space="0" w:color="auto"/>
                <w:bottom w:val="none" w:sz="0" w:space="0" w:color="auto"/>
                <w:right w:val="none" w:sz="0" w:space="0" w:color="auto"/>
              </w:divBdr>
              <w:divsChild>
                <w:div w:id="7147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1178">
      <w:bodyDiv w:val="1"/>
      <w:marLeft w:val="0"/>
      <w:marRight w:val="0"/>
      <w:marTop w:val="0"/>
      <w:marBottom w:val="0"/>
      <w:divBdr>
        <w:top w:val="none" w:sz="0" w:space="0" w:color="auto"/>
        <w:left w:val="none" w:sz="0" w:space="0" w:color="auto"/>
        <w:bottom w:val="none" w:sz="0" w:space="0" w:color="auto"/>
        <w:right w:val="none" w:sz="0" w:space="0" w:color="auto"/>
      </w:divBdr>
      <w:divsChild>
        <w:div w:id="85809481">
          <w:marLeft w:val="0"/>
          <w:marRight w:val="0"/>
          <w:marTop w:val="0"/>
          <w:marBottom w:val="0"/>
          <w:divBdr>
            <w:top w:val="none" w:sz="0" w:space="0" w:color="auto"/>
            <w:left w:val="none" w:sz="0" w:space="0" w:color="auto"/>
            <w:bottom w:val="none" w:sz="0" w:space="0" w:color="auto"/>
            <w:right w:val="none" w:sz="0" w:space="0" w:color="auto"/>
          </w:divBdr>
          <w:divsChild>
            <w:div w:id="1526940036">
              <w:marLeft w:val="0"/>
              <w:marRight w:val="0"/>
              <w:marTop w:val="0"/>
              <w:marBottom w:val="0"/>
              <w:divBdr>
                <w:top w:val="none" w:sz="0" w:space="0" w:color="auto"/>
                <w:left w:val="none" w:sz="0" w:space="0" w:color="auto"/>
                <w:bottom w:val="none" w:sz="0" w:space="0" w:color="auto"/>
                <w:right w:val="none" w:sz="0" w:space="0" w:color="auto"/>
              </w:divBdr>
              <w:divsChild>
                <w:div w:id="13640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2975">
      <w:bodyDiv w:val="1"/>
      <w:marLeft w:val="0"/>
      <w:marRight w:val="0"/>
      <w:marTop w:val="0"/>
      <w:marBottom w:val="0"/>
      <w:divBdr>
        <w:top w:val="none" w:sz="0" w:space="0" w:color="auto"/>
        <w:left w:val="none" w:sz="0" w:space="0" w:color="auto"/>
        <w:bottom w:val="none" w:sz="0" w:space="0" w:color="auto"/>
        <w:right w:val="none" w:sz="0" w:space="0" w:color="auto"/>
      </w:divBdr>
    </w:div>
    <w:div w:id="1554853612">
      <w:bodyDiv w:val="1"/>
      <w:marLeft w:val="0"/>
      <w:marRight w:val="0"/>
      <w:marTop w:val="0"/>
      <w:marBottom w:val="0"/>
      <w:divBdr>
        <w:top w:val="none" w:sz="0" w:space="0" w:color="auto"/>
        <w:left w:val="none" w:sz="0" w:space="0" w:color="auto"/>
        <w:bottom w:val="none" w:sz="0" w:space="0" w:color="auto"/>
        <w:right w:val="none" w:sz="0" w:space="0" w:color="auto"/>
      </w:divBdr>
    </w:div>
    <w:div w:id="1597902452">
      <w:bodyDiv w:val="1"/>
      <w:marLeft w:val="0"/>
      <w:marRight w:val="0"/>
      <w:marTop w:val="0"/>
      <w:marBottom w:val="0"/>
      <w:divBdr>
        <w:top w:val="none" w:sz="0" w:space="0" w:color="auto"/>
        <w:left w:val="none" w:sz="0" w:space="0" w:color="auto"/>
        <w:bottom w:val="none" w:sz="0" w:space="0" w:color="auto"/>
        <w:right w:val="none" w:sz="0" w:space="0" w:color="auto"/>
      </w:divBdr>
      <w:divsChild>
        <w:div w:id="1743719154">
          <w:marLeft w:val="0"/>
          <w:marRight w:val="0"/>
          <w:marTop w:val="0"/>
          <w:marBottom w:val="0"/>
          <w:divBdr>
            <w:top w:val="none" w:sz="0" w:space="0" w:color="auto"/>
            <w:left w:val="none" w:sz="0" w:space="0" w:color="auto"/>
            <w:bottom w:val="none" w:sz="0" w:space="0" w:color="auto"/>
            <w:right w:val="none" w:sz="0" w:space="0" w:color="auto"/>
          </w:divBdr>
          <w:divsChild>
            <w:div w:id="1836262989">
              <w:marLeft w:val="0"/>
              <w:marRight w:val="0"/>
              <w:marTop w:val="0"/>
              <w:marBottom w:val="0"/>
              <w:divBdr>
                <w:top w:val="none" w:sz="0" w:space="0" w:color="auto"/>
                <w:left w:val="none" w:sz="0" w:space="0" w:color="auto"/>
                <w:bottom w:val="none" w:sz="0" w:space="0" w:color="auto"/>
                <w:right w:val="none" w:sz="0" w:space="0" w:color="auto"/>
              </w:divBdr>
              <w:divsChild>
                <w:div w:id="4771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2751">
      <w:bodyDiv w:val="1"/>
      <w:marLeft w:val="0"/>
      <w:marRight w:val="0"/>
      <w:marTop w:val="0"/>
      <w:marBottom w:val="0"/>
      <w:divBdr>
        <w:top w:val="none" w:sz="0" w:space="0" w:color="auto"/>
        <w:left w:val="none" w:sz="0" w:space="0" w:color="auto"/>
        <w:bottom w:val="none" w:sz="0" w:space="0" w:color="auto"/>
        <w:right w:val="none" w:sz="0" w:space="0" w:color="auto"/>
      </w:divBdr>
      <w:divsChild>
        <w:div w:id="337972618">
          <w:marLeft w:val="0"/>
          <w:marRight w:val="0"/>
          <w:marTop w:val="0"/>
          <w:marBottom w:val="0"/>
          <w:divBdr>
            <w:top w:val="none" w:sz="0" w:space="0" w:color="auto"/>
            <w:left w:val="none" w:sz="0" w:space="0" w:color="auto"/>
            <w:bottom w:val="none" w:sz="0" w:space="0" w:color="auto"/>
            <w:right w:val="none" w:sz="0" w:space="0" w:color="auto"/>
          </w:divBdr>
          <w:divsChild>
            <w:div w:id="1145510874">
              <w:marLeft w:val="0"/>
              <w:marRight w:val="0"/>
              <w:marTop w:val="0"/>
              <w:marBottom w:val="0"/>
              <w:divBdr>
                <w:top w:val="none" w:sz="0" w:space="0" w:color="auto"/>
                <w:left w:val="none" w:sz="0" w:space="0" w:color="auto"/>
                <w:bottom w:val="none" w:sz="0" w:space="0" w:color="auto"/>
                <w:right w:val="none" w:sz="0" w:space="0" w:color="auto"/>
              </w:divBdr>
              <w:divsChild>
                <w:div w:id="6774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6510">
      <w:bodyDiv w:val="1"/>
      <w:marLeft w:val="0"/>
      <w:marRight w:val="0"/>
      <w:marTop w:val="0"/>
      <w:marBottom w:val="0"/>
      <w:divBdr>
        <w:top w:val="none" w:sz="0" w:space="0" w:color="auto"/>
        <w:left w:val="none" w:sz="0" w:space="0" w:color="auto"/>
        <w:bottom w:val="none" w:sz="0" w:space="0" w:color="auto"/>
        <w:right w:val="none" w:sz="0" w:space="0" w:color="auto"/>
      </w:divBdr>
    </w:div>
    <w:div w:id="1651983110">
      <w:bodyDiv w:val="1"/>
      <w:marLeft w:val="0"/>
      <w:marRight w:val="0"/>
      <w:marTop w:val="0"/>
      <w:marBottom w:val="0"/>
      <w:divBdr>
        <w:top w:val="none" w:sz="0" w:space="0" w:color="auto"/>
        <w:left w:val="none" w:sz="0" w:space="0" w:color="auto"/>
        <w:bottom w:val="none" w:sz="0" w:space="0" w:color="auto"/>
        <w:right w:val="none" w:sz="0" w:space="0" w:color="auto"/>
      </w:divBdr>
    </w:div>
    <w:div w:id="1656761763">
      <w:bodyDiv w:val="1"/>
      <w:marLeft w:val="0"/>
      <w:marRight w:val="0"/>
      <w:marTop w:val="0"/>
      <w:marBottom w:val="0"/>
      <w:divBdr>
        <w:top w:val="none" w:sz="0" w:space="0" w:color="auto"/>
        <w:left w:val="none" w:sz="0" w:space="0" w:color="auto"/>
        <w:bottom w:val="none" w:sz="0" w:space="0" w:color="auto"/>
        <w:right w:val="none" w:sz="0" w:space="0" w:color="auto"/>
      </w:divBdr>
      <w:divsChild>
        <w:div w:id="2101902340">
          <w:marLeft w:val="0"/>
          <w:marRight w:val="0"/>
          <w:marTop w:val="0"/>
          <w:marBottom w:val="0"/>
          <w:divBdr>
            <w:top w:val="none" w:sz="0" w:space="0" w:color="auto"/>
            <w:left w:val="none" w:sz="0" w:space="0" w:color="auto"/>
            <w:bottom w:val="none" w:sz="0" w:space="0" w:color="auto"/>
            <w:right w:val="none" w:sz="0" w:space="0" w:color="auto"/>
          </w:divBdr>
          <w:divsChild>
            <w:div w:id="1586182685">
              <w:marLeft w:val="0"/>
              <w:marRight w:val="0"/>
              <w:marTop w:val="0"/>
              <w:marBottom w:val="0"/>
              <w:divBdr>
                <w:top w:val="none" w:sz="0" w:space="0" w:color="auto"/>
                <w:left w:val="none" w:sz="0" w:space="0" w:color="auto"/>
                <w:bottom w:val="none" w:sz="0" w:space="0" w:color="auto"/>
                <w:right w:val="none" w:sz="0" w:space="0" w:color="auto"/>
              </w:divBdr>
              <w:divsChild>
                <w:div w:id="16672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4196">
      <w:bodyDiv w:val="1"/>
      <w:marLeft w:val="0"/>
      <w:marRight w:val="0"/>
      <w:marTop w:val="0"/>
      <w:marBottom w:val="0"/>
      <w:divBdr>
        <w:top w:val="none" w:sz="0" w:space="0" w:color="auto"/>
        <w:left w:val="none" w:sz="0" w:space="0" w:color="auto"/>
        <w:bottom w:val="none" w:sz="0" w:space="0" w:color="auto"/>
        <w:right w:val="none" w:sz="0" w:space="0" w:color="auto"/>
      </w:divBdr>
      <w:divsChild>
        <w:div w:id="947931847">
          <w:marLeft w:val="0"/>
          <w:marRight w:val="0"/>
          <w:marTop w:val="0"/>
          <w:marBottom w:val="0"/>
          <w:divBdr>
            <w:top w:val="none" w:sz="0" w:space="0" w:color="auto"/>
            <w:left w:val="none" w:sz="0" w:space="0" w:color="auto"/>
            <w:bottom w:val="none" w:sz="0" w:space="0" w:color="auto"/>
            <w:right w:val="none" w:sz="0" w:space="0" w:color="auto"/>
          </w:divBdr>
          <w:divsChild>
            <w:div w:id="98335330">
              <w:marLeft w:val="0"/>
              <w:marRight w:val="0"/>
              <w:marTop w:val="0"/>
              <w:marBottom w:val="0"/>
              <w:divBdr>
                <w:top w:val="none" w:sz="0" w:space="0" w:color="auto"/>
                <w:left w:val="none" w:sz="0" w:space="0" w:color="auto"/>
                <w:bottom w:val="none" w:sz="0" w:space="0" w:color="auto"/>
                <w:right w:val="none" w:sz="0" w:space="0" w:color="auto"/>
              </w:divBdr>
              <w:divsChild>
                <w:div w:id="1604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187">
      <w:bodyDiv w:val="1"/>
      <w:marLeft w:val="0"/>
      <w:marRight w:val="0"/>
      <w:marTop w:val="0"/>
      <w:marBottom w:val="0"/>
      <w:divBdr>
        <w:top w:val="none" w:sz="0" w:space="0" w:color="auto"/>
        <w:left w:val="none" w:sz="0" w:space="0" w:color="auto"/>
        <w:bottom w:val="none" w:sz="0" w:space="0" w:color="auto"/>
        <w:right w:val="none" w:sz="0" w:space="0" w:color="auto"/>
      </w:divBdr>
      <w:divsChild>
        <w:div w:id="517089255">
          <w:marLeft w:val="0"/>
          <w:marRight w:val="0"/>
          <w:marTop w:val="0"/>
          <w:marBottom w:val="0"/>
          <w:divBdr>
            <w:top w:val="none" w:sz="0" w:space="0" w:color="auto"/>
            <w:left w:val="none" w:sz="0" w:space="0" w:color="auto"/>
            <w:bottom w:val="none" w:sz="0" w:space="0" w:color="auto"/>
            <w:right w:val="none" w:sz="0" w:space="0" w:color="auto"/>
          </w:divBdr>
          <w:divsChild>
            <w:div w:id="2055038096">
              <w:marLeft w:val="0"/>
              <w:marRight w:val="0"/>
              <w:marTop w:val="0"/>
              <w:marBottom w:val="0"/>
              <w:divBdr>
                <w:top w:val="none" w:sz="0" w:space="0" w:color="auto"/>
                <w:left w:val="none" w:sz="0" w:space="0" w:color="auto"/>
                <w:bottom w:val="none" w:sz="0" w:space="0" w:color="auto"/>
                <w:right w:val="none" w:sz="0" w:space="0" w:color="auto"/>
              </w:divBdr>
              <w:divsChild>
                <w:div w:id="753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00">
      <w:bodyDiv w:val="1"/>
      <w:marLeft w:val="0"/>
      <w:marRight w:val="0"/>
      <w:marTop w:val="0"/>
      <w:marBottom w:val="0"/>
      <w:divBdr>
        <w:top w:val="none" w:sz="0" w:space="0" w:color="auto"/>
        <w:left w:val="none" w:sz="0" w:space="0" w:color="auto"/>
        <w:bottom w:val="none" w:sz="0" w:space="0" w:color="auto"/>
        <w:right w:val="none" w:sz="0" w:space="0" w:color="auto"/>
      </w:divBdr>
      <w:divsChild>
        <w:div w:id="1054550205">
          <w:marLeft w:val="0"/>
          <w:marRight w:val="0"/>
          <w:marTop w:val="0"/>
          <w:marBottom w:val="0"/>
          <w:divBdr>
            <w:top w:val="none" w:sz="0" w:space="0" w:color="auto"/>
            <w:left w:val="none" w:sz="0" w:space="0" w:color="auto"/>
            <w:bottom w:val="none" w:sz="0" w:space="0" w:color="auto"/>
            <w:right w:val="none" w:sz="0" w:space="0" w:color="auto"/>
          </w:divBdr>
          <w:divsChild>
            <w:div w:id="2061392193">
              <w:marLeft w:val="0"/>
              <w:marRight w:val="0"/>
              <w:marTop w:val="0"/>
              <w:marBottom w:val="0"/>
              <w:divBdr>
                <w:top w:val="none" w:sz="0" w:space="0" w:color="auto"/>
                <w:left w:val="none" w:sz="0" w:space="0" w:color="auto"/>
                <w:bottom w:val="none" w:sz="0" w:space="0" w:color="auto"/>
                <w:right w:val="none" w:sz="0" w:space="0" w:color="auto"/>
              </w:divBdr>
              <w:divsChild>
                <w:div w:id="3547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6564">
      <w:bodyDiv w:val="1"/>
      <w:marLeft w:val="0"/>
      <w:marRight w:val="0"/>
      <w:marTop w:val="0"/>
      <w:marBottom w:val="0"/>
      <w:divBdr>
        <w:top w:val="none" w:sz="0" w:space="0" w:color="auto"/>
        <w:left w:val="none" w:sz="0" w:space="0" w:color="auto"/>
        <w:bottom w:val="none" w:sz="0" w:space="0" w:color="auto"/>
        <w:right w:val="none" w:sz="0" w:space="0" w:color="auto"/>
      </w:divBdr>
    </w:div>
    <w:div w:id="1811512108">
      <w:bodyDiv w:val="1"/>
      <w:marLeft w:val="0"/>
      <w:marRight w:val="0"/>
      <w:marTop w:val="0"/>
      <w:marBottom w:val="0"/>
      <w:divBdr>
        <w:top w:val="none" w:sz="0" w:space="0" w:color="auto"/>
        <w:left w:val="none" w:sz="0" w:space="0" w:color="auto"/>
        <w:bottom w:val="none" w:sz="0" w:space="0" w:color="auto"/>
        <w:right w:val="none" w:sz="0" w:space="0" w:color="auto"/>
      </w:divBdr>
      <w:divsChild>
        <w:div w:id="2141071943">
          <w:marLeft w:val="0"/>
          <w:marRight w:val="0"/>
          <w:marTop w:val="0"/>
          <w:marBottom w:val="0"/>
          <w:divBdr>
            <w:top w:val="none" w:sz="0" w:space="0" w:color="auto"/>
            <w:left w:val="none" w:sz="0" w:space="0" w:color="auto"/>
            <w:bottom w:val="none" w:sz="0" w:space="0" w:color="auto"/>
            <w:right w:val="none" w:sz="0" w:space="0" w:color="auto"/>
          </w:divBdr>
          <w:divsChild>
            <w:div w:id="1631742533">
              <w:marLeft w:val="0"/>
              <w:marRight w:val="0"/>
              <w:marTop w:val="0"/>
              <w:marBottom w:val="0"/>
              <w:divBdr>
                <w:top w:val="none" w:sz="0" w:space="0" w:color="auto"/>
                <w:left w:val="none" w:sz="0" w:space="0" w:color="auto"/>
                <w:bottom w:val="none" w:sz="0" w:space="0" w:color="auto"/>
                <w:right w:val="none" w:sz="0" w:space="0" w:color="auto"/>
              </w:divBdr>
              <w:divsChild>
                <w:div w:id="8528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004">
      <w:bodyDiv w:val="1"/>
      <w:marLeft w:val="0"/>
      <w:marRight w:val="0"/>
      <w:marTop w:val="0"/>
      <w:marBottom w:val="0"/>
      <w:divBdr>
        <w:top w:val="none" w:sz="0" w:space="0" w:color="auto"/>
        <w:left w:val="none" w:sz="0" w:space="0" w:color="auto"/>
        <w:bottom w:val="none" w:sz="0" w:space="0" w:color="auto"/>
        <w:right w:val="none" w:sz="0" w:space="0" w:color="auto"/>
      </w:divBdr>
      <w:divsChild>
        <w:div w:id="1907959997">
          <w:marLeft w:val="0"/>
          <w:marRight w:val="0"/>
          <w:marTop w:val="0"/>
          <w:marBottom w:val="0"/>
          <w:divBdr>
            <w:top w:val="none" w:sz="0" w:space="0" w:color="auto"/>
            <w:left w:val="none" w:sz="0" w:space="0" w:color="auto"/>
            <w:bottom w:val="none" w:sz="0" w:space="0" w:color="auto"/>
            <w:right w:val="none" w:sz="0" w:space="0" w:color="auto"/>
          </w:divBdr>
          <w:divsChild>
            <w:div w:id="1780907600">
              <w:marLeft w:val="0"/>
              <w:marRight w:val="0"/>
              <w:marTop w:val="0"/>
              <w:marBottom w:val="0"/>
              <w:divBdr>
                <w:top w:val="none" w:sz="0" w:space="0" w:color="auto"/>
                <w:left w:val="none" w:sz="0" w:space="0" w:color="auto"/>
                <w:bottom w:val="none" w:sz="0" w:space="0" w:color="auto"/>
                <w:right w:val="none" w:sz="0" w:space="0" w:color="auto"/>
              </w:divBdr>
              <w:divsChild>
                <w:div w:id="6307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9383">
      <w:bodyDiv w:val="1"/>
      <w:marLeft w:val="0"/>
      <w:marRight w:val="0"/>
      <w:marTop w:val="0"/>
      <w:marBottom w:val="0"/>
      <w:divBdr>
        <w:top w:val="none" w:sz="0" w:space="0" w:color="auto"/>
        <w:left w:val="none" w:sz="0" w:space="0" w:color="auto"/>
        <w:bottom w:val="none" w:sz="0" w:space="0" w:color="auto"/>
        <w:right w:val="none" w:sz="0" w:space="0" w:color="auto"/>
      </w:divBdr>
    </w:div>
    <w:div w:id="1893618432">
      <w:bodyDiv w:val="1"/>
      <w:marLeft w:val="0"/>
      <w:marRight w:val="0"/>
      <w:marTop w:val="0"/>
      <w:marBottom w:val="0"/>
      <w:divBdr>
        <w:top w:val="none" w:sz="0" w:space="0" w:color="auto"/>
        <w:left w:val="none" w:sz="0" w:space="0" w:color="auto"/>
        <w:bottom w:val="none" w:sz="0" w:space="0" w:color="auto"/>
        <w:right w:val="none" w:sz="0" w:space="0" w:color="auto"/>
      </w:divBdr>
      <w:divsChild>
        <w:div w:id="521473928">
          <w:marLeft w:val="0"/>
          <w:marRight w:val="0"/>
          <w:marTop w:val="0"/>
          <w:marBottom w:val="0"/>
          <w:divBdr>
            <w:top w:val="none" w:sz="0" w:space="0" w:color="auto"/>
            <w:left w:val="none" w:sz="0" w:space="0" w:color="auto"/>
            <w:bottom w:val="none" w:sz="0" w:space="0" w:color="auto"/>
            <w:right w:val="none" w:sz="0" w:space="0" w:color="auto"/>
          </w:divBdr>
          <w:divsChild>
            <w:div w:id="516505822">
              <w:marLeft w:val="0"/>
              <w:marRight w:val="0"/>
              <w:marTop w:val="0"/>
              <w:marBottom w:val="0"/>
              <w:divBdr>
                <w:top w:val="none" w:sz="0" w:space="0" w:color="auto"/>
                <w:left w:val="none" w:sz="0" w:space="0" w:color="auto"/>
                <w:bottom w:val="none" w:sz="0" w:space="0" w:color="auto"/>
                <w:right w:val="none" w:sz="0" w:space="0" w:color="auto"/>
              </w:divBdr>
              <w:divsChild>
                <w:div w:id="8534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6183">
      <w:bodyDiv w:val="1"/>
      <w:marLeft w:val="0"/>
      <w:marRight w:val="0"/>
      <w:marTop w:val="0"/>
      <w:marBottom w:val="0"/>
      <w:divBdr>
        <w:top w:val="none" w:sz="0" w:space="0" w:color="auto"/>
        <w:left w:val="none" w:sz="0" w:space="0" w:color="auto"/>
        <w:bottom w:val="none" w:sz="0" w:space="0" w:color="auto"/>
        <w:right w:val="none" w:sz="0" w:space="0" w:color="auto"/>
      </w:divBdr>
    </w:div>
    <w:div w:id="1930040321">
      <w:bodyDiv w:val="1"/>
      <w:marLeft w:val="0"/>
      <w:marRight w:val="0"/>
      <w:marTop w:val="0"/>
      <w:marBottom w:val="0"/>
      <w:divBdr>
        <w:top w:val="none" w:sz="0" w:space="0" w:color="auto"/>
        <w:left w:val="none" w:sz="0" w:space="0" w:color="auto"/>
        <w:bottom w:val="none" w:sz="0" w:space="0" w:color="auto"/>
        <w:right w:val="none" w:sz="0" w:space="0" w:color="auto"/>
      </w:divBdr>
    </w:div>
    <w:div w:id="1985810520">
      <w:bodyDiv w:val="1"/>
      <w:marLeft w:val="0"/>
      <w:marRight w:val="0"/>
      <w:marTop w:val="0"/>
      <w:marBottom w:val="0"/>
      <w:divBdr>
        <w:top w:val="none" w:sz="0" w:space="0" w:color="auto"/>
        <w:left w:val="none" w:sz="0" w:space="0" w:color="auto"/>
        <w:bottom w:val="none" w:sz="0" w:space="0" w:color="auto"/>
        <w:right w:val="none" w:sz="0" w:space="0" w:color="auto"/>
      </w:divBdr>
      <w:divsChild>
        <w:div w:id="464395586">
          <w:marLeft w:val="0"/>
          <w:marRight w:val="0"/>
          <w:marTop w:val="0"/>
          <w:marBottom w:val="0"/>
          <w:divBdr>
            <w:top w:val="none" w:sz="0" w:space="0" w:color="auto"/>
            <w:left w:val="none" w:sz="0" w:space="0" w:color="auto"/>
            <w:bottom w:val="none" w:sz="0" w:space="0" w:color="auto"/>
            <w:right w:val="none" w:sz="0" w:space="0" w:color="auto"/>
          </w:divBdr>
          <w:divsChild>
            <w:div w:id="1704356675">
              <w:marLeft w:val="0"/>
              <w:marRight w:val="0"/>
              <w:marTop w:val="0"/>
              <w:marBottom w:val="0"/>
              <w:divBdr>
                <w:top w:val="none" w:sz="0" w:space="0" w:color="auto"/>
                <w:left w:val="none" w:sz="0" w:space="0" w:color="auto"/>
                <w:bottom w:val="none" w:sz="0" w:space="0" w:color="auto"/>
                <w:right w:val="none" w:sz="0" w:space="0" w:color="auto"/>
              </w:divBdr>
              <w:divsChild>
                <w:div w:id="2085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8286">
      <w:bodyDiv w:val="1"/>
      <w:marLeft w:val="0"/>
      <w:marRight w:val="0"/>
      <w:marTop w:val="0"/>
      <w:marBottom w:val="0"/>
      <w:divBdr>
        <w:top w:val="none" w:sz="0" w:space="0" w:color="auto"/>
        <w:left w:val="none" w:sz="0" w:space="0" w:color="auto"/>
        <w:bottom w:val="none" w:sz="0" w:space="0" w:color="auto"/>
        <w:right w:val="none" w:sz="0" w:space="0" w:color="auto"/>
      </w:divBdr>
      <w:divsChild>
        <w:div w:id="1300649690">
          <w:marLeft w:val="0"/>
          <w:marRight w:val="0"/>
          <w:marTop w:val="0"/>
          <w:marBottom w:val="0"/>
          <w:divBdr>
            <w:top w:val="none" w:sz="0" w:space="0" w:color="auto"/>
            <w:left w:val="none" w:sz="0" w:space="0" w:color="auto"/>
            <w:bottom w:val="none" w:sz="0" w:space="0" w:color="auto"/>
            <w:right w:val="none" w:sz="0" w:space="0" w:color="auto"/>
          </w:divBdr>
          <w:divsChild>
            <w:div w:id="1753235346">
              <w:marLeft w:val="0"/>
              <w:marRight w:val="0"/>
              <w:marTop w:val="0"/>
              <w:marBottom w:val="0"/>
              <w:divBdr>
                <w:top w:val="none" w:sz="0" w:space="0" w:color="auto"/>
                <w:left w:val="none" w:sz="0" w:space="0" w:color="auto"/>
                <w:bottom w:val="none" w:sz="0" w:space="0" w:color="auto"/>
                <w:right w:val="none" w:sz="0" w:space="0" w:color="auto"/>
              </w:divBdr>
              <w:divsChild>
                <w:div w:id="15440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5854">
      <w:bodyDiv w:val="1"/>
      <w:marLeft w:val="0"/>
      <w:marRight w:val="0"/>
      <w:marTop w:val="0"/>
      <w:marBottom w:val="0"/>
      <w:divBdr>
        <w:top w:val="none" w:sz="0" w:space="0" w:color="auto"/>
        <w:left w:val="none" w:sz="0" w:space="0" w:color="auto"/>
        <w:bottom w:val="none" w:sz="0" w:space="0" w:color="auto"/>
        <w:right w:val="none" w:sz="0" w:space="0" w:color="auto"/>
      </w:divBdr>
    </w:div>
    <w:div w:id="2126342142">
      <w:bodyDiv w:val="1"/>
      <w:marLeft w:val="0"/>
      <w:marRight w:val="0"/>
      <w:marTop w:val="0"/>
      <w:marBottom w:val="0"/>
      <w:divBdr>
        <w:top w:val="none" w:sz="0" w:space="0" w:color="auto"/>
        <w:left w:val="none" w:sz="0" w:space="0" w:color="auto"/>
        <w:bottom w:val="none" w:sz="0" w:space="0" w:color="auto"/>
        <w:right w:val="none" w:sz="0" w:space="0" w:color="auto"/>
      </w:divBdr>
      <w:divsChild>
        <w:div w:id="429930847">
          <w:marLeft w:val="0"/>
          <w:marRight w:val="0"/>
          <w:marTop w:val="0"/>
          <w:marBottom w:val="0"/>
          <w:divBdr>
            <w:top w:val="none" w:sz="0" w:space="0" w:color="auto"/>
            <w:left w:val="none" w:sz="0" w:space="0" w:color="auto"/>
            <w:bottom w:val="none" w:sz="0" w:space="0" w:color="auto"/>
            <w:right w:val="none" w:sz="0" w:space="0" w:color="auto"/>
          </w:divBdr>
          <w:divsChild>
            <w:div w:id="959336971">
              <w:marLeft w:val="0"/>
              <w:marRight w:val="0"/>
              <w:marTop w:val="0"/>
              <w:marBottom w:val="0"/>
              <w:divBdr>
                <w:top w:val="none" w:sz="0" w:space="0" w:color="auto"/>
                <w:left w:val="none" w:sz="0" w:space="0" w:color="auto"/>
                <w:bottom w:val="none" w:sz="0" w:space="0" w:color="auto"/>
                <w:right w:val="none" w:sz="0" w:space="0" w:color="auto"/>
              </w:divBdr>
              <w:divsChild>
                <w:div w:id="275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1483">
      <w:bodyDiv w:val="1"/>
      <w:marLeft w:val="0"/>
      <w:marRight w:val="0"/>
      <w:marTop w:val="0"/>
      <w:marBottom w:val="0"/>
      <w:divBdr>
        <w:top w:val="none" w:sz="0" w:space="0" w:color="auto"/>
        <w:left w:val="none" w:sz="0" w:space="0" w:color="auto"/>
        <w:bottom w:val="none" w:sz="0" w:space="0" w:color="auto"/>
        <w:right w:val="none" w:sz="0" w:space="0" w:color="auto"/>
      </w:divBdr>
      <w:divsChild>
        <w:div w:id="1115638242">
          <w:marLeft w:val="0"/>
          <w:marRight w:val="0"/>
          <w:marTop w:val="0"/>
          <w:marBottom w:val="0"/>
          <w:divBdr>
            <w:top w:val="none" w:sz="0" w:space="0" w:color="auto"/>
            <w:left w:val="none" w:sz="0" w:space="0" w:color="auto"/>
            <w:bottom w:val="none" w:sz="0" w:space="0" w:color="auto"/>
            <w:right w:val="none" w:sz="0" w:space="0" w:color="auto"/>
          </w:divBdr>
          <w:divsChild>
            <w:div w:id="1965453702">
              <w:marLeft w:val="0"/>
              <w:marRight w:val="0"/>
              <w:marTop w:val="0"/>
              <w:marBottom w:val="0"/>
              <w:divBdr>
                <w:top w:val="none" w:sz="0" w:space="0" w:color="auto"/>
                <w:left w:val="none" w:sz="0" w:space="0" w:color="auto"/>
                <w:bottom w:val="none" w:sz="0" w:space="0" w:color="auto"/>
                <w:right w:val="none" w:sz="0" w:space="0" w:color="auto"/>
              </w:divBdr>
              <w:divsChild>
                <w:div w:id="8578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23</Pages>
  <Words>8326</Words>
  <Characters>47459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Simon</cp:lastModifiedBy>
  <cp:revision>209</cp:revision>
  <dcterms:created xsi:type="dcterms:W3CDTF">2022-02-07T12:35:00Z</dcterms:created>
  <dcterms:modified xsi:type="dcterms:W3CDTF">2022-07-31T05:45:00Z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