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7E03FA" w14:paraId="3C6EE51E" w14:textId="5DF88E10">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rsidR="004B23A2" w:rsidP="00592F82" w:rsidRDefault="004B23A2" w14:paraId="05588459" w14:textId="77777777">
      <w:pPr>
        <w:jc w:val="center"/>
        <w:rPr>
          <w:rFonts w:ascii="Arial" w:hAnsi="Arial" w:cs="Arial"/>
          <w:b/>
          <w:sz w:val="22"/>
          <w:szCs w:val="22"/>
          <w:lang w:val="en-GB"/>
        </w:rPr>
      </w:pPr>
    </w:p>
    <w:p w:rsidR="00397D3A" w:rsidP="00592F82" w:rsidRDefault="00397D3A" w14:paraId="2FD9F2A5" w14:textId="77777777">
      <w:pPr>
        <w:jc w:val="center"/>
        <w:rPr>
          <w:rFonts w:ascii="Arial" w:hAnsi="Arial" w:cs="Arial"/>
          <w:b/>
          <w:sz w:val="22"/>
          <w:szCs w:val="22"/>
          <w:lang w:val="en-GB"/>
        </w:rPr>
      </w:pPr>
    </w:p>
    <w:p w:rsidR="00437297" w:rsidP="00592F82" w:rsidRDefault="00437297" w14:paraId="573E7324" w14:textId="77777777">
      <w:pPr>
        <w:jc w:val="center"/>
        <w:rPr>
          <w:rFonts w:ascii="Arial" w:hAnsi="Arial" w:cs="Arial"/>
          <w:b/>
          <w:sz w:val="22"/>
          <w:szCs w:val="22"/>
          <w:lang w:val="en-GB"/>
        </w:rPr>
      </w:pPr>
    </w:p>
    <w:p w:rsidR="00437297" w:rsidP="00592F82" w:rsidRDefault="00437297" w14:paraId="11D405B2" w14:textId="77777777">
      <w:pPr>
        <w:jc w:val="center"/>
        <w:rPr>
          <w:rFonts w:ascii="Arial" w:hAnsi="Arial" w:cs="Arial"/>
          <w:b/>
          <w:sz w:val="22"/>
          <w:szCs w:val="22"/>
          <w:lang w:val="en-GB"/>
        </w:rPr>
      </w:pPr>
    </w:p>
    <w:p w:rsidR="00397D3A" w:rsidP="00592F82" w:rsidRDefault="00397D3A" w14:paraId="0DEB3A6F" w14:textId="77777777">
      <w:pPr>
        <w:jc w:val="center"/>
        <w:rPr>
          <w:rFonts w:ascii="Arial" w:hAnsi="Arial" w:cs="Arial"/>
          <w:b/>
          <w:sz w:val="22"/>
          <w:szCs w:val="22"/>
          <w:lang w:val="en-GB"/>
        </w:rPr>
      </w:pPr>
    </w:p>
    <w:p w:rsidR="00397D3A" w:rsidP="00592F82" w:rsidRDefault="00397D3A" w14:paraId="142D73B7" w14:textId="77777777">
      <w:pPr>
        <w:jc w:val="center"/>
        <w:rPr>
          <w:rFonts w:ascii="Arial" w:hAnsi="Arial" w:cs="Arial"/>
          <w:b/>
          <w:sz w:val="22"/>
          <w:szCs w:val="22"/>
          <w:lang w:val="en-GB"/>
        </w:rPr>
      </w:pPr>
    </w:p>
    <w:p w:rsidR="00E93993" w:rsidP="00592F82" w:rsidRDefault="00E93993" w14:paraId="2EBD0095" w14:textId="77777777">
      <w:pPr>
        <w:jc w:val="center"/>
        <w:rPr>
          <w:rFonts w:ascii="Arial" w:hAnsi="Arial" w:cs="Arial"/>
          <w:b/>
          <w:sz w:val="22"/>
          <w:szCs w:val="22"/>
          <w:lang w:val="en-GB"/>
        </w:rPr>
      </w:pPr>
    </w:p>
    <w:p w:rsidR="00434A8C" w:rsidP="007E03FA" w:rsidRDefault="00434A8C" w14:paraId="23CC2A73"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2"/>
          <w:szCs w:val="22"/>
          <w:lang w:val="en-GB"/>
        </w:rPr>
      </w:pPr>
    </w:p>
    <w:p w:rsidR="0011473D" w:rsidP="007E03FA" w:rsidRDefault="00C56B61" w14:paraId="6A853AD7" w14:textId="7FA97F7B">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Pr="003C4471" w:rsidR="009D081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rsidR="002638B0" w:rsidP="007E03FA" w:rsidRDefault="002638B0" w14:paraId="142F4BBC"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p>
    <w:p w:rsidRPr="00E11C54" w:rsidR="002638B0" w:rsidP="007E03FA" w:rsidRDefault="00661556" w14:paraId="757927E9" w14:textId="7478BFD8">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rsidRPr="007C6201" w:rsidR="00434A8C" w:rsidP="007E03FA" w:rsidRDefault="00434A8C" w14:paraId="43FD13D3"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2"/>
          <w:szCs w:val="22"/>
          <w:lang w:val="en-GB"/>
        </w:rPr>
      </w:pPr>
    </w:p>
    <w:p w:rsidR="009D0811" w:rsidP="00592F82" w:rsidRDefault="009D0811" w14:paraId="5EEE5AFE" w14:textId="77777777">
      <w:pPr>
        <w:jc w:val="center"/>
        <w:rPr>
          <w:rFonts w:ascii="Arial" w:hAnsi="Arial" w:cs="Arial"/>
          <w:b/>
          <w:sz w:val="22"/>
          <w:szCs w:val="22"/>
          <w:lang w:val="en-GB"/>
        </w:rPr>
      </w:pPr>
    </w:p>
    <w:p w:rsidR="00E93993" w:rsidP="00592F82" w:rsidRDefault="00E93993" w14:paraId="7925BE34" w14:textId="77777777">
      <w:pPr>
        <w:jc w:val="center"/>
        <w:rPr>
          <w:rFonts w:ascii="Arial" w:hAnsi="Arial" w:cs="Arial"/>
          <w:b/>
          <w:sz w:val="22"/>
          <w:szCs w:val="22"/>
          <w:lang w:val="en-GB"/>
        </w:rPr>
      </w:pPr>
    </w:p>
    <w:p w:rsidR="00397D3A" w:rsidP="00592F82" w:rsidRDefault="00397D3A" w14:paraId="37FEBB5D" w14:textId="77777777">
      <w:pPr>
        <w:jc w:val="center"/>
        <w:rPr>
          <w:rFonts w:ascii="Arial" w:hAnsi="Arial" w:cs="Arial"/>
          <w:b/>
          <w:sz w:val="22"/>
          <w:szCs w:val="22"/>
          <w:lang w:val="en-GB"/>
        </w:rPr>
      </w:pPr>
    </w:p>
    <w:p w:rsidR="00397D3A" w:rsidP="00592F82" w:rsidRDefault="00397D3A" w14:paraId="4266BCF8" w14:textId="77777777">
      <w:pPr>
        <w:jc w:val="center"/>
        <w:rPr>
          <w:rFonts w:ascii="Arial" w:hAnsi="Arial" w:cs="Arial"/>
          <w:b/>
          <w:sz w:val="22"/>
          <w:szCs w:val="22"/>
          <w:lang w:val="en-GB"/>
        </w:rPr>
      </w:pPr>
    </w:p>
    <w:p w:rsidR="00437297" w:rsidP="00592F82" w:rsidRDefault="00437297" w14:paraId="7A6C5C4B" w14:textId="77777777">
      <w:pPr>
        <w:jc w:val="center"/>
        <w:rPr>
          <w:rFonts w:ascii="Arial" w:hAnsi="Arial" w:cs="Arial"/>
          <w:b/>
          <w:sz w:val="22"/>
          <w:szCs w:val="22"/>
          <w:lang w:val="en-GB"/>
        </w:rPr>
      </w:pPr>
    </w:p>
    <w:p w:rsidR="00397D3A" w:rsidP="00592F82" w:rsidRDefault="00397D3A" w14:paraId="2A1DA029" w14:textId="77777777">
      <w:pPr>
        <w:jc w:val="center"/>
        <w:rPr>
          <w:rFonts w:ascii="Arial" w:hAnsi="Arial" w:cs="Arial"/>
          <w:b/>
          <w:sz w:val="22"/>
          <w:szCs w:val="22"/>
          <w:lang w:val="en-GB"/>
        </w:rPr>
      </w:pPr>
    </w:p>
    <w:p w:rsidR="00397D3A" w:rsidP="00592F82" w:rsidRDefault="00397D3A" w14:paraId="4D96028F" w14:textId="77777777">
      <w:pPr>
        <w:jc w:val="center"/>
        <w:rPr>
          <w:rFonts w:ascii="Arial" w:hAnsi="Arial" w:cs="Arial"/>
          <w:b/>
          <w:sz w:val="22"/>
          <w:szCs w:val="22"/>
          <w:lang w:val="en-GB"/>
        </w:rPr>
      </w:pPr>
    </w:p>
    <w:p w:rsidR="00DB56F2" w:rsidP="00007BF3" w:rsidRDefault="00DB56F2" w14:paraId="0EED1499"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4A2D83" w:rsidP="00007BF3" w:rsidRDefault="004A2D83" w14:paraId="383BF398" w14:textId="0FD0FEA3">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rsidR="004A2D83" w:rsidP="00007BF3" w:rsidRDefault="004A2D83" w14:paraId="6EFCE908"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004A2D83" w:rsidP="00007BF3" w:rsidRDefault="004A2D83" w14:paraId="397E344E"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Pr="00DB56F2" w:rsidR="004A2D83" w:rsidP="00007BF3" w:rsidRDefault="004A2D83" w14:paraId="39A96E7A" w14:textId="61DD7DBD">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007BF3" w:rsidRDefault="00DB56F2" w14:paraId="34000581"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793173" w:rsidP="007C6201" w:rsidRDefault="00793173" w14:paraId="7FDFEEC4" w14:textId="77777777">
      <w:pPr>
        <w:jc w:val="both"/>
        <w:rPr>
          <w:rFonts w:ascii="Arial" w:hAnsi="Arial" w:cs="Arial"/>
          <w:b/>
          <w:sz w:val="22"/>
          <w:szCs w:val="22"/>
          <w:lang w:val="en-GB"/>
        </w:rPr>
      </w:pPr>
    </w:p>
    <w:p w:rsidR="00DB56F2" w:rsidP="007C6201" w:rsidRDefault="00DB56F2" w14:paraId="4CD7CB4A" w14:textId="77777777">
      <w:pPr>
        <w:jc w:val="both"/>
        <w:rPr>
          <w:rFonts w:ascii="Arial" w:hAnsi="Arial" w:cs="Arial"/>
          <w:b/>
          <w:sz w:val="22"/>
          <w:szCs w:val="22"/>
          <w:lang w:val="en-GB"/>
        </w:rPr>
      </w:pPr>
    </w:p>
    <w:p w:rsidR="00397D3A" w:rsidP="007C6201" w:rsidRDefault="00397D3A" w14:paraId="0D9EB9EA" w14:textId="77777777">
      <w:pPr>
        <w:jc w:val="both"/>
        <w:rPr>
          <w:rFonts w:ascii="Arial" w:hAnsi="Arial" w:cs="Arial"/>
          <w:b/>
          <w:sz w:val="22"/>
          <w:szCs w:val="22"/>
          <w:lang w:val="en-GB"/>
        </w:rPr>
      </w:pPr>
    </w:p>
    <w:p w:rsidR="00397D3A" w:rsidP="007C6201" w:rsidRDefault="00397D3A" w14:paraId="1D4F0C4B" w14:textId="77777777">
      <w:pPr>
        <w:jc w:val="both"/>
        <w:rPr>
          <w:rFonts w:ascii="Arial" w:hAnsi="Arial" w:cs="Arial"/>
          <w:b/>
          <w:sz w:val="22"/>
          <w:szCs w:val="22"/>
          <w:lang w:val="en-GB"/>
        </w:rPr>
      </w:pPr>
    </w:p>
    <w:p w:rsidR="00397D3A" w:rsidP="007C6201" w:rsidRDefault="00397D3A" w14:paraId="7C975B41" w14:textId="77777777">
      <w:pPr>
        <w:jc w:val="both"/>
        <w:rPr>
          <w:rFonts w:ascii="Arial" w:hAnsi="Arial" w:cs="Arial"/>
          <w:b/>
          <w:sz w:val="22"/>
          <w:szCs w:val="22"/>
          <w:lang w:val="en-GB"/>
        </w:rPr>
      </w:pPr>
    </w:p>
    <w:p w:rsidR="00397D3A" w:rsidP="007C6201" w:rsidRDefault="00397D3A" w14:paraId="5594CDCA" w14:textId="77777777">
      <w:pPr>
        <w:jc w:val="both"/>
        <w:rPr>
          <w:rFonts w:ascii="Arial" w:hAnsi="Arial" w:cs="Arial"/>
          <w:b/>
          <w:sz w:val="22"/>
          <w:szCs w:val="22"/>
          <w:lang w:val="en-GB"/>
        </w:rPr>
      </w:pPr>
    </w:p>
    <w:p w:rsidR="00397D3A" w:rsidP="007C6201" w:rsidRDefault="00397D3A" w14:paraId="48A79DEB" w14:textId="77777777">
      <w:pPr>
        <w:jc w:val="both"/>
        <w:rPr>
          <w:rFonts w:ascii="Arial" w:hAnsi="Arial" w:cs="Arial"/>
          <w:b/>
          <w:sz w:val="22"/>
          <w:szCs w:val="22"/>
          <w:lang w:val="en-GB"/>
        </w:rPr>
      </w:pPr>
    </w:p>
    <w:p w:rsidR="00397D3A" w:rsidP="007C6201" w:rsidRDefault="00397D3A" w14:paraId="61620A8C" w14:textId="77777777">
      <w:pPr>
        <w:jc w:val="both"/>
        <w:rPr>
          <w:rFonts w:ascii="Arial" w:hAnsi="Arial" w:cs="Arial"/>
          <w:b/>
          <w:sz w:val="22"/>
          <w:szCs w:val="22"/>
          <w:lang w:val="en-GB"/>
        </w:rPr>
      </w:pPr>
    </w:p>
    <w:p w:rsidR="00397D3A" w:rsidP="007C6201" w:rsidRDefault="00397D3A" w14:paraId="093B9652" w14:textId="77777777">
      <w:pPr>
        <w:jc w:val="both"/>
        <w:rPr>
          <w:rFonts w:ascii="Arial" w:hAnsi="Arial" w:cs="Arial"/>
          <w:b/>
          <w:sz w:val="22"/>
          <w:szCs w:val="22"/>
          <w:lang w:val="en-GB"/>
        </w:rPr>
      </w:pPr>
    </w:p>
    <w:p w:rsidR="00E11C54" w:rsidRDefault="00E11C54" w14:paraId="26F185F4" w14:textId="77777777">
      <w:pPr>
        <w:rPr>
          <w:rFonts w:ascii="Arial" w:hAnsi="Arial" w:cs="Arial"/>
          <w:b/>
          <w:sz w:val="22"/>
          <w:szCs w:val="22"/>
          <w:u w:val="single"/>
          <w:lang w:val="en-GB"/>
        </w:rPr>
      </w:pPr>
      <w:r>
        <w:rPr>
          <w:rFonts w:ascii="Arial" w:hAnsi="Arial" w:cs="Arial"/>
          <w:b/>
          <w:sz w:val="22"/>
          <w:szCs w:val="22"/>
          <w:u w:val="single"/>
          <w:lang w:val="en-GB"/>
        </w:rPr>
        <w:br w:type="page"/>
      </w:r>
    </w:p>
    <w:p w:rsidR="00E11C54" w:rsidP="009D0811" w:rsidRDefault="00E11C54" w14:paraId="6FA12F5A" w14:textId="77777777">
      <w:pPr>
        <w:jc w:val="center"/>
        <w:rPr>
          <w:rFonts w:ascii="Arial" w:hAnsi="Arial" w:cs="Arial"/>
          <w:b/>
          <w:sz w:val="22"/>
          <w:szCs w:val="22"/>
          <w:u w:val="single"/>
          <w:lang w:val="en-GB"/>
        </w:rPr>
      </w:pPr>
    </w:p>
    <w:p w:rsidR="00E11C54" w:rsidP="009D0811" w:rsidRDefault="00E11C54" w14:paraId="1865FD15" w14:textId="77777777">
      <w:pPr>
        <w:jc w:val="center"/>
        <w:rPr>
          <w:rFonts w:ascii="Arial" w:hAnsi="Arial" w:cs="Arial"/>
          <w:b/>
          <w:sz w:val="22"/>
          <w:szCs w:val="22"/>
          <w:u w:val="single"/>
          <w:lang w:val="en-GB"/>
        </w:rPr>
      </w:pPr>
    </w:p>
    <w:p w:rsidR="00E11C54" w:rsidP="009D0811" w:rsidRDefault="00E11C54" w14:paraId="7FD443C3" w14:textId="77777777">
      <w:pPr>
        <w:jc w:val="center"/>
        <w:rPr>
          <w:rFonts w:ascii="Arial" w:hAnsi="Arial" w:cs="Arial"/>
          <w:b/>
          <w:sz w:val="22"/>
          <w:szCs w:val="22"/>
          <w:u w:val="single"/>
          <w:lang w:val="en-GB"/>
        </w:rPr>
      </w:pPr>
    </w:p>
    <w:p w:rsidRPr="00592F82" w:rsidR="007E03FA" w:rsidP="007E03FA" w:rsidRDefault="007E03FA" w14:paraId="633648E2" w14:textId="777777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rsidRPr="00592F82" w:rsidR="007E03FA" w:rsidP="007E03FA" w:rsidRDefault="007E03FA" w14:paraId="349704CE" w14:textId="77777777">
      <w:pPr>
        <w:jc w:val="both"/>
        <w:rPr>
          <w:rFonts w:ascii="Arial" w:hAnsi="Arial" w:cs="Arial"/>
          <w:sz w:val="22"/>
          <w:szCs w:val="22"/>
          <w:lang w:val="en-GB"/>
        </w:rPr>
      </w:pPr>
    </w:p>
    <w:p w:rsidR="007E03FA" w:rsidP="007E03FA" w:rsidRDefault="007E03FA" w14:paraId="20A03299" w14:textId="77777777">
      <w:pPr>
        <w:jc w:val="both"/>
        <w:rPr>
          <w:rFonts w:ascii="Arial" w:hAnsi="Arial" w:cs="Arial"/>
          <w:b/>
          <w:sz w:val="22"/>
          <w:szCs w:val="22"/>
          <w:lang w:val="en-GB"/>
        </w:rPr>
      </w:pPr>
    </w:p>
    <w:p w:rsidRPr="001E23FD" w:rsidR="007E03FA" w:rsidP="007E03FA" w:rsidRDefault="007E03FA" w14:paraId="3CC1D04E" w14:textId="777777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Pr="001E23FD" w:rsidR="007E03FA" w:rsidP="007E03FA" w:rsidRDefault="007E03FA" w14:paraId="72610711" w14:textId="77777777">
      <w:pPr>
        <w:jc w:val="both"/>
        <w:rPr>
          <w:rFonts w:ascii="Arial" w:hAnsi="Arial" w:cs="Arial"/>
          <w:b/>
          <w:sz w:val="22"/>
          <w:szCs w:val="22"/>
          <w:lang w:val="en-GB"/>
        </w:rPr>
      </w:pPr>
    </w:p>
    <w:p w:rsidRPr="001E23FD" w:rsidR="007E03FA" w:rsidP="007E03FA" w:rsidRDefault="007E03FA" w14:paraId="0F590300" w14:textId="77777777">
      <w:pPr>
        <w:jc w:val="both"/>
        <w:rPr>
          <w:rFonts w:ascii="Arial" w:hAnsi="Arial" w:cs="Arial"/>
          <w:sz w:val="22"/>
          <w:szCs w:val="22"/>
          <w:lang w:val="en-GB"/>
        </w:rPr>
      </w:pPr>
    </w:p>
    <w:p w:rsidRPr="001E23FD" w:rsidR="007E03FA" w:rsidP="007E03FA" w:rsidRDefault="007E03FA" w14:paraId="64D4D929" w14:textId="777777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Pr="001E23FD">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1E23FD" w:rsidR="007E03FA" w:rsidP="007E03FA" w:rsidRDefault="007E03FA" w14:paraId="549BE2A5" w14:textId="77777777">
      <w:pPr>
        <w:ind w:left="720" w:hanging="720"/>
        <w:jc w:val="both"/>
        <w:rPr>
          <w:rFonts w:ascii="Arial" w:hAnsi="Arial" w:cs="Arial"/>
          <w:sz w:val="22"/>
          <w:szCs w:val="22"/>
          <w:lang w:val="en-GB"/>
        </w:rPr>
      </w:pPr>
    </w:p>
    <w:p w:rsidRPr="001E23FD" w:rsidR="007E03FA" w:rsidP="007E03FA" w:rsidRDefault="007E03FA" w14:paraId="7B52AB3B" w14:textId="777777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r>
      <w:r w:rsidRPr="001E23FD">
        <w:rPr>
          <w:rFonts w:ascii="Arial" w:hAnsi="Arial" w:cs="Arial"/>
          <w:sz w:val="22"/>
          <w:szCs w:val="22"/>
          <w:lang w:val="en-GB"/>
        </w:rPr>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Pr="001E23FD" w:rsidR="007E03FA" w:rsidP="007E03FA" w:rsidRDefault="007E03FA" w14:paraId="2D7FE7BA" w14:textId="77777777">
      <w:pPr>
        <w:ind w:left="720" w:hanging="720"/>
        <w:jc w:val="both"/>
        <w:rPr>
          <w:rFonts w:ascii="Arial" w:hAnsi="Arial" w:cs="Arial"/>
          <w:sz w:val="22"/>
          <w:szCs w:val="22"/>
          <w:lang w:val="en-GB"/>
        </w:rPr>
      </w:pPr>
    </w:p>
    <w:p w:rsidRPr="001E23FD" w:rsidR="007E03FA" w:rsidP="007E03FA" w:rsidRDefault="007E03FA" w14:paraId="1EE996A0" w14:textId="777777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r>
      <w:r w:rsidRPr="001E23FD">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1E23FD" w:rsidR="007E03FA" w:rsidP="007E03FA" w:rsidRDefault="007E03FA" w14:paraId="0244399E" w14:textId="77777777">
      <w:pPr>
        <w:ind w:left="720" w:hanging="720"/>
        <w:jc w:val="both"/>
        <w:rPr>
          <w:rFonts w:ascii="Arial" w:hAnsi="Arial" w:cs="Arial"/>
          <w:sz w:val="22"/>
          <w:szCs w:val="22"/>
          <w:lang w:val="en-GB"/>
        </w:rPr>
      </w:pPr>
    </w:p>
    <w:p w:rsidRPr="001E23FD" w:rsidR="007E03FA" w:rsidP="007E03FA" w:rsidRDefault="007E03FA" w14:paraId="0E630C70" w14:textId="11A522B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Pr="001E23FD" w:rsidR="007E03FA" w:rsidP="007E03FA" w:rsidRDefault="007E03FA" w14:paraId="08E0D459" w14:textId="77777777">
      <w:pPr>
        <w:ind w:left="720" w:hanging="720"/>
        <w:jc w:val="both"/>
        <w:rPr>
          <w:rFonts w:ascii="Arial" w:hAnsi="Arial" w:cs="Arial"/>
          <w:sz w:val="22"/>
          <w:szCs w:val="22"/>
          <w:lang w:val="en-GB"/>
        </w:rPr>
      </w:pPr>
    </w:p>
    <w:p w:rsidRPr="001E23FD" w:rsidR="007E03FA" w:rsidP="007E03FA" w:rsidRDefault="007E03FA" w14:paraId="343F1288" w14:textId="777777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r>
      <w:r w:rsidRPr="001E23FD">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Pr="001E23FD" w:rsidR="007E03FA" w:rsidP="007E03FA" w:rsidRDefault="007E03FA" w14:paraId="72B6A7B9" w14:textId="77777777">
      <w:pPr>
        <w:ind w:left="720" w:hanging="720"/>
        <w:jc w:val="both"/>
        <w:rPr>
          <w:rFonts w:ascii="Arial" w:hAnsi="Arial" w:cs="Arial"/>
          <w:sz w:val="22"/>
          <w:szCs w:val="22"/>
          <w:lang w:val="en-GB"/>
        </w:rPr>
      </w:pPr>
    </w:p>
    <w:p w:rsidRPr="001E23FD" w:rsidR="007E03FA" w:rsidP="007E03FA" w:rsidRDefault="007E03FA" w14:paraId="644D4683" w14:textId="777777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rsidRPr="001E23FD" w:rsidR="007E03FA" w:rsidP="007E03FA" w:rsidRDefault="007E03FA" w14:paraId="0396F56C" w14:textId="77777777">
      <w:pPr>
        <w:ind w:left="720" w:hanging="720"/>
        <w:jc w:val="both"/>
        <w:rPr>
          <w:rFonts w:ascii="Arial" w:hAnsi="Arial" w:cs="Arial"/>
          <w:sz w:val="22"/>
          <w:szCs w:val="22"/>
          <w:lang w:val="en-GB"/>
        </w:rPr>
      </w:pPr>
    </w:p>
    <w:p w:rsidRPr="00592F82" w:rsidR="007E03FA" w:rsidP="007E03FA" w:rsidRDefault="007E03FA" w14:paraId="5151DDF1" w14:textId="777777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r>
      <w:r w:rsidRPr="001E23FD">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Pr="00592F82" w:rsidR="007E03FA" w:rsidP="007E03FA" w:rsidRDefault="007E03FA" w14:paraId="4CBC38BF" w14:textId="77777777">
      <w:pPr>
        <w:ind w:left="720" w:hanging="720"/>
        <w:jc w:val="both"/>
        <w:rPr>
          <w:rFonts w:ascii="Arial" w:hAnsi="Arial" w:cs="Arial"/>
          <w:sz w:val="22"/>
          <w:szCs w:val="22"/>
          <w:lang w:val="en-GB"/>
        </w:rPr>
      </w:pPr>
    </w:p>
    <w:p w:rsidRPr="00592F82" w:rsidR="007E03FA" w:rsidP="007E03FA" w:rsidRDefault="007E03FA" w14:paraId="6BD9DB30" w14:textId="77777777">
      <w:pPr>
        <w:ind w:left="720" w:hanging="720"/>
        <w:jc w:val="both"/>
        <w:rPr>
          <w:rFonts w:ascii="Arial" w:hAnsi="Arial" w:cs="Arial"/>
          <w:sz w:val="22"/>
          <w:szCs w:val="22"/>
          <w:lang w:val="en-GB"/>
        </w:rPr>
      </w:pPr>
    </w:p>
    <w:p w:rsidR="00E11C54" w:rsidRDefault="00E11C54" w14:paraId="15EDC228" w14:textId="77777777">
      <w:pPr>
        <w:rPr>
          <w:rFonts w:ascii="Arial" w:hAnsi="Arial" w:cs="Arial"/>
          <w:b/>
          <w:sz w:val="22"/>
          <w:szCs w:val="22"/>
          <w:u w:val="single"/>
          <w:lang w:val="en-GB"/>
        </w:rPr>
      </w:pPr>
      <w:r>
        <w:rPr>
          <w:rFonts w:ascii="Arial" w:hAnsi="Arial" w:cs="Arial"/>
          <w:b/>
          <w:sz w:val="22"/>
          <w:szCs w:val="22"/>
          <w:u w:val="single"/>
          <w:lang w:val="en-GB"/>
        </w:rPr>
        <w:br w:type="page"/>
      </w:r>
    </w:p>
    <w:p w:rsidRPr="00B9639B" w:rsidR="00F3323E" w:rsidP="00B9639B" w:rsidRDefault="00F3323E" w14:paraId="3E6D363E" w14:textId="301AF9CC">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Pr="00B9639B" w:rsidR="00F3323E" w:rsidP="00B9639B" w:rsidRDefault="00F3323E" w14:paraId="7EC6BF23" w14:textId="77777777">
      <w:pPr>
        <w:ind w:left="720" w:hanging="720"/>
        <w:jc w:val="both"/>
        <w:rPr>
          <w:rFonts w:ascii="Arial" w:hAnsi="Arial" w:cs="Arial"/>
          <w:sz w:val="22"/>
          <w:szCs w:val="22"/>
          <w:lang w:val="en-GB"/>
        </w:rPr>
      </w:pPr>
    </w:p>
    <w:p w:rsidRPr="00B9639B" w:rsidR="005D43E0" w:rsidP="00B9639B" w:rsidRDefault="0029433F" w14:paraId="299FA105" w14:textId="77777777">
      <w:pPr>
        <w:jc w:val="both"/>
        <w:rPr>
          <w:rFonts w:ascii="Arial" w:hAnsi="Arial" w:cs="Arial"/>
          <w:b/>
          <w:sz w:val="22"/>
          <w:szCs w:val="22"/>
          <w:lang w:val="en-GB"/>
        </w:rPr>
      </w:pPr>
      <w:r w:rsidRPr="00B9639B">
        <w:rPr>
          <w:rFonts w:ascii="Arial" w:hAnsi="Arial" w:cs="Arial"/>
          <w:b/>
          <w:sz w:val="22"/>
          <w:szCs w:val="22"/>
          <w:lang w:val="en-GB"/>
        </w:rPr>
        <w:t>QUESTION 1</w:t>
      </w:r>
      <w:r w:rsidRPr="00B9639B" w:rsidR="005D43E0">
        <w:rPr>
          <w:rFonts w:ascii="Arial" w:hAnsi="Arial" w:cs="Arial"/>
          <w:b/>
          <w:sz w:val="22"/>
          <w:szCs w:val="22"/>
          <w:lang w:val="en-GB"/>
        </w:rPr>
        <w:t xml:space="preserve"> (multiple-choice questions) [10 marks</w:t>
      </w:r>
      <w:r w:rsidRPr="00B9639B" w:rsidR="00D17FDC">
        <w:rPr>
          <w:rFonts w:ascii="Arial" w:hAnsi="Arial" w:cs="Arial"/>
          <w:b/>
          <w:sz w:val="22"/>
          <w:szCs w:val="22"/>
          <w:lang w:val="en-GB"/>
        </w:rPr>
        <w:t xml:space="preserve"> in total</w:t>
      </w:r>
      <w:r w:rsidRPr="00B9639B" w:rsidR="005D43E0">
        <w:rPr>
          <w:rFonts w:ascii="Arial" w:hAnsi="Arial" w:cs="Arial"/>
          <w:b/>
          <w:sz w:val="22"/>
          <w:szCs w:val="22"/>
          <w:lang w:val="en-GB"/>
        </w:rPr>
        <w:t>]</w:t>
      </w:r>
    </w:p>
    <w:p w:rsidRPr="00B9639B" w:rsidR="00F3323E" w:rsidP="00B9639B" w:rsidRDefault="00F3323E" w14:paraId="6BF107AB" w14:textId="77777777">
      <w:pPr>
        <w:ind w:left="720" w:hanging="720"/>
        <w:jc w:val="both"/>
        <w:rPr>
          <w:rFonts w:ascii="Arial" w:hAnsi="Arial" w:cs="Arial"/>
          <w:sz w:val="22"/>
          <w:szCs w:val="22"/>
          <w:lang w:val="en-GB"/>
        </w:rPr>
      </w:pPr>
    </w:p>
    <w:p w:rsidRPr="00B9639B" w:rsidR="005D43E0" w:rsidP="00B9639B" w:rsidRDefault="005D43E0" w14:paraId="18C01692" w14:textId="77777777">
      <w:pPr>
        <w:jc w:val="both"/>
        <w:rPr>
          <w:rFonts w:ascii="Arial" w:hAnsi="Arial" w:cs="Arial"/>
          <w:sz w:val="22"/>
          <w:szCs w:val="22"/>
          <w:lang w:val="en-GB"/>
        </w:rPr>
      </w:pPr>
      <w:r w:rsidRPr="00B9639B">
        <w:rPr>
          <w:rFonts w:ascii="Arial" w:hAnsi="Arial" w:cs="Arial"/>
          <w:sz w:val="22"/>
          <w:szCs w:val="22"/>
          <w:lang w:val="en-GB"/>
        </w:rPr>
        <w:t>Questions 1.1. – 1.10</w:t>
      </w:r>
      <w:r w:rsidRPr="00B9639B" w:rsidR="00341AA6">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Pr="00B9639B" w:rsidR="00397D3A">
        <w:rPr>
          <w:rFonts w:ascii="Arial" w:hAnsi="Arial" w:cs="Arial"/>
          <w:sz w:val="22"/>
          <w:szCs w:val="22"/>
          <w:highlight w:val="yellow"/>
          <w:lang w:val="en-GB"/>
        </w:rPr>
        <w:t xml:space="preserve"> by highlighting the </w:t>
      </w:r>
      <w:r w:rsidRPr="00B9639B" w:rsidR="0036565C">
        <w:rPr>
          <w:rFonts w:ascii="Arial" w:hAnsi="Arial" w:cs="Arial"/>
          <w:sz w:val="22"/>
          <w:szCs w:val="22"/>
          <w:highlight w:val="yellow"/>
          <w:lang w:val="en-GB"/>
        </w:rPr>
        <w:t xml:space="preserve">relevant paragraph </w:t>
      </w:r>
      <w:r w:rsidRPr="00B9639B" w:rsidR="0036565C">
        <w:rPr>
          <w:rFonts w:ascii="Arial" w:hAnsi="Arial" w:cs="Arial"/>
          <w:b/>
          <w:bCs/>
          <w:sz w:val="22"/>
          <w:szCs w:val="22"/>
          <w:highlight w:val="yellow"/>
          <w:lang w:val="en-GB"/>
        </w:rPr>
        <w:t>in yellow</w:t>
      </w:r>
      <w:r w:rsidRPr="00B9639B">
        <w:rPr>
          <w:rFonts w:ascii="Arial" w:hAnsi="Arial" w:cs="Arial"/>
          <w:sz w:val="22"/>
          <w:szCs w:val="22"/>
          <w:lang w:val="en-GB"/>
        </w:rPr>
        <w:t>.</w:t>
      </w:r>
      <w:r w:rsidRPr="00B9639B" w:rsidR="0036565C">
        <w:rPr>
          <w:rFonts w:ascii="Arial" w:hAnsi="Arial" w:cs="Arial"/>
          <w:sz w:val="22"/>
          <w:szCs w:val="22"/>
          <w:lang w:val="en-GB"/>
        </w:rPr>
        <w:t xml:space="preserve"> Select only </w:t>
      </w:r>
      <w:r w:rsidRPr="00B9639B" w:rsidR="0036565C">
        <w:rPr>
          <w:rFonts w:ascii="Arial" w:hAnsi="Arial" w:cs="Arial"/>
          <w:b/>
          <w:bCs/>
          <w:sz w:val="22"/>
          <w:szCs w:val="22"/>
          <w:lang w:val="en-GB"/>
        </w:rPr>
        <w:t>ONE</w:t>
      </w:r>
      <w:r w:rsidRPr="00B9639B" w:rsidR="0036565C">
        <w:rPr>
          <w:rFonts w:ascii="Arial" w:hAnsi="Arial" w:cs="Arial"/>
          <w:sz w:val="22"/>
          <w:szCs w:val="22"/>
          <w:lang w:val="en-GB"/>
        </w:rPr>
        <w:t xml:space="preserve"> answer</w:t>
      </w:r>
      <w:r w:rsidRPr="00B9639B" w:rsidR="00A60074">
        <w:rPr>
          <w:rFonts w:ascii="Arial" w:hAnsi="Arial" w:cs="Arial"/>
          <w:sz w:val="22"/>
          <w:szCs w:val="22"/>
          <w:lang w:val="en-GB"/>
        </w:rPr>
        <w:t>. Candidates who select more than one answer will receive no mark for that specific question.</w:t>
      </w:r>
    </w:p>
    <w:p w:rsidRPr="00E177F0" w:rsidR="00A26898" w:rsidP="00A26898" w:rsidRDefault="00A26898" w14:paraId="1DAC1A53" w14:textId="77777777">
      <w:pPr>
        <w:rPr>
          <w:rFonts w:ascii="Arial" w:hAnsi="Arial" w:cs="Arial"/>
          <w:b/>
          <w:bCs/>
          <w:sz w:val="22"/>
          <w:szCs w:val="22"/>
          <w:lang w:val="en-GB"/>
        </w:rPr>
      </w:pPr>
    </w:p>
    <w:p w:rsidRPr="00E177F0" w:rsidR="000F6063" w:rsidP="000F6063" w:rsidRDefault="000F6063" w14:paraId="47391ABF" w14:textId="46CE134B">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rsidRPr="00E177F0" w:rsidR="000F6063" w:rsidP="000F6063" w:rsidRDefault="000F6063" w14:paraId="74C3E873" w14:textId="77777777">
      <w:pPr>
        <w:rPr>
          <w:rFonts w:ascii="Arial" w:hAnsi="Arial" w:cs="Arial"/>
          <w:b/>
          <w:bCs/>
          <w:sz w:val="22"/>
          <w:szCs w:val="22"/>
          <w:lang w:val="en-GB"/>
        </w:rPr>
      </w:pPr>
    </w:p>
    <w:p w:rsidRPr="00D06A87" w:rsidR="000F6063" w:rsidP="000F6063" w:rsidRDefault="000F6063" w14:paraId="1AB98688" w14:textId="77777777">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rsidR="000F6063" w:rsidP="000F6063" w:rsidRDefault="000F6063" w14:paraId="5A6AC188" w14:textId="77777777">
      <w:pPr>
        <w:rPr>
          <w:rFonts w:ascii="Arial" w:hAnsi="Arial" w:cs="Arial"/>
          <w:sz w:val="22"/>
          <w:szCs w:val="22"/>
          <w:lang w:val="en-GB"/>
        </w:rPr>
      </w:pPr>
    </w:p>
    <w:p w:rsidR="000F6063" w:rsidP="000F6063" w:rsidRDefault="000F6063" w14:paraId="4C8F6C1A" w14:textId="77777777">
      <w:pPr>
        <w:rPr>
          <w:rFonts w:ascii="Arial" w:hAnsi="Arial" w:cs="Arial"/>
          <w:sz w:val="22"/>
          <w:szCs w:val="22"/>
          <w:lang w:val="en-GB"/>
        </w:rPr>
      </w:pPr>
      <w:r>
        <w:rPr>
          <w:rFonts w:ascii="Arial" w:hAnsi="Arial" w:cs="Arial"/>
          <w:sz w:val="22"/>
          <w:szCs w:val="22"/>
          <w:lang w:val="en-GB"/>
        </w:rPr>
        <w:t>Once a provisional liquidator is appointed:</w:t>
      </w:r>
    </w:p>
    <w:p w:rsidR="000F6063" w:rsidP="000F6063" w:rsidRDefault="000F6063" w14:paraId="3532F84A" w14:textId="77777777">
      <w:pPr>
        <w:rPr>
          <w:rFonts w:ascii="Arial" w:hAnsi="Arial" w:cs="Arial"/>
          <w:sz w:val="22"/>
          <w:szCs w:val="22"/>
          <w:lang w:val="en-GB"/>
        </w:rPr>
      </w:pPr>
    </w:p>
    <w:p w:rsidRPr="00924D3F" w:rsidR="000F6063" w:rsidP="007E03FA" w:rsidRDefault="000F6063" w14:paraId="7F6BF65C" w14:textId="10CDFA44">
      <w:pPr>
        <w:pStyle w:val="ListParagraph"/>
        <w:numPr>
          <w:ilvl w:val="0"/>
          <w:numId w:val="31"/>
        </w:numPr>
        <w:ind w:left="426"/>
        <w:rPr>
          <w:rFonts w:ascii="Arial" w:hAnsi="Arial" w:cs="Arial"/>
          <w:sz w:val="22"/>
          <w:szCs w:val="22"/>
          <w:highlight w:val="yellow"/>
          <w:lang w:val="en-GB"/>
        </w:rPr>
      </w:pPr>
      <w:r w:rsidRPr="00924D3F">
        <w:rPr>
          <w:rFonts w:ascii="Arial" w:hAnsi="Arial" w:cs="Arial"/>
          <w:sz w:val="22"/>
          <w:szCs w:val="22"/>
          <w:highlight w:val="yellow"/>
          <w:lang w:val="en-GB"/>
        </w:rPr>
        <w:t>No action may be commenced against the company without leave of the court.</w:t>
      </w:r>
    </w:p>
    <w:p w:rsidRPr="007E03FA" w:rsidR="007E03FA" w:rsidP="007E03FA" w:rsidRDefault="007E03FA" w14:paraId="4906B355" w14:textId="77777777">
      <w:pPr>
        <w:rPr>
          <w:rFonts w:ascii="Arial" w:hAnsi="Arial" w:cs="Arial"/>
          <w:sz w:val="22"/>
          <w:szCs w:val="22"/>
          <w:lang w:val="en-GB"/>
        </w:rPr>
      </w:pPr>
    </w:p>
    <w:p w:rsidR="000F6063" w:rsidP="007E03FA" w:rsidRDefault="000F6063" w14:paraId="6BD73290" w14:textId="211A994D">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rsidRPr="007E03FA" w:rsidR="007E03FA" w:rsidP="007E03FA" w:rsidRDefault="007E03FA" w14:paraId="1477D526" w14:textId="77777777">
      <w:pPr>
        <w:rPr>
          <w:rFonts w:ascii="Arial" w:hAnsi="Arial" w:cs="Arial"/>
          <w:sz w:val="22"/>
          <w:szCs w:val="22"/>
          <w:lang w:val="en-GB"/>
        </w:rPr>
      </w:pPr>
    </w:p>
    <w:p w:rsidR="000F6063" w:rsidP="007E03FA" w:rsidRDefault="000F6063" w14:paraId="39BBA3FE" w14:textId="5438D2CB">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rsidRPr="007E03FA" w:rsidR="007E03FA" w:rsidP="007E03FA" w:rsidRDefault="007E03FA" w14:paraId="22FB943C" w14:textId="77777777">
      <w:pPr>
        <w:rPr>
          <w:rFonts w:ascii="Arial" w:hAnsi="Arial" w:cs="Arial"/>
          <w:sz w:val="22"/>
          <w:szCs w:val="22"/>
          <w:lang w:val="en-GB"/>
        </w:rPr>
      </w:pPr>
    </w:p>
    <w:p w:rsidRPr="007E03FA" w:rsidR="000F6063" w:rsidP="007E03FA" w:rsidRDefault="000F6063" w14:paraId="6E8F0D7B" w14:textId="77777777">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rsidR="000F6063" w:rsidP="00A26898" w:rsidRDefault="000F6063" w14:paraId="58DEF191" w14:textId="77777777">
      <w:pPr>
        <w:rPr>
          <w:rFonts w:ascii="Arial" w:hAnsi="Arial" w:cs="Arial"/>
          <w:sz w:val="22"/>
          <w:szCs w:val="22"/>
          <w:lang w:val="en-GB"/>
        </w:rPr>
      </w:pPr>
    </w:p>
    <w:p w:rsidRPr="00B9639B" w:rsidR="000F6063" w:rsidP="000F6063" w:rsidRDefault="000F6063" w14:paraId="06FB203D" w14:textId="77777777">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rsidR="000F6063" w:rsidP="000F6063" w:rsidRDefault="000F6063" w14:paraId="6B108B0A" w14:textId="77777777">
      <w:pPr>
        <w:jc w:val="both"/>
        <w:rPr>
          <w:rFonts w:ascii="Arial" w:hAnsi="Arial" w:cs="Arial"/>
          <w:sz w:val="22"/>
          <w:szCs w:val="22"/>
        </w:rPr>
      </w:pPr>
    </w:p>
    <w:p w:rsidR="000F6063" w:rsidP="000F6063" w:rsidRDefault="000F6063" w14:paraId="74B2F863" w14:textId="7777777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rsidR="000F6063" w:rsidP="000F6063" w:rsidRDefault="000F6063" w14:paraId="10EFF49D" w14:textId="77777777">
      <w:pPr>
        <w:ind w:left="720" w:hanging="720"/>
        <w:rPr>
          <w:rFonts w:ascii="Arial" w:hAnsi="Arial" w:cs="Arial"/>
          <w:sz w:val="22"/>
          <w:szCs w:val="22"/>
          <w:lang w:val="en-GB"/>
        </w:rPr>
      </w:pPr>
    </w:p>
    <w:p w:rsidRPr="00554FCC" w:rsidR="000F6063" w:rsidP="007E03FA" w:rsidRDefault="000F6063" w14:paraId="6087EE3F" w14:textId="6F9B0AD2">
      <w:pPr>
        <w:pStyle w:val="ListParagraph"/>
        <w:numPr>
          <w:ilvl w:val="0"/>
          <w:numId w:val="32"/>
        </w:numPr>
        <w:ind w:left="426"/>
        <w:rPr>
          <w:rFonts w:ascii="Arial" w:hAnsi="Arial" w:cs="Arial"/>
          <w:sz w:val="22"/>
          <w:szCs w:val="22"/>
          <w:lang w:val="en-GB"/>
        </w:rPr>
      </w:pPr>
      <w:r w:rsidRPr="00554FCC">
        <w:rPr>
          <w:rFonts w:ascii="Arial" w:hAnsi="Arial" w:cs="Arial"/>
          <w:sz w:val="22"/>
          <w:szCs w:val="22"/>
          <w:lang w:val="en-GB"/>
        </w:rPr>
        <w:t>Appointment of a receiver.</w:t>
      </w:r>
    </w:p>
    <w:p w:rsidRPr="007E03FA" w:rsidR="007E03FA" w:rsidP="007E03FA" w:rsidRDefault="007E03FA" w14:paraId="29FAFDB8" w14:textId="77777777">
      <w:pPr>
        <w:rPr>
          <w:rFonts w:ascii="Arial" w:hAnsi="Arial" w:cs="Arial"/>
          <w:sz w:val="22"/>
          <w:szCs w:val="22"/>
          <w:lang w:val="en-GB"/>
        </w:rPr>
      </w:pPr>
    </w:p>
    <w:p w:rsidR="000F6063" w:rsidP="007E03FA" w:rsidRDefault="000F6063" w14:paraId="59CBBE1A" w14:textId="1CE4572F">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rsidRPr="007E03FA" w:rsidR="007E03FA" w:rsidP="007E03FA" w:rsidRDefault="007E03FA" w14:paraId="7EF169A8" w14:textId="77777777">
      <w:pPr>
        <w:rPr>
          <w:rFonts w:ascii="Arial" w:hAnsi="Arial" w:cs="Arial"/>
          <w:sz w:val="22"/>
          <w:szCs w:val="22"/>
          <w:lang w:val="en-GB"/>
        </w:rPr>
      </w:pPr>
    </w:p>
    <w:p w:rsidR="000F6063" w:rsidP="007E03FA" w:rsidRDefault="000F6063" w14:paraId="7848D5C4" w14:textId="0E6F4C18">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rsidRPr="006D383B" w:rsidR="007E03FA" w:rsidP="007E03FA" w:rsidRDefault="007E03FA" w14:paraId="5EC6E426" w14:textId="77777777">
      <w:pPr>
        <w:rPr>
          <w:rFonts w:ascii="Arial" w:hAnsi="Arial" w:cs="Arial"/>
          <w:color w:val="000000" w:themeColor="text1"/>
          <w:sz w:val="22"/>
          <w:szCs w:val="22"/>
          <w:lang w:val="en-GB"/>
        </w:rPr>
      </w:pPr>
    </w:p>
    <w:p w:rsidRPr="006D383B" w:rsidR="000F6063" w:rsidP="3F73BF2B" w:rsidRDefault="3F73BF2B" w14:paraId="1D3DB6BE" w14:textId="77777777">
      <w:pPr>
        <w:pStyle w:val="ListParagraph"/>
        <w:numPr>
          <w:ilvl w:val="0"/>
          <w:numId w:val="32"/>
        </w:numPr>
        <w:ind w:left="426"/>
        <w:rPr>
          <w:rFonts w:ascii="Arial" w:hAnsi="Arial" w:cs="Arial"/>
          <w:color w:val="000000" w:themeColor="text1"/>
          <w:sz w:val="22"/>
          <w:szCs w:val="22"/>
          <w:highlight w:val="yellow"/>
          <w:lang w:val="en-GB"/>
        </w:rPr>
      </w:pPr>
      <w:r w:rsidRPr="3F73BF2B">
        <w:rPr>
          <w:rFonts w:ascii="Arial" w:hAnsi="Arial" w:cs="Arial"/>
          <w:color w:val="000000" w:themeColor="text1"/>
          <w:sz w:val="22"/>
          <w:szCs w:val="22"/>
          <w:highlight w:val="yellow"/>
          <w:lang w:val="en-GB"/>
        </w:rPr>
        <w:t>Deed of Company Arrangement.</w:t>
      </w:r>
    </w:p>
    <w:p w:rsidR="00920BE7" w:rsidP="000659CF" w:rsidRDefault="00920BE7" w14:paraId="385539B3" w14:textId="035DCED0">
      <w:pPr>
        <w:rPr>
          <w:rFonts w:ascii="Arial" w:hAnsi="Arial" w:cs="Arial"/>
          <w:sz w:val="22"/>
          <w:szCs w:val="22"/>
          <w:lang w:val="en-GB"/>
        </w:rPr>
      </w:pPr>
    </w:p>
    <w:p w:rsidRPr="00210493" w:rsidR="00210493" w:rsidP="00920BE7" w:rsidRDefault="00210493" w14:paraId="722F8904" w14:textId="1823270D">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rsidRPr="00210493" w:rsidR="00210493" w:rsidP="00920BE7" w:rsidRDefault="00210493" w14:paraId="3862FF94" w14:textId="48F3A6EF">
      <w:pPr>
        <w:rPr>
          <w:rFonts w:ascii="Arial" w:hAnsi="Arial" w:cs="Arial"/>
          <w:color w:val="000000" w:themeColor="text1"/>
          <w:sz w:val="22"/>
          <w:szCs w:val="22"/>
          <w:lang w:val="en-GB"/>
        </w:rPr>
      </w:pPr>
    </w:p>
    <w:p w:rsidRPr="00D06A87" w:rsidR="00924973" w:rsidP="00924973" w:rsidRDefault="00924973" w14:paraId="24A872BB" w14:textId="77777777">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rsidR="00924973" w:rsidP="00920BE7" w:rsidRDefault="00924973" w14:paraId="17E4193A" w14:textId="77777777">
      <w:pPr>
        <w:rPr>
          <w:rFonts w:ascii="Arial" w:hAnsi="Arial" w:cs="Arial"/>
          <w:color w:val="000000" w:themeColor="text1"/>
          <w:sz w:val="22"/>
          <w:szCs w:val="22"/>
          <w:lang w:val="en-GB"/>
        </w:rPr>
      </w:pPr>
    </w:p>
    <w:p w:rsidRPr="00210493" w:rsidR="00210493" w:rsidP="00920BE7" w:rsidRDefault="00210493" w14:paraId="4657F451" w14:textId="3FCC3398">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rsidRPr="00210493" w:rsidR="00210493" w:rsidP="00920BE7" w:rsidRDefault="00210493" w14:paraId="58F5B7AC" w14:textId="32FF2E22" w14:noSpellErr="1">
      <w:pPr>
        <w:rPr>
          <w:rFonts w:ascii="Arial" w:hAnsi="Arial" w:cs="Arial"/>
          <w:color w:val="000000" w:themeColor="text1"/>
          <w:sz w:val="22"/>
          <w:szCs w:val="22"/>
          <w:lang w:val="en-GB"/>
        </w:rPr>
      </w:pPr>
    </w:p>
    <w:p w:rsidRPr="00B1022B" w:rsidR="00210493" w:rsidP="42F3AA8A" w:rsidRDefault="00210493" w14:paraId="0299A1C0" w14:textId="44E982CD" w14:noSpellErr="1">
      <w:pPr>
        <w:pStyle w:val="ListParagraph"/>
        <w:numPr>
          <w:ilvl w:val="0"/>
          <w:numId w:val="33"/>
        </w:numPr>
        <w:ind w:left="426"/>
        <w:rPr>
          <w:rFonts w:ascii="Arial" w:hAnsi="Arial" w:cs="Arial"/>
          <w:color w:val="000000" w:themeColor="text1"/>
          <w:sz w:val="22"/>
          <w:szCs w:val="22"/>
          <w:lang w:val="en-GB"/>
        </w:rPr>
      </w:pPr>
      <w:r w:rsidRPr="42F3AA8A" w:rsidR="42F3AA8A">
        <w:rPr>
          <w:rFonts w:ascii="Arial" w:hAnsi="Arial" w:cs="Arial"/>
          <w:color w:val="000000" w:themeColor="text1" w:themeTint="FF" w:themeShade="FF"/>
          <w:sz w:val="22"/>
          <w:szCs w:val="22"/>
          <w:lang w:val="en-GB"/>
        </w:rPr>
        <w:t>The company may cease trading where it is necessary and beneficial to the liquidation</w:t>
      </w:r>
      <w:r w:rsidRPr="42F3AA8A" w:rsidR="42F3AA8A">
        <w:rPr>
          <w:rFonts w:ascii="Arial" w:hAnsi="Arial" w:cs="Arial"/>
          <w:color w:val="000000" w:themeColor="text1" w:themeTint="FF" w:themeShade="FF"/>
          <w:sz w:val="22"/>
          <w:szCs w:val="22"/>
          <w:lang w:val="en-GB"/>
        </w:rPr>
        <w:t>.</w:t>
      </w:r>
    </w:p>
    <w:p w:rsidRPr="007E03FA" w:rsidR="007E03FA" w:rsidP="007E03FA" w:rsidRDefault="007E03FA" w14:paraId="4D4BDB99" w14:textId="77777777">
      <w:pPr>
        <w:rPr>
          <w:rFonts w:ascii="Arial" w:hAnsi="Arial" w:cs="Arial"/>
          <w:color w:val="000000" w:themeColor="text1"/>
          <w:sz w:val="22"/>
          <w:szCs w:val="22"/>
          <w:lang w:val="en-GB"/>
        </w:rPr>
      </w:pPr>
    </w:p>
    <w:p w:rsidR="00210493" w:rsidP="42F3AA8A" w:rsidRDefault="00210493" w14:paraId="402E2D59" w14:textId="72345059" w14:noSpellErr="1">
      <w:pPr>
        <w:pStyle w:val="ListParagraph"/>
        <w:numPr>
          <w:ilvl w:val="0"/>
          <w:numId w:val="33"/>
        </w:numPr>
        <w:ind w:left="426"/>
        <w:rPr>
          <w:rFonts w:ascii="Arial" w:hAnsi="Arial" w:cs="Arial"/>
          <w:color w:val="000000" w:themeColor="text1"/>
          <w:sz w:val="22"/>
          <w:szCs w:val="22"/>
          <w:highlight w:val="yellow"/>
          <w:lang w:val="en-GB"/>
        </w:rPr>
      </w:pPr>
      <w:r w:rsidRPr="42F3AA8A" w:rsidR="42F3AA8A">
        <w:rPr>
          <w:rFonts w:ascii="Arial" w:hAnsi="Arial" w:cs="Arial"/>
          <w:color w:val="000000" w:themeColor="text1" w:themeTint="FF" w:themeShade="FF"/>
          <w:sz w:val="22"/>
          <w:szCs w:val="22"/>
          <w:highlight w:val="yellow"/>
          <w:lang w:val="en-GB"/>
        </w:rPr>
        <w:t>The company must cease trading except where it is necessary and beneficial to the liquidation</w:t>
      </w:r>
      <w:r w:rsidRPr="42F3AA8A" w:rsidR="42F3AA8A">
        <w:rPr>
          <w:rFonts w:ascii="Arial" w:hAnsi="Arial" w:cs="Arial"/>
          <w:color w:val="000000" w:themeColor="text1" w:themeTint="FF" w:themeShade="FF"/>
          <w:sz w:val="22"/>
          <w:szCs w:val="22"/>
          <w:highlight w:val="yellow"/>
          <w:lang w:val="en-GB"/>
        </w:rPr>
        <w:t>.</w:t>
      </w:r>
    </w:p>
    <w:p w:rsidRPr="007E03FA" w:rsidR="007E03FA" w:rsidP="42F3AA8A" w:rsidRDefault="007E03FA" w14:paraId="5BFB6961" w14:textId="77777777" w14:noSpellErr="1">
      <w:pPr>
        <w:rPr>
          <w:rFonts w:ascii="Arial" w:hAnsi="Arial" w:cs="Arial"/>
          <w:color w:val="000000" w:themeColor="text1"/>
          <w:sz w:val="22"/>
          <w:szCs w:val="22"/>
          <w:highlight w:val="yellow"/>
          <w:lang w:val="en-GB"/>
        </w:rPr>
      </w:pPr>
    </w:p>
    <w:p w:rsidR="00210493" w:rsidP="007E03FA" w:rsidRDefault="00210493" w14:paraId="32FB1A04" w14:textId="5706A29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Pr="007E03FA" w:rsidR="00A46FE2">
        <w:rPr>
          <w:rFonts w:ascii="Arial" w:hAnsi="Arial" w:cs="Arial"/>
          <w:color w:val="000000" w:themeColor="text1"/>
          <w:sz w:val="22"/>
          <w:szCs w:val="22"/>
          <w:lang w:val="en-GB"/>
        </w:rPr>
        <w:t>.</w:t>
      </w:r>
    </w:p>
    <w:p w:rsidRPr="007E03FA" w:rsidR="007E03FA" w:rsidP="007E03FA" w:rsidRDefault="007E03FA" w14:paraId="3498CB28" w14:textId="77777777">
      <w:pPr>
        <w:rPr>
          <w:rFonts w:ascii="Arial" w:hAnsi="Arial" w:cs="Arial"/>
          <w:color w:val="000000" w:themeColor="text1"/>
          <w:sz w:val="22"/>
          <w:szCs w:val="22"/>
          <w:lang w:val="en-GB"/>
        </w:rPr>
      </w:pPr>
    </w:p>
    <w:p w:rsidRPr="007E03FA" w:rsidR="00210493" w:rsidP="007E03FA" w:rsidRDefault="00210493" w14:paraId="322E7C99" w14:textId="5601C3B2">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Pr="007E03FA" w:rsidR="00A46FE2">
        <w:rPr>
          <w:rFonts w:ascii="Arial" w:hAnsi="Arial" w:cs="Arial"/>
          <w:color w:val="000000" w:themeColor="text1"/>
          <w:sz w:val="22"/>
          <w:szCs w:val="22"/>
          <w:lang w:val="en-GB"/>
        </w:rPr>
        <w:t>.</w:t>
      </w:r>
    </w:p>
    <w:p w:rsidR="00210493" w:rsidP="00210493" w:rsidRDefault="00210493" w14:paraId="3A416421" w14:textId="67BDFBFB">
      <w:pPr>
        <w:rPr>
          <w:rFonts w:ascii="Arial" w:hAnsi="Arial" w:cs="Arial"/>
          <w:color w:val="808080" w:themeColor="background1" w:themeShade="80"/>
          <w:sz w:val="22"/>
          <w:szCs w:val="22"/>
          <w:lang w:val="en-GB"/>
        </w:rPr>
      </w:pPr>
    </w:p>
    <w:p w:rsidRPr="00E177F0" w:rsidR="00CB2364" w:rsidP="00CB2364" w:rsidRDefault="00CB2364" w14:paraId="4B3E19E9" w14:textId="79B256EC">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rsidR="00CB2364" w:rsidP="00CB2364" w:rsidRDefault="00CB2364" w14:paraId="2874D703" w14:textId="77777777">
      <w:pPr>
        <w:rPr>
          <w:rFonts w:ascii="Arial" w:hAnsi="Arial" w:cs="Arial"/>
          <w:sz w:val="22"/>
          <w:szCs w:val="22"/>
          <w:lang w:val="en-GB"/>
        </w:rPr>
      </w:pPr>
    </w:p>
    <w:p w:rsidRPr="00D06A87" w:rsidR="00CB2364" w:rsidP="00CB2364" w:rsidRDefault="00CB2364" w14:paraId="25695FFD" w14:textId="77777777">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rsidR="00CB2364" w:rsidP="00CB2364" w:rsidRDefault="00CB2364" w14:paraId="569434D7" w14:textId="77777777">
      <w:pPr>
        <w:rPr>
          <w:rFonts w:ascii="Arial" w:hAnsi="Arial" w:cs="Arial"/>
          <w:sz w:val="22"/>
          <w:szCs w:val="22"/>
          <w:lang w:val="en-GB"/>
        </w:rPr>
      </w:pPr>
    </w:p>
    <w:p w:rsidR="00CB2364" w:rsidP="00CB2364" w:rsidRDefault="00CB2364" w14:paraId="0EBC0456" w14:textId="77777777">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rsidR="00CB2364" w:rsidP="00CB2364" w:rsidRDefault="00CB2364" w14:paraId="5DFEFDC1" w14:textId="77777777">
      <w:pPr>
        <w:rPr>
          <w:rFonts w:ascii="Arial" w:hAnsi="Arial" w:cs="Arial"/>
          <w:sz w:val="22"/>
          <w:szCs w:val="22"/>
          <w:lang w:val="en-GB"/>
        </w:rPr>
      </w:pPr>
    </w:p>
    <w:p w:rsidR="00CB2364" w:rsidP="00924973" w:rsidRDefault="00CB2364" w14:paraId="1A59BCE4" w14:textId="350B31D9">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rsidRPr="00924973" w:rsidR="00924973" w:rsidP="00924973" w:rsidRDefault="00924973" w14:paraId="09840F6D" w14:textId="77777777">
      <w:pPr>
        <w:ind w:left="66"/>
        <w:rPr>
          <w:rFonts w:ascii="Arial" w:hAnsi="Arial" w:cs="Arial"/>
          <w:sz w:val="22"/>
          <w:szCs w:val="22"/>
          <w:lang w:val="en-GB"/>
        </w:rPr>
      </w:pPr>
    </w:p>
    <w:p w:rsidR="00CB2364" w:rsidP="00924973" w:rsidRDefault="00CB2364" w14:paraId="7FB04041" w14:textId="6A4D5B92">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rsidRPr="00924973" w:rsidR="00924973" w:rsidP="00924973" w:rsidRDefault="00924973" w14:paraId="34BEE8C0" w14:textId="77777777">
      <w:pPr>
        <w:ind w:left="66"/>
        <w:rPr>
          <w:rFonts w:ascii="Arial" w:hAnsi="Arial" w:cs="Arial"/>
          <w:sz w:val="22"/>
          <w:szCs w:val="22"/>
          <w:lang w:val="en-GB"/>
        </w:rPr>
      </w:pPr>
    </w:p>
    <w:p w:rsidRPr="00924973" w:rsidR="00CB2364" w:rsidP="00924973" w:rsidRDefault="00CB2364" w14:paraId="279DFE1E" w14:textId="77777777">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rsidR="00CB2364" w:rsidP="00924973" w:rsidRDefault="00CB2364" w14:paraId="732A8C27" w14:textId="77777777">
      <w:pPr>
        <w:pStyle w:val="ListParagraph"/>
        <w:ind w:left="426"/>
        <w:rPr>
          <w:rFonts w:ascii="Arial" w:hAnsi="Arial" w:cs="Arial"/>
          <w:sz w:val="22"/>
          <w:szCs w:val="22"/>
          <w:lang w:val="en-GB"/>
        </w:rPr>
      </w:pPr>
    </w:p>
    <w:p w:rsidRPr="00B1022B" w:rsidR="00CB2364" w:rsidP="00924973" w:rsidRDefault="00CB2364" w14:paraId="424FAA68" w14:textId="77777777">
      <w:pPr>
        <w:pStyle w:val="ListParagraph"/>
        <w:numPr>
          <w:ilvl w:val="0"/>
          <w:numId w:val="34"/>
        </w:numPr>
        <w:ind w:left="426"/>
        <w:rPr>
          <w:rFonts w:ascii="Arial" w:hAnsi="Arial" w:cs="Arial"/>
          <w:sz w:val="22"/>
          <w:szCs w:val="22"/>
          <w:highlight w:val="yellow"/>
          <w:lang w:val="en-GB"/>
        </w:rPr>
      </w:pPr>
      <w:r w:rsidRPr="00B1022B">
        <w:rPr>
          <w:rFonts w:ascii="Arial" w:hAnsi="Arial" w:cs="Arial"/>
          <w:sz w:val="22"/>
          <w:szCs w:val="22"/>
          <w:highlight w:val="yellow"/>
          <w:lang w:val="en-GB"/>
        </w:rPr>
        <w:t>Any of the above.</w:t>
      </w:r>
    </w:p>
    <w:p w:rsidR="00CB2364" w:rsidP="000F6063" w:rsidRDefault="00CB2364" w14:paraId="42234BF2" w14:textId="77777777">
      <w:pPr>
        <w:rPr>
          <w:rFonts w:ascii="Arial" w:hAnsi="Arial" w:cs="Arial"/>
          <w:b/>
          <w:bCs/>
          <w:sz w:val="22"/>
          <w:szCs w:val="22"/>
          <w:lang w:val="en-GB"/>
        </w:rPr>
      </w:pPr>
    </w:p>
    <w:p w:rsidRPr="00E177F0" w:rsidR="000F6063" w:rsidP="000F6063" w:rsidRDefault="000F6063" w14:paraId="03CFC629" w14:textId="7C4D7235">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rsidRPr="00E177F0" w:rsidR="000F6063" w:rsidP="000F6063" w:rsidRDefault="000F6063" w14:paraId="54F1C445" w14:textId="77777777">
      <w:pPr>
        <w:rPr>
          <w:rFonts w:ascii="Arial" w:hAnsi="Arial" w:cs="Arial"/>
          <w:b/>
          <w:bCs/>
          <w:sz w:val="22"/>
          <w:szCs w:val="22"/>
          <w:lang w:val="en-GB"/>
        </w:rPr>
      </w:pPr>
    </w:p>
    <w:p w:rsidRPr="00D06A87" w:rsidR="000F6063" w:rsidP="000F6063" w:rsidRDefault="000F6063" w14:paraId="5A037FCE" w14:textId="77777777">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rsidR="000F6063" w:rsidP="000F6063" w:rsidRDefault="000F6063" w14:paraId="534ADB86" w14:textId="77777777">
      <w:pPr>
        <w:rPr>
          <w:rFonts w:ascii="Arial" w:hAnsi="Arial" w:cs="Arial"/>
          <w:sz w:val="22"/>
          <w:szCs w:val="22"/>
          <w:lang w:val="en-GB"/>
        </w:rPr>
      </w:pPr>
    </w:p>
    <w:p w:rsidR="000F6063" w:rsidP="000F6063" w:rsidRDefault="000F6063" w14:paraId="79D48DC6" w14:textId="77777777">
      <w:pPr>
        <w:rPr>
          <w:rFonts w:ascii="Arial" w:hAnsi="Arial" w:cs="Arial"/>
          <w:sz w:val="22"/>
          <w:szCs w:val="22"/>
          <w:lang w:val="en-GB"/>
        </w:rPr>
      </w:pPr>
      <w:r>
        <w:rPr>
          <w:rFonts w:ascii="Arial" w:hAnsi="Arial" w:cs="Arial"/>
          <w:sz w:val="22"/>
          <w:szCs w:val="22"/>
          <w:lang w:val="en-GB"/>
        </w:rPr>
        <w:t xml:space="preserve">In a provisional liquidation, the existing management: </w:t>
      </w:r>
    </w:p>
    <w:p w:rsidR="000F6063" w:rsidP="000F6063" w:rsidRDefault="000F6063" w14:paraId="6A4FECEC" w14:textId="77777777">
      <w:pPr>
        <w:rPr>
          <w:rFonts w:ascii="Arial" w:hAnsi="Arial" w:cs="Arial"/>
          <w:sz w:val="22"/>
          <w:szCs w:val="22"/>
          <w:lang w:val="en-GB"/>
        </w:rPr>
      </w:pPr>
    </w:p>
    <w:p w:rsidR="000F6063" w:rsidP="00924973" w:rsidRDefault="000F6063" w14:paraId="17410DA7" w14:textId="19CBADFA">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rsidRPr="00924973" w:rsidR="00924973" w:rsidP="00924973" w:rsidRDefault="00924973" w14:paraId="35DE0BB0" w14:textId="77777777">
      <w:pPr>
        <w:rPr>
          <w:rFonts w:ascii="Arial" w:hAnsi="Arial" w:cs="Arial"/>
          <w:sz w:val="22"/>
          <w:szCs w:val="22"/>
          <w:lang w:val="en-GB"/>
        </w:rPr>
      </w:pPr>
    </w:p>
    <w:p w:rsidR="000F6063" w:rsidP="00924973" w:rsidRDefault="000F6063" w14:paraId="35B57312" w14:textId="22733DCD">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rsidRPr="00924973" w:rsidR="00924973" w:rsidP="00924973" w:rsidRDefault="00924973" w14:paraId="3A16934D" w14:textId="77777777">
      <w:pPr>
        <w:rPr>
          <w:rFonts w:ascii="Arial" w:hAnsi="Arial" w:cs="Arial"/>
          <w:sz w:val="22"/>
          <w:szCs w:val="22"/>
          <w:lang w:val="en-GB"/>
        </w:rPr>
      </w:pPr>
    </w:p>
    <w:p w:rsidRPr="00F8753B" w:rsidR="000F6063" w:rsidP="00924973" w:rsidRDefault="000F6063" w14:paraId="0D0C443F" w14:textId="0F1DC2CC">
      <w:pPr>
        <w:pStyle w:val="ListParagraph"/>
        <w:numPr>
          <w:ilvl w:val="0"/>
          <w:numId w:val="35"/>
        </w:numPr>
        <w:ind w:left="426"/>
        <w:rPr>
          <w:rFonts w:ascii="Arial" w:hAnsi="Arial" w:cs="Arial"/>
          <w:sz w:val="22"/>
          <w:szCs w:val="22"/>
          <w:highlight w:val="yellow"/>
          <w:lang w:val="en-GB"/>
        </w:rPr>
      </w:pPr>
      <w:r w:rsidRPr="00F8753B">
        <w:rPr>
          <w:rFonts w:ascii="Arial" w:hAnsi="Arial" w:cs="Arial"/>
          <w:sz w:val="22"/>
          <w:szCs w:val="22"/>
          <w:highlight w:val="yellow"/>
          <w:lang w:val="en-GB"/>
        </w:rPr>
        <w:t>May continue to be in control of the company subject to supervision by the provisional liquidator and the court.</w:t>
      </w:r>
    </w:p>
    <w:p w:rsidRPr="00924973" w:rsidR="00924973" w:rsidP="00924973" w:rsidRDefault="00924973" w14:paraId="03C6CD14" w14:textId="77777777">
      <w:pPr>
        <w:rPr>
          <w:rFonts w:ascii="Arial" w:hAnsi="Arial" w:cs="Arial"/>
          <w:sz w:val="22"/>
          <w:szCs w:val="22"/>
          <w:lang w:val="en-GB"/>
        </w:rPr>
      </w:pPr>
    </w:p>
    <w:p w:rsidRPr="00924973" w:rsidR="000F6063" w:rsidP="00924973" w:rsidRDefault="000F6063" w14:paraId="2AA2DC09" w14:textId="77777777">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rsidR="000F6063" w:rsidP="00C55824" w:rsidRDefault="000F6063" w14:paraId="7512032C" w14:textId="77777777">
      <w:pPr>
        <w:jc w:val="both"/>
        <w:rPr>
          <w:rFonts w:ascii="Arial" w:hAnsi="Arial" w:cs="Arial"/>
          <w:b/>
          <w:bCs/>
          <w:sz w:val="22"/>
          <w:szCs w:val="22"/>
        </w:rPr>
      </w:pPr>
    </w:p>
    <w:p w:rsidRPr="00B9639B" w:rsidR="00E9597C" w:rsidP="00C55824" w:rsidRDefault="00E9597C" w14:paraId="44750412" w14:textId="4EE0475A">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rsidR="00E9597C" w:rsidP="00C55824" w:rsidRDefault="00E9597C" w14:paraId="5829F7D6" w14:textId="77777777">
      <w:pPr>
        <w:jc w:val="both"/>
        <w:rPr>
          <w:rFonts w:ascii="Arial" w:hAnsi="Arial" w:cs="Arial"/>
          <w:sz w:val="22"/>
          <w:szCs w:val="22"/>
        </w:rPr>
      </w:pPr>
    </w:p>
    <w:p w:rsidR="00E11C54" w:rsidP="00AD12C7" w:rsidRDefault="00E11C54" w14:paraId="7EC1F091" w14:textId="4E074902">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rsidR="00E11C54" w:rsidP="00AD12C7" w:rsidRDefault="00E11C54" w14:paraId="610EC061" w14:textId="77777777">
      <w:pPr>
        <w:rPr>
          <w:rFonts w:ascii="Arial" w:hAnsi="Arial" w:cs="Arial"/>
          <w:sz w:val="22"/>
          <w:szCs w:val="22"/>
          <w:lang w:val="en-GB"/>
        </w:rPr>
      </w:pPr>
    </w:p>
    <w:p w:rsidR="00E96067" w:rsidP="00AD12C7" w:rsidRDefault="00E96067" w14:paraId="310287C1" w14:textId="35E5ABCE">
      <w:pPr>
        <w:rPr>
          <w:rFonts w:ascii="Arial" w:hAnsi="Arial" w:cs="Arial"/>
          <w:sz w:val="22"/>
          <w:szCs w:val="22"/>
          <w:lang w:val="en-GB"/>
        </w:rPr>
      </w:pPr>
      <w:r>
        <w:rPr>
          <w:rFonts w:ascii="Arial" w:hAnsi="Arial" w:cs="Arial"/>
          <w:sz w:val="22"/>
          <w:szCs w:val="22"/>
          <w:lang w:val="en-GB"/>
        </w:rPr>
        <w:t>When a winding up order has been made, a secured creditor:</w:t>
      </w:r>
    </w:p>
    <w:p w:rsidR="00E177F0" w:rsidP="00AD12C7" w:rsidRDefault="00E177F0" w14:paraId="1ABCBE07" w14:textId="55D2E184">
      <w:pPr>
        <w:rPr>
          <w:rFonts w:ascii="Arial" w:hAnsi="Arial" w:cs="Arial"/>
          <w:sz w:val="22"/>
          <w:szCs w:val="22"/>
          <w:lang w:val="en-GB"/>
        </w:rPr>
      </w:pPr>
    </w:p>
    <w:p w:rsidR="00E177F0" w:rsidP="00924973" w:rsidRDefault="00E177F0" w14:paraId="16227007" w14:textId="557EE187">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Pr="00924973" w:rsidR="00A46FE2">
        <w:rPr>
          <w:rFonts w:ascii="Arial" w:hAnsi="Arial" w:cs="Arial"/>
          <w:sz w:val="22"/>
          <w:szCs w:val="22"/>
          <w:lang w:val="en-GB"/>
        </w:rPr>
        <w:t>.</w:t>
      </w:r>
    </w:p>
    <w:p w:rsidRPr="00924973" w:rsidR="00924973" w:rsidP="00924973" w:rsidRDefault="00924973" w14:paraId="7F9ED613" w14:textId="77777777">
      <w:pPr>
        <w:rPr>
          <w:rFonts w:ascii="Arial" w:hAnsi="Arial" w:cs="Arial"/>
          <w:sz w:val="22"/>
          <w:szCs w:val="22"/>
          <w:lang w:val="en-GB"/>
        </w:rPr>
      </w:pPr>
    </w:p>
    <w:p w:rsidR="00E177F0" w:rsidP="00924973" w:rsidRDefault="00E177F0" w14:paraId="1851E1FD" w14:textId="0B879589">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Pr="00924973" w:rsidR="00803C72">
        <w:rPr>
          <w:rFonts w:ascii="Arial" w:hAnsi="Arial" w:cs="Arial"/>
          <w:sz w:val="22"/>
          <w:szCs w:val="22"/>
          <w:lang w:val="en-GB"/>
        </w:rPr>
        <w:t>.</w:t>
      </w:r>
    </w:p>
    <w:p w:rsidRPr="00924973" w:rsidR="00924973" w:rsidP="00924973" w:rsidRDefault="00924973" w14:paraId="6B805B58" w14:textId="77777777">
      <w:pPr>
        <w:rPr>
          <w:rFonts w:ascii="Arial" w:hAnsi="Arial" w:cs="Arial"/>
          <w:sz w:val="22"/>
          <w:szCs w:val="22"/>
          <w:lang w:val="en-GB"/>
        </w:rPr>
      </w:pPr>
    </w:p>
    <w:p w:rsidRPr="00F8753B" w:rsidR="00E177F0" w:rsidP="00924973" w:rsidRDefault="00E177F0" w14:paraId="170E8422" w14:textId="363D301D">
      <w:pPr>
        <w:pStyle w:val="ListParagraph"/>
        <w:numPr>
          <w:ilvl w:val="0"/>
          <w:numId w:val="36"/>
        </w:numPr>
        <w:ind w:left="426"/>
        <w:rPr>
          <w:rFonts w:ascii="Arial" w:hAnsi="Arial" w:cs="Arial"/>
          <w:sz w:val="22"/>
          <w:szCs w:val="22"/>
          <w:highlight w:val="yellow"/>
          <w:lang w:val="en-GB"/>
        </w:rPr>
      </w:pPr>
      <w:r w:rsidRPr="00F8753B">
        <w:rPr>
          <w:rFonts w:ascii="Arial" w:hAnsi="Arial" w:cs="Arial"/>
          <w:sz w:val="22"/>
          <w:szCs w:val="22"/>
          <w:highlight w:val="yellow"/>
          <w:lang w:val="en-GB"/>
        </w:rPr>
        <w:t>May enforce their security without leave of the court</w:t>
      </w:r>
      <w:r w:rsidRPr="00F8753B" w:rsidR="00803C72">
        <w:rPr>
          <w:rFonts w:ascii="Arial" w:hAnsi="Arial" w:cs="Arial"/>
          <w:sz w:val="22"/>
          <w:szCs w:val="22"/>
          <w:highlight w:val="yellow"/>
          <w:lang w:val="en-GB"/>
        </w:rPr>
        <w:t>.</w:t>
      </w:r>
    </w:p>
    <w:p w:rsidRPr="00924973" w:rsidR="00924973" w:rsidP="00924973" w:rsidRDefault="00924973" w14:paraId="646B86CC" w14:textId="77777777">
      <w:pPr>
        <w:rPr>
          <w:rFonts w:ascii="Arial" w:hAnsi="Arial" w:cs="Arial"/>
          <w:sz w:val="22"/>
          <w:szCs w:val="22"/>
          <w:lang w:val="en-GB"/>
        </w:rPr>
      </w:pPr>
    </w:p>
    <w:p w:rsidRPr="00924973" w:rsidR="00E177F0" w:rsidP="00924973" w:rsidRDefault="00E177F0" w14:paraId="0E818B06" w14:textId="75FAC7C5">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Pr="00924973" w:rsidR="00803C72">
        <w:rPr>
          <w:rFonts w:ascii="Arial" w:hAnsi="Arial" w:cs="Arial"/>
          <w:sz w:val="22"/>
          <w:szCs w:val="22"/>
          <w:lang w:val="en-GB"/>
        </w:rPr>
        <w:t>.</w:t>
      </w:r>
    </w:p>
    <w:p w:rsidR="008F6CAB" w:rsidP="00AD12C7" w:rsidRDefault="008F6CAB" w14:paraId="3FF1AC5E" w14:textId="1D834E83">
      <w:pPr>
        <w:rPr>
          <w:rFonts w:ascii="Arial" w:hAnsi="Arial" w:cs="Arial"/>
          <w:sz w:val="22"/>
          <w:szCs w:val="22"/>
          <w:lang w:val="en-GB"/>
        </w:rPr>
      </w:pPr>
    </w:p>
    <w:p w:rsidR="00924973" w:rsidP="00AD12C7" w:rsidRDefault="00924973" w14:paraId="5167B8DA" w14:textId="132B650E">
      <w:pPr>
        <w:rPr>
          <w:rFonts w:ascii="Arial" w:hAnsi="Arial" w:cs="Arial"/>
          <w:sz w:val="22"/>
          <w:szCs w:val="22"/>
          <w:lang w:val="en-GB"/>
        </w:rPr>
      </w:pPr>
    </w:p>
    <w:p w:rsidR="00924973" w:rsidP="00AD12C7" w:rsidRDefault="00924973" w14:paraId="02D0861C" w14:textId="14B5803F">
      <w:pPr>
        <w:rPr>
          <w:rFonts w:ascii="Arial" w:hAnsi="Arial" w:cs="Arial"/>
          <w:sz w:val="22"/>
          <w:szCs w:val="22"/>
          <w:lang w:val="en-GB"/>
        </w:rPr>
      </w:pPr>
    </w:p>
    <w:p w:rsidR="00924973" w:rsidP="00AD12C7" w:rsidRDefault="00924973" w14:paraId="12059A7A" w14:textId="7C03FD87">
      <w:pPr>
        <w:rPr>
          <w:rFonts w:ascii="Arial" w:hAnsi="Arial" w:cs="Arial"/>
          <w:sz w:val="22"/>
          <w:szCs w:val="22"/>
          <w:lang w:val="en-GB"/>
        </w:rPr>
      </w:pPr>
    </w:p>
    <w:p w:rsidR="00924973" w:rsidP="00AD12C7" w:rsidRDefault="00924973" w14:paraId="402221A0" w14:textId="7870BB15">
      <w:pPr>
        <w:rPr>
          <w:rFonts w:ascii="Arial" w:hAnsi="Arial" w:cs="Arial"/>
          <w:sz w:val="22"/>
          <w:szCs w:val="22"/>
          <w:lang w:val="en-GB"/>
        </w:rPr>
      </w:pPr>
    </w:p>
    <w:p w:rsidR="00924973" w:rsidP="00AD12C7" w:rsidRDefault="00924973" w14:paraId="17C60B2B" w14:textId="23A731E3">
      <w:pPr>
        <w:rPr>
          <w:rFonts w:ascii="Arial" w:hAnsi="Arial" w:cs="Arial"/>
          <w:sz w:val="22"/>
          <w:szCs w:val="22"/>
          <w:lang w:val="en-GB"/>
        </w:rPr>
      </w:pPr>
    </w:p>
    <w:p w:rsidR="00924973" w:rsidP="00AD12C7" w:rsidRDefault="00924973" w14:paraId="60318CF5" w14:textId="67F97562">
      <w:pPr>
        <w:rPr>
          <w:rFonts w:ascii="Arial" w:hAnsi="Arial" w:cs="Arial"/>
          <w:sz w:val="22"/>
          <w:szCs w:val="22"/>
          <w:lang w:val="en-GB"/>
        </w:rPr>
      </w:pPr>
    </w:p>
    <w:p w:rsidR="00924973" w:rsidP="00AD12C7" w:rsidRDefault="00924973" w14:paraId="68191D65" w14:textId="2689A201">
      <w:pPr>
        <w:rPr>
          <w:rFonts w:ascii="Arial" w:hAnsi="Arial" w:cs="Arial"/>
          <w:sz w:val="22"/>
          <w:szCs w:val="22"/>
          <w:lang w:val="en-GB"/>
        </w:rPr>
      </w:pPr>
    </w:p>
    <w:p w:rsidR="00924973" w:rsidP="00AD12C7" w:rsidRDefault="00924973" w14:paraId="0918D2F0" w14:textId="1860FB1C">
      <w:pPr>
        <w:rPr>
          <w:rFonts w:ascii="Arial" w:hAnsi="Arial" w:cs="Arial"/>
          <w:sz w:val="22"/>
          <w:szCs w:val="22"/>
          <w:lang w:val="en-GB"/>
        </w:rPr>
      </w:pPr>
    </w:p>
    <w:p w:rsidR="00924973" w:rsidP="00AD12C7" w:rsidRDefault="00924973" w14:paraId="5B8E244E" w14:textId="77777777">
      <w:pPr>
        <w:rPr>
          <w:rFonts w:ascii="Arial" w:hAnsi="Arial" w:cs="Arial"/>
          <w:sz w:val="22"/>
          <w:szCs w:val="22"/>
          <w:lang w:val="en-GB"/>
        </w:rPr>
      </w:pPr>
    </w:p>
    <w:p w:rsidRPr="00B9639B" w:rsidR="000F6063" w:rsidP="000F6063" w:rsidRDefault="000F6063" w14:paraId="32C78769" w14:textId="0D1E28F5">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rsidR="000F6063" w:rsidP="000F6063" w:rsidRDefault="000F6063" w14:paraId="2BA2A182" w14:textId="77777777">
      <w:pPr>
        <w:autoSpaceDE w:val="0"/>
        <w:autoSpaceDN w:val="0"/>
        <w:adjustRightInd w:val="0"/>
        <w:jc w:val="both"/>
        <w:rPr>
          <w:rFonts w:ascii="Arial" w:hAnsi="Arial" w:cs="Arial"/>
          <w:sz w:val="22"/>
          <w:szCs w:val="22"/>
        </w:rPr>
      </w:pPr>
    </w:p>
    <w:p w:rsidR="000F6063" w:rsidP="000F6063" w:rsidRDefault="000F6063" w14:paraId="191AD451" w14:textId="77777777">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rsidR="000F6063" w:rsidP="000F6063" w:rsidRDefault="000F6063" w14:paraId="354FE3F8" w14:textId="77777777">
      <w:pPr>
        <w:jc w:val="both"/>
        <w:rPr>
          <w:rFonts w:ascii="Arial" w:hAnsi="Arial" w:cs="Arial"/>
          <w:sz w:val="22"/>
          <w:szCs w:val="22"/>
          <w:lang w:val="en-GB"/>
        </w:rPr>
      </w:pPr>
    </w:p>
    <w:p w:rsidR="000F6063" w:rsidP="000F6063" w:rsidRDefault="000F6063" w14:paraId="54E971F1" w14:textId="7777777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rsidR="000F6063" w:rsidP="000F6063" w:rsidRDefault="000F6063" w14:paraId="1AC50405" w14:textId="77777777">
      <w:pPr>
        <w:jc w:val="both"/>
        <w:rPr>
          <w:rFonts w:ascii="Arial" w:hAnsi="Arial" w:cs="Arial"/>
          <w:sz w:val="22"/>
          <w:szCs w:val="22"/>
          <w:lang w:val="en-GB"/>
        </w:rPr>
      </w:pPr>
    </w:p>
    <w:p w:rsidRPr="00924973" w:rsidR="000F6063" w:rsidP="00924973" w:rsidRDefault="000F6063" w14:paraId="1337E2A6" w14:textId="77777777">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rsidRPr="00FC023D" w:rsidR="000F6063" w:rsidP="00924973" w:rsidRDefault="000F6063" w14:paraId="61FEC1EF" w14:textId="7E872FDB">
      <w:pPr>
        <w:pStyle w:val="ListParagraph"/>
        <w:numPr>
          <w:ilvl w:val="0"/>
          <w:numId w:val="37"/>
        </w:numPr>
        <w:ind w:left="426"/>
        <w:jc w:val="both"/>
        <w:rPr>
          <w:rFonts w:ascii="Arial" w:hAnsi="Arial" w:cs="Arial"/>
          <w:sz w:val="22"/>
          <w:szCs w:val="22"/>
          <w:highlight w:val="yellow"/>
          <w:lang w:val="en-GB"/>
        </w:rPr>
      </w:pPr>
      <w:r w:rsidRPr="00FC023D">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rsidRPr="00924973" w:rsidR="00924973" w:rsidP="00924973" w:rsidRDefault="00924973" w14:paraId="2343E36A" w14:textId="77777777">
      <w:pPr>
        <w:jc w:val="both"/>
        <w:rPr>
          <w:rFonts w:ascii="Arial" w:hAnsi="Arial" w:cs="Arial"/>
          <w:sz w:val="22"/>
          <w:szCs w:val="22"/>
          <w:lang w:val="en-GB"/>
        </w:rPr>
      </w:pPr>
    </w:p>
    <w:p w:rsidR="000F6063" w:rsidP="00924973" w:rsidRDefault="000F6063" w14:paraId="0562E08B" w14:textId="7E7820E9">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rsidRPr="00924973" w:rsidR="00924973" w:rsidP="00924973" w:rsidRDefault="00924973" w14:paraId="61938ED1" w14:textId="77777777">
      <w:pPr>
        <w:jc w:val="both"/>
        <w:rPr>
          <w:rFonts w:ascii="Arial" w:hAnsi="Arial" w:cs="Arial"/>
          <w:sz w:val="22"/>
          <w:szCs w:val="22"/>
          <w:lang w:val="en-GB"/>
        </w:rPr>
      </w:pPr>
    </w:p>
    <w:p w:rsidRPr="00924973" w:rsidR="000F6063" w:rsidP="00924973" w:rsidRDefault="000F6063" w14:paraId="3D4CEB7E" w14:textId="77777777">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rsidR="002476AF" w:rsidP="00C55824" w:rsidRDefault="002476AF" w14:paraId="2BB16D6B" w14:textId="77777777">
      <w:pPr>
        <w:jc w:val="both"/>
        <w:rPr>
          <w:rFonts w:ascii="Arial" w:hAnsi="Arial" w:cs="Arial"/>
          <w:b/>
          <w:bCs/>
          <w:sz w:val="22"/>
          <w:szCs w:val="22"/>
        </w:rPr>
      </w:pPr>
    </w:p>
    <w:p w:rsidRPr="00B9639B" w:rsidR="00E9597C" w:rsidP="00C55824" w:rsidRDefault="00E9597C" w14:paraId="5AF5BCF4" w14:textId="5915E9A3">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rsidRPr="00B9639B" w:rsidR="00E9597C" w:rsidP="00C55824" w:rsidRDefault="00E9597C" w14:paraId="205ED427" w14:textId="77777777">
      <w:pPr>
        <w:jc w:val="both"/>
        <w:rPr>
          <w:rFonts w:ascii="Arial" w:hAnsi="Arial" w:cs="Arial"/>
          <w:sz w:val="22"/>
          <w:szCs w:val="22"/>
        </w:rPr>
      </w:pPr>
    </w:p>
    <w:p w:rsidR="00920BE7" w:rsidP="00AD12C7" w:rsidRDefault="00920BE7" w14:paraId="09D11F04" w14:textId="666E5A9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rsidR="00920BE7" w:rsidP="00AD12C7" w:rsidRDefault="00920BE7" w14:paraId="24165B7A" w14:textId="77777777">
      <w:pPr>
        <w:jc w:val="both"/>
        <w:rPr>
          <w:rFonts w:ascii="Arial" w:hAnsi="Arial" w:cs="Arial"/>
          <w:sz w:val="22"/>
          <w:szCs w:val="22"/>
          <w:lang w:val="en-GB"/>
        </w:rPr>
      </w:pPr>
    </w:p>
    <w:p w:rsidR="00920BE7" w:rsidP="00924973" w:rsidRDefault="00920BE7" w14:paraId="2B56FD7F" w14:textId="541C6E4F">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Pr="00924973" w:rsidR="00803C72">
        <w:rPr>
          <w:rFonts w:ascii="Arial" w:hAnsi="Arial" w:cs="Arial"/>
          <w:sz w:val="22"/>
          <w:szCs w:val="22"/>
          <w:lang w:val="en-GB"/>
        </w:rPr>
        <w:t>.</w:t>
      </w:r>
    </w:p>
    <w:p w:rsidRPr="00924973" w:rsidR="00924973" w:rsidP="00924973" w:rsidRDefault="00924973" w14:paraId="61C0AC75" w14:textId="77777777">
      <w:pPr>
        <w:jc w:val="both"/>
        <w:rPr>
          <w:rFonts w:ascii="Arial" w:hAnsi="Arial" w:cs="Arial"/>
          <w:sz w:val="22"/>
          <w:szCs w:val="22"/>
          <w:lang w:val="en-GB"/>
        </w:rPr>
      </w:pPr>
    </w:p>
    <w:p w:rsidR="00920BE7" w:rsidP="00924973" w:rsidRDefault="00920BE7" w14:paraId="490DC0BC" w14:textId="37A4E397">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Pr="00924973" w:rsidR="00803C72">
        <w:rPr>
          <w:rFonts w:ascii="Arial" w:hAnsi="Arial" w:cs="Arial"/>
          <w:sz w:val="22"/>
          <w:szCs w:val="22"/>
          <w:lang w:val="en-GB"/>
        </w:rPr>
        <w:t>.</w:t>
      </w:r>
    </w:p>
    <w:p w:rsidRPr="00924973" w:rsidR="00924973" w:rsidP="00924973" w:rsidRDefault="00924973" w14:paraId="4BBBDE96" w14:textId="77777777">
      <w:pPr>
        <w:jc w:val="both"/>
        <w:rPr>
          <w:rFonts w:ascii="Arial" w:hAnsi="Arial" w:cs="Arial"/>
          <w:sz w:val="22"/>
          <w:szCs w:val="22"/>
          <w:lang w:val="en-GB"/>
        </w:rPr>
      </w:pPr>
    </w:p>
    <w:p w:rsidR="00920BE7" w:rsidP="00924973" w:rsidRDefault="00853B56" w14:paraId="682992C3" w14:textId="01570C51">
      <w:pPr>
        <w:pStyle w:val="ListParagraph"/>
        <w:numPr>
          <w:ilvl w:val="0"/>
          <w:numId w:val="38"/>
        </w:numPr>
        <w:ind w:left="426"/>
        <w:jc w:val="both"/>
        <w:rPr>
          <w:rFonts w:ascii="Arial" w:hAnsi="Arial" w:cs="Arial"/>
          <w:sz w:val="22"/>
          <w:szCs w:val="22"/>
          <w:lang w:val="en-GB"/>
        </w:rPr>
      </w:pPr>
      <w:r w:rsidRPr="00FC023D">
        <w:rPr>
          <w:rFonts w:ascii="Arial" w:hAnsi="Arial" w:cs="Arial"/>
          <w:sz w:val="22"/>
          <w:szCs w:val="22"/>
          <w:highlight w:val="yellow"/>
          <w:lang w:val="en-GB"/>
        </w:rPr>
        <w:t>Amounts due to p</w:t>
      </w:r>
      <w:r w:rsidRPr="00FC023D" w:rsidR="005327B7">
        <w:rPr>
          <w:rFonts w:ascii="Arial" w:hAnsi="Arial" w:cs="Arial"/>
          <w:sz w:val="22"/>
          <w:szCs w:val="22"/>
          <w:highlight w:val="yellow"/>
          <w:lang w:val="en-GB"/>
        </w:rPr>
        <w:t>referred shareholders</w:t>
      </w:r>
      <w:r w:rsidRPr="00FC023D" w:rsidR="00803C72">
        <w:rPr>
          <w:rFonts w:ascii="Arial" w:hAnsi="Arial" w:cs="Arial"/>
          <w:sz w:val="22"/>
          <w:szCs w:val="22"/>
          <w:highlight w:val="yellow"/>
          <w:lang w:val="en-GB"/>
        </w:rPr>
        <w:t>.</w:t>
      </w:r>
    </w:p>
    <w:p w:rsidRPr="00924973" w:rsidR="00924973" w:rsidP="00924973" w:rsidRDefault="00924973" w14:paraId="03804184" w14:textId="77777777">
      <w:pPr>
        <w:jc w:val="both"/>
        <w:rPr>
          <w:rFonts w:ascii="Arial" w:hAnsi="Arial" w:cs="Arial"/>
          <w:sz w:val="22"/>
          <w:szCs w:val="22"/>
          <w:lang w:val="en-GB"/>
        </w:rPr>
      </w:pPr>
    </w:p>
    <w:p w:rsidR="00920BE7" w:rsidP="00924973" w:rsidRDefault="00920BE7" w14:paraId="1CB15487" w14:textId="6A5E205F">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Pr="00924973" w:rsidR="00803C72">
        <w:rPr>
          <w:rFonts w:ascii="Arial" w:hAnsi="Arial" w:cs="Arial"/>
          <w:sz w:val="22"/>
          <w:szCs w:val="22"/>
          <w:lang w:val="en-GB"/>
        </w:rPr>
        <w:t>.</w:t>
      </w:r>
    </w:p>
    <w:p w:rsidRPr="00924973" w:rsidR="00924973" w:rsidP="00924973" w:rsidRDefault="00924973" w14:paraId="380CC36C" w14:textId="77777777">
      <w:pPr>
        <w:jc w:val="both"/>
        <w:rPr>
          <w:rFonts w:ascii="Arial" w:hAnsi="Arial" w:cs="Arial"/>
          <w:sz w:val="22"/>
          <w:szCs w:val="22"/>
          <w:lang w:val="en-GB"/>
        </w:rPr>
      </w:pPr>
    </w:p>
    <w:p w:rsidRPr="00924973" w:rsidR="00920BE7" w:rsidP="00924973" w:rsidRDefault="00920BE7" w14:paraId="35B146E3" w14:textId="3FEC30FF">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Pr="00924973" w:rsidR="00803C72">
        <w:rPr>
          <w:rFonts w:ascii="Arial" w:hAnsi="Arial" w:cs="Arial"/>
          <w:sz w:val="22"/>
          <w:szCs w:val="22"/>
          <w:lang w:val="en-GB"/>
        </w:rPr>
        <w:t>.</w:t>
      </w:r>
    </w:p>
    <w:p w:rsidRPr="00924973" w:rsidR="00924973" w:rsidP="00924973" w:rsidRDefault="00924973" w14:paraId="63207AC8" w14:textId="77777777">
      <w:pPr>
        <w:jc w:val="both"/>
        <w:rPr>
          <w:rFonts w:ascii="Arial" w:hAnsi="Arial" w:cs="Arial"/>
          <w:sz w:val="22"/>
          <w:szCs w:val="22"/>
          <w:lang w:val="en-GB"/>
        </w:rPr>
      </w:pPr>
    </w:p>
    <w:p w:rsidR="00E9597C" w:rsidP="00C55824" w:rsidRDefault="00E9597C" w14:paraId="1F24CE49" w14:textId="7864EF59">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rsidR="00416D2B" w:rsidP="00C55824" w:rsidRDefault="00416D2B" w14:paraId="7F238F5C" w14:textId="7021D409">
      <w:pPr>
        <w:jc w:val="both"/>
        <w:rPr>
          <w:rFonts w:ascii="Arial" w:hAnsi="Arial" w:cs="Arial"/>
          <w:sz w:val="22"/>
          <w:szCs w:val="22"/>
        </w:rPr>
      </w:pPr>
    </w:p>
    <w:p w:rsidRPr="00D06A87" w:rsidR="005327B7" w:rsidP="00C55824" w:rsidRDefault="00D06A87" w14:paraId="5CD05408" w14:textId="49A1F09E">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Pr="00924973" w:rsidR="005327B7">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rsidR="005327B7" w:rsidP="00C55824" w:rsidRDefault="005327B7" w14:paraId="7FF18900" w14:textId="77777777">
      <w:pPr>
        <w:jc w:val="both"/>
        <w:rPr>
          <w:rFonts w:ascii="Arial" w:hAnsi="Arial" w:cs="Arial"/>
          <w:sz w:val="22"/>
          <w:szCs w:val="22"/>
        </w:rPr>
      </w:pPr>
    </w:p>
    <w:p w:rsidR="00416D2B" w:rsidP="00C55824" w:rsidRDefault="005327B7" w14:paraId="2ED89E77" w14:textId="535A7DF3">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rsidR="005327B7" w:rsidP="00C55824" w:rsidRDefault="005327B7" w14:paraId="64C89572" w14:textId="77777777">
      <w:pPr>
        <w:jc w:val="both"/>
        <w:rPr>
          <w:rFonts w:ascii="Arial" w:hAnsi="Arial" w:cs="Arial"/>
          <w:sz w:val="22"/>
          <w:szCs w:val="22"/>
        </w:rPr>
      </w:pPr>
    </w:p>
    <w:p w:rsidR="002C4B43" w:rsidP="00924973" w:rsidRDefault="005327B7" w14:paraId="183FD236" w14:textId="08DE295D">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Pr="00924973" w:rsidR="00D06A87">
        <w:rPr>
          <w:rFonts w:ascii="Arial" w:hAnsi="Arial" w:cs="Arial"/>
          <w:sz w:val="22"/>
          <w:szCs w:val="22"/>
          <w:lang w:val="en-GB"/>
        </w:rPr>
        <w:t>.</w:t>
      </w:r>
    </w:p>
    <w:p w:rsidRPr="00924973" w:rsidR="00924973" w:rsidP="00924973" w:rsidRDefault="00924973" w14:paraId="4DE59BAB" w14:textId="77777777">
      <w:pPr>
        <w:jc w:val="both"/>
        <w:rPr>
          <w:rFonts w:ascii="Arial" w:hAnsi="Arial" w:cs="Arial"/>
          <w:sz w:val="22"/>
          <w:szCs w:val="22"/>
          <w:lang w:val="en-GB"/>
        </w:rPr>
      </w:pPr>
    </w:p>
    <w:p w:rsidR="005327B7" w:rsidP="00924973" w:rsidRDefault="005327B7" w14:paraId="3C399740" w14:textId="7C91C28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Pr="00924973" w:rsidR="00D06A87">
        <w:rPr>
          <w:rFonts w:ascii="Arial" w:hAnsi="Arial" w:cs="Arial"/>
          <w:sz w:val="22"/>
          <w:szCs w:val="22"/>
          <w:lang w:val="en-GB"/>
        </w:rPr>
        <w:t>.</w:t>
      </w:r>
    </w:p>
    <w:p w:rsidRPr="00924973" w:rsidR="00924973" w:rsidP="00924973" w:rsidRDefault="00924973" w14:paraId="7EE02228" w14:textId="77777777">
      <w:pPr>
        <w:jc w:val="both"/>
        <w:rPr>
          <w:rFonts w:ascii="Arial" w:hAnsi="Arial" w:cs="Arial"/>
          <w:sz w:val="22"/>
          <w:szCs w:val="22"/>
          <w:lang w:val="en-GB"/>
        </w:rPr>
      </w:pPr>
    </w:p>
    <w:p w:rsidR="005327B7" w:rsidP="00924973" w:rsidRDefault="005327B7" w14:paraId="4693129F" w14:textId="778B616C">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Pr="00924973" w:rsidR="00D06A87">
        <w:rPr>
          <w:rFonts w:ascii="Arial" w:hAnsi="Arial" w:cs="Arial"/>
          <w:sz w:val="22"/>
          <w:szCs w:val="22"/>
          <w:lang w:val="en-GB"/>
        </w:rPr>
        <w:t>.</w:t>
      </w:r>
    </w:p>
    <w:p w:rsidRPr="00924973" w:rsidR="00924973" w:rsidP="00924973" w:rsidRDefault="00924973" w14:paraId="3925670B" w14:textId="77777777">
      <w:pPr>
        <w:jc w:val="both"/>
        <w:rPr>
          <w:rFonts w:ascii="Arial" w:hAnsi="Arial" w:cs="Arial"/>
          <w:sz w:val="22"/>
          <w:szCs w:val="22"/>
          <w:lang w:val="en-GB"/>
        </w:rPr>
      </w:pPr>
    </w:p>
    <w:p w:rsidRPr="00F66826" w:rsidR="005327B7" w:rsidP="00924973" w:rsidRDefault="005327B7" w14:paraId="54C62EA5" w14:textId="6AEEDFBE">
      <w:pPr>
        <w:pStyle w:val="ListParagraph"/>
        <w:numPr>
          <w:ilvl w:val="0"/>
          <w:numId w:val="39"/>
        </w:numPr>
        <w:ind w:left="426"/>
        <w:jc w:val="both"/>
        <w:rPr>
          <w:rFonts w:ascii="Arial" w:hAnsi="Arial" w:cs="Arial"/>
          <w:sz w:val="22"/>
          <w:szCs w:val="22"/>
          <w:highlight w:val="yellow"/>
          <w:lang w:val="en-GB"/>
        </w:rPr>
      </w:pPr>
      <w:r w:rsidRPr="00F66826">
        <w:rPr>
          <w:rFonts w:ascii="Arial" w:hAnsi="Arial" w:cs="Arial"/>
          <w:sz w:val="22"/>
          <w:szCs w:val="22"/>
          <w:highlight w:val="yellow"/>
          <w:lang w:val="en-GB"/>
        </w:rPr>
        <w:t>The board of directors decides it is “just and equitable” for the company to be wound up</w:t>
      </w:r>
      <w:r w:rsidRPr="00F66826" w:rsidR="00D06A87">
        <w:rPr>
          <w:rFonts w:ascii="Arial" w:hAnsi="Arial" w:cs="Arial"/>
          <w:sz w:val="22"/>
          <w:szCs w:val="22"/>
          <w:highlight w:val="yellow"/>
          <w:lang w:val="en-GB"/>
        </w:rPr>
        <w:t>.</w:t>
      </w:r>
    </w:p>
    <w:p w:rsidRPr="00924973" w:rsidR="00924973" w:rsidP="00924973" w:rsidRDefault="00924973" w14:paraId="690A788D" w14:textId="77777777">
      <w:pPr>
        <w:jc w:val="both"/>
        <w:rPr>
          <w:rFonts w:ascii="Arial" w:hAnsi="Arial" w:cs="Arial"/>
          <w:sz w:val="22"/>
          <w:szCs w:val="22"/>
          <w:lang w:val="en-GB"/>
        </w:rPr>
      </w:pPr>
    </w:p>
    <w:p w:rsidRPr="00924973" w:rsidR="005327B7" w:rsidP="00924973" w:rsidRDefault="005327B7" w14:paraId="00D29C75" w14:textId="49F30AB5">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rsidR="00416D2B" w:rsidP="002A37BB" w:rsidRDefault="00416D2B" w14:paraId="5BB957E4" w14:textId="7713BAF2">
      <w:pPr>
        <w:jc w:val="both"/>
        <w:rPr>
          <w:rFonts w:ascii="Arial" w:hAnsi="Arial" w:cs="Arial"/>
          <w:bCs/>
          <w:sz w:val="22"/>
          <w:szCs w:val="22"/>
          <w:lang w:val="en-GB"/>
        </w:rPr>
      </w:pPr>
    </w:p>
    <w:p w:rsidR="00924973" w:rsidP="002A37BB" w:rsidRDefault="00924973" w14:paraId="4AF7C45C" w14:textId="1E34CD5F">
      <w:pPr>
        <w:jc w:val="both"/>
        <w:rPr>
          <w:rFonts w:ascii="Arial" w:hAnsi="Arial" w:cs="Arial"/>
          <w:bCs/>
          <w:sz w:val="22"/>
          <w:szCs w:val="22"/>
          <w:lang w:val="en-GB"/>
        </w:rPr>
      </w:pPr>
    </w:p>
    <w:p w:rsidR="00924973" w:rsidP="002A37BB" w:rsidRDefault="00924973" w14:paraId="6AB78815" w14:textId="1DEC6DEA">
      <w:pPr>
        <w:jc w:val="both"/>
        <w:rPr>
          <w:rFonts w:ascii="Arial" w:hAnsi="Arial" w:cs="Arial"/>
          <w:bCs/>
          <w:sz w:val="22"/>
          <w:szCs w:val="22"/>
          <w:lang w:val="en-GB"/>
        </w:rPr>
      </w:pPr>
    </w:p>
    <w:p w:rsidR="00924973" w:rsidP="002A37BB" w:rsidRDefault="00924973" w14:paraId="12416D26" w14:textId="77777777">
      <w:pPr>
        <w:jc w:val="both"/>
        <w:rPr>
          <w:rFonts w:ascii="Arial" w:hAnsi="Arial" w:cs="Arial"/>
          <w:bCs/>
          <w:sz w:val="22"/>
          <w:szCs w:val="22"/>
          <w:lang w:val="en-GB"/>
        </w:rPr>
      </w:pPr>
    </w:p>
    <w:p w:rsidRPr="00B9639B" w:rsidR="000F6063" w:rsidP="000F6063" w:rsidRDefault="000F6063" w14:paraId="32CA346B" w14:textId="533F181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rsidRPr="00B9639B" w:rsidR="000F6063" w:rsidP="000F6063" w:rsidRDefault="000F6063" w14:paraId="1249C524" w14:textId="77777777">
      <w:pPr>
        <w:jc w:val="both"/>
        <w:rPr>
          <w:rFonts w:ascii="Arial" w:hAnsi="Arial" w:cs="Arial"/>
          <w:sz w:val="22"/>
          <w:szCs w:val="22"/>
        </w:rPr>
      </w:pPr>
    </w:p>
    <w:p w:rsidR="000F6063" w:rsidP="000F6063" w:rsidRDefault="000F6063" w14:paraId="331CA882" w14:textId="7777777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rsidR="000F6063" w:rsidP="000F6063" w:rsidRDefault="000F6063" w14:paraId="6D794011" w14:textId="77777777">
      <w:pPr>
        <w:ind w:left="720" w:hanging="720"/>
        <w:rPr>
          <w:rFonts w:ascii="Arial" w:hAnsi="Arial" w:cs="Arial"/>
          <w:sz w:val="22"/>
          <w:szCs w:val="22"/>
          <w:lang w:val="en-GB"/>
        </w:rPr>
      </w:pPr>
    </w:p>
    <w:p w:rsidR="000F6063" w:rsidP="000F6063" w:rsidRDefault="000F6063" w14:paraId="5F9BB8E5" w14:textId="77777777">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rsidR="000F6063" w:rsidP="000F6063" w:rsidRDefault="000F6063" w14:paraId="7411189B" w14:textId="77777777">
      <w:pPr>
        <w:jc w:val="both"/>
        <w:rPr>
          <w:rFonts w:ascii="Arial" w:hAnsi="Arial" w:cs="Arial"/>
          <w:sz w:val="22"/>
          <w:szCs w:val="22"/>
          <w:lang w:val="en-GB"/>
        </w:rPr>
      </w:pPr>
    </w:p>
    <w:p w:rsidR="000F6063" w:rsidP="00924973" w:rsidRDefault="000F6063" w14:paraId="4EE9F655" w14:textId="48967889">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rsidRPr="00924973" w:rsidR="00924973" w:rsidP="00924973" w:rsidRDefault="00924973" w14:paraId="4F9B018D" w14:textId="77777777">
      <w:pPr>
        <w:jc w:val="both"/>
        <w:rPr>
          <w:rFonts w:ascii="Arial" w:hAnsi="Arial" w:cs="Arial"/>
          <w:sz w:val="22"/>
          <w:szCs w:val="22"/>
          <w:lang w:val="en-GB"/>
        </w:rPr>
      </w:pPr>
    </w:p>
    <w:p w:rsidR="000F6063" w:rsidP="00924973" w:rsidRDefault="000F6063" w14:paraId="009BF6D2" w14:textId="089759A4">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rsidRPr="00924973" w:rsidR="00924973" w:rsidP="00924973" w:rsidRDefault="00924973" w14:paraId="31568CC5" w14:textId="77777777">
      <w:pPr>
        <w:jc w:val="both"/>
        <w:rPr>
          <w:rFonts w:ascii="Arial" w:hAnsi="Arial" w:cs="Arial"/>
          <w:sz w:val="22"/>
          <w:szCs w:val="22"/>
          <w:lang w:val="en-GB"/>
        </w:rPr>
      </w:pPr>
    </w:p>
    <w:p w:rsidR="000F6063" w:rsidP="00924973" w:rsidRDefault="000F6063" w14:paraId="7A5884E4" w14:textId="6063312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rsidRPr="00924973" w:rsidR="00924973" w:rsidP="00924973" w:rsidRDefault="00924973" w14:paraId="5861082B" w14:textId="77777777">
      <w:pPr>
        <w:jc w:val="both"/>
        <w:rPr>
          <w:rFonts w:ascii="Arial" w:hAnsi="Arial" w:cs="Arial"/>
          <w:sz w:val="22"/>
          <w:szCs w:val="22"/>
          <w:lang w:val="en-GB"/>
        </w:rPr>
      </w:pPr>
    </w:p>
    <w:p w:rsidRPr="00BE391E" w:rsidR="000F6063" w:rsidP="00924973" w:rsidRDefault="000F6063" w14:paraId="30EF1E49" w14:textId="77777777">
      <w:pPr>
        <w:pStyle w:val="ListParagraph"/>
        <w:numPr>
          <w:ilvl w:val="0"/>
          <w:numId w:val="40"/>
        </w:numPr>
        <w:ind w:left="426"/>
        <w:jc w:val="both"/>
        <w:rPr>
          <w:rFonts w:ascii="Arial" w:hAnsi="Arial" w:cs="Arial"/>
          <w:sz w:val="22"/>
          <w:szCs w:val="22"/>
          <w:highlight w:val="yellow"/>
          <w:lang w:val="en-GB"/>
        </w:rPr>
      </w:pPr>
      <w:r w:rsidRPr="00BE391E">
        <w:rPr>
          <w:rFonts w:ascii="Arial" w:hAnsi="Arial" w:cs="Arial"/>
          <w:sz w:val="22"/>
          <w:szCs w:val="22"/>
          <w:highlight w:val="yellow"/>
          <w:lang w:val="en-GB"/>
        </w:rPr>
        <w:t>More than 50% representing 75% or more in value of the creditors must agree.</w:t>
      </w:r>
    </w:p>
    <w:p w:rsidR="00AB0E3A" w:rsidP="002A37BB" w:rsidRDefault="00AB0E3A" w14:paraId="2A56CB6A" w14:textId="5CD2A009">
      <w:pPr>
        <w:jc w:val="both"/>
        <w:rPr>
          <w:rFonts w:ascii="Arial" w:hAnsi="Arial" w:cs="Arial"/>
          <w:bCs/>
          <w:sz w:val="22"/>
          <w:szCs w:val="22"/>
          <w:lang w:val="en-GB"/>
        </w:rPr>
      </w:pPr>
    </w:p>
    <w:p w:rsidRPr="00C55824" w:rsidR="00924973" w:rsidP="002A37BB" w:rsidRDefault="00924973" w14:paraId="17525F1A" w14:textId="77777777">
      <w:pPr>
        <w:jc w:val="both"/>
        <w:rPr>
          <w:rFonts w:ascii="Arial" w:hAnsi="Arial" w:cs="Arial"/>
          <w:bCs/>
          <w:sz w:val="22"/>
          <w:szCs w:val="22"/>
          <w:lang w:val="en-GB"/>
        </w:rPr>
      </w:pPr>
    </w:p>
    <w:p w:rsidRPr="002A37BB" w:rsidR="00962045" w:rsidP="002A37BB" w:rsidRDefault="00DF75F8" w14:paraId="724CD0FC" w14:textId="77777777">
      <w:pPr>
        <w:jc w:val="both"/>
        <w:rPr>
          <w:rFonts w:ascii="Arial" w:hAnsi="Arial" w:cs="Arial"/>
          <w:b/>
          <w:sz w:val="22"/>
          <w:szCs w:val="22"/>
          <w:lang w:val="en-GB"/>
        </w:rPr>
      </w:pPr>
      <w:r w:rsidRPr="002A37BB">
        <w:rPr>
          <w:rFonts w:ascii="Arial" w:hAnsi="Arial" w:cs="Arial"/>
          <w:b/>
          <w:sz w:val="22"/>
          <w:szCs w:val="22"/>
          <w:lang w:val="en-GB"/>
        </w:rPr>
        <w:t>QUESTION 2</w:t>
      </w:r>
      <w:r w:rsidRPr="002A37BB" w:rsidR="00962045">
        <w:rPr>
          <w:rFonts w:ascii="Arial" w:hAnsi="Arial" w:cs="Arial"/>
          <w:b/>
          <w:sz w:val="22"/>
          <w:szCs w:val="22"/>
          <w:lang w:val="en-GB"/>
        </w:rPr>
        <w:t xml:space="preserve"> (direct questions) [10 marks] </w:t>
      </w:r>
    </w:p>
    <w:p w:rsidRPr="002A37BB" w:rsidR="00962045" w:rsidP="002A37BB" w:rsidRDefault="00962045" w14:paraId="07FA3AF4" w14:textId="77777777">
      <w:pPr>
        <w:ind w:left="720" w:hanging="720"/>
        <w:jc w:val="both"/>
        <w:rPr>
          <w:rFonts w:ascii="Arial" w:hAnsi="Arial" w:cs="Arial"/>
          <w:sz w:val="22"/>
          <w:szCs w:val="22"/>
          <w:lang w:val="en-GB"/>
        </w:rPr>
      </w:pPr>
    </w:p>
    <w:p w:rsidRPr="002B3A96" w:rsidR="00D27CBC" w:rsidP="00D27CBC" w:rsidRDefault="00D27CBC" w14:paraId="68D286BD" w14:textId="504A8FE8">
      <w:pPr>
        <w:jc w:val="both"/>
        <w:rPr>
          <w:rFonts w:ascii="Arial" w:hAnsi="Arial" w:cs="Arial"/>
          <w:b/>
          <w:bCs/>
          <w:sz w:val="22"/>
          <w:szCs w:val="22"/>
          <w:lang w:val="en-GB"/>
        </w:rPr>
      </w:pPr>
      <w:r w:rsidRPr="002B3A96">
        <w:rPr>
          <w:rFonts w:ascii="Arial" w:hAnsi="Arial" w:cs="Arial"/>
          <w:b/>
          <w:bCs/>
          <w:sz w:val="22"/>
          <w:szCs w:val="22"/>
          <w:lang w:val="en-GB"/>
        </w:rPr>
        <w:t>Question 2.1 [maximum</w:t>
      </w:r>
      <w:r w:rsidRPr="002B3A96" w:rsidR="002B3A96">
        <w:rPr>
          <w:rFonts w:ascii="Arial" w:hAnsi="Arial" w:cs="Arial"/>
          <w:b/>
          <w:bCs/>
          <w:sz w:val="22"/>
          <w:szCs w:val="22"/>
          <w:lang w:val="en-GB"/>
        </w:rPr>
        <w:t xml:space="preserve"> </w:t>
      </w:r>
      <w:r w:rsidR="00BC3A55">
        <w:rPr>
          <w:rFonts w:ascii="Arial" w:hAnsi="Arial" w:cs="Arial"/>
          <w:b/>
          <w:bCs/>
          <w:sz w:val="22"/>
          <w:szCs w:val="22"/>
          <w:lang w:val="en-GB"/>
        </w:rPr>
        <w:t>3</w:t>
      </w:r>
      <w:r w:rsidRPr="002B3A96" w:rsid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rsidR="00D27CBC" w:rsidP="00D27CBC" w:rsidRDefault="00D27CBC" w14:paraId="6F87FF23" w14:textId="77777777">
      <w:pPr>
        <w:jc w:val="both"/>
        <w:rPr>
          <w:rFonts w:ascii="Arial" w:hAnsi="Arial" w:cs="Arial"/>
          <w:sz w:val="22"/>
          <w:szCs w:val="22"/>
          <w:lang w:val="en-GB"/>
        </w:rPr>
      </w:pPr>
    </w:p>
    <w:p w:rsidR="00D27CBC" w:rsidP="00D27CBC" w:rsidRDefault="00CB2364" w14:paraId="4F53D2EE" w14:textId="0001079A">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rsidR="00A26898" w:rsidP="00D27CBC" w:rsidRDefault="00A26898" w14:paraId="14F77008" w14:textId="73919960">
      <w:pPr>
        <w:jc w:val="both"/>
        <w:rPr>
          <w:rFonts w:ascii="Arial" w:hAnsi="Arial" w:cs="Arial"/>
          <w:sz w:val="22"/>
          <w:szCs w:val="22"/>
          <w:lang w:val="en-GB"/>
        </w:rPr>
      </w:pPr>
    </w:p>
    <w:p w:rsidRPr="00844BD7" w:rsidR="002B3A96" w:rsidP="00D27CBC" w:rsidRDefault="004C15B9" w14:paraId="16E19D36" w14:textId="56B7D348">
      <w:pPr>
        <w:jc w:val="both"/>
        <w:rPr>
          <w:rFonts w:ascii="Arial" w:hAnsi="Arial" w:cs="Arial"/>
          <w:sz w:val="22"/>
          <w:szCs w:val="22"/>
          <w:lang w:val="en-GB"/>
        </w:rPr>
      </w:pPr>
      <w:r w:rsidRPr="42F3AA8A" w:rsidR="42F3AA8A">
        <w:rPr>
          <w:rFonts w:ascii="Arial" w:hAnsi="Arial" w:cs="Arial"/>
          <w:sz w:val="22"/>
          <w:szCs w:val="22"/>
          <w:lang w:val="en-GB"/>
        </w:rPr>
        <w:t xml:space="preserve">It is possible for a creditor to register its security over an asset in the Cayman Islands. A creditor </w:t>
      </w:r>
      <w:r w:rsidRPr="42F3AA8A" w:rsidR="42F3AA8A">
        <w:rPr>
          <w:rFonts w:ascii="Arial" w:hAnsi="Arial" w:cs="Arial"/>
          <w:sz w:val="22"/>
          <w:szCs w:val="22"/>
          <w:lang w:val="en-GB"/>
        </w:rPr>
        <w:t>can</w:t>
      </w:r>
      <w:r w:rsidRPr="42F3AA8A" w:rsidR="42F3AA8A">
        <w:rPr>
          <w:rFonts w:ascii="Arial" w:hAnsi="Arial" w:cs="Arial"/>
          <w:sz w:val="22"/>
          <w:szCs w:val="22"/>
          <w:lang w:val="en-GB"/>
        </w:rPr>
        <w:t xml:space="preserve"> </w:t>
      </w:r>
      <w:r w:rsidRPr="42F3AA8A" w:rsidR="42F3AA8A">
        <w:rPr>
          <w:rFonts w:ascii="Arial" w:hAnsi="Arial" w:cs="Arial"/>
          <w:sz w:val="22"/>
          <w:szCs w:val="22"/>
          <w:lang w:val="en-GB"/>
        </w:rPr>
        <w:t>register</w:t>
      </w:r>
      <w:r w:rsidRPr="42F3AA8A" w:rsidR="42F3AA8A">
        <w:rPr>
          <w:rFonts w:ascii="Arial" w:hAnsi="Arial" w:cs="Arial"/>
          <w:sz w:val="22"/>
          <w:szCs w:val="22"/>
          <w:lang w:val="en-GB"/>
        </w:rPr>
        <w:t xml:space="preserve"> its security over real estate, ships, aircraft, motor vehicles and intellectual property in the Cayman Islands. This can be done by filing a notice of the security with the centrally maintained registers. The effect of the registration is that a third-party purchaser will be deemed to have notice of such interest and will therefore acquire the asset subject to the secured creditors interest.  </w:t>
      </w:r>
    </w:p>
    <w:p w:rsidRPr="009D47B8" w:rsidR="00D27CBC" w:rsidP="00D27CBC" w:rsidRDefault="00D27CBC" w14:paraId="5DCFDFFB" w14:textId="77777777">
      <w:pPr>
        <w:jc w:val="both"/>
        <w:rPr>
          <w:rFonts w:ascii="Arial" w:hAnsi="Arial" w:cs="Arial"/>
          <w:sz w:val="22"/>
          <w:szCs w:val="22"/>
          <w:lang w:val="en-GB"/>
        </w:rPr>
      </w:pPr>
    </w:p>
    <w:p w:rsidR="00D27CBC" w:rsidP="00D27CBC" w:rsidRDefault="00D27CBC" w14:paraId="0AD09321" w14:textId="77777777">
      <w:pPr>
        <w:jc w:val="both"/>
        <w:rPr>
          <w:rFonts w:ascii="Arial" w:hAnsi="Arial" w:cs="Arial"/>
          <w:b/>
          <w:bCs/>
          <w:sz w:val="22"/>
          <w:szCs w:val="22"/>
          <w:lang w:val="en-GB"/>
        </w:rPr>
      </w:pPr>
      <w:r>
        <w:rPr>
          <w:rFonts w:ascii="Arial" w:hAnsi="Arial" w:cs="Arial"/>
          <w:b/>
          <w:bCs/>
          <w:sz w:val="22"/>
          <w:szCs w:val="22"/>
          <w:lang w:val="en-GB"/>
        </w:rPr>
        <w:t>Question 2.2 [maximum 4 marks]</w:t>
      </w:r>
    </w:p>
    <w:p w:rsidR="00D27CBC" w:rsidP="00D27CBC" w:rsidRDefault="00D27CBC" w14:paraId="7EA8FE86" w14:textId="77777777">
      <w:pPr>
        <w:jc w:val="both"/>
        <w:rPr>
          <w:rFonts w:ascii="Arial" w:hAnsi="Arial" w:cs="Arial"/>
          <w:b/>
          <w:bCs/>
          <w:sz w:val="22"/>
          <w:szCs w:val="22"/>
          <w:lang w:val="en-GB"/>
        </w:rPr>
      </w:pPr>
    </w:p>
    <w:p w:rsidRPr="00B70966" w:rsidR="00D27CBC" w:rsidP="00D27CBC" w:rsidRDefault="00CB2364" w14:paraId="34395AF5" w14:textId="2F7B792E">
      <w:pPr>
        <w:jc w:val="both"/>
        <w:rPr>
          <w:rFonts w:ascii="Arial" w:hAnsi="Arial" w:cs="Arial"/>
          <w:sz w:val="22"/>
          <w:szCs w:val="22"/>
          <w:lang w:val="en-GB"/>
        </w:rPr>
      </w:pPr>
      <w:r>
        <w:rPr>
          <w:rFonts w:ascii="Arial" w:hAnsi="Arial" w:cs="Arial"/>
          <w:sz w:val="22"/>
          <w:szCs w:val="22"/>
          <w:lang w:val="en-GB"/>
        </w:rPr>
        <w:t xml:space="preserve">Does </w:t>
      </w:r>
      <w:bookmarkStart w:name="_Hlk106289663" w:id="0"/>
      <w:r w:rsidRPr="00B70966" w:rsidR="00D27CBC">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Pr="00B70966" w:rsidR="00D27CBC">
        <w:rPr>
          <w:rFonts w:ascii="Arial" w:hAnsi="Arial" w:cs="Arial"/>
          <w:sz w:val="22"/>
          <w:szCs w:val="22"/>
          <w:lang w:val="en-GB"/>
        </w:rPr>
        <w:t>power to assist foreign bankruptcy proceedings</w:t>
      </w:r>
      <w:bookmarkEnd w:id="0"/>
      <w:r>
        <w:rPr>
          <w:rFonts w:ascii="Arial" w:hAnsi="Arial" w:cs="Arial"/>
          <w:sz w:val="22"/>
          <w:szCs w:val="22"/>
          <w:lang w:val="en-GB"/>
        </w:rPr>
        <w:t xml:space="preserve">? If so, what is the source of that power and in what circumstances may it exercise it? </w:t>
      </w:r>
    </w:p>
    <w:p w:rsidR="00D27CBC" w:rsidP="00D27CBC" w:rsidRDefault="00D27CBC" w14:paraId="176341A6" w14:textId="77777777">
      <w:pPr>
        <w:jc w:val="both"/>
        <w:rPr>
          <w:rFonts w:ascii="Arial" w:hAnsi="Arial" w:cs="Arial"/>
          <w:b/>
          <w:bCs/>
          <w:sz w:val="22"/>
          <w:szCs w:val="22"/>
          <w:lang w:val="en-GB"/>
        </w:rPr>
      </w:pPr>
    </w:p>
    <w:p w:rsidRPr="00844BD7" w:rsidR="00AB0E3A" w:rsidP="00AB0E3A" w:rsidRDefault="00FC49E1" w14:paraId="27DA0CDE" w14:textId="50C1B584">
      <w:pPr>
        <w:jc w:val="both"/>
        <w:rPr>
          <w:rFonts w:ascii="Arial" w:hAnsi="Arial" w:cs="Arial"/>
          <w:sz w:val="22"/>
          <w:szCs w:val="22"/>
          <w:lang w:val="en-GB"/>
        </w:rPr>
      </w:pPr>
      <w:r w:rsidRPr="00844BD7">
        <w:rPr>
          <w:rFonts w:ascii="Arial" w:hAnsi="Arial" w:cs="Arial"/>
          <w:sz w:val="22"/>
          <w:szCs w:val="22"/>
          <w:lang w:val="en-GB"/>
        </w:rPr>
        <w:t>The Cayman Islands Grand Court have the power to assist foreign bankruptcy proceedings and the source of that power is provided for in Part XVII of the Companies Act which provides that the Grand Court can provide ancillary relief such as recognising the right of a foreign representative to act in the Islands on behalf of, or in the name of, a debtor; enjoining the commencement or staying the continuation of legal proceedings against a debtor;</w:t>
      </w:r>
      <w:r w:rsidRPr="00844BD7" w:rsidR="000F1B05">
        <w:rPr>
          <w:rFonts w:ascii="Arial" w:hAnsi="Arial" w:cs="Arial"/>
          <w:sz w:val="22"/>
          <w:szCs w:val="22"/>
          <w:lang w:val="en-GB"/>
        </w:rPr>
        <w:t xml:space="preserve"> staying the enforcement of any judgment against a debtor; requiring a person in possession of information relating to the business of affairs of a debtor to be examined by and to produce documents to its foreign representative; and ordering the hand-over to a foreign representative of any property belonging to the debtor</w:t>
      </w:r>
      <w:r w:rsidRPr="00844BD7" w:rsidR="00D1516B">
        <w:rPr>
          <w:rFonts w:ascii="Arial" w:hAnsi="Arial" w:cs="Arial"/>
          <w:sz w:val="22"/>
          <w:szCs w:val="22"/>
          <w:lang w:val="en-GB"/>
        </w:rPr>
        <w:t xml:space="preserve">. </w:t>
      </w:r>
      <w:r w:rsidRPr="00844BD7" w:rsidR="00E613F0">
        <w:rPr>
          <w:rFonts w:ascii="Arial" w:hAnsi="Arial" w:cs="Arial"/>
          <w:sz w:val="22"/>
          <w:szCs w:val="22"/>
          <w:lang w:val="en-GB"/>
        </w:rPr>
        <w:t xml:space="preserve">For the Grant Court to exercise its discretion, the foreign representative must satisfy the Grant Court that it is appropriate for the Court to exercise its discretion by granting the relief sought. </w:t>
      </w:r>
      <w:r w:rsidRPr="00844BD7" w:rsidR="00D1516B">
        <w:rPr>
          <w:rFonts w:ascii="Arial" w:hAnsi="Arial" w:cs="Arial"/>
          <w:sz w:val="22"/>
          <w:szCs w:val="22"/>
          <w:lang w:val="en-GB"/>
        </w:rPr>
        <w:t xml:space="preserve">In determining to exercise its discretion to grant these ancillary orders, </w:t>
      </w:r>
      <w:r w:rsidRPr="00844BD7" w:rsidR="00FA5B90">
        <w:rPr>
          <w:rFonts w:ascii="Arial" w:hAnsi="Arial" w:cs="Arial"/>
          <w:sz w:val="22"/>
          <w:szCs w:val="22"/>
          <w:lang w:val="en-GB"/>
        </w:rPr>
        <w:t xml:space="preserve">section 242 of the Companies Act provides that </w:t>
      </w:r>
      <w:r w:rsidRPr="00844BD7" w:rsidR="00D1516B">
        <w:rPr>
          <w:rFonts w:ascii="Arial" w:hAnsi="Arial" w:cs="Arial"/>
          <w:sz w:val="22"/>
          <w:szCs w:val="22"/>
          <w:lang w:val="en-GB"/>
        </w:rPr>
        <w:t xml:space="preserve">the Grand Court will be guided by matters which will best assure an economic and expeditious administration of the debtor’s estate, consistent with: </w:t>
      </w:r>
    </w:p>
    <w:p w:rsidRPr="00844BD7" w:rsidR="00D1516B" w:rsidP="00AB0E3A" w:rsidRDefault="00D1516B" w14:paraId="0D03359A" w14:textId="4F2C1921">
      <w:pPr>
        <w:jc w:val="both"/>
        <w:rPr>
          <w:rFonts w:ascii="Arial" w:hAnsi="Arial" w:cs="Arial"/>
          <w:sz w:val="22"/>
          <w:szCs w:val="22"/>
          <w:lang w:val="en-GB"/>
        </w:rPr>
      </w:pPr>
    </w:p>
    <w:p w:rsidRPr="00844BD7" w:rsidR="00D1516B" w:rsidP="00D1516B" w:rsidRDefault="00D1516B" w14:paraId="69CCEC10" w14:textId="24098FE6">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t xml:space="preserve">The </w:t>
      </w:r>
      <w:r w:rsidRPr="00844BD7" w:rsidR="00FE69DB">
        <w:rPr>
          <w:rFonts w:ascii="Arial" w:hAnsi="Arial" w:cs="Arial"/>
          <w:sz w:val="22"/>
          <w:szCs w:val="22"/>
          <w:lang w:val="en-GB"/>
        </w:rPr>
        <w:t xml:space="preserve">just treatment of all holders of claims, wherever they are domiciled, in accordance with the established principles of natural justice; </w:t>
      </w:r>
    </w:p>
    <w:p w:rsidRPr="00844BD7" w:rsidR="00FE69DB" w:rsidP="00D1516B" w:rsidRDefault="00FE69DB" w14:paraId="1DE24140" w14:textId="5A14E91C">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lastRenderedPageBreak/>
        <w:t xml:space="preserve">The protection of claim holders in the Cayman Islands against prejudice and inconvenience in the processing of claims in foreign proceedings; </w:t>
      </w:r>
    </w:p>
    <w:p w:rsidRPr="00844BD7" w:rsidR="00FE69DB" w:rsidP="00D1516B" w:rsidRDefault="00FE69DB" w14:paraId="6F3FCD42" w14:textId="03942082">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t xml:space="preserve">The prevention or fraudulent dispositions of property in the debtor’s estate; </w:t>
      </w:r>
    </w:p>
    <w:p w:rsidRPr="00844BD7" w:rsidR="00FE69DB" w:rsidP="00D1516B" w:rsidRDefault="00FE69DB" w14:paraId="1A184AD0" w14:textId="03F5AAB8">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t xml:space="preserve">The distribution of the estate among creditors substantially in accordance with the statutory order of priority; </w:t>
      </w:r>
    </w:p>
    <w:p w:rsidRPr="00844BD7" w:rsidR="00FE69DB" w:rsidP="00D1516B" w:rsidRDefault="00FE69DB" w14:paraId="02A31536" w14:textId="0BF4730D">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t>The recognition and enforcement of security interest created by the debtor</w:t>
      </w:r>
      <w:r w:rsidRPr="00844BD7" w:rsidR="00E613F0">
        <w:rPr>
          <w:rFonts w:ascii="Arial" w:hAnsi="Arial" w:cs="Arial"/>
          <w:sz w:val="22"/>
          <w:szCs w:val="22"/>
          <w:lang w:val="en-GB"/>
        </w:rPr>
        <w:t xml:space="preserve">; </w:t>
      </w:r>
    </w:p>
    <w:p w:rsidRPr="00844BD7" w:rsidR="00E613F0" w:rsidP="00D1516B" w:rsidRDefault="00E613F0" w14:paraId="3BEE7F55" w14:textId="216313BD">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t xml:space="preserve">The non-enforcement of foreign taxes, fines and penalties; </w:t>
      </w:r>
    </w:p>
    <w:p w:rsidRPr="00844BD7" w:rsidR="00E613F0" w:rsidP="00D1516B" w:rsidRDefault="00E613F0" w14:paraId="70F910A6" w14:textId="451D8120">
      <w:pPr>
        <w:pStyle w:val="ListParagraph"/>
        <w:numPr>
          <w:ilvl w:val="0"/>
          <w:numId w:val="42"/>
        </w:numPr>
        <w:jc w:val="both"/>
        <w:rPr>
          <w:rFonts w:ascii="Arial" w:hAnsi="Arial" w:cs="Arial"/>
          <w:sz w:val="22"/>
          <w:szCs w:val="22"/>
          <w:lang w:val="en-GB"/>
        </w:rPr>
      </w:pPr>
      <w:r w:rsidRPr="00844BD7">
        <w:rPr>
          <w:rFonts w:ascii="Arial" w:hAnsi="Arial" w:cs="Arial"/>
          <w:sz w:val="22"/>
          <w:szCs w:val="22"/>
          <w:lang w:val="en-GB"/>
        </w:rPr>
        <w:t>Comity (mutual recognition and co-operation concerning legal decisions).</w:t>
      </w:r>
    </w:p>
    <w:p w:rsidR="00D27CBC" w:rsidP="00D27CBC" w:rsidRDefault="00D27CBC" w14:paraId="4A40458D" w14:textId="77777777">
      <w:pPr>
        <w:jc w:val="both"/>
        <w:rPr>
          <w:rFonts w:ascii="Arial" w:hAnsi="Arial" w:cs="Arial"/>
          <w:b/>
          <w:bCs/>
          <w:sz w:val="22"/>
          <w:szCs w:val="22"/>
          <w:lang w:val="en-GB"/>
        </w:rPr>
      </w:pPr>
    </w:p>
    <w:p w:rsidR="00D27CBC" w:rsidP="00D27CBC" w:rsidRDefault="00D27CBC" w14:paraId="1EB90D6A" w14:textId="77777777">
      <w:pPr>
        <w:jc w:val="both"/>
        <w:rPr>
          <w:rFonts w:ascii="Arial" w:hAnsi="Arial" w:cs="Arial"/>
          <w:b/>
          <w:bCs/>
          <w:sz w:val="22"/>
          <w:szCs w:val="22"/>
          <w:lang w:val="en-GB"/>
        </w:rPr>
      </w:pPr>
      <w:r>
        <w:rPr>
          <w:rFonts w:ascii="Arial" w:hAnsi="Arial" w:cs="Arial"/>
          <w:b/>
          <w:bCs/>
          <w:sz w:val="22"/>
          <w:szCs w:val="22"/>
          <w:lang w:val="en-GB"/>
        </w:rPr>
        <w:t>Question 2.3 [maximum 3 marks]</w:t>
      </w:r>
    </w:p>
    <w:p w:rsidR="00D27CBC" w:rsidP="00D27CBC" w:rsidRDefault="00D27CBC" w14:paraId="3C445128" w14:textId="77777777">
      <w:pPr>
        <w:jc w:val="both"/>
        <w:rPr>
          <w:rFonts w:ascii="Arial" w:hAnsi="Arial" w:cs="Arial"/>
          <w:b/>
          <w:bCs/>
          <w:sz w:val="22"/>
          <w:szCs w:val="22"/>
          <w:lang w:val="en-GB"/>
        </w:rPr>
      </w:pPr>
    </w:p>
    <w:p w:rsidRPr="00406382" w:rsidR="00D27CBC" w:rsidP="00D27CBC" w:rsidRDefault="00D27CBC" w14:paraId="23EA4778" w14:textId="77777777">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rsidR="00D27CBC" w:rsidP="00D27CBC" w:rsidRDefault="00D27CBC" w14:paraId="6DC49B8F" w14:textId="77777777">
      <w:pPr>
        <w:jc w:val="both"/>
        <w:rPr>
          <w:rFonts w:ascii="Arial" w:hAnsi="Arial" w:cs="Arial"/>
          <w:b/>
          <w:bCs/>
          <w:sz w:val="22"/>
          <w:szCs w:val="22"/>
          <w:lang w:val="en-GB"/>
        </w:rPr>
      </w:pPr>
    </w:p>
    <w:p w:rsidRPr="00844BD7" w:rsidR="00E4294D" w:rsidP="00E4294D" w:rsidRDefault="00182B27" w14:paraId="30F79B9E" w14:textId="595CA57F">
      <w:pPr>
        <w:jc w:val="both"/>
        <w:rPr>
          <w:rFonts w:ascii="Arial" w:hAnsi="Arial" w:cs="Arial"/>
          <w:sz w:val="22"/>
          <w:szCs w:val="22"/>
          <w:lang w:val="en-GB"/>
        </w:rPr>
      </w:pPr>
      <w:r w:rsidRPr="00844BD7">
        <w:rPr>
          <w:rFonts w:ascii="Arial" w:hAnsi="Arial" w:cs="Arial"/>
          <w:sz w:val="22"/>
          <w:szCs w:val="22"/>
          <w:lang w:val="en-GB"/>
        </w:rPr>
        <w:t xml:space="preserve">In the Cayman Islands, foreign judgments can be recognised by way of statue i.e., </w:t>
      </w:r>
      <w:bookmarkStart w:name="_Hlk106291816" w:id="1"/>
      <w:r w:rsidRPr="00844BD7">
        <w:rPr>
          <w:rFonts w:ascii="Arial" w:hAnsi="Arial" w:cs="Arial"/>
          <w:sz w:val="22"/>
          <w:szCs w:val="22"/>
          <w:lang w:val="en-GB"/>
        </w:rPr>
        <w:t>the Foreign Judgments Reciprocal Enforcement Act (1996 Revision)</w:t>
      </w:r>
      <w:r w:rsidRPr="00844BD7" w:rsidR="00BA4EFC">
        <w:rPr>
          <w:rFonts w:ascii="Arial" w:hAnsi="Arial" w:cs="Arial"/>
          <w:sz w:val="22"/>
          <w:szCs w:val="22"/>
          <w:lang w:val="en-GB"/>
        </w:rPr>
        <w:t xml:space="preserve"> (</w:t>
      </w:r>
      <w:r w:rsidRPr="00844BD7" w:rsidR="00BA4EFC">
        <w:rPr>
          <w:rFonts w:ascii="Arial" w:hAnsi="Arial" w:cs="Arial"/>
          <w:i/>
          <w:iCs/>
          <w:sz w:val="22"/>
          <w:szCs w:val="22"/>
          <w:lang w:val="en-GB"/>
        </w:rPr>
        <w:t>the Act</w:t>
      </w:r>
      <w:r w:rsidRPr="00844BD7" w:rsidR="00BA4EFC">
        <w:rPr>
          <w:rFonts w:ascii="Arial" w:hAnsi="Arial" w:cs="Arial"/>
          <w:sz w:val="22"/>
          <w:szCs w:val="22"/>
          <w:lang w:val="en-GB"/>
        </w:rPr>
        <w:t>)</w:t>
      </w:r>
      <w:r w:rsidRPr="00844BD7">
        <w:rPr>
          <w:rFonts w:ascii="Arial" w:hAnsi="Arial" w:cs="Arial"/>
          <w:sz w:val="22"/>
          <w:szCs w:val="22"/>
          <w:lang w:val="en-GB"/>
        </w:rPr>
        <w:t xml:space="preserve"> </w:t>
      </w:r>
      <w:bookmarkEnd w:id="1"/>
      <w:r w:rsidRPr="00844BD7">
        <w:rPr>
          <w:rFonts w:ascii="Arial" w:hAnsi="Arial" w:cs="Arial"/>
          <w:sz w:val="22"/>
          <w:szCs w:val="22"/>
          <w:lang w:val="en-GB"/>
        </w:rPr>
        <w:t xml:space="preserve">and under common law. </w:t>
      </w:r>
      <w:r w:rsidRPr="00844BD7" w:rsidR="00FE0FB9">
        <w:rPr>
          <w:rFonts w:ascii="Arial" w:hAnsi="Arial" w:cs="Arial"/>
          <w:sz w:val="22"/>
          <w:szCs w:val="22"/>
          <w:lang w:val="en-GB"/>
        </w:rPr>
        <w:t xml:space="preserve">However, the provisions of the Foreign Judgments Reciprocal Enforcement Act (1996 Revision) provisions </w:t>
      </w:r>
      <w:r w:rsidRPr="00844BD7" w:rsidR="00274FE0">
        <w:rPr>
          <w:rFonts w:ascii="Arial" w:hAnsi="Arial" w:cs="Arial"/>
          <w:sz w:val="22"/>
          <w:szCs w:val="22"/>
          <w:lang w:val="en-GB"/>
        </w:rPr>
        <w:t>have</w:t>
      </w:r>
      <w:r w:rsidRPr="00844BD7" w:rsidR="00FE0FB9">
        <w:rPr>
          <w:rFonts w:ascii="Arial" w:hAnsi="Arial" w:cs="Arial"/>
          <w:sz w:val="22"/>
          <w:szCs w:val="22"/>
          <w:lang w:val="en-GB"/>
        </w:rPr>
        <w:t xml:space="preserve"> only been extended to judgments from the Superior Courts of Australia. This procedure is governed by Order 71 of the Grand Court Rules. In order to be enforceable, the foreign judgment must be final; a money judgment; and made after the 1996 Act was extended to the relevant foreign country</w:t>
      </w:r>
      <w:r w:rsidRPr="00844BD7" w:rsidR="00BA4EFC">
        <w:rPr>
          <w:rFonts w:ascii="Arial" w:hAnsi="Arial" w:cs="Arial"/>
          <w:sz w:val="22"/>
          <w:szCs w:val="22"/>
          <w:lang w:val="en-GB"/>
        </w:rPr>
        <w:t xml:space="preserve">. As a result of the limitations under the Act, enforcement of foreign judgments is achieved by commencing an action based upon the foreign judgment as an unsatisfied debt or other obligation. The requirements for enforcement of a foreign judgment at common law are: </w:t>
      </w:r>
    </w:p>
    <w:p w:rsidRPr="00844BD7" w:rsidR="00BA4EFC" w:rsidP="00E4294D" w:rsidRDefault="00BA4EFC" w14:paraId="3F987D08" w14:textId="58016AE1">
      <w:pPr>
        <w:jc w:val="both"/>
        <w:rPr>
          <w:rFonts w:ascii="Arial" w:hAnsi="Arial" w:cs="Arial"/>
          <w:sz w:val="22"/>
          <w:szCs w:val="22"/>
          <w:lang w:val="en-GB"/>
        </w:rPr>
      </w:pPr>
    </w:p>
    <w:p w:rsidRPr="00844BD7" w:rsidR="00BA4EFC" w:rsidP="00BA4EFC" w:rsidRDefault="00BA4EFC" w14:paraId="496E24D0" w14:textId="1035B06F">
      <w:pPr>
        <w:pStyle w:val="ListParagraph"/>
        <w:numPr>
          <w:ilvl w:val="0"/>
          <w:numId w:val="43"/>
        </w:numPr>
        <w:jc w:val="both"/>
        <w:rPr>
          <w:rFonts w:ascii="Arial" w:hAnsi="Arial" w:cs="Arial"/>
          <w:sz w:val="22"/>
          <w:szCs w:val="22"/>
          <w:lang w:val="en-GB"/>
        </w:rPr>
      </w:pPr>
      <w:r w:rsidRPr="00844BD7">
        <w:rPr>
          <w:rFonts w:ascii="Arial" w:hAnsi="Arial" w:cs="Arial"/>
          <w:sz w:val="22"/>
          <w:szCs w:val="22"/>
          <w:lang w:val="en-GB"/>
        </w:rPr>
        <w:t>The judgment is final;</w:t>
      </w:r>
    </w:p>
    <w:p w:rsidRPr="00844BD7" w:rsidR="00BA4EFC" w:rsidP="00BA4EFC" w:rsidRDefault="00BA4EFC" w14:paraId="76BE54EF" w14:textId="5EF1EFBD">
      <w:pPr>
        <w:pStyle w:val="ListParagraph"/>
        <w:numPr>
          <w:ilvl w:val="0"/>
          <w:numId w:val="43"/>
        </w:numPr>
        <w:jc w:val="both"/>
        <w:rPr>
          <w:rFonts w:ascii="Arial" w:hAnsi="Arial" w:cs="Arial"/>
          <w:sz w:val="22"/>
          <w:szCs w:val="22"/>
          <w:lang w:val="en-GB"/>
        </w:rPr>
      </w:pPr>
      <w:r w:rsidRPr="00844BD7">
        <w:rPr>
          <w:rFonts w:ascii="Arial" w:hAnsi="Arial" w:cs="Arial"/>
          <w:sz w:val="22"/>
          <w:szCs w:val="22"/>
          <w:lang w:val="en-GB"/>
        </w:rPr>
        <w:t xml:space="preserve">The foreign court had jurisdiction over the debtor; </w:t>
      </w:r>
    </w:p>
    <w:p w:rsidRPr="00844BD7" w:rsidR="00BA4EFC" w:rsidP="00BA4EFC" w:rsidRDefault="00BA4EFC" w14:paraId="02871109" w14:textId="16C7491F">
      <w:pPr>
        <w:pStyle w:val="ListParagraph"/>
        <w:numPr>
          <w:ilvl w:val="0"/>
          <w:numId w:val="43"/>
        </w:numPr>
        <w:jc w:val="both"/>
        <w:rPr>
          <w:rFonts w:ascii="Arial" w:hAnsi="Arial" w:cs="Arial"/>
          <w:sz w:val="22"/>
          <w:szCs w:val="22"/>
          <w:lang w:val="en-GB"/>
        </w:rPr>
      </w:pPr>
      <w:r w:rsidRPr="00844BD7">
        <w:rPr>
          <w:rFonts w:ascii="Arial" w:hAnsi="Arial" w:cs="Arial"/>
          <w:sz w:val="22"/>
          <w:szCs w:val="22"/>
          <w:lang w:val="en-GB"/>
        </w:rPr>
        <w:t>The foreign judgment is obtained by fraud</w:t>
      </w:r>
    </w:p>
    <w:p w:rsidRPr="00844BD7" w:rsidR="00BA4EFC" w:rsidP="00BA4EFC" w:rsidRDefault="00BA4EFC" w14:paraId="764CE035" w14:textId="447902AA">
      <w:pPr>
        <w:pStyle w:val="ListParagraph"/>
        <w:numPr>
          <w:ilvl w:val="0"/>
          <w:numId w:val="43"/>
        </w:numPr>
        <w:jc w:val="both"/>
        <w:rPr>
          <w:rFonts w:ascii="Arial" w:hAnsi="Arial" w:cs="Arial"/>
          <w:sz w:val="22"/>
          <w:szCs w:val="22"/>
          <w:lang w:val="en-GB"/>
        </w:rPr>
      </w:pPr>
      <w:r w:rsidRPr="00844BD7">
        <w:rPr>
          <w:rFonts w:ascii="Arial" w:hAnsi="Arial" w:cs="Arial"/>
          <w:sz w:val="22"/>
          <w:szCs w:val="22"/>
          <w:lang w:val="en-GB"/>
        </w:rPr>
        <w:t>The foreign judgment is not contrary</w:t>
      </w:r>
      <w:r w:rsidRPr="00844BD7" w:rsidR="00274FE0">
        <w:rPr>
          <w:rFonts w:ascii="Arial" w:hAnsi="Arial" w:cs="Arial"/>
          <w:sz w:val="22"/>
          <w:szCs w:val="22"/>
          <w:lang w:val="en-GB"/>
        </w:rPr>
        <w:t xml:space="preserve"> to public policy of the Cayman Islands; and </w:t>
      </w:r>
    </w:p>
    <w:p w:rsidRPr="00844BD7" w:rsidR="00274FE0" w:rsidP="00BA4EFC" w:rsidRDefault="00274FE0" w14:paraId="7167FB50" w14:textId="3642288A">
      <w:pPr>
        <w:pStyle w:val="ListParagraph"/>
        <w:numPr>
          <w:ilvl w:val="0"/>
          <w:numId w:val="43"/>
        </w:numPr>
        <w:jc w:val="both"/>
        <w:rPr>
          <w:rFonts w:ascii="Arial" w:hAnsi="Arial" w:cs="Arial"/>
          <w:sz w:val="22"/>
          <w:szCs w:val="22"/>
          <w:lang w:val="en-GB"/>
        </w:rPr>
      </w:pPr>
      <w:r w:rsidRPr="42F3AA8A" w:rsidR="42F3AA8A">
        <w:rPr>
          <w:rFonts w:ascii="Arial" w:hAnsi="Arial" w:cs="Arial"/>
          <w:sz w:val="22"/>
          <w:szCs w:val="22"/>
          <w:lang w:val="en-GB"/>
        </w:rPr>
        <w:t xml:space="preserve">The foreign judgment was not obtained contrary to the rules of natural justice. </w:t>
      </w:r>
    </w:p>
    <w:p w:rsidR="42F3AA8A" w:rsidP="42F3AA8A" w:rsidRDefault="42F3AA8A" w14:paraId="0BB83EC9" w14:textId="579B7B79">
      <w:pPr>
        <w:pStyle w:val="Normal"/>
        <w:jc w:val="both"/>
        <w:rPr>
          <w:rFonts w:ascii="Calibri" w:hAnsi="Calibri" w:eastAsia="Times New Roman" w:cs=""/>
          <w:sz w:val="20"/>
          <w:szCs w:val="20"/>
          <w:lang w:val="en-GB"/>
        </w:rPr>
      </w:pPr>
    </w:p>
    <w:p w:rsidR="42F3AA8A" w:rsidP="42F3AA8A" w:rsidRDefault="42F3AA8A" w14:paraId="5A647A00" w14:textId="797FEF56">
      <w:pPr>
        <w:pStyle w:val="Normal"/>
        <w:jc w:val="both"/>
        <w:rPr>
          <w:rFonts w:ascii="Arial" w:hAnsi="Arial" w:eastAsia="Times New Roman" w:cs="Arial"/>
          <w:sz w:val="22"/>
          <w:szCs w:val="22"/>
          <w:lang w:val="en-GB"/>
        </w:rPr>
      </w:pPr>
      <w:r w:rsidRPr="42F3AA8A" w:rsidR="42F3AA8A">
        <w:rPr>
          <w:rFonts w:ascii="Arial" w:hAnsi="Arial" w:eastAsia="Times New Roman" w:cs="Arial"/>
          <w:sz w:val="22"/>
          <w:szCs w:val="22"/>
          <w:lang w:val="en-GB"/>
        </w:rPr>
        <w:t>Provided that these requirements are satisfied and the Grant Court recognises the order, the judgment debtor can pursue domestic enforcement remedies.</w:t>
      </w:r>
    </w:p>
    <w:p w:rsidRPr="00844BD7" w:rsidR="00E4294D" w:rsidP="002A37BB" w:rsidRDefault="00E4294D" w14:paraId="2F861A8C" w14:textId="46B54739">
      <w:pPr>
        <w:jc w:val="both"/>
        <w:rPr>
          <w:rFonts w:ascii="Arial" w:hAnsi="Arial" w:cs="Arial"/>
          <w:bCs/>
          <w:sz w:val="22"/>
          <w:szCs w:val="22"/>
          <w:lang w:val="en-GB"/>
        </w:rPr>
      </w:pPr>
    </w:p>
    <w:p w:rsidRPr="002A37BB" w:rsidR="00E4294D" w:rsidP="002A37BB" w:rsidRDefault="00E4294D" w14:paraId="337A31CC" w14:textId="77777777">
      <w:pPr>
        <w:jc w:val="both"/>
        <w:rPr>
          <w:rFonts w:ascii="Arial" w:hAnsi="Arial" w:cs="Arial"/>
          <w:bCs/>
          <w:sz w:val="22"/>
          <w:szCs w:val="22"/>
          <w:lang w:val="en-GB"/>
        </w:rPr>
      </w:pPr>
    </w:p>
    <w:p w:rsidR="00853B56" w:rsidP="002A37BB" w:rsidRDefault="00DF75F8" w14:paraId="39D50E2D" w14:textId="0990F109">
      <w:pPr>
        <w:jc w:val="both"/>
        <w:rPr>
          <w:rFonts w:ascii="Arial" w:hAnsi="Arial" w:cs="Arial"/>
          <w:b/>
          <w:sz w:val="22"/>
          <w:szCs w:val="22"/>
          <w:lang w:val="en-GB"/>
        </w:rPr>
      </w:pPr>
      <w:r w:rsidRPr="002A37BB">
        <w:rPr>
          <w:rFonts w:ascii="Arial" w:hAnsi="Arial" w:cs="Arial"/>
          <w:b/>
          <w:sz w:val="22"/>
          <w:szCs w:val="22"/>
          <w:lang w:val="en-GB"/>
        </w:rPr>
        <w:t>QUESTION</w:t>
      </w:r>
      <w:r w:rsidRPr="002A37BB" w:rsidR="00962045">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rsidR="00853B56" w:rsidP="002A37BB" w:rsidRDefault="00853B56" w14:paraId="7CAB7846" w14:textId="77777777">
      <w:pPr>
        <w:jc w:val="both"/>
        <w:rPr>
          <w:rFonts w:ascii="Arial" w:hAnsi="Arial" w:cs="Arial"/>
          <w:b/>
          <w:sz w:val="22"/>
          <w:szCs w:val="22"/>
          <w:lang w:val="en-GB"/>
        </w:rPr>
      </w:pPr>
    </w:p>
    <w:p w:rsidRPr="002A37BB" w:rsidR="00962045" w:rsidP="002A37BB" w:rsidRDefault="00853B56" w14:paraId="261DD67E" w14:textId="0AF042AF">
      <w:pPr>
        <w:jc w:val="both"/>
        <w:rPr>
          <w:rFonts w:ascii="Arial" w:hAnsi="Arial" w:cs="Arial"/>
          <w:b/>
          <w:sz w:val="22"/>
          <w:szCs w:val="22"/>
          <w:lang w:val="en-GB"/>
        </w:rPr>
      </w:pPr>
      <w:r>
        <w:rPr>
          <w:rFonts w:ascii="Arial" w:hAnsi="Arial" w:cs="Arial"/>
          <w:b/>
          <w:sz w:val="22"/>
          <w:szCs w:val="22"/>
          <w:lang w:val="en-GB"/>
        </w:rPr>
        <w:t xml:space="preserve">Question 3.1 </w:t>
      </w:r>
      <w:r w:rsidRPr="002A37BB" w:rsidR="00962045">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Pr="00853B56" w:rsidR="00962045">
        <w:rPr>
          <w:rFonts w:ascii="Arial" w:hAnsi="Arial" w:cs="Arial"/>
          <w:b/>
          <w:sz w:val="22"/>
          <w:szCs w:val="22"/>
          <w:lang w:val="en-GB"/>
        </w:rPr>
        <w:t xml:space="preserve"> marks</w:t>
      </w:r>
      <w:r w:rsidRPr="002A37BB" w:rsidR="00962045">
        <w:rPr>
          <w:rFonts w:ascii="Arial" w:hAnsi="Arial" w:cs="Arial"/>
          <w:b/>
          <w:sz w:val="22"/>
          <w:szCs w:val="22"/>
          <w:lang w:val="en-GB"/>
        </w:rPr>
        <w:t xml:space="preserve">] </w:t>
      </w:r>
    </w:p>
    <w:p w:rsidRPr="002A37BB" w:rsidR="00962045" w:rsidP="002A37BB" w:rsidRDefault="00962045" w14:paraId="61BA6288" w14:textId="77777777">
      <w:pPr>
        <w:jc w:val="both"/>
        <w:rPr>
          <w:rFonts w:ascii="Arial" w:hAnsi="Arial" w:cs="Arial"/>
          <w:sz w:val="22"/>
          <w:szCs w:val="22"/>
          <w:lang w:val="en-GB"/>
        </w:rPr>
      </w:pPr>
    </w:p>
    <w:p w:rsidR="002476AF" w:rsidP="00FE08A2" w:rsidRDefault="00775E93" w14:paraId="0E6AC538" w14:textId="718641EB" w14:noSpellErr="1">
      <w:pPr>
        <w:jc w:val="both"/>
        <w:rPr>
          <w:rFonts w:ascii="Arial" w:hAnsi="Arial" w:cs="Arial"/>
          <w:sz w:val="22"/>
          <w:szCs w:val="22"/>
          <w:lang w:val="en-GB"/>
        </w:rPr>
      </w:pPr>
      <w:r w:rsidRPr="42F3AA8A" w:rsidR="42F3AA8A">
        <w:rPr>
          <w:rFonts w:ascii="Arial" w:hAnsi="Arial" w:cs="Arial"/>
          <w:sz w:val="22"/>
          <w:szCs w:val="22"/>
          <w:lang w:val="en-GB"/>
        </w:rPr>
        <w:t xml:space="preserve">In the absence of a statutory prohibition on insolvent trading, </w:t>
      </w:r>
      <w:r w:rsidRPr="42F3AA8A" w:rsidR="42F3AA8A">
        <w:rPr>
          <w:rFonts w:ascii="Arial" w:hAnsi="Arial" w:cs="Arial"/>
          <w:sz w:val="22"/>
          <w:szCs w:val="22"/>
          <w:lang w:val="en-GB"/>
        </w:rPr>
        <w:t>is it possible for court appointed liquidators of a</w:t>
      </w:r>
      <w:r w:rsidRPr="42F3AA8A" w:rsidR="42F3AA8A">
        <w:rPr>
          <w:rFonts w:ascii="Arial" w:hAnsi="Arial" w:cs="Arial"/>
          <w:sz w:val="22"/>
          <w:szCs w:val="22"/>
          <w:lang w:val="en-GB"/>
        </w:rPr>
        <w:t>n insolvent</w:t>
      </w:r>
      <w:r w:rsidRPr="42F3AA8A" w:rsidR="42F3AA8A">
        <w:rPr>
          <w:rFonts w:ascii="Arial" w:hAnsi="Arial" w:cs="Arial"/>
          <w:sz w:val="22"/>
          <w:szCs w:val="22"/>
          <w:lang w:val="en-GB"/>
        </w:rPr>
        <w:t xml:space="preserve"> company, or creditors of </w:t>
      </w:r>
      <w:r w:rsidRPr="42F3AA8A" w:rsidR="42F3AA8A">
        <w:rPr>
          <w:rFonts w:ascii="Arial" w:hAnsi="Arial" w:cs="Arial"/>
          <w:sz w:val="22"/>
          <w:szCs w:val="22"/>
          <w:lang w:val="en-GB"/>
        </w:rPr>
        <w:t>such a</w:t>
      </w:r>
      <w:r w:rsidRPr="42F3AA8A" w:rsidR="42F3AA8A">
        <w:rPr>
          <w:rFonts w:ascii="Arial" w:hAnsi="Arial" w:cs="Arial"/>
          <w:sz w:val="22"/>
          <w:szCs w:val="22"/>
          <w:lang w:val="en-GB"/>
        </w:rPr>
        <w:t xml:space="preserve"> company, to hold </w:t>
      </w:r>
      <w:r w:rsidRPr="42F3AA8A" w:rsidR="42F3AA8A">
        <w:rPr>
          <w:rFonts w:ascii="Arial" w:hAnsi="Arial" w:cs="Arial"/>
          <w:sz w:val="22"/>
          <w:szCs w:val="22"/>
          <w:lang w:val="en-GB"/>
        </w:rPr>
        <w:t xml:space="preserve">its former </w:t>
      </w:r>
      <w:r w:rsidRPr="42F3AA8A" w:rsidR="42F3AA8A">
        <w:rPr>
          <w:rFonts w:ascii="Arial" w:hAnsi="Arial" w:cs="Arial"/>
          <w:sz w:val="22"/>
          <w:szCs w:val="22"/>
          <w:lang w:val="en-GB"/>
        </w:rPr>
        <w:t xml:space="preserve">directors accountable by either seeking financial damages </w:t>
      </w:r>
      <w:r w:rsidRPr="42F3AA8A" w:rsidR="42F3AA8A">
        <w:rPr>
          <w:rFonts w:ascii="Arial" w:hAnsi="Arial" w:cs="Arial"/>
          <w:sz w:val="22"/>
          <w:szCs w:val="22"/>
          <w:lang w:val="en-GB"/>
        </w:rPr>
        <w:t>against</w:t>
      </w:r>
      <w:r w:rsidRPr="42F3AA8A" w:rsidR="42F3AA8A">
        <w:rPr>
          <w:rFonts w:ascii="Arial" w:hAnsi="Arial" w:cs="Arial"/>
          <w:sz w:val="22"/>
          <w:szCs w:val="22"/>
          <w:lang w:val="en-GB"/>
        </w:rPr>
        <w:t xml:space="preserve"> </w:t>
      </w:r>
      <w:bookmarkStart w:name="_Hlk106296115" w:id="2"/>
      <w:r w:rsidRPr="42F3AA8A" w:rsidR="42F3AA8A">
        <w:rPr>
          <w:rFonts w:ascii="Arial" w:hAnsi="Arial" w:cs="Arial"/>
          <w:sz w:val="22"/>
          <w:szCs w:val="22"/>
          <w:lang w:val="en-GB"/>
        </w:rPr>
        <w:t>those directors and</w:t>
      </w:r>
      <w:r w:rsidRPr="42F3AA8A" w:rsidR="42F3AA8A">
        <w:rPr>
          <w:rFonts w:ascii="Arial" w:hAnsi="Arial" w:cs="Arial"/>
          <w:sz w:val="22"/>
          <w:szCs w:val="22"/>
          <w:lang w:val="en-GB"/>
        </w:rPr>
        <w:t xml:space="preserve"> </w:t>
      </w:r>
      <w:r w:rsidRPr="42F3AA8A" w:rsidR="42F3AA8A">
        <w:rPr>
          <w:rFonts w:ascii="Arial" w:hAnsi="Arial" w:cs="Arial"/>
          <w:sz w:val="22"/>
          <w:szCs w:val="22"/>
          <w:lang w:val="en-GB"/>
        </w:rPr>
        <w:t>/</w:t>
      </w:r>
      <w:r w:rsidRPr="42F3AA8A" w:rsidR="42F3AA8A">
        <w:rPr>
          <w:rFonts w:ascii="Arial" w:hAnsi="Arial" w:cs="Arial"/>
          <w:sz w:val="22"/>
          <w:szCs w:val="22"/>
          <w:lang w:val="en-GB"/>
        </w:rPr>
        <w:t xml:space="preserve"> </w:t>
      </w:r>
      <w:r w:rsidRPr="42F3AA8A" w:rsidR="42F3AA8A">
        <w:rPr>
          <w:rFonts w:ascii="Arial" w:hAnsi="Arial" w:cs="Arial"/>
          <w:sz w:val="22"/>
          <w:szCs w:val="22"/>
          <w:lang w:val="en-GB"/>
        </w:rPr>
        <w:t xml:space="preserve">or by </w:t>
      </w:r>
      <w:r w:rsidRPr="42F3AA8A" w:rsidR="42F3AA8A">
        <w:rPr>
          <w:rFonts w:ascii="Arial" w:hAnsi="Arial" w:cs="Arial"/>
          <w:sz w:val="22"/>
          <w:szCs w:val="22"/>
          <w:lang w:val="en-GB"/>
        </w:rPr>
        <w:t>seeking</w:t>
      </w:r>
      <w:r w:rsidRPr="42F3AA8A" w:rsidR="42F3AA8A">
        <w:rPr>
          <w:rFonts w:ascii="Arial" w:hAnsi="Arial" w:cs="Arial"/>
          <w:sz w:val="22"/>
          <w:szCs w:val="22"/>
          <w:lang w:val="en-GB"/>
        </w:rPr>
        <w:t xml:space="preserve"> to </w:t>
      </w:r>
      <w:r w:rsidRPr="42F3AA8A" w:rsidR="42F3AA8A">
        <w:rPr>
          <w:rFonts w:ascii="Arial" w:hAnsi="Arial" w:cs="Arial"/>
          <w:sz w:val="22"/>
          <w:szCs w:val="22"/>
          <w:lang w:val="en-GB"/>
        </w:rPr>
        <w:t>“</w:t>
      </w:r>
      <w:r w:rsidRPr="42F3AA8A" w:rsidR="42F3AA8A">
        <w:rPr>
          <w:rFonts w:ascii="Arial" w:hAnsi="Arial" w:cs="Arial"/>
          <w:sz w:val="22"/>
          <w:szCs w:val="22"/>
          <w:lang w:val="en-GB"/>
        </w:rPr>
        <w:t>claw back</w:t>
      </w:r>
      <w:r w:rsidRPr="42F3AA8A" w:rsidR="42F3AA8A">
        <w:rPr>
          <w:rFonts w:ascii="Arial" w:hAnsi="Arial" w:cs="Arial"/>
          <w:sz w:val="22"/>
          <w:szCs w:val="22"/>
          <w:lang w:val="en-GB"/>
        </w:rPr>
        <w:t>”</w:t>
      </w:r>
      <w:r w:rsidRPr="42F3AA8A" w:rsidR="42F3AA8A">
        <w:rPr>
          <w:rFonts w:ascii="Arial" w:hAnsi="Arial" w:cs="Arial"/>
          <w:sz w:val="22"/>
          <w:szCs w:val="22"/>
          <w:lang w:val="en-GB"/>
        </w:rPr>
        <w:t xml:space="preserve"> any payments that those directors should not have made</w:t>
      </w:r>
      <w:bookmarkEnd w:id="2"/>
      <w:r w:rsidRPr="42F3AA8A" w:rsidR="42F3AA8A">
        <w:rPr>
          <w:rFonts w:ascii="Arial" w:hAnsi="Arial" w:cs="Arial"/>
          <w:sz w:val="22"/>
          <w:szCs w:val="22"/>
          <w:lang w:val="en-GB"/>
        </w:rPr>
        <w:t xml:space="preserve">? </w:t>
      </w:r>
      <w:r w:rsidRPr="42F3AA8A" w:rsidR="42F3AA8A">
        <w:rPr>
          <w:rFonts w:ascii="Arial" w:hAnsi="Arial" w:cs="Arial"/>
          <w:sz w:val="22"/>
          <w:szCs w:val="22"/>
          <w:lang w:val="en-GB"/>
        </w:rPr>
        <w:t xml:space="preserve">If so, please explain the </w:t>
      </w:r>
      <w:r w:rsidRPr="42F3AA8A" w:rsidR="42F3AA8A">
        <w:rPr>
          <w:rFonts w:ascii="Arial" w:hAnsi="Arial" w:cs="Arial"/>
          <w:sz w:val="22"/>
          <w:szCs w:val="22"/>
          <w:lang w:val="en-GB"/>
        </w:rPr>
        <w:t>possible options</w:t>
      </w:r>
      <w:r w:rsidRPr="42F3AA8A" w:rsidR="42F3AA8A">
        <w:rPr>
          <w:rFonts w:ascii="Arial" w:hAnsi="Arial" w:cs="Arial"/>
          <w:sz w:val="22"/>
          <w:szCs w:val="22"/>
          <w:lang w:val="en-GB"/>
        </w:rPr>
        <w:t xml:space="preserve">. </w:t>
      </w:r>
    </w:p>
    <w:p w:rsidR="42F3AA8A" w:rsidP="42F3AA8A" w:rsidRDefault="42F3AA8A" w14:paraId="33CF1BC6" w14:textId="0D1FC2E8">
      <w:pPr>
        <w:pStyle w:val="Normal"/>
        <w:jc w:val="both"/>
        <w:rPr>
          <w:rFonts w:ascii="Calibri" w:hAnsi="Calibri" w:eastAsia="Times New Roman" w:cs=""/>
          <w:sz w:val="20"/>
          <w:szCs w:val="20"/>
          <w:lang w:val="en-GB"/>
        </w:rPr>
      </w:pPr>
    </w:p>
    <w:p w:rsidR="42F3AA8A" w:rsidP="42F3AA8A" w:rsidRDefault="42F3AA8A" w14:paraId="0B8EF5B5" w14:textId="2A41A4DE">
      <w:pPr>
        <w:pStyle w:val="Normal"/>
        <w:jc w:val="both"/>
        <w:rPr>
          <w:rFonts w:ascii="Calibri" w:hAnsi="Calibri" w:eastAsia="Times New Roman" w:cs=""/>
          <w:sz w:val="20"/>
          <w:szCs w:val="20"/>
          <w:lang w:val="en-GB"/>
        </w:rPr>
      </w:pPr>
      <w:r w:rsidRPr="42F3AA8A" w:rsidR="42F3AA8A">
        <w:rPr>
          <w:rFonts w:ascii="Arial" w:hAnsi="Arial" w:eastAsia="Times New Roman" w:cs="Arial"/>
          <w:sz w:val="22"/>
          <w:szCs w:val="22"/>
          <w:lang w:val="en-GB"/>
        </w:rPr>
        <w:t xml:space="preserve">There are no statutory prohibits on insolvent trading. However, it is it possible for court appointed liquidators of an insolvent company, or creditors of such a company, to hold its former directors accountable by either seeking financial damages against those directors and / or by </w:t>
      </w:r>
      <w:r w:rsidRPr="42F3AA8A" w:rsidR="42F3AA8A">
        <w:rPr>
          <w:rFonts w:ascii="Arial" w:hAnsi="Arial" w:eastAsia="Times New Roman" w:cs="Arial"/>
          <w:sz w:val="22"/>
          <w:szCs w:val="22"/>
          <w:lang w:val="en-GB"/>
        </w:rPr>
        <w:t>seeking</w:t>
      </w:r>
      <w:r w:rsidRPr="42F3AA8A" w:rsidR="42F3AA8A">
        <w:rPr>
          <w:rFonts w:ascii="Arial" w:hAnsi="Arial" w:eastAsia="Times New Roman" w:cs="Arial"/>
          <w:sz w:val="22"/>
          <w:szCs w:val="22"/>
          <w:lang w:val="en-GB"/>
        </w:rPr>
        <w:t xml:space="preserve"> to “claw back” any payments that those directors should not have made: </w:t>
      </w:r>
    </w:p>
    <w:p w:rsidRPr="002A37BB" w:rsidR="00DF75F8" w:rsidP="002A37BB" w:rsidRDefault="00DF75F8" w14:paraId="311CA539" w14:textId="77777777">
      <w:pPr>
        <w:jc w:val="both"/>
        <w:rPr>
          <w:rFonts w:ascii="Arial" w:hAnsi="Arial" w:cs="Arial"/>
          <w:sz w:val="22"/>
          <w:szCs w:val="22"/>
        </w:rPr>
      </w:pPr>
    </w:p>
    <w:p w:rsidRPr="00844BD7" w:rsidR="001F06A9" w:rsidP="001F06A9" w:rsidRDefault="00BD1EA2" w14:paraId="01F61168" w14:textId="64296B4D">
      <w:pPr>
        <w:pStyle w:val="ListParagraph"/>
        <w:numPr>
          <w:ilvl w:val="0"/>
          <w:numId w:val="44"/>
        </w:numPr>
        <w:jc w:val="both"/>
        <w:rPr>
          <w:rFonts w:ascii="Arial" w:hAnsi="Arial" w:cs="Arial"/>
          <w:sz w:val="22"/>
          <w:szCs w:val="22"/>
          <w:lang w:val="en-GB"/>
        </w:rPr>
      </w:pPr>
      <w:r w:rsidRPr="00844BD7">
        <w:rPr>
          <w:rFonts w:ascii="Arial" w:hAnsi="Arial" w:cs="Arial"/>
          <w:sz w:val="22"/>
          <w:szCs w:val="22"/>
          <w:lang w:val="en-GB"/>
        </w:rPr>
        <w:t xml:space="preserve">A court appointed liquidator of an insolvent company can purse a claim against directors </w:t>
      </w:r>
      <w:r w:rsidRPr="00844BD7" w:rsidR="00BE4BFE">
        <w:rPr>
          <w:rFonts w:ascii="Arial" w:hAnsi="Arial" w:cs="Arial"/>
          <w:sz w:val="22"/>
          <w:szCs w:val="22"/>
          <w:lang w:val="en-GB"/>
        </w:rPr>
        <w:t>who acted in breach of their fiduciary</w:t>
      </w:r>
      <w:r w:rsidRPr="00844BD7" w:rsidR="00366CB8">
        <w:rPr>
          <w:rFonts w:ascii="Arial" w:hAnsi="Arial" w:cs="Arial"/>
          <w:sz w:val="22"/>
          <w:szCs w:val="22"/>
          <w:lang w:val="en-GB"/>
        </w:rPr>
        <w:t xml:space="preserve"> to act in the best interest of the company</w:t>
      </w:r>
      <w:r w:rsidRPr="00844BD7">
        <w:rPr>
          <w:rFonts w:ascii="Arial" w:hAnsi="Arial" w:cs="Arial"/>
          <w:sz w:val="22"/>
          <w:szCs w:val="22"/>
          <w:lang w:val="en-GB"/>
        </w:rPr>
        <w:t xml:space="preserve"> </w:t>
      </w:r>
      <w:r w:rsidRPr="00844BD7" w:rsidR="00BE4BFE">
        <w:rPr>
          <w:rFonts w:ascii="Arial" w:hAnsi="Arial" w:cs="Arial"/>
          <w:sz w:val="22"/>
          <w:szCs w:val="22"/>
          <w:lang w:val="en-GB"/>
        </w:rPr>
        <w:t xml:space="preserve">and they </w:t>
      </w:r>
      <w:r w:rsidRPr="00844BD7">
        <w:rPr>
          <w:rFonts w:ascii="Arial" w:hAnsi="Arial" w:cs="Arial"/>
          <w:sz w:val="22"/>
          <w:szCs w:val="22"/>
          <w:lang w:val="en-GB"/>
        </w:rPr>
        <w:t xml:space="preserve">can be held liable to the company for any losses </w:t>
      </w:r>
      <w:r w:rsidRPr="00844BD7" w:rsidR="00BE4BFE">
        <w:rPr>
          <w:rFonts w:ascii="Arial" w:hAnsi="Arial" w:cs="Arial"/>
          <w:sz w:val="22"/>
          <w:szCs w:val="22"/>
          <w:lang w:val="en-GB"/>
        </w:rPr>
        <w:t xml:space="preserve">such as damages </w:t>
      </w:r>
      <w:r w:rsidRPr="00844BD7">
        <w:rPr>
          <w:rFonts w:ascii="Arial" w:hAnsi="Arial" w:cs="Arial"/>
          <w:sz w:val="22"/>
          <w:szCs w:val="22"/>
          <w:lang w:val="en-GB"/>
        </w:rPr>
        <w:t xml:space="preserve">which they cause the company in breach of their fiduciary duties. </w:t>
      </w:r>
      <w:r w:rsidRPr="00844BD7" w:rsidR="007315A5">
        <w:rPr>
          <w:rFonts w:ascii="Arial" w:hAnsi="Arial" w:cs="Arial"/>
          <w:sz w:val="22"/>
          <w:szCs w:val="22"/>
          <w:lang w:val="en-GB"/>
        </w:rPr>
        <w:t xml:space="preserve">In the case of </w:t>
      </w:r>
      <w:r w:rsidRPr="00844BD7" w:rsidR="007315A5">
        <w:rPr>
          <w:rFonts w:ascii="Arial" w:hAnsi="Arial" w:cs="Arial"/>
          <w:i/>
          <w:iCs/>
          <w:sz w:val="22"/>
          <w:szCs w:val="22"/>
          <w:lang w:val="en-GB"/>
        </w:rPr>
        <w:t>Prospect Properties v McNeil</w:t>
      </w:r>
      <w:r w:rsidRPr="00844BD7" w:rsidR="007315A5">
        <w:rPr>
          <w:rFonts w:ascii="Arial" w:hAnsi="Arial" w:cs="Arial"/>
          <w:sz w:val="22"/>
          <w:szCs w:val="22"/>
          <w:lang w:val="en-GB"/>
        </w:rPr>
        <w:t xml:space="preserve">, the Grand Court held that, where a company is insolvent, the directors’ duty to act in the best interests of the company requires them to have regard to the interest </w:t>
      </w:r>
      <w:r w:rsidRPr="00844BD7" w:rsidR="00917CEF">
        <w:rPr>
          <w:rFonts w:ascii="Arial" w:hAnsi="Arial" w:cs="Arial"/>
          <w:sz w:val="22"/>
          <w:szCs w:val="22"/>
          <w:lang w:val="en-GB"/>
        </w:rPr>
        <w:t xml:space="preserve">of its creditors. </w:t>
      </w:r>
    </w:p>
    <w:p w:rsidRPr="00844BD7" w:rsidR="001F06A9" w:rsidP="001F06A9" w:rsidRDefault="001F06A9" w14:paraId="0D0A3B99" w14:textId="77777777">
      <w:pPr>
        <w:pStyle w:val="ListParagraph"/>
        <w:jc w:val="both"/>
        <w:rPr>
          <w:rFonts w:ascii="Arial" w:hAnsi="Arial" w:cs="Arial"/>
          <w:sz w:val="22"/>
          <w:szCs w:val="22"/>
          <w:lang w:val="en-GB"/>
        </w:rPr>
      </w:pPr>
    </w:p>
    <w:p w:rsidRPr="00844BD7" w:rsidR="001F06A9" w:rsidP="001F06A9" w:rsidRDefault="006D6CC2" w14:paraId="7754558B" w14:textId="77777777">
      <w:pPr>
        <w:pStyle w:val="ListParagraph"/>
        <w:numPr>
          <w:ilvl w:val="0"/>
          <w:numId w:val="44"/>
        </w:numPr>
        <w:jc w:val="both"/>
        <w:rPr>
          <w:rFonts w:ascii="Arial" w:hAnsi="Arial" w:cs="Arial"/>
          <w:sz w:val="22"/>
          <w:szCs w:val="22"/>
          <w:lang w:val="en-GB"/>
        </w:rPr>
      </w:pPr>
      <w:r w:rsidRPr="00844BD7">
        <w:rPr>
          <w:rFonts w:ascii="Arial" w:hAnsi="Arial" w:cs="Arial"/>
          <w:sz w:val="22"/>
          <w:szCs w:val="22"/>
          <w:lang w:val="en-GB"/>
        </w:rPr>
        <w:t>Section 145 of the Companies Act also provides that a claim can be brought for voidable preference if there is disposal of property to a creditor within six months before the deemed commencement of the company’s liquidation at a time when it was unable to pay its debts and the dominant intention of the company’s directors was to give the applicable creditor a preference over the other creditors</w:t>
      </w:r>
      <w:r w:rsidRPr="00844BD7" w:rsidR="001F06A9">
        <w:rPr>
          <w:rFonts w:ascii="Arial" w:hAnsi="Arial" w:cs="Arial"/>
          <w:sz w:val="22"/>
          <w:szCs w:val="22"/>
          <w:lang w:val="en-GB"/>
        </w:rPr>
        <w:t xml:space="preserve"> (putting that </w:t>
      </w:r>
      <w:r w:rsidRPr="00844BD7" w:rsidR="001F06A9">
        <w:rPr>
          <w:rFonts w:ascii="Arial" w:hAnsi="Arial" w:cs="Arial"/>
          <w:sz w:val="22"/>
          <w:szCs w:val="22"/>
          <w:lang w:val="en-GB"/>
        </w:rPr>
        <w:lastRenderedPageBreak/>
        <w:t>creditor in a better position than it otherwise would have been)</w:t>
      </w:r>
      <w:r w:rsidRPr="00844BD7">
        <w:rPr>
          <w:rFonts w:ascii="Arial" w:hAnsi="Arial" w:cs="Arial"/>
          <w:sz w:val="22"/>
          <w:szCs w:val="22"/>
          <w:lang w:val="en-GB"/>
        </w:rPr>
        <w:t xml:space="preserve">. </w:t>
      </w:r>
      <w:r w:rsidRPr="00844BD7" w:rsidR="001F06A9">
        <w:rPr>
          <w:rFonts w:ascii="Arial" w:hAnsi="Arial" w:cs="Arial"/>
          <w:sz w:val="22"/>
          <w:szCs w:val="22"/>
          <w:lang w:val="en-GB"/>
        </w:rPr>
        <w:t xml:space="preserve">Provided that these elements have been satisfied, the Court may order the creditor to return the asset and prove in the liquidation for the amount of its claim. </w:t>
      </w:r>
    </w:p>
    <w:p w:rsidRPr="00844BD7" w:rsidR="001F06A9" w:rsidP="001F06A9" w:rsidRDefault="001F06A9" w14:paraId="7962A0A4" w14:textId="77777777">
      <w:pPr>
        <w:pStyle w:val="ListParagraph"/>
        <w:rPr>
          <w:rFonts w:ascii="Arial" w:hAnsi="Arial" w:cs="Arial"/>
          <w:sz w:val="22"/>
          <w:szCs w:val="22"/>
          <w:lang w:val="en-GB"/>
        </w:rPr>
      </w:pPr>
    </w:p>
    <w:p w:rsidRPr="00844BD7" w:rsidR="00E4294D" w:rsidP="001F06A9" w:rsidRDefault="001F06A9" w14:paraId="3C96BAC4" w14:textId="29C2A044">
      <w:pPr>
        <w:pStyle w:val="ListParagraph"/>
        <w:numPr>
          <w:ilvl w:val="0"/>
          <w:numId w:val="44"/>
        </w:numPr>
        <w:jc w:val="both"/>
        <w:rPr>
          <w:rFonts w:ascii="Arial" w:hAnsi="Arial" w:cs="Arial"/>
          <w:sz w:val="22"/>
          <w:szCs w:val="22"/>
          <w:lang w:val="en-GB"/>
        </w:rPr>
      </w:pPr>
      <w:r w:rsidRPr="00844BD7">
        <w:rPr>
          <w:rFonts w:ascii="Arial" w:hAnsi="Arial" w:cs="Arial"/>
          <w:sz w:val="22"/>
          <w:szCs w:val="22"/>
          <w:lang w:val="en-GB"/>
        </w:rPr>
        <w:t>A claim can also be made under section 146 of the Companies Act for avoidance of dispositions made at an undervalue</w:t>
      </w:r>
      <w:r w:rsidRPr="00844BD7" w:rsidR="00B76BC1">
        <w:rPr>
          <w:rFonts w:ascii="Arial" w:hAnsi="Arial" w:cs="Arial"/>
          <w:sz w:val="22"/>
          <w:szCs w:val="22"/>
          <w:lang w:val="en-GB"/>
        </w:rPr>
        <w:t xml:space="preserve"> where a property is disposed of at an undervalue with the intention of wilfully defeating an obligation owed to a creditor (that is, an intent to defraud). Once the elements set out in statue has been met the Court is likely to set aside the transaction. </w:t>
      </w:r>
    </w:p>
    <w:p w:rsidRPr="00844BD7" w:rsidR="00B76BC1" w:rsidP="00B76BC1" w:rsidRDefault="00B76BC1" w14:paraId="4736C300" w14:textId="77777777">
      <w:pPr>
        <w:pStyle w:val="ListParagraph"/>
        <w:rPr>
          <w:rFonts w:ascii="Arial" w:hAnsi="Arial" w:cs="Arial"/>
          <w:sz w:val="22"/>
          <w:szCs w:val="22"/>
          <w:lang w:val="en-GB"/>
        </w:rPr>
      </w:pPr>
    </w:p>
    <w:p w:rsidRPr="00844BD7" w:rsidR="00B76BC1" w:rsidP="001F06A9" w:rsidRDefault="00B76BC1" w14:paraId="1F38202B" w14:textId="057125C3">
      <w:pPr>
        <w:pStyle w:val="ListParagraph"/>
        <w:numPr>
          <w:ilvl w:val="0"/>
          <w:numId w:val="44"/>
        </w:numPr>
        <w:jc w:val="both"/>
        <w:rPr>
          <w:rFonts w:ascii="Arial" w:hAnsi="Arial" w:cs="Arial"/>
          <w:sz w:val="22"/>
          <w:szCs w:val="22"/>
          <w:lang w:val="en-GB"/>
        </w:rPr>
      </w:pPr>
      <w:r w:rsidRPr="42F3AA8A" w:rsidR="42F3AA8A">
        <w:rPr>
          <w:rFonts w:ascii="Arial" w:hAnsi="Arial" w:cs="Arial"/>
          <w:sz w:val="22"/>
          <w:szCs w:val="22"/>
          <w:lang w:val="en-GB"/>
        </w:rPr>
        <w:t xml:space="preserve">Section 147 of the Companies Act provides that where it is found that the business of a company was carried out </w:t>
      </w:r>
      <w:r w:rsidRPr="42F3AA8A" w:rsidR="42F3AA8A">
        <w:rPr>
          <w:rFonts w:ascii="Arial" w:hAnsi="Arial" w:cs="Arial"/>
          <w:sz w:val="22"/>
          <w:szCs w:val="22"/>
          <w:lang w:val="en-GB"/>
        </w:rPr>
        <w:t>with</w:t>
      </w:r>
      <w:r w:rsidRPr="42F3AA8A" w:rsidR="42F3AA8A">
        <w:rPr>
          <w:rFonts w:ascii="Arial" w:hAnsi="Arial" w:cs="Arial"/>
          <w:sz w:val="22"/>
          <w:szCs w:val="22"/>
          <w:lang w:val="en-GB"/>
        </w:rPr>
        <w:t xml:space="preserve"> intent to defraud creditors, or any fraudulent purpose, a liquidator may apply for an order requiring any person who were knowingly parties to such conduct to make such contribution to the company’s assets as the Court thinks proper</w:t>
      </w:r>
      <w:r w:rsidRPr="42F3AA8A" w:rsidR="42F3AA8A">
        <w:rPr>
          <w:rFonts w:ascii="Arial" w:hAnsi="Arial" w:cs="Arial"/>
          <w:sz w:val="22"/>
          <w:szCs w:val="22"/>
          <w:lang w:val="en-GB"/>
        </w:rPr>
        <w:t xml:space="preserve">.  </w:t>
      </w:r>
    </w:p>
    <w:p w:rsidR="42F3AA8A" w:rsidP="42F3AA8A" w:rsidRDefault="42F3AA8A" w14:paraId="641B8D54" w14:textId="23B1A9C8">
      <w:pPr>
        <w:pStyle w:val="Normal"/>
        <w:ind w:left="0"/>
        <w:jc w:val="both"/>
        <w:rPr>
          <w:rFonts w:ascii="Calibri" w:hAnsi="Calibri" w:eastAsia="Times New Roman" w:cs=""/>
          <w:sz w:val="20"/>
          <w:szCs w:val="20"/>
          <w:lang w:val="en-GB"/>
        </w:rPr>
      </w:pPr>
    </w:p>
    <w:p w:rsidR="42F3AA8A" w:rsidP="42F3AA8A" w:rsidRDefault="42F3AA8A" w14:paraId="19FF1C51" w14:textId="22080CA7">
      <w:pPr>
        <w:pStyle w:val="ListParagraph"/>
        <w:numPr>
          <w:ilvl w:val="0"/>
          <w:numId w:val="44"/>
        </w:numPr>
        <w:jc w:val="both"/>
        <w:rPr>
          <w:rFonts w:ascii="Arial" w:hAnsi="Arial" w:eastAsia="Arial" w:cs="Arial"/>
          <w:noProof w:val="0"/>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Lastly, section 99 of the Companies Act, provides that any disposition of a company’s property after the deemed commencement of the winding-up will be void </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in the event that</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a winding-up order is </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subsequently</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made unless validated by the Grand Court. Therefore, a liquidator can apply to the Grand Court for relief to require the repayment of the funds or the return of the asset.</w:t>
      </w:r>
    </w:p>
    <w:p w:rsidR="42F3AA8A" w:rsidP="42F3AA8A" w:rsidRDefault="42F3AA8A" w14:paraId="5DB9FB8A" w14:textId="2077BD6F">
      <w:pPr>
        <w:pStyle w:val="Normal"/>
        <w:jc w:val="both"/>
        <w:rPr>
          <w:rFonts w:ascii="Calibri" w:hAnsi="Calibri" w:eastAsia="Times New Roman" w:cs=""/>
          <w:sz w:val="20"/>
          <w:szCs w:val="20"/>
          <w:lang w:val="en-GB"/>
        </w:rPr>
      </w:pPr>
    </w:p>
    <w:p w:rsidR="00D17FDC" w:rsidP="002A37BB" w:rsidRDefault="00D17FDC" w14:paraId="6F724901" w14:textId="469BD4CC">
      <w:pPr>
        <w:jc w:val="both"/>
        <w:rPr>
          <w:rFonts w:ascii="Arial" w:hAnsi="Arial" w:cs="Arial"/>
          <w:sz w:val="22"/>
          <w:szCs w:val="22"/>
          <w:shd w:val="clear" w:color="auto" w:fill="FFFFFF"/>
        </w:rPr>
      </w:pPr>
    </w:p>
    <w:p w:rsidR="00924973" w:rsidP="002A37BB" w:rsidRDefault="00924973" w14:paraId="672A818A" w14:textId="77777777">
      <w:pPr>
        <w:jc w:val="both"/>
        <w:rPr>
          <w:rFonts w:ascii="Arial" w:hAnsi="Arial" w:cs="Arial"/>
          <w:sz w:val="22"/>
          <w:szCs w:val="22"/>
          <w:shd w:val="clear" w:color="auto" w:fill="FFFFFF"/>
        </w:rPr>
      </w:pPr>
    </w:p>
    <w:p w:rsidRPr="00853B56" w:rsidR="00853B56" w:rsidP="002A37BB" w:rsidRDefault="00853B56" w14:paraId="740F5748" w14:textId="4B014827">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rsidR="00853B56" w:rsidP="002A37BB" w:rsidRDefault="00853B56" w14:paraId="0B39CDB9" w14:textId="4395E59C">
      <w:pPr>
        <w:jc w:val="both"/>
        <w:rPr>
          <w:rFonts w:ascii="Arial" w:hAnsi="Arial" w:cs="Arial"/>
          <w:sz w:val="22"/>
          <w:szCs w:val="22"/>
          <w:shd w:val="clear" w:color="auto" w:fill="FFFFFF"/>
        </w:rPr>
      </w:pPr>
    </w:p>
    <w:p w:rsidR="00853B56" w:rsidP="002A37BB" w:rsidRDefault="00853B56" w14:paraId="68965C60" w14:textId="5119B846">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rsidR="42F3AA8A" w:rsidP="42F3AA8A" w:rsidRDefault="42F3AA8A" w14:paraId="7E0492C6" w14:textId="319E05B0">
      <w:pPr>
        <w:pStyle w:val="Normal"/>
        <w:jc w:val="both"/>
        <w:rPr>
          <w:rFonts w:ascii="Calibri" w:hAnsi="Calibri" w:eastAsia="Times New Roman" w:cs=""/>
          <w:sz w:val="20"/>
          <w:szCs w:val="20"/>
        </w:rPr>
      </w:pPr>
    </w:p>
    <w:p w:rsidR="42F3AA8A" w:rsidP="42F3AA8A" w:rsidRDefault="42F3AA8A" w14:paraId="2DEE3F79" w14:textId="6E5438B7">
      <w:pPr>
        <w:pStyle w:val="Normal"/>
        <w:jc w:val="both"/>
        <w:rPr>
          <w:rFonts w:ascii="Calibri" w:hAnsi="Calibri" w:eastAsia="Times New Roman" w:cs=""/>
          <w:sz w:val="20"/>
          <w:szCs w:val="20"/>
        </w:rPr>
      </w:pPr>
      <w:r w:rsidRPr="42F3AA8A" w:rsidR="42F3AA8A">
        <w:rPr>
          <w:rFonts w:ascii="Arial" w:hAnsi="Arial" w:eastAsia="Times New Roman" w:cs="Arial"/>
          <w:sz w:val="22"/>
          <w:szCs w:val="22"/>
        </w:rPr>
        <w:t>It is well accepted in the</w:t>
      </w:r>
      <w:r w:rsidRPr="42F3AA8A" w:rsidR="42F3AA8A">
        <w:rPr>
          <w:rFonts w:ascii="Arial" w:hAnsi="Arial" w:cs="Arial"/>
          <w:sz w:val="22"/>
          <w:szCs w:val="22"/>
          <w:lang w:val="en-GB"/>
        </w:rPr>
        <w:t xml:space="preserve"> Cayman Islands</w:t>
      </w:r>
      <w:r w:rsidRPr="42F3AA8A" w:rsidR="42F3AA8A">
        <w:rPr>
          <w:rFonts w:ascii="Arial" w:hAnsi="Arial" w:eastAsia="Times New Roman" w:cs="Arial"/>
          <w:sz w:val="22"/>
          <w:szCs w:val="22"/>
        </w:rPr>
        <w:t xml:space="preserve"> that receivers can be appointed </w:t>
      </w:r>
      <w:r w:rsidRPr="42F3AA8A" w:rsidR="42F3AA8A">
        <w:rPr>
          <w:rFonts w:ascii="Arial" w:hAnsi="Arial" w:eastAsia="Times New Roman" w:cs="Arial"/>
          <w:sz w:val="22"/>
          <w:szCs w:val="22"/>
        </w:rPr>
        <w:t>pursuant to</w:t>
      </w:r>
      <w:r w:rsidRPr="42F3AA8A" w:rsidR="42F3AA8A">
        <w:rPr>
          <w:rFonts w:ascii="Arial" w:hAnsi="Arial" w:eastAsia="Times New Roman" w:cs="Arial"/>
          <w:sz w:val="22"/>
          <w:szCs w:val="22"/>
        </w:rPr>
        <w:t xml:space="preserve"> the Grand Court Rules and under the Companies Act. </w:t>
      </w:r>
    </w:p>
    <w:p w:rsidR="42F3AA8A" w:rsidP="42F3AA8A" w:rsidRDefault="42F3AA8A" w14:paraId="3E2A1BB0" w14:textId="2E7DCB24">
      <w:pPr>
        <w:pStyle w:val="Normal"/>
        <w:jc w:val="both"/>
        <w:rPr>
          <w:rFonts w:ascii="Arial" w:hAnsi="Arial" w:cs="Arial"/>
          <w:sz w:val="22"/>
          <w:szCs w:val="22"/>
          <w:lang w:val="en-GB"/>
        </w:rPr>
      </w:pPr>
    </w:p>
    <w:p w:rsidR="42F3AA8A" w:rsidP="42F3AA8A" w:rsidRDefault="42F3AA8A" w14:paraId="13656080" w14:textId="2EA2FECD">
      <w:pPr>
        <w:pStyle w:val="Normal"/>
        <w:jc w:val="both"/>
        <w:rPr>
          <w:rFonts w:ascii="Calibri" w:hAnsi="Calibri" w:eastAsia="Times New Roman" w:cs=""/>
          <w:sz w:val="20"/>
          <w:szCs w:val="20"/>
        </w:rPr>
      </w:pPr>
      <w:r w:rsidRPr="42F3AA8A" w:rsidR="42F3AA8A">
        <w:rPr>
          <w:rFonts w:ascii="Arial" w:hAnsi="Arial" w:cs="Arial"/>
          <w:sz w:val="22"/>
          <w:szCs w:val="22"/>
          <w:lang w:val="en-GB"/>
        </w:rPr>
        <w:t>Receivers and receiverships order are provided for by the Companies Act in respect of a Segregated Portfolio Company (“</w:t>
      </w:r>
      <w:r w:rsidRPr="42F3AA8A" w:rsidR="42F3AA8A">
        <w:rPr>
          <w:rFonts w:ascii="Arial" w:hAnsi="Arial" w:cs="Arial"/>
          <w:i w:val="1"/>
          <w:iCs w:val="1"/>
          <w:sz w:val="22"/>
          <w:szCs w:val="22"/>
          <w:lang w:val="en-GB"/>
        </w:rPr>
        <w:t>SP</w:t>
      </w:r>
      <w:r w:rsidRPr="42F3AA8A" w:rsidR="42F3AA8A">
        <w:rPr>
          <w:rFonts w:ascii="Arial" w:hAnsi="Arial" w:cs="Arial"/>
          <w:sz w:val="22"/>
          <w:szCs w:val="22"/>
          <w:lang w:val="en-GB"/>
        </w:rPr>
        <w:t>”). In this context, receivership orders are usually made where the Grand Court is satisfied that the SP’s assets attributed to a particular portfolio of the company are likely to be insufficient to discharge the claims of creditors in respect of that portfolio. The receivership order must direct the orderly closing down of the business of, or attributable to, the segregated portfolio and the distribution of the segregated portfolio assets attributable to the segregated portfolio to those entitled to have recourse thereto. Therefore, a</w:t>
      </w:r>
      <w:r w:rsidRPr="42F3AA8A" w:rsidR="42F3AA8A">
        <w:rPr>
          <w:rFonts w:ascii="Arial" w:hAnsi="Arial" w:cs="Arial"/>
          <w:sz w:val="22"/>
          <w:szCs w:val="22"/>
          <w:lang w:val="en-GB"/>
        </w:rPr>
        <w:t xml:space="preserve">rguably receivers </w:t>
      </w:r>
      <w:r w:rsidRPr="42F3AA8A" w:rsidR="42F3AA8A">
        <w:rPr>
          <w:rFonts w:ascii="Arial" w:hAnsi="Arial" w:cs="Arial"/>
          <w:sz w:val="22"/>
          <w:szCs w:val="22"/>
          <w:lang w:val="en-GB"/>
        </w:rPr>
        <w:t xml:space="preserve">have a role to play where the portfolio of a company is insolvent, as where a </w:t>
      </w:r>
      <w:r w:rsidRPr="42F3AA8A" w:rsidR="42F3AA8A">
        <w:rPr>
          <w:rFonts w:ascii="Arial" w:hAnsi="Arial" w:cs="Arial"/>
          <w:sz w:val="22"/>
          <w:szCs w:val="22"/>
        </w:rPr>
        <w:t>portfolio is insolvent the Court may appoint a receiver to realize and distribute its assets. However, if a segregated portfolio company is i</w:t>
      </w:r>
      <w:r w:rsidRPr="42F3AA8A" w:rsidR="42F3AA8A">
        <w:rPr>
          <w:rFonts w:ascii="Arial" w:hAnsi="Arial" w:cs="Arial"/>
          <w:sz w:val="22"/>
          <w:szCs w:val="22"/>
        </w:rPr>
        <w:t xml:space="preserve">n the process of being </w:t>
      </w:r>
      <w:r w:rsidRPr="42F3AA8A" w:rsidR="42F3AA8A">
        <w:rPr>
          <w:rFonts w:ascii="Arial" w:hAnsi="Arial" w:cs="Arial"/>
          <w:sz w:val="22"/>
          <w:szCs w:val="22"/>
        </w:rPr>
        <w:t xml:space="preserve">wound-up no order for receivership may be made and an order for receivership will cease to have effect upon the commencement of the winding-up of the segregated portfolio company. Therefore, receivers have no role to play in the insolvency of a SP. </w:t>
      </w:r>
    </w:p>
    <w:p w:rsidR="42F3AA8A" w:rsidP="42F3AA8A" w:rsidRDefault="42F3AA8A" w14:paraId="2AE91DFC" w14:textId="36E9FB51">
      <w:pPr>
        <w:jc w:val="both"/>
        <w:rPr>
          <w:rFonts w:ascii="Arial" w:hAnsi="Arial" w:cs="Arial"/>
          <w:sz w:val="22"/>
          <w:szCs w:val="22"/>
        </w:rPr>
      </w:pPr>
    </w:p>
    <w:p w:rsidR="42F3AA8A" w:rsidP="42F3AA8A" w:rsidRDefault="42F3AA8A" w14:paraId="3B557937" w14:textId="1BB2621C">
      <w:pPr>
        <w:pStyle w:val="Normal"/>
        <w:bidi w:val="0"/>
        <w:spacing w:before="0" w:beforeAutospacing="off" w:after="0" w:afterAutospacing="off" w:line="259" w:lineRule="auto"/>
        <w:ind w:left="0" w:right="0"/>
        <w:jc w:val="both"/>
        <w:rPr>
          <w:rFonts w:ascii="Calibri" w:hAnsi="Calibri" w:eastAsia="Times New Roman" w:cs=""/>
          <w:sz w:val="20"/>
          <w:szCs w:val="20"/>
        </w:rPr>
      </w:pPr>
      <w:r w:rsidRPr="42F3AA8A" w:rsidR="42F3AA8A">
        <w:rPr>
          <w:rFonts w:ascii="Arial" w:hAnsi="Arial" w:cs="Arial"/>
          <w:sz w:val="22"/>
          <w:szCs w:val="22"/>
        </w:rPr>
        <w:t xml:space="preserve">Additionally, receiverships have a role to play as it offers an alternative course of action for creditors than insolvency proceedings of a company. They are usually appointed </w:t>
      </w:r>
      <w:r w:rsidRPr="42F3AA8A" w:rsidR="42F3AA8A">
        <w:rPr>
          <w:rFonts w:ascii="Arial" w:hAnsi="Arial" w:cs="Arial"/>
          <w:sz w:val="22"/>
          <w:szCs w:val="22"/>
        </w:rPr>
        <w:t>pursuant to</w:t>
      </w:r>
      <w:r w:rsidRPr="42F3AA8A" w:rsidR="42F3AA8A">
        <w:rPr>
          <w:rFonts w:ascii="Arial" w:hAnsi="Arial" w:cs="Arial"/>
          <w:sz w:val="22"/>
          <w:szCs w:val="22"/>
        </w:rPr>
        <w:t xml:space="preserve"> rights in a security instrument and will realize the value of the charged asset and repay the creditor the amount of its unpaid debt. </w:t>
      </w:r>
    </w:p>
    <w:p w:rsidR="42F3AA8A" w:rsidP="42F3AA8A" w:rsidRDefault="42F3AA8A" w14:paraId="25384883" w14:textId="68F6ABD6">
      <w:pPr>
        <w:pStyle w:val="Normal"/>
        <w:bidi w:val="0"/>
        <w:spacing w:before="0" w:beforeAutospacing="off" w:after="0" w:afterAutospacing="off" w:line="259" w:lineRule="auto"/>
        <w:ind w:left="0" w:right="0"/>
        <w:jc w:val="both"/>
        <w:rPr>
          <w:rFonts w:ascii="Arial" w:hAnsi="Arial" w:cs="Arial"/>
          <w:sz w:val="22"/>
          <w:szCs w:val="22"/>
        </w:rPr>
      </w:pPr>
    </w:p>
    <w:p w:rsidR="42F3AA8A" w:rsidP="42F3AA8A" w:rsidRDefault="42F3AA8A" w14:paraId="4D047290" w14:textId="5FD1F652">
      <w:pPr>
        <w:pStyle w:val="Normal"/>
        <w:bidi w:val="0"/>
        <w:spacing w:before="0" w:beforeAutospacing="off" w:after="0" w:afterAutospacing="off" w:line="259" w:lineRule="auto"/>
        <w:ind w:left="0" w:right="0"/>
        <w:jc w:val="both"/>
        <w:rPr>
          <w:rFonts w:ascii="Calibri" w:hAnsi="Calibri" w:eastAsia="Times New Roman" w:cs=""/>
          <w:sz w:val="20"/>
          <w:szCs w:val="20"/>
        </w:rPr>
      </w:pPr>
      <w:r w:rsidRPr="42F3AA8A" w:rsidR="42F3AA8A">
        <w:rPr>
          <w:rFonts w:ascii="Arial" w:hAnsi="Arial" w:cs="Arial"/>
          <w:sz w:val="22"/>
          <w:szCs w:val="22"/>
        </w:rPr>
        <w:t xml:space="preserve">In final analysis, receivers do have a role to play </w:t>
      </w:r>
      <w:r w:rsidRPr="42F3AA8A" w:rsidR="42F3AA8A">
        <w:rPr>
          <w:rFonts w:ascii="Arial" w:hAnsi="Arial" w:cs="Arial"/>
          <w:sz w:val="22"/>
          <w:szCs w:val="22"/>
        </w:rPr>
        <w:t>especially</w:t>
      </w:r>
      <w:r w:rsidRPr="42F3AA8A" w:rsidR="42F3AA8A">
        <w:rPr>
          <w:rFonts w:ascii="Arial" w:hAnsi="Arial" w:cs="Arial"/>
          <w:sz w:val="22"/>
          <w:szCs w:val="22"/>
        </w:rPr>
        <w:t xml:space="preserve"> in the context of SP’s. </w:t>
      </w:r>
    </w:p>
    <w:p w:rsidR="42F3AA8A" w:rsidP="42F3AA8A" w:rsidRDefault="42F3AA8A" w14:paraId="58519BA2" w14:textId="31AC9AD5">
      <w:pPr>
        <w:pStyle w:val="Normal"/>
        <w:bidi w:val="0"/>
        <w:spacing w:before="0" w:beforeAutospacing="off" w:after="0" w:afterAutospacing="off" w:line="259" w:lineRule="auto"/>
        <w:ind w:left="0" w:right="0"/>
        <w:jc w:val="both"/>
        <w:rPr>
          <w:rFonts w:ascii="Calibri" w:hAnsi="Calibri" w:eastAsia="Times New Roman" w:cs=""/>
          <w:sz w:val="20"/>
          <w:szCs w:val="20"/>
        </w:rPr>
      </w:pPr>
    </w:p>
    <w:p w:rsidR="42F3AA8A" w:rsidP="42F3AA8A" w:rsidRDefault="42F3AA8A" w14:paraId="165AF199" w14:textId="5E43D5AB">
      <w:pPr>
        <w:pStyle w:val="Normal"/>
        <w:jc w:val="both"/>
        <w:rPr>
          <w:rFonts w:ascii="Calibri" w:hAnsi="Calibri" w:eastAsia="Times New Roman" w:cs=""/>
          <w:sz w:val="20"/>
          <w:szCs w:val="20"/>
        </w:rPr>
      </w:pPr>
    </w:p>
    <w:p w:rsidR="42F3AA8A" w:rsidP="42F3AA8A" w:rsidRDefault="42F3AA8A" w14:paraId="2EABF2F4" w14:textId="7B11115E">
      <w:pPr>
        <w:pStyle w:val="Normal"/>
        <w:jc w:val="both"/>
        <w:rPr>
          <w:rFonts w:ascii="Arial" w:hAnsi="Arial" w:eastAsia="Times New Roman" w:cs="Arial"/>
          <w:sz w:val="22"/>
          <w:szCs w:val="22"/>
        </w:rPr>
      </w:pPr>
    </w:p>
    <w:p w:rsidR="00FA18CF" w:rsidP="002A37BB" w:rsidRDefault="00FA18CF" w14:paraId="6DD9BB66" w14:textId="453DB4C2">
      <w:pPr>
        <w:jc w:val="both"/>
        <w:rPr>
          <w:rFonts w:ascii="Arial" w:hAnsi="Arial" w:cs="Arial"/>
          <w:sz w:val="22"/>
          <w:szCs w:val="22"/>
          <w:shd w:val="clear" w:color="auto" w:fill="FFFFFF"/>
        </w:rPr>
      </w:pPr>
    </w:p>
    <w:p w:rsidRPr="002A37BB" w:rsidR="00E4294D" w:rsidP="002A37BB" w:rsidRDefault="00E4294D" w14:paraId="6B4C4CB7" w14:textId="77777777">
      <w:pPr>
        <w:jc w:val="both"/>
        <w:rPr>
          <w:rFonts w:ascii="Arial" w:hAnsi="Arial" w:cs="Arial"/>
          <w:sz w:val="22"/>
          <w:szCs w:val="22"/>
          <w:shd w:val="clear" w:color="auto" w:fill="FFFFFF"/>
        </w:rPr>
      </w:pPr>
    </w:p>
    <w:p w:rsidRPr="002A37BB" w:rsidR="009B0723" w:rsidP="00087F21" w:rsidRDefault="00DF75F8" w14:paraId="0E678DF9" w14:textId="70015994">
      <w:pPr>
        <w:jc w:val="both"/>
        <w:rPr>
          <w:rFonts w:ascii="Arial" w:hAnsi="Arial" w:cs="Arial"/>
          <w:b/>
          <w:sz w:val="22"/>
          <w:szCs w:val="22"/>
          <w:lang w:val="en-GB"/>
        </w:rPr>
      </w:pPr>
      <w:r w:rsidRPr="002A37BB">
        <w:rPr>
          <w:rFonts w:ascii="Arial" w:hAnsi="Arial" w:cs="Arial"/>
          <w:b/>
          <w:sz w:val="22"/>
          <w:szCs w:val="22"/>
          <w:lang w:val="en-GB"/>
        </w:rPr>
        <w:t>QUESTION 4</w:t>
      </w:r>
      <w:r w:rsidRPr="002A37BB" w:rsidR="009B0723">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Pr="002A37BB" w:rsidR="009B0723">
        <w:rPr>
          <w:rFonts w:ascii="Arial" w:hAnsi="Arial" w:cs="Arial"/>
          <w:b/>
          <w:sz w:val="22"/>
          <w:szCs w:val="22"/>
          <w:lang w:val="en-GB"/>
        </w:rPr>
        <w:t>15 marks</w:t>
      </w:r>
      <w:r w:rsidRPr="002A37BB" w:rsidR="006A2646">
        <w:rPr>
          <w:rFonts w:ascii="Arial" w:hAnsi="Arial" w:cs="Arial"/>
          <w:b/>
          <w:sz w:val="22"/>
          <w:szCs w:val="22"/>
          <w:lang w:val="en-GB"/>
        </w:rPr>
        <w:t xml:space="preserve"> in total</w:t>
      </w:r>
      <w:r w:rsidRPr="002A37BB" w:rsidR="009B0723">
        <w:rPr>
          <w:rFonts w:ascii="Arial" w:hAnsi="Arial" w:cs="Arial"/>
          <w:b/>
          <w:sz w:val="22"/>
          <w:szCs w:val="22"/>
          <w:lang w:val="en-GB"/>
        </w:rPr>
        <w:t>]</w:t>
      </w:r>
    </w:p>
    <w:p w:rsidRPr="002A37BB" w:rsidR="009B0723" w:rsidP="00087F21" w:rsidRDefault="009B0723" w14:paraId="35BE3E6F" w14:textId="77777777">
      <w:pPr>
        <w:jc w:val="both"/>
        <w:rPr>
          <w:rFonts w:ascii="Arial" w:hAnsi="Arial" w:cs="Arial"/>
          <w:sz w:val="22"/>
          <w:szCs w:val="22"/>
          <w:lang w:val="en-GB"/>
        </w:rPr>
      </w:pPr>
    </w:p>
    <w:p w:rsidR="003938A1" w:rsidP="002476AF" w:rsidRDefault="0048787C" w14:paraId="1FC086C4" w14:textId="1F189B61">
      <w:pPr>
        <w:jc w:val="both"/>
        <w:rPr>
          <w:rFonts w:ascii="Arial" w:hAnsi="Arial" w:cs="Arial"/>
          <w:sz w:val="22"/>
          <w:szCs w:val="22"/>
          <w:lang w:val="en-GB"/>
        </w:rPr>
      </w:pPr>
      <w:bookmarkStart w:name="_Hlk17745211" w:id="3"/>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rsidR="003938A1" w:rsidP="002476AF" w:rsidRDefault="003938A1" w14:paraId="44D931DF" w14:textId="77777777">
      <w:pPr>
        <w:jc w:val="both"/>
        <w:rPr>
          <w:rFonts w:ascii="Arial" w:hAnsi="Arial" w:cs="Arial"/>
          <w:sz w:val="22"/>
          <w:szCs w:val="22"/>
          <w:lang w:val="en-GB"/>
        </w:rPr>
      </w:pPr>
    </w:p>
    <w:p w:rsidR="00E55912" w:rsidP="002476AF" w:rsidRDefault="0048787C" w14:paraId="7B200897" w14:textId="6ED24151">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rsidR="00E55912" w:rsidP="002476AF" w:rsidRDefault="00E55912" w14:paraId="08FDCCC2" w14:textId="77777777">
      <w:pPr>
        <w:jc w:val="both"/>
        <w:rPr>
          <w:rFonts w:ascii="Arial" w:hAnsi="Arial" w:cs="Arial"/>
          <w:sz w:val="22"/>
          <w:szCs w:val="22"/>
          <w:lang w:val="en-GB"/>
        </w:rPr>
      </w:pPr>
    </w:p>
    <w:p w:rsidR="003938A1" w:rsidP="002476AF" w:rsidRDefault="0048787C" w14:paraId="50EAFCCE" w14:textId="44DF54D6">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 xml:space="preserve">largest party </w:t>
      </w:r>
      <w:r w:rsidR="006D3DC9">
        <w:rPr>
          <w:rFonts w:ascii="Arial" w:hAnsi="Arial" w:cs="Arial"/>
          <w:sz w:val="22"/>
          <w:szCs w:val="22"/>
          <w:lang w:val="en-GB"/>
        </w:rPr>
        <w:lastRenderedPageBreak/>
        <w:t>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rsidR="003938A1" w:rsidP="002476AF" w:rsidRDefault="003938A1" w14:paraId="00B08957" w14:textId="77777777">
      <w:pPr>
        <w:jc w:val="both"/>
        <w:rPr>
          <w:rFonts w:ascii="Arial" w:hAnsi="Arial" w:cs="Arial"/>
          <w:sz w:val="22"/>
          <w:szCs w:val="22"/>
          <w:lang w:val="en-GB"/>
        </w:rPr>
      </w:pPr>
    </w:p>
    <w:p w:rsidR="00EE425D" w:rsidP="002476AF" w:rsidRDefault="006D3DC9" w14:paraId="3F687BFC" w14:textId="7169A8A9">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rsidR="003938A1" w:rsidP="002476AF" w:rsidRDefault="003938A1" w14:paraId="0B881CB6" w14:textId="77777777">
      <w:pPr>
        <w:jc w:val="both"/>
        <w:rPr>
          <w:rFonts w:ascii="Arial" w:hAnsi="Arial" w:cs="Arial"/>
          <w:sz w:val="22"/>
          <w:szCs w:val="22"/>
          <w:lang w:val="en-GB"/>
        </w:rPr>
      </w:pPr>
    </w:p>
    <w:p w:rsidR="004D4774" w:rsidP="002476AF" w:rsidRDefault="004D4774" w14:paraId="13B2990A" w14:textId="37A7CF6D">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bookmarkStart w:name="_Hlk106653705" w:id="4"/>
      <w:r w:rsidR="008D7C65">
        <w:rPr>
          <w:rFonts w:ascii="Arial" w:hAnsi="Arial" w:cs="Arial"/>
          <w:sz w:val="22"/>
          <w:szCs w:val="22"/>
          <w:lang w:val="en-GB"/>
        </w:rPr>
        <w:t>by virtue of</w:t>
      </w:r>
      <w:r w:rsidR="006574C0">
        <w:rPr>
          <w:rFonts w:ascii="Arial" w:hAnsi="Arial" w:cs="Arial"/>
          <w:sz w:val="22"/>
          <w:szCs w:val="22"/>
          <w:lang w:val="en-GB"/>
        </w:rPr>
        <w:t xml:space="preserve"> an arbitration clause</w:t>
      </w:r>
      <w:bookmarkEnd w:id="4"/>
      <w:r w:rsidR="006574C0">
        <w:rPr>
          <w:rFonts w:ascii="Arial" w:hAnsi="Arial" w:cs="Arial"/>
          <w:sz w:val="22"/>
          <w:szCs w:val="22"/>
          <w:lang w:val="en-GB"/>
        </w:rPr>
        <w:t>, the dispute was referred to the ICC sitting in London. Earlier this month, the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rsidR="004D4774" w:rsidP="002476AF" w:rsidRDefault="004D4774" w14:paraId="04BE230E" w14:textId="1BB521C2">
      <w:pPr>
        <w:jc w:val="both"/>
        <w:rPr>
          <w:rFonts w:ascii="Arial" w:hAnsi="Arial" w:cs="Arial"/>
          <w:sz w:val="22"/>
          <w:szCs w:val="22"/>
          <w:lang w:val="en-GB"/>
        </w:rPr>
      </w:pPr>
    </w:p>
    <w:p w:rsidR="00BC3A55" w:rsidP="002476AF" w:rsidRDefault="00EA6EC9" w14:paraId="13DBE15E" w14:textId="690CB91C">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rsidR="00BC3A55" w:rsidP="002476AF" w:rsidRDefault="00BC3A55" w14:paraId="38936404" w14:textId="77777777">
      <w:pPr>
        <w:jc w:val="both"/>
        <w:rPr>
          <w:rFonts w:ascii="Arial" w:hAnsi="Arial" w:cs="Arial"/>
          <w:sz w:val="22"/>
          <w:szCs w:val="22"/>
          <w:lang w:val="en-GB"/>
        </w:rPr>
      </w:pPr>
    </w:p>
    <w:p w:rsidR="00377918" w:rsidP="00924973" w:rsidRDefault="002A2C21" w14:paraId="5E467D76"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Pr="00924973" w:rsidR="007D11EE">
        <w:rPr>
          <w:rFonts w:ascii="Arial" w:hAnsi="Arial" w:cs="Arial"/>
          <w:sz w:val="22"/>
          <w:szCs w:val="22"/>
          <w:lang w:val="en-GB"/>
        </w:rPr>
        <w:t>Sparrow</w:t>
      </w:r>
      <w:r w:rsidRPr="00924973">
        <w:rPr>
          <w:rFonts w:ascii="Arial" w:hAnsi="Arial" w:cs="Arial"/>
          <w:sz w:val="22"/>
          <w:szCs w:val="22"/>
          <w:lang w:val="en-GB"/>
        </w:rPr>
        <w:t xml:space="preserve"> take to protect its</w:t>
      </w:r>
      <w:r w:rsidRPr="00924973" w:rsidR="007D11EE">
        <w:rPr>
          <w:rFonts w:ascii="Arial" w:hAnsi="Arial" w:cs="Arial"/>
          <w:sz w:val="22"/>
          <w:szCs w:val="22"/>
          <w:lang w:val="en-GB"/>
        </w:rPr>
        <w:t xml:space="preserve"> interests</w:t>
      </w:r>
      <w:r w:rsidRPr="00924973">
        <w:rPr>
          <w:rFonts w:ascii="Arial" w:hAnsi="Arial" w:cs="Arial"/>
          <w:sz w:val="22"/>
          <w:szCs w:val="22"/>
          <w:lang w:val="en-GB"/>
        </w:rPr>
        <w:t>?</w:t>
      </w:r>
      <w:r w:rsidR="006B4DE2">
        <w:rPr>
          <w:rFonts w:ascii="Arial" w:hAnsi="Arial" w:cs="Arial"/>
          <w:sz w:val="22"/>
          <w:szCs w:val="22"/>
          <w:lang w:val="en-GB"/>
        </w:rPr>
        <w:t xml:space="preserve"> </w:t>
      </w:r>
    </w:p>
    <w:p w:rsidR="00377918" w:rsidP="00377918" w:rsidRDefault="00377918" w14:paraId="53D652F9" w14:textId="77777777">
      <w:pPr>
        <w:pStyle w:val="ListParagraph"/>
        <w:ind w:left="426"/>
        <w:jc w:val="both"/>
        <w:rPr>
          <w:rFonts w:ascii="Arial" w:hAnsi="Arial" w:cs="Arial"/>
          <w:sz w:val="22"/>
          <w:szCs w:val="22"/>
          <w:lang w:val="en-GB"/>
        </w:rPr>
      </w:pPr>
    </w:p>
    <w:p w:rsidRPr="00844BD7" w:rsidR="002A2C21" w:rsidP="42F3AA8A" w:rsidRDefault="00443854" w14:paraId="02702E89" w14:textId="155161AE">
      <w:pPr>
        <w:pStyle w:val="ListParagraph"/>
        <w:ind w:left="426"/>
        <w:jc w:val="both"/>
        <w:rPr>
          <w:rFonts w:ascii="Arial" w:hAnsi="Arial" w:cs="Arial"/>
          <w:sz w:val="22"/>
          <w:szCs w:val="22"/>
          <w:lang w:val="en-GB"/>
        </w:rPr>
      </w:pPr>
      <w:r w:rsidRPr="42F3AA8A" w:rsidR="42F3AA8A">
        <w:rPr>
          <w:rFonts w:ascii="Arial" w:hAnsi="Arial" w:cs="Arial"/>
          <w:sz w:val="22"/>
          <w:szCs w:val="22"/>
          <w:lang w:val="en-GB"/>
        </w:rPr>
        <w:t xml:space="preserve">The law on mortgages provides that where you hold a legal title to property for security for a debt you can take possession of the property and exercise power of sale or appoint a receiver to realise the property. Therefore, if the legal title to the boats is vested in Sparrow, it can take possession and sell the boats to recover the USD 80million or it could take steps to appoint a receiver over the </w:t>
      </w:r>
      <w:r w:rsidRPr="42F3AA8A" w:rsidR="42F3AA8A">
        <w:rPr>
          <w:rFonts w:ascii="Arial" w:hAnsi="Arial" w:cs="Arial"/>
          <w:sz w:val="22"/>
          <w:szCs w:val="22"/>
          <w:lang w:val="en-GB"/>
        </w:rPr>
        <w:t>boat</w:t>
      </w:r>
      <w:r w:rsidRPr="42F3AA8A" w:rsidR="42F3AA8A">
        <w:rPr>
          <w:rFonts w:ascii="Arial" w:hAnsi="Arial" w:cs="Arial"/>
          <w:sz w:val="22"/>
          <w:szCs w:val="22"/>
          <w:lang w:val="en-GB"/>
        </w:rPr>
        <w:t>s</w:t>
      </w:r>
      <w:r w:rsidRPr="42F3AA8A" w:rsidR="42F3AA8A">
        <w:rPr>
          <w:rFonts w:ascii="Arial" w:hAnsi="Arial" w:cs="Arial"/>
          <w:sz w:val="22"/>
          <w:szCs w:val="22"/>
          <w:lang w:val="en-GB"/>
        </w:rPr>
        <w:t>.</w:t>
      </w:r>
    </w:p>
    <w:p w:rsidRPr="00844BD7" w:rsidR="002A2C21" w:rsidP="42F3AA8A" w:rsidRDefault="00443854" w14:paraId="44C22500" w14:textId="6A6EA3CA">
      <w:pPr>
        <w:pStyle w:val="ListParagraph"/>
        <w:ind w:left="426"/>
        <w:jc w:val="both"/>
        <w:rPr>
          <w:rFonts w:ascii="Arial" w:hAnsi="Arial" w:cs="Arial"/>
          <w:sz w:val="22"/>
          <w:szCs w:val="22"/>
          <w:lang w:val="en-GB"/>
        </w:rPr>
      </w:pPr>
    </w:p>
    <w:p w:rsidRPr="00844BD7" w:rsidR="002A2C21" w:rsidP="42F3AA8A" w:rsidRDefault="00443854" w14:paraId="3B5BF0B3" w14:textId="02883C03">
      <w:pPr>
        <w:pStyle w:val="ListParagraph"/>
        <w:ind w:left="426"/>
        <w:jc w:val="both"/>
        <w:rPr>
          <w:rFonts w:ascii="Arial" w:hAnsi="Arial" w:cs="Arial"/>
          <w:sz w:val="22"/>
          <w:szCs w:val="22"/>
          <w:lang w:val="en-GB"/>
        </w:rPr>
      </w:pPr>
      <w:r w:rsidRPr="42F3AA8A" w:rsidR="42F3AA8A">
        <w:rPr>
          <w:rFonts w:ascii="Arial" w:hAnsi="Arial" w:cs="Arial"/>
          <w:sz w:val="22"/>
          <w:szCs w:val="22"/>
          <w:lang w:val="en-GB"/>
        </w:rPr>
        <w:t xml:space="preserve">However, if S &amp; C had only transferred the beneficial interest in the boat to Sparrow, and there is no power of attorney in the mortgage agreement, Sparrow will need to apply to the Court for specific performance of the </w:t>
      </w:r>
      <w:r w:rsidRPr="42F3AA8A" w:rsidR="42F3AA8A">
        <w:rPr>
          <w:rFonts w:ascii="Arial" w:hAnsi="Arial" w:cs="Arial"/>
          <w:sz w:val="22"/>
          <w:szCs w:val="22"/>
          <w:lang w:val="en-GB"/>
        </w:rPr>
        <w:t>equitable</w:t>
      </w:r>
      <w:r w:rsidRPr="42F3AA8A" w:rsidR="42F3AA8A">
        <w:rPr>
          <w:rFonts w:ascii="Arial" w:hAnsi="Arial" w:cs="Arial"/>
          <w:sz w:val="22"/>
          <w:szCs w:val="22"/>
          <w:lang w:val="en-GB"/>
        </w:rPr>
        <w:t xml:space="preserve"> mortgage for which the court will convert to a legal mortgage. </w:t>
      </w:r>
    </w:p>
    <w:p w:rsidRPr="00844BD7" w:rsidR="002A2C21" w:rsidP="42F3AA8A" w:rsidRDefault="00443854" w14:paraId="535DBEDD" w14:textId="067E9689">
      <w:pPr>
        <w:pStyle w:val="ListParagraph"/>
        <w:ind w:left="426"/>
        <w:jc w:val="both"/>
        <w:rPr>
          <w:rFonts w:ascii="Arial" w:hAnsi="Arial" w:cs="Arial"/>
          <w:sz w:val="22"/>
          <w:szCs w:val="22"/>
          <w:lang w:val="en-GB"/>
        </w:rPr>
      </w:pPr>
    </w:p>
    <w:p w:rsidRPr="00844BD7" w:rsidR="002A2C21" w:rsidP="00377918" w:rsidRDefault="00443854" w14:paraId="14E9234B" w14:textId="38E081D9">
      <w:pPr>
        <w:pStyle w:val="ListParagraph"/>
        <w:ind w:left="426"/>
        <w:jc w:val="both"/>
        <w:rPr>
          <w:rFonts w:ascii="Arial" w:hAnsi="Arial" w:cs="Arial"/>
          <w:sz w:val="22"/>
          <w:szCs w:val="22"/>
          <w:lang w:val="en-GB"/>
        </w:rPr>
      </w:pPr>
      <w:r w:rsidRPr="42F3AA8A" w:rsidR="42F3AA8A">
        <w:rPr>
          <w:rFonts w:ascii="Arial" w:hAnsi="Arial" w:cs="Arial"/>
          <w:sz w:val="22"/>
          <w:szCs w:val="22"/>
          <w:lang w:val="en-GB"/>
        </w:rPr>
        <w:t xml:space="preserve">As for the remaining USD120 million, Sparrow will need to commencing insolvency proceedings against S &amp; C to recover the remaining sum. </w:t>
      </w:r>
    </w:p>
    <w:p w:rsidRPr="00952187" w:rsidR="00952187" w:rsidP="00924973" w:rsidRDefault="00952187" w14:paraId="60988ABD" w14:textId="77777777">
      <w:pPr>
        <w:ind w:left="426"/>
        <w:jc w:val="both"/>
        <w:rPr>
          <w:rFonts w:ascii="Arial" w:hAnsi="Arial" w:cs="Arial"/>
          <w:sz w:val="22"/>
          <w:szCs w:val="22"/>
          <w:lang w:val="en-GB"/>
        </w:rPr>
      </w:pPr>
    </w:p>
    <w:p w:rsidR="0057432D" w:rsidP="00924973" w:rsidRDefault="002A2C21" w14:paraId="73AE3314"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Pr="00924973" w:rsidR="00C41A0C">
        <w:rPr>
          <w:rFonts w:ascii="Arial" w:hAnsi="Arial" w:cs="Arial"/>
          <w:sz w:val="22"/>
          <w:szCs w:val="22"/>
          <w:lang w:val="en-GB"/>
        </w:rPr>
        <w:t xml:space="preserve">Roger </w:t>
      </w:r>
      <w:r w:rsidRPr="00924973" w:rsidR="008D7C65">
        <w:rPr>
          <w:rFonts w:ascii="Arial" w:hAnsi="Arial" w:cs="Arial"/>
          <w:sz w:val="22"/>
          <w:szCs w:val="22"/>
          <w:lang w:val="en-GB"/>
        </w:rPr>
        <w:t xml:space="preserve">Jolly </w:t>
      </w:r>
      <w:r w:rsidRPr="00924973">
        <w:rPr>
          <w:rFonts w:ascii="Arial" w:hAnsi="Arial" w:cs="Arial"/>
          <w:sz w:val="22"/>
          <w:szCs w:val="22"/>
          <w:lang w:val="en-GB"/>
        </w:rPr>
        <w:t xml:space="preserve">take </w:t>
      </w:r>
      <w:r w:rsidRPr="00924973" w:rsidR="007D11EE">
        <w:rPr>
          <w:rFonts w:ascii="Arial" w:hAnsi="Arial" w:cs="Arial"/>
          <w:sz w:val="22"/>
          <w:szCs w:val="22"/>
          <w:lang w:val="en-GB"/>
        </w:rPr>
        <w:t>to protect its interests</w:t>
      </w:r>
      <w:r w:rsidRPr="00924973">
        <w:rPr>
          <w:rFonts w:ascii="Arial" w:hAnsi="Arial" w:cs="Arial"/>
          <w:sz w:val="22"/>
          <w:szCs w:val="22"/>
          <w:lang w:val="en-GB"/>
        </w:rPr>
        <w:t>?</w:t>
      </w:r>
      <w:r w:rsidR="007F2419">
        <w:rPr>
          <w:rFonts w:ascii="Arial" w:hAnsi="Arial" w:cs="Arial"/>
          <w:sz w:val="22"/>
          <w:szCs w:val="22"/>
          <w:lang w:val="en-GB"/>
        </w:rPr>
        <w:t xml:space="preserve"> </w:t>
      </w:r>
    </w:p>
    <w:p w:rsidRPr="0057432D" w:rsidR="0057432D" w:rsidP="0057432D" w:rsidRDefault="0057432D" w14:paraId="7CEA6CFD" w14:textId="77777777">
      <w:pPr>
        <w:pStyle w:val="ListParagraph"/>
        <w:rPr>
          <w:rFonts w:ascii="Arial" w:hAnsi="Arial" w:cs="Arial"/>
          <w:sz w:val="22"/>
          <w:szCs w:val="22"/>
          <w:lang w:val="en-GB"/>
        </w:rPr>
      </w:pPr>
    </w:p>
    <w:p w:rsidRPr="00844BD7" w:rsidR="00952187" w:rsidP="00924973" w:rsidRDefault="00586696" w14:paraId="5C96F779" w14:textId="152411E7">
      <w:pPr>
        <w:ind w:left="426"/>
        <w:jc w:val="both"/>
        <w:rPr>
          <w:rFonts w:ascii="Arial" w:hAnsi="Arial" w:cs="Arial"/>
          <w:sz w:val="22"/>
          <w:szCs w:val="22"/>
          <w:lang w:val="en-GB"/>
        </w:rPr>
      </w:pPr>
      <w:r w:rsidRPr="00844BD7">
        <w:rPr>
          <w:rFonts w:ascii="Arial" w:hAnsi="Arial" w:cs="Arial"/>
          <w:sz w:val="22"/>
          <w:szCs w:val="22"/>
          <w:lang w:val="en-GB"/>
        </w:rPr>
        <w:t xml:space="preserve">Roger Jolly </w:t>
      </w:r>
      <w:r w:rsidRPr="00844BD7" w:rsidR="00472FCE">
        <w:rPr>
          <w:rFonts w:ascii="Arial" w:hAnsi="Arial" w:cs="Arial"/>
          <w:sz w:val="22"/>
          <w:szCs w:val="22"/>
          <w:lang w:val="en-GB"/>
        </w:rPr>
        <w:t>can seek</w:t>
      </w:r>
      <w:r w:rsidRPr="00844BD7">
        <w:rPr>
          <w:rFonts w:ascii="Arial" w:hAnsi="Arial" w:cs="Arial"/>
          <w:sz w:val="22"/>
          <w:szCs w:val="22"/>
          <w:lang w:val="en-GB"/>
        </w:rPr>
        <w:t xml:space="preserve"> to enforce the arbitral award ordered by the ICC tribunal</w:t>
      </w:r>
      <w:r w:rsidRPr="00844BD7" w:rsidR="00472FCE">
        <w:rPr>
          <w:rFonts w:ascii="Arial" w:hAnsi="Arial" w:cs="Arial"/>
          <w:sz w:val="22"/>
          <w:szCs w:val="22"/>
          <w:lang w:val="en-GB"/>
        </w:rPr>
        <w:t xml:space="preserve"> by filing an action under common law for the recognition of the award on the following grounds: </w:t>
      </w:r>
    </w:p>
    <w:p w:rsidRPr="00844BD7" w:rsidR="00472FCE" w:rsidP="00924973" w:rsidRDefault="00472FCE" w14:paraId="23CF8D15" w14:textId="6C642103">
      <w:pPr>
        <w:ind w:left="426"/>
        <w:jc w:val="both"/>
        <w:rPr>
          <w:rFonts w:ascii="Arial" w:hAnsi="Arial" w:cs="Arial"/>
          <w:sz w:val="22"/>
          <w:szCs w:val="22"/>
          <w:lang w:val="en-GB"/>
        </w:rPr>
      </w:pPr>
    </w:p>
    <w:p w:rsidRPr="00844BD7" w:rsidR="00472FCE" w:rsidP="00472FCE" w:rsidRDefault="00472FCE" w14:paraId="5E466AEC" w14:textId="25E29109">
      <w:pPr>
        <w:pStyle w:val="ListParagraph"/>
        <w:numPr>
          <w:ilvl w:val="0"/>
          <w:numId w:val="45"/>
        </w:numPr>
        <w:jc w:val="both"/>
        <w:rPr>
          <w:rFonts w:ascii="Arial" w:hAnsi="Arial" w:cs="Arial"/>
          <w:sz w:val="22"/>
          <w:szCs w:val="22"/>
          <w:lang w:val="en-GB"/>
        </w:rPr>
      </w:pPr>
      <w:r w:rsidRPr="00844BD7">
        <w:rPr>
          <w:rFonts w:ascii="Arial" w:hAnsi="Arial" w:cs="Arial"/>
          <w:sz w:val="22"/>
          <w:szCs w:val="22"/>
          <w:lang w:val="en-GB"/>
        </w:rPr>
        <w:t xml:space="preserve">The arbitral award is final; </w:t>
      </w:r>
    </w:p>
    <w:p w:rsidRPr="00844BD7" w:rsidR="00472FCE" w:rsidP="00472FCE" w:rsidRDefault="00472FCE" w14:paraId="2DECE84E" w14:textId="7B7D3B4E">
      <w:pPr>
        <w:pStyle w:val="ListParagraph"/>
        <w:numPr>
          <w:ilvl w:val="0"/>
          <w:numId w:val="45"/>
        </w:numPr>
        <w:jc w:val="both"/>
        <w:rPr>
          <w:rFonts w:ascii="Arial" w:hAnsi="Arial" w:cs="Arial"/>
          <w:sz w:val="22"/>
          <w:szCs w:val="22"/>
          <w:lang w:val="en-GB"/>
        </w:rPr>
      </w:pPr>
      <w:r w:rsidRPr="00844BD7">
        <w:rPr>
          <w:rFonts w:ascii="Arial" w:hAnsi="Arial" w:cs="Arial"/>
          <w:sz w:val="22"/>
          <w:szCs w:val="22"/>
          <w:lang w:val="en-GB"/>
        </w:rPr>
        <w:t>The tribunal has jurisdiction over S &amp; C by virtue of the arbitration clause in the contract;</w:t>
      </w:r>
    </w:p>
    <w:p w:rsidRPr="00844BD7" w:rsidR="00472FCE" w:rsidP="00472FCE" w:rsidRDefault="00472FCE" w14:paraId="40A511EC" w14:textId="67E2BE26">
      <w:pPr>
        <w:pStyle w:val="ListParagraph"/>
        <w:numPr>
          <w:ilvl w:val="0"/>
          <w:numId w:val="45"/>
        </w:numPr>
        <w:jc w:val="both"/>
        <w:rPr>
          <w:rFonts w:ascii="Arial" w:hAnsi="Arial" w:cs="Arial"/>
          <w:sz w:val="22"/>
          <w:szCs w:val="22"/>
          <w:lang w:val="en-GB"/>
        </w:rPr>
      </w:pPr>
      <w:r w:rsidRPr="00844BD7">
        <w:rPr>
          <w:rFonts w:ascii="Arial" w:hAnsi="Arial" w:cs="Arial"/>
          <w:sz w:val="22"/>
          <w:szCs w:val="22"/>
          <w:lang w:val="en-GB"/>
        </w:rPr>
        <w:t xml:space="preserve">The arbitral award was not obtained by fraud and is not contrary to public policy in the Cayman Islands; and </w:t>
      </w:r>
    </w:p>
    <w:p w:rsidRPr="00844BD7" w:rsidR="00472FCE" w:rsidP="00472FCE" w:rsidRDefault="00472FCE" w14:paraId="00A59ED6" w14:textId="3333D626">
      <w:pPr>
        <w:pStyle w:val="ListParagraph"/>
        <w:numPr>
          <w:ilvl w:val="0"/>
          <w:numId w:val="45"/>
        </w:numPr>
        <w:jc w:val="both"/>
        <w:rPr>
          <w:rFonts w:ascii="Arial" w:hAnsi="Arial" w:cs="Arial"/>
          <w:sz w:val="22"/>
          <w:szCs w:val="22"/>
          <w:lang w:val="en-GB"/>
        </w:rPr>
      </w:pPr>
      <w:r w:rsidRPr="00844BD7">
        <w:rPr>
          <w:rFonts w:ascii="Arial" w:hAnsi="Arial" w:cs="Arial"/>
          <w:sz w:val="22"/>
          <w:szCs w:val="22"/>
          <w:lang w:val="en-GB"/>
        </w:rPr>
        <w:t xml:space="preserve">The foreign judgment was not obtained </w:t>
      </w:r>
      <w:r w:rsidRPr="00844BD7" w:rsidR="0059192A">
        <w:rPr>
          <w:rFonts w:ascii="Arial" w:hAnsi="Arial" w:cs="Arial"/>
          <w:sz w:val="22"/>
          <w:szCs w:val="22"/>
          <w:lang w:val="en-GB"/>
        </w:rPr>
        <w:t xml:space="preserve">contrary to the rules of natural justice. </w:t>
      </w:r>
    </w:p>
    <w:p w:rsidRPr="00844BD7" w:rsidR="0059192A" w:rsidP="0059192A" w:rsidRDefault="0059192A" w14:paraId="66AB4C7D" w14:textId="3EBDA303">
      <w:pPr>
        <w:jc w:val="both"/>
        <w:rPr>
          <w:rFonts w:ascii="Arial" w:hAnsi="Arial" w:cs="Arial"/>
          <w:sz w:val="22"/>
          <w:szCs w:val="22"/>
          <w:lang w:val="en-GB"/>
        </w:rPr>
      </w:pPr>
    </w:p>
    <w:p w:rsidRPr="0059192A" w:rsidR="0059192A" w:rsidP="42F3AA8A" w:rsidRDefault="0059192A" w14:paraId="7AEE56FB" w14:textId="5CB00003">
      <w:pPr>
        <w:pStyle w:val="Normal"/>
        <w:jc w:val="both"/>
        <w:rPr>
          <w:rFonts w:ascii="Calibri" w:hAnsi="Calibri" w:eastAsia="Times New Roman" w:cs=""/>
          <w:noProof w:val="0"/>
          <w:sz w:val="20"/>
          <w:szCs w:val="20"/>
          <w:lang w:val="en-GB"/>
        </w:rPr>
      </w:pPr>
      <w:r w:rsidRPr="42F3AA8A" w:rsidR="42F3AA8A">
        <w:rPr>
          <w:rFonts w:ascii="Arial" w:hAnsi="Arial" w:cs="Arial"/>
          <w:sz w:val="22"/>
          <w:szCs w:val="22"/>
          <w:lang w:val="en-GB"/>
        </w:rPr>
        <w:t>Once the judgment order is obtained Roger can pursue the</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domestic enforcement remedies available under the Grand Court Rules.</w:t>
      </w:r>
    </w:p>
    <w:p w:rsidRPr="0059192A" w:rsidR="0059192A" w:rsidP="42F3AA8A" w:rsidRDefault="0059192A" w14:paraId="2622D723" w14:textId="14225990">
      <w:pPr>
        <w:pStyle w:val="Normal"/>
        <w:jc w:val="both"/>
        <w:rPr>
          <w:rFonts w:ascii="Calibri" w:hAnsi="Calibri" w:eastAsia="Times New Roman" w:cs=""/>
          <w:b w:val="0"/>
          <w:bCs w:val="0"/>
          <w:i w:val="0"/>
          <w:iCs w:val="0"/>
          <w:caps w:val="0"/>
          <w:smallCaps w:val="0"/>
          <w:noProof w:val="0"/>
          <w:color w:val="000000" w:themeColor="text1" w:themeTint="FF" w:themeShade="FF"/>
          <w:sz w:val="20"/>
          <w:szCs w:val="20"/>
          <w:lang w:val="en-GB"/>
        </w:rPr>
      </w:pPr>
    </w:p>
    <w:p w:rsidRPr="0059192A" w:rsidR="0059192A" w:rsidP="42F3AA8A" w:rsidRDefault="0059192A" w14:paraId="343F14C9" w14:textId="53F647CF">
      <w:pPr>
        <w:pStyle w:val="Normal"/>
        <w:jc w:val="both"/>
        <w:rPr>
          <w:rFonts w:ascii="Arial" w:hAnsi="Arial" w:eastAsia="Arial" w:cs="Arial"/>
          <w:noProof w:val="0"/>
          <w:sz w:val="20"/>
          <w:szCs w:val="20"/>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Roger can also make an application </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pursuant to</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section 93 of the Companies Act to wind up S &amp;C on the basis that it is unable to pay its debts. </w:t>
      </w:r>
    </w:p>
    <w:p w:rsidR="42F3AA8A" w:rsidP="42F3AA8A" w:rsidRDefault="42F3AA8A" w14:paraId="7D915B00" w14:textId="6BFFEBF9">
      <w:pPr>
        <w:pStyle w:val="Normal"/>
        <w:jc w:val="both"/>
        <w:rPr>
          <w:rFonts w:ascii="Calibri" w:hAnsi="Calibri" w:eastAsia="Times New Roman" w:cs=""/>
          <w:b w:val="0"/>
          <w:bCs w:val="0"/>
          <w:i w:val="0"/>
          <w:iCs w:val="0"/>
          <w:caps w:val="0"/>
          <w:smallCaps w:val="0"/>
          <w:noProof w:val="0"/>
          <w:color w:val="000000" w:themeColor="text1" w:themeTint="FF" w:themeShade="FF"/>
          <w:sz w:val="20"/>
          <w:szCs w:val="20"/>
          <w:lang w:val="en-GB"/>
        </w:rPr>
      </w:pPr>
    </w:p>
    <w:p w:rsidR="0057432D" w:rsidP="00924973" w:rsidRDefault="002A2C21" w14:paraId="5B0FA2D0"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Pr="00924973" w:rsidR="00FE08A2">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Pr="00924973" w:rsidR="00FE08A2">
        <w:rPr>
          <w:rFonts w:ascii="Arial" w:hAnsi="Arial" w:cs="Arial"/>
          <w:sz w:val="22"/>
          <w:szCs w:val="22"/>
          <w:lang w:val="en-GB"/>
        </w:rPr>
        <w:t>S</w:t>
      </w:r>
      <w:r w:rsidR="00924973">
        <w:rPr>
          <w:rFonts w:ascii="Arial" w:hAnsi="Arial" w:cs="Arial"/>
          <w:sz w:val="22"/>
          <w:szCs w:val="22"/>
          <w:lang w:val="en-GB"/>
        </w:rPr>
        <w:t xml:space="preserve"> </w:t>
      </w:r>
      <w:r w:rsidRPr="00924973" w:rsidR="00FE08A2">
        <w:rPr>
          <w:rFonts w:ascii="Arial" w:hAnsi="Arial" w:cs="Arial"/>
          <w:sz w:val="22"/>
          <w:szCs w:val="22"/>
          <w:lang w:val="en-GB"/>
        </w:rPr>
        <w:t>&amp;</w:t>
      </w:r>
      <w:r w:rsidR="00924973">
        <w:rPr>
          <w:rFonts w:ascii="Arial" w:hAnsi="Arial" w:cs="Arial"/>
          <w:sz w:val="22"/>
          <w:szCs w:val="22"/>
          <w:lang w:val="en-GB"/>
        </w:rPr>
        <w:t xml:space="preserve"> </w:t>
      </w:r>
      <w:r w:rsidRPr="00924973" w:rsidR="00FE08A2">
        <w:rPr>
          <w:rFonts w:ascii="Arial" w:hAnsi="Arial" w:cs="Arial"/>
          <w:sz w:val="22"/>
          <w:szCs w:val="22"/>
          <w:lang w:val="en-GB"/>
        </w:rPr>
        <w:t>C</w:t>
      </w:r>
      <w:r w:rsidRPr="00924973">
        <w:rPr>
          <w:rFonts w:ascii="Arial" w:hAnsi="Arial" w:cs="Arial"/>
          <w:sz w:val="22"/>
          <w:szCs w:val="22"/>
          <w:lang w:val="en-GB"/>
        </w:rPr>
        <w:t>?</w:t>
      </w:r>
      <w:r w:rsidR="00545AE0">
        <w:rPr>
          <w:rFonts w:ascii="Arial" w:hAnsi="Arial" w:cs="Arial"/>
          <w:sz w:val="22"/>
          <w:szCs w:val="22"/>
          <w:lang w:val="en-GB"/>
        </w:rPr>
        <w:t xml:space="preserve"> </w:t>
      </w:r>
    </w:p>
    <w:p w:rsidRPr="0057432D" w:rsidR="0057432D" w:rsidP="42F3AA8A" w:rsidRDefault="0057432D" w14:paraId="01E5FDE7" w14:textId="77777777" w14:noSpellErr="1">
      <w:pPr>
        <w:pStyle w:val="ListParagraph"/>
        <w:rPr>
          <w:rFonts w:ascii="Arial" w:hAnsi="Arial" w:eastAsia="Arial" w:cs="Arial"/>
          <w:sz w:val="22"/>
          <w:szCs w:val="22"/>
          <w:lang w:val="en-GB"/>
        </w:rPr>
      </w:pPr>
    </w:p>
    <w:p w:rsidRPr="00924973" w:rsidR="002A2C21" w:rsidP="42F3AA8A" w:rsidRDefault="0057432D" w14:paraId="786BD95B" w14:textId="5FAB9DB5">
      <w:pPr>
        <w:pStyle w:val="ListParagraph"/>
        <w:ind w:left="426"/>
        <w:jc w:val="both"/>
        <w:rPr>
          <w:rFonts w:ascii="Arial" w:hAnsi="Arial" w:eastAsia="Arial" w:cs="Arial"/>
          <w:noProof w:val="0"/>
          <w:sz w:val="22"/>
          <w:szCs w:val="22"/>
          <w:lang w:val="en-GB"/>
        </w:rPr>
      </w:pPr>
      <w:r w:rsidRPr="42F3AA8A" w:rsidR="42F3AA8A">
        <w:rPr>
          <w:rFonts w:ascii="Arial" w:hAnsi="Arial" w:eastAsia="Arial" w:cs="Arial"/>
          <w:sz w:val="22"/>
          <w:szCs w:val="22"/>
          <w:lang w:val="en-GB"/>
        </w:rPr>
        <w:t xml:space="preserve">The unpaid employees can file winding up petition to </w:t>
      </w:r>
      <w:r w:rsidRPr="42F3AA8A" w:rsidR="42F3AA8A">
        <w:rPr>
          <w:rFonts w:ascii="Arial" w:hAnsi="Arial" w:eastAsia="Arial" w:cs="Arial"/>
          <w:sz w:val="22"/>
          <w:szCs w:val="22"/>
          <w:lang w:val="en-GB"/>
        </w:rPr>
        <w:t>commence</w:t>
      </w:r>
      <w:r w:rsidRPr="42F3AA8A" w:rsidR="42F3AA8A">
        <w:rPr>
          <w:rFonts w:ascii="Arial" w:hAnsi="Arial" w:eastAsia="Arial" w:cs="Arial"/>
          <w:sz w:val="22"/>
          <w:szCs w:val="22"/>
          <w:lang w:val="en-GB"/>
        </w:rPr>
        <w:t xml:space="preserve"> insolvency proceedings against S &amp; C. Alternately, of winding up proceedings have been </w:t>
      </w:r>
      <w:r w:rsidRPr="42F3AA8A" w:rsidR="42F3AA8A">
        <w:rPr>
          <w:rFonts w:ascii="Arial" w:hAnsi="Arial" w:eastAsia="Arial" w:cs="Arial"/>
          <w:sz w:val="22"/>
          <w:szCs w:val="22"/>
          <w:lang w:val="en-GB"/>
        </w:rPr>
        <w:t>commenced</w:t>
      </w:r>
      <w:r w:rsidRPr="42F3AA8A" w:rsidR="42F3AA8A">
        <w:rPr>
          <w:rFonts w:ascii="Arial" w:hAnsi="Arial" w:eastAsia="Arial" w:cs="Arial"/>
          <w:sz w:val="22"/>
          <w:szCs w:val="22"/>
          <w:lang w:val="en-GB"/>
        </w:rPr>
        <w:t xml:space="preserve"> they can claim</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in the liquidation as their salaries will be considered a preferential debt.</w:t>
      </w:r>
    </w:p>
    <w:p w:rsidRPr="00952187" w:rsidR="00952187" w:rsidP="00924973" w:rsidRDefault="00952187" w14:paraId="2D2F4E09" w14:textId="77777777">
      <w:pPr>
        <w:ind w:left="426"/>
        <w:jc w:val="both"/>
        <w:rPr>
          <w:rFonts w:ascii="Arial" w:hAnsi="Arial" w:cs="Arial"/>
          <w:sz w:val="22"/>
          <w:szCs w:val="22"/>
          <w:lang w:val="en-GB"/>
        </w:rPr>
      </w:pPr>
    </w:p>
    <w:p w:rsidR="0057432D" w:rsidP="00924973" w:rsidRDefault="00F730FA" w14:paraId="45B5E6D7"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Pr="00924973" w:rsidR="00FE08A2">
        <w:rPr>
          <w:rFonts w:ascii="Arial" w:hAnsi="Arial" w:cs="Arial"/>
          <w:sz w:val="22"/>
          <w:szCs w:val="22"/>
          <w:lang w:val="en-GB"/>
        </w:rPr>
        <w:t>S</w:t>
      </w:r>
      <w:r w:rsidR="00924973">
        <w:rPr>
          <w:rFonts w:ascii="Arial" w:hAnsi="Arial" w:cs="Arial"/>
          <w:sz w:val="22"/>
          <w:szCs w:val="22"/>
          <w:lang w:val="en-GB"/>
        </w:rPr>
        <w:t xml:space="preserve"> </w:t>
      </w:r>
      <w:r w:rsidRPr="00924973" w:rsidR="00FE08A2">
        <w:rPr>
          <w:rFonts w:ascii="Arial" w:hAnsi="Arial" w:cs="Arial"/>
          <w:sz w:val="22"/>
          <w:szCs w:val="22"/>
          <w:lang w:val="en-GB"/>
        </w:rPr>
        <w:t>&amp;</w:t>
      </w:r>
      <w:r w:rsidR="00924973">
        <w:rPr>
          <w:rFonts w:ascii="Arial" w:hAnsi="Arial" w:cs="Arial"/>
          <w:sz w:val="22"/>
          <w:szCs w:val="22"/>
          <w:lang w:val="en-GB"/>
        </w:rPr>
        <w:t xml:space="preserve"> </w:t>
      </w:r>
      <w:r w:rsidRPr="00924973" w:rsidR="00FE08A2">
        <w:rPr>
          <w:rFonts w:ascii="Arial" w:hAnsi="Arial" w:cs="Arial"/>
          <w:sz w:val="22"/>
          <w:szCs w:val="22"/>
          <w:lang w:val="en-GB"/>
        </w:rPr>
        <w:t>C</w:t>
      </w:r>
      <w:r w:rsidRPr="00924973">
        <w:rPr>
          <w:rFonts w:ascii="Arial" w:hAnsi="Arial" w:cs="Arial"/>
          <w:sz w:val="22"/>
          <w:szCs w:val="22"/>
          <w:lang w:val="en-GB"/>
        </w:rPr>
        <w:t>?</w:t>
      </w:r>
      <w:r w:rsidR="0037583F">
        <w:rPr>
          <w:rFonts w:ascii="Arial" w:hAnsi="Arial" w:cs="Arial"/>
          <w:sz w:val="22"/>
          <w:szCs w:val="22"/>
          <w:lang w:val="en-GB"/>
        </w:rPr>
        <w:t xml:space="preserve"> </w:t>
      </w:r>
    </w:p>
    <w:p w:rsidRPr="0057432D" w:rsidR="0057432D" w:rsidP="0057432D" w:rsidRDefault="0057432D" w14:paraId="6E65ADE1" w14:textId="77777777">
      <w:pPr>
        <w:pStyle w:val="ListParagraph"/>
        <w:rPr>
          <w:rFonts w:ascii="Arial" w:hAnsi="Arial" w:cs="Arial"/>
          <w:sz w:val="22"/>
          <w:szCs w:val="22"/>
          <w:lang w:val="en-GB"/>
        </w:rPr>
      </w:pPr>
    </w:p>
    <w:p w:rsidRPr="00924973" w:rsidR="00F730FA" w:rsidP="0057432D" w:rsidRDefault="0037583F" w14:paraId="50895D5F" w14:textId="267A462A">
      <w:pPr>
        <w:pStyle w:val="ListParagraph"/>
        <w:ind w:left="426"/>
        <w:jc w:val="both"/>
        <w:rPr>
          <w:rFonts w:ascii="Arial" w:hAnsi="Arial" w:cs="Arial"/>
          <w:sz w:val="22"/>
          <w:szCs w:val="22"/>
          <w:lang w:val="en-GB"/>
        </w:rPr>
      </w:pPr>
      <w:r w:rsidRPr="00844BD7">
        <w:rPr>
          <w:rFonts w:ascii="Arial" w:hAnsi="Arial" w:cs="Arial"/>
          <w:sz w:val="22"/>
          <w:szCs w:val="22"/>
          <w:lang w:val="en-GB"/>
        </w:rPr>
        <w:lastRenderedPageBreak/>
        <w:t>Yes, the Grand Court has jurisdiction to make (winding up) orders in respect of companies which are incorporated or registered in the Cayman Islands</w:t>
      </w:r>
      <w:r w:rsidRPr="00844BD7" w:rsidR="00472FCE">
        <w:rPr>
          <w:rFonts w:ascii="Arial" w:hAnsi="Arial" w:cs="Arial"/>
          <w:sz w:val="22"/>
          <w:szCs w:val="22"/>
          <w:lang w:val="en-GB"/>
        </w:rPr>
        <w:t xml:space="preserve"> and S &amp; C is registered in the Cayman Islands</w:t>
      </w:r>
      <w:r w:rsidRPr="00844BD7" w:rsidR="009664AB">
        <w:rPr>
          <w:rFonts w:ascii="Arial" w:hAnsi="Arial" w:cs="Arial"/>
          <w:sz w:val="22"/>
          <w:szCs w:val="22"/>
          <w:lang w:val="en-GB"/>
        </w:rPr>
        <w:t>.</w:t>
      </w:r>
    </w:p>
    <w:p w:rsidRPr="00952187" w:rsidR="00952187" w:rsidP="00924973" w:rsidRDefault="00952187" w14:paraId="43E439C8" w14:textId="77777777">
      <w:pPr>
        <w:ind w:left="426"/>
        <w:jc w:val="both"/>
        <w:rPr>
          <w:rFonts w:ascii="Arial" w:hAnsi="Arial" w:cs="Arial"/>
          <w:sz w:val="22"/>
          <w:szCs w:val="22"/>
          <w:lang w:val="en-GB"/>
        </w:rPr>
      </w:pPr>
    </w:p>
    <w:p w:rsidR="0057432D" w:rsidP="00924973" w:rsidRDefault="002A2C21" w14:paraId="51E6A500"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Pr="00924973" w:rsidR="00FE08A2">
        <w:rPr>
          <w:rFonts w:ascii="Arial" w:hAnsi="Arial" w:cs="Arial"/>
          <w:sz w:val="22"/>
          <w:szCs w:val="22"/>
          <w:lang w:val="en-GB"/>
        </w:rPr>
        <w:t>S</w:t>
      </w:r>
      <w:r w:rsidR="00924973">
        <w:rPr>
          <w:rFonts w:ascii="Arial" w:hAnsi="Arial" w:cs="Arial"/>
          <w:sz w:val="22"/>
          <w:szCs w:val="22"/>
          <w:lang w:val="en-GB"/>
        </w:rPr>
        <w:t xml:space="preserve"> </w:t>
      </w:r>
      <w:r w:rsidRPr="00924973" w:rsidR="00FE08A2">
        <w:rPr>
          <w:rFonts w:ascii="Arial" w:hAnsi="Arial" w:cs="Arial"/>
          <w:sz w:val="22"/>
          <w:szCs w:val="22"/>
          <w:lang w:val="en-GB"/>
        </w:rPr>
        <w:t>&amp;</w:t>
      </w:r>
      <w:r w:rsidR="00924973">
        <w:rPr>
          <w:rFonts w:ascii="Arial" w:hAnsi="Arial" w:cs="Arial"/>
          <w:sz w:val="22"/>
          <w:szCs w:val="22"/>
          <w:lang w:val="en-GB"/>
        </w:rPr>
        <w:t xml:space="preserve"> </w:t>
      </w:r>
      <w:r w:rsidRPr="00924973" w:rsidR="00FE08A2">
        <w:rPr>
          <w:rFonts w:ascii="Arial" w:hAnsi="Arial" w:cs="Arial"/>
          <w:sz w:val="22"/>
          <w:szCs w:val="22"/>
          <w:lang w:val="en-GB"/>
        </w:rPr>
        <w:t>C</w:t>
      </w:r>
      <w:r w:rsidRPr="00924973">
        <w:rPr>
          <w:rFonts w:ascii="Arial" w:hAnsi="Arial" w:cs="Arial"/>
          <w:sz w:val="22"/>
          <w:szCs w:val="22"/>
          <w:lang w:val="en-GB"/>
        </w:rPr>
        <w:t xml:space="preserve"> can</w:t>
      </w:r>
      <w:r w:rsidRPr="00924973" w:rsidR="00EA6EC9">
        <w:rPr>
          <w:rFonts w:ascii="Arial" w:hAnsi="Arial" w:cs="Arial"/>
          <w:sz w:val="22"/>
          <w:szCs w:val="22"/>
          <w:lang w:val="en-GB"/>
        </w:rPr>
        <w:t xml:space="preserve"> </w:t>
      </w:r>
      <w:r w:rsidRPr="00924973" w:rsidR="00F730FA">
        <w:rPr>
          <w:rFonts w:ascii="Arial" w:hAnsi="Arial" w:cs="Arial"/>
          <w:sz w:val="22"/>
          <w:szCs w:val="22"/>
          <w:lang w:val="en-GB"/>
        </w:rPr>
        <w:t xml:space="preserve">protect </w:t>
      </w:r>
      <w:r w:rsidRPr="00924973" w:rsidR="00C41A0C">
        <w:rPr>
          <w:rFonts w:ascii="Arial" w:hAnsi="Arial" w:cs="Arial"/>
          <w:sz w:val="22"/>
          <w:szCs w:val="22"/>
          <w:lang w:val="en-GB"/>
        </w:rPr>
        <w:t xml:space="preserve">itself </w:t>
      </w:r>
      <w:r w:rsidRPr="00924973" w:rsidR="00F730FA">
        <w:rPr>
          <w:rFonts w:ascii="Arial" w:hAnsi="Arial" w:cs="Arial"/>
          <w:sz w:val="22"/>
          <w:szCs w:val="22"/>
          <w:lang w:val="en-GB"/>
        </w:rPr>
        <w:t xml:space="preserve">and </w:t>
      </w:r>
      <w:r w:rsidRPr="00924973">
        <w:rPr>
          <w:rFonts w:ascii="Arial" w:hAnsi="Arial" w:cs="Arial"/>
          <w:sz w:val="22"/>
          <w:szCs w:val="22"/>
          <w:lang w:val="en-GB"/>
        </w:rPr>
        <w:t xml:space="preserve">seek to </w:t>
      </w:r>
      <w:r w:rsidRPr="00924973" w:rsidR="007808EB">
        <w:rPr>
          <w:rFonts w:ascii="Arial" w:hAnsi="Arial" w:cs="Arial"/>
          <w:sz w:val="22"/>
          <w:szCs w:val="22"/>
          <w:lang w:val="en-GB"/>
        </w:rPr>
        <w:t>restructure</w:t>
      </w:r>
      <w:r w:rsidRPr="00924973" w:rsidR="00F730FA">
        <w:rPr>
          <w:rFonts w:ascii="Arial" w:hAnsi="Arial" w:cs="Arial"/>
          <w:sz w:val="22"/>
          <w:szCs w:val="22"/>
          <w:lang w:val="en-GB"/>
        </w:rPr>
        <w:t>?</w:t>
      </w:r>
    </w:p>
    <w:p w:rsidRPr="0057432D" w:rsidR="0057432D" w:rsidP="0057432D" w:rsidRDefault="0057432D" w14:paraId="1854D8DA" w14:textId="77777777">
      <w:pPr>
        <w:pStyle w:val="ListParagraph"/>
        <w:rPr>
          <w:rFonts w:ascii="Arial" w:hAnsi="Arial" w:cs="Arial"/>
          <w:sz w:val="22"/>
          <w:szCs w:val="22"/>
          <w:lang w:val="en-GB"/>
        </w:rPr>
      </w:pPr>
    </w:p>
    <w:p w:rsidR="42F3AA8A" w:rsidP="42F3AA8A" w:rsidRDefault="42F3AA8A" w14:paraId="4EBF30DB" w14:textId="5D99C336">
      <w:pPr>
        <w:pStyle w:val="ListParagraph"/>
        <w:ind w:left="426"/>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cs="Arial"/>
          <w:sz w:val="22"/>
          <w:szCs w:val="22"/>
          <w:lang w:val="en-GB"/>
        </w:rPr>
        <w:t xml:space="preserve">The legal route S &amp; C can take to protect itself from creditor enforcement </w:t>
      </w:r>
      <w:r w:rsidRPr="42F3AA8A" w:rsidR="42F3AA8A">
        <w:rPr>
          <w:rFonts w:ascii="Arial" w:hAnsi="Arial" w:cs="Arial"/>
          <w:sz w:val="22"/>
          <w:szCs w:val="22"/>
          <w:lang w:val="en-GB"/>
        </w:rPr>
        <w:t>in order to</w:t>
      </w:r>
      <w:r w:rsidRPr="42F3AA8A" w:rsidR="42F3AA8A">
        <w:rPr>
          <w:rFonts w:ascii="Arial" w:hAnsi="Arial" w:cs="Arial"/>
          <w:sz w:val="22"/>
          <w:szCs w:val="22"/>
          <w:lang w:val="en-GB"/>
        </w:rPr>
        <w:t xml:space="preserve"> negotiate a scheme of arrangement, is to obtain a moratorium against any proceedings continuing or being </w:t>
      </w:r>
      <w:r w:rsidRPr="42F3AA8A" w:rsidR="42F3AA8A">
        <w:rPr>
          <w:rFonts w:ascii="Arial" w:hAnsi="Arial" w:cs="Arial"/>
          <w:sz w:val="22"/>
          <w:szCs w:val="22"/>
          <w:lang w:val="en-GB"/>
        </w:rPr>
        <w:t>commenced</w:t>
      </w:r>
      <w:r w:rsidRPr="42F3AA8A" w:rsidR="42F3AA8A">
        <w:rPr>
          <w:rFonts w:ascii="Arial" w:hAnsi="Arial" w:cs="Arial"/>
          <w:sz w:val="22"/>
          <w:szCs w:val="22"/>
          <w:lang w:val="en-GB"/>
        </w:rPr>
        <w:t xml:space="preserve"> against a company by putting the S &amp; C into provisional liquidation </w:t>
      </w:r>
      <w:r w:rsidRPr="42F3AA8A" w:rsidR="42F3AA8A">
        <w:rPr>
          <w:rFonts w:ascii="Arial" w:hAnsi="Arial" w:cs="Arial"/>
          <w:sz w:val="22"/>
          <w:szCs w:val="22"/>
          <w:lang w:val="en-GB"/>
        </w:rPr>
        <w:t>pursuant to</w:t>
      </w:r>
      <w:r w:rsidRPr="42F3AA8A" w:rsidR="42F3AA8A">
        <w:rPr>
          <w:rFonts w:ascii="Arial" w:hAnsi="Arial" w:cs="Arial"/>
          <w:sz w:val="22"/>
          <w:szCs w:val="22"/>
          <w:lang w:val="en-GB"/>
        </w:rPr>
        <w:t xml:space="preserve"> Section 104(3) of the Companies Act. S &amp; C should file an application for the appointment of provisional liquidators and explain to the court the purpose of the application which is to allow for the negotiation and promotion of a compromise or arrangement with its creditors or members. This application must be supported by why the directors believe that the company’s affairs can be turned around by the scheme. This application can be made on an </w:t>
      </w:r>
      <w:r w:rsidRPr="42F3AA8A" w:rsidR="42F3AA8A">
        <w:rPr>
          <w:rFonts w:ascii="Arial" w:hAnsi="Arial" w:cs="Arial"/>
          <w:i w:val="1"/>
          <w:iCs w:val="1"/>
          <w:sz w:val="22"/>
          <w:szCs w:val="22"/>
          <w:lang w:val="en-GB"/>
        </w:rPr>
        <w:t xml:space="preserve">ex </w:t>
      </w:r>
      <w:proofErr w:type="spellStart"/>
      <w:r w:rsidRPr="42F3AA8A" w:rsidR="42F3AA8A">
        <w:rPr>
          <w:rFonts w:ascii="Arial" w:hAnsi="Arial" w:cs="Arial"/>
          <w:i w:val="1"/>
          <w:iCs w:val="1"/>
          <w:sz w:val="22"/>
          <w:szCs w:val="22"/>
          <w:lang w:val="en-GB"/>
        </w:rPr>
        <w:t>parte</w:t>
      </w:r>
      <w:proofErr w:type="spellEnd"/>
      <w:r w:rsidRPr="42F3AA8A" w:rsidR="42F3AA8A">
        <w:rPr>
          <w:rFonts w:ascii="Arial" w:hAnsi="Arial" w:cs="Arial"/>
          <w:sz w:val="22"/>
          <w:szCs w:val="22"/>
          <w:lang w:val="en-GB"/>
        </w:rPr>
        <w:t xml:space="preserve"> basis on the ground that the S &amp; C is unable to pay its debts as they fall due and that it intends to present a compromise of arrangements. </w:t>
      </w:r>
    </w:p>
    <w:p w:rsidR="42F3AA8A" w:rsidP="42F3AA8A" w:rsidRDefault="42F3AA8A" w14:paraId="200E34C9" w14:textId="24CCD73D">
      <w:pPr>
        <w:pStyle w:val="ListParagraph"/>
        <w:ind w:left="426"/>
        <w:jc w:val="both"/>
        <w:rPr>
          <w:rFonts w:ascii="Arial" w:hAnsi="Arial" w:eastAsia="Arial" w:cs="Arial"/>
          <w:sz w:val="22"/>
          <w:szCs w:val="22"/>
          <w:lang w:val="en-GB"/>
        </w:rPr>
      </w:pPr>
    </w:p>
    <w:p w:rsidR="42F3AA8A" w:rsidP="42F3AA8A" w:rsidRDefault="42F3AA8A" w14:paraId="6F6BA638" w14:textId="080594BA">
      <w:pPr>
        <w:pStyle w:val="ListParagraph"/>
        <w:ind w:left="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sz w:val="22"/>
          <w:szCs w:val="22"/>
          <w:lang w:val="en-GB"/>
        </w:rPr>
        <w:t xml:space="preserve">Once this has been obtained S &amp; C can </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enter into</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a scheme of arrangement with its </w:t>
      </w:r>
      <w:r>
        <w:tab/>
      </w:r>
    </w:p>
    <w:p w:rsidR="42F3AA8A" w:rsidP="42F3AA8A" w:rsidRDefault="42F3AA8A" w14:paraId="383A61D2" w14:textId="3457CC6C">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creditors. It will then need to file application to the Grand Court for the calling of a </w:t>
      </w:r>
    </w:p>
    <w:p w:rsidR="42F3AA8A" w:rsidP="42F3AA8A" w:rsidRDefault="42F3AA8A" w14:paraId="39A04B51" w14:textId="4E0D0158">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meeting of the creditors for the purpose of approving the scheme. At the meeting of the </w:t>
      </w:r>
    </w:p>
    <w:p w:rsidR="42F3AA8A" w:rsidP="42F3AA8A" w:rsidRDefault="42F3AA8A" w14:paraId="4C24249B" w14:textId="619B344F">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creditors, S &amp; C will need to pass a majority which should be over 50% in number</w:t>
      </w:r>
    </w:p>
    <w:p w:rsidR="42F3AA8A" w:rsidP="42F3AA8A" w:rsidRDefault="42F3AA8A" w14:paraId="07113429" w14:textId="63689A2A">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re</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presenting</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 a</w:t>
      </w: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t least 75% in value of the creditors (or class of creditors) present and </w:t>
      </w:r>
    </w:p>
    <w:p w:rsidR="42F3AA8A" w:rsidP="42F3AA8A" w:rsidRDefault="42F3AA8A" w14:paraId="6C6EA8C5" w14:textId="64E40533">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voting either in person or by proxy at the meeting who must agree to the arrangement. </w:t>
      </w:r>
    </w:p>
    <w:p w:rsidR="42F3AA8A" w:rsidP="42F3AA8A" w:rsidRDefault="42F3AA8A" w14:paraId="14280270" w14:textId="43E951DA">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42F3AA8A" w:rsidP="42F3AA8A" w:rsidRDefault="42F3AA8A" w14:paraId="1682CD63" w14:textId="7BD2D462">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 xml:space="preserve">Once S &amp; C secures a majority, it will need to apply to the court for sanction of the </w:t>
      </w:r>
    </w:p>
    <w:p w:rsidR="42F3AA8A" w:rsidP="42F3AA8A" w:rsidRDefault="42F3AA8A" w14:paraId="407BC71B" w14:textId="5C202E31">
      <w:pPr>
        <w:pStyle w:val="Normal"/>
        <w:ind w:firstLine="426"/>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2F3AA8A" w:rsidR="42F3AA8A">
        <w:rPr>
          <w:rFonts w:ascii="Arial" w:hAnsi="Arial" w:eastAsia="Arial" w:cs="Arial"/>
          <w:b w:val="0"/>
          <w:bCs w:val="0"/>
          <w:i w:val="0"/>
          <w:iCs w:val="0"/>
          <w:caps w:val="0"/>
          <w:smallCaps w:val="0"/>
          <w:noProof w:val="0"/>
          <w:color w:val="000000" w:themeColor="text1" w:themeTint="FF" w:themeShade="FF"/>
          <w:sz w:val="22"/>
          <w:szCs w:val="22"/>
          <w:lang w:val="en-GB"/>
        </w:rPr>
        <w:t>scheme.</w:t>
      </w:r>
    </w:p>
    <w:p w:rsidR="42F3AA8A" w:rsidP="42F3AA8A" w:rsidRDefault="42F3AA8A" w14:paraId="261CD1CC" w14:textId="246CB6A3">
      <w:pPr>
        <w:pStyle w:val="ListParagraph"/>
        <w:ind w:left="426"/>
        <w:jc w:val="both"/>
        <w:rPr>
          <w:rFonts w:ascii="Calibri" w:hAnsi="Calibri" w:eastAsia="Times New Roman" w:cs=""/>
          <w:sz w:val="20"/>
          <w:szCs w:val="20"/>
          <w:lang w:val="en-GB"/>
        </w:rPr>
      </w:pPr>
    </w:p>
    <w:p w:rsidRPr="00952187" w:rsidR="00952187" w:rsidP="00924973" w:rsidRDefault="00952187" w14:paraId="5E9F761E" w14:textId="77777777">
      <w:pPr>
        <w:ind w:left="426"/>
        <w:jc w:val="both"/>
        <w:rPr>
          <w:rFonts w:ascii="Arial" w:hAnsi="Arial" w:cs="Arial"/>
          <w:sz w:val="22"/>
          <w:szCs w:val="22"/>
          <w:lang w:val="en-GB"/>
        </w:rPr>
      </w:pPr>
    </w:p>
    <w:p w:rsidR="0057432D" w:rsidP="00924973" w:rsidRDefault="00C41A0C" w14:paraId="32707AAA"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Pr="00924973" w:rsidR="00F730FA">
        <w:rPr>
          <w:rFonts w:ascii="Arial" w:hAnsi="Arial" w:cs="Arial"/>
          <w:sz w:val="22"/>
          <w:szCs w:val="22"/>
          <w:lang w:val="en-GB"/>
        </w:rPr>
        <w:t xml:space="preserve">an the </w:t>
      </w:r>
      <w:r w:rsidRPr="00924973" w:rsidR="00FE08A2">
        <w:rPr>
          <w:rFonts w:ascii="Arial" w:hAnsi="Arial" w:cs="Arial"/>
          <w:sz w:val="22"/>
          <w:szCs w:val="22"/>
          <w:lang w:val="en-GB"/>
        </w:rPr>
        <w:t>Rackham</w:t>
      </w:r>
      <w:r w:rsidRPr="00924973">
        <w:rPr>
          <w:rFonts w:ascii="Arial" w:hAnsi="Arial" w:cs="Arial"/>
          <w:sz w:val="22"/>
          <w:szCs w:val="22"/>
          <w:lang w:val="en-GB"/>
        </w:rPr>
        <w:t xml:space="preserve"> </w:t>
      </w:r>
      <w:r w:rsidRPr="00924973" w:rsidR="00F730FA">
        <w:rPr>
          <w:rFonts w:ascii="Arial" w:hAnsi="Arial" w:cs="Arial"/>
          <w:sz w:val="22"/>
          <w:szCs w:val="22"/>
          <w:lang w:val="en-GB"/>
        </w:rPr>
        <w:t xml:space="preserve">family continue </w:t>
      </w:r>
      <w:r w:rsidRPr="00924973" w:rsidR="00FE08A2">
        <w:rPr>
          <w:rFonts w:ascii="Arial" w:hAnsi="Arial" w:cs="Arial"/>
          <w:sz w:val="22"/>
          <w:szCs w:val="22"/>
          <w:lang w:val="en-GB"/>
        </w:rPr>
        <w:t>play a part in</w:t>
      </w:r>
      <w:r w:rsidRPr="00924973" w:rsidR="00F730FA">
        <w:rPr>
          <w:rFonts w:ascii="Arial" w:hAnsi="Arial" w:cs="Arial"/>
          <w:sz w:val="22"/>
          <w:szCs w:val="22"/>
          <w:lang w:val="en-GB"/>
        </w:rPr>
        <w:t xml:space="preserve"> run</w:t>
      </w:r>
      <w:r w:rsidRPr="00924973" w:rsidR="00FE08A2">
        <w:rPr>
          <w:rFonts w:ascii="Arial" w:hAnsi="Arial" w:cs="Arial"/>
          <w:sz w:val="22"/>
          <w:szCs w:val="22"/>
          <w:lang w:val="en-GB"/>
        </w:rPr>
        <w:t>ning</w:t>
      </w:r>
      <w:r w:rsidRPr="00924973" w:rsidR="00F730FA">
        <w:rPr>
          <w:rFonts w:ascii="Arial" w:hAnsi="Arial" w:cs="Arial"/>
          <w:sz w:val="22"/>
          <w:szCs w:val="22"/>
          <w:lang w:val="en-GB"/>
        </w:rPr>
        <w:t xml:space="preserve"> </w:t>
      </w:r>
      <w:r w:rsidRPr="00924973" w:rsidR="00FE08A2">
        <w:rPr>
          <w:rFonts w:ascii="Arial" w:hAnsi="Arial" w:cs="Arial"/>
          <w:sz w:val="22"/>
          <w:szCs w:val="22"/>
          <w:lang w:val="en-GB"/>
        </w:rPr>
        <w:t>S</w:t>
      </w:r>
      <w:r w:rsidR="00924973">
        <w:rPr>
          <w:rFonts w:ascii="Arial" w:hAnsi="Arial" w:cs="Arial"/>
          <w:sz w:val="22"/>
          <w:szCs w:val="22"/>
          <w:lang w:val="en-GB"/>
        </w:rPr>
        <w:t xml:space="preserve"> </w:t>
      </w:r>
      <w:r w:rsidRPr="00924973" w:rsidR="00FE08A2">
        <w:rPr>
          <w:rFonts w:ascii="Arial" w:hAnsi="Arial" w:cs="Arial"/>
          <w:sz w:val="22"/>
          <w:szCs w:val="22"/>
          <w:lang w:val="en-GB"/>
        </w:rPr>
        <w:t>&amp;</w:t>
      </w:r>
      <w:r w:rsidR="00924973">
        <w:rPr>
          <w:rFonts w:ascii="Arial" w:hAnsi="Arial" w:cs="Arial"/>
          <w:sz w:val="22"/>
          <w:szCs w:val="22"/>
          <w:lang w:val="en-GB"/>
        </w:rPr>
        <w:t xml:space="preserve"> </w:t>
      </w:r>
      <w:r w:rsidRPr="00924973" w:rsidR="00FE08A2">
        <w:rPr>
          <w:rFonts w:ascii="Arial" w:hAnsi="Arial" w:cs="Arial"/>
          <w:sz w:val="22"/>
          <w:szCs w:val="22"/>
          <w:lang w:val="en-GB"/>
        </w:rPr>
        <w:t>C</w:t>
      </w:r>
      <w:r w:rsidRPr="00924973" w:rsidR="00F730FA">
        <w:rPr>
          <w:rFonts w:ascii="Arial" w:hAnsi="Arial" w:cs="Arial"/>
          <w:sz w:val="22"/>
          <w:szCs w:val="22"/>
          <w:lang w:val="en-GB"/>
        </w:rPr>
        <w:t xml:space="preserve"> during </w:t>
      </w:r>
      <w:r w:rsidRPr="00924973" w:rsidR="00FE08A2">
        <w:rPr>
          <w:rFonts w:ascii="Arial" w:hAnsi="Arial" w:cs="Arial"/>
          <w:sz w:val="22"/>
          <w:szCs w:val="22"/>
          <w:lang w:val="en-GB"/>
        </w:rPr>
        <w:t xml:space="preserve">any restructuring </w:t>
      </w:r>
      <w:r w:rsidRPr="00924973" w:rsidR="00F730FA">
        <w:rPr>
          <w:rFonts w:ascii="Arial" w:hAnsi="Arial" w:cs="Arial"/>
          <w:sz w:val="22"/>
          <w:szCs w:val="22"/>
          <w:lang w:val="en-GB"/>
        </w:rPr>
        <w:t>process?</w:t>
      </w:r>
    </w:p>
    <w:p w:rsidR="0057432D" w:rsidP="0057432D" w:rsidRDefault="0057432D" w14:paraId="52B9A0B5" w14:textId="77777777">
      <w:pPr>
        <w:pStyle w:val="ListParagraph"/>
        <w:ind w:left="426"/>
        <w:jc w:val="both"/>
        <w:rPr>
          <w:rFonts w:ascii="Arial" w:hAnsi="Arial" w:cs="Arial"/>
          <w:sz w:val="22"/>
          <w:szCs w:val="22"/>
          <w:lang w:val="en-GB"/>
        </w:rPr>
      </w:pPr>
    </w:p>
    <w:p w:rsidR="00927C9D" w:rsidP="0057432D" w:rsidRDefault="004D3F0C" w14:paraId="20A1D69F" w14:textId="63415787">
      <w:pPr>
        <w:pStyle w:val="ListParagraph"/>
        <w:ind w:left="426"/>
        <w:jc w:val="both"/>
        <w:rPr>
          <w:rFonts w:ascii="Arial" w:hAnsi="Arial" w:cs="Arial"/>
          <w:sz w:val="22"/>
          <w:szCs w:val="22"/>
          <w:lang w:val="en-GB"/>
        </w:rPr>
      </w:pPr>
      <w:r w:rsidRPr="00844BD7">
        <w:rPr>
          <w:rFonts w:ascii="Arial" w:hAnsi="Arial" w:cs="Arial"/>
          <w:sz w:val="22"/>
          <w:szCs w:val="22"/>
          <w:lang w:val="en-GB"/>
        </w:rPr>
        <w:t>Upon the appointment of provisional liquidators, the Court will determine which powers will remain with the directors</w:t>
      </w:r>
      <w:r w:rsidRPr="00844BD7" w:rsidR="008C3D6D">
        <w:rPr>
          <w:rFonts w:ascii="Arial" w:hAnsi="Arial" w:cs="Arial"/>
          <w:sz w:val="22"/>
          <w:szCs w:val="22"/>
          <w:lang w:val="en-GB"/>
        </w:rPr>
        <w:t>, if any</w:t>
      </w:r>
      <w:r w:rsidRPr="00844BD7">
        <w:rPr>
          <w:rFonts w:ascii="Arial" w:hAnsi="Arial" w:cs="Arial"/>
          <w:sz w:val="22"/>
          <w:szCs w:val="22"/>
          <w:lang w:val="en-GB"/>
        </w:rPr>
        <w:t xml:space="preserve"> and which </w:t>
      </w:r>
      <w:r w:rsidRPr="00844BD7" w:rsidR="008C3D6D">
        <w:rPr>
          <w:rFonts w:ascii="Arial" w:hAnsi="Arial" w:cs="Arial"/>
          <w:sz w:val="22"/>
          <w:szCs w:val="22"/>
          <w:lang w:val="en-GB"/>
        </w:rPr>
        <w:t xml:space="preserve">powers </w:t>
      </w:r>
      <w:r w:rsidRPr="00844BD7">
        <w:rPr>
          <w:rFonts w:ascii="Arial" w:hAnsi="Arial" w:cs="Arial"/>
          <w:sz w:val="22"/>
          <w:szCs w:val="22"/>
          <w:lang w:val="en-GB"/>
        </w:rPr>
        <w:t>will be vested in the provisional liquidators</w:t>
      </w:r>
      <w:r w:rsidRPr="00844BD7" w:rsidR="008C3D6D">
        <w:rPr>
          <w:rFonts w:ascii="Arial" w:hAnsi="Arial" w:cs="Arial"/>
          <w:sz w:val="22"/>
          <w:szCs w:val="22"/>
          <w:lang w:val="en-GB"/>
        </w:rPr>
        <w:t>. Therefore, the Rackham family role in the restructuring process in the management of S &amp; C in the restructuring process will be determined by the Court.</w:t>
      </w:r>
    </w:p>
    <w:p w:rsidRPr="004D3F0C" w:rsidR="004D3F0C" w:rsidP="004D3F0C" w:rsidRDefault="004D3F0C" w14:paraId="5112E273" w14:textId="77777777">
      <w:pPr>
        <w:jc w:val="both"/>
        <w:rPr>
          <w:rFonts w:ascii="Arial" w:hAnsi="Arial" w:cs="Arial"/>
          <w:sz w:val="22"/>
          <w:szCs w:val="22"/>
          <w:lang w:val="en-GB"/>
        </w:rPr>
      </w:pPr>
    </w:p>
    <w:p w:rsidRPr="00952187" w:rsidR="00952187" w:rsidP="00924973" w:rsidRDefault="00952187" w14:paraId="7ADDA549" w14:textId="77777777">
      <w:pPr>
        <w:ind w:left="426"/>
        <w:jc w:val="both"/>
        <w:rPr>
          <w:rFonts w:ascii="Arial" w:hAnsi="Arial" w:cs="Arial"/>
          <w:sz w:val="22"/>
          <w:szCs w:val="22"/>
          <w:lang w:val="en-GB"/>
        </w:rPr>
      </w:pPr>
    </w:p>
    <w:p w:rsidR="009664AB" w:rsidP="001302F0" w:rsidRDefault="002A2C21" w14:paraId="1A30AEA6" w14:textId="77777777">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Pr="00924973" w:rsidR="00BC3A55">
        <w:rPr>
          <w:rFonts w:ascii="Arial" w:hAnsi="Arial" w:cs="Arial"/>
          <w:sz w:val="22"/>
          <w:szCs w:val="22"/>
          <w:lang w:val="en-GB"/>
        </w:rPr>
        <w:t xml:space="preserve">hat factors </w:t>
      </w:r>
      <w:r w:rsidRPr="00924973">
        <w:rPr>
          <w:rFonts w:ascii="Arial" w:hAnsi="Arial" w:cs="Arial"/>
          <w:sz w:val="22"/>
          <w:szCs w:val="22"/>
          <w:lang w:val="en-GB"/>
        </w:rPr>
        <w:t xml:space="preserve">will </w:t>
      </w:r>
      <w:r w:rsidRPr="00924973" w:rsidR="00BC3A55">
        <w:rPr>
          <w:rFonts w:ascii="Arial" w:hAnsi="Arial" w:cs="Arial"/>
          <w:sz w:val="22"/>
          <w:szCs w:val="22"/>
          <w:lang w:val="en-GB"/>
        </w:rPr>
        <w:t xml:space="preserve">the </w:t>
      </w:r>
      <w:r w:rsidRPr="00924973">
        <w:rPr>
          <w:rFonts w:ascii="Arial" w:hAnsi="Arial" w:cs="Arial"/>
          <w:sz w:val="22"/>
          <w:szCs w:val="22"/>
          <w:lang w:val="en-GB"/>
        </w:rPr>
        <w:t xml:space="preserve">Cayman Islands </w:t>
      </w:r>
      <w:r w:rsidRPr="00924973" w:rsidR="00BC3A55">
        <w:rPr>
          <w:rFonts w:ascii="Arial" w:hAnsi="Arial" w:cs="Arial"/>
          <w:sz w:val="22"/>
          <w:szCs w:val="22"/>
          <w:lang w:val="en-GB"/>
        </w:rPr>
        <w:t xml:space="preserve">court take into consideration before approving </w:t>
      </w:r>
      <w:r w:rsidRPr="00924973" w:rsidR="00927C9D">
        <w:rPr>
          <w:rFonts w:ascii="Arial" w:hAnsi="Arial" w:cs="Arial"/>
          <w:sz w:val="22"/>
          <w:szCs w:val="22"/>
          <w:lang w:val="en-GB"/>
        </w:rPr>
        <w:t>any</w:t>
      </w:r>
      <w:r w:rsidRPr="00924973" w:rsidR="00BC3A55">
        <w:rPr>
          <w:rFonts w:ascii="Arial" w:hAnsi="Arial" w:cs="Arial"/>
          <w:sz w:val="22"/>
          <w:szCs w:val="22"/>
          <w:lang w:val="en-GB"/>
        </w:rPr>
        <w:t xml:space="preserve"> </w:t>
      </w:r>
      <w:r w:rsidRPr="00924973" w:rsidR="00333CA0">
        <w:rPr>
          <w:rFonts w:ascii="Arial" w:hAnsi="Arial" w:cs="Arial"/>
          <w:sz w:val="22"/>
          <w:szCs w:val="22"/>
          <w:lang w:val="en-GB"/>
        </w:rPr>
        <w:t xml:space="preserve">proposed </w:t>
      </w:r>
      <w:r w:rsidRPr="00924973" w:rsidR="00BC3A55">
        <w:rPr>
          <w:rFonts w:ascii="Arial" w:hAnsi="Arial" w:cs="Arial"/>
          <w:sz w:val="22"/>
          <w:szCs w:val="22"/>
          <w:lang w:val="en-GB"/>
        </w:rPr>
        <w:t>restructuring</w:t>
      </w:r>
      <w:r w:rsidRPr="00924973" w:rsidR="00F730FA">
        <w:rPr>
          <w:rFonts w:ascii="Arial" w:hAnsi="Arial" w:cs="Arial"/>
          <w:sz w:val="22"/>
          <w:szCs w:val="22"/>
          <w:lang w:val="en-GB"/>
        </w:rPr>
        <w:t>?</w:t>
      </w:r>
    </w:p>
    <w:p w:rsidR="009664AB" w:rsidP="009664AB" w:rsidRDefault="009664AB" w14:paraId="62795F7A" w14:textId="77777777">
      <w:pPr>
        <w:pStyle w:val="ListParagraph"/>
        <w:ind w:left="426"/>
        <w:jc w:val="both"/>
        <w:rPr>
          <w:rFonts w:ascii="Arial" w:hAnsi="Arial" w:cs="Arial"/>
          <w:sz w:val="22"/>
          <w:szCs w:val="22"/>
          <w:lang w:val="en-GB"/>
        </w:rPr>
      </w:pPr>
    </w:p>
    <w:p w:rsidRPr="001302F0" w:rsidR="001302F0" w:rsidP="009664AB" w:rsidRDefault="00017D92" w14:paraId="77CC0434" w14:textId="6550AE73">
      <w:pPr>
        <w:pStyle w:val="ListParagraph"/>
        <w:ind w:left="426"/>
        <w:jc w:val="both"/>
        <w:rPr>
          <w:rFonts w:ascii="Arial" w:hAnsi="Arial" w:cs="Arial"/>
          <w:sz w:val="22"/>
          <w:szCs w:val="22"/>
          <w:lang w:val="en-GB"/>
        </w:rPr>
      </w:pPr>
      <w:r w:rsidRPr="00844BD7">
        <w:rPr>
          <w:rFonts w:ascii="Arial" w:hAnsi="Arial" w:cs="Arial"/>
          <w:sz w:val="22"/>
          <w:szCs w:val="22"/>
          <w:lang w:val="en-GB"/>
        </w:rPr>
        <w:t>Before the Court sanctions a scheme of arrangement, t</w:t>
      </w:r>
      <w:r w:rsidRPr="00844BD7" w:rsidR="001302F0">
        <w:rPr>
          <w:rFonts w:ascii="Arial" w:hAnsi="Arial" w:cs="Arial"/>
          <w:sz w:val="22"/>
          <w:szCs w:val="22"/>
          <w:lang w:val="en-GB"/>
        </w:rPr>
        <w:t xml:space="preserve">he Court will consider whether there has been compliance with its orders such as the orders in relation to the convening of meetings etc. The Court will also consider whether the majority </w:t>
      </w:r>
      <w:r w:rsidRPr="00844BD7">
        <w:rPr>
          <w:rFonts w:ascii="Arial" w:hAnsi="Arial" w:cs="Arial"/>
          <w:sz w:val="22"/>
          <w:szCs w:val="22"/>
          <w:lang w:val="en-GB"/>
        </w:rPr>
        <w:t>fairly represent the class of creditors approving the scheme and whether the arrangement is such that an intelligent, honest member of the class convened, acting in his own interest might reasonably approve it.</w:t>
      </w:r>
      <w:r>
        <w:rPr>
          <w:rFonts w:ascii="Arial" w:hAnsi="Arial" w:cs="Arial"/>
          <w:sz w:val="22"/>
          <w:szCs w:val="22"/>
          <w:lang w:val="en-GB"/>
        </w:rPr>
        <w:t xml:space="preserve"> </w:t>
      </w:r>
    </w:p>
    <w:bookmarkEnd w:id="3"/>
    <w:p w:rsidRPr="00AB0E3A" w:rsidR="00952187" w:rsidP="00952187" w:rsidRDefault="001302F0" w14:paraId="51911D9F" w14:textId="51719E2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rsidR="009D20B1" w:rsidP="00087F21" w:rsidRDefault="009D20B1" w14:paraId="154681F0" w14:textId="3933A239">
      <w:pPr>
        <w:jc w:val="both"/>
        <w:rPr>
          <w:rFonts w:ascii="Arial" w:hAnsi="Arial" w:cs="Arial"/>
          <w:color w:val="000000" w:themeColor="text1"/>
          <w:sz w:val="22"/>
          <w:szCs w:val="22"/>
          <w:lang w:val="en-GB"/>
        </w:rPr>
      </w:pPr>
    </w:p>
    <w:p w:rsidR="007B22CF" w:rsidP="00087F21" w:rsidRDefault="007B22CF" w14:paraId="0CE34777" w14:textId="472A3554">
      <w:pPr>
        <w:jc w:val="both"/>
        <w:rPr>
          <w:rFonts w:ascii="Arial" w:hAnsi="Arial" w:cs="Arial"/>
          <w:color w:val="000000" w:themeColor="text1"/>
          <w:sz w:val="22"/>
          <w:szCs w:val="22"/>
          <w:lang w:val="en-GB"/>
        </w:rPr>
      </w:pPr>
    </w:p>
    <w:p w:rsidR="00952187" w:rsidP="00087F21" w:rsidRDefault="00952187" w14:paraId="394CA5D1" w14:textId="4C8215A5">
      <w:pPr>
        <w:jc w:val="both"/>
        <w:rPr>
          <w:rFonts w:ascii="Arial" w:hAnsi="Arial" w:cs="Arial"/>
          <w:color w:val="000000" w:themeColor="text1"/>
          <w:sz w:val="22"/>
          <w:szCs w:val="22"/>
          <w:lang w:val="en-GB"/>
        </w:rPr>
      </w:pPr>
    </w:p>
    <w:p w:rsidR="00952187" w:rsidP="00087F21" w:rsidRDefault="00952187" w14:paraId="35854929" w14:textId="55548B27">
      <w:pPr>
        <w:jc w:val="both"/>
        <w:rPr>
          <w:rFonts w:ascii="Arial" w:hAnsi="Arial" w:cs="Arial"/>
          <w:color w:val="000000" w:themeColor="text1"/>
          <w:sz w:val="22"/>
          <w:szCs w:val="22"/>
          <w:lang w:val="en-GB"/>
        </w:rPr>
      </w:pPr>
    </w:p>
    <w:p w:rsidRPr="002A37BB" w:rsidR="00952187" w:rsidP="00087F21" w:rsidRDefault="00952187" w14:paraId="276B282B" w14:textId="77777777">
      <w:pPr>
        <w:jc w:val="both"/>
        <w:rPr>
          <w:rFonts w:ascii="Arial" w:hAnsi="Arial" w:cs="Arial"/>
          <w:color w:val="000000" w:themeColor="text1"/>
          <w:sz w:val="22"/>
          <w:szCs w:val="22"/>
          <w:lang w:val="en-GB"/>
        </w:rPr>
      </w:pPr>
    </w:p>
    <w:p w:rsidRPr="004E3A6B" w:rsidR="00B77F46" w:rsidP="004E3A6B" w:rsidRDefault="00C606C3" w14:paraId="181826D4" w14:textId="77777777">
      <w:pPr>
        <w:jc w:val="center"/>
        <w:rPr>
          <w:rFonts w:ascii="Arial" w:hAnsi="Arial" w:cs="Arial"/>
          <w:b/>
          <w:bCs/>
          <w:sz w:val="22"/>
          <w:szCs w:val="22"/>
          <w:lang w:val="en-GB"/>
        </w:rPr>
      </w:pPr>
      <w:r w:rsidRPr="00B77F46">
        <w:rPr>
          <w:rFonts w:ascii="Arial" w:hAnsi="Arial" w:cs="Arial"/>
          <w:b/>
          <w:bCs/>
          <w:sz w:val="22"/>
          <w:szCs w:val="22"/>
          <w:lang w:val="en-GB"/>
        </w:rPr>
        <w:t>*</w:t>
      </w:r>
      <w:r w:rsidRPr="00B77F46" w:rsidR="001E25B9">
        <w:rPr>
          <w:rFonts w:ascii="Arial" w:hAnsi="Arial" w:cs="Arial"/>
          <w:b/>
          <w:bCs/>
          <w:sz w:val="22"/>
          <w:szCs w:val="22"/>
          <w:lang w:val="en-GB"/>
        </w:rPr>
        <w:t xml:space="preserve"> </w:t>
      </w:r>
      <w:r w:rsidRPr="00B77F46" w:rsidR="0077498C">
        <w:rPr>
          <w:rFonts w:ascii="Arial" w:hAnsi="Arial" w:cs="Arial"/>
          <w:b/>
          <w:bCs/>
          <w:sz w:val="22"/>
          <w:szCs w:val="22"/>
          <w:lang w:val="en-GB"/>
        </w:rPr>
        <w:t>End of Assessment</w:t>
      </w:r>
      <w:r w:rsidRPr="00B77F46" w:rsidR="001E25B9">
        <w:rPr>
          <w:rFonts w:ascii="Arial" w:hAnsi="Arial" w:cs="Arial"/>
          <w:b/>
          <w:bCs/>
          <w:sz w:val="22"/>
          <w:szCs w:val="22"/>
          <w:lang w:val="en-GB"/>
        </w:rPr>
        <w:t xml:space="preserve"> </w:t>
      </w:r>
      <w:r w:rsidRPr="00B77F46">
        <w:rPr>
          <w:rFonts w:ascii="Arial" w:hAnsi="Arial" w:cs="Arial"/>
          <w:b/>
          <w:bCs/>
          <w:sz w:val="22"/>
          <w:szCs w:val="22"/>
          <w:lang w:val="en-GB"/>
        </w:rPr>
        <w:t>*</w:t>
      </w:r>
    </w:p>
    <w:sectPr w:rsidRPr="004E3A6B" w:rsidR="00B77F46" w:rsidSect="0073158B">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DF2" w:rsidP="00241B44" w:rsidRDefault="00EA6DF2" w14:paraId="1CBB7523" w14:textId="77777777">
      <w:r>
        <w:separator/>
      </w:r>
    </w:p>
  </w:endnote>
  <w:endnote w:type="continuationSeparator" w:id="0">
    <w:p w:rsidR="00EA6DF2" w:rsidP="00241B44" w:rsidRDefault="00EA6DF2" w14:paraId="5C3CD7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7B47" w:rsidR="00920BE7" w:rsidP="009B4976" w:rsidRDefault="00920BE7" w14:paraId="5BBCC268"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p w:rsidRPr="00FC7B47" w:rsidR="00920BE7" w:rsidP="00FC7B47" w:rsidRDefault="00920BE7" w14:paraId="737AF335" w14:textId="7777777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Pr="009B4976" w:rsidR="00920BE7" w:rsidP="001463D6" w:rsidRDefault="00920BE7" w14:paraId="4BA64FDE" w14:textId="77777777">
        <w:pPr>
          <w:pStyle w:val="Footer"/>
          <w:framePr w:wrap="none" w:hAnchor="margin" w:vAnchor="text"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rsidRPr="009B4976" w:rsidR="00920BE7" w:rsidP="009B4976" w:rsidRDefault="3F73BF2B" w14:paraId="4652DD67" w14:textId="3065EF20">
    <w:pPr>
      <w:pStyle w:val="Footer"/>
      <w:ind w:right="360"/>
      <w:rPr>
        <w:rFonts w:ascii="Arial" w:hAnsi="Arial" w:cs="Arial"/>
        <w:sz w:val="18"/>
        <w:szCs w:val="18"/>
        <w:lang w:val="en-GB"/>
      </w:rPr>
    </w:pPr>
    <w:r w:rsidRPr="3F73BF2B">
      <w:rPr>
        <w:rFonts w:ascii="Arial" w:hAnsi="Arial" w:cs="Arial"/>
        <w:sz w:val="18"/>
        <w:szCs w:val="18"/>
        <w:lang w:val="en-GB"/>
      </w:rPr>
      <w:t>202122-590.assessment5C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73BF2B" w:rsidTr="3F73BF2B" w14:paraId="5E4A249F" w14:textId="77777777">
      <w:tc>
        <w:tcPr>
          <w:tcW w:w="3005" w:type="dxa"/>
        </w:tcPr>
        <w:p w:rsidR="3F73BF2B" w:rsidP="3F73BF2B" w:rsidRDefault="3F73BF2B" w14:paraId="0D96EA81" w14:textId="4F798539">
          <w:pPr>
            <w:pStyle w:val="Header"/>
            <w:ind w:left="-115"/>
            <w:rPr>
              <w:rFonts w:ascii="Calibri" w:hAnsi="Calibri"/>
              <w:szCs w:val="20"/>
            </w:rPr>
          </w:pPr>
        </w:p>
      </w:tc>
      <w:tc>
        <w:tcPr>
          <w:tcW w:w="3005" w:type="dxa"/>
        </w:tcPr>
        <w:p w:rsidR="3F73BF2B" w:rsidP="3F73BF2B" w:rsidRDefault="3F73BF2B" w14:paraId="420914FF" w14:textId="33B82E07">
          <w:pPr>
            <w:pStyle w:val="Header"/>
            <w:jc w:val="center"/>
            <w:rPr>
              <w:rFonts w:ascii="Calibri" w:hAnsi="Calibri"/>
              <w:szCs w:val="20"/>
            </w:rPr>
          </w:pPr>
        </w:p>
      </w:tc>
      <w:tc>
        <w:tcPr>
          <w:tcW w:w="3005" w:type="dxa"/>
        </w:tcPr>
        <w:p w:rsidR="3F73BF2B" w:rsidP="3F73BF2B" w:rsidRDefault="3F73BF2B" w14:paraId="31F0E4FA" w14:textId="58477F2E">
          <w:pPr>
            <w:pStyle w:val="Header"/>
            <w:ind w:right="-115"/>
            <w:jc w:val="right"/>
            <w:rPr>
              <w:rFonts w:ascii="Calibri" w:hAnsi="Calibri"/>
              <w:szCs w:val="20"/>
            </w:rPr>
          </w:pPr>
        </w:p>
      </w:tc>
    </w:tr>
  </w:tbl>
  <w:p w:rsidR="3F73BF2B" w:rsidP="3F73BF2B" w:rsidRDefault="3F73BF2B" w14:paraId="77EDBDE1" w14:textId="51DE3FF2">
    <w:pPr>
      <w:pStyle w:val="Footer"/>
      <w:rPr>
        <w:rFonts w:ascii="Calibri" w:hAnsi="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DF2" w:rsidP="00241B44" w:rsidRDefault="00EA6DF2" w14:paraId="1E736B88" w14:textId="77777777">
      <w:r>
        <w:separator/>
      </w:r>
    </w:p>
  </w:footnote>
  <w:footnote w:type="continuationSeparator" w:id="0">
    <w:p w:rsidR="00EA6DF2" w:rsidP="00241B44" w:rsidRDefault="00EA6DF2" w14:paraId="54E55E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BD7" w:rsidRDefault="00844BD7" w14:paraId="039497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73BF2B" w:rsidTr="3F73BF2B" w14:paraId="37BEB625" w14:textId="77777777">
      <w:tc>
        <w:tcPr>
          <w:tcW w:w="3005" w:type="dxa"/>
        </w:tcPr>
        <w:p w:rsidR="3F73BF2B" w:rsidP="3F73BF2B" w:rsidRDefault="3F73BF2B" w14:paraId="7E265148" w14:textId="4C302A0B">
          <w:pPr>
            <w:pStyle w:val="Header"/>
            <w:ind w:left="-115"/>
            <w:rPr>
              <w:rFonts w:ascii="Calibri" w:hAnsi="Calibri"/>
              <w:szCs w:val="20"/>
            </w:rPr>
          </w:pPr>
        </w:p>
      </w:tc>
      <w:tc>
        <w:tcPr>
          <w:tcW w:w="3005" w:type="dxa"/>
        </w:tcPr>
        <w:p w:rsidR="3F73BF2B" w:rsidP="3F73BF2B" w:rsidRDefault="3F73BF2B" w14:paraId="4F443A61" w14:textId="5784E640">
          <w:pPr>
            <w:pStyle w:val="Header"/>
            <w:jc w:val="center"/>
            <w:rPr>
              <w:rFonts w:ascii="Calibri" w:hAnsi="Calibri"/>
              <w:szCs w:val="20"/>
            </w:rPr>
          </w:pPr>
        </w:p>
      </w:tc>
      <w:tc>
        <w:tcPr>
          <w:tcW w:w="3005" w:type="dxa"/>
        </w:tcPr>
        <w:p w:rsidR="3F73BF2B" w:rsidP="3F73BF2B" w:rsidRDefault="3F73BF2B" w14:paraId="3E663F30" w14:textId="41860E04">
          <w:pPr>
            <w:pStyle w:val="Header"/>
            <w:ind w:right="-115"/>
            <w:jc w:val="right"/>
            <w:rPr>
              <w:rFonts w:ascii="Calibri" w:hAnsi="Calibri"/>
              <w:szCs w:val="20"/>
            </w:rPr>
          </w:pPr>
        </w:p>
      </w:tc>
    </w:tr>
  </w:tbl>
  <w:p w:rsidR="3F73BF2B" w:rsidP="3F73BF2B" w:rsidRDefault="3F73BF2B" w14:paraId="37DCDEA5" w14:textId="3C78A55F">
    <w:pPr>
      <w:pStyle w:val="Header"/>
      <w:rPr>
        <w:rFonts w:ascii="Calibri" w:hAnsi="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73BF2B" w:rsidTr="3F73BF2B" w14:paraId="7771AFCF" w14:textId="77777777">
      <w:tc>
        <w:tcPr>
          <w:tcW w:w="3005" w:type="dxa"/>
        </w:tcPr>
        <w:p w:rsidR="3F73BF2B" w:rsidP="3F73BF2B" w:rsidRDefault="3F73BF2B" w14:paraId="32D228D3" w14:textId="21C8D8C9">
          <w:pPr>
            <w:pStyle w:val="Header"/>
            <w:ind w:left="-115"/>
            <w:rPr>
              <w:rFonts w:ascii="Calibri" w:hAnsi="Calibri"/>
              <w:szCs w:val="20"/>
            </w:rPr>
          </w:pPr>
        </w:p>
      </w:tc>
      <w:tc>
        <w:tcPr>
          <w:tcW w:w="3005" w:type="dxa"/>
        </w:tcPr>
        <w:p w:rsidR="3F73BF2B" w:rsidP="3F73BF2B" w:rsidRDefault="3F73BF2B" w14:paraId="21D67DFA" w14:textId="6631E676">
          <w:pPr>
            <w:pStyle w:val="Header"/>
            <w:jc w:val="center"/>
            <w:rPr>
              <w:rFonts w:ascii="Calibri" w:hAnsi="Calibri"/>
              <w:szCs w:val="20"/>
            </w:rPr>
          </w:pPr>
        </w:p>
      </w:tc>
      <w:tc>
        <w:tcPr>
          <w:tcW w:w="3005" w:type="dxa"/>
        </w:tcPr>
        <w:p w:rsidR="3F73BF2B" w:rsidP="3F73BF2B" w:rsidRDefault="3F73BF2B" w14:paraId="79CB98D5" w14:textId="0F71B908">
          <w:pPr>
            <w:pStyle w:val="Header"/>
            <w:ind w:right="-115"/>
            <w:jc w:val="right"/>
            <w:rPr>
              <w:rFonts w:ascii="Calibri" w:hAnsi="Calibri"/>
              <w:szCs w:val="20"/>
            </w:rPr>
          </w:pPr>
        </w:p>
      </w:tc>
    </w:tr>
  </w:tbl>
  <w:p w:rsidR="3F73BF2B" w:rsidP="3F73BF2B" w:rsidRDefault="3F73BF2B" w14:paraId="3EA0AABA" w14:textId="026987A4">
    <w:pPr>
      <w:pStyle w:val="Header"/>
      <w:rPr>
        <w:rFonts w:ascii="Calibri" w:hAnsi="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hint="default" w:ascii="Symbol" w:hAnsi="Symbol"/>
        <w:color w:val="44546A" w:themeColor="text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hint="default" w:ascii="Arial" w:hAnsi="Arial" w:eastAsia="Arial" w:cs="Arial"/>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hint="default" w:ascii="Arial" w:hAnsi="Arial" w:eastAsia="Arial" w:cs="Arial"/>
        <w:w w:val="100"/>
        <w:sz w:val="22"/>
        <w:szCs w:val="22"/>
      </w:rPr>
    </w:lvl>
    <w:lvl w:ilvl="1" w:tplc="BFACC70E">
      <w:start w:val="1"/>
      <w:numFmt w:val="lowerLetter"/>
      <w:lvlText w:val="(%2)"/>
      <w:lvlJc w:val="left"/>
      <w:pPr>
        <w:ind w:left="2160" w:hanging="360"/>
      </w:pPr>
      <w:rPr>
        <w:rFonts w:hint="default" w:ascii="Arial" w:hAnsi="Arial" w:eastAsia="Arial" w:cs="Arial"/>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hint="default" w:ascii="Symbol" w:hAnsi="Symbol"/>
        <w:color w:val="44546A" w:themeColor="text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hint="default" w:ascii="Symbol" w:hAnsi="Symbol"/>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C6173"/>
    <w:multiLevelType w:val="hybridMultilevel"/>
    <w:tmpl w:val="7AA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hint="default" w:ascii="Symbol" w:hAnsi="Symbol"/>
        <w:color w:val="44546A" w:themeColor="text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F87928"/>
    <w:multiLevelType w:val="hybridMultilevel"/>
    <w:tmpl w:val="6D72438A"/>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A412F"/>
    <w:multiLevelType w:val="hybridMultilevel"/>
    <w:tmpl w:val="70BC4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5A6794"/>
    <w:multiLevelType w:val="hybridMultilevel"/>
    <w:tmpl w:val="ECD2D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807505570">
    <w:abstractNumId w:val="43"/>
  </w:num>
  <w:num w:numId="2" w16cid:durableId="1788547228">
    <w:abstractNumId w:val="23"/>
  </w:num>
  <w:num w:numId="3" w16cid:durableId="2132431307">
    <w:abstractNumId w:val="19"/>
  </w:num>
  <w:num w:numId="4" w16cid:durableId="1101685668">
    <w:abstractNumId w:val="41"/>
  </w:num>
  <w:num w:numId="5" w16cid:durableId="782655955">
    <w:abstractNumId w:val="20"/>
  </w:num>
  <w:num w:numId="6" w16cid:durableId="784152288">
    <w:abstractNumId w:val="33"/>
  </w:num>
  <w:num w:numId="7" w16cid:durableId="1632860404">
    <w:abstractNumId w:val="42"/>
  </w:num>
  <w:num w:numId="8" w16cid:durableId="709957761">
    <w:abstractNumId w:val="36"/>
  </w:num>
  <w:num w:numId="9" w16cid:durableId="475875041">
    <w:abstractNumId w:val="17"/>
  </w:num>
  <w:num w:numId="10" w16cid:durableId="766386197">
    <w:abstractNumId w:val="10"/>
  </w:num>
  <w:num w:numId="11" w16cid:durableId="2057581767">
    <w:abstractNumId w:val="12"/>
  </w:num>
  <w:num w:numId="12" w16cid:durableId="289627205">
    <w:abstractNumId w:val="18"/>
  </w:num>
  <w:num w:numId="13" w16cid:durableId="1309898967">
    <w:abstractNumId w:val="26"/>
  </w:num>
  <w:num w:numId="14" w16cid:durableId="666247635">
    <w:abstractNumId w:val="3"/>
  </w:num>
  <w:num w:numId="15" w16cid:durableId="474957719">
    <w:abstractNumId w:val="13"/>
  </w:num>
  <w:num w:numId="16" w16cid:durableId="1613319959">
    <w:abstractNumId w:val="40"/>
  </w:num>
  <w:num w:numId="17" w16cid:durableId="802044894">
    <w:abstractNumId w:val="6"/>
  </w:num>
  <w:num w:numId="18" w16cid:durableId="2077163648">
    <w:abstractNumId w:val="8"/>
  </w:num>
  <w:num w:numId="19" w16cid:durableId="245265282">
    <w:abstractNumId w:val="29"/>
  </w:num>
  <w:num w:numId="20" w16cid:durableId="1906449479">
    <w:abstractNumId w:val="27"/>
  </w:num>
  <w:num w:numId="21" w16cid:durableId="1138884752">
    <w:abstractNumId w:val="2"/>
  </w:num>
  <w:num w:numId="22" w16cid:durableId="685864288">
    <w:abstractNumId w:val="11"/>
  </w:num>
  <w:num w:numId="23" w16cid:durableId="7025564">
    <w:abstractNumId w:val="44"/>
  </w:num>
  <w:num w:numId="24" w16cid:durableId="1411390339">
    <w:abstractNumId w:val="0"/>
  </w:num>
  <w:num w:numId="25" w16cid:durableId="2074505593">
    <w:abstractNumId w:val="34"/>
  </w:num>
  <w:num w:numId="26" w16cid:durableId="1244487813">
    <w:abstractNumId w:val="9"/>
  </w:num>
  <w:num w:numId="27" w16cid:durableId="1999454221">
    <w:abstractNumId w:val="15"/>
  </w:num>
  <w:num w:numId="28" w16cid:durableId="1857767084">
    <w:abstractNumId w:val="4"/>
  </w:num>
  <w:num w:numId="29" w16cid:durableId="944308377">
    <w:abstractNumId w:val="7"/>
  </w:num>
  <w:num w:numId="30" w16cid:durableId="1138113605">
    <w:abstractNumId w:val="21"/>
  </w:num>
  <w:num w:numId="31" w16cid:durableId="1503858426">
    <w:abstractNumId w:val="28"/>
  </w:num>
  <w:num w:numId="32" w16cid:durableId="1134560182">
    <w:abstractNumId w:val="24"/>
  </w:num>
  <w:num w:numId="33" w16cid:durableId="826093971">
    <w:abstractNumId w:val="30"/>
  </w:num>
  <w:num w:numId="34" w16cid:durableId="1072579033">
    <w:abstractNumId w:val="22"/>
  </w:num>
  <w:num w:numId="35" w16cid:durableId="1052459783">
    <w:abstractNumId w:val="16"/>
  </w:num>
  <w:num w:numId="36" w16cid:durableId="1323119845">
    <w:abstractNumId w:val="1"/>
  </w:num>
  <w:num w:numId="37" w16cid:durableId="932518268">
    <w:abstractNumId w:val="31"/>
  </w:num>
  <w:num w:numId="38" w16cid:durableId="1832137546">
    <w:abstractNumId w:val="25"/>
  </w:num>
  <w:num w:numId="39" w16cid:durableId="811752880">
    <w:abstractNumId w:val="39"/>
  </w:num>
  <w:num w:numId="40" w16cid:durableId="1869951466">
    <w:abstractNumId w:val="35"/>
  </w:num>
  <w:num w:numId="41" w16cid:durableId="1575050649">
    <w:abstractNumId w:val="5"/>
  </w:num>
  <w:num w:numId="42" w16cid:durableId="18284936">
    <w:abstractNumId w:val="37"/>
  </w:num>
  <w:num w:numId="43" w16cid:durableId="190847977">
    <w:abstractNumId w:val="38"/>
  </w:num>
  <w:num w:numId="44" w16cid:durableId="1190412532">
    <w:abstractNumId w:val="14"/>
  </w:num>
  <w:num w:numId="45" w16cid:durableId="323901590">
    <w:abstractNumId w:val="3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475"/>
    <w:rsid w:val="00017D92"/>
    <w:rsid w:val="00020557"/>
    <w:rsid w:val="00021FC2"/>
    <w:rsid w:val="00023705"/>
    <w:rsid w:val="000250C7"/>
    <w:rsid w:val="00026F16"/>
    <w:rsid w:val="00037621"/>
    <w:rsid w:val="00044D46"/>
    <w:rsid w:val="00045088"/>
    <w:rsid w:val="00045904"/>
    <w:rsid w:val="000502FD"/>
    <w:rsid w:val="000577D2"/>
    <w:rsid w:val="0006097E"/>
    <w:rsid w:val="00065166"/>
    <w:rsid w:val="000659CF"/>
    <w:rsid w:val="00082609"/>
    <w:rsid w:val="000851CC"/>
    <w:rsid w:val="00087F21"/>
    <w:rsid w:val="00090C6F"/>
    <w:rsid w:val="00093BE8"/>
    <w:rsid w:val="000A407B"/>
    <w:rsid w:val="000A68ED"/>
    <w:rsid w:val="000A7BE7"/>
    <w:rsid w:val="000B5FF1"/>
    <w:rsid w:val="000B609F"/>
    <w:rsid w:val="000C3F26"/>
    <w:rsid w:val="000D33BB"/>
    <w:rsid w:val="000D55A8"/>
    <w:rsid w:val="000E4841"/>
    <w:rsid w:val="000F1677"/>
    <w:rsid w:val="000F1B05"/>
    <w:rsid w:val="000F3D6C"/>
    <w:rsid w:val="000F6063"/>
    <w:rsid w:val="00100941"/>
    <w:rsid w:val="00101707"/>
    <w:rsid w:val="00102CC9"/>
    <w:rsid w:val="0010593A"/>
    <w:rsid w:val="001108F8"/>
    <w:rsid w:val="0011473D"/>
    <w:rsid w:val="00115C85"/>
    <w:rsid w:val="00123855"/>
    <w:rsid w:val="00126A4D"/>
    <w:rsid w:val="001302F0"/>
    <w:rsid w:val="0013551F"/>
    <w:rsid w:val="0014171F"/>
    <w:rsid w:val="00144885"/>
    <w:rsid w:val="0014622C"/>
    <w:rsid w:val="001463D6"/>
    <w:rsid w:val="00152348"/>
    <w:rsid w:val="0015456D"/>
    <w:rsid w:val="00155FA2"/>
    <w:rsid w:val="00161F1B"/>
    <w:rsid w:val="00162829"/>
    <w:rsid w:val="00163644"/>
    <w:rsid w:val="00180548"/>
    <w:rsid w:val="00180AC4"/>
    <w:rsid w:val="00180CCE"/>
    <w:rsid w:val="0018267A"/>
    <w:rsid w:val="00182779"/>
    <w:rsid w:val="00182B27"/>
    <w:rsid w:val="001830DF"/>
    <w:rsid w:val="0018424C"/>
    <w:rsid w:val="001966D9"/>
    <w:rsid w:val="001A007A"/>
    <w:rsid w:val="001A7E9A"/>
    <w:rsid w:val="001B0300"/>
    <w:rsid w:val="001B0F70"/>
    <w:rsid w:val="001B5016"/>
    <w:rsid w:val="001C45FC"/>
    <w:rsid w:val="001D0469"/>
    <w:rsid w:val="001D13A8"/>
    <w:rsid w:val="001D29C0"/>
    <w:rsid w:val="001D4862"/>
    <w:rsid w:val="001E25B9"/>
    <w:rsid w:val="001E49E0"/>
    <w:rsid w:val="001E7B5A"/>
    <w:rsid w:val="001F06A9"/>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11C3"/>
    <w:rsid w:val="0027299F"/>
    <w:rsid w:val="00274FE0"/>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66CB8"/>
    <w:rsid w:val="0037465A"/>
    <w:rsid w:val="0037583F"/>
    <w:rsid w:val="00377065"/>
    <w:rsid w:val="00377918"/>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3CD5"/>
    <w:rsid w:val="00404329"/>
    <w:rsid w:val="00405DC1"/>
    <w:rsid w:val="00406382"/>
    <w:rsid w:val="00415F1F"/>
    <w:rsid w:val="00416D2B"/>
    <w:rsid w:val="0042108F"/>
    <w:rsid w:val="00430FED"/>
    <w:rsid w:val="00434A8C"/>
    <w:rsid w:val="00437297"/>
    <w:rsid w:val="00443854"/>
    <w:rsid w:val="00444284"/>
    <w:rsid w:val="00445CE6"/>
    <w:rsid w:val="004534C2"/>
    <w:rsid w:val="0045446F"/>
    <w:rsid w:val="0045683E"/>
    <w:rsid w:val="00460F33"/>
    <w:rsid w:val="00472FCE"/>
    <w:rsid w:val="00477C72"/>
    <w:rsid w:val="0048787C"/>
    <w:rsid w:val="00491675"/>
    <w:rsid w:val="00493855"/>
    <w:rsid w:val="00495E79"/>
    <w:rsid w:val="004A2D83"/>
    <w:rsid w:val="004A57DD"/>
    <w:rsid w:val="004A7B51"/>
    <w:rsid w:val="004A7D71"/>
    <w:rsid w:val="004A7EF3"/>
    <w:rsid w:val="004B11FD"/>
    <w:rsid w:val="004B23A2"/>
    <w:rsid w:val="004C15B9"/>
    <w:rsid w:val="004C5EAD"/>
    <w:rsid w:val="004D1A5A"/>
    <w:rsid w:val="004D2FFF"/>
    <w:rsid w:val="004D3721"/>
    <w:rsid w:val="004D3F0C"/>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5AE0"/>
    <w:rsid w:val="005463A9"/>
    <w:rsid w:val="00551038"/>
    <w:rsid w:val="00553EB2"/>
    <w:rsid w:val="00554FCC"/>
    <w:rsid w:val="00560534"/>
    <w:rsid w:val="0056391B"/>
    <w:rsid w:val="005650E2"/>
    <w:rsid w:val="00567AD7"/>
    <w:rsid w:val="0057432D"/>
    <w:rsid w:val="00575B2D"/>
    <w:rsid w:val="005833D0"/>
    <w:rsid w:val="005846F3"/>
    <w:rsid w:val="0058622F"/>
    <w:rsid w:val="00586696"/>
    <w:rsid w:val="00590E30"/>
    <w:rsid w:val="0059192A"/>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B4DE2"/>
    <w:rsid w:val="006C4686"/>
    <w:rsid w:val="006D383B"/>
    <w:rsid w:val="006D3DC9"/>
    <w:rsid w:val="006D6BD5"/>
    <w:rsid w:val="006D6CC2"/>
    <w:rsid w:val="006E481A"/>
    <w:rsid w:val="006E5298"/>
    <w:rsid w:val="006F4A78"/>
    <w:rsid w:val="006F734A"/>
    <w:rsid w:val="00700D83"/>
    <w:rsid w:val="00704852"/>
    <w:rsid w:val="007074E9"/>
    <w:rsid w:val="00713DA4"/>
    <w:rsid w:val="00714BF1"/>
    <w:rsid w:val="00721383"/>
    <w:rsid w:val="0073158B"/>
    <w:rsid w:val="007315A5"/>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E7FDE"/>
    <w:rsid w:val="007F2419"/>
    <w:rsid w:val="007F41F8"/>
    <w:rsid w:val="007F659B"/>
    <w:rsid w:val="00803C72"/>
    <w:rsid w:val="0080454E"/>
    <w:rsid w:val="00804C32"/>
    <w:rsid w:val="00806302"/>
    <w:rsid w:val="00807119"/>
    <w:rsid w:val="00812B6F"/>
    <w:rsid w:val="0082483F"/>
    <w:rsid w:val="008279C0"/>
    <w:rsid w:val="00844BD7"/>
    <w:rsid w:val="00853516"/>
    <w:rsid w:val="00853B56"/>
    <w:rsid w:val="00867701"/>
    <w:rsid w:val="008723F3"/>
    <w:rsid w:val="00876F56"/>
    <w:rsid w:val="00881DE6"/>
    <w:rsid w:val="008837A6"/>
    <w:rsid w:val="00891116"/>
    <w:rsid w:val="0089145D"/>
    <w:rsid w:val="008A201C"/>
    <w:rsid w:val="008A4DF2"/>
    <w:rsid w:val="008A6CFE"/>
    <w:rsid w:val="008B5333"/>
    <w:rsid w:val="008B6223"/>
    <w:rsid w:val="008C3D6D"/>
    <w:rsid w:val="008C66E0"/>
    <w:rsid w:val="008D7C65"/>
    <w:rsid w:val="008E3339"/>
    <w:rsid w:val="008F20FC"/>
    <w:rsid w:val="008F5FFE"/>
    <w:rsid w:val="008F6CAB"/>
    <w:rsid w:val="00905A43"/>
    <w:rsid w:val="00912C79"/>
    <w:rsid w:val="00917CEF"/>
    <w:rsid w:val="00920BE7"/>
    <w:rsid w:val="00921B8C"/>
    <w:rsid w:val="00924973"/>
    <w:rsid w:val="00924D3F"/>
    <w:rsid w:val="00927C9D"/>
    <w:rsid w:val="00931FD7"/>
    <w:rsid w:val="00942123"/>
    <w:rsid w:val="0095207B"/>
    <w:rsid w:val="00952187"/>
    <w:rsid w:val="00962045"/>
    <w:rsid w:val="009664AB"/>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64F"/>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022B"/>
    <w:rsid w:val="00B14819"/>
    <w:rsid w:val="00B15E2F"/>
    <w:rsid w:val="00B17AA9"/>
    <w:rsid w:val="00B44713"/>
    <w:rsid w:val="00B51833"/>
    <w:rsid w:val="00B51B95"/>
    <w:rsid w:val="00B53FBE"/>
    <w:rsid w:val="00B56103"/>
    <w:rsid w:val="00B64929"/>
    <w:rsid w:val="00B70966"/>
    <w:rsid w:val="00B736DF"/>
    <w:rsid w:val="00B743D6"/>
    <w:rsid w:val="00B74FBD"/>
    <w:rsid w:val="00B76BC1"/>
    <w:rsid w:val="00B77F46"/>
    <w:rsid w:val="00B82586"/>
    <w:rsid w:val="00B829A3"/>
    <w:rsid w:val="00B8406D"/>
    <w:rsid w:val="00B86DB1"/>
    <w:rsid w:val="00B87869"/>
    <w:rsid w:val="00B9639B"/>
    <w:rsid w:val="00BA337E"/>
    <w:rsid w:val="00BA3AE6"/>
    <w:rsid w:val="00BA4008"/>
    <w:rsid w:val="00BA4EFC"/>
    <w:rsid w:val="00BB0F2B"/>
    <w:rsid w:val="00BB15F6"/>
    <w:rsid w:val="00BC3A55"/>
    <w:rsid w:val="00BD1EA2"/>
    <w:rsid w:val="00BE391E"/>
    <w:rsid w:val="00BE4BFE"/>
    <w:rsid w:val="00BE4FF3"/>
    <w:rsid w:val="00BF50F7"/>
    <w:rsid w:val="00BF6796"/>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0FA8"/>
    <w:rsid w:val="00CB1983"/>
    <w:rsid w:val="00CB2364"/>
    <w:rsid w:val="00CB2CBB"/>
    <w:rsid w:val="00CB7CAC"/>
    <w:rsid w:val="00CC4886"/>
    <w:rsid w:val="00CC5335"/>
    <w:rsid w:val="00CC5BA4"/>
    <w:rsid w:val="00CC6748"/>
    <w:rsid w:val="00CD4998"/>
    <w:rsid w:val="00CE1035"/>
    <w:rsid w:val="00CE3875"/>
    <w:rsid w:val="00CE6E50"/>
    <w:rsid w:val="00CF2819"/>
    <w:rsid w:val="00CF4F9D"/>
    <w:rsid w:val="00CF70DC"/>
    <w:rsid w:val="00D063C2"/>
    <w:rsid w:val="00D06A87"/>
    <w:rsid w:val="00D148DC"/>
    <w:rsid w:val="00D1516B"/>
    <w:rsid w:val="00D17FDC"/>
    <w:rsid w:val="00D21D8C"/>
    <w:rsid w:val="00D27CBC"/>
    <w:rsid w:val="00D31D8E"/>
    <w:rsid w:val="00D44C39"/>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0238"/>
    <w:rsid w:val="00E25582"/>
    <w:rsid w:val="00E26E19"/>
    <w:rsid w:val="00E31DF3"/>
    <w:rsid w:val="00E4294D"/>
    <w:rsid w:val="00E450A4"/>
    <w:rsid w:val="00E45C5C"/>
    <w:rsid w:val="00E506BE"/>
    <w:rsid w:val="00E55547"/>
    <w:rsid w:val="00E55912"/>
    <w:rsid w:val="00E613F0"/>
    <w:rsid w:val="00E61A3D"/>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DF2"/>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826"/>
    <w:rsid w:val="00F66AFF"/>
    <w:rsid w:val="00F71433"/>
    <w:rsid w:val="00F730FA"/>
    <w:rsid w:val="00F8753B"/>
    <w:rsid w:val="00F97C5B"/>
    <w:rsid w:val="00FA18CF"/>
    <w:rsid w:val="00FA3D50"/>
    <w:rsid w:val="00FA5B90"/>
    <w:rsid w:val="00FB7FBD"/>
    <w:rsid w:val="00FC023D"/>
    <w:rsid w:val="00FC374A"/>
    <w:rsid w:val="00FC49E1"/>
    <w:rsid w:val="00FC74C8"/>
    <w:rsid w:val="00FC7B47"/>
    <w:rsid w:val="00FD035C"/>
    <w:rsid w:val="00FD1A35"/>
    <w:rsid w:val="00FD2EA4"/>
    <w:rsid w:val="00FD36C5"/>
    <w:rsid w:val="00FD6310"/>
    <w:rsid w:val="00FD7C7B"/>
    <w:rsid w:val="00FE08A2"/>
    <w:rsid w:val="00FE0FB9"/>
    <w:rsid w:val="00FE1D12"/>
    <w:rsid w:val="00FE2122"/>
    <w:rsid w:val="00FE2A86"/>
    <w:rsid w:val="00FE2DE2"/>
    <w:rsid w:val="00FE69DB"/>
    <w:rsid w:val="00FF296F"/>
    <w:rsid w:val="00FF5E23"/>
    <w:rsid w:val="00FF7578"/>
    <w:rsid w:val="3F73BF2B"/>
    <w:rsid w:val="42F3A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5:docId w15:val="{3B1C5105-43E2-4A1A-83E9-3C976B2FD9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character" w:styleId="Heading2Char" w:customStyle="1">
    <w:name w:val="Heading 2 Char"/>
    <w:basedOn w:val="DefaultParagraphFont"/>
    <w:link w:val="Heading2"/>
    <w:rsid w:val="00853B5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rsid w:val="00853B56"/>
    <w:rPr>
      <w:rFonts w:asciiTheme="majorHAnsi" w:hAnsiTheme="majorHAnsi" w:eastAsiaTheme="majorEastAsia" w:cstheme="majorBidi"/>
      <w:color w:val="1F3763" w:themeColor="accent1" w:themeShade="7F"/>
    </w:rPr>
  </w:style>
  <w:style w:type="paragraph" w:styleId="Default" w:customStyle="1">
    <w:name w:val="Default"/>
    <w:rsid w:val="00853B56"/>
    <w:pPr>
      <w:autoSpaceDE w:val="0"/>
      <w:autoSpaceDN w:val="0"/>
      <w:adjustRightInd w:val="0"/>
    </w:pPr>
    <w:rPr>
      <w:rFonts w:ascii="Times New Roman" w:hAnsi="Times New Roman" w:cs="Times New Roman" w:eastAsiaTheme="minorHAnsi"/>
      <w:color w:val="000000"/>
    </w:rPr>
  </w:style>
  <w:style w:type="paragraph" w:styleId="Revision">
    <w:name w:val="Revision"/>
    <w:hidden/>
    <w:uiPriority w:val="99"/>
    <w:semiHidden/>
    <w:rsid w:val="006B28CB"/>
    <w:rPr>
      <w:rFonts w:eastAsia="Times New Roman"/>
      <w:sz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342e66f4fd2940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ac8864-d89b-47a3-bbd8-de73290c983f}"/>
      </w:docPartPr>
      <w:docPartBody>
        <w:p w14:paraId="67AD18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Wolverhampton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Jhneil Stewart</lastModifiedBy>
  <revision>3</revision>
  <lastPrinted>2019-08-27T05:42:00.0000000Z</lastPrinted>
  <dcterms:created xsi:type="dcterms:W3CDTF">2022-07-14T22:46:00.0000000Z</dcterms:created>
  <dcterms:modified xsi:type="dcterms:W3CDTF">2022-07-31T04:22:10.2154368Z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