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23A2" w:rsidP="00524728" w:rsidRDefault="007D0192" w14:paraId="425B7968" w14:textId="40C39912">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E3C07D">
      <w:pPr>
        <w:jc w:val="center"/>
        <w:rPr>
          <w:rFonts w:ascii="Arial" w:hAnsi="Arial" w:cs="Arial"/>
          <w:b/>
          <w:sz w:val="22"/>
          <w:szCs w:val="22"/>
          <w:lang w:val="en-GB"/>
        </w:rPr>
      </w:pPr>
    </w:p>
    <w:p w:rsidR="00437297" w:rsidP="00592F82" w:rsidRDefault="00437297" w14:paraId="045C7386" w14:textId="06C377C6">
      <w:pPr>
        <w:jc w:val="center"/>
        <w:rPr>
          <w:rFonts w:ascii="Arial" w:hAnsi="Arial" w:cs="Arial"/>
          <w:b/>
          <w:sz w:val="22"/>
          <w:szCs w:val="22"/>
          <w:lang w:val="en-GB"/>
        </w:rPr>
      </w:pPr>
    </w:p>
    <w:p w:rsidR="00437297" w:rsidP="00592F82" w:rsidRDefault="00437297" w14:paraId="13D68906" w14:textId="77777777">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7D0192" w:rsidR="00434A8C" w:rsidP="007D0192" w:rsidRDefault="00434A8C" w14:paraId="16393F7E"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4"/>
          <w:lang w:val="en-GB"/>
        </w:rPr>
      </w:pPr>
    </w:p>
    <w:p w:rsidRPr="007D0192" w:rsidR="0011473D" w:rsidP="007D0192" w:rsidRDefault="00C56B61" w14:paraId="59317C17" w14:textId="3BD5933A">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Pr="007D0192" w:rsidR="009D0811">
        <w:rPr>
          <w:rFonts w:ascii="Arial" w:hAnsi="Arial" w:cs="Arial"/>
          <w:b/>
          <w:color w:val="000000" w:themeColor="text1"/>
          <w:sz w:val="24"/>
          <w:lang w:val="en-GB"/>
        </w:rPr>
        <w:t xml:space="preserve">ASSESSMENT: MODULE </w:t>
      </w:r>
      <w:r w:rsidRPr="007D0192" w:rsidR="002903A7">
        <w:rPr>
          <w:rFonts w:ascii="Arial" w:hAnsi="Arial" w:cs="Arial"/>
          <w:b/>
          <w:color w:val="000000" w:themeColor="text1"/>
          <w:sz w:val="24"/>
          <w:lang w:val="en-GB"/>
        </w:rPr>
        <w:t>3A</w:t>
      </w:r>
    </w:p>
    <w:p w:rsidRPr="007D0192" w:rsidR="002638B0" w:rsidP="007D0192" w:rsidRDefault="002638B0" w14:paraId="1DCE41A2" w14:textId="0CB8A9C3">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p>
    <w:p w:rsidRPr="007D0192" w:rsidR="002638B0" w:rsidP="007D0192" w:rsidRDefault="00996691" w14:paraId="23556360" w14:textId="5A963E9C">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Pr="007D0192" w:rsidR="002903A7">
        <w:rPr>
          <w:rFonts w:ascii="Arial" w:hAnsi="Arial" w:cs="Arial"/>
          <w:b/>
          <w:color w:val="000000" w:themeColor="text1"/>
          <w:sz w:val="24"/>
          <w:lang w:val="en-GB"/>
        </w:rPr>
        <w:t>INSOLVENCY SYSTEM OF THE UNITED STATES</w:t>
      </w:r>
    </w:p>
    <w:p w:rsidRPr="007D0192" w:rsidR="00C362AA" w:rsidP="007D0192" w:rsidRDefault="00C362AA" w14:paraId="50ECD617" w14:textId="28DE0E04">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4"/>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6E1EAE22">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00397D3A" w:rsidP="00592F82" w:rsidRDefault="00397D3A" w14:paraId="5C762CBD" w14:textId="28537775">
      <w:pPr>
        <w:jc w:val="center"/>
        <w:rPr>
          <w:rFonts w:ascii="Arial" w:hAnsi="Arial" w:cs="Arial"/>
          <w:b/>
          <w:sz w:val="22"/>
          <w:szCs w:val="22"/>
          <w:lang w:val="en-GB"/>
        </w:rPr>
      </w:pPr>
    </w:p>
    <w:p w:rsidR="00397D3A" w:rsidP="00592F82" w:rsidRDefault="00397D3A" w14:paraId="4051CEA3" w14:textId="31550508">
      <w:pPr>
        <w:jc w:val="center"/>
        <w:rPr>
          <w:rFonts w:ascii="Arial" w:hAnsi="Arial" w:cs="Arial"/>
          <w:b/>
          <w:sz w:val="22"/>
          <w:szCs w:val="22"/>
          <w:lang w:val="en-GB"/>
        </w:rPr>
      </w:pPr>
    </w:p>
    <w:p w:rsidR="00397D3A" w:rsidP="00592F82" w:rsidRDefault="00397D3A" w14:paraId="25AECBFD" w14:textId="77777777">
      <w:pPr>
        <w:jc w:val="center"/>
        <w:rPr>
          <w:rFonts w:ascii="Arial" w:hAnsi="Arial" w:cs="Arial"/>
          <w:b/>
          <w:sz w:val="22"/>
          <w:szCs w:val="22"/>
          <w:lang w:val="en-GB"/>
        </w:rPr>
      </w:pPr>
    </w:p>
    <w:p w:rsidR="00397D3A" w:rsidP="00592F82" w:rsidRDefault="00397D3A" w14:paraId="19855BF7" w14:textId="77777777">
      <w:pPr>
        <w:jc w:val="center"/>
        <w:rPr>
          <w:rFonts w:ascii="Arial" w:hAnsi="Arial" w:cs="Arial"/>
          <w:b/>
          <w:sz w:val="22"/>
          <w:szCs w:val="22"/>
          <w:lang w:val="en-GB"/>
        </w:rPr>
      </w:pPr>
    </w:p>
    <w:p w:rsidR="00DB56F2" w:rsidP="00DB56F2" w:rsidRDefault="00DB56F2" w14:paraId="0ED3DA75"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rsidR="00037671" w:rsidP="00037671" w:rsidRDefault="00037671" w14:paraId="55B59659" w14:textId="0C7DFF3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rsidR="00037671" w:rsidP="00037671" w:rsidRDefault="00037671" w14:paraId="3255AA47"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rsidR="00037671" w:rsidP="00037671" w:rsidRDefault="00037671" w14:paraId="1B722662"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037671" w:rsidP="00037671" w:rsidRDefault="00037671" w14:paraId="0537471C"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rsidRPr="00DB56F2" w:rsidR="00037671" w:rsidP="00037671" w:rsidRDefault="00037671" w14:paraId="34AFB7EB" w14:textId="736E28B4">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DB56F2" w:rsidRDefault="00DB56F2" w14:paraId="274024F0" w14:textId="77777777">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397D3A" w:rsidP="007C6201" w:rsidRDefault="00397D3A" w14:paraId="1B27A2C1" w14:textId="338BD4E5">
      <w:pPr>
        <w:jc w:val="both"/>
        <w:rPr>
          <w:rFonts w:ascii="Arial" w:hAnsi="Arial" w:cs="Arial"/>
          <w:b/>
          <w:sz w:val="22"/>
          <w:szCs w:val="22"/>
          <w:lang w:val="en-GB"/>
        </w:rPr>
      </w:pPr>
    </w:p>
    <w:p w:rsidR="002C0121" w:rsidP="007C6201" w:rsidRDefault="002C0121" w14:paraId="167336FA" w14:textId="5D10C9DE">
      <w:pPr>
        <w:jc w:val="both"/>
        <w:rPr>
          <w:rFonts w:ascii="Arial" w:hAnsi="Arial" w:cs="Arial"/>
          <w:b/>
          <w:sz w:val="22"/>
          <w:szCs w:val="22"/>
          <w:lang w:val="en-GB"/>
        </w:rPr>
      </w:pPr>
    </w:p>
    <w:p w:rsidR="002C0121" w:rsidP="007C6201" w:rsidRDefault="002C0121" w14:paraId="681D3A90" w14:textId="445C9C40">
      <w:pPr>
        <w:jc w:val="both"/>
        <w:rPr>
          <w:rFonts w:ascii="Arial" w:hAnsi="Arial" w:cs="Arial"/>
          <w:b/>
          <w:sz w:val="22"/>
          <w:szCs w:val="22"/>
          <w:lang w:val="en-GB"/>
        </w:rPr>
      </w:pPr>
    </w:p>
    <w:p w:rsidR="002C0121" w:rsidP="007C6201" w:rsidRDefault="002C0121" w14:paraId="2FE31958" w14:textId="3650137F">
      <w:pPr>
        <w:jc w:val="both"/>
        <w:rPr>
          <w:rFonts w:ascii="Arial" w:hAnsi="Arial" w:cs="Arial"/>
          <w:b/>
          <w:sz w:val="22"/>
          <w:szCs w:val="22"/>
          <w:lang w:val="en-GB"/>
        </w:rPr>
      </w:pPr>
    </w:p>
    <w:p w:rsidR="002C0121" w:rsidP="007C6201" w:rsidRDefault="002C0121" w14:paraId="3908B066" w14:textId="77777777">
      <w:pPr>
        <w:jc w:val="both"/>
        <w:rPr>
          <w:rFonts w:ascii="Arial" w:hAnsi="Arial" w:cs="Arial"/>
          <w:b/>
          <w:sz w:val="22"/>
          <w:szCs w:val="22"/>
          <w:lang w:val="en-GB"/>
        </w:rPr>
      </w:pPr>
    </w:p>
    <w:p w:rsidR="00397D3A" w:rsidP="007C6201" w:rsidRDefault="00397D3A" w14:paraId="1BC7CE2F" w14:textId="5B3D9200">
      <w:pPr>
        <w:jc w:val="both"/>
        <w:rPr>
          <w:rFonts w:ascii="Arial" w:hAnsi="Arial" w:cs="Arial"/>
          <w:b/>
          <w:sz w:val="22"/>
          <w:szCs w:val="22"/>
          <w:lang w:val="en-GB"/>
        </w:rPr>
      </w:pPr>
    </w:p>
    <w:p w:rsidR="00397D3A" w:rsidP="007C6201" w:rsidRDefault="00397D3A" w14:paraId="5683A375" w14:textId="1322B645">
      <w:pPr>
        <w:jc w:val="both"/>
        <w:rPr>
          <w:rFonts w:ascii="Arial" w:hAnsi="Arial" w:cs="Arial"/>
          <w:b/>
          <w:sz w:val="22"/>
          <w:szCs w:val="22"/>
          <w:lang w:val="en-GB"/>
        </w:rPr>
      </w:pPr>
    </w:p>
    <w:p w:rsidRPr="00592F82" w:rsidR="0011473D" w:rsidP="009D0811" w:rsidRDefault="00E93993" w14:paraId="3C0D3574" w14:textId="3C486EDE">
      <w:pPr>
        <w:jc w:val="center"/>
        <w:rPr>
          <w:rFonts w:ascii="Arial" w:hAnsi="Arial" w:cs="Arial"/>
          <w:b/>
          <w:sz w:val="22"/>
          <w:szCs w:val="22"/>
          <w:u w:val="single"/>
          <w:lang w:val="en-GB"/>
        </w:rPr>
      </w:pPr>
      <w:r>
        <w:rPr>
          <w:rFonts w:ascii="Arial" w:hAnsi="Arial" w:cs="Arial"/>
          <w:b/>
          <w:sz w:val="22"/>
          <w:szCs w:val="22"/>
          <w:u w:val="single"/>
          <w:lang w:val="en-GB"/>
        </w:rPr>
        <w:t>I</w:t>
      </w:r>
      <w:r w:rsidRPr="00592F82" w:rsidR="0011473D">
        <w:rPr>
          <w:rFonts w:ascii="Arial" w:hAnsi="Arial" w:cs="Arial"/>
          <w:b/>
          <w:sz w:val="22"/>
          <w:szCs w:val="22"/>
          <w:u w:val="single"/>
          <w:lang w:val="en-GB"/>
        </w:rPr>
        <w:t>NSTRUCTIONS FOR COMPLETION AND SUBMISSION OF ASSESSMENT</w:t>
      </w:r>
    </w:p>
    <w:p w:rsidRPr="00592F82" w:rsidR="0011473D" w:rsidP="00592F82" w:rsidRDefault="0011473D" w14:paraId="61C888AB" w14:textId="77777777">
      <w:pPr>
        <w:jc w:val="both"/>
        <w:rPr>
          <w:rFonts w:ascii="Arial" w:hAnsi="Arial" w:cs="Arial"/>
          <w:sz w:val="22"/>
          <w:szCs w:val="22"/>
          <w:lang w:val="en-GB"/>
        </w:rPr>
      </w:pPr>
    </w:p>
    <w:p w:rsidR="00397D3A" w:rsidP="00592F82" w:rsidRDefault="00397D3A" w14:paraId="173B0B40" w14:textId="77777777">
      <w:pPr>
        <w:jc w:val="both"/>
        <w:rPr>
          <w:rFonts w:ascii="Arial" w:hAnsi="Arial" w:cs="Arial"/>
          <w:b/>
          <w:sz w:val="22"/>
          <w:szCs w:val="22"/>
          <w:lang w:val="en-GB"/>
        </w:rPr>
      </w:pPr>
    </w:p>
    <w:p w:rsidRPr="00BF1C6F" w:rsidR="00C651D6" w:rsidP="00C651D6" w:rsidRDefault="00C651D6" w14:paraId="21CFB3AD" w14:textId="77777777">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Pr="00BF1C6F" w:rsidR="00C651D6" w:rsidP="00C651D6" w:rsidRDefault="00C651D6" w14:paraId="382CB855" w14:textId="77777777">
      <w:pPr>
        <w:jc w:val="both"/>
        <w:rPr>
          <w:rFonts w:ascii="Arial" w:hAnsi="Arial" w:cs="Arial"/>
          <w:b/>
          <w:sz w:val="22"/>
          <w:szCs w:val="22"/>
          <w:lang w:val="en-GB"/>
        </w:rPr>
      </w:pPr>
    </w:p>
    <w:p w:rsidRPr="00BF1C6F" w:rsidR="00C651D6" w:rsidP="00C651D6" w:rsidRDefault="00C651D6" w14:paraId="26A86F78" w14:textId="77777777">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r>
      <w:r w:rsidRPr="00BF1C6F">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BF1C6F" w:rsidR="00C651D6" w:rsidP="00C651D6" w:rsidRDefault="00C651D6" w14:paraId="26C91939" w14:textId="77777777">
      <w:pPr>
        <w:ind w:left="720" w:hanging="720"/>
        <w:jc w:val="both"/>
        <w:rPr>
          <w:rFonts w:ascii="Arial" w:hAnsi="Arial" w:cs="Arial"/>
          <w:sz w:val="22"/>
          <w:szCs w:val="22"/>
          <w:lang w:val="en-GB"/>
        </w:rPr>
      </w:pPr>
    </w:p>
    <w:p w:rsidRPr="00BF1C6F" w:rsidR="00C651D6" w:rsidP="00C651D6" w:rsidRDefault="00C651D6" w14:paraId="0BD97641" w14:textId="77777777">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r>
      <w:r w:rsidRPr="00BF1C6F">
        <w:rPr>
          <w:rFonts w:ascii="Arial" w:hAnsi="Arial" w:cs="Arial"/>
          <w:sz w:val="22"/>
          <w:szCs w:val="22"/>
          <w:lang w:val="en-GB"/>
        </w:rPr>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Pr="00BF1C6F" w:rsidR="00C651D6" w:rsidP="00C651D6" w:rsidRDefault="00C651D6" w14:paraId="309A4739" w14:textId="77777777">
      <w:pPr>
        <w:ind w:left="720" w:hanging="720"/>
        <w:jc w:val="both"/>
        <w:rPr>
          <w:rFonts w:ascii="Arial" w:hAnsi="Arial" w:cs="Arial"/>
          <w:sz w:val="22"/>
          <w:szCs w:val="22"/>
          <w:lang w:val="en-GB"/>
        </w:rPr>
      </w:pPr>
    </w:p>
    <w:p w:rsidRPr="00BF1C6F" w:rsidR="00C651D6" w:rsidP="00C651D6" w:rsidRDefault="00C651D6" w14:paraId="29AB249C" w14:textId="77777777">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r>
      <w:r w:rsidRPr="00BF1C6F">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BF1C6F" w:rsidR="00C651D6" w:rsidP="00C651D6" w:rsidRDefault="00C651D6" w14:paraId="25A8326A" w14:textId="77777777">
      <w:pPr>
        <w:ind w:left="720" w:hanging="720"/>
        <w:jc w:val="both"/>
        <w:rPr>
          <w:rFonts w:ascii="Arial" w:hAnsi="Arial" w:cs="Arial"/>
          <w:sz w:val="22"/>
          <w:szCs w:val="22"/>
          <w:lang w:val="en-GB"/>
        </w:rPr>
      </w:pPr>
    </w:p>
    <w:p w:rsidRPr="00BF1C6F" w:rsidR="00C651D6" w:rsidP="00C651D6" w:rsidRDefault="00C651D6" w14:paraId="40A2D9C2" w14:textId="3B737A2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r>
      <w:r w:rsidRPr="00BF1C6F">
        <w:rPr>
          <w:rFonts w:ascii="Arial" w:hAnsi="Arial" w:cs="Arial"/>
          <w:sz w:val="22"/>
          <w:szCs w:val="22"/>
          <w:lang w:val="en-GB"/>
        </w:rPr>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Pr="00BF1C6F" w:rsidR="00C651D6" w:rsidP="00C651D6" w:rsidRDefault="00C651D6" w14:paraId="4288CBBB" w14:textId="77777777">
      <w:pPr>
        <w:ind w:left="720" w:hanging="720"/>
        <w:jc w:val="both"/>
        <w:rPr>
          <w:rFonts w:ascii="Arial" w:hAnsi="Arial" w:cs="Arial"/>
          <w:sz w:val="22"/>
          <w:szCs w:val="22"/>
          <w:lang w:val="en-GB"/>
        </w:rPr>
      </w:pPr>
    </w:p>
    <w:p w:rsidRPr="00592F82" w:rsidR="00C651D6" w:rsidP="00C651D6" w:rsidRDefault="00C651D6" w14:paraId="14FCA020" w14:textId="77777777">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r>
      <w:r w:rsidRPr="00BF1C6F">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Pr="00592F82" w:rsidR="00C651D6" w:rsidP="00C651D6" w:rsidRDefault="00C651D6" w14:paraId="3A97A146" w14:textId="77777777">
      <w:pPr>
        <w:ind w:left="720" w:hanging="720"/>
        <w:jc w:val="both"/>
        <w:rPr>
          <w:rFonts w:ascii="Arial" w:hAnsi="Arial" w:cs="Arial"/>
          <w:sz w:val="22"/>
          <w:szCs w:val="22"/>
          <w:lang w:val="en-GB"/>
        </w:rPr>
      </w:pPr>
    </w:p>
    <w:p w:rsidR="00C651D6" w:rsidP="00C651D6" w:rsidRDefault="00C651D6" w14:paraId="6612D65D" w14:textId="48C4F418">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rsidR="00C651D6" w:rsidP="00C651D6" w:rsidRDefault="00C651D6" w14:paraId="7BB6A91D" w14:textId="77777777">
      <w:pPr>
        <w:ind w:left="720" w:hanging="720"/>
        <w:jc w:val="both"/>
        <w:rPr>
          <w:rFonts w:ascii="Arial" w:hAnsi="Arial" w:cs="Arial"/>
          <w:sz w:val="22"/>
          <w:szCs w:val="22"/>
          <w:lang w:val="en-GB"/>
        </w:rPr>
      </w:pPr>
    </w:p>
    <w:p w:rsidR="00C651D6" w:rsidP="00C651D6" w:rsidRDefault="00C651D6" w14:paraId="2982BCFD" w14:textId="0493109D">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r>
      <w:r>
        <w:rPr>
          <w:rFonts w:ascii="Arial" w:hAnsi="Arial" w:cs="Arial"/>
          <w:sz w:val="22"/>
          <w:szCs w:val="22"/>
          <w:lang w:val="en-GB"/>
        </w:rPr>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rsidR="00C651D6" w:rsidP="00C651D6" w:rsidRDefault="00C651D6" w14:paraId="17990EB4" w14:textId="77777777">
      <w:pPr>
        <w:ind w:left="720" w:hanging="720"/>
        <w:jc w:val="both"/>
        <w:rPr>
          <w:rFonts w:ascii="Arial" w:hAnsi="Arial" w:cs="Arial"/>
          <w:sz w:val="22"/>
          <w:szCs w:val="22"/>
          <w:lang w:val="en-GB"/>
        </w:rPr>
      </w:pPr>
    </w:p>
    <w:p w:rsidRPr="00592F82" w:rsidR="00037671" w:rsidP="00C651D6" w:rsidRDefault="00C651D6" w14:paraId="38A7E5FC" w14:textId="77C49CCE">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r>
      <w:r w:rsidRPr="00540E3A">
        <w:rPr>
          <w:rFonts w:ascii="Arial" w:hAnsi="Arial" w:cs="Arial"/>
          <w:sz w:val="22"/>
          <w:szCs w:val="22"/>
          <w:lang w:val="en-GB"/>
        </w:rPr>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Pr="00592F82" w:rsidR="00F3323E" w:rsidP="00592F82" w:rsidRDefault="00F3323E" w14:paraId="16583175" w14:textId="77777777">
      <w:pPr>
        <w:ind w:left="720" w:hanging="720"/>
        <w:jc w:val="both"/>
        <w:rPr>
          <w:rFonts w:ascii="Arial" w:hAnsi="Arial" w:cs="Arial"/>
          <w:sz w:val="22"/>
          <w:szCs w:val="22"/>
          <w:lang w:val="en-GB"/>
        </w:rPr>
      </w:pPr>
    </w:p>
    <w:p w:rsidR="00E450A4" w:rsidRDefault="00E450A4" w14:paraId="13D386FE" w14:textId="77777777">
      <w:pPr>
        <w:rPr>
          <w:rFonts w:ascii="Arial" w:hAnsi="Arial" w:cs="Arial"/>
          <w:sz w:val="22"/>
          <w:szCs w:val="22"/>
          <w:lang w:val="en-GB"/>
        </w:rPr>
      </w:pPr>
      <w:r>
        <w:rPr>
          <w:rFonts w:ascii="Arial" w:hAnsi="Arial" w:cs="Arial"/>
          <w:sz w:val="22"/>
          <w:szCs w:val="22"/>
          <w:lang w:val="en-GB"/>
        </w:rPr>
        <w:br w:type="page"/>
      </w:r>
    </w:p>
    <w:p w:rsidRPr="00B9639B" w:rsidR="00F3323E" w:rsidP="00B9639B" w:rsidRDefault="00F3323E" w14:paraId="2966AAD4" w14:textId="443A837F">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Pr="00B9639B" w:rsidR="00F3323E" w:rsidP="00B9639B" w:rsidRDefault="00F3323E" w14:paraId="62B460C7" w14:textId="77777777">
      <w:pPr>
        <w:ind w:left="720" w:hanging="720"/>
        <w:jc w:val="both"/>
        <w:rPr>
          <w:rFonts w:ascii="Arial" w:hAnsi="Arial" w:cs="Arial"/>
          <w:sz w:val="22"/>
          <w:szCs w:val="22"/>
          <w:lang w:val="en-GB"/>
        </w:rPr>
      </w:pPr>
    </w:p>
    <w:p w:rsidRPr="00B9639B" w:rsidR="005D43E0" w:rsidP="00B9639B" w:rsidRDefault="0029433F" w14:paraId="7855E8A8" w14:textId="3F6B427A">
      <w:pPr>
        <w:jc w:val="both"/>
        <w:rPr>
          <w:rFonts w:ascii="Arial" w:hAnsi="Arial" w:cs="Arial"/>
          <w:b/>
          <w:sz w:val="22"/>
          <w:szCs w:val="22"/>
          <w:lang w:val="en-GB"/>
        </w:rPr>
      </w:pPr>
      <w:r w:rsidRPr="00B9639B">
        <w:rPr>
          <w:rFonts w:ascii="Arial" w:hAnsi="Arial" w:cs="Arial"/>
          <w:b/>
          <w:sz w:val="22"/>
          <w:szCs w:val="22"/>
          <w:lang w:val="en-GB"/>
        </w:rPr>
        <w:t>QUESTION 1</w:t>
      </w:r>
      <w:r w:rsidRPr="00B9639B" w:rsidR="005D43E0">
        <w:rPr>
          <w:rFonts w:ascii="Arial" w:hAnsi="Arial" w:cs="Arial"/>
          <w:b/>
          <w:sz w:val="22"/>
          <w:szCs w:val="22"/>
          <w:lang w:val="en-GB"/>
        </w:rPr>
        <w:t xml:space="preserve"> (multiple-choice questions) [10 marks</w:t>
      </w:r>
      <w:r w:rsidRPr="00B9639B" w:rsidR="00D17FDC">
        <w:rPr>
          <w:rFonts w:ascii="Arial" w:hAnsi="Arial" w:cs="Arial"/>
          <w:b/>
          <w:sz w:val="22"/>
          <w:szCs w:val="22"/>
          <w:lang w:val="en-GB"/>
        </w:rPr>
        <w:t xml:space="preserve"> in total</w:t>
      </w:r>
      <w:r w:rsidRPr="00B9639B" w:rsidR="005D43E0">
        <w:rPr>
          <w:rFonts w:ascii="Arial" w:hAnsi="Arial" w:cs="Arial"/>
          <w:b/>
          <w:sz w:val="22"/>
          <w:szCs w:val="22"/>
          <w:lang w:val="en-GB"/>
        </w:rPr>
        <w:t>]</w:t>
      </w:r>
    </w:p>
    <w:p w:rsidRPr="00B9639B" w:rsidR="00F3323E" w:rsidP="00B9639B" w:rsidRDefault="00F3323E" w14:paraId="3CF1A35C" w14:textId="77777777">
      <w:pPr>
        <w:ind w:left="720" w:hanging="720"/>
        <w:jc w:val="both"/>
        <w:rPr>
          <w:rFonts w:ascii="Arial" w:hAnsi="Arial" w:cs="Arial"/>
          <w:sz w:val="22"/>
          <w:szCs w:val="22"/>
          <w:lang w:val="en-GB"/>
        </w:rPr>
      </w:pPr>
    </w:p>
    <w:p w:rsidRPr="00B9639B" w:rsidR="005D43E0" w:rsidP="00B9639B" w:rsidRDefault="005D43E0" w14:paraId="52F192E0" w14:textId="4F9975C1">
      <w:pPr>
        <w:jc w:val="both"/>
        <w:rPr>
          <w:rFonts w:ascii="Arial" w:hAnsi="Arial" w:cs="Arial"/>
          <w:sz w:val="22"/>
          <w:szCs w:val="22"/>
          <w:lang w:val="en-GB"/>
        </w:rPr>
      </w:pPr>
      <w:r w:rsidRPr="00B9639B">
        <w:rPr>
          <w:rFonts w:ascii="Arial" w:hAnsi="Arial" w:cs="Arial"/>
          <w:sz w:val="22"/>
          <w:szCs w:val="22"/>
          <w:lang w:val="en-GB"/>
        </w:rPr>
        <w:t>Questions 1.1. – 1.10</w:t>
      </w:r>
      <w:r w:rsidRPr="00B9639B" w:rsidR="00341AA6">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Pr="00B9639B" w:rsidR="00397D3A">
        <w:rPr>
          <w:rFonts w:ascii="Arial" w:hAnsi="Arial" w:cs="Arial"/>
          <w:sz w:val="22"/>
          <w:szCs w:val="22"/>
          <w:highlight w:val="yellow"/>
          <w:lang w:val="en-GB"/>
        </w:rPr>
        <w:t xml:space="preserve"> by highlighting the </w:t>
      </w:r>
      <w:r w:rsidRPr="00B9639B" w:rsidR="0036565C">
        <w:rPr>
          <w:rFonts w:ascii="Arial" w:hAnsi="Arial" w:cs="Arial"/>
          <w:sz w:val="22"/>
          <w:szCs w:val="22"/>
          <w:highlight w:val="yellow"/>
          <w:lang w:val="en-GB"/>
        </w:rPr>
        <w:t xml:space="preserve">relevant paragraph </w:t>
      </w:r>
      <w:r w:rsidRPr="00B9639B" w:rsidR="0036565C">
        <w:rPr>
          <w:rFonts w:ascii="Arial" w:hAnsi="Arial" w:cs="Arial"/>
          <w:b/>
          <w:bCs/>
          <w:sz w:val="22"/>
          <w:szCs w:val="22"/>
          <w:highlight w:val="yellow"/>
          <w:lang w:val="en-GB"/>
        </w:rPr>
        <w:t>in yellow</w:t>
      </w:r>
      <w:r w:rsidRPr="00B9639B">
        <w:rPr>
          <w:rFonts w:ascii="Arial" w:hAnsi="Arial" w:cs="Arial"/>
          <w:sz w:val="22"/>
          <w:szCs w:val="22"/>
          <w:lang w:val="en-GB"/>
        </w:rPr>
        <w:t>.</w:t>
      </w:r>
      <w:r w:rsidRPr="00B9639B" w:rsidR="0036565C">
        <w:rPr>
          <w:rFonts w:ascii="Arial" w:hAnsi="Arial" w:cs="Arial"/>
          <w:sz w:val="22"/>
          <w:szCs w:val="22"/>
          <w:lang w:val="en-GB"/>
        </w:rPr>
        <w:t xml:space="preserve"> Select only </w:t>
      </w:r>
      <w:r w:rsidRPr="00B9639B" w:rsidR="0036565C">
        <w:rPr>
          <w:rFonts w:ascii="Arial" w:hAnsi="Arial" w:cs="Arial"/>
          <w:b/>
          <w:bCs/>
          <w:sz w:val="22"/>
          <w:szCs w:val="22"/>
          <w:lang w:val="en-GB"/>
        </w:rPr>
        <w:t>ONE</w:t>
      </w:r>
      <w:r w:rsidRPr="00B9639B" w:rsidR="0036565C">
        <w:rPr>
          <w:rFonts w:ascii="Arial" w:hAnsi="Arial" w:cs="Arial"/>
          <w:sz w:val="22"/>
          <w:szCs w:val="22"/>
          <w:lang w:val="en-GB"/>
        </w:rPr>
        <w:t xml:space="preserve"> answer</w:t>
      </w:r>
      <w:r w:rsidRPr="00B9639B" w:rsidR="00A60074">
        <w:rPr>
          <w:rFonts w:ascii="Arial" w:hAnsi="Arial" w:cs="Arial"/>
          <w:sz w:val="22"/>
          <w:szCs w:val="22"/>
          <w:lang w:val="en-GB"/>
        </w:rPr>
        <w:t>. Candidates who select more than one answer will receive no mark for that specific question.</w:t>
      </w:r>
    </w:p>
    <w:p w:rsidRPr="007B0809" w:rsidR="00AF228E" w:rsidP="007B0809" w:rsidRDefault="00AF228E" w14:paraId="27033D10" w14:textId="424A462F">
      <w:pPr>
        <w:autoSpaceDE w:val="0"/>
        <w:autoSpaceDN w:val="0"/>
        <w:adjustRightInd w:val="0"/>
        <w:jc w:val="both"/>
        <w:rPr>
          <w:rFonts w:ascii="Arial" w:hAnsi="Arial" w:cs="Arial"/>
          <w:sz w:val="22"/>
          <w:szCs w:val="22"/>
        </w:rPr>
      </w:pPr>
    </w:p>
    <w:p w:rsidRPr="007B0809" w:rsidR="007B0809" w:rsidP="007B0809" w:rsidRDefault="007B0809" w14:paraId="44F39A8D" w14:textId="77777777">
      <w:pPr>
        <w:pStyle w:val="AODocTxt"/>
        <w:spacing w:before="0" w:line="240" w:lineRule="auto"/>
        <w:rPr>
          <w:rFonts w:ascii="Arial" w:hAnsi="Arial" w:cs="Arial"/>
          <w:b/>
        </w:rPr>
      </w:pPr>
      <w:r w:rsidRPr="007B0809">
        <w:rPr>
          <w:rFonts w:ascii="Arial" w:hAnsi="Arial" w:cs="Arial"/>
          <w:b/>
        </w:rPr>
        <w:t>Question 1.1</w:t>
      </w:r>
    </w:p>
    <w:p w:rsidR="007B0809" w:rsidP="007B0809" w:rsidRDefault="007B0809" w14:paraId="6B984F2B" w14:textId="77777777">
      <w:pPr>
        <w:pStyle w:val="AODocTxt"/>
        <w:spacing w:before="0" w:line="240" w:lineRule="auto"/>
        <w:rPr>
          <w:rFonts w:ascii="Arial" w:hAnsi="Arial" w:cs="Arial"/>
        </w:rPr>
      </w:pPr>
    </w:p>
    <w:p w:rsidR="007B0809" w:rsidP="007B0809" w:rsidRDefault="007B0809" w14:paraId="507CFC0C" w14:textId="4AB36F68">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Pr="00CC175B" w:rsid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rsidRPr="007B0809" w:rsidR="007B0809" w:rsidP="007B0809" w:rsidRDefault="007B0809" w14:paraId="2EA709F6" w14:textId="77777777">
      <w:pPr>
        <w:pStyle w:val="AODocTxt"/>
        <w:spacing w:before="0" w:line="240" w:lineRule="auto"/>
        <w:rPr>
          <w:rFonts w:ascii="Arial" w:hAnsi="Arial" w:cs="Arial"/>
        </w:rPr>
      </w:pPr>
    </w:p>
    <w:p w:rsidR="007B0809" w:rsidP="004F49B5" w:rsidRDefault="007B0809" w14:paraId="65DE369E" w14:textId="02DC58C9">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rsidRPr="007B0809" w:rsidR="007B0809" w:rsidP="007B0809" w:rsidRDefault="007B0809" w14:paraId="5A46BBF6" w14:textId="77777777">
      <w:pPr>
        <w:pStyle w:val="AODocTxt"/>
        <w:spacing w:before="0" w:line="240" w:lineRule="auto"/>
        <w:rPr>
          <w:rFonts w:ascii="Arial" w:hAnsi="Arial" w:cs="Arial"/>
        </w:rPr>
      </w:pPr>
    </w:p>
    <w:p w:rsidR="007B0809" w:rsidP="004F49B5" w:rsidRDefault="007B0809" w14:paraId="18E23892" w14:textId="350BA0DA">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rsidRPr="007B0809" w:rsidR="007B0809" w:rsidP="007B0809" w:rsidRDefault="007B0809" w14:paraId="7CC05916" w14:textId="77777777">
      <w:pPr>
        <w:pStyle w:val="AODocTxt"/>
        <w:spacing w:before="0" w:line="240" w:lineRule="auto"/>
        <w:rPr>
          <w:rFonts w:ascii="Arial" w:hAnsi="Arial" w:cs="Arial"/>
        </w:rPr>
      </w:pPr>
    </w:p>
    <w:p w:rsidR="007B0809" w:rsidP="004F49B5" w:rsidRDefault="007B0809" w14:paraId="39A10577" w14:textId="1A268977">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rsidRPr="007B0809" w:rsidR="007B0809" w:rsidP="007B0809" w:rsidRDefault="007B0809" w14:paraId="38B7B941" w14:textId="77777777">
      <w:pPr>
        <w:pStyle w:val="AODocTxt"/>
        <w:spacing w:before="0" w:line="240" w:lineRule="auto"/>
        <w:rPr>
          <w:rFonts w:ascii="Arial" w:hAnsi="Arial" w:cs="Arial"/>
        </w:rPr>
      </w:pPr>
    </w:p>
    <w:p w:rsidRPr="00655C43" w:rsidR="007B0809" w:rsidP="004F49B5" w:rsidRDefault="007B0809" w14:paraId="715B8A8F" w14:textId="53744B88">
      <w:pPr>
        <w:pStyle w:val="AODocTxt"/>
        <w:numPr>
          <w:ilvl w:val="0"/>
          <w:numId w:val="2"/>
        </w:numPr>
        <w:spacing w:before="0" w:line="240" w:lineRule="auto"/>
        <w:ind w:left="426"/>
        <w:rPr>
          <w:rFonts w:ascii="Arial" w:hAnsi="Arial" w:cs="Arial"/>
          <w:highlight w:val="yellow"/>
        </w:rPr>
      </w:pPr>
      <w:r w:rsidRPr="00655C43">
        <w:rPr>
          <w:rFonts w:ascii="Arial" w:hAnsi="Arial" w:cs="Arial"/>
          <w:highlight w:val="yellow"/>
        </w:rPr>
        <w:t xml:space="preserve">A local advocacy </w:t>
      </w:r>
      <w:proofErr w:type="gramStart"/>
      <w:r w:rsidRPr="00655C43">
        <w:rPr>
          <w:rFonts w:ascii="Arial" w:hAnsi="Arial" w:cs="Arial"/>
          <w:highlight w:val="yellow"/>
        </w:rPr>
        <w:t>group</w:t>
      </w:r>
      <w:proofErr w:type="gramEnd"/>
      <w:r w:rsidRPr="00655C43">
        <w:rPr>
          <w:rFonts w:ascii="Arial" w:hAnsi="Arial" w:cs="Arial"/>
          <w:highlight w:val="yellow"/>
        </w:rPr>
        <w:t>.</w:t>
      </w:r>
    </w:p>
    <w:p w:rsidRPr="007B0809" w:rsidR="007B0809" w:rsidP="007B0809" w:rsidRDefault="007B0809" w14:paraId="7EAC5A28" w14:textId="77777777">
      <w:pPr>
        <w:pStyle w:val="AODocTxt"/>
        <w:spacing w:before="0" w:line="240" w:lineRule="auto"/>
        <w:rPr>
          <w:rFonts w:ascii="Arial" w:hAnsi="Arial" w:cs="Arial"/>
        </w:rPr>
      </w:pPr>
    </w:p>
    <w:p w:rsidR="007B0809" w:rsidP="004F49B5" w:rsidRDefault="007B0809" w14:paraId="5FDF721B" w14:textId="3E953229">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rsidRPr="007B0809" w:rsidR="007B0809" w:rsidP="007B0809" w:rsidRDefault="007B0809" w14:paraId="7CB21240" w14:textId="77777777">
      <w:pPr>
        <w:pStyle w:val="AODocTxt"/>
        <w:spacing w:before="0" w:line="240" w:lineRule="auto"/>
        <w:rPr>
          <w:rFonts w:ascii="Arial" w:hAnsi="Arial" w:cs="Arial"/>
        </w:rPr>
      </w:pPr>
    </w:p>
    <w:p w:rsidRPr="007B0809" w:rsidR="007B0809" w:rsidP="007B0809" w:rsidRDefault="007B0809" w14:paraId="1A294DDA" w14:textId="77777777">
      <w:pPr>
        <w:pStyle w:val="AODocTxt"/>
        <w:spacing w:before="0" w:line="240" w:lineRule="auto"/>
        <w:rPr>
          <w:rFonts w:ascii="Arial" w:hAnsi="Arial" w:cs="Arial"/>
          <w:b/>
        </w:rPr>
      </w:pPr>
      <w:r w:rsidRPr="007B0809">
        <w:rPr>
          <w:rFonts w:ascii="Arial" w:hAnsi="Arial" w:cs="Arial"/>
          <w:b/>
        </w:rPr>
        <w:t>Question 1.2</w:t>
      </w:r>
    </w:p>
    <w:p w:rsidR="007B0809" w:rsidP="007B0809" w:rsidRDefault="007B0809" w14:paraId="1B893D70" w14:textId="77777777">
      <w:pPr>
        <w:pStyle w:val="AODocTxt"/>
        <w:spacing w:before="0" w:line="240" w:lineRule="auto"/>
        <w:rPr>
          <w:rFonts w:ascii="Arial" w:hAnsi="Arial" w:cs="Arial"/>
        </w:rPr>
      </w:pPr>
    </w:p>
    <w:p w:rsidR="007B0809" w:rsidP="007B0809" w:rsidRDefault="007B0809" w14:paraId="3D9C6815" w14:textId="7B06AA2E">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rsidRPr="007B0809" w:rsidR="007B0809" w:rsidP="007B0809" w:rsidRDefault="007B0809" w14:paraId="49BBA544" w14:textId="77777777">
      <w:pPr>
        <w:pStyle w:val="AODocTxt"/>
        <w:spacing w:before="0" w:line="240" w:lineRule="auto"/>
        <w:rPr>
          <w:rFonts w:ascii="Arial" w:hAnsi="Arial" w:cs="Arial"/>
        </w:rPr>
      </w:pPr>
    </w:p>
    <w:p w:rsidRPr="00655C43" w:rsidR="007B0809" w:rsidP="004F49B5" w:rsidRDefault="007B0809" w14:paraId="3451B6D6" w14:textId="509B9141">
      <w:pPr>
        <w:pStyle w:val="AODocTxt"/>
        <w:numPr>
          <w:ilvl w:val="0"/>
          <w:numId w:val="3"/>
        </w:numPr>
        <w:spacing w:before="0" w:line="240" w:lineRule="auto"/>
        <w:ind w:left="426"/>
        <w:rPr>
          <w:rFonts w:ascii="Arial" w:hAnsi="Arial" w:cs="Arial"/>
          <w:highlight w:val="yellow"/>
        </w:rPr>
      </w:pPr>
      <w:r w:rsidRPr="00655C43">
        <w:rPr>
          <w:rFonts w:ascii="Arial" w:hAnsi="Arial" w:cs="Arial"/>
          <w:highlight w:val="yellow"/>
        </w:rPr>
        <w:t>Executory contracts are clearly defined by the bankruptcy code.</w:t>
      </w:r>
    </w:p>
    <w:p w:rsidRPr="007B0809" w:rsidR="007B0809" w:rsidP="007B0809" w:rsidRDefault="007B0809" w14:paraId="7B204619" w14:textId="77777777">
      <w:pPr>
        <w:pStyle w:val="AODocTxt"/>
        <w:spacing w:before="0" w:line="240" w:lineRule="auto"/>
        <w:rPr>
          <w:rFonts w:ascii="Arial" w:hAnsi="Arial" w:cs="Arial"/>
        </w:rPr>
      </w:pPr>
    </w:p>
    <w:p w:rsidR="007B0809" w:rsidP="004F49B5" w:rsidRDefault="007B0809" w14:paraId="3DDFF4FA" w14:textId="202E24F8">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rsidRPr="007B0809" w:rsidR="007B0809" w:rsidP="007B0809" w:rsidRDefault="007B0809" w14:paraId="254D098C" w14:textId="77777777">
      <w:pPr>
        <w:pStyle w:val="AODocTxt"/>
        <w:spacing w:before="0" w:line="240" w:lineRule="auto"/>
        <w:rPr>
          <w:rFonts w:ascii="Arial" w:hAnsi="Arial" w:cs="Arial"/>
        </w:rPr>
      </w:pPr>
    </w:p>
    <w:p w:rsidR="007B0809" w:rsidP="004F49B5" w:rsidRDefault="007B0809" w14:paraId="53C5EE5D" w14:textId="17741654">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rsidRPr="007B0809" w:rsidR="007B0809" w:rsidP="007B0809" w:rsidRDefault="007B0809" w14:paraId="5B895F84" w14:textId="77777777">
      <w:pPr>
        <w:pStyle w:val="AODocTxt"/>
        <w:spacing w:before="0" w:line="240" w:lineRule="auto"/>
        <w:rPr>
          <w:rFonts w:ascii="Arial" w:hAnsi="Arial" w:cs="Arial"/>
        </w:rPr>
      </w:pPr>
    </w:p>
    <w:p w:rsidR="007B0809" w:rsidP="004F49B5" w:rsidRDefault="007B0809" w14:paraId="6B5653ED" w14:textId="52AF04D6">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rsidRPr="007B0809" w:rsidR="007B0809" w:rsidP="007B0809" w:rsidRDefault="007B0809" w14:paraId="7DA47AF8" w14:textId="77777777">
      <w:pPr>
        <w:pStyle w:val="AODocTxt"/>
        <w:spacing w:before="0" w:line="240" w:lineRule="auto"/>
        <w:rPr>
          <w:rFonts w:ascii="Arial" w:hAnsi="Arial" w:cs="Arial"/>
        </w:rPr>
      </w:pPr>
    </w:p>
    <w:p w:rsidRPr="007B0809" w:rsidR="007B0809" w:rsidP="004F49B5" w:rsidRDefault="007B0809" w14:paraId="69DEABBF" w14:textId="068C54BD">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rsidRPr="007B0809" w:rsidR="007B0809" w:rsidP="007B0809" w:rsidRDefault="007B0809" w14:paraId="64F122E0" w14:textId="77777777">
      <w:pPr>
        <w:pStyle w:val="AODocTxt"/>
        <w:spacing w:before="0" w:line="240" w:lineRule="auto"/>
        <w:rPr>
          <w:rFonts w:ascii="Arial" w:hAnsi="Arial" w:cs="Arial"/>
          <w:bCs/>
        </w:rPr>
      </w:pPr>
    </w:p>
    <w:p w:rsidRPr="007B0809" w:rsidR="007B0809" w:rsidP="007B0809" w:rsidRDefault="007B0809" w14:paraId="1E6FB9F2" w14:textId="3EBFF39A">
      <w:pPr>
        <w:pStyle w:val="AODocTxt"/>
        <w:spacing w:before="0" w:line="240" w:lineRule="auto"/>
        <w:rPr>
          <w:rFonts w:ascii="Arial" w:hAnsi="Arial" w:cs="Arial"/>
          <w:b/>
        </w:rPr>
      </w:pPr>
      <w:r w:rsidRPr="007B0809">
        <w:rPr>
          <w:rFonts w:ascii="Arial" w:hAnsi="Arial" w:cs="Arial"/>
          <w:b/>
        </w:rPr>
        <w:t>Question 1.3</w:t>
      </w:r>
    </w:p>
    <w:p w:rsidR="007B0809" w:rsidP="007B0809" w:rsidRDefault="007B0809" w14:paraId="07677115" w14:textId="77777777">
      <w:pPr>
        <w:pStyle w:val="AODocTxt"/>
        <w:spacing w:before="0" w:line="240" w:lineRule="auto"/>
        <w:rPr>
          <w:rFonts w:ascii="Arial" w:hAnsi="Arial" w:cs="Arial"/>
        </w:rPr>
      </w:pPr>
    </w:p>
    <w:p w:rsidR="007B0809" w:rsidP="007B0809" w:rsidRDefault="007B0809" w14:paraId="3F3D408C" w14:textId="2669F385">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rsidRPr="007B0809" w:rsidR="007B0809" w:rsidP="007B0809" w:rsidRDefault="007B0809" w14:paraId="49AFF455" w14:textId="77777777">
      <w:pPr>
        <w:pStyle w:val="AODocTxt"/>
        <w:spacing w:before="0" w:line="240" w:lineRule="auto"/>
        <w:rPr>
          <w:rFonts w:ascii="Arial" w:hAnsi="Arial" w:cs="Arial"/>
        </w:rPr>
      </w:pPr>
    </w:p>
    <w:p w:rsidR="007B0809" w:rsidP="004F49B5" w:rsidRDefault="007B0809" w14:paraId="2BE20736" w14:textId="27DB25C9">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rsidRPr="007B0809" w:rsidR="007B0809" w:rsidP="007B0809" w:rsidRDefault="007B0809" w14:paraId="0CA0E66D" w14:textId="77777777">
      <w:pPr>
        <w:pStyle w:val="AODocTxt"/>
        <w:spacing w:before="0" w:line="240" w:lineRule="auto"/>
        <w:ind w:left="426"/>
        <w:rPr>
          <w:rFonts w:ascii="Arial" w:hAnsi="Arial" w:cs="Arial"/>
        </w:rPr>
      </w:pPr>
    </w:p>
    <w:p w:rsidR="007B0809" w:rsidP="004F49B5" w:rsidRDefault="007B0809" w14:paraId="193B7FFB" w14:textId="5F055199">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rsidR="007B0809" w:rsidP="004F49B5" w:rsidRDefault="007B0809" w14:paraId="1AA9801A" w14:textId="6A1855FD">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rsidRPr="007B0809" w:rsidR="007B0809" w:rsidP="007B0809" w:rsidRDefault="007B0809" w14:paraId="0E649C10" w14:textId="77777777">
      <w:pPr>
        <w:pStyle w:val="AODocTxt"/>
        <w:spacing w:before="0" w:line="240" w:lineRule="auto"/>
        <w:ind w:left="426"/>
        <w:rPr>
          <w:rFonts w:ascii="Arial" w:hAnsi="Arial" w:cs="Arial"/>
        </w:rPr>
      </w:pPr>
    </w:p>
    <w:p w:rsidRPr="00655C43" w:rsidR="007B0809" w:rsidP="004F49B5" w:rsidRDefault="007B0809" w14:paraId="73A41698" w14:textId="42A7AAF8">
      <w:pPr>
        <w:pStyle w:val="AODocTxt"/>
        <w:numPr>
          <w:ilvl w:val="0"/>
          <w:numId w:val="4"/>
        </w:numPr>
        <w:spacing w:before="0" w:line="240" w:lineRule="auto"/>
        <w:ind w:left="426"/>
        <w:rPr>
          <w:rFonts w:ascii="Arial" w:hAnsi="Arial" w:cs="Arial"/>
          <w:highlight w:val="yellow"/>
        </w:rPr>
      </w:pPr>
      <w:r w:rsidRPr="00655C43">
        <w:rPr>
          <w:rFonts w:ascii="Arial" w:hAnsi="Arial" w:cs="Arial"/>
          <w:highlight w:val="yellow"/>
        </w:rPr>
        <w:t xml:space="preserve">A debtor’s motion to dismiss an involuntary bankruptcy petition. </w:t>
      </w:r>
    </w:p>
    <w:p w:rsidRPr="007B0809" w:rsidR="007B0809" w:rsidP="007B0809" w:rsidRDefault="007B0809" w14:paraId="25F2F3DE" w14:textId="77777777">
      <w:pPr>
        <w:pStyle w:val="AODocTxt"/>
        <w:spacing w:before="0" w:line="240" w:lineRule="auto"/>
        <w:ind w:left="426"/>
        <w:rPr>
          <w:rFonts w:ascii="Arial" w:hAnsi="Arial" w:cs="Arial"/>
        </w:rPr>
      </w:pPr>
    </w:p>
    <w:p w:rsidR="007B0809" w:rsidP="004F49B5" w:rsidRDefault="007B0809" w14:paraId="7903CB6A" w14:textId="3556C0B0">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rsidRPr="007B0809" w:rsidR="007B0809" w:rsidP="007B0809" w:rsidRDefault="007B0809" w14:paraId="453DAEF8" w14:textId="77777777">
      <w:pPr>
        <w:pStyle w:val="AODocTxt"/>
        <w:spacing w:before="0" w:line="240" w:lineRule="auto"/>
        <w:rPr>
          <w:rFonts w:ascii="Arial" w:hAnsi="Arial" w:cs="Arial"/>
        </w:rPr>
      </w:pPr>
    </w:p>
    <w:p w:rsidRPr="007B0809" w:rsidR="007B0809" w:rsidP="007B0809" w:rsidRDefault="007B0809" w14:paraId="219F87A3" w14:textId="77777777">
      <w:pPr>
        <w:pStyle w:val="AODocTxt"/>
        <w:spacing w:before="0" w:line="240" w:lineRule="auto"/>
        <w:rPr>
          <w:rFonts w:ascii="Arial" w:hAnsi="Arial" w:cs="Arial"/>
          <w:b/>
        </w:rPr>
      </w:pPr>
      <w:r w:rsidRPr="007B0809">
        <w:rPr>
          <w:rFonts w:ascii="Arial" w:hAnsi="Arial" w:cs="Arial"/>
          <w:b/>
        </w:rPr>
        <w:t>Question 1.4</w:t>
      </w:r>
    </w:p>
    <w:p w:rsidR="004F49B5" w:rsidP="007B0809" w:rsidRDefault="004F49B5" w14:paraId="06791AE6" w14:textId="77777777">
      <w:pPr>
        <w:pStyle w:val="AODocTxt"/>
        <w:spacing w:before="0" w:line="240" w:lineRule="auto"/>
        <w:rPr>
          <w:rFonts w:ascii="Arial" w:hAnsi="Arial" w:cs="Arial"/>
        </w:rPr>
      </w:pPr>
    </w:p>
    <w:p w:rsidR="007B0809" w:rsidP="007B0809" w:rsidRDefault="007B0809" w14:paraId="002341E0" w14:textId="6F0994C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rsidRPr="007B0809" w:rsidR="004F49B5" w:rsidP="007B0809" w:rsidRDefault="004F49B5" w14:paraId="5D9DDBCD" w14:textId="77777777">
      <w:pPr>
        <w:pStyle w:val="AODocTxt"/>
        <w:spacing w:before="0" w:line="240" w:lineRule="auto"/>
        <w:rPr>
          <w:rFonts w:ascii="Arial" w:hAnsi="Arial" w:cs="Arial"/>
        </w:rPr>
      </w:pPr>
    </w:p>
    <w:p w:rsidRPr="00655C43" w:rsidR="007B0809" w:rsidP="004F49B5" w:rsidRDefault="007B0809" w14:paraId="63A2D0B1" w14:textId="37FA276E">
      <w:pPr>
        <w:pStyle w:val="AODocTxt"/>
        <w:numPr>
          <w:ilvl w:val="0"/>
          <w:numId w:val="5"/>
        </w:numPr>
        <w:spacing w:before="0" w:line="240" w:lineRule="auto"/>
        <w:ind w:left="426"/>
        <w:rPr>
          <w:rFonts w:ascii="Arial" w:hAnsi="Arial" w:cs="Arial"/>
          <w:highlight w:val="yellow"/>
        </w:rPr>
      </w:pPr>
      <w:r w:rsidRPr="00655C43">
        <w:rPr>
          <w:rFonts w:ascii="Arial" w:hAnsi="Arial" w:cs="Arial"/>
          <w:highlight w:val="yellow"/>
        </w:rPr>
        <w:t xml:space="preserve">A pre-pack cannot be used if the debtor wishes to reject executory contracts. </w:t>
      </w:r>
    </w:p>
    <w:p w:rsidRPr="007B0809" w:rsidR="004F49B5" w:rsidP="004F49B5" w:rsidRDefault="004F49B5" w14:paraId="66D91673" w14:textId="77777777">
      <w:pPr>
        <w:pStyle w:val="AODocTxt"/>
        <w:spacing w:before="0" w:line="240" w:lineRule="auto"/>
        <w:ind w:left="426"/>
        <w:rPr>
          <w:rFonts w:ascii="Arial" w:hAnsi="Arial" w:cs="Arial"/>
        </w:rPr>
      </w:pPr>
    </w:p>
    <w:p w:rsidR="007B0809" w:rsidP="004F49B5" w:rsidRDefault="007B0809" w14:paraId="782CF77B" w14:textId="5385BEDF">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rsidRPr="007B0809" w:rsidR="004F49B5" w:rsidP="004F49B5" w:rsidRDefault="004F49B5" w14:paraId="601375B3" w14:textId="77777777">
      <w:pPr>
        <w:pStyle w:val="AODocTxt"/>
        <w:spacing w:before="0" w:line="240" w:lineRule="auto"/>
        <w:ind w:left="426"/>
        <w:rPr>
          <w:rFonts w:ascii="Arial" w:hAnsi="Arial" w:cs="Arial"/>
        </w:rPr>
      </w:pPr>
    </w:p>
    <w:p w:rsidR="007B0809" w:rsidP="004F49B5" w:rsidRDefault="007B0809" w14:paraId="701F2876" w14:textId="6CFA77C0">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rsidRPr="007B0809" w:rsidR="004F49B5" w:rsidP="004F49B5" w:rsidRDefault="004F49B5" w14:paraId="78733985" w14:textId="77777777">
      <w:pPr>
        <w:pStyle w:val="AODocTxt"/>
        <w:spacing w:before="0" w:line="240" w:lineRule="auto"/>
        <w:ind w:left="426"/>
        <w:rPr>
          <w:rFonts w:ascii="Arial" w:hAnsi="Arial" w:cs="Arial"/>
        </w:rPr>
      </w:pPr>
    </w:p>
    <w:p w:rsidR="007B0809" w:rsidP="004F49B5" w:rsidRDefault="007B0809" w14:paraId="76601D97" w14:textId="70943D02">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rsidRPr="007B0809" w:rsidR="004F49B5" w:rsidP="004F49B5" w:rsidRDefault="004F49B5" w14:paraId="7FF2E55C" w14:textId="77777777">
      <w:pPr>
        <w:pStyle w:val="AODocTxt"/>
        <w:spacing w:before="0" w:line="240" w:lineRule="auto"/>
        <w:ind w:left="426"/>
        <w:rPr>
          <w:rFonts w:ascii="Arial" w:hAnsi="Arial" w:cs="Arial"/>
        </w:rPr>
      </w:pPr>
    </w:p>
    <w:p w:rsidR="007B0809" w:rsidP="004F49B5" w:rsidRDefault="007B0809" w14:paraId="605C2B41" w14:textId="03AD7D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rsidRPr="007B0809" w:rsidR="004F49B5" w:rsidP="007B0809" w:rsidRDefault="004F49B5" w14:paraId="0F5A7672" w14:textId="77777777">
      <w:pPr>
        <w:pStyle w:val="AODocTxt"/>
        <w:spacing w:before="0" w:line="240" w:lineRule="auto"/>
        <w:rPr>
          <w:rFonts w:ascii="Arial" w:hAnsi="Arial" w:cs="Arial"/>
        </w:rPr>
      </w:pPr>
    </w:p>
    <w:p w:rsidRPr="007B0809" w:rsidR="007B0809" w:rsidP="007B0809" w:rsidRDefault="007B0809" w14:paraId="4AF45120" w14:textId="77777777">
      <w:pPr>
        <w:pStyle w:val="AODocTxt"/>
        <w:spacing w:before="0" w:line="240" w:lineRule="auto"/>
        <w:rPr>
          <w:rFonts w:ascii="Arial" w:hAnsi="Arial" w:cs="Arial"/>
          <w:b/>
        </w:rPr>
      </w:pPr>
      <w:r w:rsidRPr="007B0809">
        <w:rPr>
          <w:rFonts w:ascii="Arial" w:hAnsi="Arial" w:cs="Arial"/>
          <w:b/>
        </w:rPr>
        <w:t>Question 1.5</w:t>
      </w:r>
    </w:p>
    <w:p w:rsidR="004F49B5" w:rsidP="007B0809" w:rsidRDefault="004F49B5" w14:paraId="3E55B8D4" w14:textId="77777777">
      <w:pPr>
        <w:pStyle w:val="AODocTxt"/>
        <w:spacing w:before="0" w:line="240" w:lineRule="auto"/>
        <w:rPr>
          <w:rFonts w:ascii="Arial" w:hAnsi="Arial" w:cs="Arial"/>
        </w:rPr>
      </w:pPr>
    </w:p>
    <w:p w:rsidR="007B0809" w:rsidP="007B0809" w:rsidRDefault="007B0809" w14:paraId="19D923C6" w14:textId="79A07FC5">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rsidRPr="007B0809" w:rsidR="004F49B5" w:rsidP="007B0809" w:rsidRDefault="004F49B5" w14:paraId="1D52A8D9" w14:textId="77777777">
      <w:pPr>
        <w:pStyle w:val="AODocTxt"/>
        <w:spacing w:before="0" w:line="240" w:lineRule="auto"/>
        <w:rPr>
          <w:rFonts w:ascii="Arial" w:hAnsi="Arial" w:cs="Arial"/>
        </w:rPr>
      </w:pPr>
    </w:p>
    <w:p w:rsidR="007B0809" w:rsidP="004F49B5" w:rsidRDefault="007B0809" w14:paraId="3A3E3307" w14:textId="72A6B5BB">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rsidRPr="007B0809" w:rsidR="004F49B5" w:rsidP="004F49B5" w:rsidRDefault="004F49B5" w14:paraId="1495EA71" w14:textId="77777777">
      <w:pPr>
        <w:pStyle w:val="AODocTxt"/>
        <w:spacing w:before="0" w:line="240" w:lineRule="auto"/>
        <w:ind w:left="426"/>
        <w:rPr>
          <w:rFonts w:ascii="Arial" w:hAnsi="Arial" w:cs="Arial"/>
        </w:rPr>
      </w:pPr>
    </w:p>
    <w:p w:rsidR="007B0809" w:rsidP="004F49B5" w:rsidRDefault="007B0809" w14:paraId="7F38740C" w14:textId="0B5BFDED">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rsidRPr="007B0809" w:rsidR="004F49B5" w:rsidP="004F49B5" w:rsidRDefault="004F49B5" w14:paraId="4C7831E6" w14:textId="77777777">
      <w:pPr>
        <w:pStyle w:val="AODocTxt"/>
        <w:spacing w:before="0" w:line="240" w:lineRule="auto"/>
        <w:ind w:left="426"/>
        <w:rPr>
          <w:rFonts w:ascii="Arial" w:hAnsi="Arial" w:cs="Arial"/>
        </w:rPr>
      </w:pPr>
    </w:p>
    <w:p w:rsidRPr="00655C43" w:rsidR="007B0809" w:rsidP="004F49B5" w:rsidRDefault="007B0809" w14:paraId="33C8EEC4" w14:textId="6329345A">
      <w:pPr>
        <w:pStyle w:val="AODocTxt"/>
        <w:numPr>
          <w:ilvl w:val="0"/>
          <w:numId w:val="6"/>
        </w:numPr>
        <w:spacing w:before="0" w:line="240" w:lineRule="auto"/>
        <w:ind w:left="426"/>
        <w:rPr>
          <w:rFonts w:ascii="Arial" w:hAnsi="Arial" w:cs="Arial"/>
          <w:highlight w:val="yellow"/>
        </w:rPr>
      </w:pPr>
      <w:r w:rsidRPr="00655C43">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rsidRPr="007B0809" w:rsidR="004F49B5" w:rsidP="004F49B5" w:rsidRDefault="004F49B5" w14:paraId="577353A3" w14:textId="77777777">
      <w:pPr>
        <w:pStyle w:val="AODocTxt"/>
        <w:spacing w:before="0" w:line="240" w:lineRule="auto"/>
        <w:ind w:left="426"/>
        <w:rPr>
          <w:rFonts w:ascii="Arial" w:hAnsi="Arial" w:cs="Arial"/>
        </w:rPr>
      </w:pPr>
    </w:p>
    <w:p w:rsidR="007B0809" w:rsidP="004F49B5" w:rsidRDefault="007B0809" w14:paraId="3E7C992A" w14:textId="3ECA56EF">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rsidRPr="007B0809" w:rsidR="004F49B5" w:rsidP="004F49B5" w:rsidRDefault="004F49B5" w14:paraId="3D47061E" w14:textId="77777777">
      <w:pPr>
        <w:pStyle w:val="AODocTxt"/>
        <w:spacing w:before="0" w:line="240" w:lineRule="auto"/>
        <w:ind w:left="426"/>
        <w:rPr>
          <w:rFonts w:ascii="Arial" w:hAnsi="Arial" w:cs="Arial"/>
        </w:rPr>
      </w:pPr>
    </w:p>
    <w:p w:rsidR="007B0809" w:rsidP="004F49B5" w:rsidRDefault="007B0809" w14:paraId="4D0CB06E" w14:textId="7375DA6D">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rsidRPr="007B0809" w:rsidR="004F49B5" w:rsidP="007B0809" w:rsidRDefault="004F49B5" w14:paraId="08E8DBA6" w14:textId="77777777">
      <w:pPr>
        <w:pStyle w:val="AODocTxt"/>
        <w:spacing w:before="0" w:line="240" w:lineRule="auto"/>
        <w:rPr>
          <w:rFonts w:ascii="Arial" w:hAnsi="Arial" w:cs="Arial"/>
        </w:rPr>
      </w:pPr>
    </w:p>
    <w:p w:rsidRPr="007B0809" w:rsidR="007B0809" w:rsidP="007B0809" w:rsidRDefault="007B0809" w14:paraId="7AD9536F" w14:textId="77777777">
      <w:pPr>
        <w:pStyle w:val="AODocTxt"/>
        <w:spacing w:before="0" w:line="240" w:lineRule="auto"/>
        <w:rPr>
          <w:rFonts w:ascii="Arial" w:hAnsi="Arial" w:cs="Arial"/>
          <w:b/>
        </w:rPr>
      </w:pPr>
      <w:r w:rsidRPr="007B0809">
        <w:rPr>
          <w:rFonts w:ascii="Arial" w:hAnsi="Arial" w:cs="Arial"/>
          <w:b/>
        </w:rPr>
        <w:t>Question 1.6</w:t>
      </w:r>
    </w:p>
    <w:p w:rsidR="004F49B5" w:rsidP="007B0809" w:rsidRDefault="004F49B5" w14:paraId="1AC12521" w14:textId="77777777">
      <w:pPr>
        <w:pStyle w:val="AODocTxt"/>
        <w:spacing w:before="0" w:line="240" w:lineRule="auto"/>
        <w:rPr>
          <w:rFonts w:ascii="Arial" w:hAnsi="Arial" w:cs="Arial"/>
        </w:rPr>
      </w:pPr>
    </w:p>
    <w:p w:rsidR="007B0809" w:rsidP="007B0809" w:rsidRDefault="007B0809" w14:paraId="7E62C39B" w14:textId="6A078A3D">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rsidRPr="007B0809" w:rsidR="004F49B5" w:rsidP="007B0809" w:rsidRDefault="004F49B5" w14:paraId="3E4F235F" w14:textId="77777777">
      <w:pPr>
        <w:pStyle w:val="AODocTxt"/>
        <w:spacing w:before="0" w:line="240" w:lineRule="auto"/>
        <w:rPr>
          <w:rFonts w:ascii="Arial" w:hAnsi="Arial" w:cs="Arial"/>
        </w:rPr>
      </w:pPr>
    </w:p>
    <w:p w:rsidR="007B0809" w:rsidP="004F49B5" w:rsidRDefault="007B0809" w14:paraId="2DF6FBEF" w14:textId="5CBF9079">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rsidRPr="007B0809" w:rsidR="004F49B5" w:rsidP="004F49B5" w:rsidRDefault="004F49B5" w14:paraId="6EF549F3" w14:textId="77777777">
      <w:pPr>
        <w:pStyle w:val="AODocTxt"/>
        <w:spacing w:before="0" w:line="240" w:lineRule="auto"/>
        <w:ind w:left="426"/>
        <w:rPr>
          <w:rFonts w:ascii="Arial" w:hAnsi="Arial" w:cs="Arial"/>
        </w:rPr>
      </w:pPr>
    </w:p>
    <w:p w:rsidR="007B0809" w:rsidP="004F49B5" w:rsidRDefault="007B0809" w14:paraId="772BC594" w14:textId="76FF905F">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rsidRPr="007B0809" w:rsidR="004F49B5" w:rsidP="004F49B5" w:rsidRDefault="004F49B5" w14:paraId="7F190A1E" w14:textId="77777777">
      <w:pPr>
        <w:pStyle w:val="AODocTxt"/>
        <w:spacing w:before="0" w:line="240" w:lineRule="auto"/>
        <w:ind w:left="426"/>
        <w:rPr>
          <w:rFonts w:ascii="Arial" w:hAnsi="Arial" w:cs="Arial"/>
        </w:rPr>
      </w:pPr>
    </w:p>
    <w:p w:rsidR="007B0809" w:rsidP="004F49B5" w:rsidRDefault="007B0809" w14:paraId="6547C316" w14:textId="4552939C">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rsidR="004F49B5" w:rsidP="004F49B5" w:rsidRDefault="004F49B5" w14:paraId="4311F9A4" w14:textId="7EBE14D5">
      <w:pPr>
        <w:pStyle w:val="AODocTxt"/>
        <w:spacing w:before="0" w:line="240" w:lineRule="auto"/>
        <w:ind w:left="426"/>
        <w:rPr>
          <w:rFonts w:ascii="Arial" w:hAnsi="Arial" w:cs="Arial"/>
        </w:rPr>
      </w:pPr>
    </w:p>
    <w:p w:rsidR="00895EF1" w:rsidP="004F49B5" w:rsidRDefault="00895EF1" w14:paraId="5D321BA6" w14:textId="665B9B46">
      <w:pPr>
        <w:pStyle w:val="AODocTxt"/>
        <w:spacing w:before="0" w:line="240" w:lineRule="auto"/>
        <w:ind w:left="426"/>
        <w:rPr>
          <w:rFonts w:ascii="Arial" w:hAnsi="Arial" w:cs="Arial"/>
        </w:rPr>
      </w:pPr>
    </w:p>
    <w:p w:rsidR="00895EF1" w:rsidP="004F49B5" w:rsidRDefault="00895EF1" w14:paraId="6360C2D1" w14:textId="77777777">
      <w:pPr>
        <w:pStyle w:val="AODocTxt"/>
        <w:spacing w:before="0" w:line="240" w:lineRule="auto"/>
        <w:ind w:left="426"/>
        <w:rPr>
          <w:rFonts w:ascii="Arial" w:hAnsi="Arial" w:cs="Arial"/>
        </w:rPr>
      </w:pPr>
    </w:p>
    <w:p w:rsidR="007B0809" w:rsidP="004F49B5" w:rsidRDefault="007B0809" w14:paraId="0D141ACE" w14:textId="0BF58E5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rsidRPr="007B0809" w:rsidR="004F49B5" w:rsidP="004F49B5" w:rsidRDefault="004F49B5" w14:paraId="3D1F5A29" w14:textId="77777777">
      <w:pPr>
        <w:pStyle w:val="AODocTxt"/>
        <w:spacing w:before="0" w:line="240" w:lineRule="auto"/>
        <w:ind w:left="426"/>
        <w:rPr>
          <w:rFonts w:ascii="Arial" w:hAnsi="Arial" w:cs="Arial"/>
        </w:rPr>
      </w:pPr>
    </w:p>
    <w:p w:rsidRPr="00655C43" w:rsidR="007B0809" w:rsidP="004F49B5" w:rsidRDefault="007B0809" w14:paraId="57551552" w14:textId="6662115E">
      <w:pPr>
        <w:pStyle w:val="AODocTxt"/>
        <w:numPr>
          <w:ilvl w:val="0"/>
          <w:numId w:val="7"/>
        </w:numPr>
        <w:spacing w:before="0" w:line="240" w:lineRule="auto"/>
        <w:ind w:left="426"/>
        <w:rPr>
          <w:rFonts w:ascii="Arial" w:hAnsi="Arial" w:cs="Arial"/>
          <w:highlight w:val="yellow"/>
        </w:rPr>
      </w:pPr>
      <w:r w:rsidRPr="00655C43">
        <w:rPr>
          <w:rFonts w:ascii="Arial" w:hAnsi="Arial" w:cs="Arial"/>
          <w:highlight w:val="yellow"/>
        </w:rPr>
        <w:t>During the exclusivity period, only the debtor may propose a plan of reorganization.</w:t>
      </w:r>
    </w:p>
    <w:p w:rsidRPr="007B0809" w:rsidR="004F49B5" w:rsidP="007B0809" w:rsidRDefault="004F49B5" w14:paraId="0C40290F" w14:textId="77777777">
      <w:pPr>
        <w:pStyle w:val="AODocTxt"/>
        <w:spacing w:before="0" w:line="240" w:lineRule="auto"/>
        <w:rPr>
          <w:rFonts w:ascii="Arial" w:hAnsi="Arial" w:cs="Arial"/>
        </w:rPr>
      </w:pPr>
    </w:p>
    <w:p w:rsidRPr="007B0809" w:rsidR="007B0809" w:rsidP="007B0809" w:rsidRDefault="007B0809" w14:paraId="761FC560" w14:textId="77777777">
      <w:pPr>
        <w:pStyle w:val="AODocTxt"/>
        <w:spacing w:before="0" w:line="240" w:lineRule="auto"/>
        <w:rPr>
          <w:rFonts w:ascii="Arial" w:hAnsi="Arial" w:cs="Arial"/>
          <w:b/>
        </w:rPr>
      </w:pPr>
      <w:r w:rsidRPr="007B0809">
        <w:rPr>
          <w:rFonts w:ascii="Arial" w:hAnsi="Arial" w:cs="Arial"/>
          <w:b/>
        </w:rPr>
        <w:t>Question 1.7</w:t>
      </w:r>
    </w:p>
    <w:p w:rsidR="004F49B5" w:rsidP="007B0809" w:rsidRDefault="004F49B5" w14:paraId="55B81C1E" w14:textId="77777777">
      <w:pPr>
        <w:pStyle w:val="AODocTxt"/>
        <w:spacing w:before="0" w:line="240" w:lineRule="auto"/>
        <w:rPr>
          <w:rFonts w:ascii="Arial" w:hAnsi="Arial" w:cs="Arial"/>
        </w:rPr>
      </w:pPr>
    </w:p>
    <w:p w:rsidR="007B0809" w:rsidP="007B0809" w:rsidRDefault="007B0809" w14:paraId="3BE3E4DE" w14:textId="131B89FC">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rsidRPr="007B0809" w:rsidR="004F49B5" w:rsidP="007B0809" w:rsidRDefault="004F49B5" w14:paraId="22894F48" w14:textId="77777777">
      <w:pPr>
        <w:pStyle w:val="AODocTxt"/>
        <w:spacing w:before="0" w:line="240" w:lineRule="auto"/>
        <w:rPr>
          <w:rFonts w:ascii="Arial" w:hAnsi="Arial" w:cs="Arial"/>
        </w:rPr>
      </w:pPr>
    </w:p>
    <w:p w:rsidRPr="00655C43" w:rsidR="007B0809" w:rsidP="004F49B5" w:rsidRDefault="007B0809" w14:paraId="30CFEF31" w14:textId="429DA9D6">
      <w:pPr>
        <w:pStyle w:val="AODocTxt"/>
        <w:numPr>
          <w:ilvl w:val="0"/>
          <w:numId w:val="8"/>
        </w:numPr>
        <w:spacing w:before="0" w:line="240" w:lineRule="auto"/>
        <w:ind w:left="426"/>
        <w:rPr>
          <w:rFonts w:ascii="Arial" w:hAnsi="Arial" w:cs="Arial"/>
          <w:highlight w:val="yellow"/>
        </w:rPr>
      </w:pPr>
      <w:r w:rsidRPr="00655C43">
        <w:rPr>
          <w:rFonts w:ascii="Arial" w:hAnsi="Arial" w:cs="Arial"/>
          <w:highlight w:val="yellow"/>
        </w:rPr>
        <w:t>The automatic stay applies upon the filing of a petition for recognition.</w:t>
      </w:r>
      <w:r w:rsidRPr="00655C43" w:rsidR="00F92140">
        <w:rPr>
          <w:rFonts w:ascii="Arial" w:hAnsi="Arial" w:cs="Arial"/>
          <w:highlight w:val="yellow"/>
        </w:rPr>
        <w:t xml:space="preserve"> </w:t>
      </w:r>
    </w:p>
    <w:p w:rsidRPr="007B0809" w:rsidR="004F49B5" w:rsidP="004F49B5" w:rsidRDefault="004F49B5" w14:paraId="600F697C" w14:textId="77777777">
      <w:pPr>
        <w:pStyle w:val="AODocTxt"/>
        <w:spacing w:before="0" w:line="240" w:lineRule="auto"/>
        <w:ind w:left="426"/>
        <w:rPr>
          <w:rFonts w:ascii="Arial" w:hAnsi="Arial" w:cs="Arial"/>
        </w:rPr>
      </w:pPr>
    </w:p>
    <w:p w:rsidR="007B0809" w:rsidP="004F49B5" w:rsidRDefault="007B0809" w14:paraId="3417FCC6" w14:textId="566F75A7">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rsidRPr="007B0809" w:rsidR="004F49B5" w:rsidP="004F49B5" w:rsidRDefault="004F49B5" w14:paraId="44BCEF6E" w14:textId="77777777">
      <w:pPr>
        <w:pStyle w:val="AODocTxt"/>
        <w:spacing w:before="0" w:line="240" w:lineRule="auto"/>
        <w:ind w:left="426"/>
        <w:rPr>
          <w:rFonts w:ascii="Arial" w:hAnsi="Arial" w:cs="Arial"/>
        </w:rPr>
      </w:pPr>
    </w:p>
    <w:p w:rsidR="007B0809" w:rsidP="004F49B5" w:rsidRDefault="007B0809" w14:paraId="174906D5" w14:textId="0D017597">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rsidRPr="007B0809" w:rsidR="004F49B5" w:rsidP="004F49B5" w:rsidRDefault="004F49B5" w14:paraId="12F1AC88" w14:textId="77777777">
      <w:pPr>
        <w:pStyle w:val="AODocTxt"/>
        <w:spacing w:before="0" w:line="240" w:lineRule="auto"/>
        <w:ind w:left="426"/>
        <w:rPr>
          <w:rFonts w:ascii="Arial" w:hAnsi="Arial" w:cs="Arial"/>
        </w:rPr>
      </w:pPr>
    </w:p>
    <w:p w:rsidR="007B0809" w:rsidP="004F49B5" w:rsidRDefault="007B0809" w14:paraId="6797D71E" w14:textId="0C08E73E">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rsidRPr="007B0809" w:rsidR="004F49B5" w:rsidP="004F49B5" w:rsidRDefault="004F49B5" w14:paraId="7E57463C" w14:textId="77777777">
      <w:pPr>
        <w:pStyle w:val="AODocTxt"/>
        <w:spacing w:before="0" w:line="240" w:lineRule="auto"/>
        <w:ind w:left="426"/>
        <w:rPr>
          <w:rFonts w:ascii="Arial" w:hAnsi="Arial" w:cs="Arial"/>
        </w:rPr>
      </w:pPr>
    </w:p>
    <w:p w:rsidR="007B0809" w:rsidP="004F49B5" w:rsidRDefault="007B0809" w14:paraId="47248D83" w14:textId="4C9BF0A4">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rsidRPr="007B0809" w:rsidR="004F49B5" w:rsidP="007B0809" w:rsidRDefault="004F49B5" w14:paraId="1302F5F4" w14:textId="77777777">
      <w:pPr>
        <w:pStyle w:val="AODocTxt"/>
        <w:spacing w:before="0" w:line="240" w:lineRule="auto"/>
        <w:rPr>
          <w:rFonts w:ascii="Arial" w:hAnsi="Arial" w:cs="Arial"/>
        </w:rPr>
      </w:pPr>
    </w:p>
    <w:p w:rsidRPr="007B0809" w:rsidR="007B0809" w:rsidP="007B0809" w:rsidRDefault="007B0809" w14:paraId="6055BED8" w14:textId="77777777">
      <w:pPr>
        <w:pStyle w:val="AODocTxt"/>
        <w:spacing w:before="0" w:line="240" w:lineRule="auto"/>
        <w:rPr>
          <w:rFonts w:ascii="Arial" w:hAnsi="Arial" w:cs="Arial"/>
          <w:b/>
        </w:rPr>
      </w:pPr>
      <w:r w:rsidRPr="007B0809">
        <w:rPr>
          <w:rFonts w:ascii="Arial" w:hAnsi="Arial" w:cs="Arial"/>
          <w:b/>
        </w:rPr>
        <w:t>Question 1.8</w:t>
      </w:r>
    </w:p>
    <w:p w:rsidR="004F49B5" w:rsidP="007B0809" w:rsidRDefault="004F49B5" w14:paraId="5E51AEB8" w14:textId="77777777">
      <w:pPr>
        <w:pStyle w:val="AODocTxt"/>
        <w:spacing w:before="0" w:line="240" w:lineRule="auto"/>
        <w:rPr>
          <w:rFonts w:ascii="Arial" w:hAnsi="Arial" w:cs="Arial"/>
        </w:rPr>
      </w:pPr>
    </w:p>
    <w:p w:rsidR="007B0809" w:rsidP="007B0809" w:rsidRDefault="007B0809" w14:paraId="54873FA8" w14:textId="7EA8BD47">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rsidRPr="007B0809" w:rsidR="004F49B5" w:rsidP="007B0809" w:rsidRDefault="004F49B5" w14:paraId="2A725756" w14:textId="77777777">
      <w:pPr>
        <w:pStyle w:val="AODocTxt"/>
        <w:spacing w:before="0" w:line="240" w:lineRule="auto"/>
        <w:rPr>
          <w:rFonts w:ascii="Arial" w:hAnsi="Arial" w:cs="Arial"/>
        </w:rPr>
      </w:pPr>
    </w:p>
    <w:p w:rsidR="007B0809" w:rsidP="004F49B5" w:rsidRDefault="007B0809" w14:paraId="63A1EC0B" w14:textId="7F6E2724">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rsidRPr="007B0809" w:rsidR="004F49B5" w:rsidP="004F49B5" w:rsidRDefault="004F49B5" w14:paraId="6BA438DE" w14:textId="77777777">
      <w:pPr>
        <w:pStyle w:val="AODocTxt"/>
        <w:spacing w:before="0" w:line="240" w:lineRule="auto"/>
        <w:ind w:left="426"/>
        <w:rPr>
          <w:rFonts w:ascii="Arial" w:hAnsi="Arial" w:cs="Arial"/>
        </w:rPr>
      </w:pPr>
    </w:p>
    <w:p w:rsidR="007B0809" w:rsidP="004F49B5" w:rsidRDefault="007B0809" w14:paraId="55E93DEF" w14:textId="6F04FFE3">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rsidRPr="007B0809" w:rsidR="004F49B5" w:rsidP="004F49B5" w:rsidRDefault="004F49B5" w14:paraId="62002D14" w14:textId="77777777">
      <w:pPr>
        <w:pStyle w:val="AODocTxt"/>
        <w:spacing w:before="0" w:line="240" w:lineRule="auto"/>
        <w:ind w:left="426"/>
        <w:rPr>
          <w:rFonts w:ascii="Arial" w:hAnsi="Arial" w:cs="Arial"/>
        </w:rPr>
      </w:pPr>
    </w:p>
    <w:p w:rsidRPr="00655C43" w:rsidR="007B0809" w:rsidP="004F49B5" w:rsidRDefault="007B0809" w14:paraId="6FF9CECA" w14:textId="50742624">
      <w:pPr>
        <w:pStyle w:val="AODocTxt"/>
        <w:numPr>
          <w:ilvl w:val="0"/>
          <w:numId w:val="9"/>
        </w:numPr>
        <w:spacing w:before="0" w:line="240" w:lineRule="auto"/>
        <w:ind w:left="426"/>
        <w:rPr>
          <w:rFonts w:ascii="Arial" w:hAnsi="Arial" w:cs="Arial"/>
          <w:highlight w:val="yellow"/>
        </w:rPr>
      </w:pPr>
      <w:r w:rsidRPr="00655C43">
        <w:rPr>
          <w:rFonts w:ascii="Arial" w:hAnsi="Arial" w:cs="Arial"/>
          <w:highlight w:val="yellow"/>
        </w:rPr>
        <w:t>A 363 sale must be conducted as an auction with a stalking horse bidder.</w:t>
      </w:r>
    </w:p>
    <w:p w:rsidRPr="007B0809" w:rsidR="004F49B5" w:rsidP="004F49B5" w:rsidRDefault="004F49B5" w14:paraId="73E2FF42" w14:textId="77777777">
      <w:pPr>
        <w:pStyle w:val="AODocTxt"/>
        <w:spacing w:before="0" w:line="240" w:lineRule="auto"/>
        <w:ind w:left="426"/>
        <w:rPr>
          <w:rFonts w:ascii="Arial" w:hAnsi="Arial" w:cs="Arial"/>
        </w:rPr>
      </w:pPr>
    </w:p>
    <w:p w:rsidR="007B0809" w:rsidP="004F49B5" w:rsidRDefault="007B0809" w14:paraId="5D7F1AD6" w14:textId="12E81D41">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rsidRPr="007B0809" w:rsidR="004F49B5" w:rsidP="004F49B5" w:rsidRDefault="004F49B5" w14:paraId="2A4FBD31" w14:textId="77777777">
      <w:pPr>
        <w:pStyle w:val="AODocTxt"/>
        <w:spacing w:before="0" w:line="240" w:lineRule="auto"/>
        <w:ind w:left="426"/>
        <w:rPr>
          <w:rFonts w:ascii="Arial" w:hAnsi="Arial" w:cs="Arial"/>
        </w:rPr>
      </w:pPr>
    </w:p>
    <w:p w:rsidR="007B0809" w:rsidP="004F49B5" w:rsidRDefault="007B0809" w14:paraId="70355C88" w14:textId="6DB708D9">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rsidRPr="007B0809" w:rsidR="004F49B5" w:rsidP="007B0809" w:rsidRDefault="004F49B5" w14:paraId="05A173E8" w14:textId="77777777">
      <w:pPr>
        <w:pStyle w:val="AODocTxt"/>
        <w:spacing w:before="0" w:line="240" w:lineRule="auto"/>
        <w:rPr>
          <w:rFonts w:ascii="Arial" w:hAnsi="Arial" w:cs="Arial"/>
        </w:rPr>
      </w:pPr>
    </w:p>
    <w:p w:rsidRPr="007B0809" w:rsidR="007B0809" w:rsidP="007B0809" w:rsidRDefault="007B0809" w14:paraId="4A2BB09C" w14:textId="77777777">
      <w:pPr>
        <w:pStyle w:val="AODocTxt"/>
        <w:spacing w:before="0" w:line="240" w:lineRule="auto"/>
        <w:rPr>
          <w:rFonts w:ascii="Arial" w:hAnsi="Arial" w:cs="Arial"/>
          <w:b/>
        </w:rPr>
      </w:pPr>
      <w:r w:rsidRPr="007B0809">
        <w:rPr>
          <w:rFonts w:ascii="Arial" w:hAnsi="Arial" w:cs="Arial"/>
          <w:b/>
        </w:rPr>
        <w:t xml:space="preserve">Question 1.9 </w:t>
      </w:r>
    </w:p>
    <w:p w:rsidR="004F49B5" w:rsidP="007B0809" w:rsidRDefault="004F49B5" w14:paraId="2610102A" w14:textId="77777777">
      <w:pPr>
        <w:pStyle w:val="AODocTxt"/>
        <w:spacing w:before="0" w:line="240" w:lineRule="auto"/>
        <w:rPr>
          <w:rFonts w:ascii="Arial" w:hAnsi="Arial" w:cs="Arial"/>
        </w:rPr>
      </w:pPr>
    </w:p>
    <w:p w:rsidR="007B0809" w:rsidP="007B0809" w:rsidRDefault="007B0809" w14:paraId="09233D66" w14:textId="5AF86C58">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rsidRPr="007B0809" w:rsidR="004F49B5" w:rsidP="007B0809" w:rsidRDefault="004F49B5" w14:paraId="733DDC4D" w14:textId="77777777">
      <w:pPr>
        <w:pStyle w:val="AODocTxt"/>
        <w:spacing w:before="0" w:line="240" w:lineRule="auto"/>
        <w:rPr>
          <w:rFonts w:ascii="Arial" w:hAnsi="Arial" w:cs="Arial"/>
        </w:rPr>
      </w:pPr>
    </w:p>
    <w:p w:rsidR="007B0809" w:rsidP="004F49B5" w:rsidRDefault="007B0809" w14:paraId="27F714AC" w14:textId="765F6C97">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rsidRPr="007B0809" w:rsidR="004F49B5" w:rsidP="004F49B5" w:rsidRDefault="004F49B5" w14:paraId="5E9D7A60" w14:textId="77777777">
      <w:pPr>
        <w:pStyle w:val="AODocTxt"/>
        <w:spacing w:before="0" w:line="240" w:lineRule="auto"/>
        <w:ind w:left="426"/>
        <w:rPr>
          <w:rFonts w:ascii="Arial" w:hAnsi="Arial" w:cs="Arial"/>
        </w:rPr>
      </w:pPr>
    </w:p>
    <w:p w:rsidR="007B0809" w:rsidP="004F49B5" w:rsidRDefault="007B0809" w14:paraId="4CE0E12D" w14:textId="6942A724">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rsidRPr="007B0809" w:rsidR="004F49B5" w:rsidP="004F49B5" w:rsidRDefault="004F49B5" w14:paraId="16773CEF" w14:textId="77777777">
      <w:pPr>
        <w:pStyle w:val="AODocTxt"/>
        <w:spacing w:before="0" w:line="240" w:lineRule="auto"/>
        <w:ind w:left="426"/>
        <w:rPr>
          <w:rFonts w:ascii="Arial" w:hAnsi="Arial" w:cs="Arial"/>
        </w:rPr>
      </w:pPr>
    </w:p>
    <w:p w:rsidR="007B0809" w:rsidP="004F49B5" w:rsidRDefault="007B0809" w14:paraId="6A2B5B41" w14:textId="3D13057E">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rsidRPr="007B0809" w:rsidR="004F49B5" w:rsidP="004F49B5" w:rsidRDefault="004F49B5" w14:paraId="1EE9C3C2" w14:textId="77777777">
      <w:pPr>
        <w:pStyle w:val="AODocTxt"/>
        <w:spacing w:before="0" w:line="240" w:lineRule="auto"/>
        <w:ind w:left="426"/>
        <w:rPr>
          <w:rFonts w:ascii="Arial" w:hAnsi="Arial" w:cs="Arial"/>
        </w:rPr>
      </w:pPr>
    </w:p>
    <w:p w:rsidR="007B0809" w:rsidP="004F49B5" w:rsidRDefault="007B0809" w14:paraId="1C58B9A3" w14:textId="1DC67E74">
      <w:pPr>
        <w:pStyle w:val="AODocTxt"/>
        <w:numPr>
          <w:ilvl w:val="0"/>
          <w:numId w:val="10"/>
        </w:numPr>
        <w:spacing w:before="0" w:line="240" w:lineRule="auto"/>
        <w:ind w:left="426"/>
        <w:rPr>
          <w:rFonts w:ascii="Arial" w:hAnsi="Arial" w:cs="Arial"/>
        </w:rPr>
      </w:pPr>
      <w:r w:rsidRPr="007B0809">
        <w:rPr>
          <w:rFonts w:ascii="Arial" w:hAnsi="Arial" w:cs="Arial"/>
        </w:rPr>
        <w:t>Both (a) and (b).</w:t>
      </w:r>
    </w:p>
    <w:p w:rsidRPr="007B0809" w:rsidR="004F49B5" w:rsidP="004F49B5" w:rsidRDefault="004F49B5" w14:paraId="06A0F159" w14:textId="77777777">
      <w:pPr>
        <w:pStyle w:val="AODocTxt"/>
        <w:spacing w:before="0" w:line="240" w:lineRule="auto"/>
        <w:ind w:left="426"/>
        <w:rPr>
          <w:rFonts w:ascii="Arial" w:hAnsi="Arial" w:cs="Arial"/>
        </w:rPr>
      </w:pPr>
    </w:p>
    <w:p w:rsidRPr="00655C43" w:rsidR="007B0809" w:rsidP="004F49B5" w:rsidRDefault="007B0809" w14:paraId="12D660B5" w14:textId="62EDED26">
      <w:pPr>
        <w:pStyle w:val="AODocTxt"/>
        <w:numPr>
          <w:ilvl w:val="0"/>
          <w:numId w:val="10"/>
        </w:numPr>
        <w:spacing w:before="0" w:line="240" w:lineRule="auto"/>
        <w:ind w:left="426"/>
        <w:rPr>
          <w:rFonts w:ascii="Arial" w:hAnsi="Arial" w:cs="Arial"/>
          <w:highlight w:val="yellow"/>
        </w:rPr>
      </w:pPr>
      <w:r w:rsidRPr="00655C43">
        <w:rPr>
          <w:rFonts w:ascii="Arial" w:hAnsi="Arial" w:cs="Arial"/>
          <w:highlight w:val="yellow"/>
        </w:rPr>
        <w:t>Both (a) and (c).</w:t>
      </w:r>
    </w:p>
    <w:p w:rsidR="004F49B5" w:rsidP="007B0809" w:rsidRDefault="004F49B5" w14:paraId="25D419CA" w14:textId="178D0360">
      <w:pPr>
        <w:pStyle w:val="AODocTxt"/>
        <w:spacing w:before="0" w:line="240" w:lineRule="auto"/>
        <w:rPr>
          <w:rFonts w:ascii="Arial" w:hAnsi="Arial" w:cs="Arial"/>
        </w:rPr>
      </w:pPr>
    </w:p>
    <w:p w:rsidR="004F49B5" w:rsidP="007B0809" w:rsidRDefault="004F49B5" w14:paraId="17C73F7C" w14:textId="51DB4812">
      <w:pPr>
        <w:pStyle w:val="AODocTxt"/>
        <w:spacing w:before="0" w:line="240" w:lineRule="auto"/>
        <w:rPr>
          <w:rFonts w:ascii="Arial" w:hAnsi="Arial" w:cs="Arial"/>
        </w:rPr>
      </w:pPr>
    </w:p>
    <w:p w:rsidR="004F49B5" w:rsidP="007B0809" w:rsidRDefault="004F49B5" w14:paraId="6468B414" w14:textId="1FD13F6E">
      <w:pPr>
        <w:pStyle w:val="AODocTxt"/>
        <w:spacing w:before="0" w:line="240" w:lineRule="auto"/>
        <w:rPr>
          <w:rFonts w:ascii="Arial" w:hAnsi="Arial" w:cs="Arial"/>
        </w:rPr>
      </w:pPr>
    </w:p>
    <w:p w:rsidR="004F49B5" w:rsidP="007B0809" w:rsidRDefault="004F49B5" w14:paraId="397B2279" w14:textId="43E648AF">
      <w:pPr>
        <w:pStyle w:val="AODocTxt"/>
        <w:spacing w:before="0" w:line="240" w:lineRule="auto"/>
        <w:rPr>
          <w:rFonts w:ascii="Arial" w:hAnsi="Arial" w:cs="Arial"/>
        </w:rPr>
      </w:pPr>
    </w:p>
    <w:p w:rsidR="004F49B5" w:rsidP="007B0809" w:rsidRDefault="004F49B5" w14:paraId="747F3B69" w14:textId="5017232E">
      <w:pPr>
        <w:pStyle w:val="AODocTxt"/>
        <w:spacing w:before="0" w:line="240" w:lineRule="auto"/>
        <w:rPr>
          <w:rFonts w:ascii="Arial" w:hAnsi="Arial" w:cs="Arial"/>
        </w:rPr>
      </w:pPr>
    </w:p>
    <w:p w:rsidRPr="007B0809" w:rsidR="007B0809" w:rsidP="007B0809" w:rsidRDefault="007B0809" w14:paraId="4548C5F6" w14:textId="77777777">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rsidR="004F49B5" w:rsidP="007B0809" w:rsidRDefault="004F49B5" w14:paraId="39A60909" w14:textId="77777777">
      <w:pPr>
        <w:pStyle w:val="AODocTxt"/>
        <w:spacing w:before="0" w:line="240" w:lineRule="auto"/>
        <w:rPr>
          <w:rFonts w:ascii="Arial" w:hAnsi="Arial" w:cs="Arial"/>
        </w:rPr>
      </w:pPr>
    </w:p>
    <w:p w:rsidR="007B0809" w:rsidP="007B0809" w:rsidRDefault="007B0809" w14:paraId="13DF4FC7" w14:textId="31B57663">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rsidRPr="007B0809" w:rsidR="004F49B5" w:rsidP="007B0809" w:rsidRDefault="004F49B5" w14:paraId="198B7ED2" w14:textId="77777777">
      <w:pPr>
        <w:pStyle w:val="AODocTxt"/>
        <w:spacing w:before="0" w:line="240" w:lineRule="auto"/>
        <w:rPr>
          <w:rFonts w:ascii="Arial" w:hAnsi="Arial" w:cs="Arial"/>
        </w:rPr>
      </w:pPr>
    </w:p>
    <w:p w:rsidR="007B0809" w:rsidP="004F49B5" w:rsidRDefault="007B0809" w14:paraId="79043DDC" w14:textId="05A85762">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rsidRPr="007B0809" w:rsidR="004F49B5" w:rsidP="004F49B5" w:rsidRDefault="004F49B5" w14:paraId="5BE84A04" w14:textId="77777777">
      <w:pPr>
        <w:pStyle w:val="AODocTxt"/>
        <w:spacing w:before="0" w:line="240" w:lineRule="auto"/>
        <w:ind w:left="426"/>
        <w:rPr>
          <w:rFonts w:ascii="Arial" w:hAnsi="Arial" w:cs="Arial"/>
        </w:rPr>
      </w:pPr>
    </w:p>
    <w:p w:rsidR="007B0809" w:rsidP="004F49B5" w:rsidRDefault="007B0809" w14:paraId="32C62672" w14:textId="38744D8B">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rsidRPr="007B0809" w:rsidR="004F49B5" w:rsidP="004F49B5" w:rsidRDefault="004F49B5" w14:paraId="4FDC8435" w14:textId="77777777">
      <w:pPr>
        <w:pStyle w:val="AODocTxt"/>
        <w:spacing w:before="0" w:line="240" w:lineRule="auto"/>
        <w:ind w:left="426"/>
        <w:rPr>
          <w:rFonts w:ascii="Arial" w:hAnsi="Arial" w:cs="Arial"/>
        </w:rPr>
      </w:pPr>
    </w:p>
    <w:p w:rsidR="007B0809" w:rsidP="004F49B5" w:rsidRDefault="007B0809" w14:paraId="76BDB143" w14:textId="60CF955A">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rsidRPr="007B0809" w:rsidR="004F49B5" w:rsidP="004F49B5" w:rsidRDefault="004F49B5" w14:paraId="0380629B" w14:textId="77777777">
      <w:pPr>
        <w:pStyle w:val="AODocTxt"/>
        <w:spacing w:before="0" w:line="240" w:lineRule="auto"/>
        <w:ind w:left="426"/>
        <w:rPr>
          <w:rFonts w:ascii="Arial" w:hAnsi="Arial" w:cs="Arial"/>
        </w:rPr>
      </w:pPr>
    </w:p>
    <w:p w:rsidR="007B0809" w:rsidP="004F49B5" w:rsidRDefault="007B0809" w14:paraId="66464CFA" w14:textId="16A18A6B">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rsidRPr="007B0809" w:rsidR="004F49B5" w:rsidP="004F49B5" w:rsidRDefault="004F49B5" w14:paraId="704855D0" w14:textId="77777777">
      <w:pPr>
        <w:pStyle w:val="AODocTxt"/>
        <w:spacing w:before="0" w:line="240" w:lineRule="auto"/>
        <w:ind w:left="426"/>
        <w:rPr>
          <w:rFonts w:ascii="Arial" w:hAnsi="Arial" w:cs="Arial"/>
        </w:rPr>
      </w:pPr>
    </w:p>
    <w:p w:rsidRPr="002D0C70" w:rsidR="007B0809" w:rsidP="004F49B5" w:rsidRDefault="007B0809" w14:paraId="3203F38E" w14:textId="4E47F3DA">
      <w:pPr>
        <w:pStyle w:val="AODocTxt"/>
        <w:numPr>
          <w:ilvl w:val="0"/>
          <w:numId w:val="11"/>
        </w:numPr>
        <w:spacing w:before="0" w:line="240" w:lineRule="auto"/>
        <w:ind w:left="426"/>
        <w:rPr>
          <w:rFonts w:ascii="Arial" w:hAnsi="Arial" w:cs="Arial"/>
          <w:highlight w:val="yellow"/>
        </w:rPr>
      </w:pPr>
      <w:r w:rsidRPr="002D0C70">
        <w:rPr>
          <w:rFonts w:ascii="Arial" w:hAnsi="Arial" w:cs="Arial"/>
          <w:highlight w:val="yellow"/>
        </w:rPr>
        <w:t>All of the above.</w:t>
      </w:r>
    </w:p>
    <w:p w:rsidRPr="00323167" w:rsidR="00ED74BC" w:rsidP="00ED74BC" w:rsidRDefault="00ED74BC" w14:paraId="21C93FC3" w14:textId="409FF335">
      <w:pPr>
        <w:pStyle w:val="AODocTxt"/>
        <w:spacing w:before="0" w:line="240" w:lineRule="auto"/>
        <w:rPr>
          <w:rFonts w:ascii="Arial" w:hAnsi="Arial" w:cs="Arial"/>
        </w:rPr>
      </w:pPr>
    </w:p>
    <w:p w:rsidRPr="00323167" w:rsidR="00ED74BC" w:rsidP="00323167" w:rsidRDefault="00ED74BC" w14:paraId="53420A26" w14:textId="77777777">
      <w:pPr>
        <w:pStyle w:val="AODocTxt"/>
        <w:spacing w:before="0" w:line="240" w:lineRule="auto"/>
        <w:rPr>
          <w:rFonts w:ascii="Arial" w:hAnsi="Arial" w:cs="Arial"/>
        </w:rPr>
      </w:pPr>
    </w:p>
    <w:p w:rsidRPr="00323167" w:rsidR="00323167" w:rsidP="00323167" w:rsidRDefault="00323167" w14:paraId="5E17678D" w14:textId="77777777">
      <w:pPr>
        <w:jc w:val="both"/>
        <w:rPr>
          <w:rFonts w:ascii="Arial" w:hAnsi="Arial" w:cs="Arial"/>
          <w:b/>
          <w:sz w:val="22"/>
          <w:szCs w:val="22"/>
          <w:lang w:val="en-GB"/>
        </w:rPr>
      </w:pPr>
      <w:bookmarkStart w:name="_Hlk17745211" w:id="0"/>
      <w:r w:rsidRPr="00323167">
        <w:rPr>
          <w:rFonts w:ascii="Arial" w:hAnsi="Arial" w:cs="Arial"/>
          <w:b/>
          <w:sz w:val="22"/>
          <w:szCs w:val="22"/>
          <w:lang w:val="en-GB"/>
        </w:rPr>
        <w:t xml:space="preserve">QUESTION 2 (direct questions) [10 marks] </w:t>
      </w:r>
    </w:p>
    <w:p w:rsidRPr="00323167" w:rsidR="00323167" w:rsidP="73F69078" w:rsidRDefault="00323167" w14:paraId="0C2E896B" w14:textId="77777777" w14:noSpellErr="1">
      <w:pPr>
        <w:pStyle w:val="AODocTxt"/>
        <w:spacing w:before="0" w:line="240" w:lineRule="auto"/>
        <w:rPr>
          <w:rFonts w:ascii="Arial" w:hAnsi="Arial" w:cs="Arial"/>
        </w:rPr>
      </w:pPr>
    </w:p>
    <w:p w:rsidRPr="00323167" w:rsidR="00323167" w:rsidP="73F69078" w:rsidRDefault="00323167" w14:paraId="42EC6769" w14:textId="5F7AFC51" w14:noSpellErr="1">
      <w:pPr>
        <w:pStyle w:val="AODocTxt"/>
        <w:spacing w:before="0" w:line="240" w:lineRule="auto"/>
        <w:rPr>
          <w:rFonts w:ascii="Arial" w:hAnsi="Arial" w:cs="Arial"/>
          <w:b w:val="1"/>
          <w:bCs w:val="1"/>
        </w:rPr>
      </w:pPr>
      <w:r w:rsidRPr="73F69078" w:rsidR="73F69078">
        <w:rPr>
          <w:rFonts w:ascii="Arial" w:hAnsi="Arial" w:cs="Arial"/>
          <w:b w:val="1"/>
          <w:bCs w:val="1"/>
        </w:rPr>
        <w:t>Question 2.1 (2 marks)</w:t>
      </w:r>
    </w:p>
    <w:p w:rsidR="00323167" w:rsidP="00323167" w:rsidRDefault="00323167" w14:paraId="5BFE5B0B" w14:textId="77777777" w14:noSpellErr="1">
      <w:pPr>
        <w:pStyle w:val="AODocTxt"/>
        <w:spacing w:before="0" w:line="240" w:lineRule="auto"/>
        <w:rPr>
          <w:rFonts w:ascii="Arial" w:hAnsi="Arial" w:cs="Arial"/>
        </w:rPr>
      </w:pPr>
    </w:p>
    <w:p w:rsidR="00323167" w:rsidP="00323167" w:rsidRDefault="00323167" w14:paraId="02480329" w14:textId="6089E8A9" w14:noSpellErr="1">
      <w:pPr>
        <w:pStyle w:val="AODocTxt"/>
        <w:spacing w:before="0" w:line="240" w:lineRule="auto"/>
        <w:rPr>
          <w:rFonts w:ascii="Arial" w:hAnsi="Arial" w:cs="Arial"/>
        </w:rPr>
      </w:pPr>
      <w:r w:rsidRPr="73F69078" w:rsidR="73F69078">
        <w:rPr>
          <w:rFonts w:ascii="Arial" w:hAnsi="Arial" w:cs="Arial"/>
        </w:rPr>
        <w:t>What is the difference between a voluntary petition for bankruptcy and an involuntary petition for bankruptcy?</w:t>
      </w:r>
    </w:p>
    <w:p w:rsidR="00323167" w:rsidP="00323167" w:rsidRDefault="00323167" w14:paraId="25AF8067" w14:textId="58DDB433" w14:noSpellErr="1">
      <w:pPr>
        <w:pStyle w:val="AODocTxt"/>
        <w:spacing w:before="0" w:line="240" w:lineRule="auto"/>
        <w:rPr>
          <w:rFonts w:ascii="Arial" w:hAnsi="Arial" w:cs="Arial"/>
        </w:rPr>
      </w:pPr>
    </w:p>
    <w:p w:rsidRPr="00DE3730" w:rsidR="00323167" w:rsidP="73F69078" w:rsidRDefault="00733124" w14:paraId="5D1DE511" w14:textId="4E69BD50">
      <w:pPr>
        <w:pStyle w:val="AODocTxt"/>
        <w:spacing w:before="0" w:line="240" w:lineRule="auto"/>
        <w:rPr>
          <w:rFonts w:ascii="Arial" w:hAnsi="Arial" w:cs="Arial"/>
        </w:rPr>
      </w:pPr>
      <w:r w:rsidRPr="73F69078" w:rsidR="73F69078">
        <w:rPr>
          <w:rFonts w:ascii="Arial" w:hAnsi="Arial" w:cs="Arial"/>
        </w:rPr>
        <w:t xml:space="preserve">A voluntary petition is a petition </w:t>
      </w:r>
      <w:r w:rsidRPr="73F69078" w:rsidR="73F69078">
        <w:rPr>
          <w:rFonts w:ascii="Arial" w:hAnsi="Arial" w:cs="Arial"/>
        </w:rPr>
        <w:t xml:space="preserve">that is filed </w:t>
      </w:r>
      <w:r w:rsidRPr="73F69078" w:rsidR="73F69078">
        <w:rPr>
          <w:rFonts w:ascii="Arial" w:hAnsi="Arial" w:cs="Arial"/>
        </w:rPr>
        <w:t>by a debtor for the commencement of insolvency proceedings</w:t>
      </w:r>
      <w:r w:rsidRPr="73F69078" w:rsidR="73F69078">
        <w:rPr>
          <w:rFonts w:ascii="Arial" w:hAnsi="Arial" w:cs="Arial"/>
        </w:rPr>
        <w:t>. A list of assets and creditors is usually filed with the petition although if absent (naked) would still be sufficient to invoke an automatic stay and commence insolvency proceedings. The debtor need not claim to be insolvent</w:t>
      </w:r>
      <w:r w:rsidRPr="73F69078" w:rsidR="73F69078">
        <w:rPr>
          <w:rFonts w:ascii="Arial" w:hAnsi="Arial" w:cs="Arial"/>
        </w:rPr>
        <w:t xml:space="preserve"> to commence proceedings</w:t>
      </w:r>
      <w:r w:rsidRPr="73F69078" w:rsidR="73F69078">
        <w:rPr>
          <w:rFonts w:ascii="Arial" w:hAnsi="Arial" w:cs="Arial"/>
        </w:rPr>
        <w:t xml:space="preserve">. </w:t>
      </w:r>
    </w:p>
    <w:p w:rsidRPr="00DE3730" w:rsidR="00323167" w:rsidP="73F69078" w:rsidRDefault="00733124" w14:paraId="7BB4B7DF" w14:textId="5FB247A7">
      <w:pPr>
        <w:pStyle w:val="AODocTxt"/>
        <w:spacing w:before="0" w:line="240" w:lineRule="auto"/>
        <w:rPr>
          <w:rFonts w:ascii="Arial" w:hAnsi="Arial" w:cs="Arial"/>
        </w:rPr>
      </w:pPr>
    </w:p>
    <w:p w:rsidRPr="00DE3730" w:rsidR="00323167" w:rsidP="00323167" w:rsidRDefault="00733124" w14:paraId="2EFB5850" w14:textId="34872E54">
      <w:pPr>
        <w:pStyle w:val="AODocTxt"/>
        <w:spacing w:before="0" w:line="240" w:lineRule="auto"/>
        <w:rPr>
          <w:rFonts w:ascii="Arial" w:hAnsi="Arial" w:cs="Arial"/>
        </w:rPr>
      </w:pPr>
      <w:r w:rsidRPr="73F69078" w:rsidR="73F69078">
        <w:rPr>
          <w:rFonts w:ascii="Arial" w:hAnsi="Arial" w:cs="Arial"/>
        </w:rPr>
        <w:t>On the other hand, an involuntary petition is usually commenced by creditors against eligible debtors</w:t>
      </w:r>
      <w:r w:rsidRPr="73F69078" w:rsidR="73F69078">
        <w:rPr>
          <w:rFonts w:ascii="Arial" w:hAnsi="Arial" w:cs="Arial"/>
        </w:rPr>
        <w:t xml:space="preserve">. The involuntary petition is commenced under chapter 7 or 11 of the Bankruptcy code and cannot be commenced under any other code or against farmers, </w:t>
      </w:r>
      <w:r w:rsidRPr="73F69078" w:rsidR="73F69078">
        <w:rPr>
          <w:rFonts w:ascii="Arial" w:hAnsi="Arial" w:cs="Arial"/>
        </w:rPr>
        <w:t>family farmer or non-profit organizations. If a debtor has more than 12 non</w:t>
      </w:r>
      <w:r w:rsidRPr="73F69078" w:rsidR="73F69078">
        <w:rPr>
          <w:rFonts w:ascii="Arial" w:hAnsi="Arial" w:cs="Arial"/>
        </w:rPr>
        <w:t xml:space="preserve">-contingent, </w:t>
      </w:r>
      <w:bookmarkStart w:name="_Hlk106010479" w:id="1"/>
      <w:r w:rsidRPr="73F69078" w:rsidR="73F69078">
        <w:rPr>
          <w:rFonts w:ascii="Arial" w:hAnsi="Arial" w:cs="Arial"/>
        </w:rPr>
        <w:t xml:space="preserve">non-insider creditors </w:t>
      </w:r>
      <w:bookmarkEnd w:id="1"/>
      <w:r w:rsidRPr="73F69078" w:rsidR="73F69078">
        <w:rPr>
          <w:rFonts w:ascii="Arial" w:hAnsi="Arial" w:cs="Arial"/>
        </w:rPr>
        <w:t xml:space="preserve">then at least three qualifying creditors is required to join the petition. However, if it has less than 12 </w:t>
      </w:r>
      <w:r w:rsidRPr="73F69078" w:rsidR="73F69078">
        <w:rPr>
          <w:rFonts w:ascii="Arial" w:hAnsi="Arial" w:cs="Arial"/>
        </w:rPr>
        <w:t>non-insider creditors</w:t>
      </w:r>
      <w:r w:rsidRPr="73F69078" w:rsidR="73F69078">
        <w:rPr>
          <w:rFonts w:ascii="Arial" w:hAnsi="Arial" w:cs="Arial"/>
        </w:rPr>
        <w:t>, only one is required to file the petition. There are various requirements</w:t>
      </w:r>
      <w:r w:rsidRPr="73F69078" w:rsidR="73F69078">
        <w:rPr>
          <w:rFonts w:ascii="Arial" w:hAnsi="Arial" w:cs="Arial"/>
        </w:rPr>
        <w:t xml:space="preserve"> to be met for a creditor to be qualified as a petitioning creditor. The creditor must have a claim against the debtor that is non-contingent, that is not the subject of a bona fide dispute as to liability or amount and that is unsecured or undersecured, separately or in aggregate with all other petitioning creditors’ claims, in the amount of at least USD 15,775 (this amount is periodically increased due to inflation). </w:t>
      </w:r>
      <w:r w:rsidRPr="73F69078" w:rsidR="73F69078">
        <w:rPr>
          <w:rFonts w:ascii="Arial" w:hAnsi="Arial" w:cs="Arial"/>
        </w:rPr>
        <w:t xml:space="preserve">An involuntary petition form requires an allegation of insolvency and required the petitioning creditors to allege: (1) the debtor is generally not paying its debts as they become due, unless they are subject of a bona </w:t>
      </w:r>
      <w:r w:rsidRPr="73F69078" w:rsidR="73F69078">
        <w:rPr>
          <w:rFonts w:ascii="Arial" w:hAnsi="Arial" w:cs="Arial"/>
          <w:i w:val="1"/>
          <w:iCs w:val="1"/>
        </w:rPr>
        <w:t xml:space="preserve">fide </w:t>
      </w:r>
      <w:r w:rsidRPr="73F69078" w:rsidR="73F69078">
        <w:rPr>
          <w:rFonts w:ascii="Arial" w:hAnsi="Arial" w:cs="Arial"/>
        </w:rPr>
        <w:t xml:space="preserve">dispute as to liability or amount or that, “within 120 days before the filing of this petition, a custodian, other </w:t>
      </w:r>
      <w:proofErr w:type="gramStart"/>
      <w:r w:rsidRPr="73F69078" w:rsidR="73F69078">
        <w:rPr>
          <w:rFonts w:ascii="Arial" w:hAnsi="Arial" w:cs="Arial"/>
        </w:rPr>
        <w:t>that</w:t>
      </w:r>
      <w:proofErr w:type="gramEnd"/>
      <w:r w:rsidRPr="73F69078" w:rsidR="73F69078">
        <w:rPr>
          <w:rFonts w:ascii="Arial" w:hAnsi="Arial" w:cs="Arial"/>
        </w:rPr>
        <w:t xml:space="preserve"> a trustee, receiver, or an agent appointed or authorized to take charge of less than substantially all of the property of the debtor for the purpose of enforcing a lien against such property, was appointed or took possession. </w:t>
      </w:r>
    </w:p>
    <w:p w:rsidRPr="00323167" w:rsidR="00E12EC4" w:rsidP="00323167" w:rsidRDefault="00E12EC4" w14:paraId="2F922DDB" w14:textId="77777777" w14:noSpellErr="1">
      <w:pPr>
        <w:pStyle w:val="AODocTxt"/>
        <w:spacing w:before="0" w:line="240" w:lineRule="auto"/>
        <w:rPr>
          <w:rFonts w:ascii="Arial" w:hAnsi="Arial" w:cs="Arial"/>
        </w:rPr>
      </w:pPr>
    </w:p>
    <w:p w:rsidRPr="00323167" w:rsidR="00323167" w:rsidP="73F69078" w:rsidRDefault="00323167" w14:paraId="6F155D90" w14:textId="77777777" w14:noSpellErr="1">
      <w:pPr>
        <w:pStyle w:val="AODocTxt"/>
        <w:spacing w:before="0" w:line="240" w:lineRule="auto"/>
        <w:rPr>
          <w:rFonts w:ascii="Arial" w:hAnsi="Arial" w:cs="Arial"/>
          <w:b w:val="1"/>
          <w:bCs w:val="1"/>
        </w:rPr>
      </w:pPr>
      <w:r w:rsidRPr="73F69078" w:rsidR="73F69078">
        <w:rPr>
          <w:rFonts w:ascii="Arial" w:hAnsi="Arial" w:cs="Arial"/>
          <w:b w:val="1"/>
          <w:bCs w:val="1"/>
        </w:rPr>
        <w:t>Question 2.2 (2 marks)</w:t>
      </w:r>
    </w:p>
    <w:p w:rsidR="003A75F4" w:rsidP="00323167" w:rsidRDefault="003A75F4" w14:paraId="42B1C644" w14:textId="77777777" w14:noSpellErr="1">
      <w:pPr>
        <w:pStyle w:val="AODocTxt"/>
        <w:spacing w:before="0" w:line="240" w:lineRule="auto"/>
        <w:rPr>
          <w:rFonts w:ascii="Arial" w:hAnsi="Arial" w:cs="Arial"/>
        </w:rPr>
      </w:pPr>
    </w:p>
    <w:p w:rsidR="00323167" w:rsidP="00323167" w:rsidRDefault="00323167" w14:paraId="21B34D68" w14:textId="390FF013" w14:noSpellErr="1">
      <w:pPr>
        <w:pStyle w:val="AODocTxt"/>
        <w:spacing w:before="0" w:line="240" w:lineRule="auto"/>
        <w:rPr>
          <w:rFonts w:ascii="Arial" w:hAnsi="Arial" w:cs="Arial"/>
        </w:rPr>
      </w:pPr>
      <w:r w:rsidRPr="73F69078" w:rsidR="73F69078">
        <w:rPr>
          <w:rFonts w:ascii="Arial" w:hAnsi="Arial" w:cs="Arial"/>
        </w:rPr>
        <w:t xml:space="preserve">What are two potential consequences </w:t>
      </w:r>
      <w:bookmarkStart w:name="_Hlk106011478" w:id="2"/>
      <w:r w:rsidRPr="73F69078" w:rsidR="73F69078">
        <w:rPr>
          <w:rFonts w:ascii="Arial" w:hAnsi="Arial" w:cs="Arial"/>
        </w:rPr>
        <w:t>of a violation of the automatic stay</w:t>
      </w:r>
      <w:bookmarkEnd w:id="2"/>
      <w:r w:rsidRPr="73F69078" w:rsidR="73F69078">
        <w:rPr>
          <w:rFonts w:ascii="Arial" w:hAnsi="Arial" w:cs="Arial"/>
        </w:rPr>
        <w:t>?</w:t>
      </w:r>
    </w:p>
    <w:p w:rsidR="003A75F4" w:rsidP="00323167" w:rsidRDefault="003A75F4" w14:paraId="3379ECC8" w14:textId="677D935D" w14:noSpellErr="1">
      <w:pPr>
        <w:pStyle w:val="AODocTxt"/>
        <w:spacing w:before="0" w:line="240" w:lineRule="auto"/>
        <w:rPr>
          <w:rFonts w:ascii="Arial" w:hAnsi="Arial" w:cs="Arial"/>
        </w:rPr>
      </w:pPr>
    </w:p>
    <w:p w:rsidRPr="00C73F7E" w:rsidR="00E12EC4" w:rsidP="00E12EC4" w:rsidRDefault="00C73F7E" w14:paraId="33FDE7BF" w14:textId="06923E26" w14:noSpellErr="1">
      <w:pPr>
        <w:jc w:val="both"/>
        <w:rPr>
          <w:rFonts w:ascii="Arial" w:hAnsi="Arial" w:cs="Arial"/>
          <w:sz w:val="22"/>
          <w:szCs w:val="22"/>
          <w:lang w:val="en-GB"/>
        </w:rPr>
      </w:pPr>
      <w:r w:rsidRPr="73F69078" w:rsidR="73F69078">
        <w:rPr>
          <w:rFonts w:ascii="Arial" w:hAnsi="Arial" w:cs="Arial"/>
          <w:sz w:val="22"/>
          <w:szCs w:val="22"/>
          <w:lang w:val="en-GB"/>
        </w:rPr>
        <w:t xml:space="preserve">Two potential consequences </w:t>
      </w:r>
      <w:r w:rsidRPr="73F69078" w:rsidR="73F69078">
        <w:rPr>
          <w:rFonts w:ascii="Arial" w:hAnsi="Arial" w:cs="Arial"/>
          <w:sz w:val="22"/>
          <w:szCs w:val="22"/>
        </w:rPr>
        <w:t xml:space="preserve">of a violation of the automatic stay </w:t>
      </w:r>
      <w:r w:rsidRPr="73F69078" w:rsidR="73F69078">
        <w:rPr>
          <w:rFonts w:ascii="Arial" w:hAnsi="Arial" w:cs="Arial"/>
          <w:sz w:val="22"/>
          <w:szCs w:val="22"/>
        </w:rPr>
        <w:t>are</w:t>
      </w:r>
      <w:r w:rsidRPr="73F69078" w:rsidR="73F69078">
        <w:rPr>
          <w:rFonts w:ascii="Arial" w:hAnsi="Arial" w:cs="Arial"/>
          <w:sz w:val="22"/>
          <w:szCs w:val="22"/>
        </w:rPr>
        <w:t xml:space="preserve"> (1) contempt of court and (2) the act would be deemed void or voidable. </w:t>
      </w:r>
      <w:r w:rsidRPr="73F69078" w:rsidR="73F69078">
        <w:rPr>
          <w:rFonts w:ascii="Arial" w:hAnsi="Arial" w:cs="Arial"/>
          <w:sz w:val="22"/>
          <w:szCs w:val="22"/>
        </w:rPr>
        <w:t xml:space="preserve"> Where a party has committed contempt of court, the party may be subject to contempt violations which may include paying a daily fine </w:t>
      </w:r>
      <w:r w:rsidRPr="73F69078" w:rsidR="73F69078">
        <w:rPr>
          <w:rFonts w:ascii="Arial" w:hAnsi="Arial" w:cs="Arial"/>
          <w:sz w:val="22"/>
          <w:szCs w:val="22"/>
        </w:rPr>
        <w:t xml:space="preserve">into Court until the contempt is rectified, payment of the debtor’s attorney’s fees or requiring the violator to take affirmative acts to undo the effects of its violation. </w:t>
      </w:r>
    </w:p>
    <w:p w:rsidR="00323167" w:rsidP="00323167" w:rsidRDefault="00323167" w14:paraId="740C7F05" w14:textId="46F220B2" w14:noSpellErr="1">
      <w:pPr>
        <w:pStyle w:val="AODocTxt"/>
        <w:spacing w:before="0" w:line="240" w:lineRule="auto"/>
        <w:rPr>
          <w:rFonts w:ascii="Arial" w:hAnsi="Arial" w:cs="Arial"/>
        </w:rPr>
      </w:pPr>
    </w:p>
    <w:p w:rsidRPr="00323167" w:rsidR="00E12EC4" w:rsidP="00323167" w:rsidRDefault="00E12EC4" w14:paraId="51DD27A0" w14:textId="77777777" w14:noSpellErr="1">
      <w:pPr>
        <w:pStyle w:val="AODocTxt"/>
        <w:spacing w:before="0" w:line="240" w:lineRule="auto"/>
        <w:rPr>
          <w:rFonts w:ascii="Arial" w:hAnsi="Arial" w:cs="Arial"/>
        </w:rPr>
      </w:pPr>
    </w:p>
    <w:p w:rsidRPr="00323167" w:rsidR="00323167" w:rsidP="73F69078" w:rsidRDefault="00323167" w14:paraId="1E71D3BC" w14:textId="77777777" w14:noSpellErr="1">
      <w:pPr>
        <w:pStyle w:val="AODocTxt"/>
        <w:spacing w:before="0" w:line="240" w:lineRule="auto"/>
        <w:rPr>
          <w:rFonts w:ascii="Arial" w:hAnsi="Arial" w:cs="Arial"/>
          <w:b w:val="1"/>
          <w:bCs w:val="1"/>
        </w:rPr>
      </w:pPr>
      <w:r w:rsidRPr="73F69078" w:rsidR="73F69078">
        <w:rPr>
          <w:rFonts w:ascii="Arial" w:hAnsi="Arial" w:cs="Arial"/>
          <w:b w:val="1"/>
          <w:bCs w:val="1"/>
        </w:rPr>
        <w:t>Question 2.3 (3 marks)</w:t>
      </w:r>
    </w:p>
    <w:p w:rsidR="003A75F4" w:rsidP="00323167" w:rsidRDefault="003A75F4" w14:paraId="0EF9E328" w14:textId="77777777" w14:noSpellErr="1">
      <w:pPr>
        <w:pStyle w:val="AODocTxt"/>
        <w:spacing w:before="0" w:line="240" w:lineRule="auto"/>
        <w:rPr>
          <w:rFonts w:ascii="Arial" w:hAnsi="Arial" w:cs="Arial"/>
        </w:rPr>
      </w:pPr>
    </w:p>
    <w:p w:rsidR="00323167" w:rsidP="00323167" w:rsidRDefault="00323167" w14:paraId="0FD4A2F3" w14:textId="38CE90D8" w14:noSpellErr="1">
      <w:pPr>
        <w:pStyle w:val="AODocTxt"/>
        <w:spacing w:before="0" w:line="240" w:lineRule="auto"/>
        <w:rPr>
          <w:rFonts w:ascii="Arial" w:hAnsi="Arial" w:cs="Arial"/>
        </w:rPr>
      </w:pPr>
      <w:r w:rsidRPr="73F69078" w:rsidR="73F69078">
        <w:rPr>
          <w:rFonts w:ascii="Arial" w:hAnsi="Arial" w:cs="Arial"/>
        </w:rPr>
        <w:t xml:space="preserve">In what circumstances is a claim considered “impaired”? </w:t>
      </w:r>
      <w:r w:rsidRPr="73F69078" w:rsidR="73F69078">
        <w:rPr>
          <w:rFonts w:ascii="Arial" w:hAnsi="Arial" w:cs="Arial"/>
        </w:rPr>
        <w:t xml:space="preserve">When is </w:t>
      </w:r>
      <w:bookmarkStart w:name="_Hlk106102584" w:id="3"/>
      <w:r w:rsidRPr="73F69078" w:rsidR="73F69078">
        <w:rPr>
          <w:rFonts w:ascii="Arial" w:hAnsi="Arial" w:cs="Arial"/>
        </w:rPr>
        <w:t xml:space="preserve">a holder of an impaired claim not entitled to vote on a proposed plan of reorganization </w:t>
      </w:r>
      <w:bookmarkEnd w:id="3"/>
      <w:r w:rsidRPr="73F69078" w:rsidR="73F69078">
        <w:rPr>
          <w:rFonts w:ascii="Arial" w:hAnsi="Arial" w:cs="Arial"/>
        </w:rPr>
        <w:t>and what happens instead</w:t>
      </w:r>
      <w:r w:rsidRPr="73F69078" w:rsidR="73F69078">
        <w:rPr>
          <w:rFonts w:ascii="Arial" w:hAnsi="Arial" w:cs="Arial"/>
        </w:rPr>
        <w:t>?</w:t>
      </w:r>
      <w:r w:rsidRPr="73F69078" w:rsidR="73F69078">
        <w:rPr>
          <w:rFonts w:ascii="Arial" w:hAnsi="Arial" w:cs="Arial"/>
        </w:rPr>
        <w:t xml:space="preserve"> </w:t>
      </w:r>
    </w:p>
    <w:p w:rsidR="00560E23" w:rsidP="00323167" w:rsidRDefault="00560E23" w14:paraId="679788C1" w14:textId="77777777" w14:noSpellErr="1">
      <w:pPr>
        <w:pStyle w:val="AODocTxt"/>
        <w:spacing w:before="0" w:line="240" w:lineRule="auto"/>
        <w:rPr>
          <w:rFonts w:ascii="Arial" w:hAnsi="Arial" w:cs="Arial"/>
        </w:rPr>
      </w:pPr>
    </w:p>
    <w:p w:rsidR="00323167" w:rsidP="009D6773" w:rsidRDefault="00560E23" w14:paraId="0E58133A" w14:textId="332F7840">
      <w:pPr>
        <w:pStyle w:val="AODocTxt"/>
        <w:numPr>
          <w:ilvl w:val="0"/>
          <w:numId w:val="14"/>
        </w:numPr>
        <w:spacing w:before="0" w:line="240" w:lineRule="auto"/>
        <w:rPr>
          <w:rFonts w:ascii="Arial" w:hAnsi="Arial" w:cs="Arial"/>
        </w:rPr>
      </w:pPr>
      <w:r w:rsidRPr="73F69078" w:rsidR="73F69078">
        <w:rPr>
          <w:rFonts w:ascii="Arial" w:hAnsi="Arial" w:cs="Arial"/>
        </w:rPr>
        <w:t>A claim is considered impaired where the plan alters the legal, equitable and contractual rights to which such claim or interest entitles the holder of such claim or interest of a class of creditors.</w:t>
      </w:r>
    </w:p>
    <w:p w:rsidR="009D6773" w:rsidP="009D6773" w:rsidRDefault="009D6773" w14:paraId="03A478C2" w14:textId="77777777" w14:noSpellErr="1">
      <w:pPr>
        <w:pStyle w:val="AODocTxt"/>
        <w:spacing w:before="0" w:line="240" w:lineRule="auto"/>
        <w:ind w:left="720"/>
        <w:rPr>
          <w:rFonts w:ascii="Arial" w:hAnsi="Arial" w:cs="Arial"/>
        </w:rPr>
      </w:pPr>
    </w:p>
    <w:p w:rsidRPr="009D6773" w:rsidR="009D6773" w:rsidP="73F69078" w:rsidRDefault="00501874" w14:paraId="71C4E21F" w14:textId="675C23C6">
      <w:pPr>
        <w:pStyle w:val="AODocTxt"/>
        <w:numPr>
          <w:ilvl w:val="0"/>
          <w:numId w:val="14"/>
        </w:numPr>
        <w:spacing w:before="0" w:line="240" w:lineRule="auto"/>
        <w:rPr>
          <w:rFonts w:ascii="Arial" w:hAnsi="Arial" w:cs="Arial"/>
        </w:rPr>
      </w:pPr>
      <w:r w:rsidRPr="73F69078" w:rsidR="73F69078">
        <w:rPr>
          <w:rFonts w:ascii="Arial" w:hAnsi="Arial" w:cs="Arial"/>
        </w:rPr>
        <w:t xml:space="preserve">When the holder of impaired claim will not receive any distribution under the plan of </w:t>
      </w:r>
      <w:r w:rsidRPr="73F69078" w:rsidR="73F69078">
        <w:rPr>
          <w:rFonts w:ascii="Arial" w:hAnsi="Arial" w:cs="Arial"/>
        </w:rPr>
        <w:t>reorganization,</w:t>
      </w:r>
      <w:r w:rsidRPr="73F69078" w:rsidR="73F69078">
        <w:rPr>
          <w:rFonts w:ascii="Arial" w:hAnsi="Arial" w:cs="Arial"/>
        </w:rPr>
        <w:t xml:space="preserve"> they deemed to have rejected the plan of reorganization and, therefore, do not vote.</w:t>
      </w:r>
    </w:p>
    <w:p w:rsidR="009D6773" w:rsidP="009D6773" w:rsidRDefault="009D6773" w14:paraId="7BBE7622" w14:textId="77777777" w14:noSpellErr="1">
      <w:pPr>
        <w:pStyle w:val="AODocTxt"/>
        <w:spacing w:before="0" w:line="240" w:lineRule="auto"/>
        <w:rPr>
          <w:rFonts w:ascii="Arial" w:hAnsi="Arial" w:cs="Arial"/>
        </w:rPr>
      </w:pPr>
    </w:p>
    <w:p w:rsidRPr="00323167" w:rsidR="00E12EC4" w:rsidP="00323167" w:rsidRDefault="00E12EC4" w14:paraId="546F04FF" w14:textId="77777777" w14:noSpellErr="1">
      <w:pPr>
        <w:pStyle w:val="AODocTxt"/>
        <w:spacing w:before="0" w:line="240" w:lineRule="auto"/>
        <w:rPr>
          <w:rFonts w:ascii="Arial" w:hAnsi="Arial" w:cs="Arial"/>
        </w:rPr>
      </w:pPr>
    </w:p>
    <w:p w:rsidRPr="00323167" w:rsidR="00323167" w:rsidP="73F69078" w:rsidRDefault="00323167" w14:paraId="63E659C8" w14:textId="77777777" w14:noSpellErr="1">
      <w:pPr>
        <w:pStyle w:val="AODocTxt"/>
        <w:spacing w:before="0" w:line="240" w:lineRule="auto"/>
        <w:rPr>
          <w:rFonts w:ascii="Arial" w:hAnsi="Arial" w:cs="Arial"/>
          <w:b w:val="1"/>
          <w:bCs w:val="1"/>
        </w:rPr>
      </w:pPr>
      <w:r w:rsidRPr="73F69078" w:rsidR="73F69078">
        <w:rPr>
          <w:rFonts w:ascii="Arial" w:hAnsi="Arial" w:cs="Arial"/>
          <w:b w:val="1"/>
          <w:bCs w:val="1"/>
        </w:rPr>
        <w:t>Question 2.4 (3 marks)</w:t>
      </w:r>
    </w:p>
    <w:p w:rsidRPr="00323167" w:rsidR="00323167" w:rsidP="00323167" w:rsidRDefault="00323167" w14:paraId="170F32F6" w14:textId="77777777" w14:noSpellErr="1">
      <w:pPr>
        <w:pStyle w:val="AODocTxt"/>
        <w:spacing w:before="0" w:line="240" w:lineRule="auto"/>
        <w:rPr>
          <w:rFonts w:ascii="Arial" w:hAnsi="Arial" w:cs="Arial"/>
        </w:rPr>
      </w:pPr>
    </w:p>
    <w:p w:rsidR="00323167" w:rsidP="00323167" w:rsidRDefault="00323167" w14:paraId="3D22D106" w14:textId="756BA08D" w14:noSpellErr="1">
      <w:pPr>
        <w:pStyle w:val="AODocTxt"/>
        <w:spacing w:before="0" w:line="240" w:lineRule="auto"/>
        <w:rPr>
          <w:rFonts w:ascii="Arial" w:hAnsi="Arial" w:cs="Arial"/>
        </w:rPr>
      </w:pPr>
      <w:r w:rsidRPr="73F69078" w:rsidR="73F69078">
        <w:rPr>
          <w:rFonts w:ascii="Arial" w:hAnsi="Arial" w:cs="Arial"/>
        </w:rPr>
        <w:t xml:space="preserve">Answer the following questions about preferences, </w:t>
      </w:r>
      <w:bookmarkStart w:name="_Hlk106020143" w:id="4"/>
      <w:r w:rsidRPr="73F69078" w:rsidR="73F69078">
        <w:rPr>
          <w:rFonts w:ascii="Arial" w:hAnsi="Arial" w:cs="Arial"/>
        </w:rPr>
        <w:t>actual fraudulent conveyances and constructive fraudulent conveyances:</w:t>
      </w:r>
      <w:bookmarkEnd w:id="4"/>
    </w:p>
    <w:p w:rsidRPr="00323167" w:rsidR="003A75F4" w:rsidP="00323167" w:rsidRDefault="003A75F4" w14:paraId="3CFB3C2E" w14:textId="77777777" w14:noSpellErr="1">
      <w:pPr>
        <w:pStyle w:val="AODocTxt"/>
        <w:spacing w:before="0" w:line="240" w:lineRule="auto"/>
        <w:rPr>
          <w:rFonts w:ascii="Arial" w:hAnsi="Arial" w:cs="Arial"/>
        </w:rPr>
      </w:pPr>
    </w:p>
    <w:p w:rsidR="00323167" w:rsidP="00DC359F" w:rsidRDefault="00323167" w14:paraId="7BB99BDB" w14:textId="520D2DB4" w14:noSpellErr="1">
      <w:pPr>
        <w:pStyle w:val="AODocTxt"/>
        <w:numPr>
          <w:ilvl w:val="0"/>
          <w:numId w:val="12"/>
        </w:numPr>
        <w:spacing w:before="0" w:line="240" w:lineRule="auto"/>
        <w:ind w:left="426"/>
        <w:rPr>
          <w:rFonts w:ascii="Arial" w:hAnsi="Arial" w:cs="Arial"/>
        </w:rPr>
      </w:pPr>
      <w:r w:rsidRPr="73F69078" w:rsidR="73F69078">
        <w:rPr>
          <w:rFonts w:ascii="Arial" w:hAnsi="Arial" w:cs="Arial"/>
        </w:rPr>
        <w:t>Which cause of action applies only to transfers made on account of antecedent debt?</w:t>
      </w:r>
    </w:p>
    <w:p w:rsidRPr="00DC359F" w:rsidR="00DC359F" w:rsidP="00DC359F" w:rsidRDefault="00DC359F" w14:paraId="5E9F37B1" w14:textId="77777777" w14:noSpellErr="1">
      <w:pPr>
        <w:pStyle w:val="AODocTxt"/>
        <w:spacing w:before="0" w:line="240" w:lineRule="auto"/>
        <w:rPr>
          <w:rFonts w:ascii="Arial" w:hAnsi="Arial" w:cs="Arial"/>
        </w:rPr>
      </w:pPr>
    </w:p>
    <w:p w:rsidRPr="00A80911" w:rsidR="00E12EC4" w:rsidP="00E12EC4" w:rsidRDefault="00FC5E07" w14:paraId="6F2B0B53" w14:textId="024DE9B7" w14:noSpellErr="1">
      <w:pPr>
        <w:ind w:firstLine="426"/>
        <w:jc w:val="both"/>
        <w:rPr>
          <w:rFonts w:ascii="Arial" w:hAnsi="Arial" w:cs="Arial"/>
          <w:sz w:val="22"/>
          <w:szCs w:val="22"/>
          <w:lang w:val="en-GB"/>
        </w:rPr>
      </w:pPr>
      <w:r w:rsidRPr="73F69078" w:rsidR="73F69078">
        <w:rPr>
          <w:rFonts w:ascii="Arial" w:hAnsi="Arial" w:cs="Arial"/>
          <w:sz w:val="22"/>
          <w:szCs w:val="22"/>
          <w:lang w:val="en-GB"/>
        </w:rPr>
        <w:t>The cause of action that would apply here is preferences.</w:t>
      </w:r>
    </w:p>
    <w:p w:rsidR="00E12EC4" w:rsidP="00FD7423" w:rsidRDefault="00E12EC4" w14:paraId="23EDCF1A" w14:textId="468A99BB" w14:noSpellErr="1">
      <w:pPr>
        <w:jc w:val="both"/>
        <w:rPr>
          <w:rFonts w:ascii="Arial" w:hAnsi="Arial" w:cs="Arial"/>
          <w:color w:val="7B7B7B" w:themeColor="accent3" w:themeShade="BF"/>
          <w:sz w:val="22"/>
          <w:szCs w:val="22"/>
          <w:lang w:val="en-GB"/>
        </w:rPr>
      </w:pPr>
    </w:p>
    <w:p w:rsidRPr="00E12EC4" w:rsidR="005B2A9B" w:rsidP="00E12EC4" w:rsidRDefault="005B2A9B" w14:paraId="4E388149" w14:textId="77777777" w14:noSpellErr="1">
      <w:pPr>
        <w:ind w:firstLine="426"/>
        <w:jc w:val="both"/>
        <w:rPr>
          <w:rFonts w:ascii="Arial" w:hAnsi="Arial" w:cs="Arial"/>
          <w:color w:val="7B7B7B" w:themeColor="accent3" w:themeShade="BF"/>
          <w:sz w:val="22"/>
          <w:szCs w:val="22"/>
          <w:lang w:val="en-GB"/>
        </w:rPr>
      </w:pPr>
    </w:p>
    <w:p w:rsidR="00323167" w:rsidP="00DC359F" w:rsidRDefault="00323167" w14:paraId="1A185DEA" w14:textId="20A0A1FA" w14:noSpellErr="1">
      <w:pPr>
        <w:pStyle w:val="AODocTxt"/>
        <w:numPr>
          <w:ilvl w:val="0"/>
          <w:numId w:val="12"/>
        </w:numPr>
        <w:spacing w:before="0" w:line="240" w:lineRule="auto"/>
        <w:ind w:left="426"/>
        <w:rPr>
          <w:rFonts w:ascii="Arial" w:hAnsi="Arial" w:cs="Arial"/>
        </w:rPr>
      </w:pPr>
      <w:r w:rsidRPr="73F69078" w:rsidR="73F69078">
        <w:rPr>
          <w:rFonts w:ascii="Arial" w:hAnsi="Arial" w:cs="Arial"/>
        </w:rPr>
        <w:t>Which cause of action requires that the debtor be presumed or proven to have been insolvent at the time of the transfer?</w:t>
      </w:r>
    </w:p>
    <w:p w:rsidRPr="00DC359F" w:rsidR="00DC359F" w:rsidP="00DC359F" w:rsidRDefault="00DC359F" w14:paraId="4D72C26B" w14:textId="77777777" w14:noSpellErr="1">
      <w:pPr>
        <w:pStyle w:val="AODocTxt"/>
        <w:spacing w:before="0" w:line="240" w:lineRule="auto"/>
        <w:rPr>
          <w:rFonts w:ascii="Arial" w:hAnsi="Arial" w:cs="Arial"/>
        </w:rPr>
      </w:pPr>
    </w:p>
    <w:p w:rsidR="00DC359F" w:rsidP="73F69078" w:rsidRDefault="00322F13" w14:paraId="76059889" w14:textId="7A0C0F33">
      <w:pPr>
        <w:pStyle w:val="AODocTxt"/>
        <w:spacing w:before="0" w:line="240" w:lineRule="auto"/>
        <w:ind w:firstLine="426"/>
        <w:rPr>
          <w:rFonts w:ascii="Arial" w:hAnsi="Arial" w:cs="Arial"/>
        </w:rPr>
      </w:pPr>
      <w:r w:rsidRPr="73F69078" w:rsidR="73F69078">
        <w:rPr>
          <w:rFonts w:ascii="Arial" w:hAnsi="Arial" w:cs="Arial"/>
        </w:rPr>
        <w:t>The cause of action that would apply here is preferences</w:t>
      </w:r>
    </w:p>
    <w:p w:rsidRPr="00323167" w:rsidR="005B2A9B" w:rsidP="73F69078" w:rsidRDefault="005B2A9B" w14:paraId="40D4A9CE" w14:textId="77777777" w14:noSpellErr="1">
      <w:pPr>
        <w:pStyle w:val="AODocTxt"/>
        <w:spacing w:before="0" w:line="240" w:lineRule="auto"/>
        <w:ind w:firstLine="426"/>
        <w:rPr>
          <w:rFonts w:ascii="Arial" w:hAnsi="Arial" w:cs="Arial"/>
        </w:rPr>
      </w:pPr>
    </w:p>
    <w:p w:rsidR="00323167" w:rsidP="00DC359F" w:rsidRDefault="00323167" w14:paraId="730D552B" w14:textId="4FB9BC86" w14:noSpellErr="1">
      <w:pPr>
        <w:pStyle w:val="AODocTxt"/>
        <w:numPr>
          <w:ilvl w:val="0"/>
          <w:numId w:val="12"/>
        </w:numPr>
        <w:spacing w:before="0" w:line="240" w:lineRule="auto"/>
        <w:ind w:left="426"/>
        <w:rPr>
          <w:rFonts w:ascii="Arial" w:hAnsi="Arial" w:cs="Arial"/>
        </w:rPr>
      </w:pPr>
      <w:r w:rsidRPr="73F69078" w:rsidR="73F69078">
        <w:rPr>
          <w:rFonts w:ascii="Arial" w:hAnsi="Arial" w:cs="Arial"/>
        </w:rPr>
        <w:t>Which cause of action requires that the debtor be proven to have intended to frustrate creditors’ recoveries?</w:t>
      </w:r>
    </w:p>
    <w:p w:rsidRPr="00DC359F" w:rsidR="00DC359F" w:rsidP="00DC359F" w:rsidRDefault="00DC359F" w14:paraId="23824B28" w14:textId="77777777" w14:noSpellErr="1">
      <w:pPr>
        <w:pStyle w:val="AODocTxt"/>
        <w:spacing w:before="0" w:line="240" w:lineRule="auto"/>
        <w:rPr>
          <w:rFonts w:ascii="Arial" w:hAnsi="Arial" w:cs="Arial"/>
        </w:rPr>
      </w:pPr>
    </w:p>
    <w:p w:rsidRPr="00FD7423" w:rsidR="005B2A9B" w:rsidP="005B2A9B" w:rsidRDefault="00322F13" w14:paraId="68F89BF6" w14:textId="23E0B98D">
      <w:pPr>
        <w:ind w:firstLine="426"/>
        <w:jc w:val="both"/>
        <w:rPr>
          <w:rFonts w:ascii="Arial" w:hAnsi="Arial" w:cs="Arial"/>
          <w:sz w:val="22"/>
          <w:szCs w:val="22"/>
          <w:lang w:val="en-GB"/>
        </w:rPr>
      </w:pPr>
      <w:r w:rsidRPr="73F69078" w:rsidR="73F69078">
        <w:rPr>
          <w:rFonts w:ascii="Arial" w:hAnsi="Arial" w:cs="Arial"/>
          <w:sz w:val="22"/>
          <w:szCs w:val="22"/>
          <w:lang w:val="en-GB"/>
        </w:rPr>
        <w:t>The cause of action that would apply here is actual fraudulent conveyance.</w:t>
      </w:r>
      <w:r w:rsidRPr="73F69078" w:rsidR="73F69078">
        <w:rPr>
          <w:rFonts w:ascii="Arial" w:hAnsi="Arial" w:cs="Arial"/>
          <w:sz w:val="22"/>
          <w:szCs w:val="22"/>
          <w:lang w:val="en-GB"/>
        </w:rPr>
        <w:t xml:space="preserve"> </w:t>
      </w:r>
    </w:p>
    <w:p w:rsidR="00323167" w:rsidP="00323167" w:rsidRDefault="00323167" w14:paraId="6A32F1E1" w14:textId="3F7C4098" w14:noSpellErr="1">
      <w:pPr>
        <w:pStyle w:val="AODocTxt"/>
        <w:spacing w:before="0" w:line="240" w:lineRule="auto"/>
        <w:rPr>
          <w:rFonts w:ascii="Arial" w:hAnsi="Arial" w:cs="Arial"/>
        </w:rPr>
      </w:pPr>
    </w:p>
    <w:p w:rsidRPr="00323167" w:rsidR="005B2A9B" w:rsidP="00323167" w:rsidRDefault="005B2A9B" w14:paraId="1CC6EE8C" w14:textId="77777777">
      <w:pPr>
        <w:pStyle w:val="AODocTxt"/>
        <w:spacing w:before="0" w:line="240" w:lineRule="auto"/>
        <w:rPr>
          <w:rFonts w:ascii="Arial" w:hAnsi="Arial" w:cs="Arial"/>
        </w:rPr>
      </w:pPr>
    </w:p>
    <w:p w:rsidRPr="00323167" w:rsidR="00323167" w:rsidP="00323167" w:rsidRDefault="00323167" w14:paraId="3F763D13" w14:textId="7777777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rsidR="00DC359F" w:rsidP="00323167" w:rsidRDefault="00DC359F" w14:paraId="75F9E997" w14:textId="77777777">
      <w:pPr>
        <w:pStyle w:val="AODocTxt"/>
        <w:spacing w:before="0" w:line="240" w:lineRule="auto"/>
        <w:rPr>
          <w:rFonts w:ascii="Arial" w:hAnsi="Arial" w:cs="Arial"/>
          <w:b/>
          <w:lang w:val="en-GB"/>
        </w:rPr>
      </w:pPr>
    </w:p>
    <w:p w:rsidRPr="00323167" w:rsidR="00323167" w:rsidP="00323167" w:rsidRDefault="00323167" w14:paraId="3611D0CE" w14:textId="5E9ADC15">
      <w:pPr>
        <w:pStyle w:val="AODocTxt"/>
        <w:spacing w:before="0" w:line="240" w:lineRule="auto"/>
        <w:rPr>
          <w:rFonts w:ascii="Arial" w:hAnsi="Arial" w:cs="Arial"/>
          <w:b/>
          <w:lang w:val="en-GB"/>
        </w:rPr>
      </w:pPr>
      <w:r w:rsidRPr="00323167">
        <w:rPr>
          <w:rFonts w:ascii="Arial" w:hAnsi="Arial" w:cs="Arial"/>
          <w:b/>
          <w:lang w:val="en-GB"/>
        </w:rPr>
        <w:t>Question 3.1 (3 marks)</w:t>
      </w:r>
    </w:p>
    <w:p w:rsidR="00DC359F" w:rsidP="00323167" w:rsidRDefault="00DC359F" w14:paraId="3B8DAEE7" w14:textId="77777777">
      <w:pPr>
        <w:pStyle w:val="AODocTxt"/>
        <w:spacing w:before="0" w:line="240" w:lineRule="auto"/>
        <w:rPr>
          <w:rFonts w:ascii="Arial" w:hAnsi="Arial" w:cs="Arial"/>
          <w:lang w:val="en-GB"/>
        </w:rPr>
      </w:pPr>
    </w:p>
    <w:p w:rsidR="00323167" w:rsidP="00323167" w:rsidRDefault="00323167" w14:paraId="64842C93" w14:textId="67E73110">
      <w:pPr>
        <w:pStyle w:val="AODocTxt"/>
        <w:spacing w:before="0" w:line="240" w:lineRule="auto"/>
        <w:rPr>
          <w:rFonts w:ascii="Arial" w:hAnsi="Arial" w:cs="Arial"/>
          <w:lang w:val="en-GB"/>
        </w:rPr>
      </w:pPr>
      <w:r w:rsidRPr="73F69078" w:rsidR="73F69078">
        <w:rPr>
          <w:rFonts w:ascii="Arial" w:hAnsi="Arial" w:cs="Arial"/>
          <w:lang w:val="en-GB"/>
        </w:rPr>
        <w:t xml:space="preserve">How did </w:t>
      </w:r>
      <w:r w:rsidRPr="73F69078" w:rsidR="73F69078">
        <w:rPr>
          <w:rFonts w:ascii="Arial" w:hAnsi="Arial" w:cs="Arial"/>
          <w:i w:val="1"/>
          <w:iCs w:val="1"/>
          <w:lang w:val="en-GB"/>
        </w:rPr>
        <w:t>Stern v Marshall</w:t>
      </w:r>
      <w:r w:rsidRPr="73F69078" w:rsidR="73F69078">
        <w:rPr>
          <w:rFonts w:ascii="Arial" w:hAnsi="Arial" w:cs="Arial"/>
          <w:lang w:val="en-GB"/>
        </w:rPr>
        <w:t xml:space="preserve"> change the law of bankruptcy court jurisdiction and authority to enter a final order? </w:t>
      </w:r>
    </w:p>
    <w:p w:rsidRPr="00E4320F" w:rsidR="00A80911" w:rsidP="73F69078" w:rsidRDefault="00A80911" w14:paraId="246CEC9B" w14:textId="1B96B13E">
      <w:pPr>
        <w:pStyle w:val="AODocTxt"/>
        <w:spacing w:before="0" w:line="240" w:lineRule="auto"/>
        <w:rPr>
          <w:rFonts w:ascii="Times New Roman" w:hAnsi="Times New Roman" w:eastAsia="Calibri" w:cs="Times New Roman"/>
          <w:sz w:val="22"/>
          <w:szCs w:val="22"/>
          <w:lang w:val="en-GB"/>
        </w:rPr>
      </w:pPr>
    </w:p>
    <w:p w:rsidRPr="00E4320F" w:rsidR="00A80911" w:rsidP="73F69078" w:rsidRDefault="00A80911" w14:paraId="040A3D89" w14:textId="65A3836B">
      <w:pPr>
        <w:pStyle w:val="AODocTxt"/>
        <w:spacing w:before="0" w:line="240" w:lineRule="auto"/>
        <w:rPr>
          <w:rFonts w:ascii="Arial" w:hAnsi="Arial" w:eastAsia="Times New Roman" w:cs="Arial"/>
          <w:color w:val="000000" w:themeColor="text1" w:themeTint="FF" w:themeShade="FF"/>
          <w:lang w:val="en-GB"/>
        </w:rPr>
      </w:pPr>
      <w:r w:rsidRPr="73F69078" w:rsidR="73F69078">
        <w:rPr>
          <w:rFonts w:ascii="Arial" w:hAnsi="Arial" w:eastAsia="Calibri" w:cs="Arial"/>
          <w:sz w:val="22"/>
          <w:szCs w:val="22"/>
          <w:lang w:val="en-GB"/>
        </w:rPr>
        <w:t xml:space="preserve">Before the decision of </w:t>
      </w:r>
      <w:r w:rsidRPr="73F69078" w:rsidR="73F69078">
        <w:rPr>
          <w:rFonts w:ascii="Arial" w:hAnsi="Arial" w:eastAsia="Calibri" w:cs="Arial"/>
          <w:i w:val="1"/>
          <w:iCs w:val="1"/>
          <w:sz w:val="22"/>
          <w:szCs w:val="22"/>
          <w:lang w:val="en-GB"/>
        </w:rPr>
        <w:t>Stern v Marshall</w:t>
      </w:r>
      <w:r w:rsidRPr="73F69078" w:rsidR="73F69078">
        <w:rPr>
          <w:rFonts w:ascii="Arial" w:hAnsi="Arial" w:eastAsia="Calibri" w:cs="Arial"/>
          <w:sz w:val="22"/>
          <w:szCs w:val="22"/>
          <w:lang w:val="en-GB"/>
        </w:rPr>
        <w:t xml:space="preserve">, it was accepted principle that bankruptcy court had jurisdiction to grant final orders in respect of core matters. However, the </w:t>
      </w:r>
      <w:r w:rsidRPr="73F69078" w:rsidR="73F69078">
        <w:rPr>
          <w:rFonts w:ascii="Arial" w:hAnsi="Arial" w:eastAsia="Times New Roman" w:cs="Arial"/>
          <w:color w:val="000000" w:themeColor="text1" w:themeTint="FF" w:themeShade="FF"/>
          <w:lang w:val="en-GB"/>
        </w:rPr>
        <w:t xml:space="preserve">Supreme Court ruled in this case that the bankruptcy court cannot issue final orders that invade Article III jurisdiction. </w:t>
      </w:r>
    </w:p>
    <w:p w:rsidRPr="00E4320F" w:rsidR="00A80911" w:rsidP="73F69078" w:rsidRDefault="00A80911" w14:paraId="45D9EEED" w14:textId="0E2218FB">
      <w:pPr>
        <w:pStyle w:val="AODocTxt"/>
        <w:spacing w:before="0" w:line="240" w:lineRule="auto"/>
        <w:rPr>
          <w:rFonts w:ascii="Arial" w:hAnsi="Arial" w:eastAsia="Times New Roman" w:cs="Arial"/>
          <w:color w:val="000000" w:themeColor="text1" w:themeTint="FF" w:themeShade="FF"/>
          <w:lang w:val="en-GB"/>
        </w:rPr>
      </w:pPr>
    </w:p>
    <w:p w:rsidRPr="00E4320F" w:rsidR="00A80911" w:rsidP="73F69078" w:rsidRDefault="00A80911" w14:paraId="3425A3C5" w14:textId="22261218">
      <w:pPr>
        <w:pStyle w:val="AODocTxt"/>
        <w:spacing w:before="0" w:line="240" w:lineRule="auto"/>
        <w:rPr>
          <w:rFonts w:ascii="Arial" w:hAnsi="Arial" w:eastAsia="Times New Roman" w:cs="Arial"/>
          <w:color w:val="000000" w:themeColor="text1" w:themeTint="FF" w:themeShade="FF"/>
          <w:lang w:val="en-GB"/>
        </w:rPr>
      </w:pPr>
      <w:r w:rsidRPr="73F69078" w:rsidR="73F69078">
        <w:rPr>
          <w:rFonts w:ascii="Arial" w:hAnsi="Arial" w:eastAsia="Times New Roman" w:cs="Arial"/>
          <w:color w:val="000000" w:themeColor="text1" w:themeTint="FF" w:themeShade="FF"/>
          <w:lang w:val="en-GB"/>
        </w:rPr>
        <w:t>Since this order, there have been amendments to the Bankruptcy Rules. As a result of this case, the US Supreme Court have also held that bankruptcy judges may determine a core proceeding over which they lack constitutional authority by issuing a report and recommendation for review by the district court, the same procedure as in non-core proceedings, or, with the consent of the parties, may issue final orders. This case has also resulted in the implementation of Bankruptcy Rules which requires litigants to state in their pleadings whether they consent to the entry of final orders or judgment by bankruptcy court.</w:t>
      </w:r>
    </w:p>
    <w:p w:rsidRPr="00E4320F" w:rsidR="00A80911" w:rsidP="73F69078" w:rsidRDefault="00A80911" w14:paraId="3A4BB386" w14:textId="43041B8F">
      <w:pPr>
        <w:pStyle w:val="AODocTxt"/>
        <w:spacing w:before="0" w:line="240" w:lineRule="auto"/>
        <w:rPr>
          <w:rFonts w:ascii="Arial" w:hAnsi="Arial" w:eastAsia="Times New Roman" w:cs="Arial"/>
          <w:color w:val="000000" w:themeColor="text1" w:themeTint="FF" w:themeShade="FF"/>
          <w:lang w:val="en-GB"/>
        </w:rPr>
      </w:pPr>
    </w:p>
    <w:p w:rsidRPr="00E4320F" w:rsidR="00A80911" w:rsidP="00323167" w:rsidRDefault="00A80911" w14:paraId="02D21C07" w14:textId="79FA630F">
      <w:pPr>
        <w:pStyle w:val="AODocTxt"/>
        <w:spacing w:before="0" w:line="240" w:lineRule="auto"/>
        <w:rPr>
          <w:rFonts w:ascii="Arial" w:hAnsi="Arial" w:eastAsia="Times New Roman" w:cs="Arial"/>
          <w:color w:val="000000" w:themeColor="text1"/>
          <w:lang w:val="en-GB"/>
        </w:rPr>
      </w:pPr>
      <w:r w:rsidRPr="73F69078" w:rsidR="73F69078">
        <w:rPr>
          <w:rFonts w:ascii="Arial" w:hAnsi="Arial" w:eastAsia="Times New Roman" w:cs="Arial"/>
          <w:color w:val="000000" w:themeColor="text1" w:themeTint="FF" w:themeShade="FF"/>
          <w:lang w:val="en-GB"/>
        </w:rPr>
        <w:t>The Bankruptcy Rules have also implemented rules which permit district courts that determine whether a bankruptcy court has jurisdiction to enter a final order to treat its order as proposed findings of fact and conclusions of law.</w:t>
      </w:r>
    </w:p>
    <w:p w:rsidR="00E12046" w:rsidP="00323167" w:rsidRDefault="00E12046" w14:paraId="470DD5A5" w14:textId="77777777">
      <w:pPr>
        <w:pStyle w:val="AODocTxt"/>
        <w:spacing w:before="0" w:line="240" w:lineRule="auto"/>
        <w:rPr>
          <w:rFonts w:ascii="Arial" w:hAnsi="Arial" w:eastAsia="Times New Roman" w:cs="Arial"/>
          <w:color w:val="7B7B7B" w:themeColor="accent3" w:themeShade="BF"/>
          <w:lang w:val="en-GB"/>
        </w:rPr>
      </w:pPr>
    </w:p>
    <w:p w:rsidRPr="00323167" w:rsidR="00A80911" w:rsidP="00323167" w:rsidRDefault="00A80911" w14:paraId="45607225" w14:textId="77777777">
      <w:pPr>
        <w:pStyle w:val="AODocTxt"/>
        <w:spacing w:before="0" w:line="240" w:lineRule="auto"/>
        <w:rPr>
          <w:rFonts w:ascii="Arial" w:hAnsi="Arial" w:cs="Arial"/>
          <w:lang w:val="en-GB"/>
        </w:rPr>
      </w:pPr>
    </w:p>
    <w:p w:rsidRPr="00323167" w:rsidR="00323167" w:rsidP="00323167" w:rsidRDefault="00323167" w14:paraId="7C4738B4" w14:textId="77777777">
      <w:pPr>
        <w:pStyle w:val="AODocTxt"/>
        <w:spacing w:before="0" w:line="240" w:lineRule="auto"/>
        <w:rPr>
          <w:rFonts w:ascii="Arial" w:hAnsi="Arial" w:cs="Arial"/>
          <w:b/>
        </w:rPr>
      </w:pPr>
      <w:r w:rsidRPr="00323167">
        <w:rPr>
          <w:rFonts w:ascii="Arial" w:hAnsi="Arial" w:cs="Arial"/>
          <w:b/>
        </w:rPr>
        <w:t>Question 3.2 (3 marks)</w:t>
      </w:r>
    </w:p>
    <w:p w:rsidR="00DC359F" w:rsidP="00323167" w:rsidRDefault="00DC359F" w14:paraId="7F9351A9" w14:textId="77777777">
      <w:pPr>
        <w:pStyle w:val="AODocTxt"/>
        <w:spacing w:before="0" w:line="240" w:lineRule="auto"/>
        <w:rPr>
          <w:rFonts w:ascii="Arial" w:hAnsi="Arial" w:cs="Arial"/>
        </w:rPr>
      </w:pPr>
    </w:p>
    <w:p w:rsidR="00323167" w:rsidP="00323167" w:rsidRDefault="00323167" w14:paraId="535752F1" w14:textId="11E7A1B2">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rsidR="00DC359F" w:rsidP="00323167" w:rsidRDefault="00DC359F" w14:paraId="04948270" w14:textId="505CAC7F">
      <w:pPr>
        <w:pStyle w:val="AODocTxt"/>
        <w:spacing w:before="0" w:line="240" w:lineRule="auto"/>
        <w:rPr>
          <w:rFonts w:ascii="Arial" w:hAnsi="Arial" w:cs="Arial"/>
        </w:rPr>
      </w:pPr>
    </w:p>
    <w:p w:rsidRPr="00B06D16" w:rsidR="00E61714" w:rsidP="00E61714" w:rsidRDefault="0018265B" w14:paraId="2827275B" w14:textId="64D1F30A">
      <w:pPr>
        <w:pStyle w:val="ListParagraph"/>
        <w:numPr>
          <w:ilvl w:val="0"/>
          <w:numId w:val="15"/>
        </w:numPr>
        <w:jc w:val="both"/>
        <w:rPr>
          <w:rFonts w:ascii="Arial" w:hAnsi="Arial" w:cs="Arial"/>
          <w:sz w:val="22"/>
          <w:szCs w:val="22"/>
          <w:lang w:val="en-GB"/>
        </w:rPr>
      </w:pPr>
      <w:r w:rsidRPr="73F69078" w:rsidR="73F69078">
        <w:rPr>
          <w:rFonts w:ascii="Arial" w:hAnsi="Arial" w:cs="Arial"/>
          <w:sz w:val="22"/>
          <w:szCs w:val="22"/>
          <w:lang w:val="en-GB"/>
        </w:rPr>
        <w:t xml:space="preserve">Foreign representatives are not entitled to invoke powers that a debtor in possession or trustee avoidance would use. This has been widely interpreted only to apply to the use of avoidance powers such as avoidance of preferences and fraudulent conveyance </w:t>
      </w:r>
      <w:r w:rsidRPr="73F69078" w:rsidR="73F69078">
        <w:rPr>
          <w:rFonts w:ascii="Arial" w:hAnsi="Arial" w:cs="Arial"/>
          <w:sz w:val="22"/>
          <w:szCs w:val="22"/>
          <w:lang w:val="en-GB"/>
        </w:rPr>
        <w:t>and not</w:t>
      </w:r>
      <w:r w:rsidRPr="73F69078" w:rsidR="73F69078">
        <w:rPr>
          <w:rFonts w:ascii="Arial" w:hAnsi="Arial" w:cs="Arial"/>
          <w:sz w:val="22"/>
          <w:szCs w:val="22"/>
          <w:lang w:val="en-GB"/>
        </w:rPr>
        <w:t xml:space="preserve"> to bar a foreign representative from seeking to avoid pre-petition transactions under other applicable US or foreign law. </w:t>
      </w:r>
    </w:p>
    <w:p w:rsidRPr="00B06D16" w:rsidR="004822D0" w:rsidP="004822D0" w:rsidRDefault="004822D0" w14:paraId="680AD293" w14:textId="77777777">
      <w:pPr>
        <w:pStyle w:val="ListParagraph"/>
        <w:jc w:val="both"/>
        <w:rPr>
          <w:rFonts w:ascii="Arial" w:hAnsi="Arial" w:cs="Arial"/>
          <w:sz w:val="22"/>
          <w:szCs w:val="22"/>
          <w:lang w:val="en-GB"/>
        </w:rPr>
      </w:pPr>
    </w:p>
    <w:p w:rsidRPr="00B06D16" w:rsidR="005B2A9B" w:rsidP="00E61714" w:rsidRDefault="00E61714" w14:paraId="4268B1B6" w14:textId="47621C9A">
      <w:pPr>
        <w:pStyle w:val="ListParagraph"/>
        <w:numPr>
          <w:ilvl w:val="0"/>
          <w:numId w:val="15"/>
        </w:numPr>
        <w:jc w:val="both"/>
        <w:rPr>
          <w:rFonts w:ascii="Arial" w:hAnsi="Arial" w:cs="Arial"/>
          <w:sz w:val="22"/>
          <w:szCs w:val="22"/>
          <w:lang w:val="en-GB"/>
        </w:rPr>
      </w:pPr>
      <w:r w:rsidRPr="00B06D16">
        <w:rPr>
          <w:rFonts w:ascii="Arial" w:hAnsi="Arial" w:cs="Arial"/>
          <w:sz w:val="22"/>
          <w:szCs w:val="22"/>
          <w:lang w:val="en-GB"/>
        </w:rPr>
        <w:t>A foreign rep</w:t>
      </w:r>
      <w:r w:rsidRPr="00B06D16" w:rsidR="00253F3A">
        <w:rPr>
          <w:rFonts w:ascii="Arial" w:hAnsi="Arial" w:cs="Arial"/>
          <w:sz w:val="22"/>
          <w:szCs w:val="22"/>
          <w:lang w:val="en-GB"/>
        </w:rPr>
        <w:t>resentative</w:t>
      </w:r>
      <w:r w:rsidRPr="00B06D16">
        <w:rPr>
          <w:rFonts w:ascii="Arial" w:hAnsi="Arial" w:cs="Arial"/>
          <w:sz w:val="22"/>
          <w:szCs w:val="22"/>
          <w:lang w:val="en-GB"/>
        </w:rPr>
        <w:t xml:space="preserve"> can commence </w:t>
      </w:r>
      <w:r w:rsidRPr="00B06D16" w:rsidR="0018265B">
        <w:rPr>
          <w:rFonts w:ascii="Arial" w:hAnsi="Arial" w:cs="Arial"/>
          <w:sz w:val="22"/>
          <w:szCs w:val="22"/>
          <w:lang w:val="en-GB"/>
        </w:rPr>
        <w:t>plenary proceedings to obtain access to the Bankruptcy Code avoiding powers after the recognition of the foreign proceedings under chapter 15</w:t>
      </w:r>
      <w:r w:rsidRPr="00B06D16" w:rsidR="005C4C45">
        <w:rPr>
          <w:rFonts w:ascii="Arial" w:hAnsi="Arial" w:cs="Arial"/>
          <w:sz w:val="22"/>
          <w:szCs w:val="22"/>
          <w:lang w:val="en-GB"/>
        </w:rPr>
        <w:t xml:space="preserve"> or it can invoke the Bankruptcy Code avoidance powers in a plenary proceeding that was commenced by a debtor or creditor prior to its involvement. </w:t>
      </w:r>
    </w:p>
    <w:p w:rsidR="00E61714" w:rsidP="005B2A9B" w:rsidRDefault="00E61714" w14:paraId="424E3C39" w14:textId="4E691C77">
      <w:pPr>
        <w:jc w:val="both"/>
        <w:rPr>
          <w:rFonts w:ascii="Arial" w:hAnsi="Arial" w:cs="Arial"/>
          <w:color w:val="7B7B7B" w:themeColor="accent3" w:themeShade="BF"/>
          <w:sz w:val="22"/>
          <w:szCs w:val="22"/>
          <w:lang w:val="en-GB"/>
        </w:rPr>
      </w:pPr>
    </w:p>
    <w:p w:rsidRPr="00FF5098" w:rsidR="00E61714" w:rsidP="005B2A9B" w:rsidRDefault="00E61714" w14:paraId="3175DF31" w14:textId="77777777">
      <w:pPr>
        <w:jc w:val="both"/>
        <w:rPr>
          <w:rFonts w:ascii="Arial" w:hAnsi="Arial" w:cs="Arial"/>
          <w:color w:val="7B7B7B" w:themeColor="accent3" w:themeShade="BF"/>
          <w:sz w:val="22"/>
          <w:szCs w:val="22"/>
          <w:lang w:val="en-GB"/>
        </w:rPr>
      </w:pPr>
    </w:p>
    <w:p w:rsidR="00DC359F" w:rsidP="00323167" w:rsidRDefault="00DC359F" w14:paraId="4844DDA4" w14:textId="05DC7DC8">
      <w:pPr>
        <w:pStyle w:val="AODocTxt"/>
        <w:spacing w:before="0" w:line="240" w:lineRule="auto"/>
        <w:rPr>
          <w:rFonts w:ascii="Arial" w:hAnsi="Arial" w:cs="Arial"/>
        </w:rPr>
      </w:pPr>
    </w:p>
    <w:p w:rsidRPr="00323167" w:rsidR="005B2A9B" w:rsidP="00323167" w:rsidRDefault="005B2A9B" w14:paraId="76D20C70" w14:textId="77777777">
      <w:pPr>
        <w:pStyle w:val="AODocTxt"/>
        <w:spacing w:before="0" w:line="240" w:lineRule="auto"/>
        <w:rPr>
          <w:rFonts w:ascii="Arial" w:hAnsi="Arial" w:cs="Arial"/>
        </w:rPr>
      </w:pPr>
    </w:p>
    <w:p w:rsidRPr="00323167" w:rsidR="00323167" w:rsidP="00323167" w:rsidRDefault="00323167" w14:paraId="55FF271F" w14:textId="77777777">
      <w:pPr>
        <w:pStyle w:val="AODocTxt"/>
        <w:spacing w:before="0" w:line="240" w:lineRule="auto"/>
        <w:rPr>
          <w:rFonts w:ascii="Arial" w:hAnsi="Arial" w:cs="Arial"/>
          <w:b/>
          <w:lang w:val="en-GB"/>
        </w:rPr>
      </w:pPr>
      <w:r w:rsidRPr="00323167">
        <w:rPr>
          <w:rFonts w:ascii="Arial" w:hAnsi="Arial" w:cs="Arial"/>
          <w:b/>
          <w:lang w:val="en-GB"/>
        </w:rPr>
        <w:t>Question 3.3 (4 marks)</w:t>
      </w:r>
    </w:p>
    <w:p w:rsidRPr="00323167" w:rsidR="00323167" w:rsidP="00323167" w:rsidRDefault="00323167" w14:paraId="388CA11C" w14:textId="77777777">
      <w:pPr>
        <w:pStyle w:val="AODocTxt"/>
        <w:spacing w:before="0" w:line="240" w:lineRule="auto"/>
        <w:rPr>
          <w:rFonts w:ascii="Arial" w:hAnsi="Arial" w:cs="Arial"/>
        </w:rPr>
      </w:pPr>
    </w:p>
    <w:p w:rsidRPr="00323167" w:rsidR="00323167" w:rsidP="00323167" w:rsidRDefault="00323167" w14:paraId="060D88A4" w14:textId="0B6168D8">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rsidR="00323167" w:rsidP="00323167" w:rsidRDefault="00323167" w14:paraId="503FAA68" w14:textId="14F7AE67">
      <w:pPr>
        <w:pStyle w:val="AODocTxt"/>
        <w:spacing w:before="0" w:line="240" w:lineRule="auto"/>
        <w:rPr>
          <w:rFonts w:ascii="Arial" w:hAnsi="Arial" w:cs="Arial"/>
        </w:rPr>
      </w:pPr>
    </w:p>
    <w:p w:rsidRPr="00B06D16" w:rsidR="005B2A9B" w:rsidP="00C024CE" w:rsidRDefault="00D773A1" w14:paraId="4B0336A1" w14:textId="4232E52B">
      <w:pPr>
        <w:pStyle w:val="ListParagraph"/>
        <w:numPr>
          <w:ilvl w:val="0"/>
          <w:numId w:val="16"/>
        </w:numPr>
        <w:jc w:val="both"/>
        <w:rPr>
          <w:rFonts w:ascii="Arial" w:hAnsi="Arial" w:cs="Arial"/>
          <w:sz w:val="22"/>
          <w:szCs w:val="22"/>
          <w:lang w:val="en-GB"/>
        </w:rPr>
      </w:pPr>
      <w:r w:rsidRPr="73F69078" w:rsidR="73F69078">
        <w:rPr>
          <w:rFonts w:ascii="Arial" w:hAnsi="Arial" w:cs="Arial"/>
          <w:sz w:val="22"/>
          <w:szCs w:val="22"/>
          <w:lang w:val="en-GB"/>
        </w:rPr>
        <w:t xml:space="preserve">Final orders are those that dispose of all issues, leaving nothing further to be decided whereas interlocutory orders only deal with some or one of the </w:t>
      </w:r>
      <w:r w:rsidRPr="73F69078" w:rsidR="73F69078">
        <w:rPr>
          <w:rFonts w:ascii="Arial" w:hAnsi="Arial" w:cs="Arial"/>
          <w:sz w:val="22"/>
          <w:szCs w:val="22"/>
          <w:lang w:val="en-GB"/>
        </w:rPr>
        <w:t>issues</w:t>
      </w:r>
      <w:r w:rsidRPr="73F69078" w:rsidR="73F69078">
        <w:rPr>
          <w:rFonts w:ascii="Arial" w:hAnsi="Arial" w:cs="Arial"/>
          <w:sz w:val="22"/>
          <w:szCs w:val="22"/>
          <w:lang w:val="en-GB"/>
        </w:rPr>
        <w:t xml:space="preserve"> in the proceedings. Final orders may be appealed as of right where are interlocutory orders may be appealed only with leave of the appellant court. </w:t>
      </w:r>
    </w:p>
    <w:p w:rsidRPr="00B06D16" w:rsidR="008D5FFF" w:rsidP="008D5FFF" w:rsidRDefault="008D5FFF" w14:paraId="2CA09CB5" w14:textId="77777777">
      <w:pPr>
        <w:pStyle w:val="ListParagraph"/>
        <w:jc w:val="both"/>
        <w:rPr>
          <w:rFonts w:ascii="Arial" w:hAnsi="Arial" w:cs="Arial"/>
          <w:sz w:val="22"/>
          <w:szCs w:val="22"/>
          <w:lang w:val="en-GB"/>
        </w:rPr>
      </w:pPr>
    </w:p>
    <w:p w:rsidRPr="00B06D16" w:rsidR="00C024CE" w:rsidP="00C024CE" w:rsidRDefault="00C024CE" w14:paraId="6B9AA8A6" w14:textId="6D677B0B" w14:noSpellErr="1">
      <w:pPr>
        <w:pStyle w:val="ListParagraph"/>
        <w:numPr>
          <w:ilvl w:val="0"/>
          <w:numId w:val="16"/>
        </w:numPr>
        <w:jc w:val="both"/>
        <w:rPr>
          <w:rFonts w:ascii="Arial" w:hAnsi="Arial" w:cs="Arial"/>
          <w:sz w:val="22"/>
          <w:szCs w:val="22"/>
          <w:lang w:val="en-GB"/>
        </w:rPr>
      </w:pPr>
      <w:r w:rsidRPr="73F69078" w:rsidR="73F69078">
        <w:rPr>
          <w:rFonts w:ascii="Arial" w:hAnsi="Arial" w:cs="Arial"/>
          <w:sz w:val="22"/>
          <w:szCs w:val="22"/>
          <w:lang w:val="en-GB"/>
        </w:rPr>
        <w:t>Generally, appeals from bankruptcy court orders are heard by the district court for the district in which they sit. However, in some instances, appeals are heard by the Bank</w:t>
      </w:r>
      <w:r w:rsidRPr="73F69078" w:rsidR="73F69078">
        <w:rPr>
          <w:rFonts w:ascii="Arial" w:hAnsi="Arial" w:cs="Arial"/>
          <w:sz w:val="22"/>
          <w:szCs w:val="22"/>
          <w:lang w:val="en-GB"/>
        </w:rPr>
        <w:t>ruptcy Appellant Court (</w:t>
      </w:r>
      <w:r w:rsidRPr="73F69078" w:rsidR="73F69078">
        <w:rPr>
          <w:rFonts w:ascii="Arial" w:hAnsi="Arial" w:cs="Arial"/>
          <w:b w:val="1"/>
          <w:bCs w:val="1"/>
          <w:i w:val="1"/>
          <w:iCs w:val="1"/>
          <w:sz w:val="22"/>
          <w:szCs w:val="22"/>
          <w:lang w:val="en-GB"/>
        </w:rPr>
        <w:t>BAP)</w:t>
      </w:r>
      <w:r w:rsidRPr="73F69078" w:rsidR="73F69078">
        <w:rPr>
          <w:rFonts w:ascii="Arial" w:hAnsi="Arial" w:cs="Arial"/>
          <w:sz w:val="22"/>
          <w:szCs w:val="22"/>
          <w:lang w:val="en-GB"/>
        </w:rPr>
        <w:t xml:space="preserve"> which usually comprises of judges from the bankruptcy court in the circuit. A party in this circuit can request for the matter to he heard before the district court if the party so desires.</w:t>
      </w:r>
    </w:p>
    <w:p w:rsidR="00C024CE" w:rsidP="005B2A9B" w:rsidRDefault="00C024CE" w14:paraId="047701E4" w14:textId="649030F6">
      <w:pPr>
        <w:jc w:val="both"/>
        <w:rPr>
          <w:rFonts w:ascii="Arial" w:hAnsi="Arial" w:cs="Arial"/>
          <w:color w:val="7B7B7B" w:themeColor="accent3" w:themeShade="BF"/>
          <w:sz w:val="22"/>
          <w:szCs w:val="22"/>
          <w:lang w:val="en-GB"/>
        </w:rPr>
      </w:pPr>
    </w:p>
    <w:p w:rsidRPr="00FF5098" w:rsidR="00C024CE" w:rsidP="005B2A9B" w:rsidRDefault="00C024CE" w14:paraId="0AB342DC" w14:textId="77777777">
      <w:pPr>
        <w:jc w:val="both"/>
        <w:rPr>
          <w:rFonts w:ascii="Arial" w:hAnsi="Arial" w:cs="Arial"/>
          <w:color w:val="7B7B7B" w:themeColor="accent3" w:themeShade="BF"/>
          <w:sz w:val="22"/>
          <w:szCs w:val="22"/>
          <w:lang w:val="en-GB"/>
        </w:rPr>
      </w:pPr>
    </w:p>
    <w:p w:rsidR="00DC359F" w:rsidP="00323167" w:rsidRDefault="00DC359F" w14:paraId="61EA3F29" w14:textId="1548617A">
      <w:pPr>
        <w:pStyle w:val="AODocTxt"/>
        <w:spacing w:before="0" w:line="240" w:lineRule="auto"/>
        <w:rPr>
          <w:rFonts w:ascii="Arial" w:hAnsi="Arial" w:cs="Arial"/>
        </w:rPr>
      </w:pPr>
    </w:p>
    <w:p w:rsidRPr="00323167" w:rsidR="005B2A9B" w:rsidP="00323167" w:rsidRDefault="005B2A9B" w14:paraId="14D04922" w14:textId="77777777">
      <w:pPr>
        <w:pStyle w:val="AODocTxt"/>
        <w:spacing w:before="0" w:line="240" w:lineRule="auto"/>
        <w:rPr>
          <w:rFonts w:ascii="Arial" w:hAnsi="Arial" w:cs="Arial"/>
        </w:rPr>
      </w:pPr>
    </w:p>
    <w:p w:rsidRPr="00323167" w:rsidR="00323167" w:rsidP="00323167" w:rsidRDefault="00323167" w14:paraId="0876AFA6" w14:textId="77777777">
      <w:pPr>
        <w:pStyle w:val="AODocTxt"/>
        <w:spacing w:before="0" w:line="240" w:lineRule="auto"/>
        <w:rPr>
          <w:rFonts w:ascii="Arial" w:hAnsi="Arial" w:cs="Arial"/>
          <w:b/>
        </w:rPr>
      </w:pPr>
      <w:r w:rsidRPr="00323167">
        <w:rPr>
          <w:rFonts w:ascii="Arial" w:hAnsi="Arial" w:cs="Arial"/>
          <w:b/>
        </w:rPr>
        <w:t xml:space="preserve">Question 3.4 (5 marks) </w:t>
      </w:r>
    </w:p>
    <w:p w:rsidR="00DC359F" w:rsidP="00323167" w:rsidRDefault="00DC359F" w14:paraId="1895D3EA" w14:textId="77777777">
      <w:pPr>
        <w:pStyle w:val="AODocTxt"/>
        <w:spacing w:before="0" w:line="240" w:lineRule="auto"/>
        <w:rPr>
          <w:rFonts w:ascii="Arial" w:hAnsi="Arial" w:cs="Arial"/>
        </w:rPr>
      </w:pPr>
    </w:p>
    <w:p w:rsidR="00323167" w:rsidP="00323167" w:rsidRDefault="00323167" w14:paraId="4C3D2A4D" w14:textId="46EF807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rsidR="00DC359F" w:rsidP="00323167" w:rsidRDefault="00DC359F" w14:paraId="6D202181" w14:textId="04B24E9F">
      <w:pPr>
        <w:pStyle w:val="AODocTxt"/>
        <w:spacing w:before="0" w:line="240" w:lineRule="auto"/>
        <w:rPr>
          <w:rFonts w:ascii="Arial" w:hAnsi="Arial" w:cs="Arial"/>
        </w:rPr>
      </w:pPr>
    </w:p>
    <w:p w:rsidRPr="001863E8" w:rsidR="005B2A9B" w:rsidP="73F69078" w:rsidRDefault="008D5FFF" w14:paraId="3C4D1AB2" w14:textId="7E300A88">
      <w:pPr>
        <w:jc w:val="both"/>
        <w:rPr>
          <w:rFonts w:ascii="Arial" w:hAnsi="Arial" w:cs="Arial"/>
          <w:sz w:val="22"/>
          <w:szCs w:val="22"/>
          <w:lang w:val="en-GB"/>
        </w:rPr>
      </w:pPr>
      <w:r w:rsidRPr="73F69078" w:rsidR="73F69078">
        <w:rPr>
          <w:rFonts w:ascii="Arial" w:hAnsi="Arial" w:cs="Arial"/>
          <w:sz w:val="22"/>
          <w:szCs w:val="22"/>
          <w:lang w:val="en-GB"/>
        </w:rPr>
        <w:t xml:space="preserve">The directors of Delaware corporation owe a fiduciary duty of loyalty to Delaware corporations to act in the corporation’s best interest and a duty of care in educated decision-making. </w:t>
      </w:r>
    </w:p>
    <w:p w:rsidRPr="001863E8" w:rsidR="005B2A9B" w:rsidP="73F69078" w:rsidRDefault="008D5FFF" w14:paraId="3C32F0FF" w14:textId="1D2FFFBC">
      <w:pPr>
        <w:jc w:val="both"/>
        <w:rPr>
          <w:rFonts w:ascii="Arial" w:hAnsi="Arial" w:cs="Arial"/>
          <w:sz w:val="22"/>
          <w:szCs w:val="22"/>
          <w:lang w:val="en-GB"/>
        </w:rPr>
      </w:pPr>
    </w:p>
    <w:p w:rsidRPr="001863E8" w:rsidR="005B2A9B" w:rsidP="73F69078" w:rsidRDefault="008D5FFF" w14:paraId="19AF3E6F" w14:textId="0B7E3035">
      <w:pPr>
        <w:jc w:val="both"/>
        <w:rPr>
          <w:rFonts w:ascii="Arial" w:hAnsi="Arial" w:cs="Arial"/>
          <w:sz w:val="22"/>
          <w:szCs w:val="22"/>
          <w:lang w:val="en-GB"/>
        </w:rPr>
      </w:pPr>
      <w:r w:rsidRPr="73F69078" w:rsidR="73F69078">
        <w:rPr>
          <w:rFonts w:ascii="Arial" w:hAnsi="Arial" w:cs="Arial"/>
          <w:sz w:val="22"/>
          <w:szCs w:val="22"/>
          <w:lang w:val="en-GB"/>
        </w:rPr>
        <w:t xml:space="preserve">The directors also have a duty to act in good faith and the best interest of the corporation. These duties are owed to Delaware corporation and the shareholders of Delaware corporation. These duties are not owed to creditors when the corporation is potentially insolvent or actually insolvent and are only owed to the Delaware corporations and its shareholders. </w:t>
      </w:r>
    </w:p>
    <w:p w:rsidRPr="001863E8" w:rsidR="005B2A9B" w:rsidP="73F69078" w:rsidRDefault="008D5FFF" w14:paraId="2152819F" w14:textId="2AC54D67">
      <w:pPr>
        <w:jc w:val="both"/>
        <w:rPr>
          <w:rFonts w:ascii="Arial" w:hAnsi="Arial" w:cs="Arial"/>
          <w:sz w:val="22"/>
          <w:szCs w:val="22"/>
          <w:lang w:val="en-GB"/>
        </w:rPr>
      </w:pPr>
    </w:p>
    <w:p w:rsidRPr="001863E8" w:rsidR="005B2A9B" w:rsidP="005B2A9B" w:rsidRDefault="008D5FFF" w14:paraId="19935379" w14:textId="0898EED1">
      <w:pPr>
        <w:jc w:val="both"/>
        <w:rPr>
          <w:rFonts w:ascii="Arial" w:hAnsi="Arial" w:cs="Arial"/>
          <w:sz w:val="22"/>
          <w:szCs w:val="22"/>
          <w:lang w:val="en-GB"/>
        </w:rPr>
      </w:pPr>
      <w:r w:rsidRPr="73F69078" w:rsidR="73F69078">
        <w:rPr>
          <w:rFonts w:ascii="Arial" w:hAnsi="Arial" w:cs="Arial"/>
          <w:sz w:val="22"/>
          <w:szCs w:val="22"/>
          <w:lang w:val="en-GB"/>
        </w:rPr>
        <w:t xml:space="preserve">In the case of </w:t>
      </w:r>
      <w:r w:rsidRPr="73F69078" w:rsidR="73F69078">
        <w:rPr>
          <w:rFonts w:ascii="Arial" w:hAnsi="Arial" w:cs="Arial"/>
          <w:i w:val="1"/>
          <w:iCs w:val="1"/>
          <w:sz w:val="22"/>
          <w:szCs w:val="22"/>
          <w:lang w:val="en-GB"/>
        </w:rPr>
        <w:t xml:space="preserve">North Am Catholic Educational Foundation, Inc v </w:t>
      </w:r>
      <w:proofErr w:type="spellStart"/>
      <w:r w:rsidRPr="73F69078" w:rsidR="73F69078">
        <w:rPr>
          <w:rFonts w:ascii="Arial" w:hAnsi="Arial" w:cs="Arial"/>
          <w:i w:val="1"/>
          <w:iCs w:val="1"/>
          <w:sz w:val="22"/>
          <w:szCs w:val="22"/>
          <w:lang w:val="en-GB"/>
        </w:rPr>
        <w:t>Ghreewalla</w:t>
      </w:r>
      <w:proofErr w:type="spellEnd"/>
      <w:r w:rsidRPr="73F69078" w:rsidR="73F69078">
        <w:rPr>
          <w:rFonts w:ascii="Arial" w:hAnsi="Arial" w:cs="Arial"/>
          <w:i w:val="1"/>
          <w:iCs w:val="1"/>
          <w:sz w:val="22"/>
          <w:szCs w:val="22"/>
          <w:lang w:val="en-GB"/>
        </w:rPr>
        <w:t>, 930 A.2d 92, 103 (Del 2007),</w:t>
      </w:r>
      <w:r w:rsidRPr="73F69078" w:rsidR="73F69078">
        <w:rPr>
          <w:rFonts w:ascii="Arial" w:hAnsi="Arial" w:cs="Arial"/>
          <w:sz w:val="22"/>
          <w:szCs w:val="22"/>
          <w:lang w:val="en-GB"/>
        </w:rPr>
        <w:t xml:space="preserve"> it was held that individual creditors of an insolvent corporation have no right to assert direct claims for breach of fiduciary duty against corporate directors.</w:t>
      </w:r>
    </w:p>
    <w:p w:rsidR="00323167" w:rsidP="00323167" w:rsidRDefault="00323167" w14:paraId="6D9F18C4" w14:textId="66F24CA5">
      <w:pPr>
        <w:pStyle w:val="AODocTxt"/>
        <w:spacing w:before="0" w:line="240" w:lineRule="auto"/>
        <w:rPr>
          <w:rFonts w:ascii="Arial" w:hAnsi="Arial" w:cs="Arial"/>
          <w:lang w:val="en-GB"/>
        </w:rPr>
      </w:pPr>
    </w:p>
    <w:p w:rsidRPr="00323167" w:rsidR="005B2A9B" w:rsidP="00323167" w:rsidRDefault="005B2A9B" w14:paraId="78734FEC" w14:textId="77777777">
      <w:pPr>
        <w:pStyle w:val="AODocTxt"/>
        <w:spacing w:before="0" w:line="240" w:lineRule="auto"/>
        <w:rPr>
          <w:rFonts w:ascii="Arial" w:hAnsi="Arial" w:cs="Arial"/>
          <w:lang w:val="en-GB"/>
        </w:rPr>
      </w:pPr>
    </w:p>
    <w:p w:rsidRPr="00323167" w:rsidR="00323167" w:rsidP="00323167" w:rsidRDefault="00323167" w14:paraId="0B85F70A" w14:textId="7777777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rsidR="00DC359F" w:rsidP="00323167" w:rsidRDefault="00DC359F" w14:paraId="5F56F2B5" w14:textId="77777777">
      <w:pPr>
        <w:pStyle w:val="AODocTxt"/>
        <w:spacing w:before="0" w:line="240" w:lineRule="auto"/>
        <w:rPr>
          <w:rFonts w:ascii="Arial" w:hAnsi="Arial" w:cs="Arial"/>
          <w:b/>
        </w:rPr>
      </w:pPr>
    </w:p>
    <w:p w:rsidRPr="00323167" w:rsidR="00323167" w:rsidP="00323167" w:rsidRDefault="00323167" w14:paraId="2D62FA66" w14:textId="06F425B3">
      <w:pPr>
        <w:pStyle w:val="AODocTxt"/>
        <w:spacing w:before="0" w:line="240" w:lineRule="auto"/>
        <w:rPr>
          <w:rFonts w:ascii="Arial" w:hAnsi="Arial" w:cs="Arial"/>
          <w:b/>
        </w:rPr>
      </w:pPr>
      <w:r w:rsidRPr="00323167">
        <w:rPr>
          <w:rFonts w:ascii="Arial" w:hAnsi="Arial" w:cs="Arial"/>
          <w:b/>
        </w:rPr>
        <w:t>Question 4.1 [4 marks]</w:t>
      </w:r>
    </w:p>
    <w:p w:rsidR="00DC359F" w:rsidP="00323167" w:rsidRDefault="00DC359F" w14:paraId="027BA529" w14:textId="77777777">
      <w:pPr>
        <w:pStyle w:val="AODocTxt"/>
        <w:spacing w:before="0" w:line="240" w:lineRule="auto"/>
        <w:rPr>
          <w:rFonts w:ascii="Arial" w:hAnsi="Arial" w:cs="Arial"/>
        </w:rPr>
      </w:pPr>
    </w:p>
    <w:p w:rsidRPr="00B06D16" w:rsidR="00323167" w:rsidP="00323167" w:rsidRDefault="00323167" w14:paraId="492CE4A2" w14:textId="02A007B0">
      <w:pPr>
        <w:pStyle w:val="AODocTxt"/>
        <w:spacing w:before="0" w:line="240" w:lineRule="auto"/>
        <w:rPr>
          <w:rFonts w:ascii="Arial" w:hAnsi="Arial" w:cs="Arial"/>
        </w:rPr>
      </w:pPr>
      <w:r w:rsidRPr="00323167">
        <w:rPr>
          <w:rFonts w:ascii="Arial" w:hAnsi="Arial" w:cs="Arial"/>
        </w:rPr>
        <w:t xml:space="preserve">Gambling Corporation is incorporated and </w:t>
      </w:r>
      <w:r w:rsidRPr="00B06D16">
        <w:rPr>
          <w:rFonts w:ascii="Arial" w:hAnsi="Arial" w:cs="Arial"/>
        </w:rPr>
        <w:t>has a principal place of business in Greece and it operates casinos and betting parlors in many international cities, including Athens, Las Vegas, London and Macau.</w:t>
      </w:r>
      <w:r w:rsidRPr="00B06D16" w:rsidR="00F92140">
        <w:rPr>
          <w:rFonts w:ascii="Arial" w:hAnsi="Arial" w:cs="Arial"/>
        </w:rPr>
        <w:t xml:space="preserve"> </w:t>
      </w:r>
      <w:r w:rsidRPr="00B06D16">
        <w:rPr>
          <w:rFonts w:ascii="Arial" w:hAnsi="Arial" w:cs="Arial"/>
        </w:rPr>
        <w:t xml:space="preserve">Gambling Corp’s bonds </w:t>
      </w:r>
      <w:r w:rsidRPr="00B06D16" w:rsidR="00CC175B">
        <w:rPr>
          <w:rFonts w:ascii="Arial" w:hAnsi="Arial" w:cs="Arial"/>
        </w:rPr>
        <w:t xml:space="preserve">(governed by English law) </w:t>
      </w:r>
      <w:r w:rsidRPr="00B06D16">
        <w:rPr>
          <w:rFonts w:ascii="Arial" w:hAnsi="Arial" w:cs="Arial"/>
        </w:rPr>
        <w:t xml:space="preserve">are due to mature in </w:t>
      </w:r>
      <w:r w:rsidRPr="00B06D16" w:rsidR="00834F92">
        <w:rPr>
          <w:rFonts w:ascii="Arial" w:hAnsi="Arial" w:cs="Arial"/>
        </w:rPr>
        <w:t>one (</w:t>
      </w:r>
      <w:r w:rsidRPr="00B06D16">
        <w:rPr>
          <w:rFonts w:ascii="Arial" w:hAnsi="Arial" w:cs="Arial"/>
        </w:rPr>
        <w:t>1</w:t>
      </w:r>
      <w:r w:rsidRPr="00B06D16" w:rsidR="00834F92">
        <w:rPr>
          <w:rFonts w:ascii="Arial" w:hAnsi="Arial" w:cs="Arial"/>
        </w:rPr>
        <w:t>)</w:t>
      </w:r>
      <w:r w:rsidRPr="00B06D16">
        <w:rPr>
          <w:rFonts w:ascii="Arial" w:hAnsi="Arial" w:cs="Arial"/>
        </w:rPr>
        <w:t xml:space="preserve"> year, but it is unable to repay or refinance them.</w:t>
      </w:r>
      <w:r w:rsidRPr="00B06D16" w:rsidR="00F92140">
        <w:rPr>
          <w:rFonts w:ascii="Arial" w:hAnsi="Arial" w:cs="Arial"/>
        </w:rPr>
        <w:t xml:space="preserve"> </w:t>
      </w:r>
      <w:r w:rsidRPr="00B06D16">
        <w:rPr>
          <w:rFonts w:ascii="Arial" w:hAnsi="Arial" w:cs="Arial"/>
        </w:rPr>
        <w:t>Gambling Corp is considering using an English scheme of arrangement to restructure the bonds.</w:t>
      </w:r>
    </w:p>
    <w:p w:rsidRPr="00323167" w:rsidR="00DC359F" w:rsidP="00323167" w:rsidRDefault="00DC359F" w14:paraId="14536E67" w14:textId="77777777">
      <w:pPr>
        <w:pStyle w:val="AODocTxt"/>
        <w:spacing w:before="0" w:line="240" w:lineRule="auto"/>
        <w:rPr>
          <w:rFonts w:ascii="Arial" w:hAnsi="Arial" w:cs="Arial"/>
        </w:rPr>
      </w:pPr>
    </w:p>
    <w:p w:rsidR="00323167" w:rsidP="00323167" w:rsidRDefault="00323167" w14:paraId="5A4C02ED" w14:textId="5FBF306B">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rsidRPr="00FB0DD3" w:rsidR="00DC359F" w:rsidP="73F69078" w:rsidRDefault="00DC359F" w14:paraId="44B17241" w14:textId="66790B57" w14:noSpellErr="1">
      <w:pPr>
        <w:pStyle w:val="AODocTxt"/>
        <w:spacing w:before="0" w:line="240" w:lineRule="auto"/>
        <w:rPr>
          <w:rFonts w:ascii="Arial" w:hAnsi="Arial" w:eastAsia="Arial" w:cs="Arial"/>
        </w:rPr>
      </w:pPr>
    </w:p>
    <w:p w:rsidRPr="00FB0DD3" w:rsidR="005B2A9B" w:rsidP="73F69078" w:rsidRDefault="0015688A" w14:paraId="7DF6EA44" w14:textId="6ACFEA0F">
      <w:pPr>
        <w:pStyle w:val="Normal"/>
        <w:jc w:val="both"/>
        <w:rPr>
          <w:rFonts w:ascii="Arial" w:hAnsi="Arial" w:cs="Arial"/>
          <w:sz w:val="22"/>
          <w:szCs w:val="22"/>
          <w:lang w:val="en-GB"/>
        </w:rPr>
      </w:pPr>
      <w:r w:rsidRPr="73F69078" w:rsidR="73F69078">
        <w:rPr>
          <w:rFonts w:ascii="Arial" w:hAnsi="Arial" w:eastAsia="Arial" w:cs="Arial"/>
          <w:sz w:val="22"/>
          <w:szCs w:val="22"/>
          <w:lang w:val="en-GB"/>
        </w:rPr>
        <w:t xml:space="preserve">It has been established that English schemes of arrangement have been granted recognition as foreign main proceedings or foreign non-main proceeding unless they are manifestly contrary to US public policy. However, to determine whether the English scheme could be granted recognition under US chapter 15 as a </w:t>
      </w:r>
      <w:r w:rsidRPr="73F69078" w:rsidR="73F69078">
        <w:rPr>
          <w:rFonts w:ascii="Arial" w:hAnsi="Arial" w:eastAsia="Arial" w:cs="Arial"/>
          <w:sz w:val="22"/>
          <w:szCs w:val="22"/>
          <w:lang w:val="en-GB"/>
        </w:rPr>
        <w:t>foreign main or non-main proceeding</w:t>
      </w:r>
      <w:r w:rsidRPr="73F69078" w:rsidR="73F69078">
        <w:rPr>
          <w:rFonts w:ascii="Arial" w:hAnsi="Arial" w:eastAsia="Arial" w:cs="Arial"/>
          <w:sz w:val="22"/>
          <w:szCs w:val="22"/>
          <w:lang w:val="en-GB"/>
        </w:rPr>
        <w:t xml:space="preserve">, one must first consider the COMI of Gambling Corporation. </w:t>
      </w:r>
      <w:r w:rsidRPr="73F69078" w:rsidR="73F69078">
        <w:rPr>
          <w:rFonts w:ascii="Arial" w:hAnsi="Arial" w:cs="Arial"/>
          <w:sz w:val="22"/>
          <w:szCs w:val="22"/>
          <w:lang w:val="en-GB"/>
        </w:rPr>
        <w:t xml:space="preserve">As Gambling Corporation is incorporated in Greece and its principal place of business is in Greece, its COMI is presumed to be in Greece. Accordingly, the US Courts are likely to recognise the English scheme of arrangement as foreign non-main proceedings since Gambling Corporation has an establishment in London which operates casinos and betting </w:t>
      </w:r>
      <w:proofErr w:type="spellStart"/>
      <w:r w:rsidRPr="73F69078" w:rsidR="73F69078">
        <w:rPr>
          <w:rFonts w:ascii="Arial" w:hAnsi="Arial" w:cs="Arial"/>
          <w:sz w:val="22"/>
          <w:szCs w:val="22"/>
          <w:lang w:val="en-GB"/>
        </w:rPr>
        <w:t>parlors</w:t>
      </w:r>
      <w:proofErr w:type="spellEnd"/>
      <w:r w:rsidRPr="73F69078" w:rsidR="73F69078">
        <w:rPr>
          <w:rFonts w:ascii="Arial" w:hAnsi="Arial" w:cs="Arial"/>
          <w:sz w:val="22"/>
          <w:szCs w:val="22"/>
          <w:lang w:val="en-GB"/>
        </w:rPr>
        <w:t xml:space="preserve">. </w:t>
      </w:r>
    </w:p>
    <w:p w:rsidR="00323167" w:rsidP="00323167" w:rsidRDefault="00323167" w14:paraId="2C6FF013" w14:textId="3F5E95B4">
      <w:pPr>
        <w:pStyle w:val="AODocTxt"/>
        <w:spacing w:before="0" w:line="240" w:lineRule="auto"/>
        <w:rPr>
          <w:rFonts w:ascii="Arial" w:hAnsi="Arial" w:cs="Arial"/>
        </w:rPr>
      </w:pPr>
    </w:p>
    <w:p w:rsidRPr="00323167" w:rsidR="005B2A9B" w:rsidP="00323167" w:rsidRDefault="005B2A9B" w14:paraId="2AA1E732" w14:textId="77777777">
      <w:pPr>
        <w:pStyle w:val="AODocTxt"/>
        <w:spacing w:before="0" w:line="240" w:lineRule="auto"/>
        <w:rPr>
          <w:rFonts w:ascii="Arial" w:hAnsi="Arial" w:cs="Arial"/>
        </w:rPr>
      </w:pPr>
    </w:p>
    <w:p w:rsidRPr="00323167" w:rsidR="00323167" w:rsidP="00323167" w:rsidRDefault="00323167" w14:paraId="5D59D195" w14:textId="77777777">
      <w:pPr>
        <w:pStyle w:val="AODocTxt"/>
        <w:spacing w:before="0" w:line="240" w:lineRule="auto"/>
        <w:rPr>
          <w:rFonts w:ascii="Arial" w:hAnsi="Arial" w:cs="Arial"/>
        </w:rPr>
      </w:pPr>
      <w:r w:rsidRPr="00323167">
        <w:rPr>
          <w:rFonts w:ascii="Arial" w:hAnsi="Arial" w:cs="Arial"/>
          <w:b/>
        </w:rPr>
        <w:t>Question 4.2 [5 marks]</w:t>
      </w:r>
    </w:p>
    <w:p w:rsidR="00DC359F" w:rsidP="00323167" w:rsidRDefault="00DC359F" w14:paraId="16990BB2" w14:textId="77777777">
      <w:pPr>
        <w:pStyle w:val="AODocTxt"/>
        <w:spacing w:before="0" w:line="240" w:lineRule="auto"/>
        <w:rPr>
          <w:rFonts w:ascii="Arial" w:hAnsi="Arial" w:cs="Arial"/>
        </w:rPr>
      </w:pPr>
    </w:p>
    <w:p w:rsidRPr="00B06D16" w:rsidR="00323167" w:rsidP="00323167" w:rsidRDefault="00323167" w14:paraId="59CA224F" w14:textId="4423C39D">
      <w:pPr>
        <w:pStyle w:val="AODocTxt"/>
        <w:spacing w:before="0" w:line="240" w:lineRule="auto"/>
        <w:rPr>
          <w:rFonts w:ascii="Arial" w:hAnsi="Arial" w:cs="Arial"/>
        </w:rPr>
      </w:pPr>
      <w:r w:rsidRPr="73F69078" w:rsidR="73F69078">
        <w:rPr>
          <w:rFonts w:ascii="Arial" w:hAnsi="Arial" w:cs="Arial"/>
        </w:rPr>
        <w:t>Oil Corporation is incorporated in Delaware and has its principal place of business in Texas.</w:t>
      </w:r>
      <w:r w:rsidRPr="73F69078" w:rsidR="73F69078">
        <w:rPr>
          <w:rFonts w:ascii="Arial" w:hAnsi="Arial" w:cs="Arial"/>
        </w:rPr>
        <w:t xml:space="preserve"> </w:t>
      </w:r>
      <w:r w:rsidRPr="73F69078" w:rsidR="73F69078">
        <w:rPr>
          <w:rFonts w:ascii="Arial" w:hAnsi="Arial" w:cs="Arial"/>
        </w:rPr>
        <w:t xml:space="preserve">Oil Corp is facing a number of challenges to its business. First, </w:t>
      </w:r>
      <w:bookmarkStart w:name="_Hlk106094056" w:id="5"/>
      <w:proofErr w:type="spellStart"/>
      <w:r w:rsidRPr="73F69078" w:rsidR="73F69078">
        <w:rPr>
          <w:rFonts w:ascii="Arial" w:hAnsi="Arial" w:cs="Arial"/>
        </w:rPr>
        <w:t>ShipCo</w:t>
      </w:r>
      <w:proofErr w:type="spellEnd"/>
      <w:r w:rsidRPr="73F69078" w:rsidR="73F69078">
        <w:rPr>
          <w:rFonts w:ascii="Arial" w:hAnsi="Arial" w:cs="Arial"/>
        </w:rPr>
        <w:t xml:space="preserve">, one of its key customers, has filed a breach of contract lawsuit in Texas state court alleging that Oil Corp sold it contaminated oil that caused </w:t>
      </w:r>
      <w:r w:rsidRPr="73F69078" w:rsidR="73F69078">
        <w:rPr>
          <w:rFonts w:ascii="Arial" w:hAnsi="Arial" w:cs="Arial"/>
        </w:rPr>
        <w:t xml:space="preserve">USD </w:t>
      </w:r>
      <w:r w:rsidRPr="73F69078" w:rsidR="73F69078">
        <w:rPr>
          <w:rFonts w:ascii="Arial" w:hAnsi="Arial" w:cs="Arial"/>
        </w:rPr>
        <w:t xml:space="preserve">1 billion in damage to </w:t>
      </w:r>
      <w:proofErr w:type="spellStart"/>
      <w:r w:rsidRPr="73F69078" w:rsidR="73F69078">
        <w:rPr>
          <w:rFonts w:ascii="Arial" w:hAnsi="Arial" w:cs="Arial"/>
        </w:rPr>
        <w:t>ShipCo’s</w:t>
      </w:r>
      <w:proofErr w:type="spellEnd"/>
      <w:r w:rsidRPr="73F69078" w:rsidR="73F69078">
        <w:rPr>
          <w:rFonts w:ascii="Arial" w:hAnsi="Arial" w:cs="Arial"/>
        </w:rPr>
        <w:t xml:space="preserve"> container ships</w:t>
      </w:r>
      <w:bookmarkEnd w:id="5"/>
      <w:r w:rsidRPr="73F69078" w:rsidR="73F69078">
        <w:rPr>
          <w:rFonts w:ascii="Arial" w:hAnsi="Arial" w:cs="Arial"/>
        </w:rPr>
        <w:t>.</w:t>
      </w:r>
      <w:r w:rsidRPr="73F69078" w:rsidR="73F69078">
        <w:rPr>
          <w:rFonts w:ascii="Arial" w:hAnsi="Arial" w:cs="Arial"/>
        </w:rPr>
        <w:t xml:space="preserve"> </w:t>
      </w:r>
      <w:r w:rsidRPr="73F69078" w:rsidR="73F69078">
        <w:rPr>
          <w:rFonts w:ascii="Arial" w:hAnsi="Arial" w:cs="Arial"/>
        </w:rPr>
        <w:t xml:space="preserve">Second, the US Department of Justice is investigating </w:t>
      </w:r>
      <w:bookmarkStart w:name="_Hlk106092200" w:id="6"/>
      <w:r w:rsidRPr="73F69078" w:rsidR="73F69078">
        <w:rPr>
          <w:rFonts w:ascii="Arial" w:hAnsi="Arial" w:cs="Arial"/>
        </w:rPr>
        <w:t>whether Oil Corp illegally purchased oil from countries subject to US sanctions</w:t>
      </w:r>
      <w:bookmarkEnd w:id="6"/>
      <w:r w:rsidRPr="73F69078" w:rsidR="73F69078">
        <w:rPr>
          <w:rFonts w:ascii="Arial" w:hAnsi="Arial" w:cs="Arial"/>
        </w:rPr>
        <w:t>.</w:t>
      </w:r>
      <w:r w:rsidRPr="73F69078" w:rsidR="73F69078">
        <w:rPr>
          <w:rFonts w:ascii="Arial" w:hAnsi="Arial" w:cs="Arial"/>
        </w:rPr>
        <w:t xml:space="preserve"> </w:t>
      </w:r>
      <w:r w:rsidRPr="73F69078" w:rsidR="73F69078">
        <w:rPr>
          <w:rFonts w:ascii="Arial" w:hAnsi="Arial" w:cs="Arial"/>
        </w:rPr>
        <w:t>Third, Oil Corp. has missed a payment on its secured loan from USA Bank, and USA Bank is threatening to foreclose on an Oil Corp refinery located in the Philippines.</w:t>
      </w:r>
      <w:r w:rsidRPr="73F69078" w:rsidR="73F69078">
        <w:rPr>
          <w:rFonts w:ascii="Arial" w:hAnsi="Arial" w:cs="Arial"/>
        </w:rPr>
        <w:t xml:space="preserve"> </w:t>
      </w:r>
      <w:r w:rsidRPr="73F69078" w:rsidR="73F69078">
        <w:rPr>
          <w:rFonts w:ascii="Arial" w:hAnsi="Arial" w:cs="Arial"/>
        </w:rPr>
        <w:t>Fourth, because of all these distractions, Oil Corp has forgotten to pay rent on its Houston, Texas office space and its landlord is threatening to evict it.</w:t>
      </w:r>
      <w:r w:rsidRPr="73F69078" w:rsidR="73F69078">
        <w:rPr>
          <w:rFonts w:ascii="Arial" w:hAnsi="Arial" w:cs="Arial"/>
        </w:rPr>
        <w:t xml:space="preserve"> </w:t>
      </w:r>
      <w:r w:rsidRPr="73F69078" w:rsidR="73F69078">
        <w:rPr>
          <w:rFonts w:ascii="Arial" w:hAnsi="Arial" w:cs="Arial"/>
        </w:rPr>
        <w:t>What would be the effect of Oil Corp filing a chapter 11 petition on each of these four situations?</w:t>
      </w:r>
    </w:p>
    <w:p w:rsidR="73F69078" w:rsidP="73F69078" w:rsidRDefault="73F69078" w14:paraId="0A8C8161" w14:textId="3B07BA1F">
      <w:pPr>
        <w:pStyle w:val="AODocTxt"/>
        <w:spacing w:before="0" w:line="240" w:lineRule="auto"/>
        <w:rPr>
          <w:rFonts w:ascii="Times New Roman" w:hAnsi="Times New Roman" w:eastAsia="Calibri" w:cs="Times New Roman"/>
          <w:sz w:val="22"/>
          <w:szCs w:val="22"/>
        </w:rPr>
      </w:pPr>
    </w:p>
    <w:p w:rsidR="00DC359F" w:rsidP="00323167" w:rsidRDefault="00DC359F" w14:paraId="3FFFE43A" w14:textId="56E352FF">
      <w:pPr>
        <w:pStyle w:val="AODocTxt"/>
        <w:spacing w:before="0" w:line="240" w:lineRule="auto"/>
        <w:rPr>
          <w:rFonts w:ascii="Arial" w:hAnsi="Arial" w:cs="Arial"/>
        </w:rPr>
      </w:pPr>
    </w:p>
    <w:p w:rsidR="00C56589" w:rsidP="73F69078" w:rsidRDefault="00EC3CE6" w14:paraId="21097D61" w14:textId="32264927">
      <w:pPr>
        <w:pStyle w:val="AODocTxt"/>
        <w:spacing w:before="0" w:line="240" w:lineRule="auto"/>
        <w:ind w:left="0"/>
        <w:rPr>
          <w:rFonts w:ascii="Arial" w:hAnsi="Arial" w:eastAsia="Arial" w:cs="Arial" w:asciiTheme="minorAscii" w:hAnsiTheme="minorAscii" w:eastAsiaTheme="minorAscii" w:cstheme="minorAscii"/>
          <w:sz w:val="22"/>
          <w:szCs w:val="22"/>
        </w:rPr>
      </w:pPr>
      <w:r w:rsidRPr="73F69078" w:rsidR="73F69078">
        <w:rPr>
          <w:rFonts w:ascii="Arial" w:hAnsi="Arial" w:cs="Arial"/>
        </w:rPr>
        <w:t xml:space="preserve">There will be a worldwide automatic stay of creditor enforcement proceedings against Oil Corp and its property which will provide breathing space for Oil Corp to continue its operations in the ordinary course of business and work with its key constituencies to propose a plan of reorganization to adjust to its debts. This plan of reorganization may be confirmed by the court (cramdown) without the approval of all its creditors. Therefore, the claim by </w:t>
      </w:r>
      <w:proofErr w:type="spellStart"/>
      <w:r w:rsidRPr="73F69078" w:rsidR="73F69078">
        <w:rPr>
          <w:rFonts w:ascii="Arial" w:hAnsi="Arial" w:cs="Arial"/>
        </w:rPr>
        <w:t>ShipCo</w:t>
      </w:r>
      <w:proofErr w:type="spellEnd"/>
      <w:r w:rsidRPr="73F69078" w:rsidR="73F69078">
        <w:rPr>
          <w:rFonts w:ascii="Arial" w:hAnsi="Arial" w:cs="Arial"/>
        </w:rPr>
        <w:t xml:space="preserve"> for a breach of contract lawsuit in Texas state court alleging that Oil Corp sold it contaminated oil that caused USD 1 billion in damage to </w:t>
      </w:r>
      <w:proofErr w:type="spellStart"/>
      <w:r w:rsidRPr="73F69078" w:rsidR="73F69078">
        <w:rPr>
          <w:rFonts w:ascii="Arial" w:hAnsi="Arial" w:cs="Arial"/>
        </w:rPr>
        <w:t>ShipCo’s</w:t>
      </w:r>
      <w:proofErr w:type="spellEnd"/>
      <w:r w:rsidRPr="73F69078" w:rsidR="73F69078">
        <w:rPr>
          <w:rFonts w:ascii="Arial" w:hAnsi="Arial" w:cs="Arial"/>
        </w:rPr>
        <w:t xml:space="preserve"> container ships will be automatically stayed upon the filing of the chapter 11 petition.</w:t>
      </w:r>
    </w:p>
    <w:p w:rsidR="00C56589" w:rsidP="73F69078" w:rsidRDefault="00EC3CE6" w14:paraId="392367DD" w14:textId="6C1B303E">
      <w:pPr>
        <w:pStyle w:val="AODocTxt"/>
        <w:spacing w:before="0" w:line="240" w:lineRule="auto"/>
        <w:ind w:left="0"/>
        <w:rPr>
          <w:rFonts w:ascii="Arial" w:hAnsi="Arial" w:eastAsia="Arial" w:cs="Arial" w:asciiTheme="minorAscii" w:hAnsiTheme="minorAscii" w:eastAsiaTheme="minorAscii" w:cstheme="minorAscii"/>
          <w:sz w:val="22"/>
          <w:szCs w:val="22"/>
        </w:rPr>
      </w:pPr>
      <w:r w:rsidRPr="73F69078" w:rsidR="73F69078">
        <w:rPr>
          <w:rFonts w:ascii="Arial" w:hAnsi="Arial" w:cs="Arial"/>
        </w:rPr>
        <w:t xml:space="preserve"> </w:t>
      </w:r>
    </w:p>
    <w:p w:rsidR="00C56589" w:rsidP="73F69078" w:rsidRDefault="00EC3CE6" w14:paraId="5C8E570E" w14:textId="14D51F44">
      <w:pPr>
        <w:pStyle w:val="AODocTxt"/>
        <w:spacing w:before="0" w:line="240" w:lineRule="auto"/>
        <w:ind w:left="0"/>
        <w:rPr>
          <w:rFonts w:ascii="Arial" w:hAnsi="Arial" w:eastAsia="Arial" w:cs="Arial" w:asciiTheme="minorAscii" w:hAnsiTheme="minorAscii" w:eastAsiaTheme="minorAscii" w:cstheme="minorAscii"/>
          <w:sz w:val="22"/>
          <w:szCs w:val="22"/>
        </w:rPr>
      </w:pPr>
      <w:r w:rsidRPr="73F69078" w:rsidR="73F69078">
        <w:rPr>
          <w:rFonts w:ascii="Arial" w:hAnsi="Arial" w:cs="Arial"/>
        </w:rPr>
        <w:t xml:space="preserve">However, the US Department of Justice will continue to investigate whether Oil Corp illegally purchased oil from countries subject to US sanctions as a stay is subject to exceptions such as regulatory investigations and criminal proceedings. </w:t>
      </w:r>
    </w:p>
    <w:p w:rsidR="00DB0415" w:rsidP="73F69078" w:rsidRDefault="00C56589" w14:paraId="1BF0147B" w14:textId="7ECAD13C">
      <w:pPr>
        <w:pStyle w:val="AODocTxt"/>
        <w:spacing w:before="0" w:line="240" w:lineRule="auto"/>
        <w:ind w:left="0"/>
        <w:rPr>
          <w:rFonts w:ascii="Arial" w:hAnsi="Arial" w:cs="Arial"/>
        </w:rPr>
      </w:pPr>
    </w:p>
    <w:p w:rsidR="00DB0415" w:rsidP="73F69078" w:rsidRDefault="00C56589" w14:paraId="313F30E8" w14:textId="7E3028BC">
      <w:pPr>
        <w:pStyle w:val="AODocTxt"/>
        <w:spacing w:before="0" w:line="240" w:lineRule="auto"/>
        <w:ind w:left="0"/>
        <w:rPr>
          <w:rFonts w:ascii="Arial" w:hAnsi="Arial" w:cs="Arial"/>
        </w:rPr>
      </w:pPr>
      <w:r w:rsidRPr="73F69078" w:rsidR="73F69078">
        <w:rPr>
          <w:rFonts w:ascii="Arial" w:hAnsi="Arial" w:cs="Arial"/>
        </w:rPr>
        <w:t xml:space="preserve">The stay also prohibits the creditors, US Bank from proceeding with any action for foreclosure of the Oil refinery and Oil Corporation can formulate a plan and negotiate with the USA Bank during the exclusivity period for the repayment of the loan. </w:t>
      </w:r>
    </w:p>
    <w:p w:rsidR="73F69078" w:rsidP="73F69078" w:rsidRDefault="73F69078" w14:paraId="70FE7C64" w14:textId="6EF610F0">
      <w:pPr>
        <w:pStyle w:val="AODocTxt"/>
        <w:spacing w:before="0" w:line="240" w:lineRule="auto"/>
        <w:ind w:left="0"/>
        <w:rPr>
          <w:rFonts w:ascii="Times New Roman" w:hAnsi="Times New Roman" w:eastAsia="Calibri" w:cs="Times New Roman"/>
          <w:sz w:val="22"/>
          <w:szCs w:val="22"/>
        </w:rPr>
      </w:pPr>
    </w:p>
    <w:p w:rsidRPr="00B06D16" w:rsidR="00E0790B" w:rsidP="73F69078" w:rsidRDefault="002C61D6" w14:paraId="6726DB43" w14:textId="035B378F">
      <w:pPr>
        <w:pStyle w:val="AODocTxt"/>
        <w:spacing w:before="0" w:line="240" w:lineRule="auto"/>
        <w:ind w:left="0"/>
        <w:rPr>
          <w:rFonts w:ascii="Arial" w:hAnsi="Arial" w:cs="Arial"/>
        </w:rPr>
      </w:pPr>
      <w:r w:rsidRPr="73F69078" w:rsidR="73F69078">
        <w:rPr>
          <w:rFonts w:ascii="Arial" w:hAnsi="Arial" w:cs="Arial"/>
        </w:rPr>
        <w:t>As it relates to the threat for eviction of Oil Corp from the office space in Houston Texas, if the lease has not expired an eviction would be in breach of the stay.  However, the lessor of the office space can file a claim for pre-petition rent if it desires to be paid.</w:t>
      </w:r>
    </w:p>
    <w:p w:rsidRPr="00323167" w:rsidR="005B2A9B" w:rsidP="00323167" w:rsidRDefault="005B2A9B" w14:paraId="04811112" w14:textId="77777777">
      <w:pPr>
        <w:pStyle w:val="AODocTxt"/>
        <w:spacing w:before="0" w:line="240" w:lineRule="auto"/>
        <w:rPr>
          <w:rFonts w:ascii="Arial" w:hAnsi="Arial" w:cs="Arial"/>
        </w:rPr>
      </w:pPr>
    </w:p>
    <w:p w:rsidRPr="00323167" w:rsidR="00323167" w:rsidP="00323167" w:rsidRDefault="00323167" w14:paraId="05D71E4B" w14:textId="77777777">
      <w:pPr>
        <w:pStyle w:val="AODocTxt"/>
        <w:spacing w:before="0" w:line="240" w:lineRule="auto"/>
        <w:rPr>
          <w:rFonts w:ascii="Arial" w:hAnsi="Arial" w:cs="Arial"/>
        </w:rPr>
      </w:pPr>
      <w:r w:rsidRPr="00323167">
        <w:rPr>
          <w:rFonts w:ascii="Arial" w:hAnsi="Arial" w:cs="Arial"/>
          <w:b/>
        </w:rPr>
        <w:t>Question 4.3 [6 marks]</w:t>
      </w:r>
    </w:p>
    <w:p w:rsidR="003B7184" w:rsidP="00323167" w:rsidRDefault="003B7184" w14:paraId="55E6F214" w14:textId="77777777">
      <w:pPr>
        <w:pStyle w:val="AODocTxt"/>
        <w:spacing w:before="0" w:line="240" w:lineRule="auto"/>
        <w:rPr>
          <w:rFonts w:ascii="Arial" w:hAnsi="Arial" w:cs="Arial"/>
        </w:rPr>
      </w:pPr>
    </w:p>
    <w:p w:rsidRPr="00B06D16" w:rsidR="00323167" w:rsidP="00323167" w:rsidRDefault="00323167" w14:paraId="28B1D274" w14:textId="27FFADAB">
      <w:pPr>
        <w:pStyle w:val="AODocTxt"/>
        <w:spacing w:before="0" w:line="240" w:lineRule="auto"/>
        <w:rPr>
          <w:rFonts w:ascii="Arial" w:hAnsi="Arial" w:cs="Arial"/>
        </w:rPr>
      </w:pPr>
      <w:r w:rsidRPr="00B06D16">
        <w:rPr>
          <w:rFonts w:ascii="Arial" w:hAnsi="Arial" w:cs="Arial"/>
        </w:rPr>
        <w:t xml:space="preserve">Oil Corp has filed for bankruptcy and is planning to sell its plastic manufacturing business through a 363 sale. The plastic manufacturing business operates under the </w:t>
      </w:r>
      <w:bookmarkStart w:name="_Hlk106094592" w:id="7"/>
      <w:r w:rsidRPr="00B06D16">
        <w:rPr>
          <w:rFonts w:ascii="Arial" w:hAnsi="Arial" w:cs="Arial"/>
        </w:rPr>
        <w:t>trademark “Interconnect”, which is licensed from Plastic Corp</w:t>
      </w:r>
      <w:bookmarkEnd w:id="7"/>
      <w:r w:rsidRPr="00B06D16">
        <w:rPr>
          <w:rFonts w:ascii="Arial" w:hAnsi="Arial" w:cs="Arial"/>
        </w:rPr>
        <w:t>.</w:t>
      </w:r>
      <w:r w:rsidRPr="00B06D16" w:rsidR="00F92140">
        <w:rPr>
          <w:rFonts w:ascii="Arial" w:hAnsi="Arial" w:cs="Arial"/>
        </w:rPr>
        <w:t xml:space="preserve"> </w:t>
      </w:r>
      <w:r w:rsidRPr="00B06D16">
        <w:rPr>
          <w:rFonts w:ascii="Arial" w:hAnsi="Arial" w:cs="Arial"/>
        </w:rPr>
        <w:t>Oil Corp has invented several patented processes for plastic manufacturing, which it licenses to Plastic Corp.</w:t>
      </w:r>
      <w:r w:rsidRPr="00B06D16" w:rsidR="00F92140">
        <w:rPr>
          <w:rFonts w:ascii="Arial" w:hAnsi="Arial" w:cs="Arial"/>
        </w:rPr>
        <w:t xml:space="preserve"> </w:t>
      </w:r>
      <w:r w:rsidRPr="00B06D16">
        <w:rPr>
          <w:rFonts w:ascii="Arial" w:hAnsi="Arial" w:cs="Arial"/>
        </w:rPr>
        <w:t xml:space="preserve">The main manufacturing facility for the plastic business is in Dallas, and Oil Corp has granted a lien on the facility to USA Bank to secure its </w:t>
      </w:r>
      <w:r w:rsidRPr="00B06D16" w:rsidR="00834F92">
        <w:rPr>
          <w:rFonts w:ascii="Arial" w:hAnsi="Arial" w:cs="Arial"/>
        </w:rPr>
        <w:t xml:space="preserve">USD </w:t>
      </w:r>
      <w:r w:rsidRPr="00B06D16">
        <w:rPr>
          <w:rFonts w:ascii="Arial" w:hAnsi="Arial" w:cs="Arial"/>
        </w:rPr>
        <w:t>500 million loan.</w:t>
      </w:r>
    </w:p>
    <w:p w:rsidRPr="00B06D16" w:rsidR="003B7184" w:rsidP="00323167" w:rsidRDefault="003B7184" w14:paraId="4DB2D5B3" w14:textId="77777777">
      <w:pPr>
        <w:pStyle w:val="AODocTxt"/>
        <w:spacing w:before="0" w:line="240" w:lineRule="auto"/>
        <w:rPr>
          <w:rFonts w:ascii="Arial" w:hAnsi="Arial" w:cs="Arial"/>
        </w:rPr>
      </w:pPr>
    </w:p>
    <w:p w:rsidR="00323167" w:rsidP="00323167" w:rsidRDefault="00323167" w14:paraId="48E37040" w14:textId="68DC1898">
      <w:pPr>
        <w:pStyle w:val="AODocTxt"/>
        <w:spacing w:before="0" w:line="240" w:lineRule="auto"/>
        <w:rPr>
          <w:rFonts w:ascii="Arial" w:hAnsi="Arial" w:cs="Arial"/>
        </w:rPr>
      </w:pPr>
      <w:r w:rsidRPr="00B06D16">
        <w:rPr>
          <w:rFonts w:ascii="Arial" w:hAnsi="Arial" w:cs="Arial"/>
        </w:rPr>
        <w:t xml:space="preserve">Oil Corp thinks it will get the highest return for the </w:t>
      </w:r>
      <w:r w:rsidRPr="00323167">
        <w:rPr>
          <w:rFonts w:ascii="Arial" w:hAnsi="Arial" w:cs="Arial"/>
        </w:rPr>
        <w:t>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rsidR="003B7184" w:rsidP="00323167" w:rsidRDefault="003B7184" w14:paraId="5236B363" w14:textId="178CAE91">
      <w:pPr>
        <w:pStyle w:val="AODocTxt"/>
        <w:spacing w:before="0" w:line="240" w:lineRule="auto"/>
        <w:rPr>
          <w:rFonts w:ascii="Arial" w:hAnsi="Arial" w:cs="Arial"/>
        </w:rPr>
      </w:pPr>
    </w:p>
    <w:p w:rsidRPr="00B06D16" w:rsidR="00455018" w:rsidP="00944462" w:rsidRDefault="00DB0415" w14:paraId="691B977A" w14:textId="732A8265">
      <w:pPr>
        <w:pStyle w:val="ListParagraph"/>
        <w:numPr>
          <w:ilvl w:val="0"/>
          <w:numId w:val="18"/>
        </w:numPr>
        <w:autoSpaceDE w:val="0"/>
        <w:autoSpaceDN w:val="0"/>
        <w:adjustRightInd w:val="0"/>
        <w:jc w:val="both"/>
        <w:rPr>
          <w:rFonts w:ascii="Arial" w:hAnsi="Arial" w:cs="Arial"/>
          <w:sz w:val="22"/>
          <w:szCs w:val="22"/>
          <w:lang w:val="en-GB"/>
        </w:rPr>
      </w:pPr>
      <w:r w:rsidRPr="73F69078" w:rsidR="73F69078">
        <w:rPr>
          <w:rFonts w:ascii="Arial" w:hAnsi="Arial" w:cs="Arial"/>
          <w:sz w:val="22"/>
          <w:szCs w:val="22"/>
          <w:lang w:val="en-GB"/>
        </w:rPr>
        <w:t xml:space="preserve">Oil Corp cannot simply assume and assign the </w:t>
      </w:r>
      <w:r w:rsidRPr="73F69078" w:rsidR="73F69078">
        <w:rPr>
          <w:rFonts w:ascii="Arial" w:hAnsi="Arial" w:cs="Arial"/>
          <w:sz w:val="22"/>
          <w:szCs w:val="22"/>
        </w:rPr>
        <w:t>trademark “Interconnect”, which is licensed from Plastic Corp without Plastic Corp’s consent, as trademarks are generally not assignable. The Bankruptcy code provides that the licensor cannot be compelled to accept performance of a transferee and as such the licensor must consent to the transfer of the assignor’s rights to a third party. Therefore, before Oil Corp assume and assign “Interconnect” to a third party, it must first obtain consent from Plastic Corp.</w:t>
      </w:r>
    </w:p>
    <w:p w:rsidR="73F69078" w:rsidP="73F69078" w:rsidRDefault="73F69078" w14:paraId="602EE283" w14:textId="7F1B5E15">
      <w:pPr>
        <w:pStyle w:val="Normal"/>
        <w:ind w:left="0"/>
        <w:jc w:val="both"/>
        <w:rPr>
          <w:rFonts w:ascii="Calibri" w:hAnsi="Calibri" w:eastAsia="Times New Roman" w:cs=""/>
          <w:sz w:val="20"/>
          <w:szCs w:val="20"/>
          <w:lang w:val="en-GB"/>
        </w:rPr>
      </w:pPr>
    </w:p>
    <w:p w:rsidRPr="00B06D16" w:rsidR="00DB0415" w:rsidP="73F69078" w:rsidRDefault="008E388D" w14:paraId="29CB1BE1" w14:textId="59D86325">
      <w:pPr>
        <w:pStyle w:val="ListParagraph"/>
        <w:numPr>
          <w:ilvl w:val="0"/>
          <w:numId w:val="18"/>
        </w:numPr>
        <w:autoSpaceDE w:val="0"/>
        <w:autoSpaceDN w:val="0"/>
        <w:adjustRightInd w:val="0"/>
        <w:jc w:val="both"/>
        <w:rPr>
          <w:rFonts w:ascii="Calibri" w:hAnsi="Calibri" w:eastAsia="Calibri" w:cs="Calibri" w:asciiTheme="minorAscii" w:hAnsiTheme="minorAscii" w:eastAsiaTheme="minorAscii" w:cstheme="minorAscii"/>
          <w:noProof w:val="0"/>
          <w:sz w:val="20"/>
          <w:szCs w:val="20"/>
          <w:lang w:val="en-US"/>
        </w:rPr>
      </w:pPr>
      <w:r w:rsidRPr="73F69078" w:rsidR="73F69078">
        <w:rPr>
          <w:rFonts w:ascii="Arial" w:hAnsi="Arial" w:cs="Arial"/>
          <w:sz w:val="22"/>
          <w:szCs w:val="22"/>
        </w:rPr>
        <w:t xml:space="preserve">Oil Corp </w:t>
      </w:r>
      <w:proofErr w:type="spellStart"/>
      <w:r w:rsidRPr="73F69078" w:rsidR="73F69078">
        <w:rPr>
          <w:rFonts w:ascii="Arial" w:hAnsi="Arial" w:cs="Arial"/>
          <w:sz w:val="22"/>
          <w:szCs w:val="22"/>
        </w:rPr>
        <w:t>caanot</w:t>
      </w:r>
      <w:proofErr w:type="spellEnd"/>
      <w:r w:rsidRPr="73F69078" w:rsidR="73F69078">
        <w:rPr>
          <w:rFonts w:ascii="Arial" w:hAnsi="Arial" w:cs="Arial"/>
          <w:sz w:val="22"/>
          <w:szCs w:val="22"/>
        </w:rPr>
        <w:t xml:space="preserve"> unilaterally reject the patent licenses to Plastic Corp so that the purchaser may have exclusive rights. The bankruptcy code provides special protection for patent licensees in the event that a patent licensor (debtor) fil</w:t>
      </w:r>
      <w:r w:rsidRPr="73F69078" w:rsidR="73F69078">
        <w:rPr>
          <w:rFonts w:ascii="Arial" w:hAnsi="Arial" w:cs="Arial"/>
          <w:sz w:val="22"/>
          <w:szCs w:val="22"/>
        </w:rPr>
        <w:t>es for b</w:t>
      </w:r>
      <w:r w:rsidRPr="73F69078" w:rsidR="73F69078">
        <w:rPr>
          <w:rFonts w:ascii="Arial" w:hAnsi="Arial" w:cs="Arial"/>
          <w:sz w:val="22"/>
          <w:szCs w:val="22"/>
        </w:rPr>
        <w:t>ankruptcy. This allows the licensees to r</w:t>
      </w:r>
      <w:r w:rsidRPr="73F69078" w:rsidR="73F69078">
        <w:rPr>
          <w:rFonts w:ascii="Arial" w:hAnsi="Arial" w:cs="Arial"/>
          <w:sz w:val="22"/>
          <w:szCs w:val="22"/>
        </w:rPr>
        <w:t>etain their right</w:t>
      </w:r>
      <w:r w:rsidRPr="73F69078" w:rsidR="73F69078">
        <w:rPr>
          <w:rFonts w:ascii="Arial" w:hAnsi="Arial" w:cs="Arial"/>
          <w:sz w:val="22"/>
          <w:szCs w:val="22"/>
        </w:rPr>
        <w:t>s under a patent license even if the patent owner enters bankruptcy and seeks t</w:t>
      </w:r>
      <w:r w:rsidRPr="73F69078" w:rsidR="73F69078">
        <w:rPr>
          <w:rFonts w:ascii="Arial" w:hAnsi="Arial" w:cs="Arial"/>
          <w:sz w:val="22"/>
          <w:szCs w:val="22"/>
        </w:rPr>
        <w:t>o term</w:t>
      </w:r>
      <w:r w:rsidRPr="73F69078" w:rsidR="73F69078">
        <w:rPr>
          <w:rFonts w:ascii="Arial" w:hAnsi="Arial" w:cs="Arial"/>
          <w:sz w:val="22"/>
          <w:szCs w:val="22"/>
        </w:rPr>
        <w:t xml:space="preserve">inate the license. In </w:t>
      </w:r>
      <w:proofErr w:type="spellStart"/>
      <w:r w:rsidRPr="73F69078" w:rsidR="73F69078">
        <w:rPr>
          <w:rFonts w:ascii="Arial" w:hAnsi="Arial" w:cs="Arial"/>
          <w:sz w:val="22"/>
          <w:szCs w:val="22"/>
        </w:rPr>
        <w:t>thr</w:t>
      </w:r>
      <w:proofErr w:type="spellEnd"/>
      <w:r w:rsidRPr="73F69078" w:rsidR="73F69078">
        <w:rPr>
          <w:rFonts w:ascii="Arial" w:hAnsi="Arial" w:cs="Arial"/>
          <w:sz w:val="22"/>
          <w:szCs w:val="22"/>
        </w:rPr>
        <w:t xml:space="preserve"> Supreme Court case of </w:t>
      </w:r>
      <w:r w:rsidRPr="73F69078" w:rsidR="73F69078">
        <w:rPr>
          <w:rFonts w:ascii="Arial" w:hAnsi="Arial" w:eastAsia="Arial" w:cs="Arial"/>
          <w:b w:val="0"/>
          <w:bCs w:val="0"/>
          <w:i w:val="1"/>
          <w:iCs w:val="1"/>
          <w:caps w:val="0"/>
          <w:smallCaps w:val="0"/>
          <w:noProof w:val="0"/>
          <w:color w:val="000000" w:themeColor="text1" w:themeTint="FF" w:themeShade="FF"/>
          <w:sz w:val="22"/>
          <w:szCs w:val="22"/>
          <w:lang w:val="en-US"/>
        </w:rPr>
        <w:t xml:space="preserve">Mission Product Holdings, Inc. v. </w:t>
      </w:r>
      <w:proofErr w:type="spellStart"/>
      <w:r w:rsidRPr="73F69078" w:rsidR="73F69078">
        <w:rPr>
          <w:rFonts w:ascii="Arial" w:hAnsi="Arial" w:eastAsia="Arial" w:cs="Arial"/>
          <w:b w:val="0"/>
          <w:bCs w:val="0"/>
          <w:i w:val="1"/>
          <w:iCs w:val="1"/>
          <w:caps w:val="0"/>
          <w:smallCaps w:val="0"/>
          <w:noProof w:val="0"/>
          <w:color w:val="000000" w:themeColor="text1" w:themeTint="FF" w:themeShade="FF"/>
          <w:sz w:val="22"/>
          <w:szCs w:val="22"/>
          <w:lang w:val="en-US"/>
        </w:rPr>
        <w:t>Tempnology</w:t>
      </w:r>
      <w:proofErr w:type="spellEnd"/>
      <w:r w:rsidRPr="73F69078" w:rsidR="73F69078">
        <w:rPr>
          <w:rFonts w:ascii="Arial" w:hAnsi="Arial" w:eastAsia="Arial" w:cs="Arial"/>
          <w:b w:val="0"/>
          <w:bCs w:val="0"/>
          <w:i w:val="1"/>
          <w:iCs w:val="1"/>
          <w:caps w:val="0"/>
          <w:smallCaps w:val="0"/>
          <w:noProof w:val="0"/>
          <w:color w:val="000000" w:themeColor="text1" w:themeTint="FF" w:themeShade="FF"/>
          <w:sz w:val="22"/>
          <w:szCs w:val="22"/>
          <w:lang w:val="en-US"/>
        </w:rPr>
        <w:t>, LLC</w:t>
      </w:r>
      <w:r w:rsidRPr="73F69078" w:rsidR="73F6907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F69078" w:rsidR="73F69078">
        <w:rPr>
          <w:rFonts w:ascii="Arial" w:hAnsi="Arial" w:eastAsia="Arial" w:cs="Arial"/>
          <w:b w:val="0"/>
          <w:bCs w:val="0"/>
          <w:i w:val="1"/>
          <w:iCs w:val="1"/>
          <w:caps w:val="0"/>
          <w:smallCaps w:val="0"/>
          <w:noProof w:val="0"/>
          <w:color w:val="000000" w:themeColor="text1" w:themeTint="FF" w:themeShade="FF"/>
          <w:sz w:val="22"/>
          <w:szCs w:val="22"/>
          <w:lang w:val="en-US"/>
        </w:rPr>
        <w:t>Mission Product</w:t>
      </w:r>
      <w:r w:rsidRPr="73F69078" w:rsidR="73F69078">
        <w:rPr>
          <w:rFonts w:ascii="Arial" w:hAnsi="Arial" w:eastAsia="Arial" w:cs="Arial"/>
          <w:b w:val="0"/>
          <w:bCs w:val="0"/>
          <w:i w:val="0"/>
          <w:iCs w:val="0"/>
          <w:caps w:val="0"/>
          <w:smallCaps w:val="0"/>
          <w:noProof w:val="0"/>
          <w:color w:val="000000" w:themeColor="text1" w:themeTint="FF" w:themeShade="FF"/>
          <w:sz w:val="22"/>
          <w:szCs w:val="22"/>
          <w:lang w:val="en-US"/>
        </w:rPr>
        <w:t>) it was held that “</w:t>
      </w:r>
      <w:r w:rsidRPr="73F69078" w:rsidR="73F69078">
        <w:rPr>
          <w:rFonts w:ascii="Arial" w:hAnsi="Arial" w:eastAsia="Arial" w:cs="Arial"/>
          <w:b w:val="0"/>
          <w:bCs w:val="0"/>
          <w:i w:val="1"/>
          <w:iCs w:val="1"/>
          <w:caps w:val="0"/>
          <w:smallCaps w:val="0"/>
          <w:noProof w:val="0"/>
          <w:color w:val="000000" w:themeColor="text1" w:themeTint="FF" w:themeShade="FF"/>
          <w:sz w:val="22"/>
          <w:szCs w:val="22"/>
          <w:lang w:val="en-US"/>
        </w:rPr>
        <w:t xml:space="preserve">rejection in bankruptcy operates like a typical contract breach and thus, the debtor cannot rescind the license already conveyed. </w:t>
      </w:r>
      <w:proofErr w:type="gramStart"/>
      <w:r w:rsidRPr="73F69078" w:rsidR="73F69078">
        <w:rPr>
          <w:rFonts w:ascii="Arial" w:hAnsi="Arial" w:eastAsia="Arial" w:cs="Arial"/>
          <w:b w:val="0"/>
          <w:bCs w:val="0"/>
          <w:i w:val="1"/>
          <w:iCs w:val="1"/>
          <w:caps w:val="0"/>
          <w:smallCaps w:val="0"/>
          <w:noProof w:val="0"/>
          <w:color w:val="000000" w:themeColor="text1" w:themeTint="FF" w:themeShade="FF"/>
          <w:sz w:val="22"/>
          <w:szCs w:val="22"/>
          <w:lang w:val="en-US"/>
        </w:rPr>
        <w:t>So</w:t>
      </w:r>
      <w:proofErr w:type="gramEnd"/>
      <w:r w:rsidRPr="73F69078" w:rsidR="73F69078">
        <w:rPr>
          <w:rFonts w:ascii="Arial" w:hAnsi="Arial" w:eastAsia="Arial" w:cs="Arial"/>
          <w:b w:val="0"/>
          <w:bCs w:val="0"/>
          <w:i w:val="1"/>
          <w:iCs w:val="1"/>
          <w:caps w:val="0"/>
          <w:smallCaps w:val="0"/>
          <w:noProof w:val="0"/>
          <w:color w:val="000000" w:themeColor="text1" w:themeTint="FF" w:themeShade="FF"/>
          <w:sz w:val="22"/>
          <w:szCs w:val="22"/>
          <w:lang w:val="en-US"/>
        </w:rPr>
        <w:t xml:space="preserve"> the licensee can continue to do whatever the license authorizes.</w:t>
      </w:r>
      <w:r w:rsidRPr="73F69078" w:rsidR="73F69078">
        <w:rPr>
          <w:rFonts w:ascii="Arial" w:hAnsi="Arial" w:eastAsia="Arial" w:cs="Arial"/>
          <w:b w:val="0"/>
          <w:bCs w:val="0"/>
          <w:i w:val="0"/>
          <w:iCs w:val="0"/>
          <w:caps w:val="0"/>
          <w:smallCaps w:val="0"/>
          <w:noProof w:val="0"/>
          <w:color w:val="000000" w:themeColor="text1" w:themeTint="FF" w:themeShade="FF"/>
          <w:sz w:val="22"/>
          <w:szCs w:val="22"/>
          <w:lang w:val="en-US"/>
        </w:rPr>
        <w:t>”</w:t>
      </w:r>
    </w:p>
    <w:p w:rsidR="73F69078" w:rsidP="73F69078" w:rsidRDefault="73F69078" w14:paraId="3F7E4B3B" w14:textId="77C0B621">
      <w:pPr>
        <w:pStyle w:val="Normal"/>
        <w:ind w:left="0"/>
        <w:jc w:val="both"/>
        <w:rPr>
          <w:rFonts w:ascii="Calibri" w:hAnsi="Calibri" w:eastAsia="Times New Roman" w:cs=""/>
          <w:sz w:val="20"/>
          <w:szCs w:val="20"/>
          <w:lang w:val="en-GB"/>
        </w:rPr>
      </w:pPr>
    </w:p>
    <w:p w:rsidRPr="00B06D16" w:rsidR="00944C07" w:rsidP="00DB0415" w:rsidRDefault="004916FE" w14:paraId="0643AA1F" w14:textId="719DB747">
      <w:pPr>
        <w:pStyle w:val="ListParagraph"/>
        <w:numPr>
          <w:ilvl w:val="0"/>
          <w:numId w:val="18"/>
        </w:numPr>
        <w:autoSpaceDE w:val="0"/>
        <w:autoSpaceDN w:val="0"/>
        <w:adjustRightInd w:val="0"/>
        <w:jc w:val="both"/>
        <w:rPr>
          <w:rFonts w:ascii="Arial" w:hAnsi="Arial" w:cs="Arial"/>
          <w:sz w:val="22"/>
          <w:szCs w:val="22"/>
          <w:lang w:val="en-GB"/>
        </w:rPr>
      </w:pPr>
      <w:r w:rsidRPr="73F69078" w:rsidR="73F69078">
        <w:rPr>
          <w:rFonts w:ascii="Arial" w:hAnsi="Arial" w:cs="Arial"/>
          <w:sz w:val="22"/>
          <w:szCs w:val="22"/>
          <w:lang w:val="en-GB"/>
        </w:rPr>
        <w:t xml:space="preserve">The Bankruptcy code provides that a debtor in possession in a chapter 11 proceedings can sell its property free and clear of creditors interests to a strategic purchaser or a successful corporate entity with court approval in a 363 sale and that a good faith purchaser may retain the property notwithstanding a subsequent reversal of court approval for the sale on appeal. Therefore, Oil Corp may sell the manufacturing facility free if its value exceeds the debt owed to the USA Bank without the USA Bank’s consent. USA Bank will have a lien over the proceeds of </w:t>
      </w:r>
      <w:r w:rsidRPr="73F69078" w:rsidR="73F69078">
        <w:rPr>
          <w:rFonts w:ascii="Arial" w:hAnsi="Arial" w:cs="Arial"/>
          <w:sz w:val="22"/>
          <w:szCs w:val="22"/>
          <w:lang w:val="en-GB"/>
        </w:rPr>
        <w:t>sale in</w:t>
      </w:r>
      <w:r w:rsidRPr="73F69078" w:rsidR="73F69078">
        <w:rPr>
          <w:rFonts w:ascii="Arial" w:hAnsi="Arial" w:cs="Arial"/>
          <w:sz w:val="22"/>
          <w:szCs w:val="22"/>
          <w:lang w:val="en-GB"/>
        </w:rPr>
        <w:t xml:space="preserve"> priority of other creditors. </w:t>
      </w:r>
    </w:p>
    <w:p w:rsidRPr="00323167" w:rsidR="005B2A9B" w:rsidP="00323167" w:rsidRDefault="005B2A9B" w14:paraId="0B4C8718" w14:textId="77777777">
      <w:pPr>
        <w:autoSpaceDE w:val="0"/>
        <w:autoSpaceDN w:val="0"/>
        <w:adjustRightInd w:val="0"/>
        <w:jc w:val="both"/>
        <w:rPr>
          <w:rFonts w:ascii="Arial" w:hAnsi="Arial" w:cs="Arial"/>
          <w:color w:val="808080" w:themeColor="background1" w:themeShade="80"/>
          <w:sz w:val="22"/>
          <w:szCs w:val="22"/>
          <w:lang w:val="en-GB"/>
        </w:rPr>
      </w:pPr>
    </w:p>
    <w:p w:rsidRPr="00323167" w:rsidR="00126A4D" w:rsidP="00323167" w:rsidRDefault="00126A4D" w14:paraId="70C6A8B6" w14:textId="1261BD9D">
      <w:pPr>
        <w:autoSpaceDE w:val="0"/>
        <w:autoSpaceDN w:val="0"/>
        <w:adjustRightInd w:val="0"/>
        <w:jc w:val="both"/>
        <w:rPr>
          <w:rFonts w:ascii="Arial" w:hAnsi="Arial" w:cs="Arial"/>
          <w:color w:val="808080" w:themeColor="background1" w:themeShade="80"/>
          <w:sz w:val="22"/>
          <w:szCs w:val="22"/>
          <w:lang w:val="en-GB"/>
        </w:rPr>
      </w:pPr>
    </w:p>
    <w:bookmarkEnd w:id="0"/>
    <w:p w:rsidRPr="00BD4A58" w:rsidR="0077498C" w:rsidP="00BD4A58" w:rsidRDefault="0077498C" w14:paraId="35D8F287" w14:textId="77777777">
      <w:pPr>
        <w:jc w:val="both"/>
        <w:rPr>
          <w:rFonts w:ascii="Arial" w:hAnsi="Arial" w:cs="Arial"/>
          <w:color w:val="000000" w:themeColor="text1"/>
          <w:sz w:val="22"/>
          <w:szCs w:val="22"/>
          <w:lang w:val="en-GB"/>
        </w:rPr>
      </w:pPr>
    </w:p>
    <w:p w:rsidRPr="004E3A6B" w:rsidR="00B77F46" w:rsidP="004E3A6B" w:rsidRDefault="00C606C3" w14:paraId="7B275592" w14:textId="639AAD17">
      <w:pPr>
        <w:jc w:val="center"/>
        <w:rPr>
          <w:rFonts w:ascii="Arial" w:hAnsi="Arial" w:cs="Arial"/>
          <w:b/>
          <w:bCs/>
          <w:sz w:val="22"/>
          <w:szCs w:val="22"/>
          <w:lang w:val="en-GB"/>
        </w:rPr>
      </w:pPr>
      <w:r w:rsidRPr="00B77F46">
        <w:rPr>
          <w:rFonts w:ascii="Arial" w:hAnsi="Arial" w:cs="Arial"/>
          <w:b/>
          <w:bCs/>
          <w:sz w:val="22"/>
          <w:szCs w:val="22"/>
          <w:lang w:val="en-GB"/>
        </w:rPr>
        <w:t>*</w:t>
      </w:r>
      <w:r w:rsidRPr="00B77F46" w:rsidR="001E25B9">
        <w:rPr>
          <w:rFonts w:ascii="Arial" w:hAnsi="Arial" w:cs="Arial"/>
          <w:b/>
          <w:bCs/>
          <w:sz w:val="22"/>
          <w:szCs w:val="22"/>
          <w:lang w:val="en-GB"/>
        </w:rPr>
        <w:t xml:space="preserve"> </w:t>
      </w:r>
      <w:r w:rsidRPr="00B77F46" w:rsidR="0077498C">
        <w:rPr>
          <w:rFonts w:ascii="Arial" w:hAnsi="Arial" w:cs="Arial"/>
          <w:b/>
          <w:bCs/>
          <w:sz w:val="22"/>
          <w:szCs w:val="22"/>
          <w:lang w:val="en-GB"/>
        </w:rPr>
        <w:t>End of Assessment</w:t>
      </w:r>
      <w:r w:rsidRPr="00B77F46" w:rsidR="001E25B9">
        <w:rPr>
          <w:rFonts w:ascii="Arial" w:hAnsi="Arial" w:cs="Arial"/>
          <w:b/>
          <w:bCs/>
          <w:sz w:val="22"/>
          <w:szCs w:val="22"/>
          <w:lang w:val="en-GB"/>
        </w:rPr>
        <w:t xml:space="preserve"> </w:t>
      </w:r>
      <w:r w:rsidRPr="00B77F46">
        <w:rPr>
          <w:rFonts w:ascii="Arial" w:hAnsi="Arial" w:cs="Arial"/>
          <w:b/>
          <w:bCs/>
          <w:sz w:val="22"/>
          <w:szCs w:val="22"/>
          <w:lang w:val="en-GB"/>
        </w:rPr>
        <w:t>*</w:t>
      </w:r>
    </w:p>
    <w:sectPr w:rsidRPr="004E3A6B" w:rsidR="00B77F46" w:rsidSect="0073158B">
      <w:headerReference w:type="default" r:id="rId9"/>
      <w:footerReference w:type="even" r:id="rId10"/>
      <w:footerReference w:type="default" r:id="rId11"/>
      <w:headerReference w:type="first" r:id="rId12"/>
      <w:footerReference w:type="first" r:id="rId13"/>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4A4" w:rsidP="00241B44" w:rsidRDefault="007064A4" w14:paraId="5EB4AB47" w14:textId="77777777">
      <w:r>
        <w:separator/>
      </w:r>
    </w:p>
  </w:endnote>
  <w:endnote w:type="continuationSeparator" w:id="0">
    <w:p w:rsidR="007064A4" w:rsidP="00241B44" w:rsidRDefault="007064A4" w14:paraId="431DFB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7B47" w:rsidR="00E450A4" w:rsidP="009B4976" w:rsidRDefault="00E450A4" w14:paraId="0AAD6B61"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p w:rsidRPr="00FC7B47" w:rsidR="00E450A4" w:rsidP="00FC7B47" w:rsidRDefault="00445CE6" w14:paraId="39FD1B0B" w14:textId="3A981440">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rsidRPr="009B4976" w:rsidR="009B4976" w:rsidP="002979D1" w:rsidRDefault="009B4976" w14:paraId="0A05F8FD" w14:textId="301381CC">
        <w:pPr>
          <w:pStyle w:val="Footer"/>
          <w:framePr w:wrap="none" w:hAnchor="margin" w:vAnchor="text"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rsidRPr="009B4976" w:rsidR="00241FA3" w:rsidP="009B4976" w:rsidRDefault="438C3FED" w14:paraId="30F05E79" w14:textId="1EAF8E10">
    <w:pPr>
      <w:pStyle w:val="Footer"/>
      <w:ind w:right="360"/>
      <w:rPr>
        <w:rFonts w:ascii="Arial" w:hAnsi="Arial" w:cs="Arial"/>
        <w:sz w:val="18"/>
        <w:szCs w:val="18"/>
        <w:lang w:val="en-GB"/>
      </w:rPr>
    </w:pPr>
    <w:r w:rsidRPr="438C3FED">
      <w:rPr>
        <w:rFonts w:ascii="Arial" w:hAnsi="Arial" w:cs="Arial"/>
        <w:sz w:val="18"/>
        <w:szCs w:val="18"/>
        <w:lang w:val="en-GB"/>
      </w:rPr>
      <w:t>202122-590.assessment3A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8C3FED" w:rsidTr="438C3FED" w14:paraId="4539A47A" w14:textId="77777777">
      <w:tc>
        <w:tcPr>
          <w:tcW w:w="3005" w:type="dxa"/>
        </w:tcPr>
        <w:p w:rsidR="438C3FED" w:rsidP="438C3FED" w:rsidRDefault="438C3FED" w14:paraId="2AC84494" w14:textId="623ED71B">
          <w:pPr>
            <w:pStyle w:val="Header"/>
            <w:ind w:left="-115"/>
            <w:rPr>
              <w:rFonts w:ascii="Calibri" w:hAnsi="Calibri"/>
              <w:szCs w:val="20"/>
            </w:rPr>
          </w:pPr>
        </w:p>
      </w:tc>
      <w:tc>
        <w:tcPr>
          <w:tcW w:w="3005" w:type="dxa"/>
        </w:tcPr>
        <w:p w:rsidR="438C3FED" w:rsidP="438C3FED" w:rsidRDefault="438C3FED" w14:paraId="4FD2D9D0" w14:textId="0472DD1D">
          <w:pPr>
            <w:pStyle w:val="Header"/>
            <w:jc w:val="center"/>
            <w:rPr>
              <w:rFonts w:ascii="Calibri" w:hAnsi="Calibri"/>
              <w:szCs w:val="20"/>
            </w:rPr>
          </w:pPr>
        </w:p>
      </w:tc>
      <w:tc>
        <w:tcPr>
          <w:tcW w:w="3005" w:type="dxa"/>
        </w:tcPr>
        <w:p w:rsidR="438C3FED" w:rsidP="438C3FED" w:rsidRDefault="438C3FED" w14:paraId="44FA733F" w14:textId="0B769121">
          <w:pPr>
            <w:pStyle w:val="Header"/>
            <w:ind w:right="-115"/>
            <w:jc w:val="right"/>
            <w:rPr>
              <w:rFonts w:ascii="Calibri" w:hAnsi="Calibri"/>
              <w:szCs w:val="20"/>
            </w:rPr>
          </w:pPr>
        </w:p>
      </w:tc>
    </w:tr>
  </w:tbl>
  <w:p w:rsidR="438C3FED" w:rsidP="438C3FED" w:rsidRDefault="438C3FED" w14:paraId="3906EFD7" w14:textId="22F10986">
    <w:pPr>
      <w:pStyle w:val="Footer"/>
      <w:rPr>
        <w:rFonts w:ascii="Calibri" w:hAnsi="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4A4" w:rsidP="00241B44" w:rsidRDefault="007064A4" w14:paraId="2B79B344" w14:textId="77777777">
      <w:r>
        <w:separator/>
      </w:r>
    </w:p>
  </w:footnote>
  <w:footnote w:type="continuationSeparator" w:id="0">
    <w:p w:rsidR="007064A4" w:rsidP="00241B44" w:rsidRDefault="007064A4" w14:paraId="64EAA7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8C3FED" w:rsidTr="438C3FED" w14:paraId="23280C94" w14:textId="77777777">
      <w:tc>
        <w:tcPr>
          <w:tcW w:w="3005" w:type="dxa"/>
        </w:tcPr>
        <w:p w:rsidR="438C3FED" w:rsidP="438C3FED" w:rsidRDefault="438C3FED" w14:paraId="1EB88F5C" w14:textId="2454E434">
          <w:pPr>
            <w:pStyle w:val="Header"/>
            <w:ind w:left="-115"/>
            <w:rPr>
              <w:rFonts w:ascii="Calibri" w:hAnsi="Calibri"/>
              <w:szCs w:val="20"/>
            </w:rPr>
          </w:pPr>
        </w:p>
      </w:tc>
      <w:tc>
        <w:tcPr>
          <w:tcW w:w="3005" w:type="dxa"/>
        </w:tcPr>
        <w:p w:rsidR="438C3FED" w:rsidP="438C3FED" w:rsidRDefault="438C3FED" w14:paraId="1F48B30E" w14:textId="6F42189B">
          <w:pPr>
            <w:pStyle w:val="Header"/>
            <w:jc w:val="center"/>
            <w:rPr>
              <w:rFonts w:ascii="Calibri" w:hAnsi="Calibri"/>
              <w:szCs w:val="20"/>
            </w:rPr>
          </w:pPr>
        </w:p>
      </w:tc>
      <w:tc>
        <w:tcPr>
          <w:tcW w:w="3005" w:type="dxa"/>
        </w:tcPr>
        <w:p w:rsidR="438C3FED" w:rsidP="438C3FED" w:rsidRDefault="438C3FED" w14:paraId="0326F6A1" w14:textId="0B481869">
          <w:pPr>
            <w:pStyle w:val="Header"/>
            <w:ind w:right="-115"/>
            <w:jc w:val="right"/>
            <w:rPr>
              <w:rFonts w:ascii="Calibri" w:hAnsi="Calibri"/>
              <w:szCs w:val="20"/>
            </w:rPr>
          </w:pPr>
        </w:p>
      </w:tc>
    </w:tr>
  </w:tbl>
  <w:p w:rsidR="438C3FED" w:rsidP="438C3FED" w:rsidRDefault="438C3FED" w14:paraId="7C31EFAC" w14:textId="0FBEE9A6">
    <w:pPr>
      <w:pStyle w:val="Header"/>
      <w:rPr>
        <w:rFonts w:ascii="Calibri" w:hAnsi="Calibr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8C3FED" w:rsidTr="438C3FED" w14:paraId="1A18F923" w14:textId="77777777">
      <w:tc>
        <w:tcPr>
          <w:tcW w:w="3005" w:type="dxa"/>
        </w:tcPr>
        <w:p w:rsidR="438C3FED" w:rsidP="438C3FED" w:rsidRDefault="438C3FED" w14:paraId="040E1006" w14:textId="003C853D">
          <w:pPr>
            <w:pStyle w:val="Header"/>
            <w:ind w:left="-115"/>
            <w:rPr>
              <w:rFonts w:ascii="Calibri" w:hAnsi="Calibri"/>
              <w:szCs w:val="20"/>
            </w:rPr>
          </w:pPr>
        </w:p>
      </w:tc>
      <w:tc>
        <w:tcPr>
          <w:tcW w:w="3005" w:type="dxa"/>
        </w:tcPr>
        <w:p w:rsidR="438C3FED" w:rsidP="438C3FED" w:rsidRDefault="438C3FED" w14:paraId="7C2470E7" w14:textId="042A51F0">
          <w:pPr>
            <w:pStyle w:val="Header"/>
            <w:jc w:val="center"/>
            <w:rPr>
              <w:rFonts w:ascii="Calibri" w:hAnsi="Calibri"/>
              <w:szCs w:val="20"/>
            </w:rPr>
          </w:pPr>
        </w:p>
      </w:tc>
      <w:tc>
        <w:tcPr>
          <w:tcW w:w="3005" w:type="dxa"/>
        </w:tcPr>
        <w:p w:rsidR="438C3FED" w:rsidP="438C3FED" w:rsidRDefault="438C3FED" w14:paraId="155381A9" w14:textId="5B43FE16">
          <w:pPr>
            <w:pStyle w:val="Header"/>
            <w:ind w:right="-115"/>
            <w:jc w:val="right"/>
            <w:rPr>
              <w:rFonts w:ascii="Calibri" w:hAnsi="Calibri"/>
              <w:szCs w:val="20"/>
            </w:rPr>
          </w:pPr>
        </w:p>
      </w:tc>
    </w:tr>
  </w:tbl>
  <w:p w:rsidR="438C3FED" w:rsidP="438C3FED" w:rsidRDefault="438C3FED" w14:paraId="346E497B" w14:textId="5C00C774">
    <w:pPr>
      <w:pStyle w:val="Header"/>
      <w:rPr>
        <w:rFonts w:ascii="Calibri" w:hAnsi="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A739E"/>
    <w:multiLevelType w:val="hybridMultilevel"/>
    <w:tmpl w:val="A3C0AB3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6001F2"/>
    <w:multiLevelType w:val="hybridMultilevel"/>
    <w:tmpl w:val="9E02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A7B51"/>
    <w:multiLevelType w:val="hybridMultilevel"/>
    <w:tmpl w:val="4C8A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B1225"/>
    <w:multiLevelType w:val="hybridMultilevel"/>
    <w:tmpl w:val="B0D2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2340A0"/>
    <w:multiLevelType w:val="hybridMultilevel"/>
    <w:tmpl w:val="E46C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239743">
    <w:abstractNumId w:val="11"/>
  </w:num>
  <w:num w:numId="2" w16cid:durableId="643201869">
    <w:abstractNumId w:val="13"/>
  </w:num>
  <w:num w:numId="3" w16cid:durableId="215895407">
    <w:abstractNumId w:val="1"/>
  </w:num>
  <w:num w:numId="4" w16cid:durableId="2104838237">
    <w:abstractNumId w:val="3"/>
  </w:num>
  <w:num w:numId="5" w16cid:durableId="924649437">
    <w:abstractNumId w:val="4"/>
  </w:num>
  <w:num w:numId="6" w16cid:durableId="1212769290">
    <w:abstractNumId w:val="15"/>
  </w:num>
  <w:num w:numId="7" w16cid:durableId="1472206628">
    <w:abstractNumId w:val="2"/>
  </w:num>
  <w:num w:numId="8" w16cid:durableId="1769306660">
    <w:abstractNumId w:val="16"/>
  </w:num>
  <w:num w:numId="9" w16cid:durableId="468861618">
    <w:abstractNumId w:val="5"/>
  </w:num>
  <w:num w:numId="10" w16cid:durableId="1461341350">
    <w:abstractNumId w:val="12"/>
  </w:num>
  <w:num w:numId="11" w16cid:durableId="1515798696">
    <w:abstractNumId w:val="6"/>
  </w:num>
  <w:num w:numId="12" w16cid:durableId="1885171613">
    <w:abstractNumId w:val="10"/>
  </w:num>
  <w:num w:numId="13" w16cid:durableId="908073541">
    <w:abstractNumId w:val="0"/>
  </w:num>
  <w:num w:numId="14" w16cid:durableId="447431212">
    <w:abstractNumId w:val="14"/>
  </w:num>
  <w:num w:numId="15" w16cid:durableId="6908753">
    <w:abstractNumId w:val="8"/>
  </w:num>
  <w:num w:numId="16" w16cid:durableId="1081878458">
    <w:abstractNumId w:val="9"/>
  </w:num>
  <w:num w:numId="17" w16cid:durableId="825559154">
    <w:abstractNumId w:val="7"/>
  </w:num>
  <w:num w:numId="18" w16cid:durableId="1773011567">
    <w:abstractNumId w:val="17"/>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2F36"/>
    <w:rsid w:val="000851CC"/>
    <w:rsid w:val="00093BE8"/>
    <w:rsid w:val="00097B45"/>
    <w:rsid w:val="000A407B"/>
    <w:rsid w:val="000A636A"/>
    <w:rsid w:val="000A68ED"/>
    <w:rsid w:val="000B073C"/>
    <w:rsid w:val="000B5FF1"/>
    <w:rsid w:val="000B609F"/>
    <w:rsid w:val="000C4C5B"/>
    <w:rsid w:val="000D55A8"/>
    <w:rsid w:val="000E4841"/>
    <w:rsid w:val="000F1677"/>
    <w:rsid w:val="000F3D6C"/>
    <w:rsid w:val="000F66D2"/>
    <w:rsid w:val="000F7FC2"/>
    <w:rsid w:val="00101707"/>
    <w:rsid w:val="00102CC9"/>
    <w:rsid w:val="0011473D"/>
    <w:rsid w:val="001149E8"/>
    <w:rsid w:val="00115C85"/>
    <w:rsid w:val="0012224B"/>
    <w:rsid w:val="00123855"/>
    <w:rsid w:val="00126A4D"/>
    <w:rsid w:val="0014171F"/>
    <w:rsid w:val="0014622C"/>
    <w:rsid w:val="00151EDF"/>
    <w:rsid w:val="00152348"/>
    <w:rsid w:val="0015456D"/>
    <w:rsid w:val="00155FA2"/>
    <w:rsid w:val="0015688A"/>
    <w:rsid w:val="00160679"/>
    <w:rsid w:val="001613DD"/>
    <w:rsid w:val="00161F1B"/>
    <w:rsid w:val="00162829"/>
    <w:rsid w:val="00180548"/>
    <w:rsid w:val="00180AC4"/>
    <w:rsid w:val="00180CCE"/>
    <w:rsid w:val="0018265B"/>
    <w:rsid w:val="0018267A"/>
    <w:rsid w:val="00182779"/>
    <w:rsid w:val="001830DF"/>
    <w:rsid w:val="001863E8"/>
    <w:rsid w:val="001966D9"/>
    <w:rsid w:val="001A7E9A"/>
    <w:rsid w:val="001B0F70"/>
    <w:rsid w:val="001B5016"/>
    <w:rsid w:val="001C45FC"/>
    <w:rsid w:val="001C7E5E"/>
    <w:rsid w:val="001D0469"/>
    <w:rsid w:val="001D4862"/>
    <w:rsid w:val="001E25B9"/>
    <w:rsid w:val="001E49E0"/>
    <w:rsid w:val="001E7B5A"/>
    <w:rsid w:val="001F2C9A"/>
    <w:rsid w:val="001F7412"/>
    <w:rsid w:val="00202DFE"/>
    <w:rsid w:val="0020725B"/>
    <w:rsid w:val="002110F1"/>
    <w:rsid w:val="00223917"/>
    <w:rsid w:val="0024116D"/>
    <w:rsid w:val="00241B44"/>
    <w:rsid w:val="00241FA3"/>
    <w:rsid w:val="00245EFB"/>
    <w:rsid w:val="0025386E"/>
    <w:rsid w:val="00253F3A"/>
    <w:rsid w:val="00256B74"/>
    <w:rsid w:val="002638B0"/>
    <w:rsid w:val="0026647A"/>
    <w:rsid w:val="002668D3"/>
    <w:rsid w:val="0027299F"/>
    <w:rsid w:val="00284EBE"/>
    <w:rsid w:val="002903A7"/>
    <w:rsid w:val="0029433F"/>
    <w:rsid w:val="00294829"/>
    <w:rsid w:val="0029690F"/>
    <w:rsid w:val="002979D1"/>
    <w:rsid w:val="00297C8A"/>
    <w:rsid w:val="002A2A60"/>
    <w:rsid w:val="002A37BB"/>
    <w:rsid w:val="002B1C45"/>
    <w:rsid w:val="002C0121"/>
    <w:rsid w:val="002C13C8"/>
    <w:rsid w:val="002C3547"/>
    <w:rsid w:val="002C61D6"/>
    <w:rsid w:val="002D0021"/>
    <w:rsid w:val="002D0C70"/>
    <w:rsid w:val="002D299D"/>
    <w:rsid w:val="002D3473"/>
    <w:rsid w:val="002D6789"/>
    <w:rsid w:val="002D78C5"/>
    <w:rsid w:val="002F1956"/>
    <w:rsid w:val="002F3440"/>
    <w:rsid w:val="002F75A3"/>
    <w:rsid w:val="00301D2B"/>
    <w:rsid w:val="00303C2F"/>
    <w:rsid w:val="003144EF"/>
    <w:rsid w:val="00322F13"/>
    <w:rsid w:val="00323167"/>
    <w:rsid w:val="00326292"/>
    <w:rsid w:val="00326415"/>
    <w:rsid w:val="00330937"/>
    <w:rsid w:val="00330F31"/>
    <w:rsid w:val="003326CD"/>
    <w:rsid w:val="00334648"/>
    <w:rsid w:val="0033768C"/>
    <w:rsid w:val="00337938"/>
    <w:rsid w:val="00340769"/>
    <w:rsid w:val="00341AA6"/>
    <w:rsid w:val="003502EB"/>
    <w:rsid w:val="00361A0A"/>
    <w:rsid w:val="00361AAC"/>
    <w:rsid w:val="00364836"/>
    <w:rsid w:val="0036565C"/>
    <w:rsid w:val="0036625E"/>
    <w:rsid w:val="0037465A"/>
    <w:rsid w:val="00382C98"/>
    <w:rsid w:val="0038533C"/>
    <w:rsid w:val="003862C1"/>
    <w:rsid w:val="00386568"/>
    <w:rsid w:val="00390B57"/>
    <w:rsid w:val="003948D5"/>
    <w:rsid w:val="00396821"/>
    <w:rsid w:val="00397D3A"/>
    <w:rsid w:val="003A051E"/>
    <w:rsid w:val="003A75F4"/>
    <w:rsid w:val="003B170F"/>
    <w:rsid w:val="003B3C5F"/>
    <w:rsid w:val="003B7184"/>
    <w:rsid w:val="003C0FC0"/>
    <w:rsid w:val="003C4471"/>
    <w:rsid w:val="003C53FE"/>
    <w:rsid w:val="003C7BEF"/>
    <w:rsid w:val="003D0A6D"/>
    <w:rsid w:val="003D7672"/>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4BFE"/>
    <w:rsid w:val="00455018"/>
    <w:rsid w:val="0045683E"/>
    <w:rsid w:val="00477C72"/>
    <w:rsid w:val="004822D0"/>
    <w:rsid w:val="00491675"/>
    <w:rsid w:val="004916FE"/>
    <w:rsid w:val="00493855"/>
    <w:rsid w:val="00494A52"/>
    <w:rsid w:val="00495E79"/>
    <w:rsid w:val="004A0260"/>
    <w:rsid w:val="004A57DD"/>
    <w:rsid w:val="004A72B4"/>
    <w:rsid w:val="004A7B51"/>
    <w:rsid w:val="004A7D71"/>
    <w:rsid w:val="004A7EF3"/>
    <w:rsid w:val="004B11FD"/>
    <w:rsid w:val="004B23A2"/>
    <w:rsid w:val="004B5200"/>
    <w:rsid w:val="004D1A5A"/>
    <w:rsid w:val="004D2FFF"/>
    <w:rsid w:val="004D3721"/>
    <w:rsid w:val="004D64F9"/>
    <w:rsid w:val="004E3A6B"/>
    <w:rsid w:val="004E5AF5"/>
    <w:rsid w:val="004E622C"/>
    <w:rsid w:val="004F49B5"/>
    <w:rsid w:val="004F5FDF"/>
    <w:rsid w:val="004F7B99"/>
    <w:rsid w:val="00501874"/>
    <w:rsid w:val="00515810"/>
    <w:rsid w:val="005177FE"/>
    <w:rsid w:val="0052263B"/>
    <w:rsid w:val="005232FE"/>
    <w:rsid w:val="00524728"/>
    <w:rsid w:val="005331CA"/>
    <w:rsid w:val="00537970"/>
    <w:rsid w:val="00540E3A"/>
    <w:rsid w:val="00544127"/>
    <w:rsid w:val="005463A9"/>
    <w:rsid w:val="00553EB2"/>
    <w:rsid w:val="00560534"/>
    <w:rsid w:val="00560E23"/>
    <w:rsid w:val="0056391B"/>
    <w:rsid w:val="005650E2"/>
    <w:rsid w:val="00567AD7"/>
    <w:rsid w:val="005727AA"/>
    <w:rsid w:val="00575B2D"/>
    <w:rsid w:val="005833D0"/>
    <w:rsid w:val="00583D8E"/>
    <w:rsid w:val="005846F3"/>
    <w:rsid w:val="0058622F"/>
    <w:rsid w:val="00587019"/>
    <w:rsid w:val="00592F82"/>
    <w:rsid w:val="005A0CCA"/>
    <w:rsid w:val="005A6FF2"/>
    <w:rsid w:val="005A726D"/>
    <w:rsid w:val="005B2A9B"/>
    <w:rsid w:val="005B67AC"/>
    <w:rsid w:val="005B79F4"/>
    <w:rsid w:val="005C4C45"/>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0FDE"/>
    <w:rsid w:val="00632E44"/>
    <w:rsid w:val="00634622"/>
    <w:rsid w:val="00635ACC"/>
    <w:rsid w:val="00636808"/>
    <w:rsid w:val="00641515"/>
    <w:rsid w:val="00654C2F"/>
    <w:rsid w:val="00655C43"/>
    <w:rsid w:val="00657087"/>
    <w:rsid w:val="006639DB"/>
    <w:rsid w:val="006661EF"/>
    <w:rsid w:val="00677AEB"/>
    <w:rsid w:val="00677B9D"/>
    <w:rsid w:val="00680EF2"/>
    <w:rsid w:val="00683020"/>
    <w:rsid w:val="00685990"/>
    <w:rsid w:val="00687A1D"/>
    <w:rsid w:val="00697EA1"/>
    <w:rsid w:val="006A2646"/>
    <w:rsid w:val="006A6530"/>
    <w:rsid w:val="006B3571"/>
    <w:rsid w:val="006B435A"/>
    <w:rsid w:val="006B4C64"/>
    <w:rsid w:val="006D2215"/>
    <w:rsid w:val="006D6BD5"/>
    <w:rsid w:val="006E481A"/>
    <w:rsid w:val="006E5298"/>
    <w:rsid w:val="006F4A78"/>
    <w:rsid w:val="006F734A"/>
    <w:rsid w:val="00700D83"/>
    <w:rsid w:val="00704852"/>
    <w:rsid w:val="007064A4"/>
    <w:rsid w:val="007074E9"/>
    <w:rsid w:val="00713DA4"/>
    <w:rsid w:val="00714BF1"/>
    <w:rsid w:val="00717C2C"/>
    <w:rsid w:val="00721383"/>
    <w:rsid w:val="0073158B"/>
    <w:rsid w:val="00733124"/>
    <w:rsid w:val="007333CC"/>
    <w:rsid w:val="0073399A"/>
    <w:rsid w:val="007455FC"/>
    <w:rsid w:val="007603F5"/>
    <w:rsid w:val="00764DB0"/>
    <w:rsid w:val="0076764D"/>
    <w:rsid w:val="0077498C"/>
    <w:rsid w:val="00777C53"/>
    <w:rsid w:val="007809BC"/>
    <w:rsid w:val="00784128"/>
    <w:rsid w:val="00785A21"/>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D5FFF"/>
    <w:rsid w:val="008E3339"/>
    <w:rsid w:val="008E388D"/>
    <w:rsid w:val="008F20FC"/>
    <w:rsid w:val="008F5FFE"/>
    <w:rsid w:val="00902FA7"/>
    <w:rsid w:val="00905A43"/>
    <w:rsid w:val="00912C79"/>
    <w:rsid w:val="00917A6C"/>
    <w:rsid w:val="00921B8C"/>
    <w:rsid w:val="0092565E"/>
    <w:rsid w:val="0093467C"/>
    <w:rsid w:val="00942123"/>
    <w:rsid w:val="00944C07"/>
    <w:rsid w:val="0095207B"/>
    <w:rsid w:val="00962045"/>
    <w:rsid w:val="00980E61"/>
    <w:rsid w:val="00983951"/>
    <w:rsid w:val="00991428"/>
    <w:rsid w:val="00992676"/>
    <w:rsid w:val="009945DC"/>
    <w:rsid w:val="009954B2"/>
    <w:rsid w:val="00996691"/>
    <w:rsid w:val="009B0723"/>
    <w:rsid w:val="009B07AD"/>
    <w:rsid w:val="009B0883"/>
    <w:rsid w:val="009B15E2"/>
    <w:rsid w:val="009B4976"/>
    <w:rsid w:val="009C0B8E"/>
    <w:rsid w:val="009C1BC8"/>
    <w:rsid w:val="009C2442"/>
    <w:rsid w:val="009D0811"/>
    <w:rsid w:val="009D0EE1"/>
    <w:rsid w:val="009D6773"/>
    <w:rsid w:val="009E2AEB"/>
    <w:rsid w:val="009E2E27"/>
    <w:rsid w:val="009E42B7"/>
    <w:rsid w:val="009E45DF"/>
    <w:rsid w:val="009E4DE3"/>
    <w:rsid w:val="009F275E"/>
    <w:rsid w:val="009F3807"/>
    <w:rsid w:val="00A024E7"/>
    <w:rsid w:val="00A047EE"/>
    <w:rsid w:val="00A12255"/>
    <w:rsid w:val="00A2274A"/>
    <w:rsid w:val="00A235B7"/>
    <w:rsid w:val="00A27A7A"/>
    <w:rsid w:val="00A3165E"/>
    <w:rsid w:val="00A34ABE"/>
    <w:rsid w:val="00A407EF"/>
    <w:rsid w:val="00A43ED1"/>
    <w:rsid w:val="00A4427A"/>
    <w:rsid w:val="00A46B4C"/>
    <w:rsid w:val="00A5117B"/>
    <w:rsid w:val="00A56D34"/>
    <w:rsid w:val="00A60074"/>
    <w:rsid w:val="00A63D2B"/>
    <w:rsid w:val="00A6627C"/>
    <w:rsid w:val="00A71019"/>
    <w:rsid w:val="00A80911"/>
    <w:rsid w:val="00A81029"/>
    <w:rsid w:val="00A85157"/>
    <w:rsid w:val="00A94F58"/>
    <w:rsid w:val="00A95463"/>
    <w:rsid w:val="00A96489"/>
    <w:rsid w:val="00AA7BE3"/>
    <w:rsid w:val="00AB1B65"/>
    <w:rsid w:val="00AB2425"/>
    <w:rsid w:val="00AB685C"/>
    <w:rsid w:val="00AB6C2D"/>
    <w:rsid w:val="00AC08F7"/>
    <w:rsid w:val="00AC3839"/>
    <w:rsid w:val="00AC7082"/>
    <w:rsid w:val="00AD4BE8"/>
    <w:rsid w:val="00AF1421"/>
    <w:rsid w:val="00AF228E"/>
    <w:rsid w:val="00B016A8"/>
    <w:rsid w:val="00B06D16"/>
    <w:rsid w:val="00B10961"/>
    <w:rsid w:val="00B14819"/>
    <w:rsid w:val="00B15E2F"/>
    <w:rsid w:val="00B17AA9"/>
    <w:rsid w:val="00B27E6E"/>
    <w:rsid w:val="00B326FF"/>
    <w:rsid w:val="00B44713"/>
    <w:rsid w:val="00B56103"/>
    <w:rsid w:val="00B567B1"/>
    <w:rsid w:val="00B64929"/>
    <w:rsid w:val="00B736DF"/>
    <w:rsid w:val="00B743D6"/>
    <w:rsid w:val="00B74FBD"/>
    <w:rsid w:val="00B77F46"/>
    <w:rsid w:val="00B82586"/>
    <w:rsid w:val="00B829A3"/>
    <w:rsid w:val="00B86DB1"/>
    <w:rsid w:val="00B87869"/>
    <w:rsid w:val="00B87D41"/>
    <w:rsid w:val="00B9639B"/>
    <w:rsid w:val="00BB0F2B"/>
    <w:rsid w:val="00BB363A"/>
    <w:rsid w:val="00BD4A58"/>
    <w:rsid w:val="00BD7337"/>
    <w:rsid w:val="00BE4FF3"/>
    <w:rsid w:val="00BF32D0"/>
    <w:rsid w:val="00BF50F7"/>
    <w:rsid w:val="00C024CE"/>
    <w:rsid w:val="00C02F29"/>
    <w:rsid w:val="00C20AFE"/>
    <w:rsid w:val="00C22A25"/>
    <w:rsid w:val="00C35671"/>
    <w:rsid w:val="00C35B77"/>
    <w:rsid w:val="00C362AA"/>
    <w:rsid w:val="00C376EB"/>
    <w:rsid w:val="00C46A92"/>
    <w:rsid w:val="00C46EC1"/>
    <w:rsid w:val="00C52796"/>
    <w:rsid w:val="00C53E2C"/>
    <w:rsid w:val="00C54C94"/>
    <w:rsid w:val="00C550C8"/>
    <w:rsid w:val="00C56589"/>
    <w:rsid w:val="00C56B61"/>
    <w:rsid w:val="00C56FA7"/>
    <w:rsid w:val="00C606C3"/>
    <w:rsid w:val="00C620F4"/>
    <w:rsid w:val="00C64C6F"/>
    <w:rsid w:val="00C651D6"/>
    <w:rsid w:val="00C72848"/>
    <w:rsid w:val="00C73F7E"/>
    <w:rsid w:val="00C7736C"/>
    <w:rsid w:val="00C82D87"/>
    <w:rsid w:val="00C8712A"/>
    <w:rsid w:val="00C87E0A"/>
    <w:rsid w:val="00C902C8"/>
    <w:rsid w:val="00C919D1"/>
    <w:rsid w:val="00C963D3"/>
    <w:rsid w:val="00CA164B"/>
    <w:rsid w:val="00CB1983"/>
    <w:rsid w:val="00CB24FD"/>
    <w:rsid w:val="00CB2CBB"/>
    <w:rsid w:val="00CB6578"/>
    <w:rsid w:val="00CB67B1"/>
    <w:rsid w:val="00CB7CAC"/>
    <w:rsid w:val="00CC175B"/>
    <w:rsid w:val="00CC4818"/>
    <w:rsid w:val="00CC5335"/>
    <w:rsid w:val="00CC5BA4"/>
    <w:rsid w:val="00CD31C2"/>
    <w:rsid w:val="00CD4998"/>
    <w:rsid w:val="00CE0286"/>
    <w:rsid w:val="00CE1035"/>
    <w:rsid w:val="00CE6E50"/>
    <w:rsid w:val="00CF2819"/>
    <w:rsid w:val="00CF4F9D"/>
    <w:rsid w:val="00CF70DC"/>
    <w:rsid w:val="00D041E0"/>
    <w:rsid w:val="00D14336"/>
    <w:rsid w:val="00D148DC"/>
    <w:rsid w:val="00D17FDC"/>
    <w:rsid w:val="00D21021"/>
    <w:rsid w:val="00D21D8C"/>
    <w:rsid w:val="00D22905"/>
    <w:rsid w:val="00D316F2"/>
    <w:rsid w:val="00D53719"/>
    <w:rsid w:val="00D63EFD"/>
    <w:rsid w:val="00D773A1"/>
    <w:rsid w:val="00D84752"/>
    <w:rsid w:val="00D86B3B"/>
    <w:rsid w:val="00D8748A"/>
    <w:rsid w:val="00D93196"/>
    <w:rsid w:val="00D9340B"/>
    <w:rsid w:val="00DA0DC0"/>
    <w:rsid w:val="00DA1D45"/>
    <w:rsid w:val="00DB0415"/>
    <w:rsid w:val="00DB243C"/>
    <w:rsid w:val="00DB482A"/>
    <w:rsid w:val="00DB50FB"/>
    <w:rsid w:val="00DB56F2"/>
    <w:rsid w:val="00DB6EF5"/>
    <w:rsid w:val="00DC3089"/>
    <w:rsid w:val="00DC359F"/>
    <w:rsid w:val="00DC4420"/>
    <w:rsid w:val="00DD0802"/>
    <w:rsid w:val="00DD2E11"/>
    <w:rsid w:val="00DD7BFE"/>
    <w:rsid w:val="00DE03AF"/>
    <w:rsid w:val="00DE121C"/>
    <w:rsid w:val="00DE3730"/>
    <w:rsid w:val="00DE5357"/>
    <w:rsid w:val="00DE6633"/>
    <w:rsid w:val="00DF158F"/>
    <w:rsid w:val="00DF75F8"/>
    <w:rsid w:val="00DF7A3A"/>
    <w:rsid w:val="00E00C00"/>
    <w:rsid w:val="00E0790B"/>
    <w:rsid w:val="00E07C5A"/>
    <w:rsid w:val="00E12046"/>
    <w:rsid w:val="00E12EC4"/>
    <w:rsid w:val="00E15BA9"/>
    <w:rsid w:val="00E16522"/>
    <w:rsid w:val="00E26E10"/>
    <w:rsid w:val="00E26E19"/>
    <w:rsid w:val="00E30E60"/>
    <w:rsid w:val="00E31DF3"/>
    <w:rsid w:val="00E4320F"/>
    <w:rsid w:val="00E450A4"/>
    <w:rsid w:val="00E506BE"/>
    <w:rsid w:val="00E55547"/>
    <w:rsid w:val="00E61714"/>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3CE6"/>
    <w:rsid w:val="00EC441F"/>
    <w:rsid w:val="00EC4755"/>
    <w:rsid w:val="00ED0BC4"/>
    <w:rsid w:val="00ED447D"/>
    <w:rsid w:val="00ED738F"/>
    <w:rsid w:val="00ED74BC"/>
    <w:rsid w:val="00EE4971"/>
    <w:rsid w:val="00EF090E"/>
    <w:rsid w:val="00EF137B"/>
    <w:rsid w:val="00EF5572"/>
    <w:rsid w:val="00F033DA"/>
    <w:rsid w:val="00F13691"/>
    <w:rsid w:val="00F13FB1"/>
    <w:rsid w:val="00F27CD8"/>
    <w:rsid w:val="00F30351"/>
    <w:rsid w:val="00F3323E"/>
    <w:rsid w:val="00F341F4"/>
    <w:rsid w:val="00F34F9D"/>
    <w:rsid w:val="00F35CCE"/>
    <w:rsid w:val="00F47B43"/>
    <w:rsid w:val="00F53791"/>
    <w:rsid w:val="00F5524B"/>
    <w:rsid w:val="00F60538"/>
    <w:rsid w:val="00F61DD2"/>
    <w:rsid w:val="00F66AFF"/>
    <w:rsid w:val="00F71433"/>
    <w:rsid w:val="00F92140"/>
    <w:rsid w:val="00F97C5B"/>
    <w:rsid w:val="00FA3D50"/>
    <w:rsid w:val="00FB0DD3"/>
    <w:rsid w:val="00FB7FBD"/>
    <w:rsid w:val="00FC374A"/>
    <w:rsid w:val="00FC43EC"/>
    <w:rsid w:val="00FC5E07"/>
    <w:rsid w:val="00FC7AC7"/>
    <w:rsid w:val="00FC7B47"/>
    <w:rsid w:val="00FD035C"/>
    <w:rsid w:val="00FD1A35"/>
    <w:rsid w:val="00FD2EA4"/>
    <w:rsid w:val="00FD36C5"/>
    <w:rsid w:val="00FD6310"/>
    <w:rsid w:val="00FD7423"/>
    <w:rsid w:val="00FD7C7B"/>
    <w:rsid w:val="00FE1D12"/>
    <w:rsid w:val="00FE2122"/>
    <w:rsid w:val="00FE2A86"/>
    <w:rsid w:val="00FE2DE2"/>
    <w:rsid w:val="00FE3BF5"/>
    <w:rsid w:val="00FE45A4"/>
    <w:rsid w:val="00FE5DB8"/>
    <w:rsid w:val="00FF296F"/>
    <w:rsid w:val="00FF5E23"/>
    <w:rsid w:val="00FF7578"/>
    <w:rsid w:val="438C3FED"/>
    <w:rsid w:val="73F69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81E5D419-EAD7-454B-8DC4-7A81923576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imes New Roman"/>
      <w:sz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paragraph" w:styleId="AODocTxt" w:customStyle="1">
    <w:name w:val="AODocTxt"/>
    <w:basedOn w:val="Normal"/>
    <w:qFormat/>
    <w:rsid w:val="00256B74"/>
    <w:pPr>
      <w:spacing w:before="240" w:line="260" w:lineRule="atLeast"/>
      <w:jc w:val="both"/>
    </w:pPr>
    <w:rPr>
      <w:rFonts w:ascii="Times New Roman" w:hAnsi="Times New Roman" w:cs="Times New Roman" w:eastAsiaTheme="minorHAnsi"/>
      <w:sz w:val="22"/>
      <w:szCs w:val="22"/>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glossaryDocument" Target="glossary/document.xml" Id="R713f28985de242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4d7193-b84c-454b-abe5-bf9fbd989ab6}"/>
      </w:docPartPr>
      <w:docPartBody>
        <w:p w14:paraId="5DEB7D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Jhneil Stewart</lastModifiedBy>
  <revision>4</revision>
  <lastPrinted>2019-08-27T05:42:00.0000000Z</lastPrinted>
  <dcterms:created xsi:type="dcterms:W3CDTF">2022-07-14T21:31:00.0000000Z</dcterms:created>
  <dcterms:modified xsi:type="dcterms:W3CDTF">2022-07-29T21:08:58.2176759Z</dcterms:modified>
</coreProperties>
</file>