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 xml:space="preserve">The Administration (Restrictions on Disposal </w:t>
      </w:r>
      <w:proofErr w:type="spellStart"/>
      <w:r w:rsidRPr="00C91062">
        <w:rPr>
          <w:rFonts w:ascii="Arial" w:hAnsi="Arial" w:cs="Arial"/>
          <w:sz w:val="22"/>
          <w:szCs w:val="22"/>
          <w:lang w:val="en-GB"/>
        </w:rPr>
        <w:t>etc</w:t>
      </w:r>
      <w:proofErr w:type="spellEnd"/>
      <w:r w:rsidRPr="00C91062">
        <w:rPr>
          <w:rFonts w:ascii="Arial" w:hAnsi="Arial" w:cs="Arial"/>
          <w:sz w:val="22"/>
          <w:szCs w:val="22"/>
          <w:lang w:val="en-GB"/>
        </w:rPr>
        <w:t xml:space="preserve">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DE2815" w:rsidRDefault="00AE5B6F" w:rsidP="00B04033">
      <w:pPr>
        <w:pStyle w:val="ListParagraph"/>
        <w:numPr>
          <w:ilvl w:val="0"/>
          <w:numId w:val="1"/>
        </w:numPr>
        <w:ind w:left="426"/>
        <w:jc w:val="both"/>
        <w:rPr>
          <w:rFonts w:ascii="Arial" w:hAnsi="Arial" w:cs="Arial"/>
          <w:sz w:val="22"/>
          <w:szCs w:val="22"/>
          <w:highlight w:val="yellow"/>
          <w:lang w:val="en-GB"/>
        </w:rPr>
      </w:pPr>
      <w:proofErr w:type="gramStart"/>
      <w:r w:rsidRPr="00DE2815">
        <w:rPr>
          <w:rFonts w:ascii="Arial" w:hAnsi="Arial" w:cs="Arial"/>
          <w:sz w:val="22"/>
          <w:szCs w:val="22"/>
          <w:highlight w:val="yellow"/>
          <w:lang w:val="en-GB"/>
        </w:rPr>
        <w:t>w</w:t>
      </w:r>
      <w:r w:rsidR="00C91062" w:rsidRPr="00DE2815">
        <w:rPr>
          <w:rFonts w:ascii="Arial" w:hAnsi="Arial" w:cs="Arial"/>
          <w:sz w:val="22"/>
          <w:szCs w:val="22"/>
          <w:highlight w:val="yellow"/>
          <w:lang w:val="en-GB"/>
        </w:rPr>
        <w:t>ithin</w:t>
      </w:r>
      <w:proofErr w:type="gramEnd"/>
      <w:r w:rsidR="00C91062" w:rsidRPr="00DE2815">
        <w:rPr>
          <w:rFonts w:ascii="Arial" w:hAnsi="Arial" w:cs="Arial"/>
          <w:sz w:val="22"/>
          <w:szCs w:val="22"/>
          <w:highlight w:val="yellow"/>
          <w:lang w:val="en-GB"/>
        </w:rPr>
        <w:t xml:space="preserve"> 8 weeks of the commencement of the administration</w:t>
      </w:r>
      <w:r w:rsidR="00763348" w:rsidRPr="00DE2815">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o</w:t>
      </w:r>
      <w:r w:rsidR="00C91062">
        <w:rPr>
          <w:rFonts w:ascii="Arial" w:hAnsi="Arial" w:cs="Arial"/>
          <w:sz w:val="22"/>
          <w:szCs w:val="22"/>
          <w:lang w:val="en-GB"/>
        </w:rPr>
        <w:t>n</w:t>
      </w:r>
      <w:proofErr w:type="gramEnd"/>
      <w:r w:rsidR="00C91062">
        <w:rPr>
          <w:rFonts w:ascii="Arial" w:hAnsi="Arial" w:cs="Arial"/>
          <w:sz w:val="22"/>
          <w:szCs w:val="22"/>
          <w:lang w:val="en-GB"/>
        </w:rPr>
        <w:t xml:space="preserve">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Pr="00D96D6E" w:rsidRDefault="00E443D7" w:rsidP="00B04033">
      <w:pPr>
        <w:pStyle w:val="ListParagraph"/>
        <w:numPr>
          <w:ilvl w:val="0"/>
          <w:numId w:val="2"/>
        </w:numPr>
        <w:ind w:left="426"/>
        <w:jc w:val="both"/>
        <w:rPr>
          <w:rFonts w:ascii="Arial" w:hAnsi="Arial" w:cs="Arial"/>
          <w:sz w:val="22"/>
          <w:szCs w:val="22"/>
          <w:highlight w:val="yellow"/>
          <w:lang w:val="en-GB"/>
        </w:rPr>
      </w:pPr>
      <w:r w:rsidRPr="00D96D6E">
        <w:rPr>
          <w:rFonts w:ascii="Arial" w:hAnsi="Arial" w:cs="Arial"/>
          <w:sz w:val="22"/>
          <w:szCs w:val="22"/>
          <w:highlight w:val="yellow"/>
          <w:lang w:val="en-GB"/>
        </w:rPr>
        <w:t>One year and 20 business days</w:t>
      </w:r>
      <w:r w:rsidR="00763348" w:rsidRPr="00D96D6E">
        <w:rPr>
          <w:rFonts w:ascii="Arial" w:hAnsi="Arial" w:cs="Arial"/>
          <w:sz w:val="22"/>
          <w:szCs w:val="22"/>
          <w:highlight w:val="yellow"/>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3B0099" w:rsidRDefault="00AE5B6F" w:rsidP="00B04033">
      <w:pPr>
        <w:pStyle w:val="ListParagraph"/>
        <w:numPr>
          <w:ilvl w:val="0"/>
          <w:numId w:val="3"/>
        </w:numPr>
        <w:ind w:left="426"/>
        <w:jc w:val="both"/>
        <w:rPr>
          <w:rFonts w:ascii="Arial" w:hAnsi="Arial" w:cs="Arial"/>
          <w:sz w:val="22"/>
          <w:szCs w:val="22"/>
          <w:highlight w:val="yellow"/>
          <w:lang w:val="en-GB"/>
        </w:rPr>
      </w:pPr>
      <w:r w:rsidRPr="003B0099">
        <w:rPr>
          <w:rFonts w:ascii="Arial" w:hAnsi="Arial" w:cs="Arial"/>
          <w:sz w:val="22"/>
          <w:szCs w:val="22"/>
          <w:highlight w:val="yellow"/>
          <w:lang w:val="en-GB"/>
        </w:rPr>
        <w:t>T</w:t>
      </w:r>
      <w:r w:rsidR="008D1616" w:rsidRPr="003B0099">
        <w:rPr>
          <w:rFonts w:ascii="Arial" w:hAnsi="Arial" w:cs="Arial"/>
          <w:sz w:val="22"/>
          <w:szCs w:val="22"/>
          <w:highlight w:val="yellow"/>
          <w:lang w:val="en-GB"/>
        </w:rPr>
        <w:t>he company is, or is likely to become, unable to pay their debts, as defined under s</w:t>
      </w:r>
      <w:r w:rsidR="00E833F4" w:rsidRPr="003B0099">
        <w:rPr>
          <w:rFonts w:ascii="Arial" w:hAnsi="Arial" w:cs="Arial"/>
          <w:sz w:val="22"/>
          <w:szCs w:val="22"/>
          <w:highlight w:val="yellow"/>
          <w:lang w:val="en-GB"/>
        </w:rPr>
        <w:t>ection</w:t>
      </w:r>
      <w:r w:rsidR="008D1616" w:rsidRPr="003B0099">
        <w:rPr>
          <w:rFonts w:ascii="Arial" w:hAnsi="Arial" w:cs="Arial"/>
          <w:sz w:val="22"/>
          <w:szCs w:val="22"/>
          <w:highlight w:val="yellow"/>
          <w:lang w:val="en-GB"/>
        </w:rPr>
        <w:t xml:space="preserve"> 123 of the Insolvency Act 1986</w:t>
      </w:r>
      <w:r w:rsidR="00763348" w:rsidRPr="003B0099">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16A93482"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4500A62" w14:textId="433580F0" w:rsidR="00BA3955" w:rsidRDefault="00BA3955" w:rsidP="00C55824">
      <w:pPr>
        <w:jc w:val="both"/>
        <w:rPr>
          <w:rFonts w:ascii="Arial" w:hAnsi="Arial" w:cs="Arial"/>
          <w:sz w:val="22"/>
          <w:szCs w:val="22"/>
          <w:lang w:val="en-GB"/>
        </w:rPr>
      </w:pPr>
    </w:p>
    <w:p w14:paraId="76A04FD3" w14:textId="29D97BC8" w:rsidR="00BA3955" w:rsidRPr="00BA3955" w:rsidRDefault="00BA3955" w:rsidP="00C55824">
      <w:pPr>
        <w:jc w:val="both"/>
        <w:rPr>
          <w:rFonts w:ascii="Arial" w:hAnsi="Arial" w:cs="Arial"/>
          <w:color w:val="7B7B7B" w:themeColor="accent3" w:themeShade="BF"/>
          <w:sz w:val="22"/>
          <w:szCs w:val="22"/>
        </w:rPr>
      </w:pPr>
      <w:r w:rsidRPr="00BA3955">
        <w:rPr>
          <w:rFonts w:ascii="Arial" w:hAnsi="Arial" w:cs="Arial"/>
          <w:color w:val="7B7B7B" w:themeColor="accent3" w:themeShade="BF"/>
          <w:sz w:val="22"/>
          <w:szCs w:val="22"/>
        </w:rPr>
        <w:t>It must be obtained by a connected person.</w:t>
      </w:r>
      <w:r>
        <w:rPr>
          <w:rFonts w:ascii="Arial" w:hAnsi="Arial" w:cs="Arial"/>
          <w:color w:val="7B7B7B" w:themeColor="accent3" w:themeShade="BF"/>
          <w:sz w:val="22"/>
          <w:szCs w:val="22"/>
        </w:rPr>
        <w:t xml:space="preserve"> This includes directors, or persons who control the company such as shareholders or even secured creditors holding sufficient shares.</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BA3955" w:rsidRDefault="00C91062" w:rsidP="00B04033">
      <w:pPr>
        <w:pStyle w:val="ListParagraph"/>
        <w:numPr>
          <w:ilvl w:val="0"/>
          <w:numId w:val="4"/>
        </w:numPr>
        <w:ind w:left="426"/>
        <w:jc w:val="both"/>
        <w:rPr>
          <w:rFonts w:ascii="Arial" w:hAnsi="Arial" w:cs="Arial"/>
          <w:sz w:val="22"/>
          <w:szCs w:val="22"/>
          <w:lang w:val="en-GB"/>
        </w:rPr>
      </w:pPr>
      <w:r w:rsidRPr="00BA3955">
        <w:rPr>
          <w:rFonts w:ascii="Arial" w:hAnsi="Arial" w:cs="Arial"/>
          <w:sz w:val="22"/>
          <w:szCs w:val="22"/>
          <w:lang w:val="en-GB"/>
        </w:rPr>
        <w:t>The administrator</w:t>
      </w:r>
      <w:r w:rsidR="00763348" w:rsidRPr="00BA3955">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Pr="00BA3955" w:rsidRDefault="00C91062" w:rsidP="00B04033">
      <w:pPr>
        <w:pStyle w:val="ListParagraph"/>
        <w:numPr>
          <w:ilvl w:val="0"/>
          <w:numId w:val="4"/>
        </w:numPr>
        <w:ind w:left="426"/>
        <w:jc w:val="both"/>
        <w:rPr>
          <w:rFonts w:ascii="Arial" w:hAnsi="Arial" w:cs="Arial"/>
          <w:sz w:val="22"/>
          <w:szCs w:val="22"/>
          <w:highlight w:val="yellow"/>
          <w:lang w:val="en-GB"/>
        </w:rPr>
      </w:pPr>
      <w:r w:rsidRPr="00BA3955">
        <w:rPr>
          <w:rFonts w:ascii="Arial" w:hAnsi="Arial" w:cs="Arial"/>
          <w:sz w:val="22"/>
          <w:szCs w:val="22"/>
          <w:highlight w:val="yellow"/>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1A3D48" w:rsidRDefault="00BA1CFD" w:rsidP="00B04033">
      <w:pPr>
        <w:pStyle w:val="ListParagraph"/>
        <w:numPr>
          <w:ilvl w:val="0"/>
          <w:numId w:val="5"/>
        </w:numPr>
        <w:ind w:left="426"/>
        <w:jc w:val="both"/>
        <w:rPr>
          <w:rFonts w:ascii="Arial" w:hAnsi="Arial" w:cs="Arial"/>
          <w:sz w:val="22"/>
          <w:szCs w:val="22"/>
          <w:highlight w:val="yellow"/>
          <w:lang w:val="en-GB"/>
        </w:rPr>
      </w:pPr>
      <w:r w:rsidRPr="001A3D48">
        <w:rPr>
          <w:rFonts w:ascii="Arial" w:hAnsi="Arial" w:cs="Arial"/>
          <w:sz w:val="22"/>
          <w:szCs w:val="22"/>
          <w:highlight w:val="yellow"/>
          <w:lang w:val="en-GB"/>
        </w:rPr>
        <w:t>Administration</w:t>
      </w:r>
      <w:r w:rsidR="00763348" w:rsidRPr="001A3D48">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1A3D48" w:rsidRDefault="00BA1CFD" w:rsidP="00B04033">
      <w:pPr>
        <w:pStyle w:val="ListParagraph"/>
        <w:numPr>
          <w:ilvl w:val="0"/>
          <w:numId w:val="6"/>
        </w:numPr>
        <w:ind w:left="426"/>
        <w:jc w:val="both"/>
        <w:rPr>
          <w:rFonts w:ascii="Arial" w:hAnsi="Arial" w:cs="Arial"/>
          <w:sz w:val="22"/>
          <w:szCs w:val="22"/>
          <w:highlight w:val="yellow"/>
          <w:lang w:val="en-GB"/>
        </w:rPr>
      </w:pPr>
      <w:r w:rsidRPr="001A3D48">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bookmarkStart w:id="0" w:name="_GoBack"/>
      <w:bookmarkEnd w:id="0"/>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1F3B9867" w:rsidR="00876F56" w:rsidRDefault="00BA1CFD" w:rsidP="00B04033">
      <w:pPr>
        <w:pStyle w:val="ListParagraph"/>
        <w:numPr>
          <w:ilvl w:val="0"/>
          <w:numId w:val="7"/>
        </w:numPr>
        <w:ind w:left="426"/>
        <w:jc w:val="both"/>
        <w:rPr>
          <w:rFonts w:ascii="Arial" w:hAnsi="Arial" w:cs="Arial"/>
          <w:sz w:val="22"/>
          <w:szCs w:val="22"/>
          <w:highlight w:val="yellow"/>
          <w:lang w:val="en-GB"/>
        </w:rPr>
      </w:pPr>
      <w:r w:rsidRPr="001A3D48">
        <w:rPr>
          <w:rFonts w:ascii="Arial" w:hAnsi="Arial" w:cs="Arial"/>
          <w:sz w:val="22"/>
          <w:szCs w:val="22"/>
          <w:highlight w:val="yellow"/>
          <w:lang w:val="en-GB"/>
        </w:rPr>
        <w:t>Breach of fiduciary duty</w:t>
      </w:r>
      <w:r w:rsidR="00763348" w:rsidRPr="001A3D48">
        <w:rPr>
          <w:rFonts w:ascii="Arial" w:hAnsi="Arial" w:cs="Arial"/>
          <w:sz w:val="22"/>
          <w:szCs w:val="22"/>
          <w:highlight w:val="yellow"/>
          <w:lang w:val="en-GB"/>
        </w:rPr>
        <w:t>.</w:t>
      </w:r>
    </w:p>
    <w:p w14:paraId="4C527B90" w14:textId="7F8E0255" w:rsidR="00BA3955" w:rsidRPr="00BA3955" w:rsidRDefault="00BA3955" w:rsidP="00BA3955">
      <w:pPr>
        <w:jc w:val="both"/>
        <w:rPr>
          <w:rFonts w:ascii="Arial" w:hAnsi="Arial" w:cs="Arial"/>
          <w:sz w:val="22"/>
          <w:szCs w:val="22"/>
          <w:highlight w:val="yellow"/>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35DD" w:rsidRDefault="00876F56" w:rsidP="00B04033">
      <w:pPr>
        <w:pStyle w:val="ListParagraph"/>
        <w:numPr>
          <w:ilvl w:val="0"/>
          <w:numId w:val="8"/>
        </w:numPr>
        <w:ind w:left="426"/>
        <w:jc w:val="both"/>
        <w:rPr>
          <w:rFonts w:ascii="Arial" w:hAnsi="Arial" w:cs="Arial"/>
          <w:sz w:val="22"/>
          <w:szCs w:val="22"/>
          <w:highlight w:val="yellow"/>
          <w:lang w:val="en-GB"/>
        </w:rPr>
      </w:pPr>
      <w:r w:rsidRPr="00FF35DD">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5415B1" w:rsidRDefault="00E833F4" w:rsidP="00B04033">
      <w:pPr>
        <w:pStyle w:val="ListParagraph"/>
        <w:numPr>
          <w:ilvl w:val="0"/>
          <w:numId w:val="9"/>
        </w:numPr>
        <w:ind w:left="426"/>
        <w:jc w:val="both"/>
        <w:rPr>
          <w:rFonts w:ascii="Arial" w:hAnsi="Arial" w:cs="Arial"/>
          <w:sz w:val="22"/>
          <w:szCs w:val="22"/>
          <w:highlight w:val="yellow"/>
          <w:lang w:val="en-GB"/>
        </w:rPr>
      </w:pPr>
      <w:r w:rsidRPr="005415B1">
        <w:rPr>
          <w:rFonts w:ascii="Arial" w:hAnsi="Arial" w:cs="Arial"/>
          <w:sz w:val="22"/>
          <w:szCs w:val="22"/>
          <w:highlight w:val="yellow"/>
          <w:lang w:val="en-GB"/>
        </w:rPr>
        <w:t>A</w:t>
      </w:r>
      <w:r w:rsidR="000D10C6" w:rsidRPr="005415B1">
        <w:rPr>
          <w:rFonts w:ascii="Arial" w:hAnsi="Arial" w:cs="Arial"/>
          <w:sz w:val="22"/>
          <w:szCs w:val="22"/>
          <w:highlight w:val="yellow"/>
          <w:lang w:val="en-GB"/>
        </w:rPr>
        <w:t xml:space="preserve">n insolvency officeholder from an EU Member State will be automatically recognised by the courts in the UK whether the officeholder was appointed before or after </w:t>
      </w:r>
      <w:proofErr w:type="spellStart"/>
      <w:r w:rsidR="000D10C6" w:rsidRPr="005415B1">
        <w:rPr>
          <w:rFonts w:ascii="Arial" w:hAnsi="Arial" w:cs="Arial"/>
          <w:sz w:val="22"/>
          <w:szCs w:val="22"/>
          <w:highlight w:val="yellow"/>
          <w:lang w:val="en-GB"/>
        </w:rPr>
        <w:t>Brexit</w:t>
      </w:r>
      <w:proofErr w:type="spellEnd"/>
      <w:r w:rsidR="000D10C6" w:rsidRPr="005415B1">
        <w:rPr>
          <w:rFonts w:ascii="Arial" w:hAnsi="Arial" w:cs="Arial"/>
          <w:sz w:val="22"/>
          <w:szCs w:val="22"/>
          <w:highlight w:val="yellow"/>
          <w:lang w:val="en-GB"/>
        </w:rPr>
        <w: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 xml:space="preserve">n insolvency officeholder from an EU Member State is automatically recognised by the courts in the UK if appointed before </w:t>
      </w:r>
      <w:proofErr w:type="spellStart"/>
      <w:r>
        <w:rPr>
          <w:rFonts w:ascii="Arial" w:hAnsi="Arial" w:cs="Arial"/>
          <w:sz w:val="22"/>
          <w:szCs w:val="22"/>
          <w:lang w:val="en-GB"/>
        </w:rPr>
        <w:t>Brexit</w:t>
      </w:r>
      <w:proofErr w:type="spellEnd"/>
      <w:r>
        <w:rPr>
          <w:rFonts w:ascii="Arial" w:hAnsi="Arial" w:cs="Arial"/>
          <w:sz w:val="22"/>
          <w:szCs w:val="22"/>
          <w:lang w:val="en-GB"/>
        </w:rPr>
        <w: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 xml:space="preserve">appointed after </w:t>
      </w:r>
      <w:proofErr w:type="spellStart"/>
      <w:r w:rsidR="00AC317D">
        <w:rPr>
          <w:rFonts w:ascii="Arial" w:hAnsi="Arial" w:cs="Arial"/>
          <w:sz w:val="22"/>
          <w:szCs w:val="22"/>
          <w:lang w:val="en-GB"/>
        </w:rPr>
        <w:t>Brexit</w:t>
      </w:r>
      <w:proofErr w:type="spellEnd"/>
      <w:r w:rsidR="00AC317D">
        <w:rPr>
          <w:rFonts w:ascii="Arial" w:hAnsi="Arial" w:cs="Arial"/>
          <w:sz w:val="22"/>
          <w:szCs w:val="22"/>
          <w:lang w:val="en-GB"/>
        </w:rPr>
        <w:t xml:space="preserve">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D94DEF" w:rsidRDefault="0020204E" w:rsidP="00B04033">
      <w:pPr>
        <w:pStyle w:val="ListParagraph"/>
        <w:numPr>
          <w:ilvl w:val="0"/>
          <w:numId w:val="10"/>
        </w:numPr>
        <w:ind w:left="426"/>
        <w:jc w:val="both"/>
        <w:rPr>
          <w:rFonts w:ascii="Arial" w:hAnsi="Arial" w:cs="Arial"/>
          <w:sz w:val="22"/>
          <w:szCs w:val="22"/>
          <w:highlight w:val="yellow"/>
          <w:lang w:val="en-GB"/>
        </w:rPr>
      </w:pPr>
      <w:r w:rsidRPr="00D94DEF">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BA3955">
      <w:pPr>
        <w:ind w:left="720" w:hanging="720"/>
        <w:jc w:val="both"/>
        <w:rPr>
          <w:rFonts w:ascii="Arial" w:hAnsi="Arial" w:cs="Arial"/>
          <w:sz w:val="22"/>
          <w:szCs w:val="22"/>
          <w:lang w:val="en-GB"/>
        </w:rPr>
      </w:pPr>
    </w:p>
    <w:p w14:paraId="467FE9E9" w14:textId="77AC5BB3" w:rsidR="005E4E20" w:rsidRDefault="00570C54" w:rsidP="00BA395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victim of a transaction </w:t>
      </w:r>
      <w:r w:rsidR="0071004D">
        <w:rPr>
          <w:rFonts w:ascii="Arial" w:hAnsi="Arial" w:cs="Arial"/>
          <w:color w:val="7B7B7B" w:themeColor="accent3" w:themeShade="BF"/>
          <w:sz w:val="22"/>
          <w:szCs w:val="22"/>
          <w:lang w:val="en-GB"/>
        </w:rPr>
        <w:t>which defrauds</w:t>
      </w:r>
      <w:r>
        <w:rPr>
          <w:rFonts w:ascii="Arial" w:hAnsi="Arial" w:cs="Arial"/>
          <w:color w:val="7B7B7B" w:themeColor="accent3" w:themeShade="BF"/>
          <w:sz w:val="22"/>
          <w:szCs w:val="22"/>
          <w:lang w:val="en-GB"/>
        </w:rPr>
        <w:t xml:space="preserve"> creditors under section </w:t>
      </w:r>
      <w:r w:rsidRPr="00570C54">
        <w:rPr>
          <w:rFonts w:ascii="Arial" w:hAnsi="Arial" w:cs="Arial"/>
          <w:color w:val="7B7B7B" w:themeColor="accent3" w:themeShade="BF"/>
          <w:sz w:val="22"/>
          <w:szCs w:val="22"/>
          <w:lang w:val="en-GB"/>
        </w:rPr>
        <w:t>423 of the Insolvency Act 1986</w:t>
      </w:r>
      <w:r>
        <w:rPr>
          <w:rFonts w:ascii="Arial" w:hAnsi="Arial" w:cs="Arial"/>
          <w:color w:val="7B7B7B" w:themeColor="accent3" w:themeShade="BF"/>
          <w:sz w:val="22"/>
          <w:szCs w:val="22"/>
          <w:lang w:val="en-GB"/>
        </w:rPr>
        <w:t xml:space="preserve"> (</w:t>
      </w:r>
      <w:r w:rsidRPr="00570C54">
        <w:rPr>
          <w:rFonts w:ascii="Arial" w:hAnsi="Arial" w:cs="Arial"/>
          <w:b/>
          <w:i/>
          <w:color w:val="7B7B7B" w:themeColor="accent3" w:themeShade="BF"/>
          <w:sz w:val="22"/>
          <w:szCs w:val="22"/>
          <w:lang w:val="en-GB"/>
        </w:rPr>
        <w:t>IA</w:t>
      </w:r>
      <w:r>
        <w:rPr>
          <w:rFonts w:ascii="Arial" w:hAnsi="Arial" w:cs="Arial"/>
          <w:color w:val="7B7B7B" w:themeColor="accent3" w:themeShade="BF"/>
          <w:sz w:val="22"/>
          <w:szCs w:val="22"/>
          <w:lang w:val="en-GB"/>
        </w:rPr>
        <w:t xml:space="preserve">) is eligible to bring an action under the IA. Section 424 of the IA </w:t>
      </w:r>
      <w:r>
        <w:rPr>
          <w:rFonts w:ascii="Arial" w:hAnsi="Arial" w:cs="Arial"/>
          <w:bCs/>
          <w:color w:val="7B7B7B" w:themeColor="accent3" w:themeShade="BF"/>
          <w:sz w:val="22"/>
          <w:szCs w:val="22"/>
          <w:lang w:val="en-GB"/>
        </w:rPr>
        <w:t xml:space="preserve">provides </w:t>
      </w:r>
      <w:r w:rsidR="005E4E20" w:rsidRPr="005E4E20">
        <w:rPr>
          <w:rFonts w:ascii="Arial" w:hAnsi="Arial" w:cs="Arial"/>
          <w:bCs/>
          <w:color w:val="7B7B7B" w:themeColor="accent3" w:themeShade="BF"/>
          <w:sz w:val="22"/>
          <w:szCs w:val="22"/>
          <w:lang w:val="en-GB"/>
        </w:rPr>
        <w:t>an</w:t>
      </w:r>
      <w:r w:rsidRPr="00570C54">
        <w:rPr>
          <w:rFonts w:ascii="Arial" w:hAnsi="Arial" w:cs="Arial"/>
          <w:color w:val="7B7B7B" w:themeColor="accent3" w:themeShade="BF"/>
          <w:sz w:val="22"/>
          <w:szCs w:val="22"/>
          <w:lang w:val="en-GB"/>
        </w:rPr>
        <w:t xml:space="preserve"> application for an order under section 423 </w:t>
      </w:r>
      <w:r w:rsidR="005E4E20">
        <w:rPr>
          <w:rFonts w:ascii="Arial" w:hAnsi="Arial" w:cs="Arial"/>
          <w:color w:val="7B7B7B" w:themeColor="accent3" w:themeShade="BF"/>
          <w:sz w:val="22"/>
          <w:szCs w:val="22"/>
          <w:lang w:val="en-GB"/>
        </w:rPr>
        <w:t>can be made by:</w:t>
      </w:r>
    </w:p>
    <w:p w14:paraId="20C8F6DE" w14:textId="1DD22E18" w:rsidR="005E4E20" w:rsidRDefault="00570C54" w:rsidP="00BA3955">
      <w:pPr>
        <w:pStyle w:val="ListParagraph"/>
        <w:numPr>
          <w:ilvl w:val="0"/>
          <w:numId w:val="20"/>
        </w:numPr>
        <w:jc w:val="both"/>
        <w:rPr>
          <w:rFonts w:ascii="Arial" w:hAnsi="Arial" w:cs="Arial"/>
          <w:color w:val="7B7B7B" w:themeColor="accent3" w:themeShade="BF"/>
          <w:sz w:val="22"/>
          <w:szCs w:val="22"/>
          <w:lang w:val="en-GB"/>
        </w:rPr>
      </w:pPr>
      <w:r w:rsidRPr="005E4E20">
        <w:rPr>
          <w:rFonts w:ascii="Arial" w:hAnsi="Arial" w:cs="Arial"/>
          <w:color w:val="7B7B7B" w:themeColor="accent3" w:themeShade="BF"/>
          <w:sz w:val="22"/>
          <w:szCs w:val="22"/>
          <w:lang w:val="en-GB"/>
        </w:rPr>
        <w:t xml:space="preserve">official receiver, trustee of the bankrupt’s estate or the liquidator or </w:t>
      </w:r>
      <w:r w:rsidR="005E4E20" w:rsidRPr="005E4E20">
        <w:rPr>
          <w:rFonts w:ascii="Arial" w:hAnsi="Arial" w:cs="Arial"/>
          <w:color w:val="7B7B7B" w:themeColor="accent3" w:themeShade="BF"/>
          <w:sz w:val="22"/>
          <w:szCs w:val="22"/>
          <w:lang w:val="en-GB"/>
        </w:rPr>
        <w:t>administrator</w:t>
      </w:r>
      <w:r w:rsidRPr="005E4E20">
        <w:rPr>
          <w:rFonts w:ascii="Arial" w:hAnsi="Arial" w:cs="Arial"/>
          <w:color w:val="7B7B7B" w:themeColor="accent3" w:themeShade="BF"/>
          <w:sz w:val="22"/>
          <w:szCs w:val="22"/>
          <w:lang w:val="en-GB"/>
        </w:rPr>
        <w:t xml:space="preserve"> of the </w:t>
      </w:r>
      <w:r w:rsidR="005E4E20">
        <w:rPr>
          <w:rFonts w:ascii="Arial" w:hAnsi="Arial" w:cs="Arial"/>
          <w:color w:val="7B7B7B" w:themeColor="accent3" w:themeShade="BF"/>
          <w:sz w:val="22"/>
          <w:szCs w:val="22"/>
          <w:lang w:val="en-GB"/>
        </w:rPr>
        <w:t>company</w:t>
      </w:r>
      <w:r w:rsidRPr="005E4E20">
        <w:rPr>
          <w:rFonts w:ascii="Arial" w:hAnsi="Arial" w:cs="Arial"/>
          <w:color w:val="7B7B7B" w:themeColor="accent3" w:themeShade="BF"/>
          <w:sz w:val="22"/>
          <w:szCs w:val="22"/>
          <w:lang w:val="en-GB"/>
        </w:rPr>
        <w:t xml:space="preserve"> or by a victim of the transaction</w:t>
      </w:r>
      <w:r w:rsidR="005E4E20">
        <w:rPr>
          <w:rFonts w:ascii="Arial" w:hAnsi="Arial" w:cs="Arial"/>
          <w:color w:val="7B7B7B" w:themeColor="accent3" w:themeShade="BF"/>
          <w:sz w:val="22"/>
          <w:szCs w:val="22"/>
          <w:lang w:val="en-GB"/>
        </w:rPr>
        <w:t xml:space="preserve"> </w:t>
      </w:r>
      <w:r w:rsidR="005E4E20" w:rsidRPr="005E4E20">
        <w:rPr>
          <w:rFonts w:ascii="Arial" w:hAnsi="Arial" w:cs="Arial"/>
          <w:color w:val="7B7B7B" w:themeColor="accent3" w:themeShade="BF"/>
          <w:sz w:val="22"/>
          <w:szCs w:val="22"/>
          <w:lang w:val="en-GB"/>
        </w:rPr>
        <w:t xml:space="preserve">(with the leave of the court) </w:t>
      </w:r>
      <w:r w:rsidR="0093340A">
        <w:rPr>
          <w:rFonts w:ascii="Arial" w:hAnsi="Arial" w:cs="Arial"/>
          <w:color w:val="7B7B7B" w:themeColor="accent3" w:themeShade="BF"/>
          <w:sz w:val="22"/>
          <w:szCs w:val="22"/>
          <w:lang w:val="en-GB"/>
        </w:rPr>
        <w:t>in relation to the debtor’s bankruptcy</w:t>
      </w:r>
      <w:r w:rsidR="005E4E20">
        <w:rPr>
          <w:rFonts w:ascii="Arial" w:hAnsi="Arial" w:cs="Arial"/>
          <w:color w:val="7B7B7B" w:themeColor="accent3" w:themeShade="BF"/>
          <w:sz w:val="22"/>
          <w:szCs w:val="22"/>
          <w:lang w:val="en-GB"/>
        </w:rPr>
        <w:t xml:space="preserve">/ winding-up of the </w:t>
      </w:r>
      <w:r w:rsidR="0093340A">
        <w:rPr>
          <w:rFonts w:ascii="Arial" w:hAnsi="Arial" w:cs="Arial"/>
          <w:color w:val="7B7B7B" w:themeColor="accent3" w:themeShade="BF"/>
          <w:sz w:val="22"/>
          <w:szCs w:val="22"/>
          <w:lang w:val="en-GB"/>
        </w:rPr>
        <w:t xml:space="preserve">debtor </w:t>
      </w:r>
      <w:r w:rsidR="005E4E20">
        <w:rPr>
          <w:rFonts w:ascii="Arial" w:hAnsi="Arial" w:cs="Arial"/>
          <w:color w:val="7B7B7B" w:themeColor="accent3" w:themeShade="BF"/>
          <w:sz w:val="22"/>
          <w:szCs w:val="22"/>
          <w:lang w:val="en-GB"/>
        </w:rPr>
        <w:t>company as the case may be</w:t>
      </w:r>
      <w:r w:rsidRPr="005E4E20">
        <w:rPr>
          <w:rFonts w:ascii="Arial" w:hAnsi="Arial" w:cs="Arial"/>
          <w:color w:val="7B7B7B" w:themeColor="accent3" w:themeShade="BF"/>
          <w:sz w:val="22"/>
          <w:szCs w:val="22"/>
          <w:lang w:val="en-GB"/>
        </w:rPr>
        <w:t>;</w:t>
      </w:r>
    </w:p>
    <w:p w14:paraId="01462D26" w14:textId="301D00F8" w:rsidR="005E4E20" w:rsidRPr="005E4E20" w:rsidRDefault="00570C54" w:rsidP="00BA3955">
      <w:pPr>
        <w:pStyle w:val="ListParagraph"/>
        <w:numPr>
          <w:ilvl w:val="0"/>
          <w:numId w:val="20"/>
        </w:numPr>
        <w:jc w:val="both"/>
        <w:rPr>
          <w:rFonts w:ascii="Arial" w:hAnsi="Arial" w:cs="Arial"/>
          <w:color w:val="7B7B7B" w:themeColor="accent3" w:themeShade="BF"/>
          <w:sz w:val="22"/>
          <w:szCs w:val="22"/>
          <w:lang w:val="en-GB"/>
        </w:rPr>
      </w:pPr>
      <w:r w:rsidRPr="005E4E20">
        <w:rPr>
          <w:rFonts w:ascii="Arial" w:hAnsi="Arial" w:cs="Arial"/>
          <w:color w:val="7B7B7B" w:themeColor="accent3" w:themeShade="BF"/>
          <w:sz w:val="22"/>
          <w:szCs w:val="22"/>
          <w:lang w:val="en-GB"/>
        </w:rPr>
        <w:t>by the supervisor of the voluntary arrangement</w:t>
      </w:r>
      <w:r w:rsidR="005E4E20" w:rsidRPr="005E4E20">
        <w:rPr>
          <w:rFonts w:ascii="Arial" w:hAnsi="Arial" w:cs="Arial"/>
          <w:color w:val="7B7B7B" w:themeColor="accent3" w:themeShade="BF"/>
          <w:sz w:val="22"/>
          <w:szCs w:val="22"/>
          <w:lang w:val="en-GB"/>
        </w:rPr>
        <w:t xml:space="preserve"> </w:t>
      </w:r>
      <w:r w:rsidR="0093340A">
        <w:rPr>
          <w:rFonts w:ascii="Arial" w:hAnsi="Arial" w:cs="Arial"/>
          <w:color w:val="7B7B7B" w:themeColor="accent3" w:themeShade="BF"/>
          <w:sz w:val="22"/>
          <w:szCs w:val="22"/>
          <w:lang w:val="en-GB"/>
        </w:rPr>
        <w:t>where such victim is</w:t>
      </w:r>
      <w:r w:rsidR="005E4E20" w:rsidRPr="005E4E20">
        <w:rPr>
          <w:rFonts w:ascii="Arial" w:hAnsi="Arial" w:cs="Arial"/>
          <w:color w:val="7B7B7B" w:themeColor="accent3" w:themeShade="BF"/>
          <w:sz w:val="22"/>
          <w:szCs w:val="22"/>
          <w:lang w:val="en-GB"/>
        </w:rPr>
        <w:t xml:space="preserve"> bound by a voluntary arrangement (approved under Part I or Part VIII of the IA)</w:t>
      </w:r>
      <w:r w:rsidRPr="005E4E20">
        <w:rPr>
          <w:rFonts w:ascii="Arial" w:hAnsi="Arial" w:cs="Arial"/>
          <w:color w:val="7B7B7B" w:themeColor="accent3" w:themeShade="BF"/>
          <w:sz w:val="22"/>
          <w:szCs w:val="22"/>
          <w:lang w:val="en-GB"/>
        </w:rPr>
        <w:t xml:space="preserve"> or by any person who is such a victim; or</w:t>
      </w:r>
    </w:p>
    <w:p w14:paraId="24608A80" w14:textId="5F2A47AF" w:rsidR="00570C54" w:rsidRDefault="005E4E20" w:rsidP="00BA3955">
      <w:pPr>
        <w:ind w:left="108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as</w:t>
      </w:r>
      <w:proofErr w:type="gramEnd"/>
      <w:r>
        <w:rPr>
          <w:rFonts w:ascii="Arial" w:hAnsi="Arial" w:cs="Arial"/>
          <w:color w:val="7B7B7B" w:themeColor="accent3" w:themeShade="BF"/>
          <w:sz w:val="22"/>
          <w:szCs w:val="22"/>
          <w:lang w:val="en-GB"/>
        </w:rPr>
        <w:t xml:space="preserve"> mentioned above, </w:t>
      </w:r>
      <w:r w:rsidR="00570C54" w:rsidRPr="005E4E20">
        <w:rPr>
          <w:rFonts w:ascii="Arial" w:hAnsi="Arial" w:cs="Arial"/>
          <w:color w:val="7B7B7B" w:themeColor="accent3" w:themeShade="BF"/>
          <w:sz w:val="22"/>
          <w:szCs w:val="22"/>
          <w:lang w:val="en-GB"/>
        </w:rPr>
        <w:t>in any other case, by a victim of the transaction.</w:t>
      </w:r>
    </w:p>
    <w:p w14:paraId="740D00CD" w14:textId="3FB6EF68" w:rsidR="005E4E20" w:rsidRDefault="005E4E20" w:rsidP="00BA3955">
      <w:pPr>
        <w:ind w:left="1080"/>
        <w:jc w:val="both"/>
        <w:rPr>
          <w:rFonts w:ascii="Arial" w:hAnsi="Arial" w:cs="Arial"/>
          <w:color w:val="7B7B7B" w:themeColor="accent3" w:themeShade="BF"/>
          <w:sz w:val="22"/>
          <w:szCs w:val="22"/>
          <w:lang w:val="en-GB"/>
        </w:rPr>
      </w:pPr>
    </w:p>
    <w:p w14:paraId="056A17AF" w14:textId="77777777" w:rsidR="0093340A" w:rsidRPr="0093340A" w:rsidRDefault="005D25D6" w:rsidP="00BA395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Usually, </w:t>
      </w:r>
      <w:r>
        <w:rPr>
          <w:rFonts w:ascii="Arial" w:hAnsi="Arial" w:cs="Arial"/>
          <w:color w:val="7B7B7B" w:themeColor="accent3" w:themeShade="BF"/>
          <w:sz w:val="22"/>
          <w:szCs w:val="22"/>
        </w:rPr>
        <w:t xml:space="preserve">the action for disqualification of directors under section 6 of the </w:t>
      </w:r>
      <w:r w:rsidRPr="005D25D6">
        <w:rPr>
          <w:rFonts w:ascii="Arial" w:hAnsi="Arial" w:cs="Arial"/>
          <w:color w:val="7B7B7B" w:themeColor="accent3" w:themeShade="BF"/>
          <w:sz w:val="22"/>
          <w:szCs w:val="22"/>
          <w:lang w:val="en-GB"/>
        </w:rPr>
        <w:t>Company Directors Disqualification Act 1986</w:t>
      </w:r>
      <w:r>
        <w:rPr>
          <w:rFonts w:ascii="Arial" w:hAnsi="Arial" w:cs="Arial"/>
          <w:color w:val="7B7B7B" w:themeColor="accent3" w:themeShade="BF"/>
          <w:sz w:val="22"/>
          <w:szCs w:val="22"/>
          <w:lang w:val="en-GB"/>
        </w:rPr>
        <w:t xml:space="preserve"> </w:t>
      </w:r>
      <w:r w:rsidR="001E20F1">
        <w:rPr>
          <w:rFonts w:ascii="Arial" w:hAnsi="Arial" w:cs="Arial"/>
          <w:color w:val="7B7B7B" w:themeColor="accent3" w:themeShade="BF"/>
          <w:sz w:val="22"/>
          <w:szCs w:val="22"/>
          <w:lang w:val="en-GB"/>
        </w:rPr>
        <w:t>(</w:t>
      </w:r>
      <w:r w:rsidR="001E20F1" w:rsidRPr="001E20F1">
        <w:rPr>
          <w:rFonts w:ascii="Arial" w:hAnsi="Arial" w:cs="Arial"/>
          <w:b/>
          <w:i/>
          <w:color w:val="7B7B7B" w:themeColor="accent3" w:themeShade="BF"/>
          <w:sz w:val="22"/>
          <w:szCs w:val="22"/>
          <w:lang w:val="en-GB"/>
        </w:rPr>
        <w:t>CDDA</w:t>
      </w:r>
      <w:r w:rsidR="001E20F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rPr>
        <w:t>are</w:t>
      </w:r>
      <w:r w:rsidRPr="005D25D6">
        <w:rPr>
          <w:rFonts w:ascii="Arial" w:hAnsi="Arial" w:cs="Arial"/>
          <w:color w:val="7B7B7B" w:themeColor="accent3" w:themeShade="BF"/>
          <w:sz w:val="22"/>
          <w:szCs w:val="22"/>
        </w:rPr>
        <w:t xml:space="preserve"> brought by the Insolvency Service acting on behalf of the Secretary of State for Business</w:t>
      </w:r>
      <w:r>
        <w:rPr>
          <w:rFonts w:ascii="Arial" w:hAnsi="Arial" w:cs="Arial"/>
          <w:color w:val="7B7B7B" w:themeColor="accent3" w:themeShade="BF"/>
          <w:sz w:val="22"/>
          <w:szCs w:val="22"/>
        </w:rPr>
        <w:t xml:space="preserve">. </w:t>
      </w:r>
    </w:p>
    <w:p w14:paraId="72754697" w14:textId="77777777" w:rsidR="0093340A" w:rsidRDefault="0093340A" w:rsidP="00BA3955">
      <w:pPr>
        <w:pStyle w:val="ListParagraph"/>
        <w:ind w:left="1080"/>
        <w:jc w:val="both"/>
        <w:rPr>
          <w:rFonts w:ascii="Arial" w:hAnsi="Arial" w:cs="Arial"/>
          <w:color w:val="7B7B7B" w:themeColor="accent3" w:themeShade="BF"/>
          <w:sz w:val="22"/>
          <w:szCs w:val="22"/>
          <w:lang w:val="en-GB"/>
        </w:rPr>
      </w:pPr>
    </w:p>
    <w:p w14:paraId="680B40D2" w14:textId="728EFC63" w:rsidR="005E4E20" w:rsidRPr="006E4485" w:rsidRDefault="005D25D6" w:rsidP="00BA3955">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The Secretary of State is the applicant </w:t>
      </w:r>
      <w:r w:rsidR="001E20F1">
        <w:rPr>
          <w:rFonts w:ascii="Arial" w:hAnsi="Arial" w:cs="Arial"/>
          <w:color w:val="7B7B7B" w:themeColor="accent3" w:themeShade="BF"/>
          <w:sz w:val="22"/>
          <w:szCs w:val="22"/>
        </w:rPr>
        <w:t>in such cases and can apply for the disqualification of directors based on the evidence showing that directors, among other things, permitted a company to continue trading while insolvent, allegations of fraud or engaging in preferential treatment of creditors etc. Whilst the courts also have a discretionary power to disqualify directors</w:t>
      </w:r>
      <w:r w:rsidR="003619AD">
        <w:rPr>
          <w:rFonts w:ascii="Arial" w:hAnsi="Arial" w:cs="Arial"/>
          <w:color w:val="7B7B7B" w:themeColor="accent3" w:themeShade="BF"/>
          <w:sz w:val="22"/>
          <w:szCs w:val="22"/>
        </w:rPr>
        <w:t xml:space="preserve">, applications under section 6 are not covered under the circumstances where courts can exercise such power. </w:t>
      </w:r>
    </w:p>
    <w:p w14:paraId="1450D041" w14:textId="77777777" w:rsidR="006E4485" w:rsidRPr="003619AD" w:rsidRDefault="006E4485" w:rsidP="00BA3955">
      <w:pPr>
        <w:pStyle w:val="ListParagraph"/>
        <w:ind w:left="1080"/>
        <w:jc w:val="both"/>
        <w:rPr>
          <w:rFonts w:ascii="Arial" w:hAnsi="Arial" w:cs="Arial"/>
          <w:color w:val="7B7B7B" w:themeColor="accent3" w:themeShade="BF"/>
          <w:sz w:val="22"/>
          <w:szCs w:val="22"/>
          <w:lang w:val="en-GB"/>
        </w:rPr>
      </w:pPr>
    </w:p>
    <w:p w14:paraId="77BBF226" w14:textId="77777777" w:rsidR="006145FF" w:rsidRDefault="006E4485" w:rsidP="00BA395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Pr="006E4485">
        <w:rPr>
          <w:rFonts w:ascii="Arial" w:hAnsi="Arial" w:cs="Arial"/>
          <w:color w:val="7B7B7B" w:themeColor="accent3" w:themeShade="BF"/>
          <w:sz w:val="22"/>
          <w:szCs w:val="22"/>
          <w:lang w:val="en-GB"/>
        </w:rPr>
        <w:t xml:space="preserve">ection 246ZB of the </w:t>
      </w:r>
      <w:r>
        <w:rPr>
          <w:rFonts w:ascii="Arial" w:hAnsi="Arial" w:cs="Arial"/>
          <w:color w:val="7B7B7B" w:themeColor="accent3" w:themeShade="BF"/>
          <w:sz w:val="22"/>
          <w:szCs w:val="22"/>
          <w:lang w:val="en-GB"/>
        </w:rPr>
        <w:t xml:space="preserve">IA provides for making directors of an insolvent company liable for wrongful trading. This action can be brought only by the </w:t>
      </w:r>
      <w:r w:rsidR="005E5CFD">
        <w:rPr>
          <w:rFonts w:ascii="Arial" w:hAnsi="Arial" w:cs="Arial"/>
          <w:color w:val="7B7B7B" w:themeColor="accent3" w:themeShade="BF"/>
          <w:sz w:val="22"/>
          <w:szCs w:val="22"/>
          <w:lang w:val="en-GB"/>
        </w:rPr>
        <w:t>administrator</w:t>
      </w:r>
      <w:r>
        <w:rPr>
          <w:rFonts w:ascii="Arial" w:hAnsi="Arial" w:cs="Arial"/>
          <w:color w:val="7B7B7B" w:themeColor="accent3" w:themeShade="BF"/>
          <w:sz w:val="22"/>
          <w:szCs w:val="22"/>
          <w:lang w:val="en-GB"/>
        </w:rPr>
        <w:t xml:space="preserve"> (and not a creditor or contributory). </w:t>
      </w:r>
      <w:r w:rsidR="005E5CFD">
        <w:rPr>
          <w:rFonts w:ascii="Arial" w:hAnsi="Arial" w:cs="Arial"/>
          <w:color w:val="7B7B7B" w:themeColor="accent3" w:themeShade="BF"/>
          <w:sz w:val="22"/>
          <w:szCs w:val="22"/>
          <w:lang w:val="en-GB"/>
        </w:rPr>
        <w:t xml:space="preserve">This provision is similar to Section 214 of the IA where actions of this nature are brought about by the liquidator. </w:t>
      </w:r>
    </w:p>
    <w:p w14:paraId="126E9F80" w14:textId="77777777" w:rsidR="006145FF" w:rsidRDefault="006145FF" w:rsidP="00BA3955">
      <w:pPr>
        <w:pStyle w:val="ListParagraph"/>
        <w:ind w:left="1080"/>
        <w:jc w:val="both"/>
        <w:rPr>
          <w:rFonts w:ascii="Arial" w:hAnsi="Arial" w:cs="Arial"/>
          <w:color w:val="7B7B7B" w:themeColor="accent3" w:themeShade="BF"/>
          <w:sz w:val="22"/>
          <w:szCs w:val="22"/>
          <w:lang w:val="en-GB"/>
        </w:rPr>
      </w:pPr>
    </w:p>
    <w:p w14:paraId="42615CFA" w14:textId="246D5BFC" w:rsidR="005E5CFD" w:rsidRPr="005E5CFD" w:rsidRDefault="005E5CFD" w:rsidP="00BA3955">
      <w:pPr>
        <w:pStyle w:val="ListParagraph"/>
        <w:ind w:left="1080"/>
        <w:jc w:val="both"/>
        <w:rPr>
          <w:rFonts w:ascii="Arial" w:hAnsi="Arial" w:cs="Arial"/>
          <w:color w:val="7B7B7B" w:themeColor="accent3" w:themeShade="BF"/>
          <w:sz w:val="22"/>
          <w:szCs w:val="22"/>
          <w:lang w:val="en-GB"/>
        </w:rPr>
      </w:pPr>
      <w:r w:rsidRPr="005E5CFD">
        <w:rPr>
          <w:rFonts w:ascii="Arial" w:hAnsi="Arial" w:cs="Arial"/>
          <w:color w:val="7B7B7B" w:themeColor="accent3" w:themeShade="BF"/>
          <w:sz w:val="22"/>
          <w:szCs w:val="22"/>
          <w:lang w:val="en-GB"/>
        </w:rPr>
        <w:t>This section</w:t>
      </w:r>
      <w:r>
        <w:rPr>
          <w:rFonts w:ascii="Arial" w:hAnsi="Arial" w:cs="Arial"/>
          <w:color w:val="7B7B7B" w:themeColor="accent3" w:themeShade="BF"/>
          <w:sz w:val="22"/>
          <w:szCs w:val="22"/>
          <w:lang w:val="en-GB"/>
        </w:rPr>
        <w:t xml:space="preserve"> will apply only if </w:t>
      </w:r>
      <w:r w:rsidRPr="005E5CFD">
        <w:rPr>
          <w:rFonts w:ascii="Arial" w:hAnsi="Arial" w:cs="Arial"/>
          <w:color w:val="7B7B7B" w:themeColor="accent3" w:themeShade="BF"/>
          <w:sz w:val="22"/>
          <w:szCs w:val="22"/>
          <w:lang w:val="en-GB"/>
        </w:rPr>
        <w:t>the company has entered insolvent administration,</w:t>
      </w:r>
      <w:r>
        <w:rPr>
          <w:rFonts w:ascii="Arial" w:hAnsi="Arial" w:cs="Arial"/>
          <w:color w:val="7B7B7B" w:themeColor="accent3" w:themeShade="BF"/>
          <w:sz w:val="22"/>
          <w:szCs w:val="22"/>
          <w:lang w:val="en-GB"/>
        </w:rPr>
        <w:t xml:space="preserve"> or the person against whom these proceedings were initiated would have reasonably known that the company was on the verge of </w:t>
      </w:r>
      <w:r w:rsidRPr="005E5CFD">
        <w:rPr>
          <w:rFonts w:ascii="Arial" w:hAnsi="Arial" w:cs="Arial"/>
          <w:color w:val="7B7B7B" w:themeColor="accent3" w:themeShade="BF"/>
          <w:sz w:val="22"/>
          <w:szCs w:val="22"/>
          <w:lang w:val="en-GB"/>
        </w:rPr>
        <w:t>entering insolvent administration or going into insolvent liquidation, and</w:t>
      </w:r>
      <w:r>
        <w:rPr>
          <w:rFonts w:ascii="Arial" w:hAnsi="Arial" w:cs="Arial"/>
          <w:color w:val="7B7B7B" w:themeColor="accent3" w:themeShade="BF"/>
          <w:sz w:val="22"/>
          <w:szCs w:val="22"/>
          <w:lang w:val="en-GB"/>
        </w:rPr>
        <w:t xml:space="preserve"> </w:t>
      </w:r>
      <w:r w:rsidRPr="005E5CFD">
        <w:rPr>
          <w:rFonts w:ascii="Arial" w:hAnsi="Arial" w:cs="Arial"/>
          <w:color w:val="7B7B7B" w:themeColor="accent3" w:themeShade="BF"/>
          <w:sz w:val="22"/>
          <w:szCs w:val="22"/>
          <w:lang w:val="en-GB"/>
        </w:rPr>
        <w:t>the person was a director of the company at that time</w:t>
      </w:r>
      <w:r>
        <w:rPr>
          <w:rFonts w:ascii="Arial" w:hAnsi="Arial" w:cs="Arial"/>
          <w:color w:val="7B7B7B" w:themeColor="accent3" w:themeShade="BF"/>
          <w:sz w:val="22"/>
          <w:szCs w:val="22"/>
          <w:lang w:val="en-GB"/>
        </w:rPr>
        <w:t xml:space="preserve"> of this event</w:t>
      </w:r>
      <w:r w:rsidRPr="005E5CFD">
        <w:rPr>
          <w:rFonts w:ascii="Arial" w:hAnsi="Arial" w:cs="Arial"/>
          <w:color w:val="7B7B7B" w:themeColor="accent3" w:themeShade="BF"/>
          <w:sz w:val="22"/>
          <w:szCs w:val="22"/>
          <w:lang w:val="en-GB"/>
        </w:rPr>
        <w:t>.</w:t>
      </w:r>
    </w:p>
    <w:p w14:paraId="1F38330D" w14:textId="77777777" w:rsidR="005E5CFD" w:rsidRPr="005E5CFD" w:rsidRDefault="005E5CFD" w:rsidP="005E5CFD">
      <w:pPr>
        <w:pStyle w:val="ListParagraph"/>
        <w:ind w:left="1080"/>
        <w:jc w:val="both"/>
        <w:rPr>
          <w:rFonts w:ascii="Arial" w:hAnsi="Arial" w:cs="Arial"/>
          <w:color w:val="7B7B7B" w:themeColor="accent3" w:themeShade="BF"/>
          <w:sz w:val="22"/>
          <w:szCs w:val="22"/>
          <w:lang w:val="en-GB"/>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6DBB4E3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45B54264" w14:textId="1C8AC61D" w:rsidR="00560285" w:rsidRDefault="00560285" w:rsidP="00763348">
      <w:pPr>
        <w:jc w:val="both"/>
        <w:rPr>
          <w:rFonts w:ascii="Arial" w:hAnsi="Arial" w:cs="Arial"/>
          <w:sz w:val="22"/>
          <w:szCs w:val="22"/>
          <w:lang w:val="en-GB"/>
        </w:rPr>
      </w:pPr>
    </w:p>
    <w:p w14:paraId="12DF0D32" w14:textId="094FE3AA" w:rsidR="00560285" w:rsidRPr="00560285" w:rsidRDefault="00560285" w:rsidP="00BA3955">
      <w:pPr>
        <w:jc w:val="both"/>
        <w:rPr>
          <w:rFonts w:ascii="Arial" w:hAnsi="Arial" w:cs="Arial"/>
          <w:color w:val="7B7B7B" w:themeColor="accent3" w:themeShade="BF"/>
          <w:sz w:val="22"/>
          <w:szCs w:val="22"/>
          <w:lang w:val="en-GB"/>
        </w:rPr>
      </w:pPr>
      <w:r w:rsidRPr="00560285">
        <w:rPr>
          <w:rFonts w:ascii="Arial" w:hAnsi="Arial" w:cs="Arial"/>
          <w:color w:val="7B7B7B" w:themeColor="accent3" w:themeShade="BF"/>
          <w:sz w:val="22"/>
          <w:szCs w:val="22"/>
          <w:lang w:val="en-GB"/>
        </w:rPr>
        <w:t>All decisions</w:t>
      </w:r>
      <w:r>
        <w:rPr>
          <w:rFonts w:ascii="Arial" w:hAnsi="Arial" w:cs="Arial"/>
          <w:color w:val="7B7B7B" w:themeColor="accent3" w:themeShade="BF"/>
          <w:sz w:val="22"/>
          <w:szCs w:val="22"/>
          <w:lang w:val="en-GB"/>
        </w:rPr>
        <w:t xml:space="preserve"> made by creditors </w:t>
      </w:r>
      <w:r w:rsidR="006145FF">
        <w:rPr>
          <w:rFonts w:ascii="Arial" w:hAnsi="Arial" w:cs="Arial"/>
          <w:color w:val="7B7B7B" w:themeColor="accent3" w:themeShade="BF"/>
          <w:sz w:val="22"/>
          <w:szCs w:val="22"/>
          <w:lang w:val="en-GB"/>
        </w:rPr>
        <w:t xml:space="preserve">in relation to an insolvent company come from </w:t>
      </w:r>
      <w:r w:rsidR="00626FA2">
        <w:rPr>
          <w:rFonts w:ascii="Arial" w:hAnsi="Arial" w:cs="Arial"/>
          <w:color w:val="7B7B7B" w:themeColor="accent3" w:themeShade="BF"/>
          <w:sz w:val="22"/>
          <w:szCs w:val="22"/>
          <w:lang w:val="en-GB"/>
        </w:rPr>
        <w:t>a qualifying decision procedure (</w:t>
      </w:r>
      <w:r w:rsidR="00626FA2" w:rsidRPr="00626FA2">
        <w:rPr>
          <w:rFonts w:ascii="Arial" w:hAnsi="Arial" w:cs="Arial"/>
          <w:b/>
          <w:i/>
          <w:color w:val="7B7B7B" w:themeColor="accent3" w:themeShade="BF"/>
          <w:sz w:val="22"/>
          <w:szCs w:val="22"/>
          <w:lang w:val="en-GB"/>
        </w:rPr>
        <w:t>QDP</w:t>
      </w:r>
      <w:r w:rsidR="00626FA2">
        <w:rPr>
          <w:rFonts w:ascii="Arial" w:hAnsi="Arial" w:cs="Arial"/>
          <w:color w:val="7B7B7B" w:themeColor="accent3" w:themeShade="BF"/>
          <w:sz w:val="22"/>
          <w:szCs w:val="22"/>
          <w:lang w:val="en-GB"/>
        </w:rPr>
        <w:t xml:space="preserve">) which are provided in Part 15 of the </w:t>
      </w:r>
      <w:r w:rsidR="00626FA2" w:rsidRPr="00626FA2">
        <w:rPr>
          <w:rFonts w:ascii="Arial" w:hAnsi="Arial" w:cs="Arial"/>
          <w:color w:val="7B7B7B" w:themeColor="accent3" w:themeShade="BF"/>
          <w:sz w:val="22"/>
          <w:szCs w:val="22"/>
          <w:lang w:val="en-GB"/>
        </w:rPr>
        <w:t>Insolvency (England and Wales) Rules 2016</w:t>
      </w:r>
      <w:r w:rsidR="00626FA2">
        <w:rPr>
          <w:rFonts w:ascii="Arial" w:hAnsi="Arial" w:cs="Arial"/>
          <w:color w:val="7B7B7B" w:themeColor="accent3" w:themeShade="BF"/>
          <w:sz w:val="22"/>
          <w:szCs w:val="22"/>
          <w:lang w:val="en-GB"/>
        </w:rPr>
        <w:t xml:space="preserve"> (</w:t>
      </w:r>
      <w:r w:rsidR="00626FA2" w:rsidRPr="00626FA2">
        <w:rPr>
          <w:rFonts w:ascii="Arial" w:hAnsi="Arial" w:cs="Arial"/>
          <w:b/>
          <w:i/>
          <w:color w:val="7B7B7B" w:themeColor="accent3" w:themeShade="BF"/>
          <w:sz w:val="22"/>
          <w:szCs w:val="22"/>
          <w:lang w:val="en-GB"/>
        </w:rPr>
        <w:t>IR</w:t>
      </w:r>
      <w:r w:rsidR="00626FA2">
        <w:rPr>
          <w:rFonts w:ascii="Arial" w:hAnsi="Arial" w:cs="Arial"/>
          <w:color w:val="7B7B7B" w:themeColor="accent3" w:themeShade="BF"/>
          <w:sz w:val="22"/>
          <w:szCs w:val="22"/>
          <w:lang w:val="en-GB"/>
        </w:rPr>
        <w:t>). IR 15.3 lists the following 5 QDPs are as follows:</w:t>
      </w:r>
    </w:p>
    <w:p w14:paraId="09DAD93B" w14:textId="77777777" w:rsidR="008F18A3" w:rsidRDefault="008F18A3" w:rsidP="00BA3955">
      <w:pPr>
        <w:jc w:val="both"/>
        <w:rPr>
          <w:rFonts w:ascii="Arial" w:hAnsi="Arial" w:cs="Arial"/>
          <w:sz w:val="22"/>
          <w:szCs w:val="22"/>
          <w:lang w:val="en-GB"/>
        </w:rPr>
      </w:pPr>
    </w:p>
    <w:p w14:paraId="2B7B32EE" w14:textId="1D36CD19" w:rsidR="008F18A3" w:rsidRPr="008F18A3" w:rsidRDefault="006145FF"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7A181C">
        <w:rPr>
          <w:rFonts w:ascii="Arial" w:hAnsi="Arial" w:cs="Arial"/>
          <w:color w:val="7B7B7B" w:themeColor="accent3" w:themeShade="BF"/>
          <w:sz w:val="22"/>
          <w:szCs w:val="22"/>
          <w:u w:val="single"/>
          <w:lang w:val="en-GB"/>
        </w:rPr>
        <w:t>Correspondence</w:t>
      </w:r>
      <w:r w:rsidR="00626FA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7A181C">
        <w:rPr>
          <w:rFonts w:ascii="Arial" w:hAnsi="Arial" w:cs="Arial"/>
          <w:color w:val="7B7B7B" w:themeColor="accent3" w:themeShade="BF"/>
          <w:sz w:val="22"/>
          <w:szCs w:val="22"/>
          <w:lang w:val="en-GB"/>
        </w:rPr>
        <w:t>this usually is the case where a written decision of relevant creditors is circulated and the procedure does not involve any physical meetings or contact as such with each other. It is efficient form</w:t>
      </w:r>
      <w:r w:rsidR="009611EB">
        <w:rPr>
          <w:rFonts w:ascii="Arial" w:hAnsi="Arial" w:cs="Arial"/>
          <w:color w:val="7B7B7B" w:themeColor="accent3" w:themeShade="BF"/>
          <w:sz w:val="22"/>
          <w:szCs w:val="22"/>
          <w:lang w:val="en-GB"/>
        </w:rPr>
        <w:t xml:space="preserve"> of QDP where the creditors need not hold a physical meeting. </w:t>
      </w:r>
    </w:p>
    <w:p w14:paraId="305DAD67" w14:textId="77777777" w:rsidR="008F18A3" w:rsidRPr="008F18A3" w:rsidRDefault="008F18A3" w:rsidP="00BA3955">
      <w:pPr>
        <w:jc w:val="both"/>
        <w:rPr>
          <w:rFonts w:ascii="Arial" w:hAnsi="Arial" w:cs="Arial"/>
          <w:color w:val="7B7B7B" w:themeColor="accent3" w:themeShade="BF"/>
          <w:sz w:val="22"/>
          <w:szCs w:val="22"/>
          <w:lang w:val="en-GB"/>
        </w:rPr>
      </w:pPr>
    </w:p>
    <w:p w14:paraId="14D21333" w14:textId="40B52263" w:rsidR="008F18A3" w:rsidRPr="008F18A3" w:rsidRDefault="008F18A3" w:rsidP="00BA3955">
      <w:pPr>
        <w:jc w:val="both"/>
        <w:rPr>
          <w:rFonts w:ascii="Arial" w:hAnsi="Arial" w:cs="Arial"/>
          <w:color w:val="7B7B7B" w:themeColor="accent3" w:themeShade="BF"/>
          <w:sz w:val="22"/>
          <w:szCs w:val="22"/>
          <w:lang w:val="en-GB"/>
        </w:rPr>
      </w:pPr>
      <w:r w:rsidRPr="008F18A3">
        <w:rPr>
          <w:rFonts w:ascii="Arial" w:hAnsi="Arial" w:cs="Arial"/>
          <w:color w:val="7B7B7B" w:themeColor="accent3" w:themeShade="BF"/>
          <w:sz w:val="22"/>
          <w:szCs w:val="22"/>
          <w:lang w:val="en-GB"/>
        </w:rPr>
        <w:t xml:space="preserve">b) </w:t>
      </w:r>
      <w:r w:rsidRPr="00626FA2">
        <w:rPr>
          <w:rFonts w:ascii="Arial" w:hAnsi="Arial" w:cs="Arial"/>
          <w:color w:val="7B7B7B" w:themeColor="accent3" w:themeShade="BF"/>
          <w:sz w:val="22"/>
          <w:szCs w:val="22"/>
          <w:u w:val="single"/>
          <w:lang w:val="en-GB"/>
        </w:rPr>
        <w:t>Electronic voting</w:t>
      </w:r>
      <w:r w:rsidR="00626FA2">
        <w:rPr>
          <w:rFonts w:ascii="Arial" w:hAnsi="Arial" w:cs="Arial"/>
          <w:color w:val="7B7B7B" w:themeColor="accent3" w:themeShade="BF"/>
          <w:sz w:val="22"/>
          <w:szCs w:val="22"/>
          <w:lang w:val="en-GB"/>
        </w:rPr>
        <w:t>:</w:t>
      </w:r>
      <w:r w:rsidR="009611EB">
        <w:rPr>
          <w:rFonts w:ascii="Arial" w:hAnsi="Arial" w:cs="Arial"/>
          <w:color w:val="7B7B7B" w:themeColor="accent3" w:themeShade="BF"/>
          <w:sz w:val="22"/>
          <w:szCs w:val="22"/>
          <w:lang w:val="en-GB"/>
        </w:rPr>
        <w:t xml:space="preserve"> this means </w:t>
      </w:r>
      <w:r w:rsidRPr="008F18A3">
        <w:rPr>
          <w:rFonts w:ascii="Arial" w:hAnsi="Arial" w:cs="Arial"/>
          <w:color w:val="7B7B7B" w:themeColor="accent3" w:themeShade="BF"/>
          <w:sz w:val="22"/>
          <w:szCs w:val="22"/>
          <w:lang w:val="en-GB"/>
        </w:rPr>
        <w:t>any electronic system which enables a person to vote without the need to attend at a particular location</w:t>
      </w:r>
      <w:r w:rsidR="009611EB">
        <w:rPr>
          <w:rFonts w:ascii="Arial" w:hAnsi="Arial" w:cs="Arial"/>
          <w:color w:val="7B7B7B" w:themeColor="accent3" w:themeShade="BF"/>
          <w:sz w:val="22"/>
          <w:szCs w:val="22"/>
          <w:lang w:val="en-GB"/>
        </w:rPr>
        <w:t xml:space="preserve">. It must be noted that </w:t>
      </w:r>
      <w:r w:rsidR="009611EB" w:rsidRPr="009611EB">
        <w:rPr>
          <w:rFonts w:ascii="Arial" w:hAnsi="Arial" w:cs="Arial"/>
          <w:color w:val="7B7B7B" w:themeColor="accent3" w:themeShade="BF"/>
          <w:sz w:val="22"/>
          <w:szCs w:val="22"/>
          <w:lang w:val="en-GB"/>
        </w:rPr>
        <w:t xml:space="preserve">the notice delivered to creditors </w:t>
      </w:r>
      <w:r w:rsidR="009611EB">
        <w:rPr>
          <w:rFonts w:ascii="Arial" w:hAnsi="Arial" w:cs="Arial"/>
          <w:color w:val="7B7B7B" w:themeColor="accent3" w:themeShade="BF"/>
          <w:sz w:val="22"/>
          <w:szCs w:val="22"/>
          <w:lang w:val="en-GB"/>
        </w:rPr>
        <w:t>should provide</w:t>
      </w:r>
      <w:r w:rsidR="009611EB" w:rsidRPr="009611EB">
        <w:rPr>
          <w:rFonts w:ascii="Arial" w:hAnsi="Arial" w:cs="Arial"/>
          <w:color w:val="7B7B7B" w:themeColor="accent3" w:themeShade="BF"/>
          <w:sz w:val="22"/>
          <w:szCs w:val="22"/>
          <w:lang w:val="en-GB"/>
        </w:rPr>
        <w:t xml:space="preserve"> necessary information </w:t>
      </w:r>
      <w:r w:rsidR="009611EB">
        <w:rPr>
          <w:rFonts w:ascii="Arial" w:hAnsi="Arial" w:cs="Arial"/>
          <w:color w:val="7B7B7B" w:themeColor="accent3" w:themeShade="BF"/>
          <w:sz w:val="22"/>
          <w:szCs w:val="22"/>
          <w:lang w:val="en-GB"/>
        </w:rPr>
        <w:t>on</w:t>
      </w:r>
      <w:r w:rsidR="009611EB" w:rsidRPr="009611EB">
        <w:rPr>
          <w:rFonts w:ascii="Arial" w:hAnsi="Arial" w:cs="Arial"/>
          <w:color w:val="7B7B7B" w:themeColor="accent3" w:themeShade="BF"/>
          <w:sz w:val="22"/>
          <w:szCs w:val="22"/>
          <w:lang w:val="en-GB"/>
        </w:rPr>
        <w:t xml:space="preserve"> access</w:t>
      </w:r>
      <w:r w:rsidR="009611EB">
        <w:rPr>
          <w:rFonts w:ascii="Arial" w:hAnsi="Arial" w:cs="Arial"/>
          <w:color w:val="7B7B7B" w:themeColor="accent3" w:themeShade="BF"/>
          <w:sz w:val="22"/>
          <w:szCs w:val="22"/>
          <w:lang w:val="en-GB"/>
        </w:rPr>
        <w:t>ing the voting system</w:t>
      </w:r>
      <w:r w:rsidR="007A76FF">
        <w:rPr>
          <w:rFonts w:ascii="Arial" w:hAnsi="Arial" w:cs="Arial"/>
          <w:color w:val="7B7B7B" w:themeColor="accent3" w:themeShade="BF"/>
          <w:sz w:val="22"/>
          <w:szCs w:val="22"/>
          <w:lang w:val="en-GB"/>
        </w:rPr>
        <w:t xml:space="preserve"> (</w:t>
      </w:r>
      <w:proofErr w:type="gramStart"/>
      <w:r w:rsidR="007A76FF">
        <w:rPr>
          <w:rFonts w:ascii="Arial" w:hAnsi="Arial" w:cs="Arial"/>
          <w:color w:val="7B7B7B" w:themeColor="accent3" w:themeShade="BF"/>
          <w:sz w:val="22"/>
          <w:szCs w:val="22"/>
          <w:lang w:val="en-GB"/>
        </w:rPr>
        <w:t>IR15.4(</w:t>
      </w:r>
      <w:proofErr w:type="gramEnd"/>
      <w:r w:rsidR="007A76FF">
        <w:rPr>
          <w:rFonts w:ascii="Arial" w:hAnsi="Arial" w:cs="Arial"/>
          <w:color w:val="7B7B7B" w:themeColor="accent3" w:themeShade="BF"/>
          <w:sz w:val="22"/>
          <w:szCs w:val="22"/>
          <w:lang w:val="en-GB"/>
        </w:rPr>
        <w:t xml:space="preserve">a)). Unless </w:t>
      </w:r>
      <w:r w:rsidR="009611EB" w:rsidRPr="009611EB">
        <w:rPr>
          <w:rFonts w:ascii="Arial" w:hAnsi="Arial" w:cs="Arial"/>
          <w:color w:val="7B7B7B" w:themeColor="accent3" w:themeShade="BF"/>
          <w:sz w:val="22"/>
          <w:szCs w:val="22"/>
          <w:lang w:val="en-GB"/>
        </w:rPr>
        <w:t xml:space="preserve">electronic voting is being used at a meeting, the voting system </w:t>
      </w:r>
      <w:r w:rsidR="007A76FF">
        <w:rPr>
          <w:rFonts w:ascii="Arial" w:hAnsi="Arial" w:cs="Arial"/>
          <w:color w:val="7B7B7B" w:themeColor="accent3" w:themeShade="BF"/>
          <w:sz w:val="22"/>
          <w:szCs w:val="22"/>
          <w:lang w:val="en-GB"/>
        </w:rPr>
        <w:t>allow</w:t>
      </w:r>
      <w:r w:rsidR="009611EB" w:rsidRPr="009611EB">
        <w:rPr>
          <w:rFonts w:ascii="Arial" w:hAnsi="Arial" w:cs="Arial"/>
          <w:color w:val="7B7B7B" w:themeColor="accent3" w:themeShade="BF"/>
          <w:sz w:val="22"/>
          <w:szCs w:val="22"/>
          <w:lang w:val="en-GB"/>
        </w:rPr>
        <w:t xml:space="preserve"> a creditor to vote at any time between the notice being delivered and the decision dat</w:t>
      </w:r>
      <w:r w:rsidR="007A76FF">
        <w:rPr>
          <w:rFonts w:ascii="Arial" w:hAnsi="Arial" w:cs="Arial"/>
          <w:color w:val="7B7B7B" w:themeColor="accent3" w:themeShade="BF"/>
          <w:sz w:val="22"/>
          <w:szCs w:val="22"/>
          <w:lang w:val="en-GB"/>
        </w:rPr>
        <w:t>e (IR15.4(b))</w:t>
      </w:r>
      <w:r w:rsidR="009611EB" w:rsidRPr="009611EB">
        <w:rPr>
          <w:rFonts w:ascii="Arial" w:hAnsi="Arial" w:cs="Arial"/>
          <w:color w:val="7B7B7B" w:themeColor="accent3" w:themeShade="BF"/>
          <w:sz w:val="22"/>
          <w:szCs w:val="22"/>
          <w:lang w:val="en-GB"/>
        </w:rPr>
        <w:t xml:space="preserve"> and</w:t>
      </w:r>
      <w:r w:rsidR="007A76FF">
        <w:rPr>
          <w:rFonts w:ascii="Arial" w:hAnsi="Arial" w:cs="Arial"/>
          <w:color w:val="7B7B7B" w:themeColor="accent3" w:themeShade="BF"/>
          <w:sz w:val="22"/>
          <w:szCs w:val="22"/>
          <w:lang w:val="en-GB"/>
        </w:rPr>
        <w:t xml:space="preserve"> until the decision date has passed, </w:t>
      </w:r>
      <w:r w:rsidR="009611EB" w:rsidRPr="009611EB">
        <w:rPr>
          <w:rFonts w:ascii="Arial" w:hAnsi="Arial" w:cs="Arial"/>
          <w:color w:val="7B7B7B" w:themeColor="accent3" w:themeShade="BF"/>
          <w:sz w:val="22"/>
          <w:szCs w:val="22"/>
          <w:lang w:val="en-GB"/>
        </w:rPr>
        <w:t xml:space="preserve">the voting system </w:t>
      </w:r>
      <w:r w:rsidR="007A76FF">
        <w:rPr>
          <w:rFonts w:ascii="Arial" w:hAnsi="Arial" w:cs="Arial"/>
          <w:color w:val="7B7B7B" w:themeColor="accent3" w:themeShade="BF"/>
          <w:sz w:val="22"/>
          <w:szCs w:val="22"/>
          <w:lang w:val="en-GB"/>
        </w:rPr>
        <w:t xml:space="preserve">should </w:t>
      </w:r>
      <w:r w:rsidR="009611EB" w:rsidRPr="009611EB">
        <w:rPr>
          <w:rFonts w:ascii="Arial" w:hAnsi="Arial" w:cs="Arial"/>
          <w:color w:val="7B7B7B" w:themeColor="accent3" w:themeShade="BF"/>
          <w:sz w:val="22"/>
          <w:szCs w:val="22"/>
          <w:lang w:val="en-GB"/>
        </w:rPr>
        <w:t>not provide any creditor with information concerning the vote cast by any other creditor</w:t>
      </w:r>
      <w:r w:rsidR="007A76FF" w:rsidRPr="007A76FF">
        <w:rPr>
          <w:rFonts w:ascii="Arial" w:hAnsi="Arial" w:cs="Arial"/>
          <w:color w:val="7B7B7B" w:themeColor="accent3" w:themeShade="BF"/>
          <w:sz w:val="22"/>
          <w:szCs w:val="22"/>
          <w:lang w:val="en-GB"/>
        </w:rPr>
        <w:t xml:space="preserve"> </w:t>
      </w:r>
      <w:r w:rsidR="007A76FF">
        <w:rPr>
          <w:rFonts w:ascii="Arial" w:hAnsi="Arial" w:cs="Arial"/>
          <w:color w:val="7B7B7B" w:themeColor="accent3" w:themeShade="BF"/>
          <w:sz w:val="22"/>
          <w:szCs w:val="22"/>
          <w:lang w:val="en-GB"/>
        </w:rPr>
        <w:t>IR15.4(c)</w:t>
      </w:r>
      <w:r w:rsidR="009611EB" w:rsidRPr="009611EB">
        <w:rPr>
          <w:rFonts w:ascii="Arial" w:hAnsi="Arial" w:cs="Arial"/>
          <w:color w:val="7B7B7B" w:themeColor="accent3" w:themeShade="BF"/>
          <w:sz w:val="22"/>
          <w:szCs w:val="22"/>
          <w:lang w:val="en-GB"/>
        </w:rPr>
        <w:t>.</w:t>
      </w:r>
    </w:p>
    <w:p w14:paraId="5A3749A4" w14:textId="77777777" w:rsidR="008F18A3" w:rsidRPr="008F18A3" w:rsidRDefault="008F18A3" w:rsidP="00BA3955">
      <w:pPr>
        <w:jc w:val="both"/>
        <w:rPr>
          <w:rFonts w:ascii="Arial" w:hAnsi="Arial" w:cs="Arial"/>
          <w:color w:val="7B7B7B" w:themeColor="accent3" w:themeShade="BF"/>
          <w:sz w:val="22"/>
          <w:szCs w:val="22"/>
          <w:lang w:val="en-GB"/>
        </w:rPr>
      </w:pPr>
    </w:p>
    <w:p w14:paraId="161108AC" w14:textId="271FB40F" w:rsidR="008F18A3" w:rsidRPr="008F18A3" w:rsidRDefault="002B2367"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w:t>
      </w:r>
      <w:r w:rsidRPr="002B2367">
        <w:rPr>
          <w:rFonts w:ascii="Arial" w:hAnsi="Arial" w:cs="Arial"/>
          <w:color w:val="7B7B7B" w:themeColor="accent3" w:themeShade="BF"/>
          <w:sz w:val="22"/>
          <w:szCs w:val="22"/>
          <w:u w:val="single"/>
          <w:lang w:val="en-GB"/>
        </w:rPr>
        <w:t>Virtual meeting</w:t>
      </w:r>
      <w:r>
        <w:rPr>
          <w:rFonts w:ascii="Arial" w:hAnsi="Arial" w:cs="Arial"/>
          <w:color w:val="7B7B7B" w:themeColor="accent3" w:themeShade="BF"/>
          <w:sz w:val="22"/>
          <w:szCs w:val="22"/>
          <w:lang w:val="en-GB"/>
        </w:rPr>
        <w:t xml:space="preserve">: this means </w:t>
      </w:r>
      <w:r w:rsidR="008F18A3" w:rsidRPr="008F18A3">
        <w:rPr>
          <w:rFonts w:ascii="Arial" w:hAnsi="Arial" w:cs="Arial"/>
          <w:color w:val="7B7B7B" w:themeColor="accent3" w:themeShade="BF"/>
          <w:sz w:val="22"/>
          <w:szCs w:val="22"/>
          <w:lang w:val="en-GB"/>
        </w:rPr>
        <w:t xml:space="preserve">a meeting where </w:t>
      </w:r>
      <w:r>
        <w:rPr>
          <w:rFonts w:ascii="Arial" w:hAnsi="Arial" w:cs="Arial"/>
          <w:color w:val="7B7B7B" w:themeColor="accent3" w:themeShade="BF"/>
          <w:sz w:val="22"/>
          <w:szCs w:val="22"/>
          <w:lang w:val="en-GB"/>
        </w:rPr>
        <w:t>relevant</w:t>
      </w:r>
      <w:r w:rsidR="008F18A3" w:rsidRPr="008F18A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persons </w:t>
      </w:r>
      <w:r w:rsidR="008F18A3" w:rsidRPr="008F18A3">
        <w:rPr>
          <w:rFonts w:ascii="Arial" w:hAnsi="Arial" w:cs="Arial"/>
          <w:color w:val="7B7B7B" w:themeColor="accent3" w:themeShade="BF"/>
          <w:sz w:val="22"/>
          <w:szCs w:val="22"/>
          <w:lang w:val="en-GB"/>
        </w:rPr>
        <w:t>are not physically present at the same location but communicate</w:t>
      </w:r>
      <w:r>
        <w:rPr>
          <w:rFonts w:ascii="Arial" w:hAnsi="Arial" w:cs="Arial"/>
          <w:color w:val="7B7B7B" w:themeColor="accent3" w:themeShade="BF"/>
          <w:sz w:val="22"/>
          <w:szCs w:val="22"/>
          <w:lang w:val="en-GB"/>
        </w:rPr>
        <w:t xml:space="preserve"> with each other</w:t>
      </w:r>
      <w:r w:rsidR="008F18A3" w:rsidRPr="008F18A3">
        <w:rPr>
          <w:rFonts w:ascii="Arial" w:hAnsi="Arial" w:cs="Arial"/>
          <w:color w:val="7B7B7B" w:themeColor="accent3" w:themeShade="BF"/>
          <w:sz w:val="22"/>
          <w:szCs w:val="22"/>
          <w:lang w:val="en-GB"/>
        </w:rPr>
        <w:t xml:space="preserve"> directly in the meeting, for </w:t>
      </w:r>
      <w:r w:rsidR="00C12A5A">
        <w:rPr>
          <w:rFonts w:ascii="Arial" w:hAnsi="Arial" w:cs="Arial"/>
          <w:color w:val="7B7B7B" w:themeColor="accent3" w:themeShade="BF"/>
          <w:sz w:val="22"/>
          <w:szCs w:val="22"/>
          <w:lang w:val="en-GB"/>
        </w:rPr>
        <w:t>example, a telephone conference or a video conference through Zoom etc</w:t>
      </w:r>
      <w:r w:rsidR="008F18A3" w:rsidRPr="008F18A3">
        <w:rPr>
          <w:rFonts w:ascii="Arial" w:hAnsi="Arial" w:cs="Arial"/>
          <w:color w:val="7B7B7B" w:themeColor="accent3" w:themeShade="BF"/>
          <w:sz w:val="22"/>
          <w:szCs w:val="22"/>
          <w:lang w:val="en-GB"/>
        </w:rPr>
        <w:t>.</w:t>
      </w:r>
      <w:r w:rsidR="00C12A5A">
        <w:rPr>
          <w:rFonts w:ascii="Arial" w:hAnsi="Arial" w:cs="Arial"/>
          <w:color w:val="7B7B7B" w:themeColor="accent3" w:themeShade="BF"/>
          <w:sz w:val="22"/>
          <w:szCs w:val="22"/>
          <w:lang w:val="en-GB"/>
        </w:rPr>
        <w:t xml:space="preserve"> Just like in case of e-voting, the relevant details in relation to accessing the virtual meeting, portal details, password etc. must be provided </w:t>
      </w:r>
      <w:r w:rsidR="00894E08">
        <w:rPr>
          <w:rFonts w:ascii="Arial" w:hAnsi="Arial" w:cs="Arial"/>
          <w:color w:val="7B7B7B" w:themeColor="accent3" w:themeShade="BF"/>
          <w:sz w:val="22"/>
          <w:szCs w:val="22"/>
          <w:lang w:val="en-GB"/>
        </w:rPr>
        <w:t>to the creditors</w:t>
      </w:r>
      <w:r w:rsidR="00C12A5A">
        <w:rPr>
          <w:rFonts w:ascii="Arial" w:hAnsi="Arial" w:cs="Arial"/>
          <w:color w:val="7B7B7B" w:themeColor="accent3" w:themeShade="BF"/>
          <w:sz w:val="22"/>
          <w:szCs w:val="22"/>
          <w:lang w:val="en-GB"/>
        </w:rPr>
        <w:t xml:space="preserve"> (</w:t>
      </w:r>
      <w:proofErr w:type="gramStart"/>
      <w:r w:rsidR="00C12A5A">
        <w:rPr>
          <w:rFonts w:ascii="Arial" w:hAnsi="Arial" w:cs="Arial"/>
          <w:color w:val="7B7B7B" w:themeColor="accent3" w:themeShade="BF"/>
          <w:sz w:val="22"/>
          <w:szCs w:val="22"/>
          <w:lang w:val="en-GB"/>
        </w:rPr>
        <w:t>IR15.5(</w:t>
      </w:r>
      <w:proofErr w:type="gramEnd"/>
      <w:r w:rsidR="00C12A5A">
        <w:rPr>
          <w:rFonts w:ascii="Arial" w:hAnsi="Arial" w:cs="Arial"/>
          <w:color w:val="7B7B7B" w:themeColor="accent3" w:themeShade="BF"/>
          <w:sz w:val="22"/>
          <w:szCs w:val="22"/>
          <w:lang w:val="en-GB"/>
        </w:rPr>
        <w:t>a)).</w:t>
      </w:r>
      <w:r w:rsidR="00C12A5A" w:rsidRPr="00C12A5A">
        <w:rPr>
          <w:rFonts w:ascii="Arial" w:hAnsi="Arial" w:cs="Arial"/>
          <w:color w:val="494949"/>
          <w:sz w:val="19"/>
          <w:szCs w:val="19"/>
          <w:lang w:val="en-GB" w:eastAsia="zh-CN"/>
        </w:rPr>
        <w:t xml:space="preserve"> </w:t>
      </w:r>
      <w:r w:rsidR="00894E08">
        <w:rPr>
          <w:rFonts w:ascii="Arial" w:hAnsi="Arial" w:cs="Arial"/>
          <w:color w:val="7B7B7B" w:themeColor="accent3" w:themeShade="BF"/>
          <w:sz w:val="22"/>
          <w:szCs w:val="22"/>
          <w:lang w:val="en-GB"/>
        </w:rPr>
        <w:t xml:space="preserve">Also, </w:t>
      </w:r>
      <w:r w:rsidR="00C12A5A" w:rsidRPr="00C12A5A">
        <w:rPr>
          <w:rFonts w:ascii="Arial" w:hAnsi="Arial" w:cs="Arial"/>
          <w:color w:val="7B7B7B" w:themeColor="accent3" w:themeShade="BF"/>
          <w:sz w:val="22"/>
          <w:szCs w:val="22"/>
          <w:lang w:val="en-GB"/>
        </w:rPr>
        <w:t xml:space="preserve">a statement </w:t>
      </w:r>
      <w:r w:rsidR="00894E08">
        <w:rPr>
          <w:rFonts w:ascii="Arial" w:hAnsi="Arial" w:cs="Arial"/>
          <w:color w:val="7B7B7B" w:themeColor="accent3" w:themeShade="BF"/>
          <w:sz w:val="22"/>
          <w:szCs w:val="22"/>
          <w:lang w:val="en-GB"/>
        </w:rPr>
        <w:t xml:space="preserve">is made by the chair of the meeting </w:t>
      </w:r>
      <w:r w:rsidR="00C12A5A" w:rsidRPr="00C12A5A">
        <w:rPr>
          <w:rFonts w:ascii="Arial" w:hAnsi="Arial" w:cs="Arial"/>
          <w:color w:val="7B7B7B" w:themeColor="accent3" w:themeShade="BF"/>
          <w:sz w:val="22"/>
          <w:szCs w:val="22"/>
          <w:lang w:val="en-GB"/>
        </w:rPr>
        <w:t xml:space="preserve">that </w:t>
      </w:r>
      <w:r w:rsidR="00894E08">
        <w:rPr>
          <w:rFonts w:ascii="Arial" w:hAnsi="Arial" w:cs="Arial"/>
          <w:color w:val="7B7B7B" w:themeColor="accent3" w:themeShade="BF"/>
          <w:sz w:val="22"/>
          <w:szCs w:val="22"/>
          <w:lang w:val="en-GB"/>
        </w:rPr>
        <w:t>it may be suspended or adjourned (</w:t>
      </w:r>
      <w:proofErr w:type="gramStart"/>
      <w:r w:rsidR="00894E08">
        <w:rPr>
          <w:rFonts w:ascii="Arial" w:hAnsi="Arial" w:cs="Arial"/>
          <w:color w:val="7B7B7B" w:themeColor="accent3" w:themeShade="BF"/>
          <w:sz w:val="22"/>
          <w:szCs w:val="22"/>
          <w:lang w:val="en-GB"/>
        </w:rPr>
        <w:t>IR15.5(</w:t>
      </w:r>
      <w:proofErr w:type="gramEnd"/>
      <w:r w:rsidR="00894E08">
        <w:rPr>
          <w:rFonts w:ascii="Arial" w:hAnsi="Arial" w:cs="Arial"/>
          <w:color w:val="7B7B7B" w:themeColor="accent3" w:themeShade="BF"/>
          <w:sz w:val="22"/>
          <w:szCs w:val="22"/>
          <w:lang w:val="en-GB"/>
        </w:rPr>
        <w:t>b)).</w:t>
      </w:r>
    </w:p>
    <w:p w14:paraId="26867E23" w14:textId="77777777" w:rsidR="008F18A3" w:rsidRPr="008F18A3" w:rsidRDefault="008F18A3" w:rsidP="00BA3955">
      <w:pPr>
        <w:jc w:val="both"/>
        <w:rPr>
          <w:rFonts w:ascii="Arial" w:hAnsi="Arial" w:cs="Arial"/>
          <w:color w:val="7B7B7B" w:themeColor="accent3" w:themeShade="BF"/>
          <w:sz w:val="22"/>
          <w:szCs w:val="22"/>
          <w:lang w:val="en-GB"/>
        </w:rPr>
      </w:pPr>
    </w:p>
    <w:p w14:paraId="10A1BB6A" w14:textId="523C2E35" w:rsidR="008F18A3" w:rsidRPr="00855A6F" w:rsidRDefault="008F18A3" w:rsidP="00BA3955">
      <w:pPr>
        <w:jc w:val="both"/>
        <w:rPr>
          <w:rFonts w:ascii="Arial" w:hAnsi="Arial" w:cs="Arial"/>
          <w:bCs/>
          <w:color w:val="7B7B7B" w:themeColor="accent3" w:themeShade="BF"/>
          <w:sz w:val="22"/>
          <w:szCs w:val="22"/>
          <w:lang w:val="en-GB"/>
        </w:rPr>
      </w:pPr>
      <w:r w:rsidRPr="008F18A3">
        <w:rPr>
          <w:rFonts w:ascii="Arial" w:hAnsi="Arial" w:cs="Arial"/>
          <w:color w:val="7B7B7B" w:themeColor="accent3" w:themeShade="BF"/>
          <w:sz w:val="22"/>
          <w:szCs w:val="22"/>
          <w:lang w:val="en-GB"/>
        </w:rPr>
        <w:t xml:space="preserve">d) </w:t>
      </w:r>
      <w:r w:rsidRPr="00894E08">
        <w:rPr>
          <w:rFonts w:ascii="Arial" w:hAnsi="Arial" w:cs="Arial"/>
          <w:color w:val="7B7B7B" w:themeColor="accent3" w:themeShade="BF"/>
          <w:sz w:val="22"/>
          <w:szCs w:val="22"/>
          <w:u w:val="single"/>
          <w:lang w:val="en-GB"/>
        </w:rPr>
        <w:t>Physical meeting</w:t>
      </w:r>
      <w:r w:rsidR="00894E08">
        <w:rPr>
          <w:rFonts w:ascii="Arial" w:hAnsi="Arial" w:cs="Arial"/>
          <w:color w:val="7B7B7B" w:themeColor="accent3" w:themeShade="BF"/>
          <w:sz w:val="22"/>
          <w:szCs w:val="22"/>
          <w:lang w:val="en-GB"/>
        </w:rPr>
        <w:t xml:space="preserve">: </w:t>
      </w:r>
      <w:r w:rsidR="00894E08" w:rsidRPr="00894E08">
        <w:rPr>
          <w:rFonts w:ascii="Arial" w:hAnsi="Arial" w:cs="Arial"/>
          <w:bCs/>
          <w:color w:val="7B7B7B" w:themeColor="accent3" w:themeShade="BF"/>
          <w:sz w:val="22"/>
          <w:szCs w:val="22"/>
          <w:lang w:val="en-GB"/>
        </w:rPr>
        <w:t xml:space="preserve">This involves all creditors voting to meet each other in person and physically cast their votes. IR 15.6 provides useful guidance on the </w:t>
      </w:r>
      <w:r w:rsidR="00894E08">
        <w:rPr>
          <w:rFonts w:ascii="Arial" w:hAnsi="Arial" w:cs="Arial"/>
          <w:bCs/>
          <w:color w:val="7B7B7B" w:themeColor="accent3" w:themeShade="BF"/>
          <w:sz w:val="22"/>
          <w:szCs w:val="22"/>
          <w:lang w:val="en-GB"/>
        </w:rPr>
        <w:t>conduct of such QDP.</w:t>
      </w:r>
      <w:r w:rsidR="00894E08" w:rsidRPr="00894E08">
        <w:rPr>
          <w:rFonts w:ascii="Arial" w:hAnsi="Arial" w:cs="Arial"/>
          <w:color w:val="7B7B7B" w:themeColor="accent3" w:themeShade="BF"/>
          <w:sz w:val="22"/>
          <w:szCs w:val="22"/>
          <w:lang w:val="en-GB"/>
        </w:rPr>
        <w:t> A request for a physical meeting must</w:t>
      </w:r>
      <w:r w:rsidR="00894E08">
        <w:rPr>
          <w:rFonts w:ascii="Arial" w:hAnsi="Arial" w:cs="Arial"/>
          <w:color w:val="7B7B7B" w:themeColor="accent3" w:themeShade="BF"/>
          <w:sz w:val="22"/>
          <w:szCs w:val="22"/>
          <w:lang w:val="en-GB"/>
        </w:rPr>
        <w:t xml:space="preserve"> not</w:t>
      </w:r>
      <w:r w:rsidR="00894E08" w:rsidRPr="00894E08">
        <w:rPr>
          <w:rFonts w:ascii="Arial" w:hAnsi="Arial" w:cs="Arial"/>
          <w:color w:val="7B7B7B" w:themeColor="accent3" w:themeShade="BF"/>
          <w:sz w:val="22"/>
          <w:szCs w:val="22"/>
          <w:lang w:val="en-GB"/>
        </w:rPr>
        <w:t xml:space="preserve"> be made </w:t>
      </w:r>
      <w:r w:rsidR="00894E08">
        <w:rPr>
          <w:rFonts w:ascii="Arial" w:hAnsi="Arial" w:cs="Arial"/>
          <w:color w:val="7B7B7B" w:themeColor="accent3" w:themeShade="BF"/>
          <w:sz w:val="22"/>
          <w:szCs w:val="22"/>
          <w:lang w:val="en-GB"/>
        </w:rPr>
        <w:t>any</w:t>
      </w:r>
      <w:r w:rsidR="00894E08" w:rsidRPr="00894E08">
        <w:rPr>
          <w:rFonts w:ascii="Arial" w:hAnsi="Arial" w:cs="Arial"/>
          <w:color w:val="7B7B7B" w:themeColor="accent3" w:themeShade="BF"/>
          <w:sz w:val="22"/>
          <w:szCs w:val="22"/>
          <w:lang w:val="en-GB"/>
        </w:rPr>
        <w:t xml:space="preserve"> later than </w:t>
      </w:r>
      <w:r w:rsidR="00894E08">
        <w:rPr>
          <w:rFonts w:ascii="Arial" w:hAnsi="Arial" w:cs="Arial"/>
          <w:color w:val="7B7B7B" w:themeColor="accent3" w:themeShade="BF"/>
          <w:sz w:val="22"/>
          <w:szCs w:val="22"/>
          <w:lang w:val="en-GB"/>
        </w:rPr>
        <w:t>5</w:t>
      </w:r>
      <w:r w:rsidR="00894E08" w:rsidRPr="00894E08">
        <w:rPr>
          <w:rFonts w:ascii="Arial" w:hAnsi="Arial" w:cs="Arial"/>
          <w:color w:val="7B7B7B" w:themeColor="accent3" w:themeShade="BF"/>
          <w:sz w:val="22"/>
          <w:szCs w:val="22"/>
          <w:lang w:val="en-GB"/>
        </w:rPr>
        <w:t xml:space="preserve"> business days after the date on which the convener delivered the notice </w:t>
      </w:r>
      <w:r w:rsidR="004173DD">
        <w:rPr>
          <w:rFonts w:ascii="Arial" w:hAnsi="Arial" w:cs="Arial"/>
          <w:color w:val="7B7B7B" w:themeColor="accent3" w:themeShade="BF"/>
          <w:sz w:val="22"/>
          <w:szCs w:val="22"/>
          <w:lang w:val="en-GB"/>
        </w:rPr>
        <w:t>such QDP or deemed consent procedure</w:t>
      </w:r>
      <w:r w:rsidR="00516906">
        <w:rPr>
          <w:rFonts w:ascii="Arial" w:hAnsi="Arial" w:cs="Arial"/>
          <w:color w:val="7B7B7B" w:themeColor="accent3" w:themeShade="BF"/>
          <w:sz w:val="22"/>
          <w:szCs w:val="22"/>
          <w:lang w:val="en-GB"/>
        </w:rPr>
        <w:t xml:space="preserve"> (</w:t>
      </w:r>
      <w:proofErr w:type="gramStart"/>
      <w:r w:rsidR="00516906">
        <w:rPr>
          <w:rFonts w:ascii="Arial" w:hAnsi="Arial" w:cs="Arial"/>
          <w:color w:val="7B7B7B" w:themeColor="accent3" w:themeShade="BF"/>
          <w:sz w:val="22"/>
          <w:szCs w:val="22"/>
          <w:lang w:val="en-GB"/>
        </w:rPr>
        <w:t>IR15.6(</w:t>
      </w:r>
      <w:proofErr w:type="gramEnd"/>
      <w:r w:rsidR="00516906">
        <w:rPr>
          <w:rFonts w:ascii="Arial" w:hAnsi="Arial" w:cs="Arial"/>
          <w:color w:val="7B7B7B" w:themeColor="accent3" w:themeShade="BF"/>
          <w:sz w:val="22"/>
          <w:szCs w:val="22"/>
          <w:lang w:val="en-GB"/>
        </w:rPr>
        <w:t xml:space="preserve">1)). The convener must keep the creditors informed and updated with the relevant information and decisions in relation to the physical meeting. </w:t>
      </w:r>
      <w:r w:rsidR="00516906">
        <w:rPr>
          <w:rFonts w:ascii="Arial" w:hAnsi="Arial" w:cs="Arial"/>
          <w:bCs/>
          <w:color w:val="7B7B7B" w:themeColor="accent3" w:themeShade="BF"/>
          <w:sz w:val="22"/>
          <w:szCs w:val="22"/>
          <w:lang w:val="en-GB"/>
        </w:rPr>
        <w:t xml:space="preserve">The convener </w:t>
      </w:r>
      <w:r w:rsidR="00894E08" w:rsidRPr="00894E08">
        <w:rPr>
          <w:rFonts w:ascii="Arial" w:hAnsi="Arial" w:cs="Arial"/>
          <w:color w:val="7B7B7B" w:themeColor="accent3" w:themeShade="BF"/>
          <w:sz w:val="22"/>
          <w:szCs w:val="22"/>
          <w:lang w:val="en-GB"/>
        </w:rPr>
        <w:t xml:space="preserve">may permit a creditor to attend a physical meeting remotely </w:t>
      </w:r>
      <w:r w:rsidR="00516906">
        <w:rPr>
          <w:rFonts w:ascii="Arial" w:hAnsi="Arial" w:cs="Arial"/>
          <w:color w:val="7B7B7B" w:themeColor="accent3" w:themeShade="BF"/>
          <w:sz w:val="22"/>
          <w:szCs w:val="22"/>
          <w:lang w:val="en-GB"/>
        </w:rPr>
        <w:t>upon</w:t>
      </w:r>
      <w:r w:rsidR="00894E08" w:rsidRPr="00894E08">
        <w:rPr>
          <w:rFonts w:ascii="Arial" w:hAnsi="Arial" w:cs="Arial"/>
          <w:color w:val="7B7B7B" w:themeColor="accent3" w:themeShade="BF"/>
          <w:sz w:val="22"/>
          <w:szCs w:val="22"/>
          <w:lang w:val="en-GB"/>
        </w:rPr>
        <w:t xml:space="preserve"> a request </w:t>
      </w:r>
      <w:r w:rsidR="00516906">
        <w:rPr>
          <w:rFonts w:ascii="Arial" w:hAnsi="Arial" w:cs="Arial"/>
          <w:color w:val="7B7B7B" w:themeColor="accent3" w:themeShade="BF"/>
          <w:sz w:val="22"/>
          <w:szCs w:val="22"/>
          <w:lang w:val="en-GB"/>
        </w:rPr>
        <w:t xml:space="preserve">received </w:t>
      </w:r>
      <w:r w:rsidR="00894E08" w:rsidRPr="00894E08">
        <w:rPr>
          <w:rFonts w:ascii="Arial" w:hAnsi="Arial" w:cs="Arial"/>
          <w:color w:val="7B7B7B" w:themeColor="accent3" w:themeShade="BF"/>
          <w:sz w:val="22"/>
          <w:szCs w:val="22"/>
          <w:lang w:val="en-GB"/>
        </w:rPr>
        <w:t>in advance of the meeting</w:t>
      </w:r>
      <w:r w:rsidR="00855A6F">
        <w:rPr>
          <w:rFonts w:ascii="Arial" w:hAnsi="Arial" w:cs="Arial"/>
          <w:color w:val="7B7B7B" w:themeColor="accent3" w:themeShade="BF"/>
          <w:sz w:val="22"/>
          <w:szCs w:val="22"/>
          <w:lang w:val="en-GB"/>
        </w:rPr>
        <w:t xml:space="preserve"> </w:t>
      </w:r>
      <w:r w:rsidR="00894E08" w:rsidRPr="00894E08">
        <w:rPr>
          <w:rFonts w:ascii="Arial" w:hAnsi="Arial" w:cs="Arial"/>
          <w:color w:val="7B7B7B" w:themeColor="accent3" w:themeShade="BF"/>
          <w:sz w:val="22"/>
          <w:szCs w:val="22"/>
          <w:lang w:val="en-GB"/>
        </w:rPr>
        <w:t>and</w:t>
      </w:r>
      <w:r w:rsidR="00855A6F">
        <w:rPr>
          <w:rFonts w:ascii="Arial" w:hAnsi="Arial" w:cs="Arial"/>
          <w:bCs/>
          <w:color w:val="7B7B7B" w:themeColor="accent3" w:themeShade="BF"/>
          <w:sz w:val="22"/>
          <w:szCs w:val="22"/>
          <w:lang w:val="en-GB"/>
        </w:rPr>
        <w:t xml:space="preserve"> </w:t>
      </w:r>
      <w:r w:rsidR="00894E08" w:rsidRPr="00894E08">
        <w:rPr>
          <w:rFonts w:ascii="Arial" w:hAnsi="Arial" w:cs="Arial"/>
          <w:color w:val="7B7B7B" w:themeColor="accent3" w:themeShade="BF"/>
          <w:sz w:val="22"/>
          <w:szCs w:val="22"/>
          <w:lang w:val="en-GB"/>
        </w:rPr>
        <w:t xml:space="preserve">the notice of the meeting </w:t>
      </w:r>
      <w:r w:rsidR="00855A6F">
        <w:rPr>
          <w:rFonts w:ascii="Arial" w:hAnsi="Arial" w:cs="Arial"/>
          <w:color w:val="7B7B7B" w:themeColor="accent3" w:themeShade="BF"/>
          <w:sz w:val="22"/>
          <w:szCs w:val="22"/>
          <w:lang w:val="en-GB"/>
        </w:rPr>
        <w:t xml:space="preserve">should include </w:t>
      </w:r>
      <w:r w:rsidR="00894E08" w:rsidRPr="00894E08">
        <w:rPr>
          <w:rFonts w:ascii="Arial" w:hAnsi="Arial" w:cs="Arial"/>
          <w:color w:val="7B7B7B" w:themeColor="accent3" w:themeShade="BF"/>
          <w:sz w:val="22"/>
          <w:szCs w:val="22"/>
          <w:lang w:val="en-GB"/>
        </w:rPr>
        <w:t>a statement explaining the convener’s discretion to permit remote attendance</w:t>
      </w:r>
      <w:r w:rsidR="00855A6F" w:rsidRPr="00855A6F">
        <w:rPr>
          <w:rFonts w:ascii="Arial" w:hAnsi="Arial" w:cs="Arial"/>
          <w:color w:val="7B7B7B" w:themeColor="accent3" w:themeShade="BF"/>
          <w:sz w:val="22"/>
          <w:szCs w:val="22"/>
          <w:lang w:val="en-GB"/>
        </w:rPr>
        <w:t xml:space="preserve"> </w:t>
      </w:r>
      <w:r w:rsidR="00855A6F">
        <w:rPr>
          <w:rFonts w:ascii="Arial" w:hAnsi="Arial" w:cs="Arial"/>
          <w:color w:val="7B7B7B" w:themeColor="accent3" w:themeShade="BF"/>
          <w:sz w:val="22"/>
          <w:szCs w:val="22"/>
          <w:lang w:val="en-GB"/>
        </w:rPr>
        <w:t>(IR15.6(6</w:t>
      </w:r>
      <w:r w:rsidR="00855A6F" w:rsidRPr="00855A6F">
        <w:rPr>
          <w:rFonts w:ascii="Arial" w:hAnsi="Arial" w:cs="Arial"/>
          <w:color w:val="7B7B7B" w:themeColor="accent3" w:themeShade="BF"/>
          <w:sz w:val="22"/>
          <w:szCs w:val="22"/>
          <w:lang w:val="en-GB"/>
        </w:rPr>
        <w:t>)</w:t>
      </w:r>
      <w:r w:rsidR="00855A6F">
        <w:rPr>
          <w:rFonts w:ascii="Arial" w:hAnsi="Arial" w:cs="Arial"/>
          <w:color w:val="7B7B7B" w:themeColor="accent3" w:themeShade="BF"/>
          <w:sz w:val="22"/>
          <w:szCs w:val="22"/>
          <w:lang w:val="en-GB"/>
        </w:rPr>
        <w:t>)</w:t>
      </w:r>
      <w:r w:rsidR="00894E08" w:rsidRPr="00894E08">
        <w:rPr>
          <w:rFonts w:ascii="Arial" w:hAnsi="Arial" w:cs="Arial"/>
          <w:color w:val="7B7B7B" w:themeColor="accent3" w:themeShade="BF"/>
          <w:sz w:val="22"/>
          <w:szCs w:val="22"/>
          <w:lang w:val="en-GB"/>
        </w:rPr>
        <w:t>.</w:t>
      </w:r>
    </w:p>
    <w:p w14:paraId="279F9BEA" w14:textId="77777777" w:rsidR="008F18A3" w:rsidRPr="008F18A3" w:rsidRDefault="008F18A3" w:rsidP="00BA3955">
      <w:pPr>
        <w:jc w:val="both"/>
        <w:rPr>
          <w:rFonts w:ascii="Arial" w:hAnsi="Arial" w:cs="Arial"/>
          <w:color w:val="7B7B7B" w:themeColor="accent3" w:themeShade="BF"/>
          <w:sz w:val="22"/>
          <w:szCs w:val="22"/>
          <w:lang w:val="en-GB"/>
        </w:rPr>
      </w:pPr>
    </w:p>
    <w:p w14:paraId="71971E16" w14:textId="6CAC1CF0" w:rsidR="00855A6F" w:rsidRDefault="008F18A3" w:rsidP="00BA3955">
      <w:pPr>
        <w:jc w:val="both"/>
        <w:rPr>
          <w:rFonts w:ascii="Arial" w:hAnsi="Arial" w:cs="Arial"/>
          <w:color w:val="7B7B7B" w:themeColor="accent3" w:themeShade="BF"/>
          <w:sz w:val="22"/>
          <w:szCs w:val="22"/>
          <w:lang w:val="en-GB"/>
        </w:rPr>
      </w:pPr>
      <w:r w:rsidRPr="008F18A3">
        <w:rPr>
          <w:rFonts w:ascii="Arial" w:hAnsi="Arial" w:cs="Arial"/>
          <w:color w:val="7B7B7B" w:themeColor="accent3" w:themeShade="BF"/>
          <w:sz w:val="22"/>
          <w:szCs w:val="22"/>
          <w:lang w:val="en-GB"/>
        </w:rPr>
        <w:t xml:space="preserve">e) Any other decision making procedure which enables all creditors </w:t>
      </w:r>
      <w:r w:rsidR="00855A6F">
        <w:rPr>
          <w:rFonts w:ascii="Arial" w:hAnsi="Arial" w:cs="Arial"/>
          <w:color w:val="7B7B7B" w:themeColor="accent3" w:themeShade="BF"/>
          <w:sz w:val="22"/>
          <w:szCs w:val="22"/>
          <w:lang w:val="en-GB"/>
        </w:rPr>
        <w:t>(</w:t>
      </w:r>
      <w:r w:rsidRPr="008F18A3">
        <w:rPr>
          <w:rFonts w:ascii="Arial" w:hAnsi="Arial" w:cs="Arial"/>
          <w:color w:val="7B7B7B" w:themeColor="accent3" w:themeShade="BF"/>
          <w:sz w:val="22"/>
          <w:szCs w:val="22"/>
          <w:lang w:val="en-GB"/>
        </w:rPr>
        <w:t>who are entitled to participate</w:t>
      </w:r>
      <w:r w:rsidR="00855A6F">
        <w:rPr>
          <w:rFonts w:ascii="Arial" w:hAnsi="Arial" w:cs="Arial"/>
          <w:color w:val="7B7B7B" w:themeColor="accent3" w:themeShade="BF"/>
          <w:sz w:val="22"/>
          <w:szCs w:val="22"/>
          <w:lang w:val="en-GB"/>
        </w:rPr>
        <w:t>),</w:t>
      </w:r>
      <w:r w:rsidRPr="008F18A3">
        <w:rPr>
          <w:rFonts w:ascii="Arial" w:hAnsi="Arial" w:cs="Arial"/>
          <w:color w:val="7B7B7B" w:themeColor="accent3" w:themeShade="BF"/>
          <w:sz w:val="22"/>
          <w:szCs w:val="22"/>
          <w:lang w:val="en-GB"/>
        </w:rPr>
        <w:t xml:space="preserve"> to participate </w:t>
      </w:r>
      <w:r w:rsidR="00855A6F">
        <w:rPr>
          <w:rFonts w:ascii="Arial" w:hAnsi="Arial" w:cs="Arial"/>
          <w:color w:val="7B7B7B" w:themeColor="accent3" w:themeShade="BF"/>
          <w:sz w:val="22"/>
          <w:szCs w:val="22"/>
          <w:lang w:val="en-GB"/>
        </w:rPr>
        <w:t>equally in making the decision.</w:t>
      </w:r>
    </w:p>
    <w:p w14:paraId="2C1E0809" w14:textId="77777777" w:rsidR="00855A6F" w:rsidRDefault="00855A6F" w:rsidP="00BA3955">
      <w:pPr>
        <w:jc w:val="both"/>
        <w:rPr>
          <w:rFonts w:ascii="Arial" w:hAnsi="Arial" w:cs="Arial"/>
          <w:color w:val="7B7B7B" w:themeColor="accent3" w:themeShade="BF"/>
          <w:sz w:val="22"/>
          <w:szCs w:val="22"/>
          <w:lang w:val="en-GB"/>
        </w:rPr>
      </w:pPr>
    </w:p>
    <w:p w14:paraId="0089DF92" w14:textId="73E6A00E" w:rsidR="00FF5098" w:rsidRPr="00855A6F" w:rsidRDefault="00894E08" w:rsidP="00BA3955">
      <w:pPr>
        <w:pStyle w:val="NormalWeb"/>
        <w:shd w:val="clear" w:color="auto" w:fill="FFFFFF"/>
        <w:spacing w:before="0" w:beforeAutospacing="0" w:after="300" w:afterAutospacing="0"/>
        <w:jc w:val="both"/>
        <w:rPr>
          <w:rFonts w:ascii="Arial" w:hAnsi="Arial" w:cs="Arial"/>
          <w:color w:val="7B7B7B" w:themeColor="accent3" w:themeShade="BF"/>
          <w:sz w:val="22"/>
          <w:szCs w:val="22"/>
          <w:lang w:val="en-GB"/>
        </w:rPr>
      </w:pPr>
      <w:r w:rsidRPr="00855A6F">
        <w:rPr>
          <w:rFonts w:ascii="Arial" w:hAnsi="Arial" w:cs="Arial"/>
          <w:color w:val="7B7B7B" w:themeColor="accent3" w:themeShade="BF"/>
          <w:sz w:val="22"/>
          <w:szCs w:val="22"/>
          <w:lang w:val="en-GB"/>
        </w:rPr>
        <w:t xml:space="preserve">As a notice is provided to creditors under all such QDPs, it is helpful to note that </w:t>
      </w:r>
      <w:r w:rsidR="002743F3" w:rsidRPr="00855A6F">
        <w:rPr>
          <w:rFonts w:ascii="Arial" w:hAnsi="Arial" w:cs="Arial"/>
          <w:color w:val="7B7B7B" w:themeColor="accent3" w:themeShade="BF"/>
          <w:sz w:val="22"/>
          <w:szCs w:val="22"/>
          <w:lang w:val="en-GB"/>
        </w:rPr>
        <w:t xml:space="preserve"> r.15.2(2) the decision date is at the discretion of the </w:t>
      </w:r>
      <w:r w:rsidR="006145FF" w:rsidRPr="00855A6F">
        <w:rPr>
          <w:rFonts w:ascii="Arial" w:hAnsi="Arial" w:cs="Arial"/>
          <w:color w:val="7B7B7B" w:themeColor="accent3" w:themeShade="BF"/>
          <w:sz w:val="22"/>
          <w:szCs w:val="22"/>
          <w:lang w:val="en-GB"/>
        </w:rPr>
        <w:t>convener</w:t>
      </w:r>
      <w:r w:rsidR="002743F3" w:rsidRPr="00855A6F">
        <w:rPr>
          <w:rFonts w:ascii="Arial" w:hAnsi="Arial" w:cs="Arial"/>
          <w:color w:val="7B7B7B" w:themeColor="accent3" w:themeShade="BF"/>
          <w:sz w:val="22"/>
          <w:szCs w:val="22"/>
          <w:lang w:val="en-GB"/>
        </w:rPr>
        <w:t xml:space="preserve"> but must be no less than 14 days from the date of delivery of the notice of the decision mak</w:t>
      </w:r>
      <w:r w:rsidRPr="00855A6F">
        <w:rPr>
          <w:rFonts w:ascii="Arial" w:hAnsi="Arial" w:cs="Arial"/>
          <w:color w:val="7B7B7B" w:themeColor="accent3" w:themeShade="BF"/>
          <w:sz w:val="22"/>
          <w:szCs w:val="22"/>
          <w:lang w:val="en-GB"/>
        </w:rPr>
        <w:t>ing / deemed consent procedure.</w:t>
      </w: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7433A400" w:rsidR="00FF5098" w:rsidRDefault="00C37372"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 of the IA provides that among others, an administrator can require the suppliers of goods and services to continue their supply to the company. </w:t>
      </w:r>
      <w:r w:rsidR="002261FB">
        <w:rPr>
          <w:rFonts w:ascii="Arial" w:hAnsi="Arial" w:cs="Arial"/>
          <w:color w:val="7B7B7B" w:themeColor="accent3" w:themeShade="BF"/>
          <w:sz w:val="22"/>
          <w:szCs w:val="22"/>
          <w:lang w:val="en-GB"/>
        </w:rPr>
        <w:t xml:space="preserve"> </w:t>
      </w:r>
    </w:p>
    <w:p w14:paraId="015EF450" w14:textId="5ACB9867" w:rsidR="00255132" w:rsidRPr="00255132" w:rsidRDefault="00255132" w:rsidP="00BA3955">
      <w:pPr>
        <w:jc w:val="both"/>
        <w:rPr>
          <w:rFonts w:ascii="Arial" w:hAnsi="Arial" w:cs="Arial"/>
          <w:color w:val="7B7B7B" w:themeColor="accent3" w:themeShade="BF"/>
          <w:sz w:val="22"/>
          <w:szCs w:val="22"/>
          <w:lang w:val="en-GB"/>
        </w:rPr>
      </w:pPr>
    </w:p>
    <w:p w14:paraId="0067005E" w14:textId="239C10C3" w:rsidR="00885E11" w:rsidRPr="00255132" w:rsidRDefault="00885E11"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Supplies contemplated under this part include supply of gas, electricity, water and communications and several other good and services (Section 233(3) of IA)</w:t>
      </w:r>
      <w:r w:rsidR="007A0D54">
        <w:rPr>
          <w:rFonts w:ascii="Arial" w:hAnsi="Arial" w:cs="Arial"/>
          <w:color w:val="7B7B7B" w:themeColor="accent3" w:themeShade="BF"/>
          <w:sz w:val="22"/>
          <w:szCs w:val="22"/>
          <w:lang w:val="en-GB"/>
        </w:rPr>
        <w:t xml:space="preserve"> (</w:t>
      </w:r>
      <w:r w:rsidR="007A0D54" w:rsidRPr="007A0D54">
        <w:rPr>
          <w:rFonts w:ascii="Arial" w:hAnsi="Arial" w:cs="Arial"/>
          <w:b/>
          <w:i/>
          <w:color w:val="7B7B7B" w:themeColor="accent3" w:themeShade="BF"/>
          <w:sz w:val="22"/>
          <w:szCs w:val="22"/>
          <w:lang w:val="en-GB"/>
        </w:rPr>
        <w:t>Supplies</w:t>
      </w:r>
      <w:r w:rsidR="0005618F">
        <w:rPr>
          <w:rFonts w:ascii="Arial" w:hAnsi="Arial" w:cs="Arial"/>
          <w:b/>
          <w:i/>
          <w:color w:val="7B7B7B" w:themeColor="accent3" w:themeShade="BF"/>
          <w:sz w:val="22"/>
          <w:szCs w:val="22"/>
          <w:lang w:val="en-GB"/>
        </w:rPr>
        <w:t>/ essential goods and services</w:t>
      </w:r>
      <w:r w:rsidR="007A0D5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0A85D16C" w14:textId="3F08ADB8" w:rsidR="00885E11" w:rsidRPr="00255132" w:rsidRDefault="00885E11" w:rsidP="00BA3955">
      <w:pPr>
        <w:jc w:val="both"/>
        <w:rPr>
          <w:rFonts w:ascii="Arial" w:hAnsi="Arial" w:cs="Arial"/>
          <w:color w:val="7B7B7B" w:themeColor="accent3" w:themeShade="BF"/>
          <w:sz w:val="22"/>
          <w:szCs w:val="22"/>
          <w:lang w:val="en-GB"/>
        </w:rPr>
      </w:pPr>
      <w:r w:rsidRPr="00255132">
        <w:rPr>
          <w:rFonts w:ascii="Arial" w:hAnsi="Arial" w:cs="Arial"/>
          <w:color w:val="7B7B7B" w:themeColor="accent3" w:themeShade="BF"/>
          <w:sz w:val="22"/>
          <w:szCs w:val="22"/>
          <w:lang w:val="en-GB"/>
        </w:rPr>
        <w:t xml:space="preserve">The goods and services referred to in </w:t>
      </w:r>
      <w:r>
        <w:rPr>
          <w:rFonts w:ascii="Arial" w:hAnsi="Arial" w:cs="Arial"/>
          <w:color w:val="7B7B7B" w:themeColor="accent3" w:themeShade="BF"/>
          <w:sz w:val="22"/>
          <w:szCs w:val="22"/>
          <w:lang w:val="en-GB"/>
        </w:rPr>
        <w:t>Section 233(3</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f) are:</w:t>
      </w:r>
    </w:p>
    <w:p w14:paraId="4ABFC359" w14:textId="77777777" w:rsidR="00885E11" w:rsidRPr="00885E11" w:rsidRDefault="00885E11" w:rsidP="00BA3955">
      <w:pPr>
        <w:jc w:val="both"/>
        <w:rPr>
          <w:rFonts w:ascii="Arial" w:hAnsi="Arial" w:cs="Arial"/>
          <w:i/>
          <w:color w:val="7B7B7B" w:themeColor="accent3" w:themeShade="BF"/>
          <w:sz w:val="22"/>
          <w:szCs w:val="22"/>
          <w:lang w:val="en-GB"/>
        </w:rPr>
      </w:pPr>
      <w:r w:rsidRPr="00885E11">
        <w:rPr>
          <w:rFonts w:ascii="Arial" w:hAnsi="Arial" w:cs="Arial"/>
          <w:i/>
          <w:color w:val="7B7B7B" w:themeColor="accent3" w:themeShade="BF"/>
          <w:sz w:val="22"/>
          <w:szCs w:val="22"/>
          <w:lang w:val="en-GB"/>
        </w:rPr>
        <w:t>(a</w:t>
      </w:r>
      <w:proofErr w:type="gramStart"/>
      <w:r w:rsidRPr="00885E11">
        <w:rPr>
          <w:rFonts w:ascii="Arial" w:hAnsi="Arial" w:cs="Arial"/>
          <w:i/>
          <w:color w:val="7B7B7B" w:themeColor="accent3" w:themeShade="BF"/>
          <w:sz w:val="22"/>
          <w:szCs w:val="22"/>
          <w:lang w:val="en-GB"/>
        </w:rPr>
        <w:t>)point</w:t>
      </w:r>
      <w:proofErr w:type="gramEnd"/>
      <w:r w:rsidRPr="00885E11">
        <w:rPr>
          <w:rFonts w:ascii="Arial" w:hAnsi="Arial" w:cs="Arial"/>
          <w:i/>
          <w:color w:val="7B7B7B" w:themeColor="accent3" w:themeShade="BF"/>
          <w:sz w:val="22"/>
          <w:szCs w:val="22"/>
          <w:lang w:val="en-GB"/>
        </w:rPr>
        <w:t xml:space="preserve"> of sale terminals;</w:t>
      </w:r>
    </w:p>
    <w:p w14:paraId="39B60E81" w14:textId="77777777" w:rsidR="00885E11" w:rsidRPr="00885E11" w:rsidRDefault="00885E11" w:rsidP="00BA3955">
      <w:pPr>
        <w:jc w:val="both"/>
        <w:rPr>
          <w:rFonts w:ascii="Arial" w:hAnsi="Arial" w:cs="Arial"/>
          <w:i/>
          <w:color w:val="7B7B7B" w:themeColor="accent3" w:themeShade="BF"/>
          <w:sz w:val="22"/>
          <w:szCs w:val="22"/>
          <w:lang w:val="en-GB"/>
        </w:rPr>
      </w:pPr>
      <w:r w:rsidRPr="00885E11">
        <w:rPr>
          <w:rFonts w:ascii="Arial" w:hAnsi="Arial" w:cs="Arial"/>
          <w:i/>
          <w:color w:val="7B7B7B" w:themeColor="accent3" w:themeShade="BF"/>
          <w:sz w:val="22"/>
          <w:szCs w:val="22"/>
          <w:lang w:val="en-GB"/>
        </w:rPr>
        <w:t>(b</w:t>
      </w:r>
      <w:proofErr w:type="gramStart"/>
      <w:r w:rsidRPr="00885E11">
        <w:rPr>
          <w:rFonts w:ascii="Arial" w:hAnsi="Arial" w:cs="Arial"/>
          <w:i/>
          <w:color w:val="7B7B7B" w:themeColor="accent3" w:themeShade="BF"/>
          <w:sz w:val="22"/>
          <w:szCs w:val="22"/>
          <w:lang w:val="en-GB"/>
        </w:rPr>
        <w:t>)computer</w:t>
      </w:r>
      <w:proofErr w:type="gramEnd"/>
      <w:r w:rsidRPr="00885E11">
        <w:rPr>
          <w:rFonts w:ascii="Arial" w:hAnsi="Arial" w:cs="Arial"/>
          <w:i/>
          <w:color w:val="7B7B7B" w:themeColor="accent3" w:themeShade="BF"/>
          <w:sz w:val="22"/>
          <w:szCs w:val="22"/>
          <w:lang w:val="en-GB"/>
        </w:rPr>
        <w:t xml:space="preserve"> hardware and software;</w:t>
      </w:r>
    </w:p>
    <w:p w14:paraId="18574BF9" w14:textId="77777777" w:rsidR="00885E11" w:rsidRPr="00885E11" w:rsidRDefault="00885E11" w:rsidP="00BA3955">
      <w:pPr>
        <w:jc w:val="both"/>
        <w:rPr>
          <w:rFonts w:ascii="Arial" w:hAnsi="Arial" w:cs="Arial"/>
          <w:i/>
          <w:color w:val="7B7B7B" w:themeColor="accent3" w:themeShade="BF"/>
          <w:sz w:val="22"/>
          <w:szCs w:val="22"/>
          <w:lang w:val="en-GB"/>
        </w:rPr>
      </w:pPr>
      <w:r w:rsidRPr="00885E11">
        <w:rPr>
          <w:rFonts w:ascii="Arial" w:hAnsi="Arial" w:cs="Arial"/>
          <w:i/>
          <w:color w:val="7B7B7B" w:themeColor="accent3" w:themeShade="BF"/>
          <w:sz w:val="22"/>
          <w:szCs w:val="22"/>
          <w:lang w:val="en-GB"/>
        </w:rPr>
        <w:lastRenderedPageBreak/>
        <w:t>(c</w:t>
      </w:r>
      <w:proofErr w:type="gramStart"/>
      <w:r w:rsidRPr="00885E11">
        <w:rPr>
          <w:rFonts w:ascii="Arial" w:hAnsi="Arial" w:cs="Arial"/>
          <w:i/>
          <w:color w:val="7B7B7B" w:themeColor="accent3" w:themeShade="BF"/>
          <w:sz w:val="22"/>
          <w:szCs w:val="22"/>
          <w:lang w:val="en-GB"/>
        </w:rPr>
        <w:t>)information</w:t>
      </w:r>
      <w:proofErr w:type="gramEnd"/>
      <w:r w:rsidRPr="00885E11">
        <w:rPr>
          <w:rFonts w:ascii="Arial" w:hAnsi="Arial" w:cs="Arial"/>
          <w:i/>
          <w:color w:val="7B7B7B" w:themeColor="accent3" w:themeShade="BF"/>
          <w:sz w:val="22"/>
          <w:szCs w:val="22"/>
          <w:lang w:val="en-GB"/>
        </w:rPr>
        <w:t>, advice and technical assistance in connection with the use of information technology;</w:t>
      </w:r>
    </w:p>
    <w:p w14:paraId="680A5284" w14:textId="77777777" w:rsidR="00885E11" w:rsidRPr="00885E11" w:rsidRDefault="00885E11" w:rsidP="00BA3955">
      <w:pPr>
        <w:jc w:val="both"/>
        <w:rPr>
          <w:rFonts w:ascii="Arial" w:hAnsi="Arial" w:cs="Arial"/>
          <w:i/>
          <w:color w:val="7B7B7B" w:themeColor="accent3" w:themeShade="BF"/>
          <w:sz w:val="22"/>
          <w:szCs w:val="22"/>
          <w:lang w:val="en-GB"/>
        </w:rPr>
      </w:pPr>
      <w:r w:rsidRPr="00885E11">
        <w:rPr>
          <w:rFonts w:ascii="Arial" w:hAnsi="Arial" w:cs="Arial"/>
          <w:i/>
          <w:color w:val="7B7B7B" w:themeColor="accent3" w:themeShade="BF"/>
          <w:sz w:val="22"/>
          <w:szCs w:val="22"/>
          <w:lang w:val="en-GB"/>
        </w:rPr>
        <w:t>(</w:t>
      </w:r>
      <w:proofErr w:type="gramStart"/>
      <w:r w:rsidRPr="00885E11">
        <w:rPr>
          <w:rFonts w:ascii="Arial" w:hAnsi="Arial" w:cs="Arial"/>
          <w:i/>
          <w:color w:val="7B7B7B" w:themeColor="accent3" w:themeShade="BF"/>
          <w:sz w:val="22"/>
          <w:szCs w:val="22"/>
          <w:lang w:val="en-GB"/>
        </w:rPr>
        <w:t>d)</w:t>
      </w:r>
      <w:proofErr w:type="gramEnd"/>
      <w:r w:rsidRPr="00885E11">
        <w:rPr>
          <w:rFonts w:ascii="Arial" w:hAnsi="Arial" w:cs="Arial"/>
          <w:i/>
          <w:color w:val="7B7B7B" w:themeColor="accent3" w:themeShade="BF"/>
          <w:sz w:val="22"/>
          <w:szCs w:val="22"/>
          <w:lang w:val="en-GB"/>
        </w:rPr>
        <w:t>data storage and processing;</w:t>
      </w:r>
    </w:p>
    <w:p w14:paraId="6F0C8198" w14:textId="55A9566A" w:rsidR="00885E11" w:rsidRPr="00885E11" w:rsidRDefault="00885E11" w:rsidP="00BA3955">
      <w:pPr>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(e</w:t>
      </w:r>
      <w:proofErr w:type="gramStart"/>
      <w:r>
        <w:rPr>
          <w:rFonts w:ascii="Arial" w:hAnsi="Arial" w:cs="Arial"/>
          <w:i/>
          <w:color w:val="7B7B7B" w:themeColor="accent3" w:themeShade="BF"/>
          <w:sz w:val="22"/>
          <w:szCs w:val="22"/>
          <w:lang w:val="en-GB"/>
        </w:rPr>
        <w:t>)website</w:t>
      </w:r>
      <w:proofErr w:type="gramEnd"/>
      <w:r>
        <w:rPr>
          <w:rFonts w:ascii="Arial" w:hAnsi="Arial" w:cs="Arial"/>
          <w:i/>
          <w:color w:val="7B7B7B" w:themeColor="accent3" w:themeShade="BF"/>
          <w:sz w:val="22"/>
          <w:szCs w:val="22"/>
          <w:lang w:val="en-GB"/>
        </w:rPr>
        <w:t xml:space="preserve"> hosting.</w:t>
      </w:r>
    </w:p>
    <w:p w14:paraId="58E30A06" w14:textId="113F987A" w:rsidR="00885E11" w:rsidRDefault="00885E11" w:rsidP="00BA3955">
      <w:pPr>
        <w:jc w:val="both"/>
        <w:rPr>
          <w:rFonts w:ascii="Arial" w:hAnsi="Arial" w:cs="Arial"/>
          <w:color w:val="7B7B7B" w:themeColor="accent3" w:themeShade="BF"/>
          <w:sz w:val="22"/>
          <w:szCs w:val="22"/>
          <w:lang w:val="en-GB"/>
        </w:rPr>
      </w:pPr>
    </w:p>
    <w:p w14:paraId="2AD4B140" w14:textId="77777777" w:rsidR="00885E11" w:rsidRDefault="00885E11" w:rsidP="00BA3955">
      <w:pPr>
        <w:jc w:val="both"/>
        <w:rPr>
          <w:rFonts w:ascii="Arial" w:hAnsi="Arial" w:cs="Arial"/>
          <w:color w:val="7B7B7B" w:themeColor="accent3" w:themeShade="BF"/>
          <w:sz w:val="22"/>
          <w:szCs w:val="22"/>
          <w:lang w:val="en-GB"/>
        </w:rPr>
      </w:pPr>
    </w:p>
    <w:p w14:paraId="18F69539" w14:textId="60D2C26D" w:rsidR="00255132" w:rsidRPr="00255132" w:rsidRDefault="00C540F1"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Section 233(2), i</w:t>
      </w:r>
      <w:r w:rsidR="00255132" w:rsidRPr="00255132">
        <w:rPr>
          <w:rFonts w:ascii="Arial" w:hAnsi="Arial" w:cs="Arial"/>
          <w:color w:val="7B7B7B" w:themeColor="accent3" w:themeShade="BF"/>
          <w:sz w:val="22"/>
          <w:szCs w:val="22"/>
          <w:lang w:val="en-GB"/>
        </w:rPr>
        <w:t>f a</w:t>
      </w:r>
      <w:r>
        <w:rPr>
          <w:rFonts w:ascii="Arial" w:hAnsi="Arial" w:cs="Arial"/>
          <w:color w:val="7B7B7B" w:themeColor="accent3" w:themeShade="BF"/>
          <w:sz w:val="22"/>
          <w:szCs w:val="22"/>
          <w:lang w:val="en-GB"/>
        </w:rPr>
        <w:t>mong others, an administrator makes a</w:t>
      </w:r>
      <w:r w:rsidR="00255132" w:rsidRPr="00255132">
        <w:rPr>
          <w:rFonts w:ascii="Arial" w:hAnsi="Arial" w:cs="Arial"/>
          <w:color w:val="7B7B7B" w:themeColor="accent3" w:themeShade="BF"/>
          <w:sz w:val="22"/>
          <w:szCs w:val="22"/>
          <w:lang w:val="en-GB"/>
        </w:rPr>
        <w:t xml:space="preserve"> request </w:t>
      </w:r>
      <w:r>
        <w:rPr>
          <w:rFonts w:ascii="Arial" w:hAnsi="Arial" w:cs="Arial"/>
          <w:color w:val="7B7B7B" w:themeColor="accent3" w:themeShade="BF"/>
          <w:sz w:val="22"/>
          <w:szCs w:val="22"/>
          <w:lang w:val="en-GB"/>
        </w:rPr>
        <w:t>(</w:t>
      </w:r>
      <w:r w:rsidR="00255132" w:rsidRPr="00255132">
        <w:rPr>
          <w:rFonts w:ascii="Arial" w:hAnsi="Arial" w:cs="Arial"/>
          <w:color w:val="7B7B7B" w:themeColor="accent3" w:themeShade="BF"/>
          <w:sz w:val="22"/>
          <w:szCs w:val="22"/>
          <w:lang w:val="en-GB"/>
        </w:rPr>
        <w:t>after the effective date</w:t>
      </w:r>
      <w:r>
        <w:rPr>
          <w:rFonts w:ascii="Arial" w:hAnsi="Arial" w:cs="Arial"/>
          <w:color w:val="7B7B7B" w:themeColor="accent3" w:themeShade="BF"/>
          <w:sz w:val="22"/>
          <w:szCs w:val="22"/>
          <w:lang w:val="en-GB"/>
        </w:rPr>
        <w:t xml:space="preserve"> i.e. after the company is in administration</w:t>
      </w:r>
      <w:r w:rsidR="00600A26">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w:t>
      </w:r>
      <w:r w:rsidR="005B4CA1">
        <w:rPr>
          <w:rFonts w:ascii="Arial" w:hAnsi="Arial" w:cs="Arial"/>
          <w:color w:val="7B7B7B" w:themeColor="accent3" w:themeShade="BF"/>
          <w:sz w:val="22"/>
          <w:szCs w:val="22"/>
          <w:lang w:val="en-GB"/>
        </w:rPr>
        <w:t xml:space="preserve">, of any of the supplies, the supplier </w:t>
      </w:r>
      <w:r w:rsidR="00255132" w:rsidRPr="00255132">
        <w:rPr>
          <w:rFonts w:ascii="Arial" w:hAnsi="Arial" w:cs="Arial"/>
          <w:color w:val="7B7B7B" w:themeColor="accent3" w:themeShade="BF"/>
          <w:sz w:val="22"/>
          <w:szCs w:val="22"/>
          <w:lang w:val="en-GB"/>
        </w:rPr>
        <w:t xml:space="preserve">may </w:t>
      </w:r>
      <w:r w:rsidR="005B4CA1">
        <w:rPr>
          <w:rFonts w:ascii="Arial" w:hAnsi="Arial" w:cs="Arial"/>
          <w:color w:val="7B7B7B" w:themeColor="accent3" w:themeShade="BF"/>
          <w:sz w:val="22"/>
          <w:szCs w:val="22"/>
          <w:lang w:val="en-GB"/>
        </w:rPr>
        <w:t>require the administrator to provide personal guarantees for</w:t>
      </w:r>
      <w:r w:rsidR="005B4CA1" w:rsidRPr="00255132">
        <w:rPr>
          <w:rFonts w:ascii="Arial" w:hAnsi="Arial" w:cs="Arial"/>
          <w:color w:val="7B7B7B" w:themeColor="accent3" w:themeShade="BF"/>
          <w:sz w:val="22"/>
          <w:szCs w:val="22"/>
          <w:lang w:val="en-GB"/>
        </w:rPr>
        <w:t xml:space="preserve"> the payment of any charges in respect of the supply </w:t>
      </w:r>
      <w:r w:rsidR="005B4CA1">
        <w:rPr>
          <w:rFonts w:ascii="Arial" w:hAnsi="Arial" w:cs="Arial"/>
          <w:color w:val="7B7B7B" w:themeColor="accent3" w:themeShade="BF"/>
          <w:sz w:val="22"/>
          <w:szCs w:val="22"/>
          <w:lang w:val="en-GB"/>
        </w:rPr>
        <w:t xml:space="preserve">as a condition to making such supply. However, the supplier may not seek payment towards </w:t>
      </w:r>
      <w:r w:rsidR="00255132" w:rsidRPr="00255132">
        <w:rPr>
          <w:rFonts w:ascii="Arial" w:hAnsi="Arial" w:cs="Arial"/>
          <w:color w:val="7B7B7B" w:themeColor="accent3" w:themeShade="BF"/>
          <w:sz w:val="22"/>
          <w:szCs w:val="22"/>
          <w:lang w:val="en-GB"/>
        </w:rPr>
        <w:t xml:space="preserve">any outstanding charges </w:t>
      </w:r>
      <w:r w:rsidR="00885E11">
        <w:rPr>
          <w:rFonts w:ascii="Arial" w:hAnsi="Arial" w:cs="Arial"/>
          <w:color w:val="7B7B7B" w:themeColor="accent3" w:themeShade="BF"/>
          <w:sz w:val="22"/>
          <w:szCs w:val="22"/>
          <w:lang w:val="en-GB"/>
        </w:rPr>
        <w:t xml:space="preserve">due </w:t>
      </w:r>
      <w:r w:rsidR="00255132" w:rsidRPr="00255132">
        <w:rPr>
          <w:rFonts w:ascii="Arial" w:hAnsi="Arial" w:cs="Arial"/>
          <w:color w:val="7B7B7B" w:themeColor="accent3" w:themeShade="BF"/>
          <w:sz w:val="22"/>
          <w:szCs w:val="22"/>
          <w:lang w:val="en-GB"/>
        </w:rPr>
        <w:t xml:space="preserve">before the </w:t>
      </w:r>
      <w:r w:rsidR="00885E11">
        <w:rPr>
          <w:rFonts w:ascii="Arial" w:hAnsi="Arial" w:cs="Arial"/>
          <w:color w:val="7B7B7B" w:themeColor="accent3" w:themeShade="BF"/>
          <w:sz w:val="22"/>
          <w:szCs w:val="22"/>
          <w:lang w:val="en-GB"/>
        </w:rPr>
        <w:t>date of company entering into administration, as a condition</w:t>
      </w:r>
      <w:r w:rsidR="005B4CA1">
        <w:rPr>
          <w:rFonts w:ascii="Arial" w:hAnsi="Arial" w:cs="Arial"/>
          <w:color w:val="7B7B7B" w:themeColor="accent3" w:themeShade="BF"/>
          <w:sz w:val="22"/>
          <w:szCs w:val="22"/>
          <w:lang w:val="en-GB"/>
        </w:rPr>
        <w:t xml:space="preserve"> to providing further supplies</w:t>
      </w:r>
      <w:r w:rsidR="00885E11">
        <w:rPr>
          <w:rFonts w:ascii="Arial" w:hAnsi="Arial" w:cs="Arial"/>
          <w:color w:val="7B7B7B" w:themeColor="accent3" w:themeShade="BF"/>
          <w:sz w:val="22"/>
          <w:szCs w:val="22"/>
          <w:lang w:val="en-GB"/>
        </w:rPr>
        <w:t xml:space="preserve"> to the administrator</w:t>
      </w:r>
      <w:r w:rsidR="00255132" w:rsidRPr="00255132">
        <w:rPr>
          <w:rFonts w:ascii="Arial" w:hAnsi="Arial" w:cs="Arial"/>
          <w:color w:val="7B7B7B" w:themeColor="accent3" w:themeShade="BF"/>
          <w:sz w:val="22"/>
          <w:szCs w:val="22"/>
          <w:lang w:val="en-GB"/>
        </w:rPr>
        <w:t>.</w:t>
      </w:r>
    </w:p>
    <w:p w14:paraId="26EC46A4" w14:textId="77777777" w:rsidR="00885E11" w:rsidRDefault="00885E11" w:rsidP="00BA3955">
      <w:pPr>
        <w:jc w:val="both"/>
        <w:rPr>
          <w:rFonts w:ascii="Arial" w:hAnsi="Arial" w:cs="Arial"/>
          <w:color w:val="7B7B7B" w:themeColor="accent3" w:themeShade="BF"/>
          <w:sz w:val="22"/>
          <w:szCs w:val="22"/>
          <w:lang w:val="en-GB"/>
        </w:rPr>
      </w:pPr>
    </w:p>
    <w:p w14:paraId="1517D2D6" w14:textId="087BC292" w:rsidR="00255132" w:rsidRDefault="007A0D54"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must </w:t>
      </w:r>
      <w:r w:rsidR="00600A26">
        <w:rPr>
          <w:rFonts w:ascii="Arial" w:hAnsi="Arial" w:cs="Arial"/>
          <w:color w:val="7B7B7B" w:themeColor="accent3" w:themeShade="BF"/>
          <w:sz w:val="22"/>
          <w:szCs w:val="22"/>
          <w:lang w:val="en-GB"/>
        </w:rPr>
        <w:t xml:space="preserve">be noted that </w:t>
      </w:r>
      <w:r w:rsidR="000E6DE7">
        <w:rPr>
          <w:rFonts w:ascii="Arial" w:hAnsi="Arial" w:cs="Arial"/>
          <w:color w:val="7B7B7B" w:themeColor="accent3" w:themeShade="BF"/>
          <w:sz w:val="22"/>
          <w:szCs w:val="22"/>
          <w:lang w:val="en-GB"/>
        </w:rPr>
        <w:t xml:space="preserve">in relation to essential goods and services, and </w:t>
      </w:r>
      <w:r w:rsidR="00775282">
        <w:rPr>
          <w:rFonts w:ascii="Arial" w:hAnsi="Arial" w:cs="Arial"/>
          <w:color w:val="7B7B7B" w:themeColor="accent3" w:themeShade="BF"/>
          <w:sz w:val="22"/>
          <w:szCs w:val="22"/>
          <w:lang w:val="en-GB"/>
        </w:rPr>
        <w:t xml:space="preserve">pursuant to Section </w:t>
      </w:r>
      <w:proofErr w:type="gramStart"/>
      <w:r w:rsidR="00775282">
        <w:rPr>
          <w:rFonts w:ascii="Arial" w:hAnsi="Arial" w:cs="Arial"/>
          <w:color w:val="7B7B7B" w:themeColor="accent3" w:themeShade="BF"/>
          <w:sz w:val="22"/>
          <w:szCs w:val="22"/>
          <w:lang w:val="en-GB"/>
        </w:rPr>
        <w:t>233A(</w:t>
      </w:r>
      <w:proofErr w:type="gramEnd"/>
      <w:r w:rsidR="00775282">
        <w:rPr>
          <w:rFonts w:ascii="Arial" w:hAnsi="Arial" w:cs="Arial"/>
          <w:color w:val="7B7B7B" w:themeColor="accent3" w:themeShade="BF"/>
          <w:sz w:val="22"/>
          <w:szCs w:val="22"/>
          <w:lang w:val="en-GB"/>
        </w:rPr>
        <w:t xml:space="preserve">1), </w:t>
      </w:r>
      <w:r w:rsidR="00600A26">
        <w:rPr>
          <w:rFonts w:ascii="Arial" w:hAnsi="Arial" w:cs="Arial"/>
          <w:color w:val="7B7B7B" w:themeColor="accent3" w:themeShade="BF"/>
          <w:sz w:val="22"/>
          <w:szCs w:val="22"/>
          <w:lang w:val="en-GB"/>
        </w:rPr>
        <w:t>an</w:t>
      </w:r>
      <w:r w:rsidR="00255132" w:rsidRPr="00255132">
        <w:rPr>
          <w:rFonts w:ascii="Arial" w:hAnsi="Arial" w:cs="Arial"/>
          <w:color w:val="7B7B7B" w:themeColor="accent3" w:themeShade="BF"/>
          <w:sz w:val="22"/>
          <w:szCs w:val="22"/>
          <w:lang w:val="en-GB"/>
        </w:rPr>
        <w:t xml:space="preserve"> insolvency-related </w:t>
      </w:r>
      <w:r w:rsidR="00600A26">
        <w:rPr>
          <w:rFonts w:ascii="Arial" w:hAnsi="Arial" w:cs="Arial"/>
          <w:color w:val="7B7B7B" w:themeColor="accent3" w:themeShade="BF"/>
          <w:sz w:val="22"/>
          <w:szCs w:val="22"/>
          <w:lang w:val="en-GB"/>
        </w:rPr>
        <w:t>contract term</w:t>
      </w:r>
      <w:r w:rsidR="00255132" w:rsidRPr="00255132">
        <w:rPr>
          <w:rFonts w:ascii="Arial" w:hAnsi="Arial" w:cs="Arial"/>
          <w:color w:val="7B7B7B" w:themeColor="accent3" w:themeShade="BF"/>
          <w:sz w:val="22"/>
          <w:szCs w:val="22"/>
          <w:lang w:val="en-GB"/>
        </w:rPr>
        <w:t xml:space="preserve"> </w:t>
      </w:r>
      <w:r w:rsidR="00775282">
        <w:rPr>
          <w:rFonts w:ascii="Arial" w:hAnsi="Arial" w:cs="Arial"/>
          <w:color w:val="7B7B7B" w:themeColor="accent3" w:themeShade="BF"/>
          <w:sz w:val="22"/>
          <w:szCs w:val="22"/>
          <w:lang w:val="en-GB"/>
        </w:rPr>
        <w:t xml:space="preserve">ceases </w:t>
      </w:r>
      <w:r w:rsidR="00255132" w:rsidRPr="00255132">
        <w:rPr>
          <w:rFonts w:ascii="Arial" w:hAnsi="Arial" w:cs="Arial"/>
          <w:color w:val="7B7B7B" w:themeColor="accent3" w:themeShade="BF"/>
          <w:sz w:val="22"/>
          <w:szCs w:val="22"/>
          <w:lang w:val="en-GB"/>
        </w:rPr>
        <w:t xml:space="preserve">to have effect </w:t>
      </w:r>
      <w:r w:rsidR="00775282">
        <w:rPr>
          <w:rFonts w:ascii="Arial" w:hAnsi="Arial" w:cs="Arial"/>
          <w:color w:val="7B7B7B" w:themeColor="accent3" w:themeShade="BF"/>
          <w:sz w:val="22"/>
          <w:szCs w:val="22"/>
          <w:lang w:val="en-GB"/>
        </w:rPr>
        <w:t>once a company is, among others, a company enters administration</w:t>
      </w:r>
      <w:r w:rsidR="000E6DE7">
        <w:rPr>
          <w:rFonts w:ascii="Arial" w:hAnsi="Arial" w:cs="Arial"/>
          <w:color w:val="7B7B7B" w:themeColor="accent3" w:themeShade="BF"/>
          <w:sz w:val="22"/>
          <w:szCs w:val="22"/>
          <w:lang w:val="en-GB"/>
        </w:rPr>
        <w:t>. There are certain conditions and exceptions to this statement i.e. unless</w:t>
      </w:r>
      <w:r w:rsidR="00775282">
        <w:rPr>
          <w:rFonts w:ascii="Arial" w:hAnsi="Arial" w:cs="Arial"/>
          <w:color w:val="7B7B7B" w:themeColor="accent3" w:themeShade="BF"/>
          <w:sz w:val="22"/>
          <w:szCs w:val="22"/>
          <w:lang w:val="en-GB"/>
        </w:rPr>
        <w:t xml:space="preserve"> </w:t>
      </w:r>
      <w:r w:rsidR="000E6DE7">
        <w:rPr>
          <w:rFonts w:ascii="Arial" w:hAnsi="Arial" w:cs="Arial"/>
          <w:color w:val="7B7B7B" w:themeColor="accent3" w:themeShade="BF"/>
          <w:sz w:val="22"/>
          <w:szCs w:val="22"/>
          <w:lang w:val="en-GB"/>
        </w:rPr>
        <w:t xml:space="preserve">it falls within one of the subsections of Section 233A. </w:t>
      </w:r>
    </w:p>
    <w:p w14:paraId="32BCDE45" w14:textId="34A0537B" w:rsidR="000E6DE7" w:rsidRDefault="000E6DE7" w:rsidP="00BA3955">
      <w:pPr>
        <w:jc w:val="both"/>
        <w:rPr>
          <w:rFonts w:ascii="Arial" w:hAnsi="Arial" w:cs="Arial"/>
          <w:color w:val="7B7B7B" w:themeColor="accent3" w:themeShade="BF"/>
          <w:sz w:val="22"/>
          <w:szCs w:val="22"/>
          <w:lang w:val="en-GB"/>
        </w:rPr>
      </w:pPr>
    </w:p>
    <w:p w14:paraId="50539229" w14:textId="4EAAB1E3" w:rsidR="000E6DE7" w:rsidRPr="000E6DE7" w:rsidRDefault="000E6DE7"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w:t>
      </w:r>
      <w:proofErr w:type="gramStart"/>
      <w:r>
        <w:rPr>
          <w:rFonts w:ascii="Arial" w:hAnsi="Arial" w:cs="Arial"/>
          <w:color w:val="7B7B7B" w:themeColor="accent3" w:themeShade="BF"/>
          <w:sz w:val="22"/>
          <w:szCs w:val="22"/>
          <w:lang w:val="en-GB"/>
        </w:rPr>
        <w:t>233A(</w:t>
      </w:r>
      <w:proofErr w:type="gramEnd"/>
      <w:r>
        <w:rPr>
          <w:rFonts w:ascii="Arial" w:hAnsi="Arial" w:cs="Arial"/>
          <w:color w:val="7B7B7B" w:themeColor="accent3" w:themeShade="BF"/>
          <w:sz w:val="22"/>
          <w:szCs w:val="22"/>
          <w:lang w:val="en-GB"/>
        </w:rPr>
        <w:t xml:space="preserve">8) defines an </w:t>
      </w:r>
      <w:r w:rsidRPr="000E6DE7">
        <w:rPr>
          <w:rFonts w:ascii="Arial" w:hAnsi="Arial" w:cs="Arial"/>
          <w:color w:val="7B7B7B" w:themeColor="accent3" w:themeShade="BF"/>
          <w:sz w:val="22"/>
          <w:szCs w:val="22"/>
          <w:lang w:val="en-GB"/>
        </w:rPr>
        <w:t xml:space="preserve">insolvency-related term of a contract for the supply of essential goods or services to a company </w:t>
      </w:r>
      <w:r>
        <w:rPr>
          <w:rFonts w:ascii="Arial" w:hAnsi="Arial" w:cs="Arial"/>
          <w:color w:val="7B7B7B" w:themeColor="accent3" w:themeShade="BF"/>
          <w:sz w:val="22"/>
          <w:szCs w:val="22"/>
          <w:lang w:val="en-GB"/>
        </w:rPr>
        <w:t>to mean-</w:t>
      </w:r>
    </w:p>
    <w:p w14:paraId="311B1E2A" w14:textId="77777777" w:rsidR="000E6DE7" w:rsidRPr="000E6DE7" w:rsidRDefault="000E6DE7" w:rsidP="00BA3955">
      <w:pPr>
        <w:jc w:val="both"/>
        <w:rPr>
          <w:rFonts w:ascii="Arial" w:hAnsi="Arial" w:cs="Arial"/>
          <w:i/>
          <w:color w:val="7B7B7B" w:themeColor="accent3" w:themeShade="BF"/>
          <w:sz w:val="22"/>
          <w:szCs w:val="22"/>
          <w:lang w:val="en-GB"/>
        </w:rPr>
      </w:pPr>
      <w:r w:rsidRPr="000E6DE7">
        <w:rPr>
          <w:rFonts w:ascii="Arial" w:hAnsi="Arial" w:cs="Arial"/>
          <w:color w:val="7B7B7B" w:themeColor="accent3" w:themeShade="BF"/>
          <w:sz w:val="22"/>
          <w:szCs w:val="22"/>
          <w:lang w:val="en-GB"/>
        </w:rPr>
        <w:t>(</w:t>
      </w:r>
      <w:r w:rsidRPr="000E6DE7">
        <w:rPr>
          <w:rFonts w:ascii="Arial" w:hAnsi="Arial" w:cs="Arial"/>
          <w:i/>
          <w:color w:val="7B7B7B" w:themeColor="accent3" w:themeShade="BF"/>
          <w:sz w:val="22"/>
          <w:szCs w:val="22"/>
          <w:lang w:val="en-GB"/>
        </w:rPr>
        <w:t>a</w:t>
      </w:r>
      <w:proofErr w:type="gramStart"/>
      <w:r w:rsidRPr="000E6DE7">
        <w:rPr>
          <w:rFonts w:ascii="Arial" w:hAnsi="Arial" w:cs="Arial"/>
          <w:i/>
          <w:color w:val="7B7B7B" w:themeColor="accent3" w:themeShade="BF"/>
          <w:sz w:val="22"/>
          <w:szCs w:val="22"/>
          <w:lang w:val="en-GB"/>
        </w:rPr>
        <w:t>)the</w:t>
      </w:r>
      <w:proofErr w:type="gramEnd"/>
      <w:r w:rsidRPr="000E6DE7">
        <w:rPr>
          <w:rFonts w:ascii="Arial" w:hAnsi="Arial" w:cs="Arial"/>
          <w:i/>
          <w:color w:val="7B7B7B" w:themeColor="accent3" w:themeShade="BF"/>
          <w:sz w:val="22"/>
          <w:szCs w:val="22"/>
          <w:lang w:val="en-GB"/>
        </w:rPr>
        <w:t xml:space="preserve"> contract or the supply would terminate, or any other thing would take place, because the company enters administration or the voluntary arrangement takes effect,</w:t>
      </w:r>
    </w:p>
    <w:p w14:paraId="786100FA" w14:textId="77777777" w:rsidR="000E6DE7" w:rsidRPr="000E6DE7" w:rsidRDefault="000E6DE7" w:rsidP="00BA3955">
      <w:pPr>
        <w:jc w:val="both"/>
        <w:rPr>
          <w:rFonts w:ascii="Arial" w:hAnsi="Arial" w:cs="Arial"/>
          <w:i/>
          <w:color w:val="7B7B7B" w:themeColor="accent3" w:themeShade="BF"/>
          <w:sz w:val="22"/>
          <w:szCs w:val="22"/>
          <w:lang w:val="en-GB"/>
        </w:rPr>
      </w:pPr>
      <w:r w:rsidRPr="000E6DE7">
        <w:rPr>
          <w:rFonts w:ascii="Arial" w:hAnsi="Arial" w:cs="Arial"/>
          <w:i/>
          <w:color w:val="7B7B7B" w:themeColor="accent3" w:themeShade="BF"/>
          <w:sz w:val="22"/>
          <w:szCs w:val="22"/>
          <w:lang w:val="en-GB"/>
        </w:rPr>
        <w:t>(</w:t>
      </w:r>
      <w:proofErr w:type="gramStart"/>
      <w:r w:rsidRPr="000E6DE7">
        <w:rPr>
          <w:rFonts w:ascii="Arial" w:hAnsi="Arial" w:cs="Arial"/>
          <w:i/>
          <w:color w:val="7B7B7B" w:themeColor="accent3" w:themeShade="BF"/>
          <w:sz w:val="22"/>
          <w:szCs w:val="22"/>
          <w:lang w:val="en-GB"/>
        </w:rPr>
        <w:t>b)</w:t>
      </w:r>
      <w:proofErr w:type="gramEnd"/>
      <w:r w:rsidRPr="000E6DE7">
        <w:rPr>
          <w:rFonts w:ascii="Arial" w:hAnsi="Arial" w:cs="Arial"/>
          <w:i/>
          <w:color w:val="7B7B7B" w:themeColor="accent3" w:themeShade="BF"/>
          <w:sz w:val="22"/>
          <w:szCs w:val="22"/>
          <w:lang w:val="en-GB"/>
        </w:rPr>
        <w:t>the supplier would be entitled to terminate the contract or the supply, or to do any other thing, because the company enters administration or the voluntary arrangement takes effect, or</w:t>
      </w:r>
    </w:p>
    <w:p w14:paraId="3C6F8137" w14:textId="77777777" w:rsidR="000E6DE7" w:rsidRPr="000E6DE7" w:rsidRDefault="000E6DE7" w:rsidP="00BA3955">
      <w:pPr>
        <w:jc w:val="both"/>
        <w:rPr>
          <w:rFonts w:ascii="Arial" w:hAnsi="Arial" w:cs="Arial"/>
          <w:i/>
          <w:color w:val="7B7B7B" w:themeColor="accent3" w:themeShade="BF"/>
          <w:sz w:val="22"/>
          <w:szCs w:val="22"/>
          <w:lang w:val="en-GB"/>
        </w:rPr>
      </w:pPr>
      <w:r w:rsidRPr="000E6DE7">
        <w:rPr>
          <w:rFonts w:ascii="Arial" w:hAnsi="Arial" w:cs="Arial"/>
          <w:i/>
          <w:color w:val="7B7B7B" w:themeColor="accent3" w:themeShade="BF"/>
          <w:sz w:val="22"/>
          <w:szCs w:val="22"/>
          <w:lang w:val="en-GB"/>
        </w:rPr>
        <w:t>(c</w:t>
      </w:r>
      <w:proofErr w:type="gramStart"/>
      <w:r w:rsidRPr="000E6DE7">
        <w:rPr>
          <w:rFonts w:ascii="Arial" w:hAnsi="Arial" w:cs="Arial"/>
          <w:i/>
          <w:color w:val="7B7B7B" w:themeColor="accent3" w:themeShade="BF"/>
          <w:sz w:val="22"/>
          <w:szCs w:val="22"/>
          <w:lang w:val="en-GB"/>
        </w:rPr>
        <w:t>)the</w:t>
      </w:r>
      <w:proofErr w:type="gramEnd"/>
      <w:r w:rsidRPr="000E6DE7">
        <w:rPr>
          <w:rFonts w:ascii="Arial" w:hAnsi="Arial" w:cs="Arial"/>
          <w:i/>
          <w:color w:val="7B7B7B" w:themeColor="accent3" w:themeShade="BF"/>
          <w:sz w:val="22"/>
          <w:szCs w:val="22"/>
          <w:lang w:val="en-GB"/>
        </w:rPr>
        <w:t xml:space="preserve"> supplier would be entitled to terminate the contract or the supply because of an event that occurred before the company enters administration or the voluntary arrangement takes effect.</w:t>
      </w:r>
    </w:p>
    <w:p w14:paraId="05AF7020" w14:textId="77777777" w:rsidR="000E6DE7" w:rsidRPr="00255132" w:rsidRDefault="000E6DE7" w:rsidP="00BA3955">
      <w:pPr>
        <w:jc w:val="both"/>
        <w:rPr>
          <w:rFonts w:ascii="Arial" w:hAnsi="Arial" w:cs="Arial"/>
          <w:color w:val="7B7B7B" w:themeColor="accent3" w:themeShade="BF"/>
          <w:sz w:val="22"/>
          <w:szCs w:val="22"/>
          <w:lang w:val="en-GB"/>
        </w:rPr>
      </w:pPr>
    </w:p>
    <w:p w14:paraId="5C57A11F" w14:textId="4AB496C1" w:rsidR="00DD0440" w:rsidRPr="00DD0440" w:rsidRDefault="00DD0440"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Specifically in relation to administration, Section 233A(2)</w:t>
      </w:r>
      <w:r w:rsidR="00255132" w:rsidRPr="00255132">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(c) </w:t>
      </w:r>
      <w:r w:rsidR="00255132" w:rsidRPr="00255132">
        <w:rPr>
          <w:rFonts w:ascii="Arial" w:hAnsi="Arial" w:cs="Arial"/>
          <w:color w:val="7B7B7B" w:themeColor="accent3" w:themeShade="BF"/>
          <w:sz w:val="22"/>
          <w:szCs w:val="22"/>
          <w:lang w:val="en-GB"/>
        </w:rPr>
        <w:t xml:space="preserve">provides </w:t>
      </w:r>
      <w:r>
        <w:rPr>
          <w:rFonts w:ascii="Arial" w:hAnsi="Arial" w:cs="Arial"/>
          <w:color w:val="7B7B7B" w:themeColor="accent3" w:themeShade="BF"/>
          <w:sz w:val="22"/>
          <w:szCs w:val="22"/>
          <w:lang w:val="en-GB"/>
        </w:rPr>
        <w:t xml:space="preserve">an exception to the rule under 233A(1) in that </w:t>
      </w:r>
      <w:r w:rsidRPr="00DD0440">
        <w:rPr>
          <w:rFonts w:ascii="Arial" w:hAnsi="Arial" w:cs="Arial"/>
          <w:color w:val="7B7B7B" w:themeColor="accent3" w:themeShade="BF"/>
          <w:sz w:val="22"/>
          <w:szCs w:val="22"/>
        </w:rPr>
        <w:t xml:space="preserve">a supplier </w:t>
      </w:r>
      <w:r>
        <w:rPr>
          <w:rFonts w:ascii="Arial" w:hAnsi="Arial" w:cs="Arial"/>
          <w:color w:val="7B7B7B" w:themeColor="accent3" w:themeShade="BF"/>
          <w:sz w:val="22"/>
          <w:szCs w:val="22"/>
        </w:rPr>
        <w:t>in entitled to terminate the contract/</w:t>
      </w:r>
      <w:r w:rsidRPr="00DD0440">
        <w:rPr>
          <w:rFonts w:ascii="Arial" w:hAnsi="Arial" w:cs="Arial"/>
          <w:color w:val="7B7B7B" w:themeColor="accent3" w:themeShade="BF"/>
          <w:sz w:val="22"/>
          <w:szCs w:val="22"/>
        </w:rPr>
        <w:t>supply because of an event that occurs, or may occur, after t</w:t>
      </w:r>
      <w:r>
        <w:rPr>
          <w:rFonts w:ascii="Arial" w:hAnsi="Arial" w:cs="Arial"/>
          <w:color w:val="7B7B7B" w:themeColor="accent3" w:themeShade="BF"/>
          <w:sz w:val="22"/>
          <w:szCs w:val="22"/>
        </w:rPr>
        <w:t>he company enters administration</w:t>
      </w:r>
      <w:r w:rsidRPr="00DD0440">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However, pursuant to Section 233A(5), the supplier must </w:t>
      </w:r>
      <w:r>
        <w:rPr>
          <w:rFonts w:ascii="Arial" w:hAnsi="Arial" w:cs="Arial"/>
          <w:color w:val="7B7B7B" w:themeColor="accent3" w:themeShade="BF"/>
          <w:sz w:val="22"/>
          <w:szCs w:val="22"/>
          <w:lang w:val="en-GB"/>
        </w:rPr>
        <w:t>give a</w:t>
      </w:r>
      <w:r w:rsidRPr="00DD0440">
        <w:rPr>
          <w:rFonts w:ascii="Arial" w:hAnsi="Arial" w:cs="Arial"/>
          <w:color w:val="7B7B7B" w:themeColor="accent3" w:themeShade="BF"/>
          <w:sz w:val="22"/>
          <w:szCs w:val="22"/>
          <w:lang w:val="en-GB"/>
        </w:rPr>
        <w:t xml:space="preserve"> written notice to the </w:t>
      </w:r>
      <w:r>
        <w:rPr>
          <w:rFonts w:ascii="Arial" w:hAnsi="Arial" w:cs="Arial"/>
          <w:color w:val="7B7B7B" w:themeColor="accent3" w:themeShade="BF"/>
          <w:sz w:val="22"/>
          <w:szCs w:val="22"/>
          <w:lang w:val="en-GB"/>
        </w:rPr>
        <w:t>administrator</w:t>
      </w:r>
      <w:r w:rsidRPr="00DD0440">
        <w:rPr>
          <w:rFonts w:ascii="Arial" w:hAnsi="Arial" w:cs="Arial"/>
          <w:color w:val="7B7B7B" w:themeColor="accent3" w:themeShade="BF"/>
          <w:sz w:val="22"/>
          <w:szCs w:val="22"/>
          <w:lang w:val="en-GB"/>
        </w:rPr>
        <w:t xml:space="preserve"> that the supply will be terminated unless </w:t>
      </w:r>
      <w:r>
        <w:rPr>
          <w:rFonts w:ascii="Arial" w:hAnsi="Arial" w:cs="Arial"/>
          <w:color w:val="7B7B7B" w:themeColor="accent3" w:themeShade="BF"/>
          <w:sz w:val="22"/>
          <w:szCs w:val="22"/>
          <w:lang w:val="en-GB"/>
        </w:rPr>
        <w:t>he/she</w:t>
      </w:r>
      <w:r w:rsidRPr="00DD0440">
        <w:rPr>
          <w:rFonts w:ascii="Arial" w:hAnsi="Arial" w:cs="Arial"/>
          <w:color w:val="7B7B7B" w:themeColor="accent3" w:themeShade="BF"/>
          <w:sz w:val="22"/>
          <w:szCs w:val="22"/>
          <w:lang w:val="en-GB"/>
        </w:rPr>
        <w:t xml:space="preserve"> personally guarantees the payment of any charges in respect of the continuation of the supply after the company entered administration, and</w:t>
      </w:r>
      <w:r w:rsidR="0005618F">
        <w:rPr>
          <w:rFonts w:ascii="Arial" w:hAnsi="Arial" w:cs="Arial"/>
          <w:color w:val="7B7B7B" w:themeColor="accent3" w:themeShade="BF"/>
          <w:sz w:val="22"/>
          <w:szCs w:val="22"/>
          <w:lang w:val="en-GB"/>
        </w:rPr>
        <w:t xml:space="preserve"> termination should only be effective is the administrator</w:t>
      </w:r>
      <w:r>
        <w:rPr>
          <w:rFonts w:ascii="Arial" w:hAnsi="Arial" w:cs="Arial"/>
          <w:color w:val="7B7B7B" w:themeColor="accent3" w:themeShade="BF"/>
          <w:sz w:val="22"/>
          <w:szCs w:val="22"/>
          <w:lang w:val="en-GB"/>
        </w:rPr>
        <w:t xml:space="preserve"> </w:t>
      </w:r>
      <w:r w:rsidRPr="00DD0440">
        <w:rPr>
          <w:rFonts w:ascii="Arial" w:hAnsi="Arial" w:cs="Arial"/>
          <w:color w:val="7B7B7B" w:themeColor="accent3" w:themeShade="BF"/>
          <w:sz w:val="22"/>
          <w:szCs w:val="22"/>
          <w:lang w:val="en-GB"/>
        </w:rPr>
        <w:t>does not give that guarantee within the period of 14 days beginning with the day the notice is received.</w:t>
      </w:r>
    </w:p>
    <w:p w14:paraId="3786CE1F" w14:textId="77777777" w:rsidR="00DD0440" w:rsidRDefault="00DD0440" w:rsidP="00255132">
      <w:pPr>
        <w:jc w:val="both"/>
        <w:rPr>
          <w:rFonts w:ascii="Arial" w:hAnsi="Arial" w:cs="Arial"/>
          <w:color w:val="7B7B7B" w:themeColor="accent3" w:themeShade="BF"/>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5CAED3D1" w14:textId="6F72D138" w:rsidR="00FA5464" w:rsidRPr="00FA5464" w:rsidRDefault="006734C3"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w:t>
      </w:r>
      <w:r w:rsidR="00FA5464" w:rsidRPr="00FA5464">
        <w:rPr>
          <w:rFonts w:ascii="Arial" w:hAnsi="Arial" w:cs="Arial"/>
          <w:color w:val="7B7B7B" w:themeColor="accent3" w:themeShade="BF"/>
          <w:sz w:val="22"/>
          <w:szCs w:val="22"/>
          <w:lang w:val="en-GB"/>
        </w:rPr>
        <w:t xml:space="preserve"> of the primary purpose of a liquidation of a company is to distribute the assets of the company (including any funds recovered as a consequence of voidable transactions including but not limited to preferences and fraudulent trading), amongst all creditors and other stakeholders of the company. </w:t>
      </w:r>
    </w:p>
    <w:p w14:paraId="56B042AE" w14:textId="77777777" w:rsidR="00FA5464" w:rsidRDefault="00FA5464" w:rsidP="00BA3955">
      <w:pPr>
        <w:jc w:val="both"/>
        <w:rPr>
          <w:rFonts w:ascii="Arial" w:hAnsi="Arial" w:cs="Arial"/>
          <w:color w:val="7B7B7B" w:themeColor="accent3" w:themeShade="BF"/>
          <w:sz w:val="22"/>
          <w:szCs w:val="22"/>
          <w:lang w:val="en-GB"/>
        </w:rPr>
      </w:pPr>
    </w:p>
    <w:p w14:paraId="4C0A21BB" w14:textId="6EEEBD5D" w:rsidR="00FA5464" w:rsidRPr="00FA5464" w:rsidRDefault="00FA5464" w:rsidP="00BA3955">
      <w:pPr>
        <w:jc w:val="both"/>
        <w:rPr>
          <w:rFonts w:ascii="Arial" w:hAnsi="Arial" w:cs="Arial"/>
          <w:color w:val="7B7B7B" w:themeColor="accent3" w:themeShade="BF"/>
          <w:sz w:val="22"/>
          <w:szCs w:val="22"/>
          <w:lang w:val="en-GB"/>
        </w:rPr>
      </w:pPr>
      <w:r w:rsidRPr="00FA5464">
        <w:rPr>
          <w:rFonts w:ascii="Arial" w:hAnsi="Arial" w:cs="Arial"/>
          <w:color w:val="7B7B7B" w:themeColor="accent3" w:themeShade="BF"/>
          <w:sz w:val="22"/>
          <w:szCs w:val="22"/>
          <w:lang w:val="en-GB"/>
        </w:rPr>
        <w:t xml:space="preserve">The order of distribution of assets of a company is not as straightforward as the </w:t>
      </w:r>
      <w:r w:rsidRPr="00C37372">
        <w:rPr>
          <w:rFonts w:ascii="Arial" w:hAnsi="Arial" w:cs="Arial"/>
          <w:i/>
          <w:color w:val="7B7B7B" w:themeColor="accent3" w:themeShade="BF"/>
          <w:sz w:val="22"/>
          <w:szCs w:val="22"/>
          <w:lang w:val="en-GB"/>
        </w:rPr>
        <w:t>parri passu</w:t>
      </w:r>
      <w:r w:rsidRPr="00FA5464">
        <w:rPr>
          <w:rFonts w:ascii="Arial" w:hAnsi="Arial" w:cs="Arial"/>
          <w:color w:val="7B7B7B" w:themeColor="accent3" w:themeShade="BF"/>
          <w:sz w:val="22"/>
          <w:szCs w:val="22"/>
          <w:lang w:val="en-GB"/>
        </w:rPr>
        <w:t xml:space="preserve"> principle where all creditors are treated equally. The relevant priorities are provided in the IA (as described further below):</w:t>
      </w:r>
    </w:p>
    <w:p w14:paraId="3BBCD08F" w14:textId="77777777" w:rsidR="00FA5464" w:rsidRPr="00FA5464" w:rsidRDefault="00FA5464" w:rsidP="00BA3955">
      <w:pPr>
        <w:ind w:left="720"/>
        <w:jc w:val="both"/>
        <w:rPr>
          <w:rFonts w:ascii="Arial" w:hAnsi="Arial" w:cs="Arial"/>
          <w:color w:val="7B7B7B" w:themeColor="accent3" w:themeShade="BF"/>
          <w:sz w:val="22"/>
          <w:szCs w:val="22"/>
          <w:lang w:val="en-GB"/>
        </w:rPr>
      </w:pPr>
    </w:p>
    <w:p w14:paraId="6693F9E8" w14:textId="77777777" w:rsidR="00FA5464" w:rsidRDefault="00FA5464" w:rsidP="00BA3955">
      <w:pPr>
        <w:numPr>
          <w:ilvl w:val="0"/>
          <w:numId w:val="21"/>
        </w:numPr>
        <w:jc w:val="both"/>
        <w:rPr>
          <w:rFonts w:ascii="Arial" w:hAnsi="Arial" w:cs="Arial"/>
          <w:color w:val="7B7B7B" w:themeColor="accent3" w:themeShade="BF"/>
          <w:sz w:val="22"/>
          <w:szCs w:val="22"/>
          <w:lang w:val="en-GB"/>
        </w:rPr>
      </w:pPr>
      <w:r w:rsidRPr="00FA5464">
        <w:rPr>
          <w:rFonts w:ascii="Arial" w:hAnsi="Arial" w:cs="Arial"/>
          <w:color w:val="7B7B7B" w:themeColor="accent3" w:themeShade="BF"/>
          <w:sz w:val="22"/>
          <w:szCs w:val="22"/>
          <w:u w:val="single"/>
          <w:lang w:val="en-GB"/>
        </w:rPr>
        <w:lastRenderedPageBreak/>
        <w:t>Secured Creditors</w:t>
      </w:r>
      <w:r w:rsidRPr="00FA5464">
        <w:rPr>
          <w:rFonts w:ascii="Arial" w:hAnsi="Arial" w:cs="Arial"/>
          <w:color w:val="7B7B7B" w:themeColor="accent3" w:themeShade="BF"/>
          <w:sz w:val="22"/>
          <w:szCs w:val="22"/>
          <w:lang w:val="en-GB"/>
        </w:rPr>
        <w:t xml:space="preserve">: </w:t>
      </w:r>
    </w:p>
    <w:p w14:paraId="2B6FF37A" w14:textId="77777777" w:rsidR="00FA5464" w:rsidRDefault="00FA5464" w:rsidP="00BA3955">
      <w:pPr>
        <w:ind w:left="720"/>
        <w:jc w:val="both"/>
        <w:rPr>
          <w:rFonts w:ascii="Arial" w:hAnsi="Arial" w:cs="Arial"/>
          <w:color w:val="7B7B7B" w:themeColor="accent3" w:themeShade="BF"/>
          <w:sz w:val="22"/>
          <w:szCs w:val="22"/>
          <w:lang w:val="en-GB"/>
        </w:rPr>
      </w:pPr>
    </w:p>
    <w:p w14:paraId="5599DEAE" w14:textId="204FAB6B" w:rsidR="00FA5464" w:rsidRPr="00FA5464" w:rsidRDefault="00FA5464" w:rsidP="00BA3955">
      <w:pPr>
        <w:ind w:left="720"/>
        <w:jc w:val="both"/>
        <w:rPr>
          <w:rFonts w:ascii="Arial" w:hAnsi="Arial" w:cs="Arial"/>
          <w:color w:val="7B7B7B" w:themeColor="accent3" w:themeShade="BF"/>
          <w:sz w:val="22"/>
          <w:szCs w:val="22"/>
          <w:lang w:val="en-GB"/>
        </w:rPr>
      </w:pPr>
      <w:r w:rsidRPr="00FA5464">
        <w:rPr>
          <w:rFonts w:ascii="Arial" w:hAnsi="Arial" w:cs="Arial"/>
          <w:color w:val="7B7B7B" w:themeColor="accent3" w:themeShade="BF"/>
          <w:sz w:val="22"/>
          <w:szCs w:val="22"/>
          <w:lang w:val="en-GB"/>
        </w:rPr>
        <w:t xml:space="preserve">Whilst this is not categorically provided as a priority payment under the IA, a holder of a qualified floating charge may enforce its rights under the same, usually by appointing an out of court administrator to realise the secured assets under the charge. Accordingly, a liquidation cannot proceed until the administration is complete. However, a secured creditor can reach agreement with the liquidator to commence and continue with the liquidation provided that the liquidator realise the assets of the floating charge holder and satisfy the debt prior to the other realisations and payments. </w:t>
      </w:r>
    </w:p>
    <w:p w14:paraId="0B00A629" w14:textId="77777777" w:rsidR="00FA5464" w:rsidRPr="00FA5464" w:rsidRDefault="00FA5464" w:rsidP="00BA3955">
      <w:pPr>
        <w:ind w:left="720"/>
        <w:jc w:val="both"/>
        <w:rPr>
          <w:rFonts w:ascii="Arial" w:hAnsi="Arial" w:cs="Arial"/>
          <w:color w:val="7B7B7B" w:themeColor="accent3" w:themeShade="BF"/>
          <w:sz w:val="22"/>
          <w:szCs w:val="22"/>
          <w:lang w:val="en-GB"/>
        </w:rPr>
      </w:pPr>
    </w:p>
    <w:p w14:paraId="76FE4AD5" w14:textId="77777777" w:rsidR="00FA5464" w:rsidRDefault="00FA5464" w:rsidP="00BA3955">
      <w:pPr>
        <w:numPr>
          <w:ilvl w:val="0"/>
          <w:numId w:val="21"/>
        </w:numPr>
        <w:jc w:val="both"/>
        <w:rPr>
          <w:rFonts w:ascii="Arial" w:hAnsi="Arial" w:cs="Arial"/>
          <w:color w:val="7B7B7B" w:themeColor="accent3" w:themeShade="BF"/>
          <w:sz w:val="22"/>
          <w:szCs w:val="22"/>
          <w:lang w:val="en-GB"/>
        </w:rPr>
      </w:pPr>
      <w:r w:rsidRPr="00FA5464">
        <w:rPr>
          <w:rFonts w:ascii="Arial" w:hAnsi="Arial" w:cs="Arial"/>
          <w:color w:val="7B7B7B" w:themeColor="accent3" w:themeShade="BF"/>
          <w:sz w:val="22"/>
          <w:szCs w:val="22"/>
          <w:u w:val="single"/>
          <w:lang w:val="en-GB"/>
        </w:rPr>
        <w:t>Liquidation costs and expenses</w:t>
      </w:r>
      <w:r w:rsidRPr="00FA5464">
        <w:rPr>
          <w:rFonts w:ascii="Arial" w:hAnsi="Arial" w:cs="Arial"/>
          <w:color w:val="7B7B7B" w:themeColor="accent3" w:themeShade="BF"/>
          <w:sz w:val="22"/>
          <w:szCs w:val="22"/>
          <w:lang w:val="en-GB"/>
        </w:rPr>
        <w:t xml:space="preserve">: </w:t>
      </w:r>
    </w:p>
    <w:p w14:paraId="47187278" w14:textId="77777777" w:rsidR="00FA5464" w:rsidRDefault="00FA5464" w:rsidP="00BA3955">
      <w:pPr>
        <w:ind w:left="720"/>
        <w:jc w:val="both"/>
        <w:rPr>
          <w:rFonts w:ascii="Arial" w:hAnsi="Arial" w:cs="Arial"/>
          <w:color w:val="7B7B7B" w:themeColor="accent3" w:themeShade="BF"/>
          <w:sz w:val="22"/>
          <w:szCs w:val="22"/>
          <w:lang w:val="en-GB"/>
        </w:rPr>
      </w:pPr>
    </w:p>
    <w:p w14:paraId="36185EF3" w14:textId="69CAB752" w:rsidR="007C7F8C" w:rsidRDefault="00FA5464" w:rsidP="00BA3955">
      <w:pPr>
        <w:ind w:left="720"/>
        <w:jc w:val="both"/>
        <w:rPr>
          <w:rFonts w:ascii="Arial" w:hAnsi="Arial" w:cs="Arial"/>
          <w:color w:val="7B7B7B" w:themeColor="accent3" w:themeShade="BF"/>
          <w:sz w:val="22"/>
          <w:szCs w:val="22"/>
          <w:lang w:val="en-GB"/>
        </w:rPr>
      </w:pPr>
      <w:r w:rsidRPr="00FA5464">
        <w:rPr>
          <w:rFonts w:ascii="Arial" w:hAnsi="Arial" w:cs="Arial"/>
          <w:color w:val="7B7B7B" w:themeColor="accent3" w:themeShade="BF"/>
          <w:sz w:val="22"/>
          <w:szCs w:val="22"/>
          <w:lang w:val="en-GB"/>
        </w:rPr>
        <w:t>Section 115 provides that all expenses in relation to winding up including the liquidators’ fees are payable in prio</w:t>
      </w:r>
      <w:r w:rsidR="007C7F8C">
        <w:rPr>
          <w:rFonts w:ascii="Arial" w:hAnsi="Arial" w:cs="Arial"/>
          <w:color w:val="7B7B7B" w:themeColor="accent3" w:themeShade="BF"/>
          <w:sz w:val="22"/>
          <w:szCs w:val="22"/>
          <w:lang w:val="en-GB"/>
        </w:rPr>
        <w:t>rity to all other claims. IR7.108(1)</w:t>
      </w:r>
      <w:r w:rsidRPr="00FA5464">
        <w:rPr>
          <w:rFonts w:ascii="Arial" w:hAnsi="Arial" w:cs="Arial"/>
          <w:color w:val="7B7B7B" w:themeColor="accent3" w:themeShade="BF"/>
          <w:sz w:val="22"/>
          <w:szCs w:val="22"/>
          <w:lang w:val="en-GB"/>
        </w:rPr>
        <w:t xml:space="preserve"> </w:t>
      </w:r>
      <w:r w:rsidR="007C7F8C" w:rsidRPr="00FA5464">
        <w:rPr>
          <w:rFonts w:ascii="Arial" w:hAnsi="Arial" w:cs="Arial"/>
          <w:color w:val="7B7B7B" w:themeColor="accent3" w:themeShade="BF"/>
          <w:sz w:val="22"/>
          <w:szCs w:val="22"/>
          <w:lang w:val="en-GB"/>
        </w:rPr>
        <w:t>(for winding-up by court)</w:t>
      </w:r>
      <w:r w:rsidR="007C7F8C">
        <w:rPr>
          <w:rFonts w:ascii="Arial" w:hAnsi="Arial" w:cs="Arial"/>
          <w:color w:val="7B7B7B" w:themeColor="accent3" w:themeShade="BF"/>
          <w:sz w:val="22"/>
          <w:szCs w:val="22"/>
          <w:lang w:val="en-GB"/>
        </w:rPr>
        <w:t xml:space="preserve"> and </w:t>
      </w:r>
      <w:r w:rsidR="007C7F8C" w:rsidRPr="00FA5464">
        <w:rPr>
          <w:rFonts w:ascii="Arial" w:hAnsi="Arial" w:cs="Arial"/>
          <w:color w:val="7B7B7B" w:themeColor="accent3" w:themeShade="BF"/>
          <w:sz w:val="22"/>
          <w:szCs w:val="22"/>
          <w:lang w:val="en-GB"/>
        </w:rPr>
        <w:t>IR6.42</w:t>
      </w:r>
      <w:r w:rsidR="007C7F8C">
        <w:rPr>
          <w:rFonts w:ascii="Arial" w:hAnsi="Arial" w:cs="Arial"/>
          <w:color w:val="7B7B7B" w:themeColor="accent3" w:themeShade="BF"/>
          <w:sz w:val="22"/>
          <w:szCs w:val="22"/>
          <w:lang w:val="en-GB"/>
        </w:rPr>
        <w:t>(1)</w:t>
      </w:r>
      <w:r w:rsidR="007C7F8C" w:rsidRPr="00FA5464">
        <w:rPr>
          <w:rFonts w:ascii="Arial" w:hAnsi="Arial" w:cs="Arial"/>
          <w:color w:val="7B7B7B" w:themeColor="accent3" w:themeShade="BF"/>
          <w:sz w:val="22"/>
          <w:szCs w:val="22"/>
          <w:lang w:val="en-GB"/>
        </w:rPr>
        <w:t xml:space="preserve"> (for creditors’ voluntary winding-up)</w:t>
      </w:r>
      <w:r w:rsidR="007C7F8C">
        <w:rPr>
          <w:rFonts w:ascii="Arial" w:hAnsi="Arial" w:cs="Arial"/>
          <w:color w:val="7B7B7B" w:themeColor="accent3" w:themeShade="BF"/>
          <w:sz w:val="22"/>
          <w:szCs w:val="22"/>
          <w:lang w:val="en-GB"/>
        </w:rPr>
        <w:t xml:space="preserve"> </w:t>
      </w:r>
      <w:r w:rsidRPr="00FA5464">
        <w:rPr>
          <w:rFonts w:ascii="Arial" w:hAnsi="Arial" w:cs="Arial"/>
          <w:color w:val="7B7B7B" w:themeColor="accent3" w:themeShade="BF"/>
          <w:sz w:val="22"/>
          <w:szCs w:val="22"/>
          <w:lang w:val="en-GB"/>
        </w:rPr>
        <w:t>provides that all ‘</w:t>
      </w:r>
      <w:r w:rsidRPr="007C7F8C">
        <w:rPr>
          <w:rFonts w:ascii="Arial" w:hAnsi="Arial" w:cs="Arial"/>
          <w:i/>
          <w:color w:val="7B7B7B" w:themeColor="accent3" w:themeShade="BF"/>
          <w:sz w:val="22"/>
          <w:szCs w:val="22"/>
          <w:lang w:val="en-GB"/>
        </w:rPr>
        <w:t>fees, costs, charges and other expenses incurred in the course of winding up’</w:t>
      </w:r>
      <w:r w:rsidRPr="00FA5464">
        <w:rPr>
          <w:rFonts w:ascii="Arial" w:hAnsi="Arial" w:cs="Arial"/>
          <w:color w:val="7B7B7B" w:themeColor="accent3" w:themeShade="BF"/>
          <w:sz w:val="22"/>
          <w:szCs w:val="22"/>
          <w:lang w:val="en-GB"/>
        </w:rPr>
        <w:t xml:space="preserve"> are to be regarded as expenses of the winding up.  IR6.42 and IR7.108 </w:t>
      </w:r>
      <w:r w:rsidR="007C7F8C">
        <w:rPr>
          <w:rFonts w:ascii="Arial" w:hAnsi="Arial" w:cs="Arial"/>
          <w:color w:val="7B7B7B" w:themeColor="accent3" w:themeShade="BF"/>
          <w:sz w:val="22"/>
          <w:szCs w:val="22"/>
          <w:lang w:val="en-GB"/>
        </w:rPr>
        <w:t>further provide</w:t>
      </w:r>
      <w:r w:rsidRPr="00FA5464">
        <w:rPr>
          <w:rFonts w:ascii="Arial" w:hAnsi="Arial" w:cs="Arial"/>
          <w:color w:val="7B7B7B" w:themeColor="accent3" w:themeShade="BF"/>
          <w:sz w:val="22"/>
          <w:szCs w:val="22"/>
          <w:lang w:val="en-GB"/>
        </w:rPr>
        <w:t xml:space="preserve"> details (and an order of priority under sub-section 4) in relation to the expenses of liquidation treating the expenses incurred by the liquidator as first in line of priority.  The reason a liquidator is provided this priority over all other claims is that he/she is providing services to ensure the best possible returns for the creditor and key stakeholders and the creditors therefore have a common interest in the liquidator’s functions and duties. </w:t>
      </w:r>
      <w:r w:rsidR="00AA7B0D">
        <w:rPr>
          <w:rFonts w:ascii="Arial" w:hAnsi="Arial" w:cs="Arial"/>
          <w:color w:val="7B7B7B" w:themeColor="accent3" w:themeShade="BF"/>
          <w:sz w:val="22"/>
          <w:szCs w:val="22"/>
          <w:lang w:val="en-GB"/>
        </w:rPr>
        <w:t>Some</w:t>
      </w:r>
      <w:r w:rsidR="007735CC">
        <w:rPr>
          <w:rFonts w:ascii="Arial" w:hAnsi="Arial" w:cs="Arial"/>
          <w:color w:val="7B7B7B" w:themeColor="accent3" w:themeShade="BF"/>
          <w:sz w:val="22"/>
          <w:szCs w:val="22"/>
          <w:lang w:val="en-GB"/>
        </w:rPr>
        <w:t xml:space="preserve"> of the costs/ expenses contemplated in</w:t>
      </w:r>
      <w:r w:rsidR="007C7F8C">
        <w:rPr>
          <w:rFonts w:ascii="Arial" w:hAnsi="Arial" w:cs="Arial"/>
          <w:color w:val="7B7B7B" w:themeColor="accent3" w:themeShade="BF"/>
          <w:sz w:val="22"/>
          <w:szCs w:val="22"/>
          <w:lang w:val="en-GB"/>
        </w:rPr>
        <w:t xml:space="preserve"> sub section 4</w:t>
      </w:r>
      <w:r w:rsidR="007735CC">
        <w:rPr>
          <w:rFonts w:ascii="Arial" w:hAnsi="Arial" w:cs="Arial"/>
          <w:color w:val="7B7B7B" w:themeColor="accent3" w:themeShade="BF"/>
          <w:sz w:val="22"/>
          <w:szCs w:val="22"/>
          <w:lang w:val="en-GB"/>
        </w:rPr>
        <w:t xml:space="preserve"> of either of the rule 7.108</w:t>
      </w:r>
      <w:r w:rsidR="00793170">
        <w:rPr>
          <w:rFonts w:ascii="Arial" w:hAnsi="Arial" w:cs="Arial"/>
          <w:color w:val="7B7B7B" w:themeColor="accent3" w:themeShade="BF"/>
          <w:sz w:val="22"/>
          <w:szCs w:val="22"/>
          <w:lang w:val="en-GB"/>
        </w:rPr>
        <w:t xml:space="preserve"> </w:t>
      </w:r>
      <w:r w:rsidR="007735CC">
        <w:rPr>
          <w:rFonts w:ascii="Arial" w:hAnsi="Arial" w:cs="Arial"/>
          <w:color w:val="7B7B7B" w:themeColor="accent3" w:themeShade="BF"/>
          <w:sz w:val="22"/>
          <w:szCs w:val="22"/>
          <w:lang w:val="en-GB"/>
        </w:rPr>
        <w:t xml:space="preserve">or 6.42 are </w:t>
      </w:r>
      <w:r w:rsidR="007C7F8C">
        <w:rPr>
          <w:rFonts w:ascii="Arial" w:hAnsi="Arial" w:cs="Arial"/>
          <w:color w:val="7B7B7B" w:themeColor="accent3" w:themeShade="BF"/>
          <w:sz w:val="22"/>
          <w:szCs w:val="22"/>
          <w:lang w:val="en-GB"/>
        </w:rPr>
        <w:t>as follows:</w:t>
      </w:r>
    </w:p>
    <w:p w14:paraId="0F3286C2" w14:textId="774FF1A4" w:rsidR="007735CC" w:rsidRDefault="007C7F8C" w:rsidP="00BA3955">
      <w:pPr>
        <w:pStyle w:val="ListParagraph"/>
        <w:numPr>
          <w:ilvl w:val="0"/>
          <w:numId w:val="22"/>
        </w:numPr>
        <w:jc w:val="both"/>
        <w:rPr>
          <w:rFonts w:ascii="Arial" w:hAnsi="Arial" w:cs="Arial"/>
          <w:color w:val="7B7B7B" w:themeColor="accent3" w:themeShade="BF"/>
          <w:sz w:val="22"/>
          <w:szCs w:val="22"/>
          <w:lang w:val="en-GB"/>
        </w:rPr>
      </w:pPr>
      <w:r w:rsidRPr="007735CC">
        <w:rPr>
          <w:rFonts w:ascii="Arial" w:hAnsi="Arial" w:cs="Arial"/>
          <w:color w:val="7B7B7B" w:themeColor="accent3" w:themeShade="BF"/>
          <w:sz w:val="22"/>
          <w:szCs w:val="22"/>
          <w:lang w:val="en-GB"/>
        </w:rPr>
        <w:t xml:space="preserve">expenses incurred by the liquidator in preserving, realising or getting the assets of the </w:t>
      </w:r>
      <w:r w:rsidR="007735CC" w:rsidRPr="007735CC">
        <w:rPr>
          <w:rFonts w:ascii="Arial" w:hAnsi="Arial" w:cs="Arial"/>
          <w:color w:val="7B7B7B" w:themeColor="accent3" w:themeShade="BF"/>
          <w:sz w:val="22"/>
          <w:szCs w:val="22"/>
          <w:lang w:val="en-GB"/>
        </w:rPr>
        <w:t xml:space="preserve"> </w:t>
      </w:r>
      <w:r w:rsidRPr="007735CC">
        <w:rPr>
          <w:rFonts w:ascii="Arial" w:hAnsi="Arial" w:cs="Arial"/>
          <w:color w:val="7B7B7B" w:themeColor="accent3" w:themeShade="BF"/>
          <w:sz w:val="22"/>
          <w:szCs w:val="22"/>
          <w:lang w:val="en-GB"/>
        </w:rPr>
        <w:t>company o</w:t>
      </w:r>
      <w:r w:rsidR="003D5F94" w:rsidRPr="007735CC">
        <w:rPr>
          <w:rFonts w:ascii="Arial" w:hAnsi="Arial" w:cs="Arial"/>
          <w:color w:val="7B7B7B" w:themeColor="accent3" w:themeShade="BF"/>
          <w:sz w:val="22"/>
          <w:szCs w:val="22"/>
          <w:lang w:val="en-GB"/>
        </w:rPr>
        <w:t xml:space="preserve">r otherwise in the preparation or </w:t>
      </w:r>
      <w:r w:rsidRPr="007735CC">
        <w:rPr>
          <w:rFonts w:ascii="Arial" w:hAnsi="Arial" w:cs="Arial"/>
          <w:color w:val="7B7B7B" w:themeColor="accent3" w:themeShade="BF"/>
          <w:sz w:val="22"/>
          <w:szCs w:val="22"/>
          <w:lang w:val="en-GB"/>
        </w:rPr>
        <w:t xml:space="preserve">conduct </w:t>
      </w:r>
      <w:r w:rsidR="003D5F94" w:rsidRPr="007735CC">
        <w:rPr>
          <w:rFonts w:ascii="Arial" w:hAnsi="Arial" w:cs="Arial"/>
          <w:color w:val="7B7B7B" w:themeColor="accent3" w:themeShade="BF"/>
          <w:sz w:val="22"/>
          <w:szCs w:val="22"/>
          <w:lang w:val="en-GB"/>
        </w:rPr>
        <w:t>of any legal proceedings (including arbi</w:t>
      </w:r>
      <w:r w:rsidR="007735CC">
        <w:rPr>
          <w:rFonts w:ascii="Arial" w:hAnsi="Arial" w:cs="Arial"/>
          <w:color w:val="7B7B7B" w:themeColor="accent3" w:themeShade="BF"/>
          <w:sz w:val="22"/>
          <w:szCs w:val="22"/>
          <w:lang w:val="en-GB"/>
        </w:rPr>
        <w:t>tration or related proceedings)</w:t>
      </w:r>
    </w:p>
    <w:p w14:paraId="23F38392" w14:textId="77777777" w:rsidR="007735CC" w:rsidRDefault="007735CC" w:rsidP="00BA3955">
      <w:pPr>
        <w:pStyle w:val="ListParagraph"/>
        <w:numPr>
          <w:ilvl w:val="0"/>
          <w:numId w:val="22"/>
        </w:numPr>
        <w:jc w:val="both"/>
        <w:rPr>
          <w:rFonts w:ascii="Arial" w:hAnsi="Arial" w:cs="Arial"/>
          <w:color w:val="7B7B7B" w:themeColor="accent3" w:themeShade="BF"/>
          <w:sz w:val="22"/>
          <w:szCs w:val="22"/>
          <w:lang w:val="en-GB"/>
        </w:rPr>
      </w:pPr>
      <w:r w:rsidRPr="007735CC">
        <w:rPr>
          <w:rFonts w:ascii="Arial" w:hAnsi="Arial" w:cs="Arial"/>
          <w:color w:val="7B7B7B" w:themeColor="accent3" w:themeShade="BF"/>
          <w:sz w:val="22"/>
          <w:szCs w:val="22"/>
          <w:lang w:val="en-GB"/>
        </w:rPr>
        <w:t xml:space="preserve">expenses incurred by the official receiver </w:t>
      </w:r>
    </w:p>
    <w:p w14:paraId="58240E17" w14:textId="71E85E1C" w:rsidR="00AA7B0D" w:rsidRDefault="003D5F94" w:rsidP="00BA3955">
      <w:pPr>
        <w:pStyle w:val="ListParagraph"/>
        <w:numPr>
          <w:ilvl w:val="0"/>
          <w:numId w:val="22"/>
        </w:numPr>
        <w:jc w:val="both"/>
        <w:rPr>
          <w:rFonts w:ascii="Arial" w:hAnsi="Arial" w:cs="Arial"/>
          <w:color w:val="7B7B7B" w:themeColor="accent3" w:themeShade="BF"/>
          <w:sz w:val="22"/>
          <w:szCs w:val="22"/>
          <w:lang w:val="en-GB"/>
        </w:rPr>
      </w:pPr>
      <w:r w:rsidRPr="007735CC">
        <w:rPr>
          <w:rFonts w:ascii="Arial" w:hAnsi="Arial" w:cs="Arial"/>
          <w:color w:val="7B7B7B" w:themeColor="accent3" w:themeShade="BF"/>
          <w:sz w:val="22"/>
          <w:szCs w:val="22"/>
          <w:lang w:val="en-GB"/>
        </w:rPr>
        <w:t xml:space="preserve">security of </w:t>
      </w:r>
      <w:r w:rsidR="007C7F8C" w:rsidRPr="007735CC">
        <w:rPr>
          <w:rFonts w:ascii="Arial" w:hAnsi="Arial" w:cs="Arial"/>
          <w:color w:val="7B7B7B" w:themeColor="accent3" w:themeShade="BF"/>
          <w:sz w:val="22"/>
          <w:szCs w:val="22"/>
          <w:lang w:val="en-GB"/>
        </w:rPr>
        <w:t>cost</w:t>
      </w:r>
      <w:r w:rsidRPr="007735CC">
        <w:rPr>
          <w:rFonts w:ascii="Arial" w:hAnsi="Arial" w:cs="Arial"/>
          <w:color w:val="7B7B7B" w:themeColor="accent3" w:themeShade="BF"/>
          <w:sz w:val="22"/>
          <w:szCs w:val="22"/>
          <w:lang w:val="en-GB"/>
        </w:rPr>
        <w:t>s</w:t>
      </w:r>
      <w:r w:rsidR="007C7F8C" w:rsidRPr="007735CC">
        <w:rPr>
          <w:rFonts w:ascii="Arial" w:hAnsi="Arial" w:cs="Arial"/>
          <w:color w:val="7B7B7B" w:themeColor="accent3" w:themeShade="BF"/>
          <w:sz w:val="22"/>
          <w:szCs w:val="22"/>
          <w:lang w:val="en-GB"/>
        </w:rPr>
        <w:t xml:space="preserve"> provided by the liquidator </w:t>
      </w:r>
      <w:r w:rsidRPr="007735CC">
        <w:rPr>
          <w:rFonts w:ascii="Arial" w:hAnsi="Arial" w:cs="Arial"/>
          <w:color w:val="7B7B7B" w:themeColor="accent3" w:themeShade="BF"/>
          <w:sz w:val="22"/>
          <w:szCs w:val="22"/>
          <w:lang w:val="en-GB"/>
        </w:rPr>
        <w:t>pursuant to the IA/IR</w:t>
      </w:r>
    </w:p>
    <w:p w14:paraId="2A78CF4C" w14:textId="05C6FC70" w:rsidR="007C7F8C" w:rsidRDefault="00AA7B0D" w:rsidP="00BA3955">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fees payable </w:t>
      </w:r>
      <w:r w:rsidR="007C7F8C" w:rsidRPr="00AA7B0D">
        <w:rPr>
          <w:rFonts w:ascii="Arial" w:hAnsi="Arial" w:cs="Arial"/>
          <w:color w:val="7B7B7B" w:themeColor="accent3" w:themeShade="BF"/>
          <w:sz w:val="22"/>
          <w:szCs w:val="22"/>
          <w:lang w:val="en-GB"/>
        </w:rPr>
        <w:t>to a</w:t>
      </w:r>
      <w:r>
        <w:rPr>
          <w:rFonts w:ascii="Arial" w:hAnsi="Arial" w:cs="Arial"/>
          <w:color w:val="7B7B7B" w:themeColor="accent3" w:themeShade="BF"/>
          <w:sz w:val="22"/>
          <w:szCs w:val="22"/>
          <w:lang w:val="en-GB"/>
        </w:rPr>
        <w:t xml:space="preserve"> person employed or authorised </w:t>
      </w:r>
      <w:r w:rsidR="007C7F8C" w:rsidRPr="00AA7B0D">
        <w:rPr>
          <w:rFonts w:ascii="Arial" w:hAnsi="Arial" w:cs="Arial"/>
          <w:color w:val="7B7B7B" w:themeColor="accent3" w:themeShade="BF"/>
          <w:sz w:val="22"/>
          <w:szCs w:val="22"/>
          <w:lang w:val="en-GB"/>
        </w:rPr>
        <w:t>to assist in the preparation of a stat</w:t>
      </w:r>
      <w:r>
        <w:rPr>
          <w:rFonts w:ascii="Arial" w:hAnsi="Arial" w:cs="Arial"/>
          <w:color w:val="7B7B7B" w:themeColor="accent3" w:themeShade="BF"/>
          <w:sz w:val="22"/>
          <w:szCs w:val="22"/>
          <w:lang w:val="en-GB"/>
        </w:rPr>
        <w:t>ement of affairs or of accounts</w:t>
      </w:r>
    </w:p>
    <w:p w14:paraId="306D6CBE" w14:textId="77777777" w:rsidR="00AA7B0D" w:rsidRDefault="00AA7B0D" w:rsidP="00BA3955">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fees payable to an official receiver for performing its duties</w:t>
      </w:r>
    </w:p>
    <w:p w14:paraId="2761428F" w14:textId="77777777" w:rsidR="00AA7B0D" w:rsidRDefault="007C7F8C" w:rsidP="00BA3955">
      <w:pPr>
        <w:pStyle w:val="ListParagraph"/>
        <w:numPr>
          <w:ilvl w:val="0"/>
          <w:numId w:val="22"/>
        </w:numPr>
        <w:jc w:val="both"/>
        <w:rPr>
          <w:rFonts w:ascii="Arial" w:hAnsi="Arial" w:cs="Arial"/>
          <w:color w:val="7B7B7B" w:themeColor="accent3" w:themeShade="BF"/>
          <w:sz w:val="22"/>
          <w:szCs w:val="22"/>
          <w:lang w:val="en-GB"/>
        </w:rPr>
      </w:pPr>
      <w:r w:rsidRPr="00AA7B0D">
        <w:rPr>
          <w:rFonts w:ascii="Arial" w:hAnsi="Arial" w:cs="Arial"/>
          <w:color w:val="7B7B7B" w:themeColor="accent3" w:themeShade="BF"/>
          <w:sz w:val="22"/>
          <w:szCs w:val="22"/>
          <w:lang w:val="en-GB"/>
        </w:rPr>
        <w:t>any necessary disbursements by the liquidator in the course of the ad</w:t>
      </w:r>
      <w:r w:rsidR="00AA7B0D">
        <w:rPr>
          <w:rFonts w:ascii="Arial" w:hAnsi="Arial" w:cs="Arial"/>
          <w:color w:val="7B7B7B" w:themeColor="accent3" w:themeShade="BF"/>
          <w:sz w:val="22"/>
          <w:szCs w:val="22"/>
          <w:lang w:val="en-GB"/>
        </w:rPr>
        <w:t>ministration of the winding up</w:t>
      </w:r>
    </w:p>
    <w:p w14:paraId="694B8340" w14:textId="77777777" w:rsidR="00AA7B0D" w:rsidRDefault="00AA7B0D" w:rsidP="00BA3955">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a provisional liquidator (if any)</w:t>
      </w:r>
    </w:p>
    <w:p w14:paraId="363AC1AF" w14:textId="77777777" w:rsidR="00AA7B0D" w:rsidRDefault="007C7F8C" w:rsidP="00BA3955">
      <w:pPr>
        <w:pStyle w:val="ListParagraph"/>
        <w:numPr>
          <w:ilvl w:val="0"/>
          <w:numId w:val="22"/>
        </w:numPr>
        <w:jc w:val="both"/>
        <w:rPr>
          <w:rFonts w:ascii="Arial" w:hAnsi="Arial" w:cs="Arial"/>
          <w:color w:val="7B7B7B" w:themeColor="accent3" w:themeShade="BF"/>
          <w:sz w:val="22"/>
          <w:szCs w:val="22"/>
          <w:lang w:val="en-GB"/>
        </w:rPr>
      </w:pPr>
      <w:r w:rsidRPr="00AA7B0D">
        <w:rPr>
          <w:rFonts w:ascii="Arial" w:hAnsi="Arial" w:cs="Arial"/>
          <w:color w:val="7B7B7B" w:themeColor="accent3" w:themeShade="BF"/>
          <w:sz w:val="22"/>
          <w:szCs w:val="22"/>
          <w:lang w:val="en-GB"/>
        </w:rPr>
        <w:t>remuneration due to the liquidator; and</w:t>
      </w:r>
    </w:p>
    <w:p w14:paraId="2DA571CB" w14:textId="1C5B08E8" w:rsidR="007C7F8C" w:rsidRPr="00AA7B0D" w:rsidRDefault="007C7F8C" w:rsidP="00BA3955">
      <w:pPr>
        <w:pStyle w:val="ListParagraph"/>
        <w:numPr>
          <w:ilvl w:val="0"/>
          <w:numId w:val="22"/>
        </w:numPr>
        <w:jc w:val="both"/>
        <w:rPr>
          <w:rFonts w:ascii="Arial" w:hAnsi="Arial" w:cs="Arial"/>
          <w:color w:val="7B7B7B" w:themeColor="accent3" w:themeShade="BF"/>
          <w:sz w:val="22"/>
          <w:szCs w:val="22"/>
          <w:lang w:val="en-GB"/>
        </w:rPr>
      </w:pPr>
      <w:r w:rsidRPr="00AA7B0D">
        <w:rPr>
          <w:rFonts w:ascii="Arial" w:hAnsi="Arial" w:cs="Arial"/>
          <w:color w:val="7B7B7B" w:themeColor="accent3" w:themeShade="BF"/>
          <w:sz w:val="22"/>
          <w:szCs w:val="22"/>
          <w:lang w:val="en-GB"/>
        </w:rPr>
        <w:t>any other expenses</w:t>
      </w:r>
      <w:r w:rsidR="00AA7B0D">
        <w:rPr>
          <w:rFonts w:ascii="Arial" w:hAnsi="Arial" w:cs="Arial"/>
          <w:color w:val="7B7B7B" w:themeColor="accent3" w:themeShade="BF"/>
          <w:sz w:val="22"/>
          <w:szCs w:val="22"/>
          <w:lang w:val="en-GB"/>
        </w:rPr>
        <w:t>/ disbursement</w:t>
      </w:r>
      <w:r w:rsidRPr="00AA7B0D">
        <w:rPr>
          <w:rFonts w:ascii="Arial" w:hAnsi="Arial" w:cs="Arial"/>
          <w:color w:val="7B7B7B" w:themeColor="accent3" w:themeShade="BF"/>
          <w:sz w:val="22"/>
          <w:szCs w:val="22"/>
          <w:lang w:val="en-GB"/>
        </w:rPr>
        <w:t xml:space="preserve"> properly chargeable by the liquidator in carrying out the liquidator’s functions in the winding up.</w:t>
      </w:r>
    </w:p>
    <w:p w14:paraId="35AF1533" w14:textId="77777777" w:rsidR="00FA5464" w:rsidRPr="00FA5464" w:rsidRDefault="00FA5464" w:rsidP="00BA3955">
      <w:pPr>
        <w:ind w:left="720"/>
        <w:jc w:val="both"/>
        <w:rPr>
          <w:rFonts w:ascii="Arial" w:hAnsi="Arial" w:cs="Arial"/>
          <w:color w:val="7B7B7B" w:themeColor="accent3" w:themeShade="BF"/>
          <w:sz w:val="22"/>
          <w:szCs w:val="22"/>
          <w:lang w:val="en-GB"/>
        </w:rPr>
      </w:pPr>
    </w:p>
    <w:p w14:paraId="18CD2690" w14:textId="46C02DE5" w:rsidR="00FA5464" w:rsidRDefault="00AA7B0D" w:rsidP="00BA3955">
      <w:pPr>
        <w:numPr>
          <w:ilvl w:val="0"/>
          <w:numId w:val="21"/>
        </w:numPr>
        <w:jc w:val="both"/>
        <w:rPr>
          <w:rFonts w:ascii="Arial" w:hAnsi="Arial" w:cs="Arial"/>
          <w:color w:val="7B7B7B" w:themeColor="accent3" w:themeShade="BF"/>
          <w:sz w:val="22"/>
          <w:szCs w:val="22"/>
          <w:u w:val="single"/>
          <w:lang w:val="en-GB"/>
        </w:rPr>
      </w:pPr>
      <w:r w:rsidRPr="00AA7B0D">
        <w:rPr>
          <w:rFonts w:ascii="Arial" w:hAnsi="Arial" w:cs="Arial"/>
          <w:color w:val="7B7B7B" w:themeColor="accent3" w:themeShade="BF"/>
          <w:sz w:val="22"/>
          <w:szCs w:val="22"/>
          <w:u w:val="single"/>
          <w:lang w:val="en-GB"/>
        </w:rPr>
        <w:t>Preferred creditors</w:t>
      </w:r>
      <w:r>
        <w:rPr>
          <w:rFonts w:ascii="Arial" w:hAnsi="Arial" w:cs="Arial"/>
          <w:color w:val="7B7B7B" w:themeColor="accent3" w:themeShade="BF"/>
          <w:sz w:val="22"/>
          <w:szCs w:val="22"/>
          <w:u w:val="single"/>
          <w:lang w:val="en-GB"/>
        </w:rPr>
        <w:t>:</w:t>
      </w:r>
    </w:p>
    <w:p w14:paraId="2B01DFD0" w14:textId="77777777" w:rsidR="000B3C17" w:rsidRDefault="000B3C17" w:rsidP="00BA3955">
      <w:pPr>
        <w:ind w:left="720"/>
        <w:jc w:val="both"/>
        <w:rPr>
          <w:rFonts w:ascii="Arial" w:hAnsi="Arial" w:cs="Arial"/>
          <w:color w:val="7B7B7B" w:themeColor="accent3" w:themeShade="BF"/>
          <w:sz w:val="22"/>
          <w:szCs w:val="22"/>
          <w:lang w:val="en-GB"/>
        </w:rPr>
      </w:pPr>
    </w:p>
    <w:p w14:paraId="55AD733F" w14:textId="1C95B86E" w:rsidR="00AA7B0D" w:rsidRDefault="000B3C17" w:rsidP="00BA3955">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costs and expenses of liquidation (as above) are paid in full, t</w:t>
      </w:r>
      <w:r w:rsidR="00AA7B0D" w:rsidRPr="00AA7B0D">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n the</w:t>
      </w:r>
      <w:r w:rsidR="00AA7B0D" w:rsidRPr="00AA7B0D">
        <w:rPr>
          <w:rFonts w:ascii="Arial" w:hAnsi="Arial" w:cs="Arial"/>
          <w:color w:val="7B7B7B" w:themeColor="accent3" w:themeShade="BF"/>
          <w:sz w:val="22"/>
          <w:szCs w:val="22"/>
          <w:lang w:val="en-GB"/>
        </w:rPr>
        <w:t xml:space="preserve"> payment to preferential creditors</w:t>
      </w:r>
      <w:r w:rsidR="008A12B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will be made from the remaining assets of the company. </w:t>
      </w:r>
      <w:r w:rsidR="002755DD">
        <w:rPr>
          <w:rFonts w:ascii="Arial" w:hAnsi="Arial" w:cs="Arial"/>
          <w:color w:val="7B7B7B" w:themeColor="accent3" w:themeShade="BF"/>
          <w:sz w:val="22"/>
          <w:szCs w:val="22"/>
          <w:lang w:val="en-GB"/>
        </w:rPr>
        <w:t>Generally</w:t>
      </w:r>
      <w:r>
        <w:rPr>
          <w:rFonts w:ascii="Arial" w:hAnsi="Arial" w:cs="Arial"/>
          <w:color w:val="7B7B7B" w:themeColor="accent3" w:themeShade="BF"/>
          <w:sz w:val="22"/>
          <w:szCs w:val="22"/>
          <w:lang w:val="en-GB"/>
        </w:rPr>
        <w:t xml:space="preserve">, preferred creditors comprise </w:t>
      </w:r>
      <w:r w:rsidR="002755D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salaries and outstanding payments to</w:t>
      </w:r>
      <w:r w:rsidR="002755D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employees, wage earners and </w:t>
      </w:r>
      <w:r w:rsidR="002755DD">
        <w:rPr>
          <w:rFonts w:ascii="Arial" w:hAnsi="Arial" w:cs="Arial"/>
          <w:color w:val="7B7B7B" w:themeColor="accent3" w:themeShade="BF"/>
          <w:sz w:val="22"/>
          <w:szCs w:val="22"/>
          <w:lang w:val="en-GB"/>
        </w:rPr>
        <w:t xml:space="preserve">(taxes owed to) the government/ the Crown. </w:t>
      </w:r>
    </w:p>
    <w:p w14:paraId="36D10617" w14:textId="3B4730FA" w:rsidR="002755DD" w:rsidRDefault="002755DD" w:rsidP="00BA3955">
      <w:pPr>
        <w:ind w:left="720"/>
        <w:jc w:val="both"/>
        <w:rPr>
          <w:rFonts w:ascii="Arial" w:hAnsi="Arial" w:cs="Arial"/>
          <w:color w:val="7B7B7B" w:themeColor="accent3" w:themeShade="BF"/>
          <w:sz w:val="22"/>
          <w:szCs w:val="22"/>
          <w:lang w:val="en-GB"/>
        </w:rPr>
      </w:pPr>
    </w:p>
    <w:p w14:paraId="352EC980" w14:textId="52BB4ABE" w:rsidR="002755DD" w:rsidRPr="00AA7B0D" w:rsidRDefault="002755DD" w:rsidP="00BA3955">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386 of IA provides for categories of preferential debts i.e. Ordinary preferential dents and Secondary preferential debts. </w:t>
      </w:r>
      <w:r w:rsidR="000E7D7D">
        <w:rPr>
          <w:rFonts w:ascii="Arial" w:hAnsi="Arial" w:cs="Arial"/>
          <w:color w:val="7B7B7B" w:themeColor="accent3" w:themeShade="BF"/>
          <w:sz w:val="22"/>
          <w:szCs w:val="22"/>
          <w:lang w:val="en-GB"/>
        </w:rPr>
        <w:t xml:space="preserve">It must be noted that ordinary preferential debts are paid before secondary preferential debts. However, the respective classes rank </w:t>
      </w:r>
      <w:r w:rsidR="000E7D7D" w:rsidRPr="000E7D7D">
        <w:rPr>
          <w:rFonts w:ascii="Arial" w:hAnsi="Arial" w:cs="Arial"/>
          <w:i/>
          <w:color w:val="7B7B7B" w:themeColor="accent3" w:themeShade="BF"/>
          <w:sz w:val="22"/>
          <w:szCs w:val="22"/>
          <w:lang w:val="en-GB"/>
        </w:rPr>
        <w:t>parri passu</w:t>
      </w:r>
      <w:r w:rsidR="000E7D7D">
        <w:rPr>
          <w:rFonts w:ascii="Arial" w:hAnsi="Arial" w:cs="Arial"/>
          <w:color w:val="7B7B7B" w:themeColor="accent3" w:themeShade="BF"/>
          <w:sz w:val="22"/>
          <w:szCs w:val="22"/>
          <w:lang w:val="en-GB"/>
        </w:rPr>
        <w:t xml:space="preserve"> and are paid in equal proportion amongst themselves. A brief summary of the </w:t>
      </w:r>
      <w:r w:rsidR="00772C12">
        <w:rPr>
          <w:rFonts w:ascii="Arial" w:hAnsi="Arial" w:cs="Arial"/>
          <w:color w:val="7B7B7B" w:themeColor="accent3" w:themeShade="BF"/>
          <w:sz w:val="22"/>
          <w:szCs w:val="22"/>
          <w:lang w:val="en-GB"/>
        </w:rPr>
        <w:t xml:space="preserve">categories of </w:t>
      </w:r>
      <w:r w:rsidR="000E7D7D">
        <w:rPr>
          <w:rFonts w:ascii="Arial" w:hAnsi="Arial" w:cs="Arial"/>
          <w:color w:val="7B7B7B" w:themeColor="accent3" w:themeShade="BF"/>
          <w:sz w:val="22"/>
          <w:szCs w:val="22"/>
          <w:lang w:val="en-GB"/>
        </w:rPr>
        <w:t xml:space="preserve">debts (as contemplated under Section 386 and Schedule 6) are as follows: </w:t>
      </w:r>
    </w:p>
    <w:p w14:paraId="2F300C39" w14:textId="70EFBB3C" w:rsidR="00AA7B0D" w:rsidRDefault="00772C12"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4941BE3D" w14:textId="77777777" w:rsidR="004F6F87" w:rsidRPr="004F6F87" w:rsidRDefault="00FD094D" w:rsidP="00BA3955">
      <w:pPr>
        <w:numPr>
          <w:ilvl w:val="0"/>
          <w:numId w:val="23"/>
        </w:numPr>
        <w:jc w:val="both"/>
        <w:rPr>
          <w:rFonts w:ascii="Arial" w:hAnsi="Arial" w:cs="Arial"/>
          <w:color w:val="7B7B7B" w:themeColor="accent3" w:themeShade="BF"/>
          <w:sz w:val="22"/>
          <w:szCs w:val="22"/>
          <w:lang w:val="en-GB"/>
        </w:rPr>
      </w:pPr>
      <w:r w:rsidRPr="004F6F87">
        <w:rPr>
          <w:rFonts w:ascii="Arial" w:hAnsi="Arial" w:cs="Arial"/>
          <w:iCs/>
          <w:color w:val="7B7B7B" w:themeColor="accent3" w:themeShade="BF"/>
          <w:sz w:val="22"/>
          <w:szCs w:val="22"/>
          <w:lang w:val="en-GB"/>
        </w:rPr>
        <w:t>Debts due to</w:t>
      </w:r>
      <w:r w:rsidR="004F6F87" w:rsidRPr="004F6F87">
        <w:rPr>
          <w:rFonts w:ascii="Arial" w:hAnsi="Arial" w:cs="Arial"/>
          <w:iCs/>
          <w:color w:val="7B7B7B" w:themeColor="accent3" w:themeShade="BF"/>
          <w:sz w:val="22"/>
          <w:szCs w:val="22"/>
          <w:lang w:val="en-GB"/>
        </w:rPr>
        <w:t xml:space="preserve"> the</w:t>
      </w:r>
      <w:r w:rsidRPr="004F6F87">
        <w:rPr>
          <w:rFonts w:ascii="Arial" w:hAnsi="Arial" w:cs="Arial"/>
          <w:iCs/>
          <w:color w:val="7B7B7B" w:themeColor="accent3" w:themeShade="BF"/>
          <w:sz w:val="22"/>
          <w:szCs w:val="22"/>
          <w:lang w:val="en-GB"/>
        </w:rPr>
        <w:t xml:space="preserve"> Inland Revenue </w:t>
      </w:r>
      <w:r w:rsidR="004F6F87" w:rsidRPr="004F6F87">
        <w:rPr>
          <w:rFonts w:ascii="Arial" w:hAnsi="Arial" w:cs="Arial"/>
          <w:iCs/>
          <w:color w:val="7B7B7B" w:themeColor="accent3" w:themeShade="BF"/>
          <w:sz w:val="22"/>
          <w:szCs w:val="22"/>
          <w:lang w:val="en-GB"/>
        </w:rPr>
        <w:t xml:space="preserve">Department </w:t>
      </w:r>
      <w:r w:rsidRPr="004F6F87">
        <w:rPr>
          <w:rFonts w:ascii="Arial" w:hAnsi="Arial" w:cs="Arial"/>
          <w:iCs/>
          <w:color w:val="7B7B7B" w:themeColor="accent3" w:themeShade="BF"/>
          <w:sz w:val="22"/>
          <w:szCs w:val="22"/>
          <w:lang w:val="en-GB"/>
        </w:rPr>
        <w:t xml:space="preserve">which include deductions from </w:t>
      </w:r>
      <w:r w:rsidRPr="004F6F87">
        <w:rPr>
          <w:rFonts w:ascii="Arial" w:hAnsi="Arial" w:cs="Arial"/>
          <w:color w:val="7B7B7B" w:themeColor="accent3" w:themeShade="BF"/>
          <w:sz w:val="22"/>
          <w:szCs w:val="22"/>
          <w:lang w:val="en-GB"/>
        </w:rPr>
        <w:t xml:space="preserve">income tax </w:t>
      </w:r>
      <w:r w:rsidR="004F6F87" w:rsidRPr="004F6F87">
        <w:rPr>
          <w:rFonts w:ascii="Arial" w:hAnsi="Arial" w:cs="Arial"/>
          <w:color w:val="7B7B7B" w:themeColor="accent3" w:themeShade="BF"/>
          <w:sz w:val="22"/>
          <w:szCs w:val="22"/>
          <w:lang w:val="en-GB"/>
        </w:rPr>
        <w:t>in relation to</w:t>
      </w:r>
      <w:r w:rsidRPr="004F6F87">
        <w:rPr>
          <w:rFonts w:ascii="Arial" w:hAnsi="Arial" w:cs="Arial"/>
          <w:color w:val="7B7B7B" w:themeColor="accent3" w:themeShade="BF"/>
          <w:sz w:val="22"/>
          <w:szCs w:val="22"/>
          <w:lang w:val="en-GB"/>
        </w:rPr>
        <w:t> taxable earnings paid during the relevant period</w:t>
      </w:r>
    </w:p>
    <w:p w14:paraId="7A2C020C" w14:textId="77777777" w:rsidR="004F6F87" w:rsidRPr="004F6F87" w:rsidRDefault="00FD094D" w:rsidP="00BA3955">
      <w:pPr>
        <w:numPr>
          <w:ilvl w:val="0"/>
          <w:numId w:val="23"/>
        </w:numPr>
        <w:jc w:val="both"/>
        <w:rPr>
          <w:rFonts w:ascii="Arial" w:hAnsi="Arial" w:cs="Arial"/>
          <w:color w:val="7B7B7B" w:themeColor="accent3" w:themeShade="BF"/>
          <w:sz w:val="22"/>
          <w:szCs w:val="22"/>
          <w:lang w:val="en-GB"/>
        </w:rPr>
      </w:pPr>
      <w:r w:rsidRPr="004F6F87">
        <w:rPr>
          <w:rFonts w:ascii="Arial" w:hAnsi="Arial" w:cs="Arial"/>
          <w:iCs/>
          <w:color w:val="7B7B7B" w:themeColor="accent3" w:themeShade="BF"/>
          <w:sz w:val="22"/>
          <w:szCs w:val="22"/>
          <w:lang w:val="en-GB"/>
        </w:rPr>
        <w:lastRenderedPageBreak/>
        <w:t xml:space="preserve">Debts due to Customs and Excise which includes </w:t>
      </w:r>
      <w:r w:rsidRPr="004F6F87">
        <w:rPr>
          <w:rFonts w:ascii="Arial" w:hAnsi="Arial" w:cs="Arial"/>
          <w:color w:val="7B7B7B" w:themeColor="accent3" w:themeShade="BF"/>
          <w:sz w:val="22"/>
          <w:szCs w:val="22"/>
          <w:lang w:val="en-GB"/>
        </w:rPr>
        <w:t xml:space="preserve">value added tax </w:t>
      </w:r>
      <w:r w:rsidR="004F6F87" w:rsidRPr="004F6F87">
        <w:rPr>
          <w:rFonts w:ascii="Arial" w:hAnsi="Arial" w:cs="Arial"/>
          <w:color w:val="7B7B7B" w:themeColor="accent3" w:themeShade="BF"/>
          <w:sz w:val="22"/>
          <w:szCs w:val="22"/>
          <w:lang w:val="en-GB"/>
        </w:rPr>
        <w:t>(</w:t>
      </w:r>
      <w:r w:rsidR="004F6F87" w:rsidRPr="004F6F87">
        <w:rPr>
          <w:rFonts w:ascii="Arial" w:hAnsi="Arial" w:cs="Arial"/>
          <w:b/>
          <w:i/>
          <w:color w:val="7B7B7B" w:themeColor="accent3" w:themeShade="BF"/>
          <w:sz w:val="22"/>
          <w:szCs w:val="22"/>
          <w:lang w:val="en-GB"/>
        </w:rPr>
        <w:t>VAT</w:t>
      </w:r>
      <w:r w:rsidR="004F6F87" w:rsidRPr="004F6F87">
        <w:rPr>
          <w:rFonts w:ascii="Arial" w:hAnsi="Arial" w:cs="Arial"/>
          <w:color w:val="7B7B7B" w:themeColor="accent3" w:themeShade="BF"/>
          <w:sz w:val="22"/>
          <w:szCs w:val="22"/>
          <w:lang w:val="en-GB"/>
        </w:rPr>
        <w:t xml:space="preserve">) for the relevant period, </w:t>
      </w:r>
      <w:r w:rsidRPr="004F6F87">
        <w:rPr>
          <w:rFonts w:ascii="Arial" w:hAnsi="Arial" w:cs="Arial"/>
          <w:color w:val="7B7B7B" w:themeColor="accent3" w:themeShade="BF"/>
          <w:sz w:val="22"/>
          <w:szCs w:val="22"/>
          <w:lang w:val="en-GB"/>
        </w:rPr>
        <w:t xml:space="preserve">insurance premium tax, landfill tax, </w:t>
      </w:r>
      <w:r w:rsidR="004F6F87" w:rsidRPr="004F6F87">
        <w:rPr>
          <w:rFonts w:ascii="Arial" w:hAnsi="Arial" w:cs="Arial"/>
          <w:color w:val="7B7B7B" w:themeColor="accent3" w:themeShade="BF"/>
          <w:sz w:val="22"/>
          <w:szCs w:val="22"/>
          <w:lang w:val="en-GB"/>
        </w:rPr>
        <w:t>and climate</w:t>
      </w:r>
      <w:r w:rsidRPr="004F6F87">
        <w:rPr>
          <w:rFonts w:ascii="Arial" w:hAnsi="Arial" w:cs="Arial"/>
          <w:color w:val="7B7B7B" w:themeColor="accent3" w:themeShade="BF"/>
          <w:sz w:val="22"/>
          <w:szCs w:val="22"/>
          <w:lang w:val="en-GB"/>
        </w:rPr>
        <w:t xml:space="preserve"> change levy etc.</w:t>
      </w:r>
    </w:p>
    <w:p w14:paraId="0557890A" w14:textId="77777777" w:rsidR="004F6F87" w:rsidRPr="004F6F87" w:rsidRDefault="004F6F87" w:rsidP="00BA3955">
      <w:pPr>
        <w:jc w:val="both"/>
        <w:rPr>
          <w:rFonts w:ascii="Arial" w:hAnsi="Arial" w:cs="Arial"/>
          <w:iCs/>
          <w:color w:val="7B7B7B" w:themeColor="accent3" w:themeShade="BF"/>
          <w:sz w:val="22"/>
          <w:szCs w:val="22"/>
          <w:lang w:val="en-GB"/>
        </w:rPr>
      </w:pPr>
    </w:p>
    <w:p w14:paraId="0A30EFB8" w14:textId="77777777" w:rsidR="004F6F87" w:rsidRPr="004F6F87" w:rsidRDefault="004F6F87" w:rsidP="00BA3955">
      <w:pPr>
        <w:ind w:left="720"/>
        <w:jc w:val="both"/>
        <w:rPr>
          <w:rFonts w:ascii="Arial" w:hAnsi="Arial" w:cs="Arial"/>
          <w:color w:val="7B7B7B" w:themeColor="accent3" w:themeShade="BF"/>
          <w:sz w:val="22"/>
          <w:szCs w:val="22"/>
          <w:lang w:val="en-GB"/>
        </w:rPr>
      </w:pPr>
      <w:r w:rsidRPr="004F6F87">
        <w:rPr>
          <w:rFonts w:ascii="Arial" w:hAnsi="Arial" w:cs="Arial"/>
          <w:iCs/>
          <w:color w:val="7B7B7B" w:themeColor="accent3" w:themeShade="BF"/>
          <w:sz w:val="22"/>
          <w:szCs w:val="22"/>
          <w:lang w:val="en-GB"/>
        </w:rPr>
        <w:t>Ordinary preferential debt (i.e. these debts are paid out of the assets of a debtor prior to secondary preferential debts)</w:t>
      </w:r>
    </w:p>
    <w:p w14:paraId="12692A55" w14:textId="77777777" w:rsidR="004F6F87" w:rsidRPr="004F6F87" w:rsidRDefault="00FD094D" w:rsidP="00BA3955">
      <w:pPr>
        <w:numPr>
          <w:ilvl w:val="0"/>
          <w:numId w:val="23"/>
        </w:numPr>
        <w:jc w:val="both"/>
        <w:rPr>
          <w:rFonts w:ascii="Arial" w:hAnsi="Arial" w:cs="Arial"/>
          <w:color w:val="7B7B7B" w:themeColor="accent3" w:themeShade="BF"/>
          <w:sz w:val="22"/>
          <w:szCs w:val="22"/>
          <w:lang w:val="en-GB"/>
        </w:rPr>
      </w:pPr>
      <w:r w:rsidRPr="004F6F87">
        <w:rPr>
          <w:rFonts w:ascii="Arial" w:hAnsi="Arial" w:cs="Arial"/>
          <w:bCs/>
          <w:iCs/>
          <w:color w:val="7B7B7B" w:themeColor="accent3" w:themeShade="BF"/>
          <w:sz w:val="22"/>
          <w:szCs w:val="22"/>
          <w:lang w:val="en-GB"/>
        </w:rPr>
        <w:t xml:space="preserve">Social security contributions and </w:t>
      </w:r>
      <w:r w:rsidRPr="004F6F87">
        <w:rPr>
          <w:rFonts w:ascii="Arial" w:hAnsi="Arial" w:cs="Arial"/>
          <w:iCs/>
          <w:color w:val="7B7B7B" w:themeColor="accent3" w:themeShade="BF"/>
          <w:sz w:val="22"/>
          <w:szCs w:val="22"/>
          <w:lang w:val="en-GB"/>
        </w:rPr>
        <w:t>contributions to oc</w:t>
      </w:r>
      <w:r w:rsidR="004F6F87" w:rsidRPr="004F6F87">
        <w:rPr>
          <w:rFonts w:ascii="Arial" w:hAnsi="Arial" w:cs="Arial"/>
          <w:iCs/>
          <w:color w:val="7B7B7B" w:themeColor="accent3" w:themeShade="BF"/>
          <w:sz w:val="22"/>
          <w:szCs w:val="22"/>
          <w:lang w:val="en-GB"/>
        </w:rPr>
        <w:t>cupational pension schemes, etc.</w:t>
      </w:r>
    </w:p>
    <w:p w14:paraId="6789B31A" w14:textId="77777777" w:rsidR="004F6F87" w:rsidRPr="004F6F87" w:rsidRDefault="004F6F87" w:rsidP="00BA3955">
      <w:pPr>
        <w:numPr>
          <w:ilvl w:val="0"/>
          <w:numId w:val="23"/>
        </w:numPr>
        <w:jc w:val="both"/>
        <w:rPr>
          <w:rFonts w:ascii="Arial" w:hAnsi="Arial" w:cs="Arial"/>
          <w:color w:val="7B7B7B" w:themeColor="accent3" w:themeShade="BF"/>
          <w:sz w:val="22"/>
          <w:szCs w:val="22"/>
          <w:lang w:val="en-GB"/>
        </w:rPr>
      </w:pPr>
      <w:r w:rsidRPr="004F6F87">
        <w:rPr>
          <w:rFonts w:ascii="Arial" w:hAnsi="Arial" w:cs="Arial"/>
          <w:iCs/>
          <w:color w:val="7B7B7B" w:themeColor="accent3" w:themeShade="BF"/>
          <w:sz w:val="22"/>
          <w:szCs w:val="22"/>
          <w:lang w:val="en-GB"/>
        </w:rPr>
        <w:t>Remuneration of employees,</w:t>
      </w:r>
      <w:r w:rsidR="00FD094D" w:rsidRPr="004F6F87">
        <w:rPr>
          <w:rFonts w:ascii="Arial" w:hAnsi="Arial" w:cs="Arial"/>
          <w:iCs/>
          <w:color w:val="7B7B7B" w:themeColor="accent3" w:themeShade="BF"/>
          <w:sz w:val="22"/>
          <w:szCs w:val="22"/>
          <w:lang w:val="en-GB"/>
        </w:rPr>
        <w:t xml:space="preserve"> </w:t>
      </w:r>
      <w:r w:rsidRPr="004F6F87">
        <w:rPr>
          <w:rFonts w:ascii="Arial" w:hAnsi="Arial" w:cs="Arial"/>
          <w:iCs/>
          <w:color w:val="7B7B7B" w:themeColor="accent3" w:themeShade="BF"/>
          <w:sz w:val="22"/>
          <w:szCs w:val="22"/>
          <w:lang w:val="en-GB"/>
        </w:rPr>
        <w:t xml:space="preserve">wages </w:t>
      </w:r>
      <w:r w:rsidR="00FD094D" w:rsidRPr="004F6F87">
        <w:rPr>
          <w:rFonts w:ascii="Arial" w:hAnsi="Arial" w:cs="Arial"/>
          <w:color w:val="7B7B7B" w:themeColor="accent3" w:themeShade="BF"/>
          <w:sz w:val="22"/>
          <w:szCs w:val="22"/>
          <w:lang w:val="en-GB"/>
        </w:rPr>
        <w:t xml:space="preserve">or salary </w:t>
      </w:r>
      <w:r w:rsidRPr="004F6F87">
        <w:rPr>
          <w:rFonts w:ascii="Arial" w:hAnsi="Arial" w:cs="Arial"/>
          <w:color w:val="7B7B7B" w:themeColor="accent3" w:themeShade="BF"/>
          <w:sz w:val="22"/>
          <w:szCs w:val="22"/>
          <w:lang w:val="en-GB"/>
        </w:rPr>
        <w:t xml:space="preserve">etc. </w:t>
      </w:r>
      <w:r w:rsidR="00FD094D" w:rsidRPr="004F6F87">
        <w:rPr>
          <w:rFonts w:ascii="Arial" w:hAnsi="Arial" w:cs="Arial"/>
          <w:color w:val="7B7B7B" w:themeColor="accent3" w:themeShade="BF"/>
          <w:sz w:val="22"/>
          <w:szCs w:val="22"/>
          <w:lang w:val="en-GB"/>
        </w:rPr>
        <w:t xml:space="preserve">which is owed by the debtor to </w:t>
      </w:r>
      <w:r w:rsidRPr="004F6F87">
        <w:rPr>
          <w:rFonts w:ascii="Arial" w:hAnsi="Arial" w:cs="Arial"/>
          <w:color w:val="7B7B7B" w:themeColor="accent3" w:themeShade="BF"/>
          <w:sz w:val="22"/>
          <w:szCs w:val="22"/>
          <w:lang w:val="en-GB"/>
        </w:rPr>
        <w:t>such present or former</w:t>
      </w:r>
      <w:r w:rsidR="00FD094D" w:rsidRPr="004F6F87">
        <w:rPr>
          <w:rFonts w:ascii="Arial" w:hAnsi="Arial" w:cs="Arial"/>
          <w:color w:val="7B7B7B" w:themeColor="accent3" w:themeShade="BF"/>
          <w:sz w:val="22"/>
          <w:szCs w:val="22"/>
          <w:lang w:val="en-GB"/>
        </w:rPr>
        <w:t xml:space="preserve"> employee of the debtor </w:t>
      </w:r>
      <w:r w:rsidRPr="004F6F87">
        <w:rPr>
          <w:rFonts w:ascii="Arial" w:hAnsi="Arial" w:cs="Arial"/>
          <w:color w:val="7B7B7B" w:themeColor="accent3" w:themeShade="BF"/>
          <w:sz w:val="22"/>
          <w:szCs w:val="22"/>
          <w:lang w:val="en-GB"/>
        </w:rPr>
        <w:t xml:space="preserve">for a period of 4 months prior to commencement of winding-up and </w:t>
      </w:r>
      <w:r w:rsidR="00FD094D" w:rsidRPr="004F6F87">
        <w:rPr>
          <w:rFonts w:ascii="Arial" w:hAnsi="Arial" w:cs="Arial"/>
          <w:color w:val="7B7B7B" w:themeColor="accent3" w:themeShade="BF"/>
          <w:sz w:val="22"/>
          <w:szCs w:val="22"/>
          <w:lang w:val="en-GB"/>
        </w:rPr>
        <w:t xml:space="preserve">does not exceed such amount as may be prescribed by order made by the Secretary of State. </w:t>
      </w:r>
      <w:r w:rsidR="00FD094D" w:rsidRPr="004F6F87">
        <w:rPr>
          <w:rFonts w:ascii="Arial" w:hAnsi="Arial" w:cs="Arial"/>
          <w:iCs/>
          <w:color w:val="7B7B7B" w:themeColor="accent3" w:themeShade="BF"/>
          <w:sz w:val="22"/>
          <w:szCs w:val="22"/>
          <w:lang w:val="en-GB"/>
        </w:rPr>
        <w:t>(</w:t>
      </w:r>
      <w:r w:rsidR="00FD094D" w:rsidRPr="004F6F87">
        <w:rPr>
          <w:rFonts w:ascii="Arial" w:hAnsi="Arial" w:cs="Arial"/>
          <w:i/>
          <w:iCs/>
          <w:color w:val="7B7B7B" w:themeColor="accent3" w:themeShade="BF"/>
          <w:sz w:val="22"/>
          <w:szCs w:val="22"/>
          <w:lang w:val="en-GB"/>
        </w:rPr>
        <w:t>Category 5</w:t>
      </w:r>
      <w:r w:rsidRPr="004F6F87">
        <w:rPr>
          <w:rFonts w:ascii="Arial" w:hAnsi="Arial" w:cs="Arial"/>
          <w:i/>
          <w:iCs/>
          <w:color w:val="7B7B7B" w:themeColor="accent3" w:themeShade="BF"/>
          <w:sz w:val="22"/>
          <w:szCs w:val="22"/>
          <w:lang w:val="en-GB"/>
        </w:rPr>
        <w:t xml:space="preserve"> under Schedule 6</w:t>
      </w:r>
      <w:r w:rsidRPr="004F6F87">
        <w:rPr>
          <w:rFonts w:ascii="Arial" w:hAnsi="Arial" w:cs="Arial"/>
          <w:iCs/>
          <w:color w:val="7B7B7B" w:themeColor="accent3" w:themeShade="BF"/>
          <w:sz w:val="22"/>
          <w:szCs w:val="22"/>
          <w:lang w:val="en-GB"/>
        </w:rPr>
        <w:t xml:space="preserve">) It is one of the most important preferential payments. However, it must be noted that while the employees are provided protections under the </w:t>
      </w:r>
      <w:r w:rsidRPr="004F6F87">
        <w:rPr>
          <w:rFonts w:ascii="Arial" w:hAnsi="Arial" w:cs="Arial"/>
          <w:color w:val="7B7B7B" w:themeColor="accent3" w:themeShade="BF"/>
          <w:sz w:val="22"/>
          <w:szCs w:val="22"/>
          <w:lang w:val="en-GB"/>
        </w:rPr>
        <w:t xml:space="preserve">Employment Rights Act 1996, the payments of their remuneration as a preferential debt under the IA also stay in place. </w:t>
      </w:r>
    </w:p>
    <w:p w14:paraId="28A8DD70" w14:textId="77777777" w:rsidR="00FD094D" w:rsidRPr="004F6F87" w:rsidRDefault="00FD094D" w:rsidP="00BA3955">
      <w:pPr>
        <w:numPr>
          <w:ilvl w:val="0"/>
          <w:numId w:val="23"/>
        </w:numPr>
        <w:jc w:val="both"/>
        <w:rPr>
          <w:rFonts w:ascii="Arial" w:hAnsi="Arial" w:cs="Arial"/>
          <w:color w:val="7B7B7B" w:themeColor="accent3" w:themeShade="BF"/>
          <w:sz w:val="22"/>
          <w:szCs w:val="22"/>
          <w:lang w:val="en-GB"/>
        </w:rPr>
      </w:pPr>
      <w:r w:rsidRPr="004F6F87">
        <w:rPr>
          <w:rFonts w:ascii="Arial" w:hAnsi="Arial" w:cs="Arial"/>
          <w:bCs/>
          <w:iCs/>
          <w:color w:val="7B7B7B" w:themeColor="accent3" w:themeShade="BF"/>
          <w:sz w:val="22"/>
          <w:szCs w:val="22"/>
          <w:lang w:val="en-GB"/>
        </w:rPr>
        <w:t>Levies on coal and steel production</w:t>
      </w:r>
    </w:p>
    <w:p w14:paraId="7143E83A" w14:textId="77777777" w:rsidR="004F6F87" w:rsidRPr="004F6F87" w:rsidRDefault="00FD094D" w:rsidP="00BA3955">
      <w:pPr>
        <w:numPr>
          <w:ilvl w:val="0"/>
          <w:numId w:val="23"/>
        </w:numPr>
        <w:jc w:val="both"/>
        <w:rPr>
          <w:rFonts w:ascii="Arial" w:hAnsi="Arial" w:cs="Arial"/>
          <w:iCs/>
          <w:color w:val="7B7B7B" w:themeColor="accent3" w:themeShade="BF"/>
          <w:sz w:val="22"/>
          <w:szCs w:val="22"/>
          <w:lang w:val="en-GB"/>
        </w:rPr>
      </w:pPr>
      <w:r w:rsidRPr="004F6F87">
        <w:rPr>
          <w:rFonts w:ascii="Arial" w:hAnsi="Arial" w:cs="Arial"/>
          <w:iCs/>
          <w:color w:val="7B7B7B" w:themeColor="accent3" w:themeShade="BF"/>
          <w:sz w:val="22"/>
          <w:szCs w:val="22"/>
          <w:lang w:val="en-GB"/>
        </w:rPr>
        <w:t>Debts owed</w:t>
      </w:r>
      <w:r w:rsidR="004F6F87" w:rsidRPr="004F6F87">
        <w:rPr>
          <w:rFonts w:ascii="Arial" w:hAnsi="Arial" w:cs="Arial"/>
          <w:iCs/>
          <w:color w:val="7B7B7B" w:themeColor="accent3" w:themeShade="BF"/>
          <w:sz w:val="22"/>
          <w:szCs w:val="22"/>
          <w:lang w:val="en-GB"/>
        </w:rPr>
        <w:t xml:space="preserve"> i</w:t>
      </w:r>
      <w:r w:rsidR="004F6F87" w:rsidRPr="004F6F87">
        <w:rPr>
          <w:rFonts w:ascii="Arial" w:hAnsi="Arial" w:cs="Arial"/>
          <w:color w:val="7B7B7B" w:themeColor="accent3" w:themeShade="BF"/>
          <w:sz w:val="22"/>
          <w:szCs w:val="22"/>
          <w:lang w:val="en-GB"/>
        </w:rPr>
        <w:t>n respect of an eligible deposit</w:t>
      </w:r>
      <w:r w:rsidRPr="004F6F87">
        <w:rPr>
          <w:rFonts w:ascii="Arial" w:hAnsi="Arial" w:cs="Arial"/>
          <w:iCs/>
          <w:color w:val="7B7B7B" w:themeColor="accent3" w:themeShade="BF"/>
          <w:sz w:val="22"/>
          <w:szCs w:val="22"/>
          <w:lang w:val="en-GB"/>
        </w:rPr>
        <w:t xml:space="preserve"> </w:t>
      </w:r>
      <w:r w:rsidR="004F6F87" w:rsidRPr="004F6F87">
        <w:rPr>
          <w:rFonts w:ascii="Arial" w:hAnsi="Arial" w:cs="Arial"/>
          <w:iCs/>
          <w:color w:val="7B7B7B" w:themeColor="accent3" w:themeShade="BF"/>
          <w:sz w:val="22"/>
          <w:szCs w:val="22"/>
          <w:lang w:val="en-GB"/>
        </w:rPr>
        <w:t>under the</w:t>
      </w:r>
      <w:r w:rsidRPr="004F6F87">
        <w:rPr>
          <w:rFonts w:ascii="Arial" w:hAnsi="Arial" w:cs="Arial"/>
          <w:iCs/>
          <w:color w:val="7B7B7B" w:themeColor="accent3" w:themeShade="BF"/>
          <w:sz w:val="22"/>
          <w:szCs w:val="22"/>
          <w:lang w:val="en-GB"/>
        </w:rPr>
        <w:t xml:space="preserve"> Financial Services Compensation Scheme</w:t>
      </w:r>
      <w:r w:rsidR="004F6F87" w:rsidRPr="004F6F87">
        <w:rPr>
          <w:rFonts w:ascii="Arial" w:hAnsi="Arial" w:cs="Arial"/>
          <w:iCs/>
          <w:color w:val="7B7B7B" w:themeColor="accent3" w:themeShade="BF"/>
          <w:sz w:val="22"/>
          <w:szCs w:val="22"/>
          <w:lang w:val="en-GB"/>
        </w:rPr>
        <w:t xml:space="preserve"> (FSCS)</w:t>
      </w:r>
      <w:r w:rsidRPr="004F6F87">
        <w:rPr>
          <w:rFonts w:ascii="Arial" w:hAnsi="Arial" w:cs="Arial"/>
          <w:color w:val="7B7B7B" w:themeColor="accent3" w:themeShade="BF"/>
          <w:sz w:val="22"/>
          <w:szCs w:val="22"/>
          <w:lang w:val="en-GB"/>
        </w:rPr>
        <w:t>.</w:t>
      </w:r>
    </w:p>
    <w:p w14:paraId="5530F167" w14:textId="77777777" w:rsidR="004F6F87" w:rsidRPr="004F6F87" w:rsidRDefault="004F6F87" w:rsidP="00BA3955">
      <w:pPr>
        <w:jc w:val="both"/>
        <w:rPr>
          <w:rFonts w:ascii="Arial" w:hAnsi="Arial" w:cs="Arial"/>
          <w:iCs/>
          <w:color w:val="7B7B7B" w:themeColor="accent3" w:themeShade="BF"/>
          <w:sz w:val="22"/>
          <w:szCs w:val="22"/>
          <w:lang w:val="en-GB"/>
        </w:rPr>
      </w:pPr>
    </w:p>
    <w:p w14:paraId="51A9F1D4" w14:textId="084B2257" w:rsidR="004F6F87" w:rsidRPr="004F6F87" w:rsidRDefault="004F6F87" w:rsidP="00BA3955">
      <w:pPr>
        <w:ind w:firstLine="720"/>
        <w:jc w:val="both"/>
        <w:rPr>
          <w:rFonts w:ascii="Arial" w:hAnsi="Arial" w:cs="Arial"/>
          <w:iCs/>
          <w:color w:val="7B7B7B" w:themeColor="accent3" w:themeShade="BF"/>
          <w:sz w:val="22"/>
          <w:szCs w:val="22"/>
          <w:lang w:val="en-GB"/>
        </w:rPr>
      </w:pPr>
      <w:r w:rsidRPr="004F6F87">
        <w:rPr>
          <w:rFonts w:ascii="Arial" w:hAnsi="Arial" w:cs="Arial"/>
          <w:iCs/>
          <w:color w:val="7B7B7B" w:themeColor="accent3" w:themeShade="BF"/>
          <w:sz w:val="22"/>
          <w:szCs w:val="22"/>
          <w:lang w:val="en-GB"/>
        </w:rPr>
        <w:t>Secondary preferential debts</w:t>
      </w:r>
      <w:r>
        <w:rPr>
          <w:rFonts w:ascii="Arial" w:hAnsi="Arial" w:cs="Arial"/>
          <w:iCs/>
          <w:color w:val="7B7B7B" w:themeColor="accent3" w:themeShade="BF"/>
          <w:sz w:val="22"/>
          <w:szCs w:val="22"/>
          <w:lang w:val="en-GB"/>
        </w:rPr>
        <w:t xml:space="preserve"> (</w:t>
      </w:r>
      <w:r w:rsidRPr="004F6F87">
        <w:rPr>
          <w:rFonts w:ascii="Arial" w:hAnsi="Arial" w:cs="Arial"/>
          <w:i/>
          <w:iCs/>
          <w:color w:val="7B7B7B" w:themeColor="accent3" w:themeShade="BF"/>
          <w:sz w:val="22"/>
          <w:szCs w:val="22"/>
          <w:lang w:val="en-GB"/>
        </w:rPr>
        <w:t>Categories 8 and 9 – Paragraph 15BA, 15BB and 15D</w:t>
      </w:r>
      <w:r w:rsidRPr="004F6F87">
        <w:rPr>
          <w:rFonts w:ascii="Arial" w:hAnsi="Arial" w:cs="Arial"/>
          <w:iCs/>
          <w:color w:val="7B7B7B" w:themeColor="accent3" w:themeShade="BF"/>
          <w:sz w:val="22"/>
          <w:szCs w:val="22"/>
          <w:lang w:val="en-GB"/>
        </w:rPr>
        <w:t>):</w:t>
      </w:r>
    </w:p>
    <w:p w14:paraId="7FAF440E" w14:textId="77777777" w:rsidR="004F6F87" w:rsidRPr="004F6F87" w:rsidRDefault="004F6F87" w:rsidP="00BA3955">
      <w:pPr>
        <w:numPr>
          <w:ilvl w:val="0"/>
          <w:numId w:val="23"/>
        </w:numPr>
        <w:jc w:val="both"/>
        <w:rPr>
          <w:rFonts w:ascii="Arial" w:hAnsi="Arial" w:cs="Arial"/>
          <w:bCs/>
          <w:color w:val="7B7B7B" w:themeColor="accent3" w:themeShade="BF"/>
          <w:sz w:val="22"/>
          <w:szCs w:val="22"/>
          <w:lang w:val="en-GB"/>
        </w:rPr>
      </w:pPr>
      <w:r w:rsidRPr="004F6F87">
        <w:rPr>
          <w:rFonts w:ascii="Arial" w:hAnsi="Arial" w:cs="Arial"/>
          <w:bCs/>
          <w:color w:val="7B7B7B" w:themeColor="accent3" w:themeShade="BF"/>
          <w:sz w:val="22"/>
          <w:szCs w:val="22"/>
          <w:lang w:val="en-GB"/>
        </w:rPr>
        <w:t>Debt</w:t>
      </w:r>
      <w:r w:rsidR="00FD094D" w:rsidRPr="004F6F87">
        <w:rPr>
          <w:rFonts w:ascii="Arial" w:hAnsi="Arial" w:cs="Arial"/>
          <w:bCs/>
          <w:color w:val="7B7B7B" w:themeColor="accent3" w:themeShade="BF"/>
          <w:sz w:val="22"/>
          <w:szCs w:val="22"/>
          <w:lang w:val="en-GB"/>
        </w:rPr>
        <w:t xml:space="preserve"> owed to eligible persons </w:t>
      </w:r>
      <w:r w:rsidRPr="004F6F87">
        <w:rPr>
          <w:rFonts w:ascii="Arial" w:hAnsi="Arial" w:cs="Arial"/>
          <w:bCs/>
          <w:color w:val="7B7B7B" w:themeColor="accent3" w:themeShade="BF"/>
          <w:sz w:val="22"/>
          <w:szCs w:val="22"/>
          <w:lang w:val="en-GB"/>
        </w:rPr>
        <w:t>relating to</w:t>
      </w:r>
      <w:r w:rsidR="00FD094D" w:rsidRPr="004F6F87">
        <w:rPr>
          <w:rFonts w:ascii="Arial" w:hAnsi="Arial" w:cs="Arial"/>
          <w:bCs/>
          <w:color w:val="7B7B7B" w:themeColor="accent3" w:themeShade="BF"/>
          <w:sz w:val="22"/>
          <w:szCs w:val="22"/>
          <w:lang w:val="en-GB"/>
        </w:rPr>
        <w:t xml:space="preserve"> eligible deposit</w:t>
      </w:r>
      <w:r w:rsidRPr="004F6F87">
        <w:rPr>
          <w:rFonts w:ascii="Arial" w:hAnsi="Arial" w:cs="Arial"/>
          <w:bCs/>
          <w:color w:val="7B7B7B" w:themeColor="accent3" w:themeShade="BF"/>
          <w:sz w:val="22"/>
          <w:szCs w:val="22"/>
          <w:lang w:val="en-GB"/>
        </w:rPr>
        <w:t>s</w:t>
      </w:r>
      <w:r w:rsidR="00FD094D" w:rsidRPr="004F6F87">
        <w:rPr>
          <w:rFonts w:ascii="Arial" w:hAnsi="Arial" w:cs="Arial"/>
          <w:bCs/>
          <w:color w:val="7B7B7B" w:themeColor="accent3" w:themeShade="BF"/>
          <w:sz w:val="22"/>
          <w:szCs w:val="22"/>
          <w:lang w:val="en-GB"/>
        </w:rPr>
        <w:t xml:space="preserve"> </w:t>
      </w:r>
      <w:r w:rsidRPr="004F6F87">
        <w:rPr>
          <w:rFonts w:ascii="Arial" w:hAnsi="Arial" w:cs="Arial"/>
          <w:bCs/>
          <w:color w:val="7B7B7B" w:themeColor="accent3" w:themeShade="BF"/>
          <w:sz w:val="22"/>
          <w:szCs w:val="22"/>
          <w:lang w:val="en-GB"/>
        </w:rPr>
        <w:t xml:space="preserve">exceeding </w:t>
      </w:r>
      <w:r w:rsidR="00FD094D" w:rsidRPr="004F6F87">
        <w:rPr>
          <w:rFonts w:ascii="Arial" w:hAnsi="Arial" w:cs="Arial"/>
          <w:bCs/>
          <w:color w:val="7B7B7B" w:themeColor="accent3" w:themeShade="BF"/>
          <w:sz w:val="22"/>
          <w:szCs w:val="22"/>
          <w:lang w:val="en-GB"/>
        </w:rPr>
        <w:t xml:space="preserve">any compensation payable under the </w:t>
      </w:r>
      <w:r w:rsidRPr="004F6F87">
        <w:rPr>
          <w:rFonts w:ascii="Arial" w:hAnsi="Arial" w:cs="Arial"/>
          <w:bCs/>
          <w:color w:val="7B7B7B" w:themeColor="accent3" w:themeShade="BF"/>
          <w:sz w:val="22"/>
          <w:szCs w:val="22"/>
          <w:lang w:val="en-GB"/>
        </w:rPr>
        <w:t>FSCS</w:t>
      </w:r>
      <w:r w:rsidR="00FD094D" w:rsidRPr="004F6F87">
        <w:rPr>
          <w:rFonts w:ascii="Arial" w:hAnsi="Arial" w:cs="Arial"/>
          <w:bCs/>
          <w:color w:val="7B7B7B" w:themeColor="accent3" w:themeShade="BF"/>
          <w:sz w:val="22"/>
          <w:szCs w:val="22"/>
          <w:lang w:val="en-GB"/>
        </w:rPr>
        <w:t>.</w:t>
      </w:r>
    </w:p>
    <w:p w14:paraId="01D2B876" w14:textId="77777777" w:rsidR="004F6F87" w:rsidRPr="004F6F87" w:rsidRDefault="00FD094D" w:rsidP="00BA3955">
      <w:pPr>
        <w:numPr>
          <w:ilvl w:val="0"/>
          <w:numId w:val="23"/>
        </w:numPr>
        <w:jc w:val="both"/>
        <w:rPr>
          <w:rFonts w:ascii="Arial" w:hAnsi="Arial" w:cs="Arial"/>
          <w:bCs/>
          <w:color w:val="7B7B7B" w:themeColor="accent3" w:themeShade="BF"/>
          <w:sz w:val="22"/>
          <w:szCs w:val="22"/>
          <w:lang w:val="en-GB"/>
        </w:rPr>
      </w:pPr>
      <w:r w:rsidRPr="004F6F87">
        <w:rPr>
          <w:rFonts w:ascii="Arial" w:hAnsi="Arial" w:cs="Arial"/>
          <w:bCs/>
          <w:color w:val="7B7B7B" w:themeColor="accent3" w:themeShade="BF"/>
          <w:sz w:val="22"/>
          <w:szCs w:val="22"/>
          <w:lang w:val="en-GB"/>
        </w:rPr>
        <w:t xml:space="preserve">Debt owed to eligible persons relating to eligible deposits made through a credit institution </w:t>
      </w:r>
      <w:r w:rsidR="004F6F87" w:rsidRPr="004F6F87">
        <w:rPr>
          <w:rFonts w:ascii="Arial" w:hAnsi="Arial" w:cs="Arial"/>
          <w:bCs/>
          <w:color w:val="7B7B7B" w:themeColor="accent3" w:themeShade="BF"/>
          <w:sz w:val="22"/>
          <w:szCs w:val="22"/>
          <w:lang w:val="en-GB"/>
        </w:rPr>
        <w:t>(in UK or authorised credit institution outside UK)</w:t>
      </w:r>
    </w:p>
    <w:p w14:paraId="0BFB4596" w14:textId="77777777" w:rsidR="00FD094D" w:rsidRPr="004F6F87" w:rsidRDefault="004F6F87" w:rsidP="00BA3955">
      <w:pPr>
        <w:numPr>
          <w:ilvl w:val="0"/>
          <w:numId w:val="23"/>
        </w:numPr>
        <w:jc w:val="both"/>
        <w:rPr>
          <w:rFonts w:ascii="Arial" w:hAnsi="Arial" w:cs="Arial"/>
          <w:bCs/>
          <w:color w:val="7B7B7B" w:themeColor="accent3" w:themeShade="BF"/>
          <w:sz w:val="22"/>
          <w:szCs w:val="22"/>
          <w:lang w:val="en-GB"/>
        </w:rPr>
      </w:pPr>
      <w:r w:rsidRPr="004F6F87">
        <w:rPr>
          <w:rFonts w:ascii="Arial" w:hAnsi="Arial" w:cs="Arial"/>
          <w:bCs/>
          <w:color w:val="7B7B7B" w:themeColor="accent3" w:themeShade="BF"/>
          <w:sz w:val="22"/>
          <w:szCs w:val="22"/>
          <w:lang w:val="en-GB"/>
        </w:rPr>
        <w:t>C</w:t>
      </w:r>
      <w:r w:rsidR="00FD094D" w:rsidRPr="004F6F87">
        <w:rPr>
          <w:rFonts w:ascii="Arial" w:hAnsi="Arial" w:cs="Arial"/>
          <w:iCs/>
          <w:color w:val="7B7B7B" w:themeColor="accent3" w:themeShade="BF"/>
          <w:sz w:val="22"/>
          <w:szCs w:val="22"/>
          <w:lang w:val="en-GB"/>
        </w:rPr>
        <w:t xml:space="preserve">ertain </w:t>
      </w:r>
      <w:r w:rsidRPr="004F6F87">
        <w:rPr>
          <w:rFonts w:ascii="Arial" w:hAnsi="Arial" w:cs="Arial"/>
          <w:iCs/>
          <w:color w:val="7B7B7B" w:themeColor="accent3" w:themeShade="BF"/>
          <w:sz w:val="22"/>
          <w:szCs w:val="22"/>
          <w:lang w:val="en-GB"/>
        </w:rPr>
        <w:t xml:space="preserve">debts relating to VAT or a relevant deduction owed to </w:t>
      </w:r>
      <w:r w:rsidRPr="004F6F87">
        <w:rPr>
          <w:rFonts w:ascii="Arial" w:hAnsi="Arial" w:cs="Arial"/>
          <w:color w:val="7B7B7B" w:themeColor="accent3" w:themeShade="BF"/>
          <w:sz w:val="22"/>
          <w:szCs w:val="22"/>
          <w:lang w:val="en-GB"/>
        </w:rPr>
        <w:t xml:space="preserve">Her Majesty's Revenue and Customs (HMRC) </w:t>
      </w:r>
      <w:r w:rsidRPr="004F6F87">
        <w:rPr>
          <w:rFonts w:ascii="Arial" w:hAnsi="Arial" w:cs="Arial"/>
          <w:iCs/>
          <w:color w:val="7B7B7B" w:themeColor="accent3" w:themeShade="BF"/>
          <w:sz w:val="22"/>
          <w:szCs w:val="22"/>
          <w:lang w:val="en-GB"/>
        </w:rPr>
        <w:t>Commissioners.</w:t>
      </w:r>
    </w:p>
    <w:p w14:paraId="542989EE" w14:textId="77777777" w:rsidR="00AA7B0D" w:rsidRPr="004F6F87" w:rsidRDefault="00AA7B0D" w:rsidP="00BA3955">
      <w:pPr>
        <w:jc w:val="both"/>
        <w:rPr>
          <w:rFonts w:ascii="Arial" w:hAnsi="Arial" w:cs="Arial"/>
          <w:color w:val="7B7B7B" w:themeColor="accent3" w:themeShade="BF"/>
          <w:sz w:val="22"/>
          <w:szCs w:val="22"/>
          <w:u w:val="single"/>
          <w:lang w:val="en-GB"/>
        </w:rPr>
      </w:pPr>
    </w:p>
    <w:p w14:paraId="114D1E68" w14:textId="511C23E4" w:rsidR="00FA5464" w:rsidRDefault="004C0E26" w:rsidP="00BA3955">
      <w:pPr>
        <w:numPr>
          <w:ilvl w:val="0"/>
          <w:numId w:val="21"/>
        </w:numPr>
        <w:jc w:val="both"/>
        <w:rPr>
          <w:rFonts w:ascii="Arial" w:hAnsi="Arial" w:cs="Arial"/>
          <w:color w:val="7B7B7B" w:themeColor="accent3" w:themeShade="BF"/>
          <w:sz w:val="22"/>
          <w:szCs w:val="22"/>
          <w:u w:val="single"/>
          <w:lang w:val="en-GB"/>
        </w:rPr>
      </w:pPr>
      <w:r w:rsidRPr="004C0E26">
        <w:rPr>
          <w:rFonts w:ascii="Arial" w:hAnsi="Arial" w:cs="Arial"/>
          <w:color w:val="7B7B7B" w:themeColor="accent3" w:themeShade="BF"/>
          <w:sz w:val="22"/>
          <w:szCs w:val="22"/>
          <w:u w:val="single"/>
          <w:lang w:val="en-GB"/>
        </w:rPr>
        <w:t>Floating charge holders</w:t>
      </w:r>
    </w:p>
    <w:p w14:paraId="3F99BD8A" w14:textId="63A3332D" w:rsidR="004C0E26" w:rsidRDefault="004C0E26" w:rsidP="00BA3955">
      <w:pPr>
        <w:ind w:left="720"/>
        <w:jc w:val="both"/>
        <w:rPr>
          <w:rFonts w:ascii="Arial" w:hAnsi="Arial" w:cs="Arial"/>
          <w:color w:val="7B7B7B" w:themeColor="accent3" w:themeShade="BF"/>
          <w:sz w:val="22"/>
          <w:szCs w:val="22"/>
          <w:u w:val="single"/>
          <w:lang w:val="en-GB"/>
        </w:rPr>
      </w:pPr>
    </w:p>
    <w:p w14:paraId="39057690" w14:textId="77777777" w:rsidR="004C0E26" w:rsidRDefault="004C0E26" w:rsidP="00BA3955">
      <w:pPr>
        <w:ind w:left="720"/>
        <w:jc w:val="both"/>
        <w:rPr>
          <w:rFonts w:ascii="Arial" w:hAnsi="Arial" w:cs="Arial"/>
          <w:color w:val="7B7B7B" w:themeColor="accent3" w:themeShade="BF"/>
          <w:sz w:val="22"/>
          <w:szCs w:val="22"/>
          <w:lang w:val="en-GB"/>
        </w:rPr>
      </w:pPr>
      <w:r w:rsidRPr="004C0E26">
        <w:rPr>
          <w:rFonts w:ascii="Arial" w:hAnsi="Arial" w:cs="Arial"/>
          <w:color w:val="7B7B7B" w:themeColor="accent3" w:themeShade="BF"/>
          <w:sz w:val="22"/>
          <w:szCs w:val="22"/>
          <w:lang w:val="en-GB"/>
        </w:rPr>
        <w:t xml:space="preserve">Once </w:t>
      </w:r>
      <w:r>
        <w:rPr>
          <w:rFonts w:ascii="Arial" w:hAnsi="Arial" w:cs="Arial"/>
          <w:color w:val="7B7B7B" w:themeColor="accent3" w:themeShade="BF"/>
          <w:sz w:val="22"/>
          <w:szCs w:val="22"/>
          <w:lang w:val="en-GB"/>
        </w:rPr>
        <w:t xml:space="preserve">the assets of the company are used to satisfy preferential debtors, payments can be made to floating charge holders as per Section 176A of the IA. If there are more than 2 floating charges, priority would generally be given to the floating charge that was created first. </w:t>
      </w:r>
    </w:p>
    <w:p w14:paraId="7FEE631B" w14:textId="77777777" w:rsidR="004C0E26" w:rsidRDefault="004C0E26" w:rsidP="00BA3955">
      <w:pPr>
        <w:ind w:left="720"/>
        <w:jc w:val="both"/>
        <w:rPr>
          <w:rFonts w:ascii="Arial" w:hAnsi="Arial" w:cs="Arial"/>
          <w:color w:val="7B7B7B" w:themeColor="accent3" w:themeShade="BF"/>
          <w:sz w:val="22"/>
          <w:szCs w:val="22"/>
          <w:lang w:val="en-GB"/>
        </w:rPr>
      </w:pPr>
    </w:p>
    <w:p w14:paraId="63196FEC" w14:textId="77777777" w:rsidR="004C0E26" w:rsidRPr="004C0E26" w:rsidRDefault="004C0E26" w:rsidP="00BA3955">
      <w:pPr>
        <w:ind w:left="720"/>
        <w:jc w:val="both"/>
        <w:rPr>
          <w:rFonts w:ascii="Arial" w:hAnsi="Arial" w:cs="Arial"/>
          <w:color w:val="7B7B7B" w:themeColor="accent3" w:themeShade="BF"/>
          <w:sz w:val="22"/>
          <w:szCs w:val="22"/>
          <w:u w:val="single"/>
          <w:lang w:val="en-GB"/>
        </w:rPr>
      </w:pPr>
      <w:r w:rsidRPr="004C0E26">
        <w:rPr>
          <w:rFonts w:ascii="Arial" w:hAnsi="Arial" w:cs="Arial"/>
          <w:color w:val="7B7B7B" w:themeColor="accent3" w:themeShade="BF"/>
          <w:sz w:val="22"/>
          <w:szCs w:val="22"/>
          <w:u w:val="single"/>
          <w:lang w:val="en-GB"/>
        </w:rPr>
        <w:t>Prescribed part</w:t>
      </w:r>
    </w:p>
    <w:p w14:paraId="48EE799D" w14:textId="37B134E3" w:rsidR="004C0E26" w:rsidRDefault="004C0E26" w:rsidP="00BA3955">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must be noted that under Section 176A, </w:t>
      </w:r>
      <w:r w:rsidRPr="004C0E26">
        <w:rPr>
          <w:rFonts w:ascii="Arial" w:hAnsi="Arial" w:cs="Arial"/>
          <w:color w:val="7B7B7B" w:themeColor="accent3" w:themeShade="BF"/>
          <w:sz w:val="22"/>
          <w:szCs w:val="22"/>
          <w:u w:val="single"/>
          <w:lang w:val="en-GB"/>
        </w:rPr>
        <w:t>all</w:t>
      </w:r>
      <w:r>
        <w:rPr>
          <w:rFonts w:ascii="Arial" w:hAnsi="Arial" w:cs="Arial"/>
          <w:color w:val="7B7B7B" w:themeColor="accent3" w:themeShade="BF"/>
          <w:sz w:val="22"/>
          <w:szCs w:val="22"/>
          <w:lang w:val="en-GB"/>
        </w:rPr>
        <w:t xml:space="preserve"> the remaining assets (after the payments made as above in relation to liquidation costs and preferential debts) are not necessarily available to the floating charge holders. Section 176A(2) requires the liquidator to set aside the prescribed part (i.e. 50% of the property if the net properties of the company do not exceed </w:t>
      </w:r>
      <w:r w:rsidR="0032167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10,000 and 20% of the excess in value exceeding </w:t>
      </w:r>
      <w:r w:rsidR="00321670">
        <w:rPr>
          <w:rFonts w:ascii="Arial" w:hAnsi="Arial" w:cs="Arial"/>
          <w:color w:val="7B7B7B" w:themeColor="accent3" w:themeShade="BF"/>
          <w:sz w:val="22"/>
          <w:szCs w:val="22"/>
          <w:lang w:val="en-GB"/>
        </w:rPr>
        <w:t>£10,000</w:t>
      </w:r>
      <w:r>
        <w:rPr>
          <w:rFonts w:ascii="Arial" w:hAnsi="Arial" w:cs="Arial"/>
          <w:color w:val="7B7B7B" w:themeColor="accent3" w:themeShade="BF"/>
          <w:sz w:val="22"/>
          <w:szCs w:val="22"/>
          <w:lang w:val="en-GB"/>
        </w:rPr>
        <w:t xml:space="preserve">), for the satisfaction of unsecured debts. There are certain exceptions i.e. if the company’s property is less than </w:t>
      </w:r>
      <w:r w:rsidR="00321670">
        <w:rPr>
          <w:rFonts w:ascii="Arial" w:hAnsi="Arial" w:cs="Arial"/>
          <w:color w:val="7B7B7B" w:themeColor="accent3" w:themeShade="BF"/>
          <w:sz w:val="22"/>
          <w:szCs w:val="22"/>
          <w:lang w:val="en-GB"/>
        </w:rPr>
        <w:t>£10,000</w:t>
      </w:r>
      <w:r>
        <w:rPr>
          <w:rFonts w:ascii="Arial" w:hAnsi="Arial" w:cs="Arial"/>
          <w:color w:val="7B7B7B" w:themeColor="accent3" w:themeShade="BF"/>
          <w:sz w:val="22"/>
          <w:szCs w:val="22"/>
          <w:lang w:val="en-GB"/>
        </w:rPr>
        <w:t xml:space="preserve">, or if the liquidators think that the costs of making distribution to unsecured creditors would be disproportionate to their benefits, then sub-section 2 would not apply. </w:t>
      </w:r>
    </w:p>
    <w:p w14:paraId="4BB48194" w14:textId="77777777" w:rsidR="004C0E26" w:rsidRPr="004C0E26" w:rsidRDefault="004C0E26" w:rsidP="00BA3955">
      <w:pPr>
        <w:ind w:left="720"/>
        <w:jc w:val="both"/>
        <w:rPr>
          <w:rFonts w:ascii="Arial" w:hAnsi="Arial" w:cs="Arial"/>
          <w:color w:val="7B7B7B" w:themeColor="accent3" w:themeShade="BF"/>
          <w:sz w:val="22"/>
          <w:szCs w:val="22"/>
          <w:lang w:val="en-GB"/>
        </w:rPr>
      </w:pPr>
    </w:p>
    <w:p w14:paraId="5694492E" w14:textId="6F337E23" w:rsidR="00FA5464" w:rsidRDefault="00FA5464" w:rsidP="00BA3955">
      <w:pPr>
        <w:numPr>
          <w:ilvl w:val="0"/>
          <w:numId w:val="21"/>
        </w:numPr>
        <w:jc w:val="both"/>
        <w:rPr>
          <w:rFonts w:ascii="Arial" w:hAnsi="Arial" w:cs="Arial"/>
          <w:color w:val="7B7B7B" w:themeColor="accent3" w:themeShade="BF"/>
          <w:sz w:val="22"/>
          <w:szCs w:val="22"/>
          <w:lang w:val="en-GB"/>
        </w:rPr>
      </w:pPr>
      <w:r w:rsidRPr="00321670">
        <w:rPr>
          <w:rFonts w:ascii="Arial" w:hAnsi="Arial" w:cs="Arial"/>
          <w:color w:val="7B7B7B" w:themeColor="accent3" w:themeShade="BF"/>
          <w:sz w:val="22"/>
          <w:szCs w:val="22"/>
          <w:u w:val="single"/>
          <w:lang w:val="en-GB"/>
        </w:rPr>
        <w:t>Unsecured creditors</w:t>
      </w:r>
      <w:r w:rsidRPr="00FA5464">
        <w:rPr>
          <w:rFonts w:ascii="Arial" w:hAnsi="Arial" w:cs="Arial"/>
          <w:color w:val="7B7B7B" w:themeColor="accent3" w:themeShade="BF"/>
          <w:sz w:val="22"/>
          <w:szCs w:val="22"/>
          <w:lang w:val="en-GB"/>
        </w:rPr>
        <w:t>.</w:t>
      </w:r>
    </w:p>
    <w:p w14:paraId="257AF928" w14:textId="66DB005B" w:rsidR="00FD094D" w:rsidRDefault="00FD094D" w:rsidP="00BA3955">
      <w:pPr>
        <w:ind w:left="720"/>
        <w:jc w:val="both"/>
        <w:rPr>
          <w:rFonts w:ascii="Arial" w:hAnsi="Arial" w:cs="Arial"/>
          <w:color w:val="7B7B7B" w:themeColor="accent3" w:themeShade="BF"/>
          <w:sz w:val="22"/>
          <w:szCs w:val="22"/>
          <w:u w:val="single"/>
          <w:lang w:val="en-GB"/>
        </w:rPr>
      </w:pPr>
    </w:p>
    <w:p w14:paraId="7AA99EC3" w14:textId="193A7A7E" w:rsidR="00FD094D" w:rsidRPr="00FD094D" w:rsidRDefault="00FD094D" w:rsidP="00BA3955">
      <w:pPr>
        <w:ind w:left="720"/>
        <w:jc w:val="both"/>
        <w:rPr>
          <w:rFonts w:ascii="Arial" w:hAnsi="Arial" w:cs="Arial"/>
          <w:color w:val="7B7B7B" w:themeColor="accent3" w:themeShade="BF"/>
          <w:sz w:val="22"/>
          <w:szCs w:val="22"/>
          <w:lang w:val="en-GB"/>
        </w:rPr>
      </w:pPr>
      <w:r w:rsidRPr="00FD094D">
        <w:rPr>
          <w:rFonts w:ascii="Arial" w:hAnsi="Arial" w:cs="Arial"/>
          <w:color w:val="7B7B7B" w:themeColor="accent3" w:themeShade="BF"/>
          <w:sz w:val="22"/>
          <w:szCs w:val="22"/>
          <w:lang w:val="en-GB"/>
        </w:rPr>
        <w:t xml:space="preserve">As mentioned above, </w:t>
      </w:r>
      <w:r>
        <w:rPr>
          <w:rFonts w:ascii="Arial" w:hAnsi="Arial" w:cs="Arial"/>
          <w:color w:val="7B7B7B" w:themeColor="accent3" w:themeShade="BF"/>
          <w:sz w:val="22"/>
          <w:szCs w:val="22"/>
          <w:lang w:val="en-GB"/>
        </w:rPr>
        <w:t>if a prescribed</w:t>
      </w:r>
      <w:r w:rsidR="002D089F">
        <w:rPr>
          <w:rFonts w:ascii="Arial" w:hAnsi="Arial" w:cs="Arial"/>
          <w:color w:val="7B7B7B" w:themeColor="accent3" w:themeShade="BF"/>
          <w:sz w:val="22"/>
          <w:szCs w:val="22"/>
          <w:lang w:val="en-GB"/>
        </w:rPr>
        <w:t xml:space="preserve"> part is set aside, or if any part of the properties remain for realisation after the payment towards the costs of liquidation, preferential debts and floating charges</w:t>
      </w:r>
      <w:r w:rsidR="00783928">
        <w:rPr>
          <w:rFonts w:ascii="Arial" w:hAnsi="Arial" w:cs="Arial"/>
          <w:color w:val="7B7B7B" w:themeColor="accent3" w:themeShade="BF"/>
          <w:sz w:val="22"/>
          <w:szCs w:val="22"/>
          <w:lang w:val="en-GB"/>
        </w:rPr>
        <w:t xml:space="preserve"> has been made, then the unsecured creditors are paid. Unsecured creditors are essentially trade creditors and involved in carrying on business with the debtor. They are last in the statutory order for creditors. Usually, there isn’t a lot left in the estate after the payment of other debts ahead in priority and it is often the case that unsecured creditors either receive nothing or unable to realise their entire debt. </w:t>
      </w:r>
    </w:p>
    <w:p w14:paraId="131D12F5" w14:textId="77777777" w:rsidR="00321670" w:rsidRPr="00FA5464" w:rsidRDefault="00321670" w:rsidP="00BA3955">
      <w:pPr>
        <w:ind w:left="720"/>
        <w:jc w:val="both"/>
        <w:rPr>
          <w:rFonts w:ascii="Arial" w:hAnsi="Arial" w:cs="Arial"/>
          <w:color w:val="7B7B7B" w:themeColor="accent3" w:themeShade="BF"/>
          <w:sz w:val="22"/>
          <w:szCs w:val="22"/>
          <w:lang w:val="en-GB"/>
        </w:rPr>
      </w:pPr>
    </w:p>
    <w:p w14:paraId="11C85BE8" w14:textId="5C6FEBB6" w:rsidR="00FA5464" w:rsidRDefault="00FA5464" w:rsidP="00BA3955">
      <w:pPr>
        <w:numPr>
          <w:ilvl w:val="0"/>
          <w:numId w:val="21"/>
        </w:numPr>
        <w:jc w:val="both"/>
        <w:rPr>
          <w:rFonts w:ascii="Arial" w:hAnsi="Arial" w:cs="Arial"/>
          <w:color w:val="7B7B7B" w:themeColor="accent3" w:themeShade="BF"/>
          <w:sz w:val="22"/>
          <w:szCs w:val="22"/>
          <w:lang w:val="en-GB"/>
        </w:rPr>
      </w:pPr>
      <w:r w:rsidRPr="00FA5464">
        <w:rPr>
          <w:rFonts w:ascii="Arial" w:hAnsi="Arial" w:cs="Arial"/>
          <w:color w:val="7B7B7B" w:themeColor="accent3" w:themeShade="BF"/>
          <w:sz w:val="22"/>
          <w:szCs w:val="22"/>
          <w:lang w:val="en-GB"/>
        </w:rPr>
        <w:lastRenderedPageBreak/>
        <w:t>Interest incurred on all u</w:t>
      </w:r>
      <w:r w:rsidR="00783928">
        <w:rPr>
          <w:rFonts w:ascii="Arial" w:hAnsi="Arial" w:cs="Arial"/>
          <w:color w:val="7B7B7B" w:themeColor="accent3" w:themeShade="BF"/>
          <w:sz w:val="22"/>
          <w:szCs w:val="22"/>
          <w:lang w:val="en-GB"/>
        </w:rPr>
        <w:t>nsecured debts post-liquidation</w:t>
      </w:r>
    </w:p>
    <w:p w14:paraId="4CB28D58" w14:textId="77777777" w:rsidR="00783928" w:rsidRPr="00FA5464" w:rsidRDefault="00783928" w:rsidP="00BA3955">
      <w:pPr>
        <w:ind w:left="720"/>
        <w:jc w:val="both"/>
        <w:rPr>
          <w:rFonts w:ascii="Arial" w:hAnsi="Arial" w:cs="Arial"/>
          <w:color w:val="7B7B7B" w:themeColor="accent3" w:themeShade="BF"/>
          <w:sz w:val="22"/>
          <w:szCs w:val="22"/>
          <w:lang w:val="en-GB"/>
        </w:rPr>
      </w:pPr>
    </w:p>
    <w:p w14:paraId="4E7A7FDD" w14:textId="36CC80F8" w:rsidR="00FA5464" w:rsidRDefault="00783928" w:rsidP="00BA3955">
      <w:pPr>
        <w:numPr>
          <w:ilvl w:val="0"/>
          <w:numId w:val="21"/>
        </w:numPr>
        <w:jc w:val="both"/>
        <w:rPr>
          <w:rFonts w:ascii="Arial" w:hAnsi="Arial" w:cs="Arial"/>
          <w:color w:val="7B7B7B" w:themeColor="accent3" w:themeShade="BF"/>
          <w:sz w:val="22"/>
          <w:szCs w:val="22"/>
          <w:u w:val="single"/>
          <w:lang w:val="en-GB"/>
        </w:rPr>
      </w:pPr>
      <w:r w:rsidRPr="00783928">
        <w:rPr>
          <w:rFonts w:ascii="Arial" w:hAnsi="Arial" w:cs="Arial"/>
          <w:color w:val="7B7B7B" w:themeColor="accent3" w:themeShade="BF"/>
          <w:sz w:val="22"/>
          <w:szCs w:val="22"/>
          <w:u w:val="single"/>
          <w:lang w:val="en-GB"/>
        </w:rPr>
        <w:t>Shareholders</w:t>
      </w:r>
    </w:p>
    <w:p w14:paraId="30828333" w14:textId="77777777" w:rsidR="00783928" w:rsidRDefault="00783928" w:rsidP="00BA3955">
      <w:pPr>
        <w:pStyle w:val="ListParagraph"/>
        <w:jc w:val="both"/>
        <w:rPr>
          <w:rFonts w:ascii="Arial" w:hAnsi="Arial" w:cs="Arial"/>
          <w:color w:val="7B7B7B" w:themeColor="accent3" w:themeShade="BF"/>
          <w:sz w:val="22"/>
          <w:szCs w:val="22"/>
          <w:u w:val="single"/>
          <w:lang w:val="en-GB"/>
        </w:rPr>
      </w:pPr>
    </w:p>
    <w:p w14:paraId="5E7C8C8C" w14:textId="57013B3F" w:rsidR="00783928" w:rsidRPr="00783928" w:rsidRDefault="00783928" w:rsidP="00BA3955">
      <w:pPr>
        <w:ind w:left="720"/>
        <w:jc w:val="both"/>
        <w:rPr>
          <w:rFonts w:ascii="Arial" w:hAnsi="Arial" w:cs="Arial"/>
          <w:color w:val="7B7B7B" w:themeColor="accent3" w:themeShade="BF"/>
          <w:sz w:val="22"/>
          <w:szCs w:val="22"/>
          <w:lang w:val="en-GB"/>
        </w:rPr>
      </w:pPr>
      <w:r w:rsidRPr="00783928">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shareholder are last in priority of payment out of the estate</w:t>
      </w:r>
      <w:r w:rsidR="007B46E4">
        <w:rPr>
          <w:rFonts w:ascii="Arial" w:hAnsi="Arial" w:cs="Arial"/>
          <w:color w:val="7B7B7B" w:themeColor="accent3" w:themeShade="BF"/>
          <w:sz w:val="22"/>
          <w:szCs w:val="22"/>
          <w:lang w:val="en-GB"/>
        </w:rPr>
        <w:t xml:space="preserve"> and usually the funds aren’t sufficient to pay off the shareholders in respect of their shares. Once all creditors are paid and funds are in fact available in the estate of the debtor, the shareholders are paid in accordance with the company documents/ constitutional documents and shareholders agreements. This is usually distributed on a pro rata basis as per the shareholding of the respective shareholders of the company. </w:t>
      </w:r>
      <w:r>
        <w:rPr>
          <w:rFonts w:ascii="Arial" w:hAnsi="Arial" w:cs="Arial"/>
          <w:color w:val="7B7B7B" w:themeColor="accent3" w:themeShade="BF"/>
          <w:sz w:val="22"/>
          <w:szCs w:val="22"/>
          <w:lang w:val="en-GB"/>
        </w:rPr>
        <w:t xml:space="preserve">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1"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BA3955">
      <w:pPr>
        <w:jc w:val="both"/>
        <w:rPr>
          <w:rFonts w:ascii="Arial" w:hAnsi="Arial" w:cs="Arial"/>
          <w:b/>
          <w:sz w:val="22"/>
          <w:szCs w:val="22"/>
        </w:rPr>
      </w:pPr>
    </w:p>
    <w:p w14:paraId="56526E3D" w14:textId="465259C3" w:rsidR="009D34F5" w:rsidRDefault="009D34F5"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Common introduction for all 3 analysis below:</w:t>
      </w:r>
    </w:p>
    <w:p w14:paraId="06CD9DD7" w14:textId="77777777" w:rsidR="009D34F5" w:rsidRDefault="009D34F5" w:rsidP="00BA3955">
      <w:pPr>
        <w:jc w:val="both"/>
        <w:rPr>
          <w:rFonts w:ascii="Arial" w:hAnsi="Arial" w:cs="Arial"/>
          <w:color w:val="7B7B7B" w:themeColor="accent3" w:themeShade="BF"/>
          <w:sz w:val="22"/>
          <w:szCs w:val="22"/>
          <w:lang w:val="en-GB"/>
        </w:rPr>
      </w:pPr>
    </w:p>
    <w:p w14:paraId="7ACE0BD9" w14:textId="77777777" w:rsidR="00BA3955" w:rsidRDefault="00EE1378" w:rsidP="00BA3955">
      <w:pPr>
        <w:jc w:val="both"/>
        <w:rPr>
          <w:rFonts w:ascii="Arial" w:hAnsi="Arial" w:cs="Arial"/>
          <w:color w:val="7B7B7B" w:themeColor="accent3" w:themeShade="BF"/>
          <w:sz w:val="22"/>
          <w:szCs w:val="22"/>
        </w:rPr>
      </w:pPr>
      <w:r w:rsidRPr="00EE1378">
        <w:rPr>
          <w:rFonts w:ascii="Arial" w:hAnsi="Arial" w:cs="Arial"/>
          <w:color w:val="7B7B7B" w:themeColor="accent3" w:themeShade="BF"/>
          <w:sz w:val="22"/>
          <w:szCs w:val="22"/>
          <w:lang w:val="en-GB"/>
        </w:rPr>
        <w:t xml:space="preserve">Section </w:t>
      </w:r>
      <w:r>
        <w:rPr>
          <w:rFonts w:ascii="Arial" w:hAnsi="Arial" w:cs="Arial"/>
          <w:color w:val="7B7B7B" w:themeColor="accent3" w:themeShade="BF"/>
          <w:sz w:val="22"/>
          <w:szCs w:val="22"/>
          <w:lang w:val="en-GB"/>
        </w:rPr>
        <w:t xml:space="preserve">127 of the IA provides that any disposition of a company’s property made </w:t>
      </w:r>
      <w:r w:rsidRPr="00EE1378">
        <w:rPr>
          <w:rFonts w:ascii="Arial" w:hAnsi="Arial" w:cs="Arial"/>
          <w:color w:val="7B7B7B" w:themeColor="accent3" w:themeShade="BF"/>
          <w:sz w:val="22"/>
          <w:szCs w:val="22"/>
        </w:rPr>
        <w:t>after the com</w:t>
      </w:r>
      <w:r>
        <w:rPr>
          <w:rFonts w:ascii="Arial" w:hAnsi="Arial" w:cs="Arial"/>
          <w:color w:val="7B7B7B" w:themeColor="accent3" w:themeShade="BF"/>
          <w:sz w:val="22"/>
          <w:szCs w:val="22"/>
        </w:rPr>
        <w:t>mencement of the winding up of such company, is void (unless otherwise ordered by the court).  T</w:t>
      </w:r>
      <w:r w:rsidRPr="00EE1378">
        <w:rPr>
          <w:rFonts w:ascii="Arial" w:hAnsi="Arial" w:cs="Arial"/>
          <w:color w:val="7B7B7B" w:themeColor="accent3" w:themeShade="BF"/>
          <w:sz w:val="22"/>
          <w:szCs w:val="22"/>
        </w:rPr>
        <w:t>he winding up of a company by the court is deemed to commence at the time of the presentation</w:t>
      </w:r>
      <w:r>
        <w:rPr>
          <w:rFonts w:ascii="Arial" w:hAnsi="Arial" w:cs="Arial"/>
          <w:color w:val="7B7B7B" w:themeColor="accent3" w:themeShade="BF"/>
          <w:sz w:val="22"/>
          <w:szCs w:val="22"/>
        </w:rPr>
        <w:t xml:space="preserve"> of the petition for winding up (Section 129(2))</w:t>
      </w:r>
      <w:r w:rsidR="0033241E">
        <w:rPr>
          <w:rFonts w:ascii="Arial" w:hAnsi="Arial" w:cs="Arial"/>
          <w:color w:val="7B7B7B" w:themeColor="accent3" w:themeShade="BF"/>
          <w:sz w:val="22"/>
          <w:szCs w:val="22"/>
        </w:rPr>
        <w:t xml:space="preserve"> i.e. on the </w:t>
      </w:r>
      <w:r w:rsidR="0033241E">
        <w:rPr>
          <w:rFonts w:ascii="Arial" w:hAnsi="Arial" w:cs="Arial"/>
          <w:color w:val="7B7B7B" w:themeColor="accent3" w:themeShade="BF"/>
          <w:sz w:val="22"/>
          <w:szCs w:val="22"/>
          <w:u w:val="single"/>
        </w:rPr>
        <w:t>14 October 2021</w:t>
      </w:r>
      <w:r w:rsidR="0033241E">
        <w:rPr>
          <w:rFonts w:ascii="Arial" w:hAnsi="Arial" w:cs="Arial"/>
          <w:color w:val="7B7B7B" w:themeColor="accent3" w:themeShade="BF"/>
          <w:sz w:val="22"/>
          <w:szCs w:val="22"/>
        </w:rPr>
        <w:t xml:space="preserve"> in relation to </w:t>
      </w:r>
      <w:r w:rsidR="0033241E" w:rsidRPr="0033241E">
        <w:rPr>
          <w:rFonts w:ascii="Arial" w:hAnsi="Arial" w:cs="Arial"/>
          <w:color w:val="7B7B7B" w:themeColor="accent3" w:themeShade="BF"/>
          <w:sz w:val="22"/>
          <w:szCs w:val="22"/>
        </w:rPr>
        <w:t>Corfee Zero Limited</w:t>
      </w:r>
      <w:r w:rsidR="0033241E">
        <w:rPr>
          <w:rFonts w:ascii="Arial" w:hAnsi="Arial" w:cs="Arial"/>
          <w:color w:val="7B7B7B" w:themeColor="accent3" w:themeShade="BF"/>
          <w:sz w:val="22"/>
          <w:szCs w:val="22"/>
        </w:rPr>
        <w:t xml:space="preserve"> (</w:t>
      </w:r>
      <w:r w:rsidR="0033241E" w:rsidRPr="0033241E">
        <w:rPr>
          <w:rFonts w:ascii="Arial" w:hAnsi="Arial" w:cs="Arial"/>
          <w:b/>
          <w:i/>
          <w:color w:val="7B7B7B" w:themeColor="accent3" w:themeShade="BF"/>
          <w:sz w:val="22"/>
          <w:szCs w:val="22"/>
        </w:rPr>
        <w:t>Company</w:t>
      </w:r>
      <w:r w:rsidR="0033241E">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 term ‘disposition of property’ has a fairly wide </w:t>
      </w:r>
      <w:r>
        <w:rPr>
          <w:rFonts w:ascii="Arial" w:hAnsi="Arial" w:cs="Arial"/>
          <w:color w:val="7B7B7B" w:themeColor="accent3" w:themeShade="BF"/>
          <w:sz w:val="22"/>
          <w:szCs w:val="22"/>
        </w:rPr>
        <w:lastRenderedPageBreak/>
        <w:t xml:space="preserve">scope to include any transaction where property of a company ceases to be vested in it (such as by way of charge, mortgage, gift etc.), </w:t>
      </w:r>
      <w:r w:rsidR="0033241E">
        <w:rPr>
          <w:rFonts w:ascii="Arial" w:hAnsi="Arial" w:cs="Arial"/>
          <w:color w:val="7B7B7B" w:themeColor="accent3" w:themeShade="BF"/>
          <w:sz w:val="22"/>
          <w:szCs w:val="22"/>
        </w:rPr>
        <w:t>and payments of money or assets of the company being sold to transferred.</w:t>
      </w:r>
      <w:r w:rsidR="00A570FC">
        <w:rPr>
          <w:rFonts w:ascii="Arial" w:hAnsi="Arial" w:cs="Arial"/>
          <w:color w:val="7B7B7B" w:themeColor="accent3" w:themeShade="BF"/>
          <w:sz w:val="22"/>
          <w:szCs w:val="22"/>
        </w:rPr>
        <w:t xml:space="preserve"> </w:t>
      </w:r>
    </w:p>
    <w:p w14:paraId="741D4690" w14:textId="77777777" w:rsidR="00BA3955" w:rsidRDefault="00BA3955" w:rsidP="00BA3955">
      <w:pPr>
        <w:jc w:val="both"/>
        <w:rPr>
          <w:rFonts w:ascii="Arial" w:hAnsi="Arial" w:cs="Arial"/>
          <w:color w:val="7B7B7B" w:themeColor="accent3" w:themeShade="BF"/>
          <w:sz w:val="22"/>
          <w:szCs w:val="22"/>
        </w:rPr>
      </w:pPr>
    </w:p>
    <w:p w14:paraId="50C8E4A2" w14:textId="3E058071" w:rsidR="00EE1378" w:rsidRPr="00EE1378" w:rsidRDefault="00A570FC"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Section 123 of the IA provides for a definition of a company’s inability to pay debts i.e. insolvency and includes circumstances where a company is cash-flow insolvent (i.e. unable to pay its debts as they fall due) or balance sheet insolvent (i.e. company’s assets are lesser than its liabilities (including contingent liabilities) or if the company fails to satisfy a valid written demand of the debtor under the IA. </w:t>
      </w:r>
    </w:p>
    <w:p w14:paraId="3870AD73" w14:textId="77777777" w:rsidR="00EE1378" w:rsidRDefault="00EE1378" w:rsidP="007E2919">
      <w:pPr>
        <w:rPr>
          <w:rFonts w:ascii="Arial" w:hAnsi="Arial" w:cs="Arial"/>
          <w:b/>
          <w:sz w:val="24"/>
        </w:rPr>
      </w:pPr>
    </w:p>
    <w:p w14:paraId="7ADF0676" w14:textId="5B571FED"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14CEF71A" w14:textId="15BEF755" w:rsidR="00F46269" w:rsidRDefault="0033241E" w:rsidP="00BA3955">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Specifically, in relation to floating charges, Section 245(2) of the IA makes </w:t>
      </w:r>
      <w:r w:rsidRPr="0033241E">
        <w:rPr>
          <w:rFonts w:ascii="Arial" w:hAnsi="Arial" w:cs="Arial"/>
          <w:color w:val="7B7B7B" w:themeColor="accent3" w:themeShade="BF"/>
          <w:sz w:val="22"/>
          <w:szCs w:val="22"/>
        </w:rPr>
        <w:t>a floating charge on the company’s undertaking or property created at a relevant time</w:t>
      </w:r>
      <w:r w:rsidR="00A570FC">
        <w:rPr>
          <w:rFonts w:ascii="Arial" w:hAnsi="Arial" w:cs="Arial"/>
          <w:color w:val="7B7B7B" w:themeColor="accent3" w:themeShade="BF"/>
          <w:sz w:val="22"/>
          <w:szCs w:val="22"/>
        </w:rPr>
        <w:t xml:space="preserve"> (i.e. within a period of 12 months from the onset of insolvency of the company)</w:t>
      </w:r>
      <w:r w:rsidRPr="0033241E">
        <w:rPr>
          <w:rFonts w:ascii="Arial" w:hAnsi="Arial" w:cs="Arial"/>
          <w:color w:val="7B7B7B" w:themeColor="accent3" w:themeShade="BF"/>
          <w:sz w:val="22"/>
          <w:szCs w:val="22"/>
        </w:rPr>
        <w:t xml:space="preserve"> invalid</w:t>
      </w:r>
      <w:r w:rsidR="00A570FC">
        <w:rPr>
          <w:rFonts w:ascii="Arial" w:hAnsi="Arial" w:cs="Arial"/>
          <w:color w:val="7B7B7B" w:themeColor="accent3" w:themeShade="BF"/>
          <w:sz w:val="22"/>
          <w:szCs w:val="22"/>
        </w:rPr>
        <w:t xml:space="preserve"> unless, among other things, it related to new money coming in from the creditor into the company</w:t>
      </w:r>
      <w:r>
        <w:rPr>
          <w:rFonts w:ascii="Arial" w:hAnsi="Arial" w:cs="Arial"/>
          <w:color w:val="7B7B7B" w:themeColor="accent3" w:themeShade="BF"/>
          <w:sz w:val="22"/>
          <w:szCs w:val="22"/>
        </w:rPr>
        <w:t xml:space="preserve">. </w:t>
      </w:r>
      <w:r w:rsidR="00313C19">
        <w:rPr>
          <w:rFonts w:ascii="Arial" w:hAnsi="Arial" w:cs="Arial"/>
          <w:color w:val="7B7B7B" w:themeColor="accent3" w:themeShade="BF"/>
          <w:sz w:val="22"/>
          <w:szCs w:val="22"/>
        </w:rPr>
        <w:t xml:space="preserve">The primary purpose for such a provision is to avoid the </w:t>
      </w:r>
      <w:r w:rsidR="006F6338">
        <w:rPr>
          <w:rFonts w:ascii="Arial" w:hAnsi="Arial" w:cs="Arial"/>
          <w:color w:val="7B7B7B" w:themeColor="accent3" w:themeShade="BF"/>
          <w:sz w:val="22"/>
          <w:szCs w:val="22"/>
        </w:rPr>
        <w:t>pre-existing unsecured creditors to secure their debt by way of a floating charge shortly prior to the company entering into a formal insolvency procedure.</w:t>
      </w:r>
    </w:p>
    <w:p w14:paraId="35DFC7ED" w14:textId="77777777" w:rsidR="00F46269" w:rsidRDefault="00F46269" w:rsidP="00BA3955">
      <w:pPr>
        <w:jc w:val="both"/>
        <w:rPr>
          <w:rFonts w:ascii="Arial" w:hAnsi="Arial" w:cs="Arial"/>
          <w:color w:val="7B7B7B" w:themeColor="accent3" w:themeShade="BF"/>
          <w:sz w:val="22"/>
          <w:szCs w:val="22"/>
        </w:rPr>
      </w:pPr>
    </w:p>
    <w:p w14:paraId="0A188A55" w14:textId="69C58F74" w:rsidR="00FF5098" w:rsidRDefault="00A570FC" w:rsidP="00BA395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must be noted that under Section 245(4), while the floating charge was being created, it must be shown that the company was unable to pay its debts (under Section 123 of the IA or as a consequence of the floating </w:t>
      </w:r>
      <w:r w:rsidR="009D34F5">
        <w:rPr>
          <w:rFonts w:ascii="Arial" w:hAnsi="Arial" w:cs="Arial"/>
          <w:color w:val="7B7B7B" w:themeColor="accent3" w:themeShade="BF"/>
          <w:sz w:val="22"/>
          <w:szCs w:val="22"/>
        </w:rPr>
        <w:t xml:space="preserve">charge). A floating charge will be considered to be invalid only when the company is in liquidation. </w:t>
      </w:r>
    </w:p>
    <w:p w14:paraId="1F194269" w14:textId="2DED5A4B" w:rsidR="00A570FC" w:rsidRDefault="00A570FC" w:rsidP="00BA3955">
      <w:pPr>
        <w:jc w:val="both"/>
        <w:rPr>
          <w:rFonts w:ascii="Arial" w:hAnsi="Arial" w:cs="Arial"/>
          <w:color w:val="7B7B7B" w:themeColor="accent3" w:themeShade="BF"/>
          <w:sz w:val="22"/>
          <w:szCs w:val="22"/>
        </w:rPr>
      </w:pPr>
    </w:p>
    <w:p w14:paraId="05ADAF17" w14:textId="07663EC5" w:rsidR="00A570FC" w:rsidRDefault="00F46269" w:rsidP="00BA395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Stercus Bank plc (</w:t>
      </w:r>
      <w:r w:rsidRPr="00F46269">
        <w:rPr>
          <w:rFonts w:ascii="Arial" w:hAnsi="Arial" w:cs="Arial"/>
          <w:b/>
          <w:i/>
          <w:color w:val="7B7B7B" w:themeColor="accent3" w:themeShade="BF"/>
          <w:sz w:val="22"/>
          <w:szCs w:val="22"/>
        </w:rPr>
        <w:t>Bank</w:t>
      </w:r>
      <w:r>
        <w:rPr>
          <w:rFonts w:ascii="Arial" w:hAnsi="Arial" w:cs="Arial"/>
          <w:color w:val="7B7B7B" w:themeColor="accent3" w:themeShade="BF"/>
          <w:sz w:val="22"/>
          <w:szCs w:val="22"/>
        </w:rPr>
        <w:t>) was granted a debenture containing a fl</w:t>
      </w:r>
      <w:r w:rsidR="009D34F5">
        <w:rPr>
          <w:rFonts w:ascii="Arial" w:hAnsi="Arial" w:cs="Arial"/>
          <w:color w:val="7B7B7B" w:themeColor="accent3" w:themeShade="BF"/>
          <w:sz w:val="22"/>
          <w:szCs w:val="22"/>
        </w:rPr>
        <w:t xml:space="preserve">oating charge in February 2021 </w:t>
      </w:r>
      <w:r>
        <w:rPr>
          <w:rFonts w:ascii="Arial" w:hAnsi="Arial" w:cs="Arial"/>
          <w:color w:val="7B7B7B" w:themeColor="accent3" w:themeShade="BF"/>
          <w:sz w:val="22"/>
          <w:szCs w:val="22"/>
        </w:rPr>
        <w:t>i.e. within the 12 months from the onset of insolvency i.e. within 12 months from</w:t>
      </w:r>
      <w:r w:rsidR="009D34F5">
        <w:rPr>
          <w:rFonts w:ascii="Arial" w:hAnsi="Arial" w:cs="Arial"/>
          <w:color w:val="7B7B7B" w:themeColor="accent3" w:themeShade="BF"/>
          <w:sz w:val="22"/>
          <w:szCs w:val="22"/>
        </w:rPr>
        <w:t xml:space="preserve"> presentation of the winding-up petition on</w:t>
      </w:r>
      <w:r>
        <w:rPr>
          <w:rFonts w:ascii="Arial" w:hAnsi="Arial" w:cs="Arial"/>
          <w:color w:val="7B7B7B" w:themeColor="accent3" w:themeShade="BF"/>
          <w:sz w:val="22"/>
          <w:szCs w:val="22"/>
        </w:rPr>
        <w:t xml:space="preserve"> 14 October 2021). It is arguable that the floating charge was created when the Company was unable to pay its debts as they fell due as it did not repay the loans to the Bank </w:t>
      </w:r>
      <w:r w:rsidR="009D34F5">
        <w:rPr>
          <w:rFonts w:ascii="Arial" w:hAnsi="Arial" w:cs="Arial"/>
          <w:color w:val="7B7B7B" w:themeColor="accent3" w:themeShade="BF"/>
          <w:sz w:val="22"/>
          <w:szCs w:val="22"/>
        </w:rPr>
        <w:t xml:space="preserve">and granted this floating charge in favour of the Bank instead. </w:t>
      </w:r>
    </w:p>
    <w:p w14:paraId="603B645B" w14:textId="7452344D" w:rsidR="009D34F5" w:rsidRDefault="009D34F5" w:rsidP="00BA3955">
      <w:pPr>
        <w:jc w:val="both"/>
        <w:rPr>
          <w:rFonts w:ascii="Arial" w:hAnsi="Arial" w:cs="Arial"/>
          <w:color w:val="7B7B7B" w:themeColor="accent3" w:themeShade="BF"/>
          <w:sz w:val="22"/>
          <w:szCs w:val="22"/>
        </w:rPr>
      </w:pPr>
    </w:p>
    <w:p w14:paraId="74C366AC" w14:textId="0F60FBA4" w:rsidR="007E2919" w:rsidRDefault="009D34F5" w:rsidP="00BA395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Thus the floating charge will most likely be invalid as it falls within the ambit of Section 245 of the IA. However, it must be noted that the underlying debt is not invalid. </w:t>
      </w:r>
    </w:p>
    <w:p w14:paraId="16A28DA9" w14:textId="32A61FC6" w:rsidR="006159DE" w:rsidRDefault="006159DE" w:rsidP="00BA3955">
      <w:pPr>
        <w:jc w:val="both"/>
        <w:rPr>
          <w:rFonts w:ascii="Arial" w:hAnsi="Arial" w:cs="Arial"/>
          <w:color w:val="7B7B7B" w:themeColor="accent3" w:themeShade="BF"/>
          <w:sz w:val="22"/>
          <w:szCs w:val="22"/>
        </w:rPr>
      </w:pPr>
    </w:p>
    <w:p w14:paraId="169E8903" w14:textId="2E35136F" w:rsidR="006159DE" w:rsidRDefault="006159DE"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In any event, </w:t>
      </w:r>
      <w:r>
        <w:rPr>
          <w:rFonts w:ascii="Arial" w:hAnsi="Arial" w:cs="Arial"/>
          <w:color w:val="7B7B7B" w:themeColor="accent3" w:themeShade="BF"/>
          <w:sz w:val="22"/>
          <w:szCs w:val="22"/>
          <w:lang w:val="en-GB"/>
        </w:rPr>
        <w:t xml:space="preserve">Section 239 of the IA deals with transactions that can be avoided by the court upon the application of a liquidator (or administrator) if a creditor have been preferred over the other creditors through such transaction within the relevant time. The underlying purpose of this provision is to prevent a company shortly before entering formal insolvency procedure to favour and place one creditor in a better position than others. </w:t>
      </w:r>
      <w:r w:rsidR="005208DF">
        <w:rPr>
          <w:rFonts w:ascii="Arial" w:hAnsi="Arial" w:cs="Arial"/>
          <w:color w:val="7B7B7B" w:themeColor="accent3" w:themeShade="BF"/>
          <w:sz w:val="22"/>
          <w:szCs w:val="22"/>
          <w:lang w:val="en-GB"/>
        </w:rPr>
        <w:t>An</w:t>
      </w:r>
      <w:r>
        <w:rPr>
          <w:rFonts w:ascii="Arial" w:hAnsi="Arial" w:cs="Arial"/>
          <w:color w:val="7B7B7B" w:themeColor="accent3" w:themeShade="BF"/>
          <w:sz w:val="22"/>
          <w:szCs w:val="22"/>
          <w:lang w:val="en-GB"/>
        </w:rPr>
        <w:t xml:space="preserve"> application under this provision can only be made if the company is in liquidation. </w:t>
      </w:r>
    </w:p>
    <w:p w14:paraId="5AFAFF0C" w14:textId="77777777" w:rsidR="006159DE" w:rsidRDefault="006159DE" w:rsidP="00BA3955">
      <w:pPr>
        <w:jc w:val="both"/>
        <w:rPr>
          <w:rFonts w:ascii="Arial" w:hAnsi="Arial" w:cs="Arial"/>
          <w:color w:val="7B7B7B" w:themeColor="accent3" w:themeShade="BF"/>
          <w:sz w:val="22"/>
          <w:szCs w:val="22"/>
          <w:lang w:val="en-GB"/>
        </w:rPr>
      </w:pPr>
    </w:p>
    <w:p w14:paraId="6A1749B8" w14:textId="77777777" w:rsidR="006159DE" w:rsidRDefault="006159DE" w:rsidP="00BA395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successfully make an application for a transaction to be void under this provision, the liquidator has to prove certain aspects of a transaction and the burden of proof lies on the liquidator:</w:t>
      </w:r>
    </w:p>
    <w:p w14:paraId="1A741A4C" w14:textId="77777777" w:rsidR="006159DE" w:rsidRPr="006159DE" w:rsidRDefault="006159DE" w:rsidP="00BA3955">
      <w:pPr>
        <w:autoSpaceDE w:val="0"/>
        <w:autoSpaceDN w:val="0"/>
        <w:adjustRightInd w:val="0"/>
        <w:jc w:val="both"/>
        <w:rPr>
          <w:rFonts w:ascii="Arial" w:hAnsi="Arial" w:cs="Arial"/>
          <w:color w:val="7B7B7B" w:themeColor="accent3" w:themeShade="BF"/>
          <w:sz w:val="22"/>
          <w:szCs w:val="22"/>
          <w:lang w:val="en-GB"/>
        </w:rPr>
      </w:pPr>
    </w:p>
    <w:p w14:paraId="73219226" w14:textId="77777777" w:rsidR="006159DE" w:rsidRPr="006159DE" w:rsidRDefault="006159DE" w:rsidP="00BA3955">
      <w:pPr>
        <w:autoSpaceDE w:val="0"/>
        <w:autoSpaceDN w:val="0"/>
        <w:adjustRightInd w:val="0"/>
        <w:jc w:val="both"/>
        <w:rPr>
          <w:rFonts w:ascii="Arial" w:hAnsi="Arial" w:cs="Arial"/>
          <w:iCs/>
          <w:color w:val="7B7B7B" w:themeColor="accent3" w:themeShade="BF"/>
          <w:sz w:val="22"/>
          <w:szCs w:val="22"/>
          <w:lang w:val="en-GB"/>
        </w:rPr>
      </w:pPr>
      <w:r w:rsidRPr="006159DE">
        <w:rPr>
          <w:rFonts w:ascii="Arial" w:hAnsi="Arial" w:cs="Arial"/>
          <w:iCs/>
          <w:color w:val="7B7B7B" w:themeColor="accent3" w:themeShade="BF"/>
          <w:sz w:val="22"/>
          <w:szCs w:val="22"/>
          <w:lang w:val="en-GB"/>
        </w:rPr>
        <w:t>(a) that person is one of the company’s creditors (or a surety or guarantor for any of the company’s debts or other liabilities</w:t>
      </w:r>
      <w:r>
        <w:rPr>
          <w:rFonts w:ascii="Arial" w:hAnsi="Arial" w:cs="Arial"/>
          <w:iCs/>
          <w:color w:val="7B7B7B" w:themeColor="accent3" w:themeShade="BF"/>
          <w:sz w:val="22"/>
          <w:szCs w:val="22"/>
          <w:lang w:val="en-GB"/>
        </w:rPr>
        <w:t>)</w:t>
      </w:r>
      <w:r w:rsidRPr="006159DE">
        <w:rPr>
          <w:rFonts w:ascii="Arial" w:hAnsi="Arial" w:cs="Arial"/>
          <w:iCs/>
          <w:color w:val="7B7B7B" w:themeColor="accent3" w:themeShade="BF"/>
          <w:sz w:val="22"/>
          <w:szCs w:val="22"/>
          <w:lang w:val="en-GB"/>
        </w:rPr>
        <w:t>;</w:t>
      </w:r>
      <w:r>
        <w:rPr>
          <w:rStyle w:val="FootnoteReference"/>
          <w:rFonts w:ascii="Arial" w:hAnsi="Arial" w:cs="Arial"/>
          <w:iCs/>
          <w:color w:val="7B7B7B" w:themeColor="accent3" w:themeShade="BF"/>
          <w:sz w:val="22"/>
          <w:szCs w:val="22"/>
          <w:lang w:val="en-GB"/>
        </w:rPr>
        <w:footnoteReference w:id="2"/>
      </w:r>
    </w:p>
    <w:p w14:paraId="69F0B303" w14:textId="77777777" w:rsidR="006159DE" w:rsidRPr="006159DE" w:rsidRDefault="006159DE" w:rsidP="00BA3955">
      <w:pPr>
        <w:autoSpaceDE w:val="0"/>
        <w:autoSpaceDN w:val="0"/>
        <w:adjustRightInd w:val="0"/>
        <w:jc w:val="both"/>
        <w:rPr>
          <w:rFonts w:ascii="Arial" w:hAnsi="Arial" w:cs="Arial"/>
          <w:iCs/>
          <w:color w:val="7B7B7B" w:themeColor="accent3" w:themeShade="BF"/>
          <w:sz w:val="22"/>
          <w:szCs w:val="22"/>
          <w:lang w:val="en-GB"/>
        </w:rPr>
      </w:pPr>
      <w:r w:rsidRPr="006159DE">
        <w:rPr>
          <w:rFonts w:ascii="Arial" w:hAnsi="Arial" w:cs="Arial"/>
          <w:iCs/>
          <w:color w:val="7B7B7B" w:themeColor="accent3" w:themeShade="BF"/>
          <w:sz w:val="22"/>
          <w:szCs w:val="22"/>
          <w:lang w:val="en-GB"/>
        </w:rPr>
        <w:t xml:space="preserve">(b) the company does anything or suffers anything to be done which (in either case) has the effect of putting that person into a position which, in the event of the company going into </w:t>
      </w:r>
      <w:r w:rsidRPr="006159DE">
        <w:rPr>
          <w:rFonts w:ascii="Arial" w:hAnsi="Arial" w:cs="Arial"/>
          <w:iCs/>
          <w:color w:val="7B7B7B" w:themeColor="accent3" w:themeShade="BF"/>
          <w:sz w:val="22"/>
          <w:szCs w:val="22"/>
          <w:lang w:val="en-GB"/>
        </w:rPr>
        <w:lastRenderedPageBreak/>
        <w:t>insolvent liquidation, will be better than the position he would have been in if that thing had not been done</w:t>
      </w:r>
      <w:r>
        <w:rPr>
          <w:rStyle w:val="FootnoteReference"/>
          <w:rFonts w:ascii="Arial" w:hAnsi="Arial" w:cs="Arial"/>
          <w:iCs/>
          <w:color w:val="7B7B7B" w:themeColor="accent3" w:themeShade="BF"/>
          <w:sz w:val="22"/>
          <w:szCs w:val="22"/>
          <w:lang w:val="en-GB"/>
        </w:rPr>
        <w:footnoteReference w:id="3"/>
      </w:r>
      <w:r w:rsidRPr="006159DE">
        <w:rPr>
          <w:rFonts w:ascii="Arial" w:hAnsi="Arial" w:cs="Arial"/>
          <w:iCs/>
          <w:color w:val="7B7B7B" w:themeColor="accent3" w:themeShade="BF"/>
          <w:sz w:val="22"/>
          <w:szCs w:val="22"/>
          <w:lang w:val="en-GB"/>
        </w:rPr>
        <w:t>;</w:t>
      </w:r>
    </w:p>
    <w:p w14:paraId="521079FE" w14:textId="77777777" w:rsidR="006159DE" w:rsidRPr="006159DE" w:rsidRDefault="006159DE" w:rsidP="00BA3955">
      <w:pPr>
        <w:autoSpaceDE w:val="0"/>
        <w:autoSpaceDN w:val="0"/>
        <w:adjustRightInd w:val="0"/>
        <w:jc w:val="both"/>
        <w:rPr>
          <w:rFonts w:ascii="Arial" w:hAnsi="Arial" w:cs="Arial"/>
          <w:iCs/>
          <w:color w:val="7B7B7B" w:themeColor="accent3" w:themeShade="BF"/>
          <w:sz w:val="22"/>
          <w:szCs w:val="22"/>
          <w:lang w:val="en-GB"/>
        </w:rPr>
      </w:pPr>
      <w:r w:rsidRPr="006159DE">
        <w:rPr>
          <w:rFonts w:ascii="Arial" w:hAnsi="Arial" w:cs="Arial"/>
          <w:iCs/>
          <w:color w:val="7B7B7B" w:themeColor="accent3" w:themeShade="BF"/>
          <w:sz w:val="22"/>
          <w:szCs w:val="22"/>
          <w:lang w:val="en-GB"/>
        </w:rPr>
        <w:t>(c) the company was influenced by a desire to prefer such creditor over the others</w:t>
      </w:r>
      <w:r>
        <w:rPr>
          <w:rStyle w:val="FootnoteReference"/>
          <w:rFonts w:ascii="Arial" w:hAnsi="Arial" w:cs="Arial"/>
          <w:iCs/>
          <w:color w:val="7B7B7B" w:themeColor="accent3" w:themeShade="BF"/>
          <w:sz w:val="22"/>
          <w:szCs w:val="22"/>
          <w:lang w:val="en-GB"/>
        </w:rPr>
        <w:footnoteReference w:id="4"/>
      </w:r>
      <w:r w:rsidRPr="006159DE">
        <w:rPr>
          <w:rFonts w:ascii="Arial" w:hAnsi="Arial" w:cs="Arial"/>
          <w:iCs/>
          <w:color w:val="7B7B7B" w:themeColor="accent3" w:themeShade="BF"/>
          <w:sz w:val="22"/>
          <w:szCs w:val="22"/>
          <w:lang w:val="en-GB"/>
        </w:rPr>
        <w:t>;</w:t>
      </w:r>
    </w:p>
    <w:p w14:paraId="5D24E16F" w14:textId="09A29698" w:rsidR="006159DE" w:rsidRDefault="006159DE" w:rsidP="00BA3955">
      <w:pPr>
        <w:autoSpaceDE w:val="0"/>
        <w:autoSpaceDN w:val="0"/>
        <w:adjustRightInd w:val="0"/>
        <w:jc w:val="both"/>
        <w:rPr>
          <w:rFonts w:ascii="Arial" w:hAnsi="Arial" w:cs="Arial"/>
          <w:iCs/>
          <w:color w:val="7B7B7B" w:themeColor="accent3" w:themeShade="BF"/>
          <w:sz w:val="22"/>
          <w:szCs w:val="22"/>
          <w:lang w:val="en-GB"/>
        </w:rPr>
      </w:pPr>
      <w:r w:rsidRPr="006159DE">
        <w:rPr>
          <w:rFonts w:ascii="Arial" w:hAnsi="Arial" w:cs="Arial"/>
          <w:iCs/>
          <w:color w:val="7B7B7B" w:themeColor="accent3" w:themeShade="BF"/>
          <w:sz w:val="22"/>
          <w:szCs w:val="22"/>
          <w:lang w:val="en-GB"/>
        </w:rPr>
        <w:t>(d) the preference was given as the ‘relevant time’</w:t>
      </w:r>
    </w:p>
    <w:p w14:paraId="3D77F59F" w14:textId="49AC86BA" w:rsidR="005208DF" w:rsidRPr="006159DE" w:rsidRDefault="005208DF" w:rsidP="00BA3955">
      <w:pPr>
        <w:autoSpaceDE w:val="0"/>
        <w:autoSpaceDN w:val="0"/>
        <w:adjustRightInd w:val="0"/>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Thus, the Company did grant a debenture in favour of the Bank and such debenture may fall within the ambit of a voidable preference under the IA. However, case law</w:t>
      </w:r>
      <w:r>
        <w:rPr>
          <w:rStyle w:val="FootnoteReference"/>
          <w:rFonts w:ascii="Arial" w:hAnsi="Arial" w:cs="Arial"/>
          <w:iCs/>
          <w:color w:val="7B7B7B" w:themeColor="accent3" w:themeShade="BF"/>
          <w:sz w:val="22"/>
          <w:szCs w:val="22"/>
          <w:lang w:val="en-GB"/>
        </w:rPr>
        <w:footnoteReference w:id="5"/>
      </w:r>
      <w:r>
        <w:rPr>
          <w:rFonts w:ascii="Arial" w:hAnsi="Arial" w:cs="Arial"/>
          <w:iCs/>
          <w:color w:val="7B7B7B" w:themeColor="accent3" w:themeShade="BF"/>
          <w:sz w:val="22"/>
          <w:szCs w:val="22"/>
          <w:lang w:val="en-GB"/>
        </w:rPr>
        <w:t xml:space="preserve"> on this subject specifically in relation to proving ‘a desire to prefer’ indicates that if a company is dependent on the bank for financial support and the bank would have otherwise withdrawn such support leading the company to further problems such as overdraft, then granting a debenture in favour of the bank may not be considered a ‘desire to prefer’. In this case the fact that the Bank was putting pressure and it could be argued that the Bank’s support was important for the continuation of trading and business of the Company, then the Court may exercise its discretion and not make such transaction void under Section 239.  </w:t>
      </w:r>
    </w:p>
    <w:p w14:paraId="2F50DC9F" w14:textId="1FEBEE8F"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6F70D219" w:rsidR="00FF5098" w:rsidRDefault="000C0E0D"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238</w:t>
      </w:r>
      <w:r w:rsidR="00313C19">
        <w:rPr>
          <w:rFonts w:ascii="Arial" w:hAnsi="Arial" w:cs="Arial"/>
          <w:color w:val="7B7B7B" w:themeColor="accent3" w:themeShade="BF"/>
          <w:sz w:val="22"/>
          <w:szCs w:val="22"/>
          <w:lang w:val="en-GB"/>
        </w:rPr>
        <w:t xml:space="preserve"> of the IA deals with </w:t>
      </w:r>
      <w:r w:rsidR="00967692">
        <w:rPr>
          <w:rFonts w:ascii="Arial" w:hAnsi="Arial" w:cs="Arial"/>
          <w:color w:val="7B7B7B" w:themeColor="accent3" w:themeShade="BF"/>
          <w:sz w:val="22"/>
          <w:szCs w:val="22"/>
          <w:lang w:val="en-GB"/>
        </w:rPr>
        <w:t xml:space="preserve">transactions </w:t>
      </w:r>
      <w:r w:rsidR="006159DE">
        <w:rPr>
          <w:rFonts w:ascii="Arial" w:hAnsi="Arial" w:cs="Arial"/>
          <w:color w:val="7B7B7B" w:themeColor="accent3" w:themeShade="BF"/>
          <w:sz w:val="22"/>
          <w:szCs w:val="22"/>
          <w:lang w:val="en-GB"/>
        </w:rPr>
        <w:t>made at an undervalue t</w:t>
      </w:r>
      <w:r w:rsidR="0001096D">
        <w:rPr>
          <w:rFonts w:ascii="Arial" w:hAnsi="Arial" w:cs="Arial"/>
          <w:color w:val="7B7B7B" w:themeColor="accent3" w:themeShade="BF"/>
          <w:sz w:val="22"/>
          <w:szCs w:val="22"/>
          <w:lang w:val="en-GB"/>
        </w:rPr>
        <w:t>hat can be avoided by</w:t>
      </w:r>
      <w:r w:rsidR="00313C19">
        <w:rPr>
          <w:rFonts w:ascii="Arial" w:hAnsi="Arial" w:cs="Arial"/>
          <w:color w:val="7B7B7B" w:themeColor="accent3" w:themeShade="BF"/>
          <w:sz w:val="22"/>
          <w:szCs w:val="22"/>
          <w:lang w:val="en-GB"/>
        </w:rPr>
        <w:t xml:space="preserve"> the court upon the application of a liquidator (or administrator)</w:t>
      </w:r>
      <w:r w:rsidR="00967692">
        <w:rPr>
          <w:rFonts w:ascii="Arial" w:hAnsi="Arial" w:cs="Arial"/>
          <w:color w:val="7B7B7B" w:themeColor="accent3" w:themeShade="BF"/>
          <w:sz w:val="22"/>
          <w:szCs w:val="22"/>
          <w:lang w:val="en-GB"/>
        </w:rPr>
        <w:t xml:space="preserve"> if such transaction within the relevant time</w:t>
      </w:r>
      <w:r w:rsidR="00313C19">
        <w:rPr>
          <w:rFonts w:ascii="Arial" w:hAnsi="Arial" w:cs="Arial"/>
          <w:color w:val="7B7B7B" w:themeColor="accent3" w:themeShade="BF"/>
          <w:sz w:val="22"/>
          <w:szCs w:val="22"/>
          <w:lang w:val="en-GB"/>
        </w:rPr>
        <w:t>.</w:t>
      </w:r>
      <w:r w:rsidR="006F6338">
        <w:rPr>
          <w:rFonts w:ascii="Arial" w:hAnsi="Arial" w:cs="Arial"/>
          <w:color w:val="7B7B7B" w:themeColor="accent3" w:themeShade="BF"/>
          <w:sz w:val="22"/>
          <w:szCs w:val="22"/>
          <w:lang w:val="en-GB"/>
        </w:rPr>
        <w:t xml:space="preserve"> </w:t>
      </w:r>
      <w:r w:rsidR="00220CF0">
        <w:rPr>
          <w:rFonts w:ascii="Arial" w:hAnsi="Arial" w:cs="Arial"/>
          <w:color w:val="7B7B7B" w:themeColor="accent3" w:themeShade="BF"/>
          <w:sz w:val="22"/>
          <w:szCs w:val="22"/>
          <w:lang w:val="en-GB"/>
        </w:rPr>
        <w:t>As above, an application under this provision can only be made if the company is in liquidation</w:t>
      </w:r>
      <w:r w:rsidR="005334BD">
        <w:rPr>
          <w:rFonts w:ascii="Arial" w:hAnsi="Arial" w:cs="Arial"/>
          <w:color w:val="7B7B7B" w:themeColor="accent3" w:themeShade="BF"/>
          <w:sz w:val="22"/>
          <w:szCs w:val="22"/>
          <w:lang w:val="en-GB"/>
        </w:rPr>
        <w:t xml:space="preserve"> (or administration)</w:t>
      </w:r>
      <w:r w:rsidR="005334BD">
        <w:rPr>
          <w:rStyle w:val="FootnoteReference"/>
          <w:rFonts w:ascii="Arial" w:hAnsi="Arial" w:cs="Arial"/>
          <w:color w:val="7B7B7B" w:themeColor="accent3" w:themeShade="BF"/>
          <w:sz w:val="22"/>
          <w:szCs w:val="22"/>
          <w:lang w:val="en-GB"/>
        </w:rPr>
        <w:footnoteReference w:id="6"/>
      </w:r>
      <w:r w:rsidR="00220CF0">
        <w:rPr>
          <w:rFonts w:ascii="Arial" w:hAnsi="Arial" w:cs="Arial"/>
          <w:color w:val="7B7B7B" w:themeColor="accent3" w:themeShade="BF"/>
          <w:sz w:val="22"/>
          <w:szCs w:val="22"/>
          <w:lang w:val="en-GB"/>
        </w:rPr>
        <w:t xml:space="preserve">. </w:t>
      </w:r>
    </w:p>
    <w:p w14:paraId="0EA3F6DD" w14:textId="406542D3" w:rsidR="004C1C70" w:rsidRDefault="004C1C70" w:rsidP="00BA3955">
      <w:pPr>
        <w:jc w:val="both"/>
        <w:rPr>
          <w:rFonts w:ascii="Arial" w:hAnsi="Arial" w:cs="Arial"/>
          <w:color w:val="7B7B7B" w:themeColor="accent3" w:themeShade="BF"/>
          <w:sz w:val="22"/>
          <w:szCs w:val="22"/>
          <w:lang w:val="en-GB"/>
        </w:rPr>
      </w:pPr>
    </w:p>
    <w:p w14:paraId="26402564" w14:textId="592227EB" w:rsidR="004C1C70" w:rsidRDefault="004C1C70" w:rsidP="00BA395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successfully make an appl</w:t>
      </w:r>
      <w:r w:rsidR="000C0E0D">
        <w:rPr>
          <w:rFonts w:ascii="Arial" w:hAnsi="Arial" w:cs="Arial"/>
          <w:color w:val="7B7B7B" w:themeColor="accent3" w:themeShade="BF"/>
          <w:sz w:val="22"/>
          <w:szCs w:val="22"/>
          <w:lang w:val="en-GB"/>
        </w:rPr>
        <w:t xml:space="preserve">ication for a transaction </w:t>
      </w:r>
      <w:r w:rsidR="00F648C1">
        <w:rPr>
          <w:rFonts w:ascii="Arial" w:hAnsi="Arial" w:cs="Arial"/>
          <w:color w:val="7B7B7B" w:themeColor="accent3" w:themeShade="BF"/>
          <w:sz w:val="22"/>
          <w:szCs w:val="22"/>
          <w:lang w:val="en-GB"/>
        </w:rPr>
        <w:t xml:space="preserve">at </w:t>
      </w:r>
      <w:r w:rsidR="000C0E0D">
        <w:rPr>
          <w:rFonts w:ascii="Arial" w:hAnsi="Arial" w:cs="Arial"/>
          <w:color w:val="7B7B7B" w:themeColor="accent3" w:themeShade="BF"/>
          <w:sz w:val="22"/>
          <w:szCs w:val="22"/>
          <w:lang w:val="en-GB"/>
        </w:rPr>
        <w:t xml:space="preserve">undervalue, </w:t>
      </w:r>
      <w:r>
        <w:rPr>
          <w:rFonts w:ascii="Arial" w:hAnsi="Arial" w:cs="Arial"/>
          <w:color w:val="7B7B7B" w:themeColor="accent3" w:themeShade="BF"/>
          <w:sz w:val="22"/>
          <w:szCs w:val="22"/>
          <w:lang w:val="en-GB"/>
        </w:rPr>
        <w:t>the liquidator</w:t>
      </w:r>
      <w:r w:rsidR="000C0E0D">
        <w:rPr>
          <w:rFonts w:ascii="Arial" w:hAnsi="Arial" w:cs="Arial"/>
          <w:color w:val="7B7B7B" w:themeColor="accent3" w:themeShade="BF"/>
          <w:sz w:val="22"/>
          <w:szCs w:val="22"/>
          <w:lang w:val="en-GB"/>
        </w:rPr>
        <w:t xml:space="preserve"> need to prove</w:t>
      </w:r>
      <w:r w:rsidR="0039063B">
        <w:rPr>
          <w:rFonts w:ascii="Arial" w:hAnsi="Arial" w:cs="Arial"/>
          <w:color w:val="7B7B7B" w:themeColor="accent3" w:themeShade="BF"/>
          <w:sz w:val="22"/>
          <w:szCs w:val="22"/>
          <w:lang w:val="en-GB"/>
        </w:rPr>
        <w:t xml:space="preserve"> either of the below</w:t>
      </w:r>
      <w:r w:rsidR="0039063B">
        <w:rPr>
          <w:rStyle w:val="FootnoteReference"/>
          <w:rFonts w:ascii="Arial" w:hAnsi="Arial" w:cs="Arial"/>
          <w:color w:val="7B7B7B" w:themeColor="accent3" w:themeShade="BF"/>
          <w:sz w:val="22"/>
          <w:szCs w:val="22"/>
          <w:lang w:val="en-GB"/>
        </w:rPr>
        <w:footnoteReference w:id="7"/>
      </w:r>
      <w:r w:rsidR="0039063B">
        <w:rPr>
          <w:rFonts w:ascii="Arial" w:hAnsi="Arial" w:cs="Arial"/>
          <w:color w:val="7B7B7B" w:themeColor="accent3" w:themeShade="BF"/>
          <w:sz w:val="22"/>
          <w:szCs w:val="22"/>
          <w:lang w:val="en-GB"/>
        </w:rPr>
        <w:t>:</w:t>
      </w:r>
    </w:p>
    <w:p w14:paraId="3E7E628E" w14:textId="77777777" w:rsidR="004C1C70" w:rsidRPr="006159DE" w:rsidRDefault="004C1C70" w:rsidP="00BA3955">
      <w:pPr>
        <w:autoSpaceDE w:val="0"/>
        <w:autoSpaceDN w:val="0"/>
        <w:adjustRightInd w:val="0"/>
        <w:jc w:val="both"/>
        <w:rPr>
          <w:rFonts w:ascii="Arial" w:hAnsi="Arial" w:cs="Arial"/>
          <w:color w:val="7B7B7B" w:themeColor="accent3" w:themeShade="BF"/>
          <w:sz w:val="22"/>
          <w:szCs w:val="22"/>
          <w:lang w:val="en-GB"/>
        </w:rPr>
      </w:pPr>
    </w:p>
    <w:p w14:paraId="3D6423AF" w14:textId="7788CA0A" w:rsidR="0039063B" w:rsidRPr="0039063B" w:rsidRDefault="0039063B" w:rsidP="00BA3955">
      <w:pPr>
        <w:pStyle w:val="ListParagraph"/>
        <w:numPr>
          <w:ilvl w:val="0"/>
          <w:numId w:val="24"/>
        </w:numPr>
        <w:jc w:val="both"/>
        <w:rPr>
          <w:rFonts w:ascii="Arial" w:hAnsi="Arial" w:cs="Arial"/>
          <w:iCs/>
          <w:color w:val="7B7B7B" w:themeColor="accent3" w:themeShade="BF"/>
          <w:sz w:val="22"/>
          <w:szCs w:val="22"/>
          <w:lang w:val="en-GB"/>
        </w:rPr>
      </w:pPr>
      <w:r w:rsidRPr="0039063B">
        <w:rPr>
          <w:rFonts w:ascii="Arial" w:hAnsi="Arial" w:cs="Arial"/>
          <w:iCs/>
          <w:color w:val="7B7B7B" w:themeColor="accent3" w:themeShade="BF"/>
          <w:sz w:val="22"/>
          <w:szCs w:val="22"/>
          <w:lang w:val="en-GB"/>
        </w:rPr>
        <w:t xml:space="preserve">the company makes a gift to that person; or </w:t>
      </w:r>
    </w:p>
    <w:p w14:paraId="236F9C78" w14:textId="77777777" w:rsidR="0039063B" w:rsidRDefault="0039063B" w:rsidP="00BA3955">
      <w:pPr>
        <w:pStyle w:val="ListParagraph"/>
        <w:numPr>
          <w:ilvl w:val="0"/>
          <w:numId w:val="24"/>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company</w:t>
      </w:r>
      <w:r w:rsidRPr="0039063B">
        <w:rPr>
          <w:rFonts w:ascii="Arial" w:hAnsi="Arial" w:cs="Arial"/>
          <w:iCs/>
          <w:color w:val="7B7B7B" w:themeColor="accent3" w:themeShade="BF"/>
          <w:sz w:val="22"/>
          <w:szCs w:val="22"/>
          <w:lang w:val="en-GB"/>
        </w:rPr>
        <w:t xml:space="preserve"> enters into a transaction with </w:t>
      </w:r>
      <w:r>
        <w:rPr>
          <w:rFonts w:ascii="Arial" w:hAnsi="Arial" w:cs="Arial"/>
          <w:iCs/>
          <w:color w:val="7B7B7B" w:themeColor="accent3" w:themeShade="BF"/>
          <w:sz w:val="22"/>
          <w:szCs w:val="22"/>
          <w:lang w:val="en-GB"/>
        </w:rPr>
        <w:t xml:space="preserve">such </w:t>
      </w:r>
      <w:r w:rsidRPr="0039063B">
        <w:rPr>
          <w:rFonts w:ascii="Arial" w:hAnsi="Arial" w:cs="Arial"/>
          <w:iCs/>
          <w:color w:val="7B7B7B" w:themeColor="accent3" w:themeShade="BF"/>
          <w:sz w:val="22"/>
          <w:szCs w:val="22"/>
          <w:lang w:val="en-GB"/>
        </w:rPr>
        <w:t xml:space="preserve">person </w:t>
      </w:r>
      <w:r>
        <w:rPr>
          <w:rFonts w:ascii="Arial" w:hAnsi="Arial" w:cs="Arial"/>
          <w:iCs/>
          <w:color w:val="7B7B7B" w:themeColor="accent3" w:themeShade="BF"/>
          <w:sz w:val="22"/>
          <w:szCs w:val="22"/>
          <w:lang w:val="en-GB"/>
        </w:rPr>
        <w:t>without any consideration;</w:t>
      </w:r>
      <w:r w:rsidRPr="0039063B">
        <w:rPr>
          <w:rFonts w:ascii="Arial" w:hAnsi="Arial" w:cs="Arial"/>
          <w:iCs/>
          <w:color w:val="7B7B7B" w:themeColor="accent3" w:themeShade="BF"/>
          <w:sz w:val="22"/>
          <w:szCs w:val="22"/>
          <w:lang w:val="en-GB"/>
        </w:rPr>
        <w:t xml:space="preserve"> or</w:t>
      </w:r>
    </w:p>
    <w:p w14:paraId="6EA764C1" w14:textId="0658E7E1" w:rsidR="0039063B" w:rsidRDefault="0039063B" w:rsidP="00BA3955">
      <w:pPr>
        <w:pStyle w:val="ListParagraph"/>
        <w:numPr>
          <w:ilvl w:val="0"/>
          <w:numId w:val="24"/>
        </w:numPr>
        <w:jc w:val="both"/>
        <w:rPr>
          <w:rFonts w:ascii="Arial" w:hAnsi="Arial" w:cs="Arial"/>
          <w:iCs/>
          <w:color w:val="7B7B7B" w:themeColor="accent3" w:themeShade="BF"/>
          <w:sz w:val="22"/>
          <w:szCs w:val="22"/>
          <w:lang w:val="en-GB"/>
        </w:rPr>
      </w:pPr>
      <w:r w:rsidRPr="0039063B">
        <w:rPr>
          <w:rFonts w:ascii="Arial" w:hAnsi="Arial" w:cs="Arial"/>
          <w:i/>
          <w:iCs/>
          <w:color w:val="7B7B7B" w:themeColor="accent3" w:themeShade="BF"/>
          <w:sz w:val="22"/>
          <w:szCs w:val="22"/>
          <w:lang w:val="en-GB"/>
        </w:rPr>
        <w:t>the company enters into a transaction with such person for a consideration the value of which, in money or money’s worth, is significantly less than the value, in money or money’s worth, of the consideration provided by the company</w:t>
      </w:r>
      <w:r w:rsidRPr="0039063B">
        <w:rPr>
          <w:rFonts w:ascii="Arial" w:hAnsi="Arial" w:cs="Arial"/>
          <w:iCs/>
          <w:color w:val="7B7B7B" w:themeColor="accent3" w:themeShade="BF"/>
          <w:sz w:val="22"/>
          <w:szCs w:val="22"/>
          <w:lang w:val="en-GB"/>
        </w:rPr>
        <w:t>.</w:t>
      </w:r>
      <w:r>
        <w:rPr>
          <w:rFonts w:ascii="Arial" w:hAnsi="Arial" w:cs="Arial"/>
          <w:iCs/>
          <w:color w:val="7B7B7B" w:themeColor="accent3" w:themeShade="BF"/>
          <w:sz w:val="22"/>
          <w:szCs w:val="22"/>
          <w:lang w:val="en-GB"/>
        </w:rPr>
        <w:t xml:space="preserve"> (Section 238(4)(b), IA)</w:t>
      </w:r>
    </w:p>
    <w:p w14:paraId="1BC4643A" w14:textId="0B41F500" w:rsidR="0039063B" w:rsidRDefault="0039063B" w:rsidP="00BA3955">
      <w:pPr>
        <w:ind w:left="360"/>
        <w:jc w:val="both"/>
        <w:rPr>
          <w:rFonts w:ascii="Arial" w:hAnsi="Arial" w:cs="Arial"/>
          <w:iCs/>
          <w:color w:val="7B7B7B" w:themeColor="accent3" w:themeShade="BF"/>
          <w:sz w:val="22"/>
          <w:szCs w:val="22"/>
          <w:lang w:val="en-GB"/>
        </w:rPr>
      </w:pPr>
    </w:p>
    <w:p w14:paraId="7C60C5C8" w14:textId="67A2F8FB" w:rsidR="0039063B" w:rsidRPr="0039063B" w:rsidRDefault="00F648C1" w:rsidP="00BA3955">
      <w:pPr>
        <w:ind w:left="360"/>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And</w:t>
      </w:r>
      <w:r w:rsidR="0039063B">
        <w:rPr>
          <w:rFonts w:ascii="Arial" w:hAnsi="Arial" w:cs="Arial"/>
          <w:iCs/>
          <w:color w:val="7B7B7B" w:themeColor="accent3" w:themeShade="BF"/>
          <w:sz w:val="22"/>
          <w:szCs w:val="22"/>
          <w:lang w:val="en-GB"/>
        </w:rPr>
        <w:t xml:space="preserve"> the transaction should have occurred at the relevant time.</w:t>
      </w:r>
    </w:p>
    <w:p w14:paraId="5C041A5F" w14:textId="7FD7E3EA" w:rsidR="005D7D42" w:rsidRPr="00FF5098" w:rsidRDefault="005D7D42" w:rsidP="00BA3955">
      <w:pPr>
        <w:jc w:val="both"/>
        <w:rPr>
          <w:rFonts w:ascii="Arial" w:hAnsi="Arial" w:cs="Arial"/>
          <w:color w:val="7B7B7B" w:themeColor="accent3" w:themeShade="BF"/>
          <w:sz w:val="22"/>
          <w:szCs w:val="22"/>
          <w:lang w:val="en-GB"/>
        </w:rPr>
      </w:pPr>
    </w:p>
    <w:p w14:paraId="183BBF88" w14:textId="0C001687" w:rsidR="00967692" w:rsidRDefault="00967692" w:rsidP="00BA3955">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The relevant time in relation to a preference granted to a connected person (i.e. director or an associate of such director), is 2 years</w:t>
      </w:r>
      <w:r w:rsidR="00F648C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prior to the onset of insolvency</w:t>
      </w:r>
      <w:r w:rsidR="00F648C1">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As the sale was approved in July 2021 and it </w:t>
      </w:r>
      <w:r w:rsidR="004C1C70">
        <w:rPr>
          <w:rFonts w:ascii="Arial" w:hAnsi="Arial" w:cs="Arial"/>
          <w:color w:val="7B7B7B" w:themeColor="accent3" w:themeShade="BF"/>
          <w:sz w:val="22"/>
          <w:szCs w:val="22"/>
          <w:lang w:val="en-GB"/>
        </w:rPr>
        <w:t xml:space="preserve">was </w:t>
      </w:r>
      <w:r>
        <w:rPr>
          <w:rFonts w:ascii="Arial" w:hAnsi="Arial" w:cs="Arial"/>
          <w:color w:val="7B7B7B" w:themeColor="accent3" w:themeShade="BF"/>
          <w:sz w:val="22"/>
          <w:szCs w:val="22"/>
          <w:lang w:val="en-GB"/>
        </w:rPr>
        <w:t>to be made to</w:t>
      </w:r>
      <w:r w:rsidRPr="00967692">
        <w:rPr>
          <w:rFonts w:ascii="Arial" w:hAnsi="Arial" w:cs="Arial"/>
          <w:color w:val="7B7B7B" w:themeColor="accent3" w:themeShade="BF"/>
          <w:sz w:val="22"/>
          <w:szCs w:val="22"/>
        </w:rPr>
        <w:t xml:space="preserve"> Ann Young (a director)</w:t>
      </w:r>
      <w:r w:rsidR="0039063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this condition is satisfied</w:t>
      </w:r>
      <w:r w:rsidRPr="00967692">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Moreover</w:t>
      </w:r>
      <w:r w:rsidR="00F648C1">
        <w:rPr>
          <w:rFonts w:ascii="Arial" w:hAnsi="Arial" w:cs="Arial"/>
          <w:color w:val="7B7B7B" w:themeColor="accent3" w:themeShade="BF"/>
          <w:sz w:val="22"/>
          <w:szCs w:val="22"/>
        </w:rPr>
        <w:t xml:space="preserve">, the director only paid </w:t>
      </w:r>
      <w:r w:rsidR="00F648C1" w:rsidRPr="00967692">
        <w:rPr>
          <w:rFonts w:ascii="Arial" w:hAnsi="Arial" w:cs="Arial"/>
          <w:color w:val="7B7B7B" w:themeColor="accent3" w:themeShade="BF"/>
          <w:sz w:val="22"/>
          <w:szCs w:val="22"/>
        </w:rPr>
        <w:t xml:space="preserve">£10,000 </w:t>
      </w:r>
      <w:r w:rsidR="00F648C1">
        <w:rPr>
          <w:rFonts w:ascii="Arial" w:hAnsi="Arial" w:cs="Arial"/>
          <w:color w:val="7B7B7B" w:themeColor="accent3" w:themeShade="BF"/>
          <w:sz w:val="22"/>
          <w:szCs w:val="22"/>
        </w:rPr>
        <w:t>(</w:t>
      </w:r>
      <w:r w:rsidR="00F648C1" w:rsidRPr="00967692">
        <w:rPr>
          <w:rFonts w:ascii="Arial" w:hAnsi="Arial" w:cs="Arial"/>
          <w:color w:val="7B7B7B" w:themeColor="accent3" w:themeShade="BF"/>
          <w:sz w:val="22"/>
          <w:szCs w:val="22"/>
        </w:rPr>
        <w:t>in cash</w:t>
      </w:r>
      <w:r w:rsidR="00F648C1">
        <w:rPr>
          <w:rFonts w:ascii="Arial" w:hAnsi="Arial" w:cs="Arial"/>
          <w:color w:val="7B7B7B" w:themeColor="accent3" w:themeShade="BF"/>
          <w:sz w:val="22"/>
          <w:szCs w:val="22"/>
        </w:rPr>
        <w:t xml:space="preserve">) for </w:t>
      </w:r>
      <w:r w:rsidRPr="00967692">
        <w:rPr>
          <w:rFonts w:ascii="Arial" w:hAnsi="Arial" w:cs="Arial"/>
          <w:color w:val="7B7B7B" w:themeColor="accent3" w:themeShade="BF"/>
          <w:sz w:val="22"/>
          <w:szCs w:val="22"/>
        </w:rPr>
        <w:t xml:space="preserve">machines </w:t>
      </w:r>
      <w:r w:rsidR="00F648C1">
        <w:rPr>
          <w:rFonts w:ascii="Arial" w:hAnsi="Arial" w:cs="Arial"/>
          <w:color w:val="7B7B7B" w:themeColor="accent3" w:themeShade="BF"/>
          <w:sz w:val="22"/>
          <w:szCs w:val="22"/>
        </w:rPr>
        <w:t>that had been bought for £25,000 just a</w:t>
      </w:r>
      <w:r w:rsidRPr="00967692">
        <w:rPr>
          <w:rFonts w:ascii="Arial" w:hAnsi="Arial" w:cs="Arial"/>
          <w:color w:val="7B7B7B" w:themeColor="accent3" w:themeShade="BF"/>
          <w:sz w:val="22"/>
          <w:szCs w:val="22"/>
        </w:rPr>
        <w:t xml:space="preserve"> year before.</w:t>
      </w:r>
      <w:r w:rsidR="00F648C1">
        <w:rPr>
          <w:rFonts w:ascii="Arial" w:hAnsi="Arial" w:cs="Arial"/>
          <w:color w:val="7B7B7B" w:themeColor="accent3" w:themeShade="BF"/>
          <w:sz w:val="22"/>
          <w:szCs w:val="22"/>
        </w:rPr>
        <w:t xml:space="preserve"> While ideally, an analysis of depreciation of machinery may be helpful to confirm the position, but it appears that the company probably has received </w:t>
      </w:r>
      <w:r w:rsidR="00F648C1" w:rsidRPr="00F648C1">
        <w:rPr>
          <w:rFonts w:ascii="Arial" w:hAnsi="Arial" w:cs="Arial"/>
          <w:color w:val="7B7B7B" w:themeColor="accent3" w:themeShade="BF"/>
          <w:sz w:val="22"/>
          <w:szCs w:val="22"/>
          <w:u w:val="single"/>
        </w:rPr>
        <w:t>significantly lesser money</w:t>
      </w:r>
      <w:r w:rsidR="00F648C1" w:rsidRPr="00F648C1">
        <w:rPr>
          <w:rFonts w:ascii="Arial" w:hAnsi="Arial" w:cs="Arial"/>
          <w:color w:val="7B7B7B" w:themeColor="accent3" w:themeShade="BF"/>
          <w:sz w:val="22"/>
          <w:szCs w:val="22"/>
        </w:rPr>
        <w:t xml:space="preserve"> than the </w:t>
      </w:r>
      <w:r w:rsidR="00F648C1">
        <w:rPr>
          <w:rFonts w:ascii="Arial" w:hAnsi="Arial" w:cs="Arial"/>
          <w:color w:val="7B7B7B" w:themeColor="accent3" w:themeShade="BF"/>
          <w:sz w:val="22"/>
          <w:szCs w:val="22"/>
        </w:rPr>
        <w:t>actual worth of the machinery</w:t>
      </w:r>
      <w:r w:rsidR="00211141">
        <w:rPr>
          <w:rFonts w:ascii="Arial" w:hAnsi="Arial" w:cs="Arial"/>
          <w:color w:val="7B7B7B" w:themeColor="accent3" w:themeShade="BF"/>
          <w:sz w:val="22"/>
          <w:szCs w:val="22"/>
        </w:rPr>
        <w:t>.</w:t>
      </w:r>
    </w:p>
    <w:p w14:paraId="74F37D04" w14:textId="255F2140" w:rsidR="00AA243D" w:rsidRDefault="00AA243D" w:rsidP="00BA3955">
      <w:pPr>
        <w:autoSpaceDE w:val="0"/>
        <w:autoSpaceDN w:val="0"/>
        <w:adjustRightInd w:val="0"/>
        <w:jc w:val="both"/>
        <w:rPr>
          <w:rFonts w:ascii="Arial" w:hAnsi="Arial" w:cs="Arial"/>
          <w:color w:val="7B7B7B" w:themeColor="accent3" w:themeShade="BF"/>
          <w:sz w:val="22"/>
          <w:szCs w:val="22"/>
        </w:rPr>
      </w:pPr>
    </w:p>
    <w:p w14:paraId="4D8B603A" w14:textId="5C24FC05" w:rsidR="00AA243D" w:rsidRDefault="00211141" w:rsidP="00BA3955">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 a</w:t>
      </w:r>
      <w:r w:rsidR="00AA243D">
        <w:rPr>
          <w:rFonts w:ascii="Arial" w:hAnsi="Arial" w:cs="Arial"/>
          <w:color w:val="7B7B7B" w:themeColor="accent3" w:themeShade="BF"/>
          <w:sz w:val="22"/>
          <w:szCs w:val="22"/>
        </w:rPr>
        <w:t>s mentioned</w:t>
      </w:r>
      <w:r>
        <w:rPr>
          <w:rFonts w:ascii="Arial" w:hAnsi="Arial" w:cs="Arial"/>
          <w:color w:val="7B7B7B" w:themeColor="accent3" w:themeShade="BF"/>
          <w:sz w:val="22"/>
          <w:szCs w:val="22"/>
        </w:rPr>
        <w:t xml:space="preserve"> earlier</w:t>
      </w:r>
      <w:r w:rsidR="00AA243D">
        <w:rPr>
          <w:rFonts w:ascii="Arial" w:hAnsi="Arial" w:cs="Arial"/>
          <w:color w:val="7B7B7B" w:themeColor="accent3" w:themeShade="BF"/>
          <w:sz w:val="22"/>
          <w:szCs w:val="22"/>
        </w:rPr>
        <w:t xml:space="preserve">, the company must at the time of making the transaction should be insolvent, however, when a transaction at undervalue in issue is with a connected person, insolvency is presumed. </w:t>
      </w:r>
    </w:p>
    <w:p w14:paraId="46CC2685" w14:textId="04D86F92" w:rsidR="00211141" w:rsidRDefault="00211141" w:rsidP="00BA3955">
      <w:pPr>
        <w:autoSpaceDE w:val="0"/>
        <w:autoSpaceDN w:val="0"/>
        <w:adjustRightInd w:val="0"/>
        <w:jc w:val="both"/>
        <w:rPr>
          <w:rFonts w:ascii="Arial" w:hAnsi="Arial" w:cs="Arial"/>
          <w:color w:val="7B7B7B" w:themeColor="accent3" w:themeShade="BF"/>
          <w:sz w:val="22"/>
          <w:szCs w:val="22"/>
        </w:rPr>
      </w:pPr>
    </w:p>
    <w:p w14:paraId="7E3CE38A" w14:textId="204BBAE5" w:rsidR="00211141" w:rsidRDefault="00211141" w:rsidP="00BA3955">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In view above, it appears that the court may order the restoration of the position of the Company to what it was prior to sale to Ann Young. </w:t>
      </w:r>
    </w:p>
    <w:p w14:paraId="64D44A59" w14:textId="1A9716A9" w:rsidR="00F648C1" w:rsidRDefault="00F648C1" w:rsidP="00BA3955">
      <w:pPr>
        <w:autoSpaceDE w:val="0"/>
        <w:autoSpaceDN w:val="0"/>
        <w:adjustRightInd w:val="0"/>
        <w:jc w:val="both"/>
        <w:rPr>
          <w:rFonts w:ascii="Arial" w:hAnsi="Arial" w:cs="Arial"/>
          <w:color w:val="7B7B7B" w:themeColor="accent3" w:themeShade="BF"/>
          <w:sz w:val="22"/>
          <w:szCs w:val="22"/>
        </w:rPr>
      </w:pPr>
    </w:p>
    <w:p w14:paraId="4B48964C" w14:textId="364B4961" w:rsidR="00F648C1" w:rsidRPr="00F648C1" w:rsidRDefault="00F648C1" w:rsidP="00BA395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Having said that, under Section 238(5)</w:t>
      </w:r>
      <w:r w:rsidR="00BA3955">
        <w:rPr>
          <w:rFonts w:ascii="Arial" w:hAnsi="Arial" w:cs="Arial"/>
          <w:color w:val="7B7B7B" w:themeColor="accent3" w:themeShade="BF"/>
          <w:sz w:val="22"/>
          <w:szCs w:val="22"/>
        </w:rPr>
        <w:t xml:space="preserve"> of the IA</w:t>
      </w:r>
      <w:r>
        <w:rPr>
          <w:rFonts w:ascii="Arial" w:hAnsi="Arial" w:cs="Arial"/>
          <w:color w:val="7B7B7B" w:themeColor="accent3" w:themeShade="BF"/>
          <w:sz w:val="22"/>
          <w:szCs w:val="22"/>
        </w:rPr>
        <w:t xml:space="preserve">, </w:t>
      </w:r>
      <w:r w:rsidR="00BA3955">
        <w:rPr>
          <w:rFonts w:ascii="Arial" w:hAnsi="Arial" w:cs="Arial"/>
          <w:color w:val="7B7B7B" w:themeColor="accent3" w:themeShade="BF"/>
          <w:sz w:val="22"/>
          <w:szCs w:val="22"/>
        </w:rPr>
        <w:t xml:space="preserve">if the </w:t>
      </w:r>
      <w:r>
        <w:rPr>
          <w:rFonts w:ascii="Arial" w:hAnsi="Arial" w:cs="Arial"/>
          <w:color w:val="7B7B7B" w:themeColor="accent3" w:themeShade="BF"/>
          <w:sz w:val="22"/>
          <w:szCs w:val="22"/>
          <w:lang w:val="en-GB"/>
        </w:rPr>
        <w:t>t</w:t>
      </w:r>
      <w:r w:rsidRPr="00F648C1">
        <w:rPr>
          <w:rFonts w:ascii="Arial" w:hAnsi="Arial" w:cs="Arial"/>
          <w:color w:val="7B7B7B" w:themeColor="accent3" w:themeShade="BF"/>
          <w:sz w:val="22"/>
          <w:szCs w:val="22"/>
          <w:lang w:val="en-GB"/>
        </w:rPr>
        <w:t xml:space="preserve">he court </w:t>
      </w:r>
      <w:r w:rsidR="00AA243D">
        <w:rPr>
          <w:rFonts w:ascii="Arial" w:hAnsi="Arial" w:cs="Arial"/>
          <w:color w:val="7B7B7B" w:themeColor="accent3" w:themeShade="BF"/>
          <w:sz w:val="22"/>
          <w:szCs w:val="22"/>
          <w:lang w:val="en-GB"/>
        </w:rPr>
        <w:t>is satisfied that:</w:t>
      </w:r>
    </w:p>
    <w:p w14:paraId="3ABACCAF" w14:textId="3EE418D1" w:rsidR="00F648C1" w:rsidRPr="00F648C1" w:rsidRDefault="00F648C1" w:rsidP="00BA3955">
      <w:pPr>
        <w:autoSpaceDE w:val="0"/>
        <w:autoSpaceDN w:val="0"/>
        <w:adjustRightInd w:val="0"/>
        <w:jc w:val="both"/>
        <w:rPr>
          <w:rFonts w:ascii="Arial" w:hAnsi="Arial" w:cs="Arial"/>
          <w:color w:val="7B7B7B" w:themeColor="accent3" w:themeShade="BF"/>
          <w:sz w:val="22"/>
          <w:szCs w:val="22"/>
          <w:lang w:val="en-GB"/>
        </w:rPr>
      </w:pPr>
      <w:r w:rsidRPr="00F648C1">
        <w:rPr>
          <w:rFonts w:ascii="Arial" w:hAnsi="Arial" w:cs="Arial"/>
          <w:color w:val="7B7B7B" w:themeColor="accent3" w:themeShade="BF"/>
          <w:sz w:val="22"/>
          <w:szCs w:val="22"/>
          <w:lang w:val="en-GB"/>
        </w:rPr>
        <w:t>(a)</w:t>
      </w:r>
      <w:r w:rsidR="00AA243D">
        <w:rPr>
          <w:rFonts w:ascii="Arial" w:hAnsi="Arial" w:cs="Arial"/>
          <w:color w:val="7B7B7B" w:themeColor="accent3" w:themeShade="BF"/>
          <w:sz w:val="22"/>
          <w:szCs w:val="22"/>
          <w:lang w:val="en-GB"/>
        </w:rPr>
        <w:t xml:space="preserve"> </w:t>
      </w:r>
      <w:r w:rsidRPr="00F648C1">
        <w:rPr>
          <w:rFonts w:ascii="Arial" w:hAnsi="Arial" w:cs="Arial"/>
          <w:color w:val="7B7B7B" w:themeColor="accent3" w:themeShade="BF"/>
          <w:sz w:val="22"/>
          <w:szCs w:val="22"/>
          <w:lang w:val="en-GB"/>
        </w:rPr>
        <w:t>the company entered into the transaction in good faith and for the purpose of carrying on its business, and</w:t>
      </w:r>
    </w:p>
    <w:p w14:paraId="2B4B1EB5" w14:textId="1AAF0845" w:rsidR="00F648C1" w:rsidRDefault="00F648C1" w:rsidP="00BA3955">
      <w:pPr>
        <w:autoSpaceDE w:val="0"/>
        <w:autoSpaceDN w:val="0"/>
        <w:adjustRightInd w:val="0"/>
        <w:jc w:val="both"/>
        <w:rPr>
          <w:rFonts w:ascii="Arial" w:hAnsi="Arial" w:cs="Arial"/>
          <w:color w:val="7B7B7B" w:themeColor="accent3" w:themeShade="BF"/>
          <w:sz w:val="22"/>
          <w:szCs w:val="22"/>
          <w:lang w:val="en-GB"/>
        </w:rPr>
      </w:pPr>
      <w:r w:rsidRPr="00F648C1">
        <w:rPr>
          <w:rFonts w:ascii="Arial" w:hAnsi="Arial" w:cs="Arial"/>
          <w:color w:val="7B7B7B" w:themeColor="accent3" w:themeShade="BF"/>
          <w:sz w:val="22"/>
          <w:szCs w:val="22"/>
          <w:lang w:val="en-GB"/>
        </w:rPr>
        <w:t>(b)</w:t>
      </w:r>
      <w:r w:rsidR="00AA243D">
        <w:rPr>
          <w:rFonts w:ascii="Arial" w:hAnsi="Arial" w:cs="Arial"/>
          <w:color w:val="7B7B7B" w:themeColor="accent3" w:themeShade="BF"/>
          <w:sz w:val="22"/>
          <w:szCs w:val="22"/>
          <w:lang w:val="en-GB"/>
        </w:rPr>
        <w:t xml:space="preserve"> </w:t>
      </w:r>
      <w:r w:rsidRPr="00F648C1">
        <w:rPr>
          <w:rFonts w:ascii="Arial" w:hAnsi="Arial" w:cs="Arial"/>
          <w:color w:val="7B7B7B" w:themeColor="accent3" w:themeShade="BF"/>
          <w:sz w:val="22"/>
          <w:szCs w:val="22"/>
          <w:lang w:val="en-GB"/>
        </w:rPr>
        <w:t xml:space="preserve">at the time </w:t>
      </w:r>
      <w:r w:rsidR="00AA243D">
        <w:rPr>
          <w:rFonts w:ascii="Arial" w:hAnsi="Arial" w:cs="Arial"/>
          <w:color w:val="7B7B7B" w:themeColor="accent3" w:themeShade="BF"/>
          <w:sz w:val="22"/>
          <w:szCs w:val="22"/>
          <w:lang w:val="en-GB"/>
        </w:rPr>
        <w:t xml:space="preserve">of the transaction, </w:t>
      </w:r>
      <w:r w:rsidRPr="00F648C1">
        <w:rPr>
          <w:rFonts w:ascii="Arial" w:hAnsi="Arial" w:cs="Arial"/>
          <w:color w:val="7B7B7B" w:themeColor="accent3" w:themeShade="BF"/>
          <w:sz w:val="22"/>
          <w:szCs w:val="22"/>
          <w:lang w:val="en-GB"/>
        </w:rPr>
        <w:t xml:space="preserve">there were reasonable grounds </w:t>
      </w:r>
      <w:r w:rsidR="00AA243D">
        <w:rPr>
          <w:rFonts w:ascii="Arial" w:hAnsi="Arial" w:cs="Arial"/>
          <w:color w:val="7B7B7B" w:themeColor="accent3" w:themeShade="BF"/>
          <w:sz w:val="22"/>
          <w:szCs w:val="22"/>
          <w:lang w:val="en-GB"/>
        </w:rPr>
        <w:t>to believe</w:t>
      </w:r>
      <w:r w:rsidRPr="00F648C1">
        <w:rPr>
          <w:rFonts w:ascii="Arial" w:hAnsi="Arial" w:cs="Arial"/>
          <w:color w:val="7B7B7B" w:themeColor="accent3" w:themeShade="BF"/>
          <w:sz w:val="22"/>
          <w:szCs w:val="22"/>
          <w:lang w:val="en-GB"/>
        </w:rPr>
        <w:t xml:space="preserve"> that the transaction would benefit the company.</w:t>
      </w:r>
    </w:p>
    <w:p w14:paraId="47DD04C0" w14:textId="7E5E848B" w:rsidR="00AA243D" w:rsidRDefault="00AA243D" w:rsidP="00BA395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Then, it will not order that such transaction was made at an undervalue.</w:t>
      </w:r>
    </w:p>
    <w:p w14:paraId="0B0FC8C7" w14:textId="351D4F73" w:rsidR="00AA243D" w:rsidRDefault="00AA243D" w:rsidP="00BA3955">
      <w:pPr>
        <w:autoSpaceDE w:val="0"/>
        <w:autoSpaceDN w:val="0"/>
        <w:adjustRightInd w:val="0"/>
        <w:jc w:val="both"/>
        <w:rPr>
          <w:rFonts w:ascii="Arial" w:hAnsi="Arial" w:cs="Arial"/>
          <w:color w:val="7B7B7B" w:themeColor="accent3" w:themeShade="BF"/>
          <w:sz w:val="22"/>
          <w:szCs w:val="22"/>
          <w:lang w:val="en-GB"/>
        </w:rPr>
      </w:pPr>
    </w:p>
    <w:p w14:paraId="407DC4F2" w14:textId="6DFB5E14" w:rsidR="00AA243D" w:rsidRPr="00F648C1" w:rsidRDefault="00AA243D" w:rsidP="00BA395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Considering, </w:t>
      </w:r>
      <w:r w:rsidR="00D16178">
        <w:rPr>
          <w:rFonts w:ascii="Arial" w:hAnsi="Arial" w:cs="Arial"/>
          <w:color w:val="7B7B7B" w:themeColor="accent3" w:themeShade="BF"/>
          <w:sz w:val="22"/>
          <w:szCs w:val="22"/>
          <w:lang w:val="en-GB"/>
        </w:rPr>
        <w:t xml:space="preserve">that the Company was going through cash flow problems, the respondent i.e. the director in this case may make a case that the sale was made in good faith in order to infuse cash into the Company, however, it is on the discretion of the court whether it is satisfied with such submissions of the director. </w:t>
      </w:r>
    </w:p>
    <w:p w14:paraId="12EE6ACB" w14:textId="7FAD6C9B" w:rsidR="008769B2" w:rsidRPr="00311816" w:rsidRDefault="008769B2" w:rsidP="004C1C70">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2C5FABBD" w:rsidR="008769B2" w:rsidRDefault="00211141"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127 (as described in the introduction above), any transaction or disposition of property of a company made after the commencement of winding-up of a company, is void unless validated by the court.</w:t>
      </w:r>
      <w:r w:rsidR="00B50CEC">
        <w:rPr>
          <w:rFonts w:ascii="Arial" w:hAnsi="Arial" w:cs="Arial"/>
          <w:color w:val="7B7B7B" w:themeColor="accent3" w:themeShade="BF"/>
          <w:sz w:val="22"/>
          <w:szCs w:val="22"/>
          <w:lang w:val="en-GB"/>
        </w:rPr>
        <w:t xml:space="preserve"> The relevant time for such transactions to be declared void is from the presentation of the winding-up petition. As the payments to Beans and Leaves Ltd. </w:t>
      </w:r>
      <w:r w:rsidR="00765A07">
        <w:rPr>
          <w:rFonts w:ascii="Arial" w:hAnsi="Arial" w:cs="Arial"/>
          <w:color w:val="7B7B7B" w:themeColor="accent3" w:themeShade="BF"/>
          <w:sz w:val="22"/>
          <w:szCs w:val="22"/>
          <w:lang w:val="en-GB"/>
        </w:rPr>
        <w:t>(</w:t>
      </w:r>
      <w:r w:rsidR="00765A07" w:rsidRPr="00765A07">
        <w:rPr>
          <w:rFonts w:ascii="Arial" w:hAnsi="Arial" w:cs="Arial"/>
          <w:b/>
          <w:i/>
          <w:color w:val="7B7B7B" w:themeColor="accent3" w:themeShade="BF"/>
          <w:sz w:val="22"/>
          <w:szCs w:val="22"/>
          <w:lang w:val="en-GB"/>
        </w:rPr>
        <w:t>BLL</w:t>
      </w:r>
      <w:r w:rsidR="00765A07">
        <w:rPr>
          <w:rFonts w:ascii="Arial" w:hAnsi="Arial" w:cs="Arial"/>
          <w:color w:val="7B7B7B" w:themeColor="accent3" w:themeShade="BF"/>
          <w:sz w:val="22"/>
          <w:szCs w:val="22"/>
          <w:lang w:val="en-GB"/>
        </w:rPr>
        <w:t xml:space="preserve">) </w:t>
      </w:r>
      <w:r w:rsidR="00B50CEC">
        <w:rPr>
          <w:rFonts w:ascii="Arial" w:hAnsi="Arial" w:cs="Arial"/>
          <w:color w:val="7B7B7B" w:themeColor="accent3" w:themeShade="BF"/>
          <w:sz w:val="22"/>
          <w:szCs w:val="22"/>
          <w:lang w:val="en-GB"/>
        </w:rPr>
        <w:t xml:space="preserve">were made (and continuing) a month before the winding-up order of the Company was made, being a month before 23 December 2021 i.e. November 2021, such payments may be considered void as they were made within the relevant time i.e. after 14 October 2021 </w:t>
      </w:r>
      <w:r w:rsidR="00765A07">
        <w:rPr>
          <w:rFonts w:ascii="Arial" w:hAnsi="Arial" w:cs="Arial"/>
          <w:color w:val="7B7B7B" w:themeColor="accent3" w:themeShade="BF"/>
          <w:sz w:val="22"/>
          <w:szCs w:val="22"/>
          <w:lang w:val="en-GB"/>
        </w:rPr>
        <w:t xml:space="preserve">when the winding-up petition was presented. </w:t>
      </w:r>
    </w:p>
    <w:p w14:paraId="677976AD" w14:textId="08EB1456" w:rsidR="00765A07" w:rsidRDefault="00765A07" w:rsidP="00BA3955">
      <w:pPr>
        <w:jc w:val="both"/>
        <w:rPr>
          <w:rFonts w:ascii="Arial" w:hAnsi="Arial" w:cs="Arial"/>
          <w:color w:val="7B7B7B" w:themeColor="accent3" w:themeShade="BF"/>
          <w:sz w:val="22"/>
          <w:szCs w:val="22"/>
          <w:lang w:val="en-GB"/>
        </w:rPr>
      </w:pPr>
    </w:p>
    <w:p w14:paraId="59078840" w14:textId="77777777" w:rsidR="00765A07" w:rsidRDefault="00765A07"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it must be noted that the discretion of validating a transaction or disposition of property of a company lies with the court. This application may be made by the company and will only be considered if circumstances of the case indicate that the dispositions were made for the benefit of the general body of the unsecured creditors. </w:t>
      </w:r>
    </w:p>
    <w:p w14:paraId="7F08F905" w14:textId="77777777" w:rsidR="00765A07" w:rsidRDefault="00765A07" w:rsidP="00BA3955">
      <w:pPr>
        <w:jc w:val="both"/>
        <w:rPr>
          <w:rFonts w:ascii="Arial" w:hAnsi="Arial" w:cs="Arial"/>
          <w:color w:val="7B7B7B" w:themeColor="accent3" w:themeShade="BF"/>
          <w:sz w:val="22"/>
          <w:szCs w:val="22"/>
          <w:lang w:val="en-GB"/>
        </w:rPr>
      </w:pPr>
    </w:p>
    <w:p w14:paraId="3D77E210" w14:textId="30DA49BE" w:rsidR="00765A07" w:rsidRDefault="00765A07"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Payments are likely to be considered in the interests of the creditors if. among other things, they were necessary to enable the company to continue trading such as continued supplies, or where goods have been paid for on terms of cash on delivery which will enable the business to continue. </w:t>
      </w:r>
    </w:p>
    <w:p w14:paraId="414BD551" w14:textId="34517406" w:rsidR="00765A07" w:rsidRDefault="00765A07" w:rsidP="00BA3955">
      <w:pPr>
        <w:jc w:val="both"/>
        <w:rPr>
          <w:rFonts w:ascii="Arial" w:hAnsi="Arial" w:cs="Arial"/>
          <w:color w:val="7B7B7B" w:themeColor="accent3" w:themeShade="BF"/>
          <w:sz w:val="22"/>
          <w:szCs w:val="22"/>
          <w:lang w:val="en-GB"/>
        </w:rPr>
      </w:pPr>
    </w:p>
    <w:p w14:paraId="33DCDA94" w14:textId="6408E41B" w:rsidR="00765A07" w:rsidRPr="00FF5098" w:rsidRDefault="00765A07" w:rsidP="00BA39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payments to BLL were made to ensure continued supply which was essential </w:t>
      </w:r>
      <w:r w:rsidR="007D67E4">
        <w:rPr>
          <w:rFonts w:ascii="Arial" w:hAnsi="Arial" w:cs="Arial"/>
          <w:color w:val="7B7B7B" w:themeColor="accent3" w:themeShade="BF"/>
          <w:sz w:val="22"/>
          <w:szCs w:val="22"/>
          <w:lang w:val="en-GB"/>
        </w:rPr>
        <w:t xml:space="preserve">for the company to operate, the court may validate such payments as it appears to be made in good faith and would benefit all creditors and the Company’s business. </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0D2DC34F" w14:textId="151F7C6A" w:rsidR="00B04033" w:rsidRDefault="00B04033" w:rsidP="00087F21">
      <w:pPr>
        <w:autoSpaceDE w:val="0"/>
        <w:autoSpaceDN w:val="0"/>
        <w:adjustRightInd w:val="0"/>
        <w:jc w:val="both"/>
        <w:rPr>
          <w:rFonts w:ascii="Arial" w:hAnsi="Arial" w:cs="Arial"/>
          <w:sz w:val="22"/>
          <w:szCs w:val="22"/>
          <w:lang w:val="en-GB"/>
        </w:rPr>
      </w:pPr>
    </w:p>
    <w:bookmarkEnd w:id="1"/>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C12A5A" w:rsidRDefault="00C12A5A" w:rsidP="00241B44">
      <w:r>
        <w:separator/>
      </w:r>
    </w:p>
  </w:endnote>
  <w:endnote w:type="continuationSeparator" w:id="0">
    <w:p w14:paraId="58D3AFD8" w14:textId="77777777" w:rsidR="00C12A5A" w:rsidRDefault="00C12A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C12A5A" w:rsidRPr="00FC7B47" w:rsidRDefault="00C12A5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C12A5A" w:rsidRPr="00FC7B47" w:rsidRDefault="00C12A5A"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4AEA60CF" w:rsidR="00C12A5A" w:rsidRPr="009B4976" w:rsidRDefault="00C12A5A" w:rsidP="00FD094D">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A701C">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766E3FC3" w:rsidR="00C12A5A" w:rsidRPr="009B4976" w:rsidRDefault="00C12A5A" w:rsidP="009B4976">
    <w:pPr>
      <w:pStyle w:val="Footer"/>
      <w:ind w:right="360"/>
      <w:rPr>
        <w:rFonts w:ascii="Arial" w:hAnsi="Arial" w:cs="Arial"/>
        <w:sz w:val="18"/>
        <w:szCs w:val="18"/>
        <w:lang w:val="en-GB"/>
      </w:rPr>
    </w:pPr>
    <w:r>
      <w:rPr>
        <w:rFonts w:ascii="Arial" w:hAnsi="Arial" w:cs="Arial"/>
        <w:sz w:val="18"/>
        <w:szCs w:val="18"/>
        <w:lang w:val="en-GB"/>
      </w:rPr>
      <w:t>202122-627</w:t>
    </w:r>
    <w:r w:rsidRPr="009B4976">
      <w:rPr>
        <w:rFonts w:ascii="Arial" w:hAnsi="Arial" w:cs="Arial"/>
        <w:sz w:val="18"/>
        <w:szCs w:val="18"/>
        <w:lang w:val="en-GB"/>
      </w:rPr>
      <w:t>.assessment</w:t>
    </w:r>
    <w:r>
      <w:rPr>
        <w:rFonts w:ascii="Arial" w:hAnsi="Arial" w:cs="Arial"/>
        <w:sz w:val="18"/>
        <w:szCs w:val="18"/>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C12A5A" w:rsidRDefault="00C12A5A" w:rsidP="00241B44">
      <w:r>
        <w:separator/>
      </w:r>
    </w:p>
  </w:footnote>
  <w:footnote w:type="continuationSeparator" w:id="0">
    <w:p w14:paraId="4A2A4F3D" w14:textId="77777777" w:rsidR="00C12A5A" w:rsidRDefault="00C12A5A" w:rsidP="00241B44">
      <w:r>
        <w:continuationSeparator/>
      </w:r>
    </w:p>
  </w:footnote>
  <w:footnote w:id="1">
    <w:p w14:paraId="2EE13E8E" w14:textId="4773013D" w:rsidR="00600A26" w:rsidRPr="00600A26" w:rsidRDefault="00600A26">
      <w:pPr>
        <w:pStyle w:val="FootnoteText"/>
        <w:rPr>
          <w:lang w:val="en-GB"/>
        </w:rPr>
      </w:pPr>
      <w:r>
        <w:rPr>
          <w:rStyle w:val="FootnoteReference"/>
        </w:rPr>
        <w:footnoteRef/>
      </w:r>
      <w:r>
        <w:t xml:space="preserve"> </w:t>
      </w:r>
      <w:r>
        <w:rPr>
          <w:lang w:val="en-GB"/>
        </w:rPr>
        <w:t>Section 233(4) of IA</w:t>
      </w:r>
    </w:p>
  </w:footnote>
  <w:footnote w:id="2">
    <w:p w14:paraId="6AE94932" w14:textId="08D2F533" w:rsidR="00C12A5A" w:rsidRPr="006159DE" w:rsidRDefault="00C12A5A" w:rsidP="006159DE">
      <w:pPr>
        <w:pStyle w:val="FootnoteText"/>
        <w:rPr>
          <w:lang w:val="en-GB"/>
        </w:rPr>
      </w:pPr>
      <w:r>
        <w:rPr>
          <w:rStyle w:val="FootnoteReference"/>
        </w:rPr>
        <w:footnoteRef/>
      </w:r>
      <w:r>
        <w:t xml:space="preserve"> </w:t>
      </w:r>
      <w:r>
        <w:rPr>
          <w:lang w:val="en-GB"/>
        </w:rPr>
        <w:t>Section 239(4)(a)</w:t>
      </w:r>
      <w:r w:rsidR="00BA3955">
        <w:rPr>
          <w:lang w:val="en-GB"/>
        </w:rPr>
        <w:t>, IA</w:t>
      </w:r>
    </w:p>
  </w:footnote>
  <w:footnote w:id="3">
    <w:p w14:paraId="12A9F642" w14:textId="65D7275F" w:rsidR="00C12A5A" w:rsidRPr="006159DE" w:rsidRDefault="00C12A5A" w:rsidP="006159DE">
      <w:pPr>
        <w:pStyle w:val="FootnoteText"/>
        <w:rPr>
          <w:lang w:val="en-GB"/>
        </w:rPr>
      </w:pPr>
      <w:r>
        <w:rPr>
          <w:rStyle w:val="FootnoteReference"/>
        </w:rPr>
        <w:footnoteRef/>
      </w:r>
      <w:r>
        <w:t xml:space="preserve"> </w:t>
      </w:r>
      <w:r>
        <w:rPr>
          <w:lang w:val="en-GB"/>
        </w:rPr>
        <w:t>Section 239(4)(b)</w:t>
      </w:r>
      <w:r w:rsidR="00BA3955">
        <w:rPr>
          <w:lang w:val="en-GB"/>
        </w:rPr>
        <w:t>, IA</w:t>
      </w:r>
    </w:p>
  </w:footnote>
  <w:footnote w:id="4">
    <w:p w14:paraId="1D58F574" w14:textId="7F20630C" w:rsidR="00C12A5A" w:rsidRPr="006159DE" w:rsidRDefault="00C12A5A" w:rsidP="006159DE">
      <w:pPr>
        <w:pStyle w:val="FootnoteText"/>
        <w:rPr>
          <w:lang w:val="en-GB"/>
        </w:rPr>
      </w:pPr>
      <w:r>
        <w:rPr>
          <w:rStyle w:val="FootnoteReference"/>
        </w:rPr>
        <w:footnoteRef/>
      </w:r>
      <w:r>
        <w:t xml:space="preserve"> </w:t>
      </w:r>
      <w:r>
        <w:rPr>
          <w:lang w:val="en-GB"/>
        </w:rPr>
        <w:t>Section 239(5)</w:t>
      </w:r>
      <w:r w:rsidR="00BA3955">
        <w:rPr>
          <w:lang w:val="en-GB"/>
        </w:rPr>
        <w:t>, IA</w:t>
      </w:r>
    </w:p>
  </w:footnote>
  <w:footnote w:id="5">
    <w:p w14:paraId="5304D1CF" w14:textId="02C153D1" w:rsidR="00C12A5A" w:rsidRPr="005208DF" w:rsidRDefault="00C12A5A">
      <w:pPr>
        <w:pStyle w:val="FootnoteText"/>
        <w:rPr>
          <w:lang w:val="en-GB"/>
        </w:rPr>
      </w:pPr>
      <w:r>
        <w:rPr>
          <w:rStyle w:val="FootnoteReference"/>
        </w:rPr>
        <w:footnoteRef/>
      </w:r>
      <w:r>
        <w:t xml:space="preserve"> </w:t>
      </w:r>
      <w:r w:rsidR="00BA3955">
        <w:rPr>
          <w:lang w:val="en-GB"/>
        </w:rPr>
        <w:t>See</w:t>
      </w:r>
      <w:r>
        <w:rPr>
          <w:lang w:val="en-GB"/>
        </w:rPr>
        <w:t xml:space="preserve"> </w:t>
      </w:r>
      <w:r w:rsidRPr="005208DF">
        <w:rPr>
          <w:i/>
          <w:lang w:val="en-GB"/>
        </w:rPr>
        <w:t>Re MC Bacon Ltd.</w:t>
      </w:r>
      <w:r>
        <w:rPr>
          <w:lang w:val="en-GB"/>
        </w:rPr>
        <w:t xml:space="preserve"> [1990] BCC 78</w:t>
      </w:r>
    </w:p>
  </w:footnote>
  <w:footnote w:id="6">
    <w:p w14:paraId="37846EB3" w14:textId="4490DE14" w:rsidR="00C12A5A" w:rsidRPr="005334BD" w:rsidRDefault="00C12A5A">
      <w:pPr>
        <w:pStyle w:val="FootnoteText"/>
        <w:rPr>
          <w:lang w:val="en-GB"/>
        </w:rPr>
      </w:pPr>
      <w:r>
        <w:rPr>
          <w:rStyle w:val="FootnoteReference"/>
        </w:rPr>
        <w:footnoteRef/>
      </w:r>
      <w:r>
        <w:t xml:space="preserve"> </w:t>
      </w:r>
      <w:r>
        <w:rPr>
          <w:lang w:val="en-GB"/>
        </w:rPr>
        <w:t>Section 238(1)</w:t>
      </w:r>
      <w:r w:rsidR="00BA3955">
        <w:rPr>
          <w:lang w:val="en-GB"/>
        </w:rPr>
        <w:t>, IA</w:t>
      </w:r>
    </w:p>
  </w:footnote>
  <w:footnote w:id="7">
    <w:p w14:paraId="257EA0DE" w14:textId="197525D9" w:rsidR="00C12A5A" w:rsidRPr="0039063B" w:rsidRDefault="00C12A5A">
      <w:pPr>
        <w:pStyle w:val="FootnoteText"/>
        <w:rPr>
          <w:lang w:val="en-GB"/>
        </w:rPr>
      </w:pPr>
      <w:r>
        <w:rPr>
          <w:rStyle w:val="FootnoteReference"/>
        </w:rPr>
        <w:footnoteRef/>
      </w:r>
      <w:r>
        <w:t xml:space="preserve"> </w:t>
      </w:r>
      <w:r>
        <w:rPr>
          <w:lang w:val="en-GB"/>
        </w:rPr>
        <w:t>Section 238(4)</w:t>
      </w:r>
      <w:r w:rsidR="00BA3955">
        <w:rPr>
          <w:lang w:val="en-GB"/>
        </w:rPr>
        <w:t>, IA</w:t>
      </w:r>
    </w:p>
  </w:footnote>
  <w:footnote w:id="8">
    <w:p w14:paraId="2EA8CED3" w14:textId="69F42B5D" w:rsidR="00C12A5A" w:rsidRPr="0039063B" w:rsidRDefault="00C12A5A" w:rsidP="00F648C1">
      <w:pPr>
        <w:pStyle w:val="FootnoteText"/>
        <w:rPr>
          <w:lang w:val="en-GB"/>
        </w:rPr>
      </w:pPr>
      <w:r>
        <w:rPr>
          <w:rStyle w:val="FootnoteReference"/>
        </w:rPr>
        <w:footnoteRef/>
      </w:r>
      <w:r>
        <w:t xml:space="preserve"> </w:t>
      </w:r>
      <w:r>
        <w:rPr>
          <w:lang w:val="en-GB"/>
        </w:rPr>
        <w:t>Section 240(1)(a)</w:t>
      </w:r>
      <w:r w:rsidR="00BA3955">
        <w:rPr>
          <w:lang w:val="en-GB"/>
        </w:rPr>
        <w:t>, 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25AA3"/>
    <w:multiLevelType w:val="hybridMultilevel"/>
    <w:tmpl w:val="9AD20C18"/>
    <w:lvl w:ilvl="0" w:tplc="CF5234CA">
      <w:start w:val="386"/>
      <w:numFmt w:val="bullet"/>
      <w:lvlText w:val="-"/>
      <w:lvlJc w:val="left"/>
      <w:pPr>
        <w:ind w:left="720" w:hanging="360"/>
      </w:pPr>
      <w:rPr>
        <w:rFonts w:ascii="Arial" w:eastAsia="Times New Roman" w:hAnsi="Arial" w:cs="Arial" w:hint="default"/>
        <w:i/>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E0085"/>
    <w:multiLevelType w:val="hybridMultilevel"/>
    <w:tmpl w:val="E2B601AA"/>
    <w:lvl w:ilvl="0" w:tplc="929E4FBA">
      <w:start w:val="2"/>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BB2180"/>
    <w:multiLevelType w:val="hybridMultilevel"/>
    <w:tmpl w:val="1220B8BA"/>
    <w:lvl w:ilvl="0" w:tplc="208C0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E78BC"/>
    <w:multiLevelType w:val="multilevel"/>
    <w:tmpl w:val="C2805AC8"/>
    <w:lvl w:ilvl="0">
      <w:start w:val="1"/>
      <w:numFmt w:val="bullet"/>
      <w:lvlText w:val=""/>
      <w:lvlJc w:val="left"/>
      <w:pPr>
        <w:tabs>
          <w:tab w:val="num" w:pos="720"/>
        </w:tabs>
        <w:ind w:left="720" w:hanging="360"/>
      </w:pPr>
      <w:rPr>
        <w:rFonts w:ascii="Symbol" w:hAnsi="Symbol" w:hint="default"/>
        <w:sz w:val="20"/>
      </w:rPr>
    </w:lvl>
    <w:lvl w:ilvl="1">
      <w:start w:val="115"/>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7F20706"/>
    <w:multiLevelType w:val="hybridMultilevel"/>
    <w:tmpl w:val="98B03470"/>
    <w:lvl w:ilvl="0" w:tplc="E528B0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B23163"/>
    <w:multiLevelType w:val="hybridMultilevel"/>
    <w:tmpl w:val="E01E9D1E"/>
    <w:lvl w:ilvl="0" w:tplc="EF0C55F0">
      <w:start w:val="2"/>
      <w:numFmt w:val="bullet"/>
      <w:lvlText w:val="-"/>
      <w:lvlJc w:val="left"/>
      <w:pPr>
        <w:ind w:left="1440" w:hanging="360"/>
      </w:pPr>
      <w:rPr>
        <w:rFonts w:ascii="Calibri" w:eastAsiaTheme="minorEastAsia" w:hAnsi="Calibri" w:cs="Calibri"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10060"/>
    <w:multiLevelType w:val="hybridMultilevel"/>
    <w:tmpl w:val="E474BD9C"/>
    <w:lvl w:ilvl="0" w:tplc="91DE899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9"/>
  </w:num>
  <w:num w:numId="5">
    <w:abstractNumId w:val="14"/>
  </w:num>
  <w:num w:numId="6">
    <w:abstractNumId w:val="2"/>
  </w:num>
  <w:num w:numId="7">
    <w:abstractNumId w:val="15"/>
  </w:num>
  <w:num w:numId="8">
    <w:abstractNumId w:val="21"/>
  </w:num>
  <w:num w:numId="9">
    <w:abstractNumId w:val="11"/>
  </w:num>
  <w:num w:numId="10">
    <w:abstractNumId w:val="22"/>
  </w:num>
  <w:num w:numId="11">
    <w:abstractNumId w:val="7"/>
  </w:num>
  <w:num w:numId="12">
    <w:abstractNumId w:val="18"/>
  </w:num>
  <w:num w:numId="13">
    <w:abstractNumId w:val="12"/>
  </w:num>
  <w:num w:numId="14">
    <w:abstractNumId w:val="5"/>
  </w:num>
  <w:num w:numId="15">
    <w:abstractNumId w:val="16"/>
  </w:num>
  <w:num w:numId="16">
    <w:abstractNumId w:val="20"/>
  </w:num>
  <w:num w:numId="17">
    <w:abstractNumId w:val="8"/>
  </w:num>
  <w:num w:numId="18">
    <w:abstractNumId w:val="23"/>
  </w:num>
  <w:num w:numId="19">
    <w:abstractNumId w:val="6"/>
  </w:num>
  <w:num w:numId="20">
    <w:abstractNumId w:val="17"/>
  </w:num>
  <w:num w:numId="21">
    <w:abstractNumId w:val="13"/>
  </w:num>
  <w:num w:numId="22">
    <w:abstractNumId w:val="19"/>
  </w:num>
  <w:num w:numId="23">
    <w:abstractNumId w:val="3"/>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1B4"/>
    <w:rsid w:val="0001096D"/>
    <w:rsid w:val="00010BA0"/>
    <w:rsid w:val="00020557"/>
    <w:rsid w:val="00021FC2"/>
    <w:rsid w:val="000250C7"/>
    <w:rsid w:val="00026F16"/>
    <w:rsid w:val="00037621"/>
    <w:rsid w:val="00044D46"/>
    <w:rsid w:val="00045088"/>
    <w:rsid w:val="00045904"/>
    <w:rsid w:val="000502FD"/>
    <w:rsid w:val="0005618F"/>
    <w:rsid w:val="00065166"/>
    <w:rsid w:val="00082609"/>
    <w:rsid w:val="000851CC"/>
    <w:rsid w:val="00087F21"/>
    <w:rsid w:val="00093BE8"/>
    <w:rsid w:val="000A407B"/>
    <w:rsid w:val="000A68ED"/>
    <w:rsid w:val="000B3C17"/>
    <w:rsid w:val="000B5FF1"/>
    <w:rsid w:val="000B609F"/>
    <w:rsid w:val="000C0E0D"/>
    <w:rsid w:val="000D0C35"/>
    <w:rsid w:val="000D10C6"/>
    <w:rsid w:val="000D55A8"/>
    <w:rsid w:val="000E4841"/>
    <w:rsid w:val="000E6DE7"/>
    <w:rsid w:val="000E7D7D"/>
    <w:rsid w:val="000F1677"/>
    <w:rsid w:val="000F3D6C"/>
    <w:rsid w:val="00101707"/>
    <w:rsid w:val="00102CC9"/>
    <w:rsid w:val="00103A59"/>
    <w:rsid w:val="00104831"/>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3D48"/>
    <w:rsid w:val="001A7E9A"/>
    <w:rsid w:val="001B0F70"/>
    <w:rsid w:val="001B5016"/>
    <w:rsid w:val="001C45FC"/>
    <w:rsid w:val="001D0469"/>
    <w:rsid w:val="001D29C0"/>
    <w:rsid w:val="001D4862"/>
    <w:rsid w:val="001E20F1"/>
    <w:rsid w:val="001E25B9"/>
    <w:rsid w:val="001E49E0"/>
    <w:rsid w:val="001E7B5A"/>
    <w:rsid w:val="001F7412"/>
    <w:rsid w:val="0020090A"/>
    <w:rsid w:val="0020204E"/>
    <w:rsid w:val="00202DFE"/>
    <w:rsid w:val="0020725B"/>
    <w:rsid w:val="002110F1"/>
    <w:rsid w:val="00211141"/>
    <w:rsid w:val="00220CF0"/>
    <w:rsid w:val="002261FB"/>
    <w:rsid w:val="002356EA"/>
    <w:rsid w:val="0024116D"/>
    <w:rsid w:val="00241B44"/>
    <w:rsid w:val="00241FA3"/>
    <w:rsid w:val="00245EFB"/>
    <w:rsid w:val="0025386E"/>
    <w:rsid w:val="00255132"/>
    <w:rsid w:val="002638B0"/>
    <w:rsid w:val="0026647A"/>
    <w:rsid w:val="002668D3"/>
    <w:rsid w:val="00271354"/>
    <w:rsid w:val="0027299F"/>
    <w:rsid w:val="002743F3"/>
    <w:rsid w:val="002755DD"/>
    <w:rsid w:val="00284EBE"/>
    <w:rsid w:val="002903A7"/>
    <w:rsid w:val="0029433F"/>
    <w:rsid w:val="00294829"/>
    <w:rsid w:val="0029690F"/>
    <w:rsid w:val="00297C8A"/>
    <w:rsid w:val="002A2A60"/>
    <w:rsid w:val="002A37BB"/>
    <w:rsid w:val="002B1C45"/>
    <w:rsid w:val="002B2367"/>
    <w:rsid w:val="002B469A"/>
    <w:rsid w:val="002C13C8"/>
    <w:rsid w:val="002C3547"/>
    <w:rsid w:val="002C46CB"/>
    <w:rsid w:val="002D0021"/>
    <w:rsid w:val="002D089F"/>
    <w:rsid w:val="002D299D"/>
    <w:rsid w:val="002D3473"/>
    <w:rsid w:val="002F1956"/>
    <w:rsid w:val="002F3440"/>
    <w:rsid w:val="002F75A3"/>
    <w:rsid w:val="002F77D6"/>
    <w:rsid w:val="00303C2F"/>
    <w:rsid w:val="00311816"/>
    <w:rsid w:val="00313C19"/>
    <w:rsid w:val="003144EF"/>
    <w:rsid w:val="00314F32"/>
    <w:rsid w:val="00321670"/>
    <w:rsid w:val="00326292"/>
    <w:rsid w:val="00326415"/>
    <w:rsid w:val="00330937"/>
    <w:rsid w:val="00330F31"/>
    <w:rsid w:val="0033241E"/>
    <w:rsid w:val="00334648"/>
    <w:rsid w:val="0033768C"/>
    <w:rsid w:val="00337938"/>
    <w:rsid w:val="00340769"/>
    <w:rsid w:val="00341AA6"/>
    <w:rsid w:val="003619AD"/>
    <w:rsid w:val="00361A0A"/>
    <w:rsid w:val="00364836"/>
    <w:rsid w:val="0036565C"/>
    <w:rsid w:val="0036625E"/>
    <w:rsid w:val="0037465A"/>
    <w:rsid w:val="00382C98"/>
    <w:rsid w:val="0038533C"/>
    <w:rsid w:val="00386568"/>
    <w:rsid w:val="0039063B"/>
    <w:rsid w:val="00390B57"/>
    <w:rsid w:val="003948D5"/>
    <w:rsid w:val="00396821"/>
    <w:rsid w:val="00397D3A"/>
    <w:rsid w:val="003A051E"/>
    <w:rsid w:val="003A185C"/>
    <w:rsid w:val="003A4482"/>
    <w:rsid w:val="003B0099"/>
    <w:rsid w:val="003B170F"/>
    <w:rsid w:val="003B3C5F"/>
    <w:rsid w:val="003C4471"/>
    <w:rsid w:val="003D0A6D"/>
    <w:rsid w:val="003D5F94"/>
    <w:rsid w:val="003E0B16"/>
    <w:rsid w:val="003E67D1"/>
    <w:rsid w:val="00404329"/>
    <w:rsid w:val="00405DC1"/>
    <w:rsid w:val="00415F1F"/>
    <w:rsid w:val="004173DD"/>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0E26"/>
    <w:rsid w:val="004C1C70"/>
    <w:rsid w:val="004D1A5A"/>
    <w:rsid w:val="004D2FFF"/>
    <w:rsid w:val="004D3721"/>
    <w:rsid w:val="004D64F9"/>
    <w:rsid w:val="004E3A6B"/>
    <w:rsid w:val="004E622C"/>
    <w:rsid w:val="004F5FDF"/>
    <w:rsid w:val="004F6F87"/>
    <w:rsid w:val="00506331"/>
    <w:rsid w:val="00516906"/>
    <w:rsid w:val="005177FE"/>
    <w:rsid w:val="005208DF"/>
    <w:rsid w:val="0052263B"/>
    <w:rsid w:val="00524728"/>
    <w:rsid w:val="005331CA"/>
    <w:rsid w:val="005334BD"/>
    <w:rsid w:val="00537970"/>
    <w:rsid w:val="00540E3A"/>
    <w:rsid w:val="005415B1"/>
    <w:rsid w:val="00544127"/>
    <w:rsid w:val="005463A9"/>
    <w:rsid w:val="00553EB2"/>
    <w:rsid w:val="00560285"/>
    <w:rsid w:val="00560534"/>
    <w:rsid w:val="0056391B"/>
    <w:rsid w:val="005650E2"/>
    <w:rsid w:val="00567AD7"/>
    <w:rsid w:val="00570C54"/>
    <w:rsid w:val="00575B2D"/>
    <w:rsid w:val="005833D0"/>
    <w:rsid w:val="005846F3"/>
    <w:rsid w:val="0058622F"/>
    <w:rsid w:val="00592F82"/>
    <w:rsid w:val="00594C6A"/>
    <w:rsid w:val="005A0CCA"/>
    <w:rsid w:val="005A1083"/>
    <w:rsid w:val="005A6FF2"/>
    <w:rsid w:val="005A726D"/>
    <w:rsid w:val="005B4CA1"/>
    <w:rsid w:val="005B67AC"/>
    <w:rsid w:val="005B79F4"/>
    <w:rsid w:val="005C5A4E"/>
    <w:rsid w:val="005D16DD"/>
    <w:rsid w:val="005D25D6"/>
    <w:rsid w:val="005D43E0"/>
    <w:rsid w:val="005D58A3"/>
    <w:rsid w:val="005D7D42"/>
    <w:rsid w:val="005E1B79"/>
    <w:rsid w:val="005E41C7"/>
    <w:rsid w:val="005E4E20"/>
    <w:rsid w:val="005E5CFD"/>
    <w:rsid w:val="005E6076"/>
    <w:rsid w:val="005E7008"/>
    <w:rsid w:val="005F026D"/>
    <w:rsid w:val="005F2AEA"/>
    <w:rsid w:val="005F2D0B"/>
    <w:rsid w:val="005F4100"/>
    <w:rsid w:val="005F4B31"/>
    <w:rsid w:val="00600A26"/>
    <w:rsid w:val="00610388"/>
    <w:rsid w:val="00610AC7"/>
    <w:rsid w:val="00612CA5"/>
    <w:rsid w:val="006145FF"/>
    <w:rsid w:val="006153EC"/>
    <w:rsid w:val="006159DE"/>
    <w:rsid w:val="00621A17"/>
    <w:rsid w:val="00626FA2"/>
    <w:rsid w:val="00627CC9"/>
    <w:rsid w:val="00627E7B"/>
    <w:rsid w:val="00630542"/>
    <w:rsid w:val="00632E44"/>
    <w:rsid w:val="00634622"/>
    <w:rsid w:val="00636808"/>
    <w:rsid w:val="00641515"/>
    <w:rsid w:val="00654C2F"/>
    <w:rsid w:val="00657087"/>
    <w:rsid w:val="006624AB"/>
    <w:rsid w:val="006639DB"/>
    <w:rsid w:val="006661EF"/>
    <w:rsid w:val="006734C3"/>
    <w:rsid w:val="00677AEB"/>
    <w:rsid w:val="00680EF2"/>
    <w:rsid w:val="00687A1D"/>
    <w:rsid w:val="00697EA1"/>
    <w:rsid w:val="006A2646"/>
    <w:rsid w:val="006A6530"/>
    <w:rsid w:val="006B435A"/>
    <w:rsid w:val="006B4C64"/>
    <w:rsid w:val="006D282B"/>
    <w:rsid w:val="006D6AE2"/>
    <w:rsid w:val="006D6BD5"/>
    <w:rsid w:val="006E4485"/>
    <w:rsid w:val="006E481A"/>
    <w:rsid w:val="006E5298"/>
    <w:rsid w:val="006F4A78"/>
    <w:rsid w:val="006F6338"/>
    <w:rsid w:val="006F734A"/>
    <w:rsid w:val="00700D83"/>
    <w:rsid w:val="00704852"/>
    <w:rsid w:val="0070524B"/>
    <w:rsid w:val="007074E9"/>
    <w:rsid w:val="0071004D"/>
    <w:rsid w:val="00713DA4"/>
    <w:rsid w:val="00714BF1"/>
    <w:rsid w:val="00721383"/>
    <w:rsid w:val="0073158B"/>
    <w:rsid w:val="007333CC"/>
    <w:rsid w:val="0073399A"/>
    <w:rsid w:val="00740DAD"/>
    <w:rsid w:val="00742AF3"/>
    <w:rsid w:val="007479BA"/>
    <w:rsid w:val="007603F5"/>
    <w:rsid w:val="00763348"/>
    <w:rsid w:val="00764DB0"/>
    <w:rsid w:val="00765A07"/>
    <w:rsid w:val="0076764D"/>
    <w:rsid w:val="00772C12"/>
    <w:rsid w:val="007735CC"/>
    <w:rsid w:val="0077498C"/>
    <w:rsid w:val="00775282"/>
    <w:rsid w:val="007809BC"/>
    <w:rsid w:val="00783928"/>
    <w:rsid w:val="00784128"/>
    <w:rsid w:val="00787BCC"/>
    <w:rsid w:val="00793170"/>
    <w:rsid w:val="00793173"/>
    <w:rsid w:val="007A0D54"/>
    <w:rsid w:val="007A181C"/>
    <w:rsid w:val="007A2A33"/>
    <w:rsid w:val="007A5171"/>
    <w:rsid w:val="007A76FF"/>
    <w:rsid w:val="007B46E4"/>
    <w:rsid w:val="007B5C89"/>
    <w:rsid w:val="007C1FCC"/>
    <w:rsid w:val="007C400B"/>
    <w:rsid w:val="007C6201"/>
    <w:rsid w:val="007C7F8C"/>
    <w:rsid w:val="007D67E4"/>
    <w:rsid w:val="007D7C92"/>
    <w:rsid w:val="007E1154"/>
    <w:rsid w:val="007E2919"/>
    <w:rsid w:val="007E46A8"/>
    <w:rsid w:val="007E6BA4"/>
    <w:rsid w:val="007F41F8"/>
    <w:rsid w:val="007F659B"/>
    <w:rsid w:val="0080441E"/>
    <w:rsid w:val="0080454E"/>
    <w:rsid w:val="00804C32"/>
    <w:rsid w:val="00806302"/>
    <w:rsid w:val="00807119"/>
    <w:rsid w:val="0080757B"/>
    <w:rsid w:val="0082483F"/>
    <w:rsid w:val="008279C0"/>
    <w:rsid w:val="00855A6F"/>
    <w:rsid w:val="00867701"/>
    <w:rsid w:val="008723F3"/>
    <w:rsid w:val="008769B2"/>
    <w:rsid w:val="00876F56"/>
    <w:rsid w:val="00881DE6"/>
    <w:rsid w:val="008825E9"/>
    <w:rsid w:val="008837A6"/>
    <w:rsid w:val="00885E11"/>
    <w:rsid w:val="0089145D"/>
    <w:rsid w:val="00891690"/>
    <w:rsid w:val="00894E08"/>
    <w:rsid w:val="008A12BE"/>
    <w:rsid w:val="008A4DF2"/>
    <w:rsid w:val="008A6CFE"/>
    <w:rsid w:val="008B5333"/>
    <w:rsid w:val="008B6223"/>
    <w:rsid w:val="008B72B8"/>
    <w:rsid w:val="008C66E0"/>
    <w:rsid w:val="008C7642"/>
    <w:rsid w:val="008D1616"/>
    <w:rsid w:val="008E3339"/>
    <w:rsid w:val="008F18A3"/>
    <w:rsid w:val="008F20FC"/>
    <w:rsid w:val="008F5FFE"/>
    <w:rsid w:val="00905A43"/>
    <w:rsid w:val="00912C79"/>
    <w:rsid w:val="00921B8C"/>
    <w:rsid w:val="00924DAF"/>
    <w:rsid w:val="00931D14"/>
    <w:rsid w:val="0093340A"/>
    <w:rsid w:val="00942123"/>
    <w:rsid w:val="00951AA8"/>
    <w:rsid w:val="0095207B"/>
    <w:rsid w:val="009611EB"/>
    <w:rsid w:val="00962045"/>
    <w:rsid w:val="00967692"/>
    <w:rsid w:val="00980E61"/>
    <w:rsid w:val="00991428"/>
    <w:rsid w:val="00992676"/>
    <w:rsid w:val="00993700"/>
    <w:rsid w:val="009954B2"/>
    <w:rsid w:val="00996691"/>
    <w:rsid w:val="009A3AB7"/>
    <w:rsid w:val="009B0723"/>
    <w:rsid w:val="009B07AD"/>
    <w:rsid w:val="009B0883"/>
    <w:rsid w:val="009B15E2"/>
    <w:rsid w:val="009B4976"/>
    <w:rsid w:val="009C0B8E"/>
    <w:rsid w:val="009C1BC8"/>
    <w:rsid w:val="009C2442"/>
    <w:rsid w:val="009D0811"/>
    <w:rsid w:val="009D0EE1"/>
    <w:rsid w:val="009D34F5"/>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570FC"/>
    <w:rsid w:val="00A60074"/>
    <w:rsid w:val="00A6627C"/>
    <w:rsid w:val="00A71019"/>
    <w:rsid w:val="00A81029"/>
    <w:rsid w:val="00A845F5"/>
    <w:rsid w:val="00A96489"/>
    <w:rsid w:val="00AA243D"/>
    <w:rsid w:val="00AA7B0D"/>
    <w:rsid w:val="00AB2425"/>
    <w:rsid w:val="00AB685C"/>
    <w:rsid w:val="00AB6C2D"/>
    <w:rsid w:val="00AC08F7"/>
    <w:rsid w:val="00AC317D"/>
    <w:rsid w:val="00AC3839"/>
    <w:rsid w:val="00AC7082"/>
    <w:rsid w:val="00AD1208"/>
    <w:rsid w:val="00AD4BE8"/>
    <w:rsid w:val="00AE5B6F"/>
    <w:rsid w:val="00AF228E"/>
    <w:rsid w:val="00B016A8"/>
    <w:rsid w:val="00B04033"/>
    <w:rsid w:val="00B14819"/>
    <w:rsid w:val="00B15E2F"/>
    <w:rsid w:val="00B17AA9"/>
    <w:rsid w:val="00B44713"/>
    <w:rsid w:val="00B50CEC"/>
    <w:rsid w:val="00B51464"/>
    <w:rsid w:val="00B51B95"/>
    <w:rsid w:val="00B56103"/>
    <w:rsid w:val="00B64929"/>
    <w:rsid w:val="00B736DF"/>
    <w:rsid w:val="00B743D6"/>
    <w:rsid w:val="00B74FBD"/>
    <w:rsid w:val="00B77F46"/>
    <w:rsid w:val="00B82586"/>
    <w:rsid w:val="00B829A3"/>
    <w:rsid w:val="00B86DB1"/>
    <w:rsid w:val="00B8700F"/>
    <w:rsid w:val="00B87869"/>
    <w:rsid w:val="00B9639B"/>
    <w:rsid w:val="00BA1CFD"/>
    <w:rsid w:val="00BA3955"/>
    <w:rsid w:val="00BB0F2B"/>
    <w:rsid w:val="00BE4FF3"/>
    <w:rsid w:val="00BF2C93"/>
    <w:rsid w:val="00BF50F7"/>
    <w:rsid w:val="00C02F29"/>
    <w:rsid w:val="00C12A5A"/>
    <w:rsid w:val="00C17718"/>
    <w:rsid w:val="00C20AFE"/>
    <w:rsid w:val="00C22A25"/>
    <w:rsid w:val="00C305F5"/>
    <w:rsid w:val="00C35671"/>
    <w:rsid w:val="00C35B77"/>
    <w:rsid w:val="00C37372"/>
    <w:rsid w:val="00C376EB"/>
    <w:rsid w:val="00C46A92"/>
    <w:rsid w:val="00C46EC1"/>
    <w:rsid w:val="00C52796"/>
    <w:rsid w:val="00C53E2C"/>
    <w:rsid w:val="00C540F1"/>
    <w:rsid w:val="00C550C8"/>
    <w:rsid w:val="00C55824"/>
    <w:rsid w:val="00C56B61"/>
    <w:rsid w:val="00C606C3"/>
    <w:rsid w:val="00C620F4"/>
    <w:rsid w:val="00C72848"/>
    <w:rsid w:val="00C7736C"/>
    <w:rsid w:val="00C82D87"/>
    <w:rsid w:val="00C8712A"/>
    <w:rsid w:val="00C902C8"/>
    <w:rsid w:val="00C91062"/>
    <w:rsid w:val="00C919D1"/>
    <w:rsid w:val="00C963D3"/>
    <w:rsid w:val="00CA33DF"/>
    <w:rsid w:val="00CB1983"/>
    <w:rsid w:val="00CB2CBB"/>
    <w:rsid w:val="00CB7CAC"/>
    <w:rsid w:val="00CC5335"/>
    <w:rsid w:val="00CC5BA4"/>
    <w:rsid w:val="00CD14FD"/>
    <w:rsid w:val="00CD4998"/>
    <w:rsid w:val="00CE1035"/>
    <w:rsid w:val="00CE6E50"/>
    <w:rsid w:val="00CF2819"/>
    <w:rsid w:val="00CF4F9D"/>
    <w:rsid w:val="00CF70DC"/>
    <w:rsid w:val="00D148DC"/>
    <w:rsid w:val="00D16178"/>
    <w:rsid w:val="00D17FDC"/>
    <w:rsid w:val="00D21D8C"/>
    <w:rsid w:val="00D53719"/>
    <w:rsid w:val="00D61C10"/>
    <w:rsid w:val="00D63EFD"/>
    <w:rsid w:val="00D84752"/>
    <w:rsid w:val="00D86B3B"/>
    <w:rsid w:val="00D8748A"/>
    <w:rsid w:val="00D93196"/>
    <w:rsid w:val="00D94DEF"/>
    <w:rsid w:val="00D96D6E"/>
    <w:rsid w:val="00DA0DC0"/>
    <w:rsid w:val="00DB243C"/>
    <w:rsid w:val="00DB482A"/>
    <w:rsid w:val="00DB50FB"/>
    <w:rsid w:val="00DB56F2"/>
    <w:rsid w:val="00DB6EF5"/>
    <w:rsid w:val="00DC3089"/>
    <w:rsid w:val="00DC4420"/>
    <w:rsid w:val="00DD0440"/>
    <w:rsid w:val="00DD0802"/>
    <w:rsid w:val="00DD2E11"/>
    <w:rsid w:val="00DE03AF"/>
    <w:rsid w:val="00DE121C"/>
    <w:rsid w:val="00DE2815"/>
    <w:rsid w:val="00DE64A3"/>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87269"/>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1378"/>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41258"/>
    <w:rsid w:val="00F46269"/>
    <w:rsid w:val="00F5524B"/>
    <w:rsid w:val="00F60538"/>
    <w:rsid w:val="00F61DD2"/>
    <w:rsid w:val="00F62E7A"/>
    <w:rsid w:val="00F648C1"/>
    <w:rsid w:val="00F66AFF"/>
    <w:rsid w:val="00F70126"/>
    <w:rsid w:val="00F71433"/>
    <w:rsid w:val="00F76DA9"/>
    <w:rsid w:val="00F87B04"/>
    <w:rsid w:val="00F97C5B"/>
    <w:rsid w:val="00FA12B9"/>
    <w:rsid w:val="00FA3D50"/>
    <w:rsid w:val="00FA417D"/>
    <w:rsid w:val="00FA5464"/>
    <w:rsid w:val="00FA701C"/>
    <w:rsid w:val="00FB31D6"/>
    <w:rsid w:val="00FB7FBD"/>
    <w:rsid w:val="00FC374A"/>
    <w:rsid w:val="00FC6CAC"/>
    <w:rsid w:val="00FC74C8"/>
    <w:rsid w:val="00FC7B47"/>
    <w:rsid w:val="00FD035C"/>
    <w:rsid w:val="00FD094D"/>
    <w:rsid w:val="00FD1A35"/>
    <w:rsid w:val="00FD2EA4"/>
    <w:rsid w:val="00FD36C5"/>
    <w:rsid w:val="00FD6310"/>
    <w:rsid w:val="00FD7C7B"/>
    <w:rsid w:val="00FE1D12"/>
    <w:rsid w:val="00FE2122"/>
    <w:rsid w:val="00FE2A86"/>
    <w:rsid w:val="00FE2DE2"/>
    <w:rsid w:val="00FF296F"/>
    <w:rsid w:val="00FF35DD"/>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paragraph" w:styleId="Heading1">
    <w:name w:val="heading 1"/>
    <w:basedOn w:val="Normal"/>
    <w:next w:val="Normal"/>
    <w:link w:val="Heading1Char"/>
    <w:uiPriority w:val="9"/>
    <w:qFormat/>
    <w:rsid w:val="00626F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70C54"/>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551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3Char">
    <w:name w:val="Heading 3 Char"/>
    <w:basedOn w:val="DefaultParagraphFont"/>
    <w:link w:val="Heading3"/>
    <w:uiPriority w:val="9"/>
    <w:semiHidden/>
    <w:rsid w:val="00570C5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55132"/>
    <w:rPr>
      <w:rFonts w:asciiTheme="majorHAnsi" w:eastAsiaTheme="majorEastAsia" w:hAnsiTheme="majorHAnsi" w:cstheme="majorBidi"/>
      <w:i/>
      <w:iCs/>
      <w:color w:val="2F5496" w:themeColor="accent1" w:themeShade="BF"/>
      <w:sz w:val="20"/>
    </w:rPr>
  </w:style>
  <w:style w:type="character" w:customStyle="1" w:styleId="Heading1Char">
    <w:name w:val="Heading 1 Char"/>
    <w:basedOn w:val="DefaultParagraphFont"/>
    <w:link w:val="Heading1"/>
    <w:uiPriority w:val="9"/>
    <w:rsid w:val="00626F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3614">
      <w:bodyDiv w:val="1"/>
      <w:marLeft w:val="0"/>
      <w:marRight w:val="0"/>
      <w:marTop w:val="0"/>
      <w:marBottom w:val="0"/>
      <w:divBdr>
        <w:top w:val="none" w:sz="0" w:space="0" w:color="auto"/>
        <w:left w:val="none" w:sz="0" w:space="0" w:color="auto"/>
        <w:bottom w:val="none" w:sz="0" w:space="0" w:color="auto"/>
        <w:right w:val="none" w:sz="0" w:space="0" w:color="auto"/>
      </w:divBdr>
    </w:div>
    <w:div w:id="125055120">
      <w:bodyDiv w:val="1"/>
      <w:marLeft w:val="0"/>
      <w:marRight w:val="0"/>
      <w:marTop w:val="0"/>
      <w:marBottom w:val="0"/>
      <w:divBdr>
        <w:top w:val="none" w:sz="0" w:space="0" w:color="auto"/>
        <w:left w:val="none" w:sz="0" w:space="0" w:color="auto"/>
        <w:bottom w:val="none" w:sz="0" w:space="0" w:color="auto"/>
        <w:right w:val="none" w:sz="0" w:space="0" w:color="auto"/>
      </w:divBdr>
    </w:div>
    <w:div w:id="146555303">
      <w:bodyDiv w:val="1"/>
      <w:marLeft w:val="0"/>
      <w:marRight w:val="0"/>
      <w:marTop w:val="0"/>
      <w:marBottom w:val="0"/>
      <w:divBdr>
        <w:top w:val="none" w:sz="0" w:space="0" w:color="auto"/>
        <w:left w:val="none" w:sz="0" w:space="0" w:color="auto"/>
        <w:bottom w:val="none" w:sz="0" w:space="0" w:color="auto"/>
        <w:right w:val="none" w:sz="0" w:space="0" w:color="auto"/>
      </w:divBdr>
    </w:div>
    <w:div w:id="188494354">
      <w:bodyDiv w:val="1"/>
      <w:marLeft w:val="0"/>
      <w:marRight w:val="0"/>
      <w:marTop w:val="0"/>
      <w:marBottom w:val="0"/>
      <w:divBdr>
        <w:top w:val="none" w:sz="0" w:space="0" w:color="auto"/>
        <w:left w:val="none" w:sz="0" w:space="0" w:color="auto"/>
        <w:bottom w:val="none" w:sz="0" w:space="0" w:color="auto"/>
        <w:right w:val="none" w:sz="0" w:space="0" w:color="auto"/>
      </w:divBdr>
    </w:div>
    <w:div w:id="259414580">
      <w:bodyDiv w:val="1"/>
      <w:marLeft w:val="0"/>
      <w:marRight w:val="0"/>
      <w:marTop w:val="0"/>
      <w:marBottom w:val="0"/>
      <w:divBdr>
        <w:top w:val="none" w:sz="0" w:space="0" w:color="auto"/>
        <w:left w:val="none" w:sz="0" w:space="0" w:color="auto"/>
        <w:bottom w:val="none" w:sz="0" w:space="0" w:color="auto"/>
        <w:right w:val="none" w:sz="0" w:space="0" w:color="auto"/>
      </w:divBdr>
    </w:div>
    <w:div w:id="304166366">
      <w:bodyDiv w:val="1"/>
      <w:marLeft w:val="0"/>
      <w:marRight w:val="0"/>
      <w:marTop w:val="0"/>
      <w:marBottom w:val="0"/>
      <w:divBdr>
        <w:top w:val="none" w:sz="0" w:space="0" w:color="auto"/>
        <w:left w:val="none" w:sz="0" w:space="0" w:color="auto"/>
        <w:bottom w:val="none" w:sz="0" w:space="0" w:color="auto"/>
        <w:right w:val="none" w:sz="0" w:space="0" w:color="auto"/>
      </w:divBdr>
    </w:div>
    <w:div w:id="44573232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53028007">
      <w:bodyDiv w:val="1"/>
      <w:marLeft w:val="0"/>
      <w:marRight w:val="0"/>
      <w:marTop w:val="0"/>
      <w:marBottom w:val="0"/>
      <w:divBdr>
        <w:top w:val="none" w:sz="0" w:space="0" w:color="auto"/>
        <w:left w:val="none" w:sz="0" w:space="0" w:color="auto"/>
        <w:bottom w:val="none" w:sz="0" w:space="0" w:color="auto"/>
        <w:right w:val="none" w:sz="0" w:space="0" w:color="auto"/>
      </w:divBdr>
    </w:div>
    <w:div w:id="673384703">
      <w:bodyDiv w:val="1"/>
      <w:marLeft w:val="0"/>
      <w:marRight w:val="0"/>
      <w:marTop w:val="0"/>
      <w:marBottom w:val="0"/>
      <w:divBdr>
        <w:top w:val="none" w:sz="0" w:space="0" w:color="auto"/>
        <w:left w:val="none" w:sz="0" w:space="0" w:color="auto"/>
        <w:bottom w:val="none" w:sz="0" w:space="0" w:color="auto"/>
        <w:right w:val="none" w:sz="0" w:space="0" w:color="auto"/>
      </w:divBdr>
    </w:div>
    <w:div w:id="727415463">
      <w:bodyDiv w:val="1"/>
      <w:marLeft w:val="0"/>
      <w:marRight w:val="0"/>
      <w:marTop w:val="0"/>
      <w:marBottom w:val="0"/>
      <w:divBdr>
        <w:top w:val="none" w:sz="0" w:space="0" w:color="auto"/>
        <w:left w:val="none" w:sz="0" w:space="0" w:color="auto"/>
        <w:bottom w:val="none" w:sz="0" w:space="0" w:color="auto"/>
        <w:right w:val="none" w:sz="0" w:space="0" w:color="auto"/>
      </w:divBdr>
    </w:div>
    <w:div w:id="76830746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3858646">
      <w:bodyDiv w:val="1"/>
      <w:marLeft w:val="0"/>
      <w:marRight w:val="0"/>
      <w:marTop w:val="0"/>
      <w:marBottom w:val="0"/>
      <w:divBdr>
        <w:top w:val="none" w:sz="0" w:space="0" w:color="auto"/>
        <w:left w:val="none" w:sz="0" w:space="0" w:color="auto"/>
        <w:bottom w:val="none" w:sz="0" w:space="0" w:color="auto"/>
        <w:right w:val="none" w:sz="0" w:space="0" w:color="auto"/>
      </w:divBdr>
    </w:div>
    <w:div w:id="945816985">
      <w:bodyDiv w:val="1"/>
      <w:marLeft w:val="0"/>
      <w:marRight w:val="0"/>
      <w:marTop w:val="0"/>
      <w:marBottom w:val="0"/>
      <w:divBdr>
        <w:top w:val="none" w:sz="0" w:space="0" w:color="auto"/>
        <w:left w:val="none" w:sz="0" w:space="0" w:color="auto"/>
        <w:bottom w:val="none" w:sz="0" w:space="0" w:color="auto"/>
        <w:right w:val="none" w:sz="0" w:space="0" w:color="auto"/>
      </w:divBdr>
    </w:div>
    <w:div w:id="980109306">
      <w:bodyDiv w:val="1"/>
      <w:marLeft w:val="0"/>
      <w:marRight w:val="0"/>
      <w:marTop w:val="0"/>
      <w:marBottom w:val="0"/>
      <w:divBdr>
        <w:top w:val="none" w:sz="0" w:space="0" w:color="auto"/>
        <w:left w:val="none" w:sz="0" w:space="0" w:color="auto"/>
        <w:bottom w:val="none" w:sz="0" w:space="0" w:color="auto"/>
        <w:right w:val="none" w:sz="0" w:space="0" w:color="auto"/>
      </w:divBdr>
    </w:div>
    <w:div w:id="1099134900">
      <w:bodyDiv w:val="1"/>
      <w:marLeft w:val="0"/>
      <w:marRight w:val="0"/>
      <w:marTop w:val="0"/>
      <w:marBottom w:val="0"/>
      <w:divBdr>
        <w:top w:val="none" w:sz="0" w:space="0" w:color="auto"/>
        <w:left w:val="none" w:sz="0" w:space="0" w:color="auto"/>
        <w:bottom w:val="none" w:sz="0" w:space="0" w:color="auto"/>
        <w:right w:val="none" w:sz="0" w:space="0" w:color="auto"/>
      </w:divBdr>
    </w:div>
    <w:div w:id="1137527970">
      <w:bodyDiv w:val="1"/>
      <w:marLeft w:val="0"/>
      <w:marRight w:val="0"/>
      <w:marTop w:val="0"/>
      <w:marBottom w:val="0"/>
      <w:divBdr>
        <w:top w:val="none" w:sz="0" w:space="0" w:color="auto"/>
        <w:left w:val="none" w:sz="0" w:space="0" w:color="auto"/>
        <w:bottom w:val="none" w:sz="0" w:space="0" w:color="auto"/>
        <w:right w:val="none" w:sz="0" w:space="0" w:color="auto"/>
      </w:divBdr>
    </w:div>
    <w:div w:id="1152141096">
      <w:bodyDiv w:val="1"/>
      <w:marLeft w:val="0"/>
      <w:marRight w:val="0"/>
      <w:marTop w:val="0"/>
      <w:marBottom w:val="0"/>
      <w:divBdr>
        <w:top w:val="none" w:sz="0" w:space="0" w:color="auto"/>
        <w:left w:val="none" w:sz="0" w:space="0" w:color="auto"/>
        <w:bottom w:val="none" w:sz="0" w:space="0" w:color="auto"/>
        <w:right w:val="none" w:sz="0" w:space="0" w:color="auto"/>
      </w:divBdr>
    </w:div>
    <w:div w:id="1292251500">
      <w:bodyDiv w:val="1"/>
      <w:marLeft w:val="0"/>
      <w:marRight w:val="0"/>
      <w:marTop w:val="0"/>
      <w:marBottom w:val="0"/>
      <w:divBdr>
        <w:top w:val="none" w:sz="0" w:space="0" w:color="auto"/>
        <w:left w:val="none" w:sz="0" w:space="0" w:color="auto"/>
        <w:bottom w:val="none" w:sz="0" w:space="0" w:color="auto"/>
        <w:right w:val="none" w:sz="0" w:space="0" w:color="auto"/>
      </w:divBdr>
    </w:div>
    <w:div w:id="1378972091">
      <w:bodyDiv w:val="1"/>
      <w:marLeft w:val="0"/>
      <w:marRight w:val="0"/>
      <w:marTop w:val="0"/>
      <w:marBottom w:val="0"/>
      <w:divBdr>
        <w:top w:val="none" w:sz="0" w:space="0" w:color="auto"/>
        <w:left w:val="none" w:sz="0" w:space="0" w:color="auto"/>
        <w:bottom w:val="none" w:sz="0" w:space="0" w:color="auto"/>
        <w:right w:val="none" w:sz="0" w:space="0" w:color="auto"/>
      </w:divBdr>
    </w:div>
    <w:div w:id="1419325295">
      <w:bodyDiv w:val="1"/>
      <w:marLeft w:val="0"/>
      <w:marRight w:val="0"/>
      <w:marTop w:val="0"/>
      <w:marBottom w:val="0"/>
      <w:divBdr>
        <w:top w:val="none" w:sz="0" w:space="0" w:color="auto"/>
        <w:left w:val="none" w:sz="0" w:space="0" w:color="auto"/>
        <w:bottom w:val="none" w:sz="0" w:space="0" w:color="auto"/>
        <w:right w:val="none" w:sz="0" w:space="0" w:color="auto"/>
      </w:divBdr>
    </w:div>
    <w:div w:id="1452016261">
      <w:bodyDiv w:val="1"/>
      <w:marLeft w:val="0"/>
      <w:marRight w:val="0"/>
      <w:marTop w:val="0"/>
      <w:marBottom w:val="0"/>
      <w:divBdr>
        <w:top w:val="none" w:sz="0" w:space="0" w:color="auto"/>
        <w:left w:val="none" w:sz="0" w:space="0" w:color="auto"/>
        <w:bottom w:val="none" w:sz="0" w:space="0" w:color="auto"/>
        <w:right w:val="none" w:sz="0" w:space="0" w:color="auto"/>
      </w:divBdr>
    </w:div>
    <w:div w:id="1486050348">
      <w:bodyDiv w:val="1"/>
      <w:marLeft w:val="0"/>
      <w:marRight w:val="0"/>
      <w:marTop w:val="0"/>
      <w:marBottom w:val="0"/>
      <w:divBdr>
        <w:top w:val="none" w:sz="0" w:space="0" w:color="auto"/>
        <w:left w:val="none" w:sz="0" w:space="0" w:color="auto"/>
        <w:bottom w:val="none" w:sz="0" w:space="0" w:color="auto"/>
        <w:right w:val="none" w:sz="0" w:space="0" w:color="auto"/>
      </w:divBdr>
    </w:div>
    <w:div w:id="1523518205">
      <w:bodyDiv w:val="1"/>
      <w:marLeft w:val="0"/>
      <w:marRight w:val="0"/>
      <w:marTop w:val="0"/>
      <w:marBottom w:val="0"/>
      <w:divBdr>
        <w:top w:val="none" w:sz="0" w:space="0" w:color="auto"/>
        <w:left w:val="none" w:sz="0" w:space="0" w:color="auto"/>
        <w:bottom w:val="none" w:sz="0" w:space="0" w:color="auto"/>
        <w:right w:val="none" w:sz="0" w:space="0" w:color="auto"/>
      </w:divBdr>
    </w:div>
    <w:div w:id="1554779496">
      <w:bodyDiv w:val="1"/>
      <w:marLeft w:val="0"/>
      <w:marRight w:val="0"/>
      <w:marTop w:val="0"/>
      <w:marBottom w:val="0"/>
      <w:divBdr>
        <w:top w:val="none" w:sz="0" w:space="0" w:color="auto"/>
        <w:left w:val="none" w:sz="0" w:space="0" w:color="auto"/>
        <w:bottom w:val="none" w:sz="0" w:space="0" w:color="auto"/>
        <w:right w:val="none" w:sz="0" w:space="0" w:color="auto"/>
      </w:divBdr>
    </w:div>
    <w:div w:id="1717773592">
      <w:bodyDiv w:val="1"/>
      <w:marLeft w:val="0"/>
      <w:marRight w:val="0"/>
      <w:marTop w:val="0"/>
      <w:marBottom w:val="0"/>
      <w:divBdr>
        <w:top w:val="none" w:sz="0" w:space="0" w:color="auto"/>
        <w:left w:val="none" w:sz="0" w:space="0" w:color="auto"/>
        <w:bottom w:val="none" w:sz="0" w:space="0" w:color="auto"/>
        <w:right w:val="none" w:sz="0" w:space="0" w:color="auto"/>
      </w:divBdr>
    </w:div>
    <w:div w:id="1750886561">
      <w:bodyDiv w:val="1"/>
      <w:marLeft w:val="0"/>
      <w:marRight w:val="0"/>
      <w:marTop w:val="0"/>
      <w:marBottom w:val="0"/>
      <w:divBdr>
        <w:top w:val="none" w:sz="0" w:space="0" w:color="auto"/>
        <w:left w:val="none" w:sz="0" w:space="0" w:color="auto"/>
        <w:bottom w:val="none" w:sz="0" w:space="0" w:color="auto"/>
        <w:right w:val="none" w:sz="0" w:space="0" w:color="auto"/>
      </w:divBdr>
    </w:div>
    <w:div w:id="1763990776">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90259678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93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9079-A6A5-48A9-96F7-7946B8BD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14</Pages>
  <Words>5421</Words>
  <Characters>30905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Urvashi</cp:lastModifiedBy>
  <cp:revision>72</cp:revision>
  <cp:lastPrinted>2019-08-27T05:42:00Z</cp:lastPrinted>
  <dcterms:created xsi:type="dcterms:W3CDTF">2021-08-17T11:41:00Z</dcterms:created>
  <dcterms:modified xsi:type="dcterms:W3CDTF">2022-07-31T01:18:00Z</dcterms:modified>
</cp:coreProperties>
</file>