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014703" w:rsidRDefault="007B0809" w:rsidP="004F49B5">
      <w:pPr>
        <w:pStyle w:val="AODocTxt"/>
        <w:numPr>
          <w:ilvl w:val="0"/>
          <w:numId w:val="2"/>
        </w:numPr>
        <w:spacing w:before="0" w:line="240" w:lineRule="auto"/>
        <w:ind w:left="426"/>
        <w:rPr>
          <w:rFonts w:ascii="Arial" w:hAnsi="Arial" w:cs="Arial"/>
          <w:highlight w:val="yellow"/>
        </w:rPr>
      </w:pPr>
      <w:r w:rsidRPr="00014703">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014703">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014703" w:rsidRDefault="007B0809" w:rsidP="004F49B5">
      <w:pPr>
        <w:pStyle w:val="AODocTxt"/>
        <w:numPr>
          <w:ilvl w:val="0"/>
          <w:numId w:val="4"/>
        </w:numPr>
        <w:spacing w:before="0" w:line="240" w:lineRule="auto"/>
        <w:ind w:left="426"/>
        <w:rPr>
          <w:rFonts w:ascii="Arial" w:hAnsi="Arial" w:cs="Arial"/>
          <w:highlight w:val="yellow"/>
        </w:rPr>
      </w:pPr>
      <w:r w:rsidRPr="00014703">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014703">
        <w:rPr>
          <w:rFonts w:ascii="Arial" w:hAnsi="Arial" w:cs="Arial"/>
          <w:highlight w:val="yellow"/>
        </w:rPr>
        <w:t>A pre-pack cannot be used if the debtor wishes to reject executory contracts.</w:t>
      </w:r>
      <w:r w:rsidRPr="00E12EC4">
        <w:rPr>
          <w:rFonts w:ascii="Arial" w:hAnsi="Arial" w:cs="Arial"/>
        </w:rPr>
        <w:t xml:space="preserve">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184EA9" w:rsidRDefault="007B0809" w:rsidP="004F49B5">
      <w:pPr>
        <w:pStyle w:val="AODocTxt"/>
        <w:numPr>
          <w:ilvl w:val="0"/>
          <w:numId w:val="6"/>
        </w:numPr>
        <w:spacing w:before="0" w:line="240" w:lineRule="auto"/>
        <w:ind w:left="426"/>
        <w:rPr>
          <w:rFonts w:ascii="Arial" w:hAnsi="Arial" w:cs="Arial"/>
          <w:highlight w:val="yellow"/>
        </w:rPr>
      </w:pPr>
      <w:r w:rsidRPr="00184EA9">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184EA9" w:rsidRDefault="007B0809" w:rsidP="004F49B5">
      <w:pPr>
        <w:pStyle w:val="AODocTxt"/>
        <w:numPr>
          <w:ilvl w:val="0"/>
          <w:numId w:val="7"/>
        </w:numPr>
        <w:spacing w:before="0" w:line="240" w:lineRule="auto"/>
        <w:ind w:left="426"/>
        <w:rPr>
          <w:rFonts w:ascii="Arial" w:hAnsi="Arial" w:cs="Arial"/>
          <w:highlight w:val="yellow"/>
        </w:rPr>
      </w:pPr>
      <w:r w:rsidRPr="00184EA9">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D85862" w:rsidRDefault="007B0809" w:rsidP="004F49B5">
      <w:pPr>
        <w:pStyle w:val="AODocTxt"/>
        <w:numPr>
          <w:ilvl w:val="0"/>
          <w:numId w:val="8"/>
        </w:numPr>
        <w:spacing w:before="0" w:line="240" w:lineRule="auto"/>
        <w:ind w:left="426"/>
        <w:rPr>
          <w:rFonts w:ascii="Arial" w:hAnsi="Arial" w:cs="Arial"/>
          <w:highlight w:val="yellow"/>
        </w:rPr>
      </w:pPr>
      <w:r w:rsidRPr="00D85862">
        <w:rPr>
          <w:rFonts w:ascii="Arial" w:hAnsi="Arial" w:cs="Arial"/>
          <w:highlight w:val="yellow"/>
        </w:rPr>
        <w:t>The automatic stay applies upon the filing of a petition for recognition.</w:t>
      </w:r>
      <w:r w:rsidR="00F92140" w:rsidRPr="00D85862">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D85862" w:rsidRDefault="007B0809" w:rsidP="004F49B5">
      <w:pPr>
        <w:pStyle w:val="AODocTxt"/>
        <w:numPr>
          <w:ilvl w:val="0"/>
          <w:numId w:val="9"/>
        </w:numPr>
        <w:spacing w:before="0" w:line="240" w:lineRule="auto"/>
        <w:ind w:left="426"/>
        <w:rPr>
          <w:rFonts w:ascii="Arial" w:hAnsi="Arial" w:cs="Arial"/>
          <w:highlight w:val="yellow"/>
        </w:rPr>
      </w:pPr>
      <w:r w:rsidRPr="00D85862">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D85862" w:rsidRDefault="007B0809" w:rsidP="004F49B5">
      <w:pPr>
        <w:pStyle w:val="AODocTxt"/>
        <w:numPr>
          <w:ilvl w:val="0"/>
          <w:numId w:val="10"/>
        </w:numPr>
        <w:spacing w:before="0" w:line="240" w:lineRule="auto"/>
        <w:ind w:left="426"/>
        <w:rPr>
          <w:rFonts w:ascii="Arial" w:hAnsi="Arial" w:cs="Arial"/>
          <w:highlight w:val="yellow"/>
        </w:rPr>
      </w:pPr>
      <w:r w:rsidRPr="00D85862">
        <w:rPr>
          <w:rFonts w:ascii="Arial" w:hAnsi="Arial" w:cs="Arial"/>
          <w:highlight w:val="yellow"/>
        </w:rPr>
        <w:t>Both (a) and (b).</w:t>
      </w:r>
    </w:p>
    <w:p w14:paraId="06A0F159" w14:textId="563931A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Pr="007E0443" w:rsidRDefault="007B0809" w:rsidP="004F49B5">
      <w:pPr>
        <w:pStyle w:val="AODocTxt"/>
        <w:numPr>
          <w:ilvl w:val="0"/>
          <w:numId w:val="11"/>
        </w:numPr>
        <w:spacing w:before="0" w:line="240" w:lineRule="auto"/>
        <w:ind w:left="426"/>
        <w:rPr>
          <w:rFonts w:ascii="Arial" w:hAnsi="Arial" w:cs="Arial"/>
        </w:rPr>
      </w:pPr>
      <w:r w:rsidRPr="007E0443">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7E0443" w:rsidRDefault="007B0809" w:rsidP="004F49B5">
      <w:pPr>
        <w:pStyle w:val="AODocTxt"/>
        <w:numPr>
          <w:ilvl w:val="0"/>
          <w:numId w:val="11"/>
        </w:numPr>
        <w:spacing w:before="0" w:line="240" w:lineRule="auto"/>
        <w:ind w:left="426"/>
        <w:rPr>
          <w:rFonts w:ascii="Arial" w:hAnsi="Arial" w:cs="Arial"/>
          <w:highlight w:val="yellow"/>
        </w:rPr>
      </w:pPr>
      <w:r w:rsidRPr="007E0443">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2E495A65" w:rsidR="00E12EC4" w:rsidRPr="007726ED" w:rsidRDefault="007726ED" w:rsidP="007726ED">
      <w:pPr>
        <w:pStyle w:val="ListParagraph"/>
        <w:numPr>
          <w:ilvl w:val="0"/>
          <w:numId w:val="14"/>
        </w:numPr>
        <w:jc w:val="both"/>
        <w:rPr>
          <w:rFonts w:ascii="Arial" w:hAnsi="Arial" w:cs="Arial"/>
          <w:color w:val="7B7B7B" w:themeColor="accent3" w:themeShade="BF"/>
          <w:sz w:val="22"/>
          <w:szCs w:val="22"/>
          <w:lang w:val="en-GB"/>
        </w:rPr>
      </w:pPr>
      <w:r w:rsidRPr="007726ED">
        <w:rPr>
          <w:rFonts w:ascii="Arial" w:hAnsi="Arial" w:cs="Arial"/>
          <w:color w:val="7B7B7B" w:themeColor="accent3" w:themeShade="BF"/>
          <w:sz w:val="22"/>
          <w:szCs w:val="22"/>
          <w:lang w:val="en-GB"/>
        </w:rPr>
        <w:t>A voluntary petition for bankruptcy is filed by the debtor company on their own volition.</w:t>
      </w:r>
    </w:p>
    <w:p w14:paraId="4F1DAF94" w14:textId="40F22D02" w:rsidR="007726ED" w:rsidRPr="007726ED" w:rsidRDefault="007726ED" w:rsidP="007726ED">
      <w:pPr>
        <w:pStyle w:val="ListParagraph"/>
        <w:numPr>
          <w:ilvl w:val="0"/>
          <w:numId w:val="14"/>
        </w:numPr>
        <w:jc w:val="both"/>
        <w:rPr>
          <w:rFonts w:ascii="Arial" w:hAnsi="Arial" w:cs="Arial"/>
          <w:color w:val="7B7B7B" w:themeColor="accent3" w:themeShade="BF"/>
          <w:sz w:val="22"/>
          <w:szCs w:val="22"/>
          <w:lang w:val="en-GB"/>
        </w:rPr>
      </w:pPr>
      <w:r w:rsidRPr="007726ED">
        <w:rPr>
          <w:rFonts w:ascii="Arial" w:hAnsi="Arial" w:cs="Arial"/>
          <w:color w:val="7B7B7B" w:themeColor="accent3" w:themeShade="BF"/>
          <w:sz w:val="22"/>
          <w:szCs w:val="22"/>
          <w:lang w:val="en-GB"/>
        </w:rPr>
        <w:t>An involuntary petition is filed</w:t>
      </w:r>
      <w:r w:rsidR="00162F13">
        <w:rPr>
          <w:rFonts w:ascii="Arial" w:hAnsi="Arial" w:cs="Arial"/>
          <w:color w:val="7B7B7B" w:themeColor="accent3" w:themeShade="BF"/>
          <w:sz w:val="22"/>
          <w:szCs w:val="22"/>
          <w:lang w:val="en-GB"/>
        </w:rPr>
        <w:t xml:space="preserve"> by</w:t>
      </w:r>
      <w:r w:rsidRPr="007726ED">
        <w:rPr>
          <w:rFonts w:ascii="Arial" w:hAnsi="Arial" w:cs="Arial"/>
          <w:color w:val="7B7B7B" w:themeColor="accent3" w:themeShade="BF"/>
          <w:sz w:val="22"/>
          <w:szCs w:val="22"/>
          <w:lang w:val="en-GB"/>
        </w:rPr>
        <w:t xml:space="preserve"> a creditor of a company to have the debtor company wound up without their consent.</w:t>
      </w:r>
    </w:p>
    <w:p w14:paraId="2E3A4ECB" w14:textId="0E2EF581" w:rsidR="007726ED" w:rsidRPr="007726ED" w:rsidRDefault="007726ED" w:rsidP="007726ED">
      <w:pPr>
        <w:pStyle w:val="ListParagraph"/>
        <w:numPr>
          <w:ilvl w:val="0"/>
          <w:numId w:val="14"/>
        </w:numPr>
        <w:jc w:val="both"/>
        <w:rPr>
          <w:rFonts w:ascii="Arial" w:hAnsi="Arial" w:cs="Arial"/>
          <w:color w:val="7B7B7B" w:themeColor="accent3" w:themeShade="BF"/>
          <w:sz w:val="22"/>
          <w:szCs w:val="22"/>
          <w:lang w:val="en-GB"/>
        </w:rPr>
      </w:pPr>
      <w:r w:rsidRPr="007726ED">
        <w:rPr>
          <w:rFonts w:ascii="Arial" w:hAnsi="Arial" w:cs="Arial"/>
          <w:color w:val="7B7B7B" w:themeColor="accent3" w:themeShade="BF"/>
          <w:sz w:val="22"/>
          <w:szCs w:val="22"/>
          <w:lang w:val="en-GB"/>
        </w:rPr>
        <w:t>If a debtor company has 12 or more creditors, at least three of the debtor companies must join the petition to have the company wound up.</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6A0C9567" w:rsidR="00E12EC4" w:rsidRPr="007726ED" w:rsidRDefault="007726ED" w:rsidP="007726ED">
      <w:pPr>
        <w:pStyle w:val="ListParagraph"/>
        <w:numPr>
          <w:ilvl w:val="0"/>
          <w:numId w:val="15"/>
        </w:numPr>
        <w:jc w:val="both"/>
        <w:rPr>
          <w:rFonts w:ascii="Arial" w:hAnsi="Arial" w:cs="Arial"/>
          <w:color w:val="7B7B7B" w:themeColor="accent3" w:themeShade="BF"/>
          <w:sz w:val="22"/>
          <w:szCs w:val="22"/>
          <w:lang w:val="en-GB"/>
        </w:rPr>
      </w:pPr>
      <w:r w:rsidRPr="007726ED">
        <w:rPr>
          <w:rFonts w:ascii="Arial" w:hAnsi="Arial" w:cs="Arial"/>
          <w:color w:val="7B7B7B" w:themeColor="accent3" w:themeShade="BF"/>
          <w:sz w:val="22"/>
          <w:szCs w:val="22"/>
          <w:lang w:val="en-GB"/>
        </w:rPr>
        <w:t>A potential consequence would mean that the stay is void as this action would usually qualify as being in contempt of court.</w:t>
      </w:r>
    </w:p>
    <w:p w14:paraId="7FCC7E42" w14:textId="662210F5" w:rsidR="007726ED" w:rsidRPr="007726ED" w:rsidRDefault="007726ED" w:rsidP="007726ED">
      <w:pPr>
        <w:pStyle w:val="ListParagraph"/>
        <w:numPr>
          <w:ilvl w:val="0"/>
          <w:numId w:val="15"/>
        </w:numPr>
        <w:jc w:val="both"/>
        <w:rPr>
          <w:rFonts w:ascii="Arial" w:hAnsi="Arial" w:cs="Arial"/>
          <w:color w:val="7B7B7B" w:themeColor="accent3" w:themeShade="BF"/>
          <w:sz w:val="22"/>
          <w:szCs w:val="22"/>
          <w:lang w:val="en-GB"/>
        </w:rPr>
      </w:pPr>
      <w:r w:rsidRPr="007726ED">
        <w:rPr>
          <w:rFonts w:ascii="Arial" w:hAnsi="Arial" w:cs="Arial"/>
          <w:color w:val="7B7B7B" w:themeColor="accent3" w:themeShade="BF"/>
          <w:sz w:val="22"/>
          <w:szCs w:val="22"/>
          <w:lang w:val="en-GB"/>
        </w:rPr>
        <w:t xml:space="preserve">Where a court sees that a violator of a stay has not acted promptly to rectify the violation, a daily </w:t>
      </w:r>
      <w:r w:rsidR="00162F13">
        <w:rPr>
          <w:rFonts w:ascii="Arial" w:hAnsi="Arial" w:cs="Arial"/>
          <w:color w:val="7B7B7B" w:themeColor="accent3" w:themeShade="BF"/>
          <w:sz w:val="22"/>
          <w:szCs w:val="22"/>
          <w:lang w:val="en-GB"/>
        </w:rPr>
        <w:t xml:space="preserve">fine </w:t>
      </w:r>
      <w:r w:rsidRPr="007726ED">
        <w:rPr>
          <w:rFonts w:ascii="Arial" w:hAnsi="Arial" w:cs="Arial"/>
          <w:color w:val="7B7B7B" w:themeColor="accent3" w:themeShade="BF"/>
          <w:sz w:val="22"/>
          <w:szCs w:val="22"/>
          <w:lang w:val="en-GB"/>
        </w:rPr>
        <w:t>may</w:t>
      </w:r>
      <w:r w:rsidR="00162F13">
        <w:rPr>
          <w:rFonts w:ascii="Arial" w:hAnsi="Arial" w:cs="Arial"/>
          <w:color w:val="7B7B7B" w:themeColor="accent3" w:themeShade="BF"/>
          <w:sz w:val="22"/>
          <w:szCs w:val="22"/>
          <w:lang w:val="en-GB"/>
        </w:rPr>
        <w:t xml:space="preserve"> be</w:t>
      </w:r>
      <w:r w:rsidRPr="007726ED">
        <w:rPr>
          <w:rFonts w:ascii="Arial" w:hAnsi="Arial" w:cs="Arial"/>
          <w:color w:val="7B7B7B" w:themeColor="accent3" w:themeShade="BF"/>
          <w:sz w:val="22"/>
          <w:szCs w:val="22"/>
          <w:lang w:val="en-GB"/>
        </w:rPr>
        <w:t xml:space="preserve"> imposed on them until the situation has been rectified.</w:t>
      </w:r>
    </w:p>
    <w:p w14:paraId="379EF055" w14:textId="1DF4C630" w:rsidR="007726ED" w:rsidRPr="007726ED" w:rsidRDefault="007726ED" w:rsidP="007726ED">
      <w:pPr>
        <w:pStyle w:val="ListParagraph"/>
        <w:numPr>
          <w:ilvl w:val="0"/>
          <w:numId w:val="15"/>
        </w:numPr>
        <w:jc w:val="both"/>
        <w:rPr>
          <w:rFonts w:ascii="Arial" w:hAnsi="Arial" w:cs="Arial"/>
          <w:color w:val="7B7B7B" w:themeColor="accent3" w:themeShade="BF"/>
          <w:sz w:val="22"/>
          <w:szCs w:val="22"/>
          <w:lang w:val="en-GB"/>
        </w:rPr>
      </w:pPr>
      <w:r w:rsidRPr="007726ED">
        <w:rPr>
          <w:rFonts w:ascii="Arial" w:hAnsi="Arial" w:cs="Arial"/>
          <w:color w:val="7B7B7B" w:themeColor="accent3" w:themeShade="BF"/>
          <w:sz w:val="22"/>
          <w:szCs w:val="22"/>
          <w:lang w:val="en-GB"/>
        </w:rPr>
        <w:t>Failure of a violator to obtain relief from the stay may result in other contempt sanctions which could include payment of the debtors attorneys fees.</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0E58133A" w14:textId="274DF4DC" w:rsidR="00323167" w:rsidRPr="0070788F" w:rsidRDefault="003758F9" w:rsidP="003758F9">
      <w:pPr>
        <w:pStyle w:val="AODocTxt"/>
        <w:numPr>
          <w:ilvl w:val="0"/>
          <w:numId w:val="16"/>
        </w:numPr>
        <w:spacing w:before="0" w:line="240" w:lineRule="auto"/>
        <w:rPr>
          <w:rFonts w:ascii="Arial" w:eastAsia="Times New Roman" w:hAnsi="Arial" w:cs="Arial"/>
          <w:color w:val="7B7B7B" w:themeColor="accent3" w:themeShade="BF"/>
          <w:lang w:val="en-GB"/>
        </w:rPr>
      </w:pPr>
      <w:r w:rsidRPr="0070788F">
        <w:rPr>
          <w:rFonts w:ascii="Arial" w:eastAsia="Times New Roman" w:hAnsi="Arial" w:cs="Arial"/>
          <w:color w:val="7B7B7B" w:themeColor="accent3" w:themeShade="BF"/>
          <w:lang w:val="en-GB"/>
        </w:rPr>
        <w:t>A claim is impaired if it leaves the creditors claim altered either by value, or altering their legal or contractual rights to their claim.</w:t>
      </w:r>
    </w:p>
    <w:p w14:paraId="5660A68A" w14:textId="35C4DE6C" w:rsidR="003758F9" w:rsidRPr="0070788F" w:rsidRDefault="003758F9" w:rsidP="003758F9">
      <w:pPr>
        <w:pStyle w:val="AODocTxt"/>
        <w:numPr>
          <w:ilvl w:val="0"/>
          <w:numId w:val="16"/>
        </w:numPr>
        <w:spacing w:before="0" w:line="240" w:lineRule="auto"/>
        <w:rPr>
          <w:rFonts w:ascii="Arial" w:eastAsia="Times New Roman" w:hAnsi="Arial" w:cs="Arial"/>
          <w:color w:val="7B7B7B" w:themeColor="accent3" w:themeShade="BF"/>
          <w:lang w:val="en-GB"/>
        </w:rPr>
      </w:pPr>
      <w:r w:rsidRPr="0070788F">
        <w:rPr>
          <w:rFonts w:ascii="Arial" w:eastAsia="Times New Roman" w:hAnsi="Arial" w:cs="Arial"/>
          <w:color w:val="7B7B7B" w:themeColor="accent3" w:themeShade="BF"/>
          <w:lang w:val="en-GB"/>
        </w:rPr>
        <w:t>A delayed payment of a claim in full would also be deemed as an impaired claim.</w:t>
      </w:r>
    </w:p>
    <w:p w14:paraId="5C959958" w14:textId="006452B5" w:rsidR="003758F9" w:rsidRPr="0070788F" w:rsidRDefault="003758F9" w:rsidP="003758F9">
      <w:pPr>
        <w:pStyle w:val="AODocTxt"/>
        <w:numPr>
          <w:ilvl w:val="0"/>
          <w:numId w:val="16"/>
        </w:numPr>
        <w:spacing w:before="0" w:line="240" w:lineRule="auto"/>
        <w:rPr>
          <w:rFonts w:ascii="Arial" w:eastAsia="Times New Roman" w:hAnsi="Arial" w:cs="Arial"/>
          <w:color w:val="7B7B7B" w:themeColor="accent3" w:themeShade="BF"/>
          <w:lang w:val="en-GB"/>
        </w:rPr>
      </w:pPr>
      <w:r w:rsidRPr="0070788F">
        <w:rPr>
          <w:rFonts w:ascii="Arial" w:eastAsia="Times New Roman" w:hAnsi="Arial" w:cs="Arial"/>
          <w:color w:val="7B7B7B" w:themeColor="accent3" w:themeShade="BF"/>
          <w:lang w:val="en-GB"/>
        </w:rPr>
        <w:t>As a general rule, only creditors holding an impaired claim are entitled to vote on a proposed plan or restructuring.</w:t>
      </w:r>
    </w:p>
    <w:p w14:paraId="23C58A5A" w14:textId="72212D4D" w:rsidR="003758F9" w:rsidRPr="0070788F" w:rsidRDefault="003758F9" w:rsidP="003758F9">
      <w:pPr>
        <w:pStyle w:val="AODocTxt"/>
        <w:numPr>
          <w:ilvl w:val="0"/>
          <w:numId w:val="16"/>
        </w:numPr>
        <w:spacing w:before="0" w:line="240" w:lineRule="auto"/>
        <w:rPr>
          <w:rFonts w:ascii="Arial" w:eastAsia="Times New Roman" w:hAnsi="Arial" w:cs="Arial"/>
          <w:color w:val="7B7B7B" w:themeColor="accent3" w:themeShade="BF"/>
          <w:lang w:val="en-GB"/>
        </w:rPr>
      </w:pPr>
      <w:r w:rsidRPr="0070788F">
        <w:rPr>
          <w:rFonts w:ascii="Arial" w:eastAsia="Times New Roman" w:hAnsi="Arial" w:cs="Arial"/>
          <w:color w:val="7B7B7B" w:themeColor="accent3" w:themeShade="BF"/>
          <w:lang w:val="en-GB"/>
        </w:rPr>
        <w:lastRenderedPageBreak/>
        <w:t xml:space="preserve">It is </w:t>
      </w:r>
      <w:r w:rsidR="00162F13">
        <w:rPr>
          <w:rFonts w:ascii="Arial" w:eastAsia="Times New Roman" w:hAnsi="Arial" w:cs="Arial"/>
          <w:color w:val="7B7B7B" w:themeColor="accent3" w:themeShade="BF"/>
          <w:lang w:val="en-GB"/>
        </w:rPr>
        <w:t>with</w:t>
      </w:r>
      <w:r w:rsidRPr="0070788F">
        <w:rPr>
          <w:rFonts w:ascii="Arial" w:eastAsia="Times New Roman" w:hAnsi="Arial" w:cs="Arial"/>
          <w:color w:val="7B7B7B" w:themeColor="accent3" w:themeShade="BF"/>
          <w:lang w:val="en-GB"/>
        </w:rPr>
        <w:t>in the remit of the courts to decide that some classes of creditors are unimpaired. If this decision is made, these claims would not be entitled to a vote.</w:t>
      </w:r>
    </w:p>
    <w:p w14:paraId="2307A6AD" w14:textId="1152210C" w:rsidR="003758F9" w:rsidRPr="0070788F" w:rsidRDefault="003758F9" w:rsidP="003758F9">
      <w:pPr>
        <w:pStyle w:val="AODocTxt"/>
        <w:numPr>
          <w:ilvl w:val="0"/>
          <w:numId w:val="16"/>
        </w:numPr>
        <w:spacing w:before="0" w:line="240" w:lineRule="auto"/>
        <w:rPr>
          <w:rFonts w:ascii="Arial" w:eastAsia="Times New Roman" w:hAnsi="Arial" w:cs="Arial"/>
          <w:color w:val="7B7B7B" w:themeColor="accent3" w:themeShade="BF"/>
          <w:lang w:val="en-GB"/>
        </w:rPr>
      </w:pPr>
      <w:r w:rsidRPr="0070788F">
        <w:rPr>
          <w:rFonts w:ascii="Arial" w:eastAsia="Times New Roman" w:hAnsi="Arial" w:cs="Arial"/>
          <w:color w:val="7B7B7B" w:themeColor="accent3" w:themeShade="BF"/>
          <w:lang w:val="en-GB"/>
        </w:rPr>
        <w:t>An impaired claim is also not entitled to vote if they are considered to be an insider of the company. This vote will not be considered when evaluating the votes of each class of creditor in a restructuring.</w:t>
      </w:r>
    </w:p>
    <w:p w14:paraId="16CA9291" w14:textId="2A3A8B43" w:rsidR="0070788F" w:rsidRPr="0070788F" w:rsidRDefault="0070788F" w:rsidP="003758F9">
      <w:pPr>
        <w:pStyle w:val="AODocTxt"/>
        <w:numPr>
          <w:ilvl w:val="0"/>
          <w:numId w:val="16"/>
        </w:numPr>
        <w:spacing w:before="0" w:line="240" w:lineRule="auto"/>
        <w:rPr>
          <w:rFonts w:ascii="Arial" w:eastAsia="Times New Roman" w:hAnsi="Arial" w:cs="Arial"/>
          <w:color w:val="7B7B7B" w:themeColor="accent3" w:themeShade="BF"/>
          <w:lang w:val="en-GB"/>
        </w:rPr>
      </w:pPr>
      <w:r w:rsidRPr="0070788F">
        <w:rPr>
          <w:rFonts w:ascii="Arial" w:eastAsia="Times New Roman" w:hAnsi="Arial" w:cs="Arial"/>
          <w:color w:val="7B7B7B" w:themeColor="accent3" w:themeShade="BF"/>
          <w:lang w:val="en-GB"/>
        </w:rPr>
        <w:t>In this instance, if a proposed plan is approved and the dissenting creditor was not entitled to vote, their vote is crammed down and the plan may still be approved by the court, subject to the approval of one class of creditor in the estate.</w:t>
      </w:r>
    </w:p>
    <w:p w14:paraId="48DE7D92" w14:textId="77777777" w:rsidR="003758F9" w:rsidRDefault="003758F9"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5CDAAB71" w:rsidR="00E12EC4" w:rsidRPr="0070788F" w:rsidRDefault="0070788F" w:rsidP="0070788F">
      <w:pPr>
        <w:pStyle w:val="ListParagraph"/>
        <w:numPr>
          <w:ilvl w:val="0"/>
          <w:numId w:val="17"/>
        </w:numPr>
        <w:jc w:val="both"/>
        <w:rPr>
          <w:rFonts w:ascii="Arial" w:hAnsi="Arial" w:cs="Arial"/>
          <w:color w:val="7B7B7B" w:themeColor="accent3" w:themeShade="BF"/>
          <w:sz w:val="22"/>
          <w:szCs w:val="22"/>
          <w:lang w:val="en-GB"/>
        </w:rPr>
      </w:pPr>
      <w:r w:rsidRPr="0070788F">
        <w:rPr>
          <w:rFonts w:ascii="Arial" w:hAnsi="Arial" w:cs="Arial"/>
          <w:color w:val="7B7B7B" w:themeColor="accent3" w:themeShade="BF"/>
          <w:sz w:val="22"/>
          <w:szCs w:val="22"/>
          <w:lang w:val="en-GB"/>
        </w:rPr>
        <w:t>For transfer made on account of antecedent debt before such transfer was made, the transaction should be reversed and the proceeds returned to the debtor estate. The party would be entitled to an unsecured claim in the estate, following the reversal of the transaction.</w:t>
      </w:r>
    </w:p>
    <w:p w14:paraId="23EDCF1A" w14:textId="4E9C1379" w:rsidR="00E12EC4" w:rsidRDefault="00E12EC4" w:rsidP="0070788F">
      <w:pPr>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65046A3D"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2F49F845" w14:textId="77777777" w:rsidR="00A94AC7" w:rsidRDefault="00A94AC7" w:rsidP="00A94AC7">
      <w:pPr>
        <w:pStyle w:val="AODocTxt"/>
        <w:spacing w:before="0" w:line="240" w:lineRule="auto"/>
        <w:ind w:left="426"/>
        <w:rPr>
          <w:rFonts w:ascii="Arial" w:hAnsi="Arial" w:cs="Arial"/>
        </w:rPr>
      </w:pPr>
    </w:p>
    <w:p w14:paraId="4D72C26B" w14:textId="77777777" w:rsidR="00DC359F" w:rsidRPr="00DC359F" w:rsidRDefault="00DC359F" w:rsidP="00DC359F">
      <w:pPr>
        <w:pStyle w:val="AODocTxt"/>
        <w:spacing w:before="0" w:line="240" w:lineRule="auto"/>
        <w:rPr>
          <w:rFonts w:ascii="Arial" w:hAnsi="Arial" w:cs="Arial"/>
        </w:rPr>
      </w:pPr>
    </w:p>
    <w:p w14:paraId="267C8555" w14:textId="5F7AD6C1" w:rsidR="005B2A9B" w:rsidRPr="006D0218" w:rsidRDefault="00A94AC7" w:rsidP="006D0218">
      <w:pPr>
        <w:pStyle w:val="ListParagraph"/>
        <w:numPr>
          <w:ilvl w:val="0"/>
          <w:numId w:val="17"/>
        </w:numPr>
        <w:jc w:val="both"/>
        <w:rPr>
          <w:rFonts w:ascii="Arial" w:hAnsi="Arial" w:cs="Arial"/>
          <w:color w:val="7B7B7B" w:themeColor="accent3" w:themeShade="BF"/>
          <w:sz w:val="22"/>
          <w:szCs w:val="22"/>
          <w:lang w:val="en-GB"/>
        </w:rPr>
      </w:pPr>
      <w:r w:rsidRPr="006D0218">
        <w:rPr>
          <w:rFonts w:ascii="Arial" w:hAnsi="Arial" w:cs="Arial"/>
          <w:color w:val="7B7B7B" w:themeColor="accent3" w:themeShade="BF"/>
          <w:sz w:val="22"/>
          <w:szCs w:val="22"/>
          <w:lang w:val="en-GB"/>
        </w:rPr>
        <w:t xml:space="preserve">A transfer must be reversed if the transfer deemed to be a preference transfer was made in the 90 days prior to the </w:t>
      </w:r>
      <w:r w:rsidR="00B254F5" w:rsidRPr="006D0218">
        <w:rPr>
          <w:rFonts w:ascii="Arial" w:hAnsi="Arial" w:cs="Arial"/>
          <w:color w:val="7B7B7B" w:themeColor="accent3" w:themeShade="BF"/>
          <w:sz w:val="22"/>
          <w:szCs w:val="22"/>
          <w:lang w:val="en-GB"/>
        </w:rPr>
        <w:t>petition</w:t>
      </w:r>
      <w:r w:rsidRPr="006D0218">
        <w:rPr>
          <w:rFonts w:ascii="Arial" w:hAnsi="Arial" w:cs="Arial"/>
          <w:color w:val="7B7B7B" w:themeColor="accent3" w:themeShade="BF"/>
          <w:sz w:val="22"/>
          <w:szCs w:val="22"/>
          <w:lang w:val="en-GB"/>
        </w:rPr>
        <w:t xml:space="preserve"> date</w:t>
      </w:r>
      <w:r w:rsidR="006D0218" w:rsidRPr="006D0218">
        <w:rPr>
          <w:rFonts w:ascii="Arial" w:hAnsi="Arial" w:cs="Arial"/>
          <w:color w:val="7B7B7B" w:themeColor="accent3" w:themeShade="BF"/>
          <w:sz w:val="22"/>
          <w:szCs w:val="22"/>
          <w:lang w:val="en-GB"/>
        </w:rPr>
        <w:t>.  A creditor may present evidence to rebut this claim and the burden of proof will then be on the trustee/debtor to prove insolvency on the date of the transfer.</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1BBDFB42" w:rsidR="005B2A9B" w:rsidRDefault="006D0218" w:rsidP="00BE3244">
      <w:pPr>
        <w:pStyle w:val="ListParagraph"/>
        <w:numPr>
          <w:ilvl w:val="0"/>
          <w:numId w:val="17"/>
        </w:numPr>
        <w:jc w:val="both"/>
        <w:rPr>
          <w:rFonts w:ascii="Arial" w:hAnsi="Arial" w:cs="Arial"/>
          <w:color w:val="7B7B7B" w:themeColor="accent3" w:themeShade="BF"/>
          <w:sz w:val="22"/>
          <w:szCs w:val="22"/>
          <w:lang w:val="en-GB"/>
        </w:rPr>
      </w:pPr>
      <w:r w:rsidRPr="00BE3244">
        <w:rPr>
          <w:rFonts w:ascii="Arial" w:hAnsi="Arial" w:cs="Arial"/>
          <w:color w:val="7B7B7B" w:themeColor="accent3" w:themeShade="BF"/>
          <w:sz w:val="22"/>
          <w:szCs w:val="22"/>
          <w:lang w:val="en-GB"/>
        </w:rPr>
        <w:t>If a debtor is proven to have intended to frustrate creditors recoveries and payments relate to the ordinary course of business</w:t>
      </w:r>
      <w:r w:rsidR="00BE3244" w:rsidRPr="00BE3244">
        <w:rPr>
          <w:rFonts w:ascii="Arial" w:hAnsi="Arial" w:cs="Arial"/>
          <w:color w:val="7B7B7B" w:themeColor="accent3" w:themeShade="BF"/>
          <w:sz w:val="22"/>
          <w:szCs w:val="22"/>
          <w:lang w:val="en-GB"/>
        </w:rPr>
        <w:t>, the debtor would be become indebted to the creditor and the creditor could seek a money judgement. This would constitute an actual fraudulent conveyance.</w:t>
      </w:r>
    </w:p>
    <w:p w14:paraId="625CE53F" w14:textId="4502F28E" w:rsidR="00BA4FF1" w:rsidRPr="00BE3244" w:rsidRDefault="00BA4FF1" w:rsidP="00BE3244">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stay on proceedings would also be lifted for the creditor to pursue the debtor for loss of funds.</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3EED509B" w:rsidR="005B2A9B" w:rsidRPr="00BE3244" w:rsidRDefault="00BE3244" w:rsidP="00BE3244">
      <w:pPr>
        <w:pStyle w:val="ListParagraph"/>
        <w:numPr>
          <w:ilvl w:val="0"/>
          <w:numId w:val="17"/>
        </w:numPr>
        <w:jc w:val="both"/>
        <w:rPr>
          <w:rFonts w:ascii="Arial" w:hAnsi="Arial" w:cs="Arial"/>
          <w:color w:val="7B7B7B" w:themeColor="accent3" w:themeShade="BF"/>
          <w:sz w:val="22"/>
          <w:szCs w:val="22"/>
          <w:lang w:val="en-GB"/>
        </w:rPr>
      </w:pPr>
      <w:r w:rsidRPr="00BE3244">
        <w:rPr>
          <w:rFonts w:ascii="Arial" w:hAnsi="Arial" w:cs="Arial"/>
          <w:color w:val="7B7B7B" w:themeColor="accent3" w:themeShade="BF"/>
          <w:sz w:val="22"/>
          <w:szCs w:val="22"/>
          <w:lang w:val="en-GB"/>
        </w:rPr>
        <w:t>It changed the court’s jurisdiction to issue final orders where the order is deemed to invade Article III Jurisdiction.</w:t>
      </w:r>
    </w:p>
    <w:p w14:paraId="27685B71" w14:textId="23B4EE60" w:rsidR="00BE3244" w:rsidRDefault="00BE3244" w:rsidP="00BE3244">
      <w:pPr>
        <w:pStyle w:val="ListParagraph"/>
        <w:numPr>
          <w:ilvl w:val="0"/>
          <w:numId w:val="17"/>
        </w:numPr>
        <w:jc w:val="both"/>
        <w:rPr>
          <w:rFonts w:ascii="Arial" w:hAnsi="Arial" w:cs="Arial"/>
          <w:color w:val="7B7B7B" w:themeColor="accent3" w:themeShade="BF"/>
          <w:sz w:val="22"/>
          <w:szCs w:val="22"/>
          <w:lang w:val="en-GB"/>
        </w:rPr>
      </w:pPr>
      <w:r w:rsidRPr="00BE3244">
        <w:rPr>
          <w:rFonts w:ascii="Arial" w:hAnsi="Arial" w:cs="Arial"/>
          <w:color w:val="7B7B7B" w:themeColor="accent3" w:themeShade="BF"/>
          <w:sz w:val="22"/>
          <w:szCs w:val="22"/>
          <w:lang w:val="en-GB"/>
        </w:rPr>
        <w:lastRenderedPageBreak/>
        <w:t>The U</w:t>
      </w:r>
      <w:r w:rsidR="00B254F5">
        <w:rPr>
          <w:rFonts w:ascii="Arial" w:hAnsi="Arial" w:cs="Arial"/>
          <w:color w:val="7B7B7B" w:themeColor="accent3" w:themeShade="BF"/>
          <w:sz w:val="22"/>
          <w:szCs w:val="22"/>
          <w:lang w:val="en-GB"/>
        </w:rPr>
        <w:t>.</w:t>
      </w:r>
      <w:r w:rsidRPr="00BE3244">
        <w:rPr>
          <w:rFonts w:ascii="Arial" w:hAnsi="Arial" w:cs="Arial"/>
          <w:color w:val="7B7B7B" w:themeColor="accent3" w:themeShade="BF"/>
          <w:sz w:val="22"/>
          <w:szCs w:val="22"/>
          <w:lang w:val="en-GB"/>
        </w:rPr>
        <w:t>S</w:t>
      </w:r>
      <w:r w:rsidR="00B254F5">
        <w:rPr>
          <w:rFonts w:ascii="Arial" w:hAnsi="Arial" w:cs="Arial"/>
          <w:color w:val="7B7B7B" w:themeColor="accent3" w:themeShade="BF"/>
          <w:sz w:val="22"/>
          <w:szCs w:val="22"/>
          <w:lang w:val="en-GB"/>
        </w:rPr>
        <w:t>.</w:t>
      </w:r>
      <w:r w:rsidRPr="00BE3244">
        <w:rPr>
          <w:rFonts w:ascii="Arial" w:hAnsi="Arial" w:cs="Arial"/>
          <w:color w:val="7B7B7B" w:themeColor="accent3" w:themeShade="BF"/>
          <w:sz w:val="22"/>
          <w:szCs w:val="22"/>
          <w:lang w:val="en-GB"/>
        </w:rPr>
        <w:t xml:space="preserve"> Supreme C</w:t>
      </w:r>
      <w:r>
        <w:rPr>
          <w:rFonts w:ascii="Arial" w:hAnsi="Arial" w:cs="Arial"/>
          <w:color w:val="7B7B7B" w:themeColor="accent3" w:themeShade="BF"/>
          <w:sz w:val="22"/>
          <w:szCs w:val="22"/>
          <w:lang w:val="en-GB"/>
        </w:rPr>
        <w:t>ourt asserted that a</w:t>
      </w:r>
      <w:r w:rsidRPr="00BE3244">
        <w:rPr>
          <w:rFonts w:ascii="Arial" w:hAnsi="Arial" w:cs="Arial"/>
          <w:color w:val="7B7B7B" w:themeColor="accent3" w:themeShade="BF"/>
          <w:sz w:val="22"/>
          <w:szCs w:val="22"/>
          <w:lang w:val="en-GB"/>
        </w:rPr>
        <w:t xml:space="preserve"> bankruptcy court judgement</w:t>
      </w:r>
      <w:r>
        <w:rPr>
          <w:rFonts w:ascii="Arial" w:hAnsi="Arial" w:cs="Arial"/>
          <w:color w:val="7B7B7B" w:themeColor="accent3" w:themeShade="BF"/>
          <w:sz w:val="22"/>
          <w:szCs w:val="22"/>
          <w:lang w:val="en-GB"/>
        </w:rPr>
        <w:t>,</w:t>
      </w:r>
      <w:r w:rsidRPr="00BE3244">
        <w:rPr>
          <w:rFonts w:ascii="Arial" w:hAnsi="Arial" w:cs="Arial"/>
          <w:color w:val="7B7B7B" w:themeColor="accent3" w:themeShade="BF"/>
          <w:sz w:val="22"/>
          <w:szCs w:val="22"/>
          <w:lang w:val="en-GB"/>
        </w:rPr>
        <w:t xml:space="preserve"> in issuing a final order over a state law claim was unconstitutional and cannot be upheld.</w:t>
      </w:r>
    </w:p>
    <w:p w14:paraId="367793A7" w14:textId="045F42D3" w:rsidR="00BE3244" w:rsidRPr="00BE3244" w:rsidRDefault="00BE3244" w:rsidP="00C908E2">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parallel proceedings with the state court and the bankruptcy court, it was deeme</w:t>
      </w:r>
      <w:r w:rsidR="00C908E2">
        <w:rPr>
          <w:rFonts w:ascii="Arial" w:hAnsi="Arial" w:cs="Arial"/>
          <w:color w:val="7B7B7B" w:themeColor="accent3" w:themeShade="BF"/>
          <w:sz w:val="22"/>
          <w:szCs w:val="22"/>
          <w:lang w:val="en-GB"/>
        </w:rPr>
        <w:t>d that the state court decision</w:t>
      </w:r>
      <w:r>
        <w:rPr>
          <w:rFonts w:ascii="Arial" w:hAnsi="Arial" w:cs="Arial"/>
          <w:color w:val="7B7B7B" w:themeColor="accent3" w:themeShade="BF"/>
          <w:sz w:val="22"/>
          <w:szCs w:val="22"/>
          <w:lang w:val="en-GB"/>
        </w:rPr>
        <w:t xml:space="preserve"> had the authority to supersede any bankruptcy court decision in the same jurisdiction.</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 xml:space="preserve">What </w:t>
      </w:r>
      <w:r w:rsidRPr="00C63290">
        <w:rPr>
          <w:rFonts w:ascii="Arial" w:hAnsi="Arial" w:cs="Arial"/>
        </w:rPr>
        <w:t>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394517DF" w:rsidR="005B2A9B" w:rsidRPr="007F73DE" w:rsidRDefault="00AF0906" w:rsidP="007F73DE">
      <w:pPr>
        <w:pStyle w:val="ListParagraph"/>
        <w:numPr>
          <w:ilvl w:val="0"/>
          <w:numId w:val="18"/>
        </w:numPr>
        <w:jc w:val="both"/>
        <w:rPr>
          <w:rFonts w:ascii="Arial" w:hAnsi="Arial" w:cs="Arial"/>
          <w:color w:val="7B7B7B" w:themeColor="accent3" w:themeShade="BF"/>
          <w:sz w:val="22"/>
          <w:szCs w:val="22"/>
          <w:lang w:val="en-GB"/>
        </w:rPr>
      </w:pPr>
      <w:r w:rsidRPr="007F73DE">
        <w:rPr>
          <w:rFonts w:ascii="Arial" w:hAnsi="Arial" w:cs="Arial"/>
          <w:color w:val="7B7B7B" w:themeColor="accent3" w:themeShade="BF"/>
          <w:sz w:val="22"/>
          <w:szCs w:val="22"/>
          <w:lang w:val="en-GB"/>
        </w:rPr>
        <w:t xml:space="preserve">Unlike when a petitioner commences proceedings within the U.S., a foreign petitioner does not invoke an automatic stay of creditor action on application. This stay on creditor action </w:t>
      </w:r>
      <w:r w:rsidR="009F326A" w:rsidRPr="007F73DE">
        <w:rPr>
          <w:rFonts w:ascii="Arial" w:hAnsi="Arial" w:cs="Arial"/>
          <w:color w:val="7B7B7B" w:themeColor="accent3" w:themeShade="BF"/>
          <w:sz w:val="22"/>
          <w:szCs w:val="22"/>
          <w:lang w:val="en-GB"/>
        </w:rPr>
        <w:t>may</w:t>
      </w:r>
      <w:r w:rsidRPr="007F73DE">
        <w:rPr>
          <w:rFonts w:ascii="Arial" w:hAnsi="Arial" w:cs="Arial"/>
          <w:color w:val="7B7B7B" w:themeColor="accent3" w:themeShade="BF"/>
          <w:sz w:val="22"/>
          <w:szCs w:val="22"/>
          <w:lang w:val="en-GB"/>
        </w:rPr>
        <w:t xml:space="preserve"> only</w:t>
      </w:r>
      <w:r w:rsidR="009F326A" w:rsidRPr="007F73DE">
        <w:rPr>
          <w:rFonts w:ascii="Arial" w:hAnsi="Arial" w:cs="Arial"/>
          <w:color w:val="7B7B7B" w:themeColor="accent3" w:themeShade="BF"/>
          <w:sz w:val="22"/>
          <w:szCs w:val="22"/>
          <w:lang w:val="en-GB"/>
        </w:rPr>
        <w:t xml:space="preserve"> be</w:t>
      </w:r>
      <w:r w:rsidRPr="007F73DE">
        <w:rPr>
          <w:rFonts w:ascii="Arial" w:hAnsi="Arial" w:cs="Arial"/>
          <w:color w:val="7B7B7B" w:themeColor="accent3" w:themeShade="BF"/>
          <w:sz w:val="22"/>
          <w:szCs w:val="22"/>
          <w:lang w:val="en-GB"/>
        </w:rPr>
        <w:t xml:space="preserve"> invoked upon the application being accepted by the U.S. courts. </w:t>
      </w:r>
    </w:p>
    <w:p w14:paraId="1A5C565A" w14:textId="28FCA9F5" w:rsidR="00AF0906" w:rsidRPr="007F73DE" w:rsidRDefault="00AF0906" w:rsidP="007F73DE">
      <w:pPr>
        <w:pStyle w:val="ListParagraph"/>
        <w:numPr>
          <w:ilvl w:val="0"/>
          <w:numId w:val="18"/>
        </w:numPr>
        <w:jc w:val="both"/>
        <w:rPr>
          <w:rFonts w:ascii="Arial" w:hAnsi="Arial" w:cs="Arial"/>
          <w:color w:val="7B7B7B" w:themeColor="accent3" w:themeShade="BF"/>
          <w:sz w:val="22"/>
          <w:szCs w:val="22"/>
          <w:lang w:val="en-GB"/>
        </w:rPr>
      </w:pPr>
      <w:r w:rsidRPr="007F73DE">
        <w:rPr>
          <w:rFonts w:ascii="Arial" w:hAnsi="Arial" w:cs="Arial"/>
          <w:color w:val="7B7B7B" w:themeColor="accent3" w:themeShade="BF"/>
          <w:sz w:val="22"/>
          <w:szCs w:val="22"/>
          <w:lang w:val="en-GB"/>
        </w:rPr>
        <w:t xml:space="preserve">Even at that, this stay is only limited to the debtor </w:t>
      </w:r>
      <w:r w:rsidR="009F326A" w:rsidRPr="007F73DE">
        <w:rPr>
          <w:rFonts w:ascii="Arial" w:hAnsi="Arial" w:cs="Arial"/>
          <w:color w:val="7B7B7B" w:themeColor="accent3" w:themeShade="BF"/>
          <w:sz w:val="22"/>
          <w:szCs w:val="22"/>
          <w:lang w:val="en-GB"/>
        </w:rPr>
        <w:t>company’s</w:t>
      </w:r>
      <w:r w:rsidRPr="007F73DE">
        <w:rPr>
          <w:rFonts w:ascii="Arial" w:hAnsi="Arial" w:cs="Arial"/>
          <w:color w:val="7B7B7B" w:themeColor="accent3" w:themeShade="BF"/>
          <w:sz w:val="22"/>
          <w:szCs w:val="22"/>
          <w:lang w:val="en-GB"/>
        </w:rPr>
        <w:t xml:space="preserve"> property within the territorial jurisdiction of the U.S.</w:t>
      </w:r>
    </w:p>
    <w:p w14:paraId="6FEB098B" w14:textId="0A245A3E" w:rsidR="009F326A" w:rsidRPr="007F73DE" w:rsidRDefault="009F326A" w:rsidP="007F73DE">
      <w:pPr>
        <w:pStyle w:val="ListParagraph"/>
        <w:numPr>
          <w:ilvl w:val="0"/>
          <w:numId w:val="18"/>
        </w:numPr>
        <w:jc w:val="both"/>
        <w:rPr>
          <w:rFonts w:ascii="Arial" w:hAnsi="Arial" w:cs="Arial"/>
          <w:color w:val="7B7B7B" w:themeColor="accent3" w:themeShade="BF"/>
          <w:sz w:val="22"/>
          <w:szCs w:val="22"/>
          <w:lang w:val="en-GB"/>
        </w:rPr>
      </w:pPr>
      <w:r w:rsidRPr="007F73DE">
        <w:rPr>
          <w:rFonts w:ascii="Arial" w:hAnsi="Arial" w:cs="Arial"/>
          <w:color w:val="7B7B7B" w:themeColor="accent3" w:themeShade="BF"/>
          <w:sz w:val="22"/>
          <w:szCs w:val="22"/>
          <w:lang w:val="en-GB"/>
        </w:rPr>
        <w:t>Chapter 15 also excludes the rights granted to foreign representatives the use of avoidance powers by the Bankruptcy code.</w:t>
      </w:r>
    </w:p>
    <w:p w14:paraId="20A0DE7D" w14:textId="485677C9" w:rsidR="009F326A" w:rsidRPr="007F73DE" w:rsidRDefault="009F326A" w:rsidP="007F73DE">
      <w:pPr>
        <w:pStyle w:val="ListParagraph"/>
        <w:numPr>
          <w:ilvl w:val="0"/>
          <w:numId w:val="18"/>
        </w:numPr>
        <w:jc w:val="both"/>
        <w:rPr>
          <w:rFonts w:ascii="Arial" w:hAnsi="Arial" w:cs="Arial"/>
          <w:color w:val="7B7B7B" w:themeColor="accent3" w:themeShade="BF"/>
          <w:sz w:val="22"/>
          <w:szCs w:val="22"/>
          <w:lang w:val="en-GB"/>
        </w:rPr>
      </w:pPr>
      <w:r w:rsidRPr="007F73DE">
        <w:rPr>
          <w:rFonts w:ascii="Arial" w:hAnsi="Arial" w:cs="Arial"/>
          <w:color w:val="7B7B7B" w:themeColor="accent3" w:themeShade="BF"/>
          <w:sz w:val="22"/>
          <w:szCs w:val="22"/>
          <w:lang w:val="en-GB"/>
        </w:rPr>
        <w:t xml:space="preserve">A foreign representative </w:t>
      </w:r>
      <w:r w:rsidR="007F73DE" w:rsidRPr="007F73DE">
        <w:rPr>
          <w:rFonts w:ascii="Arial" w:hAnsi="Arial" w:cs="Arial"/>
          <w:color w:val="7B7B7B" w:themeColor="accent3" w:themeShade="BF"/>
          <w:sz w:val="22"/>
          <w:szCs w:val="22"/>
          <w:lang w:val="en-GB"/>
        </w:rPr>
        <w:t>attains</w:t>
      </w:r>
      <w:r w:rsidRPr="007F73DE">
        <w:rPr>
          <w:rFonts w:ascii="Arial" w:hAnsi="Arial" w:cs="Arial"/>
          <w:color w:val="7B7B7B" w:themeColor="accent3" w:themeShade="BF"/>
          <w:sz w:val="22"/>
          <w:szCs w:val="22"/>
          <w:lang w:val="en-GB"/>
        </w:rPr>
        <w:t xml:space="preserve"> equivalent relief by commencing a plenary proceeding under Chapter 7 or Chapter 11. </w:t>
      </w:r>
    </w:p>
    <w:p w14:paraId="2FA6A669" w14:textId="4C4F7DFB" w:rsidR="009F326A" w:rsidRPr="007F73DE" w:rsidRDefault="009F326A" w:rsidP="007F73DE">
      <w:pPr>
        <w:pStyle w:val="ListParagraph"/>
        <w:numPr>
          <w:ilvl w:val="0"/>
          <w:numId w:val="18"/>
        </w:numPr>
        <w:jc w:val="both"/>
        <w:rPr>
          <w:rFonts w:ascii="Arial" w:hAnsi="Arial" w:cs="Arial"/>
          <w:color w:val="7B7B7B" w:themeColor="accent3" w:themeShade="BF"/>
          <w:sz w:val="22"/>
          <w:szCs w:val="22"/>
          <w:lang w:val="en-GB"/>
        </w:rPr>
      </w:pPr>
      <w:r w:rsidRPr="007F73DE">
        <w:rPr>
          <w:rFonts w:ascii="Arial" w:hAnsi="Arial" w:cs="Arial"/>
          <w:color w:val="7B7B7B" w:themeColor="accent3" w:themeShade="BF"/>
          <w:sz w:val="22"/>
          <w:szCs w:val="22"/>
          <w:lang w:val="en-GB"/>
        </w:rPr>
        <w:t>This can be commenced either before, or after Chapter 15 recognition has been recognised.</w:t>
      </w:r>
    </w:p>
    <w:p w14:paraId="224EE653" w14:textId="000F5916" w:rsidR="009F326A" w:rsidRPr="007F73DE" w:rsidRDefault="009F326A" w:rsidP="007F73DE">
      <w:pPr>
        <w:pStyle w:val="ListParagraph"/>
        <w:numPr>
          <w:ilvl w:val="0"/>
          <w:numId w:val="18"/>
        </w:numPr>
        <w:jc w:val="both"/>
        <w:rPr>
          <w:rFonts w:ascii="Arial" w:hAnsi="Arial" w:cs="Arial"/>
          <w:color w:val="7B7B7B" w:themeColor="accent3" w:themeShade="BF"/>
          <w:sz w:val="22"/>
          <w:szCs w:val="22"/>
          <w:lang w:val="en-GB"/>
        </w:rPr>
      </w:pPr>
      <w:r w:rsidRPr="007F73DE">
        <w:rPr>
          <w:rFonts w:ascii="Arial" w:hAnsi="Arial" w:cs="Arial"/>
          <w:color w:val="7B7B7B" w:themeColor="accent3" w:themeShade="BF"/>
          <w:sz w:val="22"/>
          <w:szCs w:val="22"/>
          <w:lang w:val="en-GB"/>
        </w:rPr>
        <w:t>A foreign representative may also apply to the court to void preference transactions on a one off basis under section 304 of the Bankruptcy code</w:t>
      </w:r>
      <w:r w:rsidR="007F73DE" w:rsidRPr="007F73DE">
        <w:rPr>
          <w:rFonts w:ascii="Arial" w:hAnsi="Arial" w:cs="Arial"/>
          <w:color w:val="7B7B7B" w:themeColor="accent3" w:themeShade="BF"/>
          <w:sz w:val="22"/>
          <w:szCs w:val="22"/>
          <w:lang w:val="en-GB"/>
        </w:rPr>
        <w:t>, prior to the enactment of chapter 15.</w:t>
      </w:r>
    </w:p>
    <w:p w14:paraId="4844DDA4" w14:textId="05DC7DC8" w:rsidR="00DC359F" w:rsidRDefault="00DC359F" w:rsidP="00323167">
      <w:pPr>
        <w:pStyle w:val="AODocTxt"/>
        <w:spacing w:before="0" w:line="240" w:lineRule="auto"/>
        <w:rPr>
          <w:rFonts w:ascii="Arial" w:hAnsi="Arial" w:cs="Arial"/>
        </w:rPr>
      </w:pPr>
    </w:p>
    <w:p w14:paraId="76D20C70" w14:textId="3DF9596D" w:rsidR="005B2A9B" w:rsidRDefault="005B2A9B" w:rsidP="00323167">
      <w:pPr>
        <w:pStyle w:val="AODocTxt"/>
        <w:spacing w:before="0" w:line="240" w:lineRule="auto"/>
        <w:rPr>
          <w:rFonts w:ascii="Arial" w:hAnsi="Arial" w:cs="Arial"/>
        </w:rPr>
      </w:pPr>
    </w:p>
    <w:p w14:paraId="21E88D0E" w14:textId="77777777" w:rsidR="00472003" w:rsidRPr="00323167" w:rsidRDefault="00472003"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 xml:space="preserve">Describe the differences </w:t>
      </w:r>
      <w:r w:rsidRPr="007F73DE">
        <w:rPr>
          <w:rFonts w:ascii="Arial" w:hAnsi="Arial" w:cs="Arial"/>
        </w:rPr>
        <w:t>between interlocutory and final orders and how an appeal may be taken from each.</w:t>
      </w:r>
      <w:r w:rsidR="00F92140" w:rsidRPr="007F73DE">
        <w:rPr>
          <w:rFonts w:ascii="Arial" w:hAnsi="Arial" w:cs="Arial"/>
        </w:rPr>
        <w:t xml:space="preserve"> </w:t>
      </w:r>
      <w:r w:rsidRPr="007F73DE">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61EA3F29" w14:textId="05FC6D9D" w:rsidR="00DC359F" w:rsidRPr="00C63290" w:rsidRDefault="007F73DE" w:rsidP="007F73DE">
      <w:pPr>
        <w:pStyle w:val="AODocTxt"/>
        <w:numPr>
          <w:ilvl w:val="0"/>
          <w:numId w:val="19"/>
        </w:numPr>
        <w:spacing w:before="0" w:line="240" w:lineRule="auto"/>
        <w:rPr>
          <w:rFonts w:ascii="Arial" w:eastAsia="Times New Roman" w:hAnsi="Arial" w:cs="Arial"/>
          <w:color w:val="7B7B7B" w:themeColor="accent3" w:themeShade="BF"/>
          <w:lang w:val="en-GB"/>
        </w:rPr>
      </w:pPr>
      <w:r w:rsidRPr="00C63290">
        <w:rPr>
          <w:rFonts w:ascii="Arial" w:eastAsia="Times New Roman" w:hAnsi="Arial" w:cs="Arial"/>
          <w:color w:val="7B7B7B" w:themeColor="accent3" w:themeShade="BF"/>
          <w:lang w:val="en-GB"/>
        </w:rPr>
        <w:t>An interlocutory order onl</w:t>
      </w:r>
      <w:r w:rsidR="00B254F5">
        <w:rPr>
          <w:rFonts w:ascii="Arial" w:eastAsia="Times New Roman" w:hAnsi="Arial" w:cs="Arial"/>
          <w:color w:val="7B7B7B" w:themeColor="accent3" w:themeShade="BF"/>
          <w:lang w:val="en-GB"/>
        </w:rPr>
        <w:t>y deals with one aspect, or issue</w:t>
      </w:r>
      <w:r w:rsidRPr="00C63290">
        <w:rPr>
          <w:rFonts w:ascii="Arial" w:eastAsia="Times New Roman" w:hAnsi="Arial" w:cs="Arial"/>
          <w:color w:val="7B7B7B" w:themeColor="accent3" w:themeShade="BF"/>
          <w:lang w:val="en-GB"/>
        </w:rPr>
        <w:t xml:space="preserve"> within a wider </w:t>
      </w:r>
      <w:r w:rsidR="00C63290" w:rsidRPr="00C63290">
        <w:rPr>
          <w:rFonts w:ascii="Arial" w:eastAsia="Times New Roman" w:hAnsi="Arial" w:cs="Arial"/>
          <w:color w:val="7B7B7B" w:themeColor="accent3" w:themeShade="BF"/>
          <w:lang w:val="en-GB"/>
        </w:rPr>
        <w:t xml:space="preserve">dispute, </w:t>
      </w:r>
      <w:r w:rsidRPr="00C63290">
        <w:rPr>
          <w:rFonts w:ascii="Arial" w:eastAsia="Times New Roman" w:hAnsi="Arial" w:cs="Arial"/>
          <w:color w:val="7B7B7B" w:themeColor="accent3" w:themeShade="BF"/>
          <w:lang w:val="en-GB"/>
        </w:rPr>
        <w:t>whereas a final order is all encompassing, meaning the order will dispose of all issues relating to a particular case.</w:t>
      </w:r>
    </w:p>
    <w:p w14:paraId="106BAB4E" w14:textId="6D56CEF6" w:rsidR="007F73DE" w:rsidRPr="00C63290" w:rsidRDefault="007F73DE" w:rsidP="007F73DE">
      <w:pPr>
        <w:pStyle w:val="AODocTxt"/>
        <w:numPr>
          <w:ilvl w:val="0"/>
          <w:numId w:val="19"/>
        </w:numPr>
        <w:spacing w:before="0" w:line="240" w:lineRule="auto"/>
        <w:rPr>
          <w:rFonts w:ascii="Arial" w:eastAsia="Times New Roman" w:hAnsi="Arial" w:cs="Arial"/>
          <w:color w:val="7B7B7B" w:themeColor="accent3" w:themeShade="BF"/>
          <w:lang w:val="en-GB"/>
        </w:rPr>
      </w:pPr>
      <w:r w:rsidRPr="00C63290">
        <w:rPr>
          <w:rFonts w:ascii="Arial" w:eastAsia="Times New Roman" w:hAnsi="Arial" w:cs="Arial"/>
          <w:color w:val="7B7B7B" w:themeColor="accent3" w:themeShade="BF"/>
          <w:lang w:val="en-GB"/>
        </w:rPr>
        <w:t>Final orders may be appealed as is an entities/individuals right to do so under U.S. Law.</w:t>
      </w:r>
    </w:p>
    <w:p w14:paraId="0CF2C541" w14:textId="14684C64" w:rsidR="00C63290" w:rsidRPr="00C63290" w:rsidRDefault="00C63290" w:rsidP="00C63290">
      <w:pPr>
        <w:pStyle w:val="ListParagraph"/>
        <w:numPr>
          <w:ilvl w:val="0"/>
          <w:numId w:val="19"/>
        </w:numPr>
        <w:rPr>
          <w:rFonts w:ascii="Arial" w:hAnsi="Arial" w:cs="Arial"/>
          <w:color w:val="7B7B7B" w:themeColor="accent3" w:themeShade="BF"/>
          <w:sz w:val="22"/>
          <w:szCs w:val="22"/>
          <w:lang w:val="en-GB"/>
        </w:rPr>
      </w:pPr>
      <w:r w:rsidRPr="00C63290">
        <w:rPr>
          <w:rFonts w:ascii="Arial" w:hAnsi="Arial" w:cs="Arial"/>
          <w:color w:val="7B7B7B" w:themeColor="accent3" w:themeShade="BF"/>
          <w:sz w:val="22"/>
          <w:szCs w:val="22"/>
          <w:lang w:val="en-GB"/>
        </w:rPr>
        <w:t>An interlocutory order only be appealed with leave from the appellate court.</w:t>
      </w:r>
    </w:p>
    <w:p w14:paraId="7EBC270F" w14:textId="71BED535" w:rsidR="00C63290" w:rsidRPr="00C63290" w:rsidRDefault="00C63290" w:rsidP="00C63290">
      <w:pPr>
        <w:pStyle w:val="AODocTxt"/>
        <w:numPr>
          <w:ilvl w:val="0"/>
          <w:numId w:val="19"/>
        </w:numPr>
        <w:spacing w:before="0" w:line="240" w:lineRule="auto"/>
        <w:rPr>
          <w:rFonts w:ascii="Arial" w:eastAsia="Times New Roman" w:hAnsi="Arial" w:cs="Arial"/>
          <w:color w:val="7B7B7B" w:themeColor="accent3" w:themeShade="BF"/>
          <w:lang w:val="en-GB"/>
        </w:rPr>
      </w:pPr>
      <w:r w:rsidRPr="00C63290">
        <w:rPr>
          <w:rFonts w:ascii="Arial" w:eastAsia="Times New Roman" w:hAnsi="Arial" w:cs="Arial"/>
          <w:color w:val="7B7B7B" w:themeColor="accent3" w:themeShade="BF"/>
          <w:lang w:val="en-GB"/>
        </w:rPr>
        <w:t xml:space="preserve">In recognizing bankruptcy orders however, as the Supreme Court has acknowledged bankruptcy proceedings as “an aggregation of individual controversies”. Thus, a bankruptcy order in any capacity is deemed to be a final order for the purposes of appeals. </w:t>
      </w:r>
    </w:p>
    <w:p w14:paraId="18A87D05" w14:textId="09F7B3DF" w:rsidR="007F73DE" w:rsidRPr="00C63290" w:rsidRDefault="007F73DE" w:rsidP="00C63290">
      <w:pPr>
        <w:pStyle w:val="AODocTxt"/>
        <w:numPr>
          <w:ilvl w:val="0"/>
          <w:numId w:val="19"/>
        </w:numPr>
        <w:spacing w:before="0" w:line="240" w:lineRule="auto"/>
        <w:rPr>
          <w:rFonts w:ascii="Arial" w:eastAsia="Times New Roman" w:hAnsi="Arial" w:cs="Arial"/>
          <w:color w:val="7B7B7B" w:themeColor="accent3" w:themeShade="BF"/>
          <w:lang w:val="en-GB"/>
        </w:rPr>
      </w:pPr>
      <w:r w:rsidRPr="00C63290">
        <w:rPr>
          <w:rFonts w:ascii="Arial" w:eastAsia="Times New Roman" w:hAnsi="Arial" w:cs="Arial"/>
          <w:color w:val="7B7B7B" w:themeColor="accent3" w:themeShade="BF"/>
          <w:lang w:val="en-GB"/>
        </w:rPr>
        <w:t>Generally it is the district court that hears appeals arising from a bankruptcy court order. It is the district court in which the appellant presides in that hears the appeal.</w:t>
      </w:r>
    </w:p>
    <w:p w14:paraId="57736682" w14:textId="28F8A48F" w:rsidR="007F73DE" w:rsidRPr="00C63290" w:rsidRDefault="007F73DE" w:rsidP="007F73DE">
      <w:pPr>
        <w:pStyle w:val="AODocTxt"/>
        <w:numPr>
          <w:ilvl w:val="0"/>
          <w:numId w:val="19"/>
        </w:numPr>
        <w:spacing w:before="0" w:line="240" w:lineRule="auto"/>
        <w:rPr>
          <w:rFonts w:ascii="Arial" w:eastAsia="Times New Roman" w:hAnsi="Arial" w:cs="Arial"/>
          <w:color w:val="7B7B7B" w:themeColor="accent3" w:themeShade="BF"/>
          <w:lang w:val="en-GB"/>
        </w:rPr>
      </w:pPr>
      <w:r w:rsidRPr="00C63290">
        <w:rPr>
          <w:rFonts w:ascii="Arial" w:eastAsia="Times New Roman" w:hAnsi="Arial" w:cs="Arial"/>
          <w:color w:val="7B7B7B" w:themeColor="accent3" w:themeShade="BF"/>
          <w:lang w:val="en-GB"/>
        </w:rPr>
        <w:t>In certain circuits, appeals may also be heard by a bankruptcy Appellate Panel.</w:t>
      </w:r>
    </w:p>
    <w:p w14:paraId="3106E6AF" w14:textId="77777777" w:rsidR="007F73DE" w:rsidRPr="00C63290" w:rsidRDefault="007F73DE" w:rsidP="007F73DE">
      <w:pPr>
        <w:pStyle w:val="AODocTxt"/>
        <w:spacing w:before="0" w:line="240" w:lineRule="auto"/>
        <w:ind w:left="720"/>
        <w:rPr>
          <w:rFonts w:ascii="Arial" w:eastAsia="Times New Roman" w:hAnsi="Arial" w:cs="Arial"/>
          <w:color w:val="7B7B7B" w:themeColor="accent3" w:themeShade="BF"/>
          <w:lang w:val="en-GB"/>
        </w:rPr>
      </w:pPr>
    </w:p>
    <w:p w14:paraId="38689C9D" w14:textId="046C8D7C" w:rsidR="007F73DE" w:rsidRDefault="007F73DE" w:rsidP="00323167">
      <w:pPr>
        <w:pStyle w:val="AODocTxt"/>
        <w:spacing w:before="0" w:line="240" w:lineRule="auto"/>
        <w:rPr>
          <w:rFonts w:ascii="Arial" w:hAnsi="Arial" w:cs="Arial"/>
        </w:rPr>
      </w:pPr>
    </w:p>
    <w:p w14:paraId="14D04922" w14:textId="789E6DB3" w:rsidR="005B2A9B" w:rsidRDefault="005B2A9B" w:rsidP="00323167">
      <w:pPr>
        <w:pStyle w:val="AODocTxt"/>
        <w:spacing w:before="0" w:line="240" w:lineRule="auto"/>
        <w:rPr>
          <w:rFonts w:ascii="Arial" w:hAnsi="Arial" w:cs="Arial"/>
        </w:rPr>
      </w:pPr>
    </w:p>
    <w:p w14:paraId="70E36329" w14:textId="753C3654" w:rsidR="00C63290" w:rsidRDefault="00C63290" w:rsidP="00323167">
      <w:pPr>
        <w:pStyle w:val="AODocTxt"/>
        <w:spacing w:before="0" w:line="240" w:lineRule="auto"/>
        <w:rPr>
          <w:rFonts w:ascii="Arial" w:hAnsi="Arial" w:cs="Arial"/>
        </w:rPr>
      </w:pPr>
    </w:p>
    <w:p w14:paraId="21FD279C" w14:textId="2D9145E7" w:rsidR="00C63290" w:rsidRDefault="00C63290" w:rsidP="00323167">
      <w:pPr>
        <w:pStyle w:val="AODocTxt"/>
        <w:spacing w:before="0" w:line="240" w:lineRule="auto"/>
        <w:rPr>
          <w:rFonts w:ascii="Arial" w:hAnsi="Arial" w:cs="Arial"/>
        </w:rPr>
      </w:pPr>
    </w:p>
    <w:p w14:paraId="393377D3" w14:textId="71E7F3DE" w:rsidR="00C63290" w:rsidRDefault="00C63290" w:rsidP="00323167">
      <w:pPr>
        <w:pStyle w:val="AODocTxt"/>
        <w:spacing w:before="0" w:line="240" w:lineRule="auto"/>
        <w:rPr>
          <w:rFonts w:ascii="Arial" w:hAnsi="Arial" w:cs="Arial"/>
        </w:rPr>
      </w:pPr>
    </w:p>
    <w:p w14:paraId="6A837632" w14:textId="77777777" w:rsidR="00C63290" w:rsidRPr="00323167" w:rsidRDefault="00C63290"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w:t>
      </w:r>
      <w:r w:rsidRPr="00F469E7">
        <w:rPr>
          <w:rFonts w:ascii="Arial" w:hAnsi="Arial" w:cs="Arial"/>
        </w:rPr>
        <w:t>t fiduciary duties do directors of Delaware corporations owe an</w:t>
      </w:r>
      <w:r w:rsidRPr="00323167">
        <w:rPr>
          <w:rFonts w:ascii="Arial" w:hAnsi="Arial" w:cs="Arial"/>
        </w:rPr>
        <w:t xml:space="preserve">d </w:t>
      </w:r>
      <w:r w:rsidRPr="00F469E7">
        <w:rPr>
          <w:rFonts w:ascii="Arial" w:hAnsi="Arial" w:cs="Arial"/>
        </w:rPr>
        <w:t xml:space="preserve">to whom are the duties owed in the ordinary </w:t>
      </w:r>
      <w:r w:rsidRPr="001825AA">
        <w:rPr>
          <w:rFonts w:ascii="Arial" w:hAnsi="Arial" w:cs="Arial"/>
        </w:rPr>
        <w:t>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370DFBF8" w:rsidR="005B2A9B" w:rsidRPr="00F469E7" w:rsidRDefault="00C63290" w:rsidP="00F469E7">
      <w:pPr>
        <w:pStyle w:val="ListParagraph"/>
        <w:numPr>
          <w:ilvl w:val="0"/>
          <w:numId w:val="20"/>
        </w:numPr>
        <w:jc w:val="both"/>
        <w:rPr>
          <w:rFonts w:ascii="Arial" w:hAnsi="Arial" w:cs="Arial"/>
          <w:color w:val="7B7B7B" w:themeColor="accent3" w:themeShade="BF"/>
          <w:sz w:val="22"/>
          <w:szCs w:val="22"/>
          <w:lang w:val="en-GB"/>
        </w:rPr>
      </w:pPr>
      <w:r w:rsidRPr="00F469E7">
        <w:rPr>
          <w:rFonts w:ascii="Arial" w:hAnsi="Arial" w:cs="Arial"/>
          <w:color w:val="7B7B7B" w:themeColor="accent3" w:themeShade="BF"/>
          <w:sz w:val="22"/>
          <w:szCs w:val="22"/>
          <w:lang w:val="en-GB"/>
        </w:rPr>
        <w:t xml:space="preserve">Directors have a fiduciary duty to act at all times in a corporation’s best interest. </w:t>
      </w:r>
    </w:p>
    <w:p w14:paraId="0C7BD869" w14:textId="53182268" w:rsidR="00F469E7" w:rsidRDefault="00C63290" w:rsidP="00F469E7">
      <w:pPr>
        <w:pStyle w:val="ListParagraph"/>
        <w:numPr>
          <w:ilvl w:val="0"/>
          <w:numId w:val="20"/>
        </w:numPr>
        <w:jc w:val="both"/>
        <w:rPr>
          <w:rFonts w:ascii="Arial" w:hAnsi="Arial" w:cs="Arial"/>
          <w:color w:val="7B7B7B" w:themeColor="accent3" w:themeShade="BF"/>
          <w:sz w:val="22"/>
          <w:szCs w:val="22"/>
          <w:lang w:val="en-GB"/>
        </w:rPr>
      </w:pPr>
      <w:r w:rsidRPr="00F469E7">
        <w:rPr>
          <w:rFonts w:ascii="Arial" w:hAnsi="Arial" w:cs="Arial"/>
          <w:color w:val="7B7B7B" w:themeColor="accent3" w:themeShade="BF"/>
          <w:sz w:val="22"/>
          <w:szCs w:val="22"/>
          <w:lang w:val="en-GB"/>
        </w:rPr>
        <w:t xml:space="preserve">They must also have a duty of care in making important </w:t>
      </w:r>
      <w:r w:rsidR="00F469E7" w:rsidRPr="00F469E7">
        <w:rPr>
          <w:rFonts w:ascii="Arial" w:hAnsi="Arial" w:cs="Arial"/>
          <w:color w:val="7B7B7B" w:themeColor="accent3" w:themeShade="BF"/>
          <w:sz w:val="22"/>
          <w:szCs w:val="22"/>
          <w:lang w:val="en-GB"/>
        </w:rPr>
        <w:t xml:space="preserve">business </w:t>
      </w:r>
      <w:r w:rsidRPr="00F469E7">
        <w:rPr>
          <w:rFonts w:ascii="Arial" w:hAnsi="Arial" w:cs="Arial"/>
          <w:color w:val="7B7B7B" w:themeColor="accent3" w:themeShade="BF"/>
          <w:sz w:val="22"/>
          <w:szCs w:val="22"/>
          <w:lang w:val="en-GB"/>
        </w:rPr>
        <w:t>decisions</w:t>
      </w:r>
      <w:r w:rsidR="00F469E7">
        <w:rPr>
          <w:rFonts w:ascii="Arial" w:hAnsi="Arial" w:cs="Arial"/>
          <w:color w:val="7B7B7B" w:themeColor="accent3" w:themeShade="BF"/>
          <w:sz w:val="22"/>
          <w:szCs w:val="22"/>
          <w:lang w:val="en-GB"/>
        </w:rPr>
        <w:t>.</w:t>
      </w:r>
    </w:p>
    <w:p w14:paraId="0ED0310C" w14:textId="77777777" w:rsidR="001825AA" w:rsidRDefault="001825AA" w:rsidP="00F469E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C63290" w:rsidRPr="00F469E7">
        <w:rPr>
          <w:rFonts w:ascii="Arial" w:hAnsi="Arial" w:cs="Arial"/>
          <w:color w:val="7B7B7B" w:themeColor="accent3" w:themeShade="BF"/>
          <w:sz w:val="22"/>
          <w:szCs w:val="22"/>
          <w:lang w:val="en-GB"/>
        </w:rPr>
        <w:t>t must be noted a director would be protected from legal action</w:t>
      </w:r>
      <w:r>
        <w:rPr>
          <w:rFonts w:ascii="Arial" w:hAnsi="Arial" w:cs="Arial"/>
          <w:color w:val="7B7B7B" w:themeColor="accent3" w:themeShade="BF"/>
          <w:sz w:val="22"/>
          <w:szCs w:val="22"/>
          <w:lang w:val="en-GB"/>
        </w:rPr>
        <w:t xml:space="preserve"> being taken against them for damages</w:t>
      </w:r>
      <w:r w:rsidR="00C63290" w:rsidRPr="00F469E7">
        <w:rPr>
          <w:rFonts w:ascii="Arial" w:hAnsi="Arial" w:cs="Arial"/>
          <w:color w:val="7B7B7B" w:themeColor="accent3" w:themeShade="BF"/>
          <w:sz w:val="22"/>
          <w:szCs w:val="22"/>
          <w:lang w:val="en-GB"/>
        </w:rPr>
        <w:t xml:space="preserve"> if a decision</w:t>
      </w:r>
      <w:r>
        <w:rPr>
          <w:rFonts w:ascii="Arial" w:hAnsi="Arial" w:cs="Arial"/>
          <w:color w:val="7B7B7B" w:themeColor="accent3" w:themeShade="BF"/>
          <w:sz w:val="22"/>
          <w:szCs w:val="22"/>
          <w:lang w:val="en-GB"/>
        </w:rPr>
        <w:t xml:space="preserve"> was</w:t>
      </w:r>
      <w:r w:rsidR="00C63290" w:rsidRPr="00F469E7">
        <w:rPr>
          <w:rFonts w:ascii="Arial" w:hAnsi="Arial" w:cs="Arial"/>
          <w:color w:val="7B7B7B" w:themeColor="accent3" w:themeShade="BF"/>
          <w:sz w:val="22"/>
          <w:szCs w:val="22"/>
          <w:lang w:val="en-GB"/>
        </w:rPr>
        <w:t xml:space="preserve"> </w:t>
      </w:r>
      <w:r w:rsidR="00F469E7">
        <w:rPr>
          <w:rFonts w:ascii="Arial" w:hAnsi="Arial" w:cs="Arial"/>
          <w:color w:val="7B7B7B" w:themeColor="accent3" w:themeShade="BF"/>
          <w:sz w:val="22"/>
          <w:szCs w:val="22"/>
          <w:lang w:val="en-GB"/>
        </w:rPr>
        <w:t xml:space="preserve">made </w:t>
      </w:r>
      <w:r>
        <w:rPr>
          <w:rFonts w:ascii="Arial" w:hAnsi="Arial" w:cs="Arial"/>
          <w:color w:val="7B7B7B" w:themeColor="accent3" w:themeShade="BF"/>
          <w:sz w:val="22"/>
          <w:szCs w:val="22"/>
          <w:lang w:val="en-GB"/>
        </w:rPr>
        <w:t>(</w:t>
      </w:r>
      <w:r w:rsidR="00F469E7">
        <w:rPr>
          <w:rFonts w:ascii="Arial" w:hAnsi="Arial" w:cs="Arial"/>
          <w:color w:val="7B7B7B" w:themeColor="accent3" w:themeShade="BF"/>
          <w:sz w:val="22"/>
          <w:szCs w:val="22"/>
          <w:lang w:val="en-GB"/>
        </w:rPr>
        <w:t>that lead to bankruptcy proceedings</w:t>
      </w:r>
      <w:r>
        <w:rPr>
          <w:rFonts w:ascii="Arial" w:hAnsi="Arial" w:cs="Arial"/>
          <w:color w:val="7B7B7B" w:themeColor="accent3" w:themeShade="BF"/>
          <w:sz w:val="22"/>
          <w:szCs w:val="22"/>
          <w:lang w:val="en-GB"/>
        </w:rPr>
        <w:t>) and</w:t>
      </w:r>
      <w:r w:rsidR="00F469E7">
        <w:rPr>
          <w:rFonts w:ascii="Arial" w:hAnsi="Arial" w:cs="Arial"/>
          <w:color w:val="7B7B7B" w:themeColor="accent3" w:themeShade="BF"/>
          <w:sz w:val="22"/>
          <w:szCs w:val="22"/>
          <w:lang w:val="en-GB"/>
        </w:rPr>
        <w:t xml:space="preserve"> was deemed to be an error in judgement, rather than intentional</w:t>
      </w:r>
      <w:r>
        <w:rPr>
          <w:rFonts w:ascii="Arial" w:hAnsi="Arial" w:cs="Arial"/>
          <w:color w:val="7B7B7B" w:themeColor="accent3" w:themeShade="BF"/>
          <w:sz w:val="22"/>
          <w:szCs w:val="22"/>
          <w:lang w:val="en-GB"/>
        </w:rPr>
        <w:t>.</w:t>
      </w:r>
    </w:p>
    <w:p w14:paraId="292935EC" w14:textId="0B31E7DE" w:rsidR="00C63290" w:rsidRDefault="001825AA" w:rsidP="00F469E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Directors are protected</w:t>
      </w:r>
      <w:r w:rsidR="00F469E7">
        <w:rPr>
          <w:rFonts w:ascii="Arial" w:hAnsi="Arial" w:cs="Arial"/>
          <w:color w:val="7B7B7B" w:themeColor="accent3" w:themeShade="BF"/>
          <w:sz w:val="22"/>
          <w:szCs w:val="22"/>
          <w:lang w:val="en-GB"/>
        </w:rPr>
        <w:t xml:space="preserve"> under the Business Judgement Rule.</w:t>
      </w:r>
    </w:p>
    <w:p w14:paraId="2C1A9E13" w14:textId="77777777" w:rsidR="00F469E7" w:rsidRDefault="00F469E7" w:rsidP="00F469E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ordinary course of business, these duties are owed to the corporation itself, as well as to the shareholders of the entity. </w:t>
      </w:r>
    </w:p>
    <w:p w14:paraId="635E0CCF" w14:textId="79E6A4E2" w:rsidR="00F469E7" w:rsidRDefault="00F469E7" w:rsidP="00F469E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Supreme Court has distinctly laid out that directors do not owe fiduciary duties to creditors of an estate in the ordinary course of business.</w:t>
      </w:r>
    </w:p>
    <w:p w14:paraId="20506CE9" w14:textId="7C6C2FA9" w:rsidR="00F469E7" w:rsidRPr="00F469E7" w:rsidRDefault="00F469E7" w:rsidP="00F469E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is also the case for entities where the corporation is potentially or actually insolvent. The Delaware Supreme Court has ruled has stated that duties are not owed to creditors in the zone of insolvency or actually insolvent.</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w:t>
      </w:r>
      <w:r w:rsidRPr="00447FB4">
        <w:rPr>
          <w:rFonts w:ascii="Arial" w:hAnsi="Arial" w:cs="Arial"/>
        </w:rPr>
        <w:t>business in Greece and it operates casinos and betting parlors in many international cities, including Athens, Las Vegas, London and Macau.</w:t>
      </w:r>
      <w:r w:rsidR="00F92140" w:rsidRPr="00447FB4">
        <w:rPr>
          <w:rFonts w:ascii="Arial" w:hAnsi="Arial" w:cs="Arial"/>
        </w:rPr>
        <w:t xml:space="preserve"> </w:t>
      </w:r>
      <w:r w:rsidRPr="00447FB4">
        <w:rPr>
          <w:rFonts w:ascii="Arial" w:hAnsi="Arial" w:cs="Arial"/>
        </w:rPr>
        <w:t xml:space="preserve">Gambling Corp’s bonds </w:t>
      </w:r>
      <w:r w:rsidR="00CC175B" w:rsidRPr="00447FB4">
        <w:rPr>
          <w:rFonts w:ascii="Arial" w:hAnsi="Arial" w:cs="Arial"/>
        </w:rPr>
        <w:t xml:space="preserve">(governed by English law) </w:t>
      </w:r>
      <w:r w:rsidRPr="00447FB4">
        <w:rPr>
          <w:rFonts w:ascii="Arial" w:hAnsi="Arial" w:cs="Arial"/>
        </w:rPr>
        <w:t>are due</w:t>
      </w:r>
      <w:r w:rsidRPr="00323167">
        <w:rPr>
          <w:rFonts w:ascii="Arial" w:hAnsi="Arial" w:cs="Arial"/>
        </w:rPr>
        <w:t xml:space="preserv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7278F9F1" w:rsidR="005B2A9B" w:rsidRPr="00447FB4" w:rsidRDefault="00205FAB" w:rsidP="00447FB4">
      <w:pPr>
        <w:pStyle w:val="ListParagraph"/>
        <w:numPr>
          <w:ilvl w:val="0"/>
          <w:numId w:val="21"/>
        </w:numPr>
        <w:jc w:val="both"/>
        <w:rPr>
          <w:rFonts w:ascii="Arial" w:hAnsi="Arial" w:cs="Arial"/>
          <w:color w:val="7B7B7B" w:themeColor="accent3" w:themeShade="BF"/>
          <w:sz w:val="22"/>
          <w:szCs w:val="22"/>
          <w:lang w:val="en-GB"/>
        </w:rPr>
      </w:pPr>
      <w:r w:rsidRPr="00447FB4">
        <w:rPr>
          <w:rFonts w:ascii="Arial" w:hAnsi="Arial" w:cs="Arial"/>
          <w:color w:val="7B7B7B" w:themeColor="accent3" w:themeShade="BF"/>
          <w:sz w:val="22"/>
          <w:szCs w:val="22"/>
          <w:lang w:val="en-GB"/>
        </w:rPr>
        <w:t>Under U.S. chapter 15, it is possible for an English scheme of arrangement to be granted recognition.</w:t>
      </w:r>
    </w:p>
    <w:p w14:paraId="50287148" w14:textId="77777777" w:rsidR="00447FB4" w:rsidRDefault="00205FAB" w:rsidP="00447FB4">
      <w:pPr>
        <w:pStyle w:val="ListParagraph"/>
        <w:numPr>
          <w:ilvl w:val="0"/>
          <w:numId w:val="21"/>
        </w:numPr>
        <w:jc w:val="both"/>
        <w:rPr>
          <w:rFonts w:ascii="Arial" w:hAnsi="Arial" w:cs="Arial"/>
          <w:color w:val="7B7B7B" w:themeColor="accent3" w:themeShade="BF"/>
          <w:sz w:val="22"/>
          <w:szCs w:val="22"/>
          <w:lang w:val="en-GB"/>
        </w:rPr>
      </w:pPr>
      <w:r w:rsidRPr="00447FB4">
        <w:rPr>
          <w:rFonts w:ascii="Arial" w:hAnsi="Arial" w:cs="Arial"/>
          <w:color w:val="7B7B7B" w:themeColor="accent3" w:themeShade="BF"/>
          <w:sz w:val="22"/>
          <w:szCs w:val="22"/>
          <w:lang w:val="en-GB"/>
        </w:rPr>
        <w:t xml:space="preserve">The Bankruptcy Code allows for a foreign proceeding to recognised and defines it as a collective or judicial proceeding in a foreign country under a law relating to restructuring of a debt in which </w:t>
      </w:r>
      <w:r w:rsidR="00447FB4" w:rsidRPr="00447FB4">
        <w:rPr>
          <w:rFonts w:ascii="Arial" w:hAnsi="Arial" w:cs="Arial"/>
          <w:color w:val="7B7B7B" w:themeColor="accent3" w:themeShade="BF"/>
          <w:sz w:val="22"/>
          <w:szCs w:val="22"/>
          <w:lang w:val="en-GB"/>
        </w:rPr>
        <w:t>preceding</w:t>
      </w:r>
      <w:r w:rsidRPr="00447FB4">
        <w:rPr>
          <w:rFonts w:ascii="Arial" w:hAnsi="Arial" w:cs="Arial"/>
          <w:color w:val="7B7B7B" w:themeColor="accent3" w:themeShade="BF"/>
          <w:sz w:val="22"/>
          <w:szCs w:val="22"/>
          <w:lang w:val="en-GB"/>
        </w:rPr>
        <w:t xml:space="preserve"> the </w:t>
      </w:r>
      <w:r w:rsidR="00447FB4" w:rsidRPr="00447FB4">
        <w:rPr>
          <w:rFonts w:ascii="Arial" w:hAnsi="Arial" w:cs="Arial"/>
          <w:color w:val="7B7B7B" w:themeColor="accent3" w:themeShade="BF"/>
          <w:sz w:val="22"/>
          <w:szCs w:val="22"/>
          <w:lang w:val="en-GB"/>
        </w:rPr>
        <w:t>asset</w:t>
      </w:r>
      <w:r w:rsidRPr="00447FB4">
        <w:rPr>
          <w:rFonts w:ascii="Arial" w:hAnsi="Arial" w:cs="Arial"/>
          <w:color w:val="7B7B7B" w:themeColor="accent3" w:themeShade="BF"/>
          <w:sz w:val="22"/>
          <w:szCs w:val="22"/>
          <w:lang w:val="en-GB"/>
        </w:rPr>
        <w:t xml:space="preserve"> and affairs of a debtor are subject to control or supervision of a foreign court for the purpose of reorganisation. </w:t>
      </w:r>
    </w:p>
    <w:p w14:paraId="26197D67" w14:textId="218D98B7" w:rsidR="00205FAB" w:rsidRPr="00447FB4" w:rsidRDefault="00205FAB" w:rsidP="00447FB4">
      <w:pPr>
        <w:pStyle w:val="ListParagraph"/>
        <w:numPr>
          <w:ilvl w:val="0"/>
          <w:numId w:val="21"/>
        </w:numPr>
        <w:jc w:val="both"/>
        <w:rPr>
          <w:rFonts w:ascii="Arial" w:hAnsi="Arial" w:cs="Arial"/>
          <w:color w:val="7B7B7B" w:themeColor="accent3" w:themeShade="BF"/>
          <w:sz w:val="22"/>
          <w:szCs w:val="22"/>
          <w:lang w:val="en-GB"/>
        </w:rPr>
      </w:pPr>
      <w:r w:rsidRPr="00447FB4">
        <w:rPr>
          <w:rFonts w:ascii="Arial" w:hAnsi="Arial" w:cs="Arial"/>
          <w:color w:val="7B7B7B" w:themeColor="accent3" w:themeShade="BF"/>
          <w:sz w:val="22"/>
          <w:szCs w:val="22"/>
          <w:lang w:val="en-GB"/>
        </w:rPr>
        <w:t>This would in principal allow for recognition of an English scheme of arrangement in the U.S.</w:t>
      </w:r>
    </w:p>
    <w:p w14:paraId="2885BC26" w14:textId="77777777" w:rsidR="00447FB4" w:rsidRDefault="00205FAB" w:rsidP="00447FB4">
      <w:pPr>
        <w:pStyle w:val="ListParagraph"/>
        <w:numPr>
          <w:ilvl w:val="0"/>
          <w:numId w:val="21"/>
        </w:numPr>
        <w:jc w:val="both"/>
        <w:rPr>
          <w:rFonts w:ascii="Arial" w:hAnsi="Arial" w:cs="Arial"/>
          <w:color w:val="7B7B7B" w:themeColor="accent3" w:themeShade="BF"/>
          <w:sz w:val="22"/>
          <w:szCs w:val="22"/>
          <w:lang w:val="en-GB"/>
        </w:rPr>
      </w:pPr>
      <w:r w:rsidRPr="00447FB4">
        <w:rPr>
          <w:rFonts w:ascii="Arial" w:hAnsi="Arial" w:cs="Arial"/>
          <w:color w:val="7B7B7B" w:themeColor="accent3" w:themeShade="BF"/>
          <w:sz w:val="22"/>
          <w:szCs w:val="22"/>
          <w:lang w:val="en-GB"/>
        </w:rPr>
        <w:t xml:space="preserve">In relation to Gambling </w:t>
      </w:r>
      <w:r w:rsidR="00447FB4" w:rsidRPr="00447FB4">
        <w:rPr>
          <w:rFonts w:ascii="Arial" w:hAnsi="Arial" w:cs="Arial"/>
          <w:color w:val="7B7B7B" w:themeColor="accent3" w:themeShade="BF"/>
          <w:sz w:val="22"/>
          <w:szCs w:val="22"/>
          <w:lang w:val="en-GB"/>
        </w:rPr>
        <w:t>Corporation (“GC”)</w:t>
      </w:r>
      <w:r w:rsidRPr="00447FB4">
        <w:rPr>
          <w:rFonts w:ascii="Arial" w:hAnsi="Arial" w:cs="Arial"/>
          <w:color w:val="7B7B7B" w:themeColor="accent3" w:themeShade="BF"/>
          <w:sz w:val="22"/>
          <w:szCs w:val="22"/>
          <w:lang w:val="en-GB"/>
        </w:rPr>
        <w:t xml:space="preserve">, it would appear that Chapter 15 recognition would only be granted as a </w:t>
      </w:r>
      <w:r w:rsidR="00447FB4" w:rsidRPr="00447FB4">
        <w:rPr>
          <w:rFonts w:ascii="Arial" w:hAnsi="Arial" w:cs="Arial"/>
          <w:color w:val="7B7B7B" w:themeColor="accent3" w:themeShade="BF"/>
          <w:sz w:val="22"/>
          <w:szCs w:val="22"/>
          <w:lang w:val="en-GB"/>
        </w:rPr>
        <w:t xml:space="preserve">foreign non-main proceeding. GC’s COMI does not appear to be based in the U.S. with only one betting parlour operating from Las Vegas. </w:t>
      </w:r>
    </w:p>
    <w:p w14:paraId="654B3446" w14:textId="77777777" w:rsidR="00447FB4" w:rsidRDefault="00447FB4" w:rsidP="00447FB4">
      <w:pPr>
        <w:pStyle w:val="ListParagraph"/>
        <w:numPr>
          <w:ilvl w:val="0"/>
          <w:numId w:val="21"/>
        </w:numPr>
        <w:jc w:val="both"/>
        <w:rPr>
          <w:rFonts w:ascii="Arial" w:hAnsi="Arial" w:cs="Arial"/>
          <w:color w:val="7B7B7B" w:themeColor="accent3" w:themeShade="BF"/>
          <w:sz w:val="22"/>
          <w:szCs w:val="22"/>
          <w:lang w:val="en-GB"/>
        </w:rPr>
      </w:pPr>
      <w:r w:rsidRPr="00447FB4">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determining</w:t>
      </w:r>
      <w:r w:rsidRPr="00447FB4">
        <w:rPr>
          <w:rFonts w:ascii="Arial" w:hAnsi="Arial" w:cs="Arial"/>
          <w:color w:val="7B7B7B" w:themeColor="accent3" w:themeShade="BF"/>
          <w:sz w:val="22"/>
          <w:szCs w:val="22"/>
          <w:lang w:val="en-GB"/>
        </w:rPr>
        <w:t xml:space="preserve"> factors </w:t>
      </w:r>
      <w:r>
        <w:rPr>
          <w:rFonts w:ascii="Arial" w:hAnsi="Arial" w:cs="Arial"/>
          <w:color w:val="7B7B7B" w:themeColor="accent3" w:themeShade="BF"/>
          <w:sz w:val="22"/>
          <w:szCs w:val="22"/>
          <w:lang w:val="en-GB"/>
        </w:rPr>
        <w:t xml:space="preserve">in </w:t>
      </w:r>
      <w:r w:rsidRPr="00447FB4">
        <w:rPr>
          <w:rFonts w:ascii="Arial" w:hAnsi="Arial" w:cs="Arial"/>
          <w:color w:val="7B7B7B" w:themeColor="accent3" w:themeShade="BF"/>
          <w:sz w:val="22"/>
          <w:szCs w:val="22"/>
          <w:lang w:val="en-GB"/>
        </w:rPr>
        <w:t xml:space="preserve">making this decision </w:t>
      </w:r>
      <w:r>
        <w:rPr>
          <w:rFonts w:ascii="Arial" w:hAnsi="Arial" w:cs="Arial"/>
          <w:color w:val="7B7B7B" w:themeColor="accent3" w:themeShade="BF"/>
          <w:sz w:val="22"/>
          <w:szCs w:val="22"/>
          <w:lang w:val="en-GB"/>
        </w:rPr>
        <w:t>would be</w:t>
      </w:r>
      <w:r w:rsidRPr="00447FB4">
        <w:rPr>
          <w:rFonts w:ascii="Arial" w:hAnsi="Arial" w:cs="Arial"/>
          <w:color w:val="7B7B7B" w:themeColor="accent3" w:themeShade="BF"/>
          <w:sz w:val="22"/>
          <w:szCs w:val="22"/>
          <w:lang w:val="en-GB"/>
        </w:rPr>
        <w:t xml:space="preserve"> based on </w:t>
      </w:r>
      <w:r>
        <w:rPr>
          <w:rFonts w:ascii="Arial" w:hAnsi="Arial" w:cs="Arial"/>
          <w:color w:val="7B7B7B" w:themeColor="accent3" w:themeShade="BF"/>
          <w:sz w:val="22"/>
          <w:szCs w:val="22"/>
          <w:lang w:val="en-GB"/>
        </w:rPr>
        <w:t xml:space="preserve">i) </w:t>
      </w:r>
      <w:r w:rsidRPr="00447FB4">
        <w:rPr>
          <w:rFonts w:ascii="Arial" w:hAnsi="Arial" w:cs="Arial"/>
          <w:color w:val="7B7B7B" w:themeColor="accent3" w:themeShade="BF"/>
          <w:sz w:val="22"/>
          <w:szCs w:val="22"/>
          <w:lang w:val="en-GB"/>
        </w:rPr>
        <w:t xml:space="preserve">the location of headquarters (presumable Greece), </w:t>
      </w:r>
      <w:r>
        <w:rPr>
          <w:rFonts w:ascii="Arial" w:hAnsi="Arial" w:cs="Arial"/>
          <w:color w:val="7B7B7B" w:themeColor="accent3" w:themeShade="BF"/>
          <w:sz w:val="22"/>
          <w:szCs w:val="22"/>
          <w:lang w:val="en-GB"/>
        </w:rPr>
        <w:t xml:space="preserve">ii) </w:t>
      </w:r>
      <w:r w:rsidRPr="00447FB4">
        <w:rPr>
          <w:rFonts w:ascii="Arial" w:hAnsi="Arial" w:cs="Arial"/>
          <w:color w:val="7B7B7B" w:themeColor="accent3" w:themeShade="BF"/>
          <w:sz w:val="22"/>
          <w:szCs w:val="22"/>
          <w:lang w:val="en-GB"/>
        </w:rPr>
        <w:t xml:space="preserve">location of management (Greece), </w:t>
      </w:r>
      <w:r>
        <w:rPr>
          <w:rFonts w:ascii="Arial" w:hAnsi="Arial" w:cs="Arial"/>
          <w:color w:val="7B7B7B" w:themeColor="accent3" w:themeShade="BF"/>
          <w:sz w:val="22"/>
          <w:szCs w:val="22"/>
          <w:lang w:val="en-GB"/>
        </w:rPr>
        <w:t xml:space="preserve">iii) </w:t>
      </w:r>
      <w:r w:rsidRPr="00447FB4">
        <w:rPr>
          <w:rFonts w:ascii="Arial" w:hAnsi="Arial" w:cs="Arial"/>
          <w:color w:val="7B7B7B" w:themeColor="accent3" w:themeShade="BF"/>
          <w:sz w:val="22"/>
          <w:szCs w:val="22"/>
          <w:lang w:val="en-GB"/>
        </w:rPr>
        <w:t xml:space="preserve">primary assets (number of jurisdictions), </w:t>
      </w:r>
      <w:r>
        <w:rPr>
          <w:rFonts w:ascii="Arial" w:hAnsi="Arial" w:cs="Arial"/>
          <w:color w:val="7B7B7B" w:themeColor="accent3" w:themeShade="BF"/>
          <w:sz w:val="22"/>
          <w:szCs w:val="22"/>
          <w:lang w:val="en-GB"/>
        </w:rPr>
        <w:t xml:space="preserve">iv) </w:t>
      </w:r>
      <w:r w:rsidRPr="00447FB4">
        <w:rPr>
          <w:rFonts w:ascii="Arial" w:hAnsi="Arial" w:cs="Arial"/>
          <w:color w:val="7B7B7B" w:themeColor="accent3" w:themeShade="BF"/>
          <w:sz w:val="22"/>
          <w:szCs w:val="22"/>
          <w:lang w:val="en-GB"/>
        </w:rPr>
        <w:t xml:space="preserve">majority of creditors and jurisdiction whose law disputes will apply (bondholders in England and bond governed by English Law). </w:t>
      </w:r>
    </w:p>
    <w:p w14:paraId="1C0938C1" w14:textId="3475E92A" w:rsidR="00205FAB" w:rsidRDefault="00447FB4" w:rsidP="00447FB4">
      <w:pPr>
        <w:pStyle w:val="ListParagraph"/>
        <w:numPr>
          <w:ilvl w:val="0"/>
          <w:numId w:val="21"/>
        </w:numPr>
        <w:jc w:val="both"/>
        <w:rPr>
          <w:rFonts w:ascii="Arial" w:hAnsi="Arial" w:cs="Arial"/>
          <w:color w:val="7B7B7B" w:themeColor="accent3" w:themeShade="BF"/>
          <w:sz w:val="22"/>
          <w:szCs w:val="22"/>
          <w:lang w:val="en-GB"/>
        </w:rPr>
      </w:pPr>
      <w:r w:rsidRPr="00447FB4">
        <w:rPr>
          <w:rFonts w:ascii="Arial" w:hAnsi="Arial" w:cs="Arial"/>
          <w:color w:val="7B7B7B" w:themeColor="accent3" w:themeShade="BF"/>
          <w:sz w:val="22"/>
          <w:szCs w:val="22"/>
          <w:lang w:val="en-GB"/>
        </w:rPr>
        <w:t xml:space="preserve">For this reason, a foreign </w:t>
      </w:r>
      <w:r>
        <w:rPr>
          <w:rFonts w:ascii="Arial" w:hAnsi="Arial" w:cs="Arial"/>
          <w:color w:val="7B7B7B" w:themeColor="accent3" w:themeShade="BF"/>
          <w:sz w:val="22"/>
          <w:szCs w:val="22"/>
          <w:lang w:val="en-GB"/>
        </w:rPr>
        <w:t>non-</w:t>
      </w:r>
      <w:r w:rsidRPr="00447FB4">
        <w:rPr>
          <w:rFonts w:ascii="Arial" w:hAnsi="Arial" w:cs="Arial"/>
          <w:color w:val="7B7B7B" w:themeColor="accent3" w:themeShade="BF"/>
          <w:sz w:val="22"/>
          <w:szCs w:val="22"/>
          <w:lang w:val="en-GB"/>
        </w:rPr>
        <w:t xml:space="preserve">main proceeding would </w:t>
      </w:r>
      <w:r>
        <w:rPr>
          <w:rFonts w:ascii="Arial" w:hAnsi="Arial" w:cs="Arial"/>
          <w:color w:val="7B7B7B" w:themeColor="accent3" w:themeShade="BF"/>
          <w:sz w:val="22"/>
          <w:szCs w:val="22"/>
          <w:lang w:val="en-GB"/>
        </w:rPr>
        <w:t>be applicable.</w:t>
      </w:r>
    </w:p>
    <w:p w14:paraId="1F0C0FA6" w14:textId="2AD674BE" w:rsidR="00447FB4" w:rsidRPr="00447FB4" w:rsidRDefault="00447FB4" w:rsidP="00447FB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only reason why GC could apply for foreign recognition relates to the fact they have a gambling parlour in Vegas. The application for recognition must also assist in the restructuring of the debt for the benefit of the estate.</w:t>
      </w:r>
    </w:p>
    <w:p w14:paraId="7579E641" w14:textId="77777777" w:rsidR="00447FB4" w:rsidRPr="00FF5098" w:rsidRDefault="00447FB4" w:rsidP="005B2A9B">
      <w:pPr>
        <w:jc w:val="both"/>
        <w:rPr>
          <w:rFonts w:ascii="Arial" w:hAnsi="Arial" w:cs="Arial"/>
          <w:color w:val="7B7B7B" w:themeColor="accent3" w:themeShade="BF"/>
          <w:sz w:val="22"/>
          <w:szCs w:val="22"/>
          <w:lang w:val="en-GB"/>
        </w:rPr>
      </w:pP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BA4FF1">
        <w:rPr>
          <w:rFonts w:ascii="Arial" w:hAnsi="Arial" w:cs="Arial"/>
        </w:rPr>
        <w:t>Oil Corporation is incorporated in Delaware and has its principal place of business in Texas.</w:t>
      </w:r>
      <w:r w:rsidR="00F92140" w:rsidRPr="00BA4FF1">
        <w:rPr>
          <w:rFonts w:ascii="Arial" w:hAnsi="Arial" w:cs="Arial"/>
        </w:rPr>
        <w:t xml:space="preserve"> </w:t>
      </w:r>
      <w:r w:rsidRPr="00BA4FF1">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sidRPr="00BA4FF1">
        <w:rPr>
          <w:rFonts w:ascii="Arial" w:hAnsi="Arial" w:cs="Arial"/>
        </w:rPr>
        <w:t xml:space="preserve">USD </w:t>
      </w:r>
      <w:r w:rsidRPr="00BA4FF1">
        <w:rPr>
          <w:rFonts w:ascii="Arial" w:hAnsi="Arial" w:cs="Arial"/>
        </w:rPr>
        <w:t>1 billion in damage to ShipCo’s container ships.</w:t>
      </w:r>
      <w:r w:rsidR="00F92140" w:rsidRPr="00BA4FF1">
        <w:rPr>
          <w:rFonts w:ascii="Arial" w:hAnsi="Arial" w:cs="Arial"/>
        </w:rPr>
        <w:t xml:space="preserve"> </w:t>
      </w:r>
      <w:r w:rsidRPr="00BA4FF1">
        <w:rPr>
          <w:rFonts w:ascii="Arial" w:hAnsi="Arial" w:cs="Arial"/>
        </w:rPr>
        <w:t>Second, the US Department of Justice is investigating whether Oil Corp illegally purchased oil from countries subject to US sanctions.</w:t>
      </w:r>
      <w:r w:rsidR="00F92140" w:rsidRPr="00BA4FF1">
        <w:rPr>
          <w:rFonts w:ascii="Arial" w:hAnsi="Arial" w:cs="Arial"/>
        </w:rPr>
        <w:t xml:space="preserve"> </w:t>
      </w:r>
      <w:r w:rsidRPr="00BA4FF1">
        <w:rPr>
          <w:rFonts w:ascii="Arial" w:hAnsi="Arial" w:cs="Arial"/>
        </w:rPr>
        <w:t>Third, Oil Corp. has missed a payment on its secured loan from USA Bank, and USA Bank is threatening to foreclose on an Oil Corp refinery located in the Philippines.</w:t>
      </w:r>
      <w:r w:rsidR="00F92140" w:rsidRPr="00BA4FF1">
        <w:rPr>
          <w:rFonts w:ascii="Arial" w:hAnsi="Arial" w:cs="Arial"/>
        </w:rPr>
        <w:t xml:space="preserve"> </w:t>
      </w:r>
      <w:r w:rsidRPr="00BA4FF1">
        <w:rPr>
          <w:rFonts w:ascii="Arial" w:hAnsi="Arial" w:cs="Arial"/>
        </w:rPr>
        <w:t>Fourth, because of all these distractions, Oil Corp has forgotten to pay rent on its Houston, Texas office space and its landlord is threatening to evict it.</w:t>
      </w:r>
      <w:r w:rsidR="00F92140" w:rsidRPr="00BA4FF1">
        <w:rPr>
          <w:rFonts w:ascii="Arial" w:hAnsi="Arial" w:cs="Arial"/>
        </w:rPr>
        <w:t xml:space="preserve"> </w:t>
      </w:r>
      <w:r w:rsidRPr="00BA4FF1">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41DCF64C" w:rsidR="005B2A9B" w:rsidRPr="000A6420" w:rsidRDefault="00447FB4" w:rsidP="000A6420">
      <w:pPr>
        <w:pStyle w:val="ListParagraph"/>
        <w:numPr>
          <w:ilvl w:val="0"/>
          <w:numId w:val="22"/>
        </w:numPr>
        <w:jc w:val="both"/>
        <w:rPr>
          <w:rFonts w:ascii="Arial" w:hAnsi="Arial" w:cs="Arial"/>
          <w:color w:val="7B7B7B" w:themeColor="accent3" w:themeShade="BF"/>
          <w:sz w:val="22"/>
          <w:szCs w:val="22"/>
          <w:lang w:val="en-GB"/>
        </w:rPr>
      </w:pPr>
      <w:r w:rsidRPr="000A6420">
        <w:rPr>
          <w:rFonts w:ascii="Arial" w:hAnsi="Arial" w:cs="Arial"/>
          <w:color w:val="7B7B7B" w:themeColor="accent3" w:themeShade="BF"/>
          <w:sz w:val="22"/>
          <w:szCs w:val="22"/>
          <w:lang w:val="en-GB"/>
        </w:rPr>
        <w:t xml:space="preserve">If Oil Corp </w:t>
      </w:r>
      <w:r w:rsidR="00B254F5" w:rsidRPr="000A6420">
        <w:rPr>
          <w:rFonts w:ascii="Arial" w:hAnsi="Arial" w:cs="Arial"/>
          <w:color w:val="7B7B7B" w:themeColor="accent3" w:themeShade="BF"/>
          <w:sz w:val="22"/>
          <w:szCs w:val="22"/>
          <w:lang w:val="en-GB"/>
        </w:rPr>
        <w:t>were</w:t>
      </w:r>
      <w:r w:rsidRPr="000A6420">
        <w:rPr>
          <w:rFonts w:ascii="Arial" w:hAnsi="Arial" w:cs="Arial"/>
          <w:color w:val="7B7B7B" w:themeColor="accent3" w:themeShade="BF"/>
          <w:sz w:val="22"/>
          <w:szCs w:val="22"/>
          <w:lang w:val="en-GB"/>
        </w:rPr>
        <w:t xml:space="preserve"> to file a chapter 11 petition, it would place an automatic stay on</w:t>
      </w:r>
      <w:r w:rsidR="00B254F5" w:rsidRPr="000A6420">
        <w:rPr>
          <w:rFonts w:ascii="Arial" w:hAnsi="Arial" w:cs="Arial"/>
          <w:color w:val="7B7B7B" w:themeColor="accent3" w:themeShade="BF"/>
          <w:sz w:val="22"/>
          <w:szCs w:val="22"/>
          <w:lang w:val="en-GB"/>
        </w:rPr>
        <w:t xml:space="preserve"> any</w:t>
      </w:r>
      <w:r w:rsidRPr="000A6420">
        <w:rPr>
          <w:rFonts w:ascii="Arial" w:hAnsi="Arial" w:cs="Arial"/>
          <w:color w:val="7B7B7B" w:themeColor="accent3" w:themeShade="BF"/>
          <w:sz w:val="22"/>
          <w:szCs w:val="22"/>
          <w:lang w:val="en-GB"/>
        </w:rPr>
        <w:t xml:space="preserve"> creditor action</w:t>
      </w:r>
      <w:r w:rsidR="00B254F5" w:rsidRPr="000A6420">
        <w:rPr>
          <w:rFonts w:ascii="Arial" w:hAnsi="Arial" w:cs="Arial"/>
          <w:color w:val="7B7B7B" w:themeColor="accent3" w:themeShade="BF"/>
          <w:sz w:val="22"/>
          <w:szCs w:val="22"/>
          <w:lang w:val="en-GB"/>
        </w:rPr>
        <w:t xml:space="preserve"> being taken against it, where approved by the court or not.</w:t>
      </w:r>
    </w:p>
    <w:p w14:paraId="54E189C4" w14:textId="13B89068" w:rsidR="00B254F5" w:rsidRDefault="000A6420" w:rsidP="000A6420">
      <w:pPr>
        <w:pStyle w:val="ListParagraph"/>
        <w:numPr>
          <w:ilvl w:val="0"/>
          <w:numId w:val="22"/>
        </w:numPr>
        <w:jc w:val="both"/>
        <w:rPr>
          <w:rFonts w:ascii="Arial" w:hAnsi="Arial" w:cs="Arial"/>
          <w:color w:val="7B7B7B" w:themeColor="accent3" w:themeShade="BF"/>
          <w:sz w:val="22"/>
          <w:szCs w:val="22"/>
          <w:lang w:val="en-GB"/>
        </w:rPr>
      </w:pPr>
      <w:r w:rsidRPr="000A6420">
        <w:rPr>
          <w:rFonts w:ascii="Arial" w:hAnsi="Arial" w:cs="Arial"/>
          <w:color w:val="7B7B7B" w:themeColor="accent3" w:themeShade="BF"/>
          <w:sz w:val="22"/>
          <w:szCs w:val="22"/>
          <w:lang w:val="en-GB"/>
        </w:rPr>
        <w:t>ShipCo would no be able to enforce proceedings against Oil Corporation from the point of filing the application. This would allow for time for the debtor company, or trustee some breathing space to assess any actions being made by ShipCo and potentially come to an agreement on the potential repayment of the lawsuit. Proceedings for</w:t>
      </w:r>
      <w:r>
        <w:rPr>
          <w:rFonts w:ascii="Arial" w:hAnsi="Arial" w:cs="Arial"/>
          <w:color w:val="7B7B7B" w:themeColor="accent3" w:themeShade="BF"/>
          <w:sz w:val="22"/>
          <w:szCs w:val="22"/>
          <w:lang w:val="en-GB"/>
        </w:rPr>
        <w:t xml:space="preserve"> the time being would be halted as the bankruptcy code prohibits litigation on pre-petition claims.</w:t>
      </w:r>
    </w:p>
    <w:p w14:paraId="2A889B0F" w14:textId="772A8FDF" w:rsidR="000A6420" w:rsidRDefault="000A6420" w:rsidP="000A6420">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reference to the Dept. of Justice claim, there would be no stay placed on these proceedings, as there is exceptions allowed for criminal claims against the Company. This would constitute and criminal claim and the proceedings would continue</w:t>
      </w:r>
    </w:p>
    <w:p w14:paraId="71C7EF6C" w14:textId="3B767855" w:rsidR="000A6420" w:rsidRDefault="000A6420" w:rsidP="000A6420">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US Bank would be unable to exercise its rights under the secured loan as the stay on proceedings relates to assets that are held by companies worldwide, not just in the U.S.</w:t>
      </w:r>
    </w:p>
    <w:p w14:paraId="4AF31DA3" w14:textId="61BCBD49" w:rsidR="000A6420" w:rsidRPr="000A6420" w:rsidRDefault="000A6420" w:rsidP="000A6420">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reference to the landlord foreclosing its Houston and Texas offices, </w:t>
      </w:r>
      <w:r w:rsidR="00BA4FF1">
        <w:rPr>
          <w:rFonts w:ascii="Arial" w:hAnsi="Arial" w:cs="Arial"/>
          <w:color w:val="7B7B7B" w:themeColor="accent3" w:themeShade="BF"/>
          <w:sz w:val="22"/>
          <w:szCs w:val="22"/>
          <w:lang w:val="en-GB"/>
        </w:rPr>
        <w:t>the landlord is not permitted to foreclose on offices immediately, however if the landlord has security of the property, Oil Corp has not submitted a proposal to repay in 90 days, and no further payments have been made, the landlord is permitted to evict Oil Corp.</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Pr="00E0456D" w:rsidRDefault="00323167" w:rsidP="00323167">
      <w:pPr>
        <w:pStyle w:val="AODocTxt"/>
        <w:spacing w:before="0" w:line="240" w:lineRule="auto"/>
        <w:rPr>
          <w:rFonts w:ascii="Arial" w:hAnsi="Arial" w:cs="Arial"/>
        </w:rPr>
      </w:pPr>
      <w:r w:rsidRPr="00E0456D">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sidRPr="00E0456D">
        <w:rPr>
          <w:rFonts w:ascii="Arial" w:hAnsi="Arial" w:cs="Arial"/>
        </w:rPr>
        <w:t xml:space="preserve"> </w:t>
      </w:r>
      <w:r w:rsidRPr="00E0456D">
        <w:rPr>
          <w:rFonts w:ascii="Arial" w:hAnsi="Arial" w:cs="Arial"/>
        </w:rPr>
        <w:t>Oil Corp has invented several patented processes for plastic manufacturing, which it licenses to Plastic Corp.</w:t>
      </w:r>
      <w:r w:rsidR="00F92140" w:rsidRPr="00E0456D">
        <w:rPr>
          <w:rFonts w:ascii="Arial" w:hAnsi="Arial" w:cs="Arial"/>
        </w:rPr>
        <w:t xml:space="preserve"> </w:t>
      </w:r>
      <w:r w:rsidRPr="00E0456D">
        <w:rPr>
          <w:rFonts w:ascii="Arial" w:hAnsi="Arial" w:cs="Arial"/>
        </w:rPr>
        <w:t xml:space="preserve">The main manufacturing facility for the plastic business is in Dallas, and Oil Corp has granted a lien on the facility to USA Bank to secure its </w:t>
      </w:r>
      <w:r w:rsidR="00834F92" w:rsidRPr="00E0456D">
        <w:rPr>
          <w:rFonts w:ascii="Arial" w:hAnsi="Arial" w:cs="Arial"/>
        </w:rPr>
        <w:t xml:space="preserve">USD </w:t>
      </w:r>
      <w:r w:rsidRPr="00E0456D">
        <w:rPr>
          <w:rFonts w:ascii="Arial" w:hAnsi="Arial" w:cs="Arial"/>
        </w:rPr>
        <w:t>500 million loan.</w:t>
      </w:r>
    </w:p>
    <w:p w14:paraId="4DB2D5B3" w14:textId="77777777" w:rsidR="003B7184" w:rsidRPr="00E0456D"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E0456D">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sidRPr="00E0456D">
        <w:rPr>
          <w:rFonts w:ascii="Arial" w:hAnsi="Arial" w:cs="Arial"/>
        </w:rPr>
        <w:t xml:space="preserve"> </w:t>
      </w:r>
      <w:r w:rsidRPr="00E0456D">
        <w:rPr>
          <w:rFonts w:ascii="Arial" w:hAnsi="Arial" w:cs="Arial"/>
        </w:rPr>
        <w:t>Can Oil Corp achieve each</w:t>
      </w:r>
      <w:r w:rsidRPr="00323167">
        <w:rPr>
          <w:rFonts w:ascii="Arial" w:hAnsi="Arial" w:cs="Arial"/>
        </w:rPr>
        <w:t xml:space="preserve">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372C3F2C" w:rsidR="005B2A9B" w:rsidRPr="00F45D23" w:rsidRDefault="00F45D23" w:rsidP="00F45D23">
      <w:pPr>
        <w:pStyle w:val="ListParagraph"/>
        <w:numPr>
          <w:ilvl w:val="0"/>
          <w:numId w:val="23"/>
        </w:numPr>
        <w:jc w:val="both"/>
        <w:rPr>
          <w:rFonts w:ascii="Arial" w:hAnsi="Arial" w:cs="Arial"/>
          <w:color w:val="7B7B7B" w:themeColor="accent3" w:themeShade="BF"/>
          <w:sz w:val="22"/>
          <w:szCs w:val="22"/>
          <w:lang w:val="en-GB"/>
        </w:rPr>
      </w:pPr>
      <w:r w:rsidRPr="00F45D23">
        <w:rPr>
          <w:rFonts w:ascii="Arial" w:hAnsi="Arial" w:cs="Arial"/>
          <w:color w:val="7B7B7B" w:themeColor="accent3" w:themeShade="BF"/>
          <w:sz w:val="22"/>
          <w:szCs w:val="22"/>
          <w:lang w:val="en-GB"/>
        </w:rPr>
        <w:lastRenderedPageBreak/>
        <w:t>In a bankruptcy scenario</w:t>
      </w:r>
      <w:r w:rsidR="00E0456D">
        <w:rPr>
          <w:rFonts w:ascii="Arial" w:hAnsi="Arial" w:cs="Arial"/>
          <w:color w:val="7B7B7B" w:themeColor="accent3" w:themeShade="BF"/>
          <w:sz w:val="22"/>
          <w:szCs w:val="22"/>
          <w:lang w:val="en-GB"/>
        </w:rPr>
        <w:t>,</w:t>
      </w:r>
      <w:r w:rsidRPr="00F45D23">
        <w:rPr>
          <w:rFonts w:ascii="Arial" w:hAnsi="Arial" w:cs="Arial"/>
          <w:color w:val="7B7B7B" w:themeColor="accent3" w:themeShade="BF"/>
          <w:sz w:val="22"/>
          <w:szCs w:val="22"/>
          <w:lang w:val="en-GB"/>
        </w:rPr>
        <w:t xml:space="preserve"> Oil Corp is not permitted assign the trademark license to the prospective buyer.</w:t>
      </w:r>
    </w:p>
    <w:p w14:paraId="4C348E8D" w14:textId="67622268" w:rsidR="00F45D23" w:rsidRDefault="00F45D23" w:rsidP="00F45D23">
      <w:pPr>
        <w:pStyle w:val="ListParagraph"/>
        <w:numPr>
          <w:ilvl w:val="0"/>
          <w:numId w:val="23"/>
        </w:numPr>
        <w:jc w:val="both"/>
        <w:rPr>
          <w:rFonts w:ascii="Arial" w:hAnsi="Arial" w:cs="Arial"/>
          <w:color w:val="7B7B7B" w:themeColor="accent3" w:themeShade="BF"/>
          <w:sz w:val="22"/>
          <w:szCs w:val="22"/>
          <w:lang w:val="en-GB"/>
        </w:rPr>
      </w:pPr>
      <w:r w:rsidRPr="00F45D23">
        <w:rPr>
          <w:rFonts w:ascii="Arial" w:hAnsi="Arial" w:cs="Arial"/>
          <w:color w:val="7B7B7B" w:themeColor="accent3" w:themeShade="BF"/>
          <w:sz w:val="22"/>
          <w:szCs w:val="22"/>
          <w:lang w:val="en-GB"/>
        </w:rPr>
        <w:t xml:space="preserve">Licenses for the patent name </w:t>
      </w:r>
      <w:r w:rsidR="006F2008">
        <w:rPr>
          <w:rFonts w:ascii="Arial" w:hAnsi="Arial" w:cs="Arial"/>
          <w:color w:val="7B7B7B" w:themeColor="accent3" w:themeShade="BF"/>
          <w:sz w:val="22"/>
          <w:szCs w:val="22"/>
          <w:lang w:val="en-GB"/>
        </w:rPr>
        <w:t>“</w:t>
      </w:r>
      <w:r w:rsidRPr="00F45D23">
        <w:rPr>
          <w:rFonts w:ascii="Arial" w:hAnsi="Arial" w:cs="Arial"/>
          <w:color w:val="7B7B7B" w:themeColor="accent3" w:themeShade="BF"/>
          <w:sz w:val="22"/>
          <w:szCs w:val="22"/>
          <w:lang w:val="en-GB"/>
        </w:rPr>
        <w:t>Interconnect</w:t>
      </w:r>
      <w:r w:rsidR="006F2008">
        <w:rPr>
          <w:rFonts w:ascii="Arial" w:hAnsi="Arial" w:cs="Arial"/>
          <w:color w:val="7B7B7B" w:themeColor="accent3" w:themeShade="BF"/>
          <w:sz w:val="22"/>
          <w:szCs w:val="22"/>
          <w:lang w:val="en-GB"/>
        </w:rPr>
        <w:t>”</w:t>
      </w:r>
      <w:r w:rsidRPr="00F45D23">
        <w:rPr>
          <w:rFonts w:ascii="Arial" w:hAnsi="Arial" w:cs="Arial"/>
          <w:color w:val="7B7B7B" w:themeColor="accent3" w:themeShade="BF"/>
          <w:sz w:val="22"/>
          <w:szCs w:val="22"/>
          <w:lang w:val="en-GB"/>
        </w:rPr>
        <w:t xml:space="preserve"> is owned by Plastic Corp. It would not be assignable as the brand name is not assignable absent licensor consent. If this was to be provided by Plastic Corp, they would be permitted to do so. This may be possible by offering one of their patents on manufacturing plastic to Plastic Co.</w:t>
      </w:r>
    </w:p>
    <w:p w14:paraId="1DAC0930" w14:textId="23633411" w:rsidR="00F45D23" w:rsidRDefault="00F45D23" w:rsidP="00F45D23">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Oil Corp. would be within their rights to reject the patent licenses it has in place with Plastic Corp. Under Chapter 11 </w:t>
      </w:r>
      <w:r w:rsidR="00E0456D">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a debtor in possession (being Oil Corp) has the ability to reject burdensome contracts that may be effecting the potential value </w:t>
      </w:r>
      <w:r w:rsidR="00E0456D">
        <w:rPr>
          <w:rFonts w:ascii="Arial" w:hAnsi="Arial" w:cs="Arial"/>
          <w:color w:val="7B7B7B" w:themeColor="accent3" w:themeShade="BF"/>
          <w:sz w:val="22"/>
          <w:szCs w:val="22"/>
          <w:lang w:val="en-GB"/>
        </w:rPr>
        <w:t>of sale</w:t>
      </w:r>
      <w:r w:rsidR="006F2008">
        <w:rPr>
          <w:rFonts w:ascii="Arial" w:hAnsi="Arial" w:cs="Arial"/>
          <w:color w:val="7B7B7B" w:themeColor="accent3" w:themeShade="BF"/>
          <w:sz w:val="22"/>
          <w:szCs w:val="22"/>
          <w:lang w:val="en-GB"/>
        </w:rPr>
        <w:t xml:space="preserve"> to increase value for the estate</w:t>
      </w:r>
    </w:p>
    <w:p w14:paraId="7C63D8E5" w14:textId="50F51CD5" w:rsidR="00F45D23" w:rsidRDefault="00F45D23" w:rsidP="00F45D23">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achieve the highest selling price, Oil Corp. could cancel the contract they have with Plastic Corp. relating to the trademarks and sell exclusively to the prospective buyer.</w:t>
      </w:r>
      <w:r w:rsidR="006F2008">
        <w:rPr>
          <w:rFonts w:ascii="Arial" w:hAnsi="Arial" w:cs="Arial"/>
          <w:color w:val="7B7B7B" w:themeColor="accent3" w:themeShade="BF"/>
          <w:sz w:val="22"/>
          <w:szCs w:val="22"/>
          <w:lang w:val="en-GB"/>
        </w:rPr>
        <w:t xml:space="preserve"> This can be achieved without the consent of Plastic Corp.</w:t>
      </w:r>
    </w:p>
    <w:p w14:paraId="6CAFC503" w14:textId="6335FC95" w:rsidR="00F45D23" w:rsidRDefault="006F2008" w:rsidP="00F45D23">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Chapter 11 debtor in possession gives the ability for Oil Corp to asset assets free and clear of any liens it may have against them.</w:t>
      </w:r>
    </w:p>
    <w:p w14:paraId="2927DC49" w14:textId="137C98C0" w:rsidR="006F2008" w:rsidRDefault="006F2008" w:rsidP="00F45D23">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bankruptcy scenario a claim attached to a lien on property, being the manufacturing business, would be considered a secured claim.</w:t>
      </w:r>
    </w:p>
    <w:p w14:paraId="505D0F05" w14:textId="02959D9B" w:rsidR="006F2008" w:rsidRDefault="006F2008" w:rsidP="006F200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scenario, Oil Corp would be permitted to sell the manufacturing business without the consent of USA Bank, but would need court consent.</w:t>
      </w:r>
    </w:p>
    <w:p w14:paraId="40CBEFE4" w14:textId="407D74B1" w:rsidR="006F2008" w:rsidRDefault="006F2008" w:rsidP="006F200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proceeds of the sale would be paid to US Bank to the extent that it covers the USD500 million loan. Any excess funds would be paid back to the debtor estate.</w:t>
      </w:r>
    </w:p>
    <w:p w14:paraId="27F29094" w14:textId="05E8E538" w:rsidR="006F2008" w:rsidRPr="006F2008" w:rsidRDefault="006F2008" w:rsidP="006F200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reason for the ability for Oil Corp to sell this business is a result of section 363 which aims to achieve improved recoveries on assets of the estate and protection of purchasers.</w:t>
      </w:r>
    </w:p>
    <w:p w14:paraId="0067E433" w14:textId="77777777" w:rsidR="00F45D23" w:rsidRPr="00FF5098" w:rsidRDefault="00F45D23" w:rsidP="005B2A9B">
      <w:pPr>
        <w:jc w:val="both"/>
        <w:rPr>
          <w:rFonts w:ascii="Arial" w:hAnsi="Arial" w:cs="Arial"/>
          <w:color w:val="7B7B7B" w:themeColor="accent3" w:themeShade="BF"/>
          <w:sz w:val="22"/>
          <w:szCs w:val="22"/>
          <w:lang w:val="en-GB"/>
        </w:rPr>
      </w:pP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77845" w14:textId="77777777" w:rsidR="00460D1D" w:rsidRDefault="00460D1D" w:rsidP="00241B44">
      <w:r>
        <w:separator/>
      </w:r>
    </w:p>
  </w:endnote>
  <w:endnote w:type="continuationSeparator" w:id="0">
    <w:p w14:paraId="331C5C04" w14:textId="77777777" w:rsidR="00460D1D" w:rsidRDefault="00460D1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447FB4" w:rsidRPr="00FC7B47" w:rsidRDefault="00447FB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447FB4" w:rsidRPr="00FC7B47" w:rsidRDefault="00447FB4"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EFD008B" w:rsidR="00447FB4" w:rsidRPr="009B4976" w:rsidRDefault="00447FB4" w:rsidP="00447FB4">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E75363">
          <w:rPr>
            <w:rStyle w:val="PageNumber"/>
            <w:rFonts w:ascii="Arial" w:hAnsi="Arial" w:cs="Arial"/>
            <w:noProof/>
            <w:sz w:val="18"/>
            <w:szCs w:val="18"/>
          </w:rPr>
          <w:t>7</w:t>
        </w:r>
        <w:r w:rsidRPr="009B4976">
          <w:rPr>
            <w:rStyle w:val="PageNumber"/>
            <w:rFonts w:ascii="Arial" w:hAnsi="Arial" w:cs="Arial"/>
            <w:sz w:val="18"/>
            <w:szCs w:val="18"/>
          </w:rPr>
          <w:fldChar w:fldCharType="end"/>
        </w:r>
      </w:p>
    </w:sdtContent>
  </w:sdt>
  <w:p w14:paraId="30F05E79" w14:textId="5417D8BE" w:rsidR="00447FB4" w:rsidRPr="009B4976" w:rsidRDefault="00E75363" w:rsidP="009B4976">
    <w:pPr>
      <w:pStyle w:val="Footer"/>
      <w:ind w:right="360"/>
      <w:rPr>
        <w:rFonts w:ascii="Arial" w:hAnsi="Arial" w:cs="Arial"/>
        <w:sz w:val="18"/>
        <w:szCs w:val="18"/>
        <w:lang w:val="en-GB"/>
      </w:rPr>
    </w:pPr>
    <w:bookmarkStart w:id="1" w:name="_GoBack"/>
    <w:r>
      <w:rPr>
        <w:rFonts w:ascii="Arial" w:hAnsi="Arial" w:cs="Arial"/>
        <w:sz w:val="18"/>
        <w:szCs w:val="18"/>
        <w:lang w:val="en-GB"/>
      </w:rPr>
      <w:t>202122-587</w:t>
    </w:r>
    <w:r w:rsidR="00447FB4" w:rsidRPr="009B4976">
      <w:rPr>
        <w:rFonts w:ascii="Arial" w:hAnsi="Arial" w:cs="Arial"/>
        <w:sz w:val="18"/>
        <w:szCs w:val="18"/>
        <w:lang w:val="en-GB"/>
      </w:rPr>
      <w:t>.assessment</w:t>
    </w:r>
    <w:r w:rsidR="00447FB4">
      <w:rPr>
        <w:rFonts w:ascii="Arial" w:hAnsi="Arial" w:cs="Arial"/>
        <w:sz w:val="18"/>
        <w:szCs w:val="18"/>
        <w:lang w:val="en-GB"/>
      </w:rPr>
      <w:t>3A</w:t>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01CE" w14:textId="77777777" w:rsidR="00E75363" w:rsidRDefault="00E75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D72A9" w14:textId="77777777" w:rsidR="00460D1D" w:rsidRDefault="00460D1D" w:rsidP="00241B44">
      <w:r>
        <w:separator/>
      </w:r>
    </w:p>
  </w:footnote>
  <w:footnote w:type="continuationSeparator" w:id="0">
    <w:p w14:paraId="12304F42" w14:textId="77777777" w:rsidR="00460D1D" w:rsidRDefault="00460D1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8348" w14:textId="77777777" w:rsidR="00E75363" w:rsidRDefault="00E75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CDB1" w14:textId="77777777" w:rsidR="00E75363" w:rsidRDefault="00E75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B089" w14:textId="77777777" w:rsidR="00E75363" w:rsidRDefault="00E75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62D73"/>
    <w:multiLevelType w:val="hybridMultilevel"/>
    <w:tmpl w:val="7CB8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11E8"/>
    <w:multiLevelType w:val="hybridMultilevel"/>
    <w:tmpl w:val="A75C06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E538A"/>
    <w:multiLevelType w:val="hybridMultilevel"/>
    <w:tmpl w:val="57AE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6675A"/>
    <w:multiLevelType w:val="hybridMultilevel"/>
    <w:tmpl w:val="8DE8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F07D4"/>
    <w:multiLevelType w:val="hybridMultilevel"/>
    <w:tmpl w:val="20E6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76336"/>
    <w:multiLevelType w:val="hybridMultilevel"/>
    <w:tmpl w:val="C520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350BDF"/>
    <w:multiLevelType w:val="hybridMultilevel"/>
    <w:tmpl w:val="16BE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2200B1"/>
    <w:multiLevelType w:val="hybridMultilevel"/>
    <w:tmpl w:val="29CA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E015EE"/>
    <w:multiLevelType w:val="hybridMultilevel"/>
    <w:tmpl w:val="158E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13597"/>
    <w:multiLevelType w:val="hybridMultilevel"/>
    <w:tmpl w:val="5BB6D830"/>
    <w:lvl w:ilvl="0" w:tplc="DDC6A72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2" w15:restartNumberingAfterBreak="0">
    <w:nsid w:val="7DDF2339"/>
    <w:multiLevelType w:val="hybridMultilevel"/>
    <w:tmpl w:val="DE4C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5"/>
  </w:num>
  <w:num w:numId="5">
    <w:abstractNumId w:val="6"/>
  </w:num>
  <w:num w:numId="6">
    <w:abstractNumId w:val="19"/>
  </w:num>
  <w:num w:numId="7">
    <w:abstractNumId w:val="4"/>
  </w:num>
  <w:num w:numId="8">
    <w:abstractNumId w:val="21"/>
  </w:num>
  <w:num w:numId="9">
    <w:abstractNumId w:val="7"/>
  </w:num>
  <w:num w:numId="10">
    <w:abstractNumId w:val="15"/>
  </w:num>
  <w:num w:numId="11">
    <w:abstractNumId w:val="8"/>
  </w:num>
  <w:num w:numId="12">
    <w:abstractNumId w:val="12"/>
  </w:num>
  <w:num w:numId="13">
    <w:abstractNumId w:val="0"/>
  </w:num>
  <w:num w:numId="14">
    <w:abstractNumId w:val="14"/>
  </w:num>
  <w:num w:numId="15">
    <w:abstractNumId w:val="22"/>
  </w:num>
  <w:num w:numId="16">
    <w:abstractNumId w:val="16"/>
  </w:num>
  <w:num w:numId="17">
    <w:abstractNumId w:val="2"/>
  </w:num>
  <w:num w:numId="18">
    <w:abstractNumId w:val="9"/>
  </w:num>
  <w:num w:numId="19">
    <w:abstractNumId w:val="11"/>
  </w:num>
  <w:num w:numId="20">
    <w:abstractNumId w:val="10"/>
  </w:num>
  <w:num w:numId="21">
    <w:abstractNumId w:val="1"/>
  </w:num>
  <w:num w:numId="22">
    <w:abstractNumId w:val="18"/>
  </w:num>
  <w:num w:numId="2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4703"/>
    <w:rsid w:val="0001655B"/>
    <w:rsid w:val="00020557"/>
    <w:rsid w:val="00021FC2"/>
    <w:rsid w:val="00022E00"/>
    <w:rsid w:val="000250C7"/>
    <w:rsid w:val="00026F16"/>
    <w:rsid w:val="00037621"/>
    <w:rsid w:val="00037671"/>
    <w:rsid w:val="00044D46"/>
    <w:rsid w:val="00045088"/>
    <w:rsid w:val="00045904"/>
    <w:rsid w:val="000502FD"/>
    <w:rsid w:val="00065166"/>
    <w:rsid w:val="00080852"/>
    <w:rsid w:val="00082609"/>
    <w:rsid w:val="000851CC"/>
    <w:rsid w:val="00093BE8"/>
    <w:rsid w:val="00097B45"/>
    <w:rsid w:val="000A407B"/>
    <w:rsid w:val="000A636A"/>
    <w:rsid w:val="000A6420"/>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62F13"/>
    <w:rsid w:val="00180548"/>
    <w:rsid w:val="00180AC4"/>
    <w:rsid w:val="00180CCE"/>
    <w:rsid w:val="001825AA"/>
    <w:rsid w:val="0018267A"/>
    <w:rsid w:val="00182779"/>
    <w:rsid w:val="001830DF"/>
    <w:rsid w:val="00184EA9"/>
    <w:rsid w:val="001966D9"/>
    <w:rsid w:val="001A7E9A"/>
    <w:rsid w:val="001B0F70"/>
    <w:rsid w:val="001B5016"/>
    <w:rsid w:val="001C45FC"/>
    <w:rsid w:val="001D0469"/>
    <w:rsid w:val="001D4862"/>
    <w:rsid w:val="001E25B9"/>
    <w:rsid w:val="001E49E0"/>
    <w:rsid w:val="001E7B5A"/>
    <w:rsid w:val="001F7412"/>
    <w:rsid w:val="00202DFE"/>
    <w:rsid w:val="00205FAB"/>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036A"/>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758F9"/>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2D87"/>
    <w:rsid w:val="00415F1F"/>
    <w:rsid w:val="0042108F"/>
    <w:rsid w:val="004248F6"/>
    <w:rsid w:val="004273B0"/>
    <w:rsid w:val="00430FED"/>
    <w:rsid w:val="00434A8C"/>
    <w:rsid w:val="00437297"/>
    <w:rsid w:val="00444284"/>
    <w:rsid w:val="00445CE6"/>
    <w:rsid w:val="00447FB4"/>
    <w:rsid w:val="004534C2"/>
    <w:rsid w:val="0045446F"/>
    <w:rsid w:val="00455018"/>
    <w:rsid w:val="0045683E"/>
    <w:rsid w:val="00460D1D"/>
    <w:rsid w:val="00472003"/>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0218"/>
    <w:rsid w:val="006D6BD5"/>
    <w:rsid w:val="006E481A"/>
    <w:rsid w:val="006E5298"/>
    <w:rsid w:val="006F2008"/>
    <w:rsid w:val="006F4A78"/>
    <w:rsid w:val="006F734A"/>
    <w:rsid w:val="00700D83"/>
    <w:rsid w:val="00704852"/>
    <w:rsid w:val="007074E9"/>
    <w:rsid w:val="0070788F"/>
    <w:rsid w:val="00713DA4"/>
    <w:rsid w:val="00714BF1"/>
    <w:rsid w:val="00717C2C"/>
    <w:rsid w:val="00721383"/>
    <w:rsid w:val="0073158B"/>
    <w:rsid w:val="007333CC"/>
    <w:rsid w:val="0073399A"/>
    <w:rsid w:val="007603F5"/>
    <w:rsid w:val="00764DB0"/>
    <w:rsid w:val="0076764D"/>
    <w:rsid w:val="007726ED"/>
    <w:rsid w:val="0077498C"/>
    <w:rsid w:val="00777C53"/>
    <w:rsid w:val="007809BC"/>
    <w:rsid w:val="00784128"/>
    <w:rsid w:val="00787BCC"/>
    <w:rsid w:val="00793173"/>
    <w:rsid w:val="007A2A33"/>
    <w:rsid w:val="007B0809"/>
    <w:rsid w:val="007B5C89"/>
    <w:rsid w:val="007C1FCC"/>
    <w:rsid w:val="007C6201"/>
    <w:rsid w:val="007D0192"/>
    <w:rsid w:val="007D7C92"/>
    <w:rsid w:val="007E0443"/>
    <w:rsid w:val="007E1154"/>
    <w:rsid w:val="007E6BA4"/>
    <w:rsid w:val="007F12AB"/>
    <w:rsid w:val="007F41F8"/>
    <w:rsid w:val="007F659B"/>
    <w:rsid w:val="007F73DE"/>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0B87"/>
    <w:rsid w:val="009E2AEB"/>
    <w:rsid w:val="009E2E27"/>
    <w:rsid w:val="009E45DF"/>
    <w:rsid w:val="009E4DE3"/>
    <w:rsid w:val="009F275E"/>
    <w:rsid w:val="009F326A"/>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AC7"/>
    <w:rsid w:val="00A94F58"/>
    <w:rsid w:val="00A95463"/>
    <w:rsid w:val="00A96489"/>
    <w:rsid w:val="00AA7BE3"/>
    <w:rsid w:val="00AB1B65"/>
    <w:rsid w:val="00AB2425"/>
    <w:rsid w:val="00AB685C"/>
    <w:rsid w:val="00AB6C2D"/>
    <w:rsid w:val="00AC08F7"/>
    <w:rsid w:val="00AC3839"/>
    <w:rsid w:val="00AC7082"/>
    <w:rsid w:val="00AD4BE8"/>
    <w:rsid w:val="00AF0906"/>
    <w:rsid w:val="00AF228E"/>
    <w:rsid w:val="00B016A8"/>
    <w:rsid w:val="00B10961"/>
    <w:rsid w:val="00B14819"/>
    <w:rsid w:val="00B15E2F"/>
    <w:rsid w:val="00B17AA9"/>
    <w:rsid w:val="00B254F5"/>
    <w:rsid w:val="00B27E6E"/>
    <w:rsid w:val="00B44713"/>
    <w:rsid w:val="00B56103"/>
    <w:rsid w:val="00B64929"/>
    <w:rsid w:val="00B736DF"/>
    <w:rsid w:val="00B743D6"/>
    <w:rsid w:val="00B74FBD"/>
    <w:rsid w:val="00B77F46"/>
    <w:rsid w:val="00B82586"/>
    <w:rsid w:val="00B829A3"/>
    <w:rsid w:val="00B86DB1"/>
    <w:rsid w:val="00B87869"/>
    <w:rsid w:val="00B9639B"/>
    <w:rsid w:val="00BA4FF1"/>
    <w:rsid w:val="00BB0F2B"/>
    <w:rsid w:val="00BD4A58"/>
    <w:rsid w:val="00BD7337"/>
    <w:rsid w:val="00BE3244"/>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3290"/>
    <w:rsid w:val="00C651D6"/>
    <w:rsid w:val="00C72848"/>
    <w:rsid w:val="00C7736C"/>
    <w:rsid w:val="00C82D87"/>
    <w:rsid w:val="00C8712A"/>
    <w:rsid w:val="00C87E0A"/>
    <w:rsid w:val="00C902C8"/>
    <w:rsid w:val="00C908E2"/>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586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456D"/>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5363"/>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45D23"/>
    <w:rsid w:val="00F469E7"/>
    <w:rsid w:val="00F5524B"/>
    <w:rsid w:val="00F60538"/>
    <w:rsid w:val="00F61DD2"/>
    <w:rsid w:val="00F65EBA"/>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A2185-EBF7-4765-8378-B6058E85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3689</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Billy Foley</cp:lastModifiedBy>
  <cp:revision>2</cp:revision>
  <cp:lastPrinted>2019-08-27T05:42:00Z</cp:lastPrinted>
  <dcterms:created xsi:type="dcterms:W3CDTF">2022-07-30T19:21:00Z</dcterms:created>
  <dcterms:modified xsi:type="dcterms:W3CDTF">2022-07-30T19:21:00Z</dcterms:modified>
</cp:coreProperties>
</file>