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286642">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0F5F80" w:rsidRDefault="00A6325B" w:rsidP="006F4751">
      <w:pPr>
        <w:pStyle w:val="ListParagraph"/>
        <w:numPr>
          <w:ilvl w:val="1"/>
          <w:numId w:val="5"/>
        </w:numPr>
        <w:ind w:left="426"/>
        <w:jc w:val="both"/>
        <w:rPr>
          <w:rFonts w:ascii="Arial" w:hAnsi="Arial" w:cs="Arial"/>
          <w:sz w:val="22"/>
          <w:szCs w:val="22"/>
          <w:highlight w:val="yellow"/>
          <w:lang w:val="en-GB"/>
        </w:rPr>
      </w:pPr>
      <w:r w:rsidRPr="000F5F80">
        <w:rPr>
          <w:rFonts w:ascii="Arial" w:hAnsi="Arial" w:cs="Arial"/>
          <w:sz w:val="22"/>
          <w:szCs w:val="22"/>
          <w:highlight w:val="yellow"/>
          <w:lang w:val="en-GB"/>
        </w:rPr>
        <w:t>a</w:t>
      </w:r>
      <w:r w:rsidR="00286642" w:rsidRPr="000F5F80">
        <w:rPr>
          <w:rFonts w:ascii="Arial" w:hAnsi="Arial" w:cs="Arial"/>
          <w:sz w:val="22"/>
          <w:szCs w:val="22"/>
          <w:highlight w:val="yellow"/>
          <w:lang w:val="en-GB"/>
        </w:rPr>
        <w:t>ny of the above</w:t>
      </w:r>
      <w:r w:rsidRPr="000F5F80">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0F5F80" w:rsidRDefault="005D093D" w:rsidP="009578F6">
      <w:pPr>
        <w:pStyle w:val="ListParagraph"/>
        <w:numPr>
          <w:ilvl w:val="0"/>
          <w:numId w:val="6"/>
        </w:numPr>
        <w:ind w:left="426"/>
        <w:jc w:val="both"/>
        <w:rPr>
          <w:rFonts w:ascii="Arial" w:hAnsi="Arial" w:cs="Arial"/>
          <w:sz w:val="22"/>
          <w:szCs w:val="22"/>
          <w:highlight w:val="yellow"/>
          <w:lang w:val="en-GB"/>
        </w:rPr>
      </w:pPr>
      <w:r w:rsidRPr="000F5F80">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803FDF" w:rsidRDefault="00B81F6E" w:rsidP="006F4751">
      <w:pPr>
        <w:pStyle w:val="ListParagraph"/>
        <w:numPr>
          <w:ilvl w:val="1"/>
          <w:numId w:val="7"/>
        </w:numPr>
        <w:ind w:left="426"/>
        <w:jc w:val="both"/>
        <w:rPr>
          <w:rFonts w:ascii="Arial" w:hAnsi="Arial" w:cs="Arial"/>
          <w:sz w:val="22"/>
          <w:szCs w:val="22"/>
          <w:highlight w:val="yellow"/>
          <w:lang w:val="en-GB"/>
        </w:rPr>
      </w:pPr>
      <w:r w:rsidRPr="00803FDF">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791E9F" w:rsidRDefault="00FE53A3" w:rsidP="009578F6">
      <w:pPr>
        <w:pStyle w:val="ListParagraph"/>
        <w:numPr>
          <w:ilvl w:val="0"/>
          <w:numId w:val="8"/>
        </w:numPr>
        <w:ind w:left="426"/>
        <w:jc w:val="both"/>
        <w:rPr>
          <w:rFonts w:ascii="Arial" w:hAnsi="Arial" w:cs="Arial"/>
          <w:sz w:val="22"/>
          <w:szCs w:val="22"/>
          <w:highlight w:val="yellow"/>
          <w:lang w:val="en-GB"/>
        </w:rPr>
      </w:pPr>
      <w:r w:rsidRPr="00791E9F">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B0084D" w:rsidRDefault="0041438F" w:rsidP="009578F6">
      <w:pPr>
        <w:pStyle w:val="ListParagraph"/>
        <w:numPr>
          <w:ilvl w:val="0"/>
          <w:numId w:val="9"/>
        </w:numPr>
        <w:ind w:left="426"/>
        <w:jc w:val="both"/>
        <w:rPr>
          <w:rFonts w:ascii="Arial" w:hAnsi="Arial" w:cs="Arial"/>
          <w:sz w:val="22"/>
          <w:szCs w:val="22"/>
          <w:highlight w:val="yellow"/>
          <w:lang w:val="en-GB"/>
        </w:rPr>
      </w:pPr>
      <w:r w:rsidRPr="00B0084D">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B0084D" w:rsidRDefault="006F4751" w:rsidP="009578F6">
      <w:pPr>
        <w:pStyle w:val="ListParagraph"/>
        <w:numPr>
          <w:ilvl w:val="0"/>
          <w:numId w:val="10"/>
        </w:numPr>
        <w:ind w:left="426"/>
        <w:jc w:val="both"/>
        <w:rPr>
          <w:rFonts w:ascii="Arial" w:hAnsi="Arial" w:cs="Arial"/>
          <w:sz w:val="22"/>
          <w:szCs w:val="22"/>
          <w:highlight w:val="yellow"/>
          <w:lang w:val="en-GB"/>
        </w:rPr>
      </w:pPr>
      <w:r w:rsidRPr="00B0084D">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E76657" w:rsidRDefault="00FD3A07" w:rsidP="009578F6">
      <w:pPr>
        <w:pStyle w:val="ListParagraph"/>
        <w:numPr>
          <w:ilvl w:val="0"/>
          <w:numId w:val="13"/>
        </w:numPr>
        <w:ind w:left="426"/>
        <w:jc w:val="both"/>
        <w:rPr>
          <w:rFonts w:ascii="Arial" w:eastAsiaTheme="minorHAnsi" w:hAnsi="Arial" w:cs="Arial"/>
          <w:sz w:val="22"/>
          <w:szCs w:val="22"/>
          <w:lang w:val="en-GB"/>
        </w:rPr>
      </w:pPr>
      <w:r w:rsidRPr="00E76657">
        <w:rPr>
          <w:rFonts w:ascii="Arial" w:hAnsi="Arial" w:cs="Arial"/>
          <w:sz w:val="22"/>
          <w:szCs w:val="22"/>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B0084D"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B0084D">
        <w:rPr>
          <w:rFonts w:ascii="Arial" w:hAnsi="Arial" w:cs="Arial"/>
          <w:sz w:val="22"/>
          <w:szCs w:val="22"/>
          <w:highlight w:val="yellow"/>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In a compulsory </w:t>
      </w:r>
      <w:r w:rsidRPr="002A42DD">
        <w:rPr>
          <w:rFonts w:ascii="Arial" w:hAnsi="Arial" w:cs="Arial"/>
          <w:sz w:val="22"/>
          <w:szCs w:val="22"/>
          <w:lang w:val="en-GB"/>
        </w:rPr>
        <w:t>winding up, at the first meeting of creditors where a resolution is proposed for the appointment of a liquidator, a creditor</w:t>
      </w:r>
      <w:r w:rsidRPr="009578F6">
        <w:rPr>
          <w:rFonts w:ascii="Arial" w:hAnsi="Arial" w:cs="Arial"/>
          <w:sz w:val="22"/>
          <w:szCs w:val="22"/>
          <w:lang w:val="en-GB"/>
        </w:rPr>
        <w:t xml:space="preserve">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494160">
        <w:rPr>
          <w:rFonts w:ascii="Arial" w:hAnsi="Arial" w:cs="Arial"/>
          <w:sz w:val="22"/>
          <w:szCs w:val="22"/>
          <w:highlight w:val="yellow"/>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E76657" w:rsidRDefault="00B22016" w:rsidP="00B22016">
      <w:pPr>
        <w:pStyle w:val="ListParagraph"/>
        <w:numPr>
          <w:ilvl w:val="1"/>
          <w:numId w:val="14"/>
        </w:numPr>
        <w:ind w:left="426"/>
        <w:jc w:val="both"/>
        <w:rPr>
          <w:rFonts w:ascii="Arial" w:hAnsi="Arial" w:cs="Arial"/>
          <w:sz w:val="22"/>
          <w:szCs w:val="22"/>
          <w:lang w:val="en-GB"/>
        </w:rPr>
      </w:pPr>
      <w:r w:rsidRPr="00E76657">
        <w:rPr>
          <w:rFonts w:ascii="Arial" w:hAnsi="Arial" w:cs="Arial"/>
          <w:sz w:val="22"/>
          <w:szCs w:val="22"/>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2D1456" w:rsidRDefault="005D54B3" w:rsidP="005D54B3">
      <w:pPr>
        <w:pStyle w:val="ListParagraph"/>
        <w:numPr>
          <w:ilvl w:val="0"/>
          <w:numId w:val="15"/>
        </w:numPr>
        <w:ind w:left="426"/>
        <w:jc w:val="both"/>
        <w:rPr>
          <w:rFonts w:ascii="Arial" w:hAnsi="Arial" w:cs="Arial"/>
          <w:sz w:val="22"/>
          <w:szCs w:val="22"/>
          <w:highlight w:val="yellow"/>
          <w:lang w:val="en-GB"/>
        </w:rPr>
      </w:pPr>
      <w:r w:rsidRPr="002D1456">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2D1456" w:rsidRDefault="005D54B3" w:rsidP="005D54B3">
      <w:pPr>
        <w:pStyle w:val="ListParagraph"/>
        <w:numPr>
          <w:ilvl w:val="0"/>
          <w:numId w:val="15"/>
        </w:numPr>
        <w:ind w:left="426"/>
        <w:jc w:val="both"/>
        <w:rPr>
          <w:rFonts w:ascii="Arial" w:hAnsi="Arial" w:cs="Arial"/>
          <w:sz w:val="22"/>
          <w:szCs w:val="22"/>
          <w:lang w:val="en-GB"/>
        </w:rPr>
      </w:pPr>
      <w:r w:rsidRPr="002D145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2D1456" w:rsidRDefault="009578F6" w:rsidP="009578F6">
      <w:pPr>
        <w:pStyle w:val="ListParagraph"/>
        <w:numPr>
          <w:ilvl w:val="0"/>
          <w:numId w:val="18"/>
        </w:numPr>
        <w:ind w:left="426"/>
        <w:jc w:val="both"/>
        <w:rPr>
          <w:rFonts w:ascii="Arial" w:hAnsi="Arial" w:cs="Arial"/>
          <w:sz w:val="22"/>
          <w:szCs w:val="22"/>
          <w:highlight w:val="yellow"/>
          <w:lang w:val="en-GB"/>
        </w:rPr>
      </w:pPr>
      <w:r w:rsidRPr="002D1456">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56DC784D" w14:textId="77777777" w:rsidR="00F425AF" w:rsidRDefault="00F425AF" w:rsidP="00F425AF">
      <w:pPr>
        <w:pStyle w:val="BodyText"/>
      </w:pPr>
      <w:r>
        <w:t>Under the Bankruptcy Ordinance (BO) a debtor must be an individual and in particular, section 4 of the BO provides that a debtor must:</w:t>
      </w:r>
    </w:p>
    <w:p w14:paraId="667AF298" w14:textId="77777777" w:rsidR="00F425AF" w:rsidRDefault="00F425AF" w:rsidP="00F425AF">
      <w:pPr>
        <w:pStyle w:val="BodyText"/>
      </w:pPr>
    </w:p>
    <w:p w14:paraId="18A83DEC" w14:textId="77777777" w:rsidR="00F425AF" w:rsidRDefault="00F425AF" w:rsidP="00F425AF">
      <w:pPr>
        <w:pStyle w:val="ListParagraph"/>
        <w:numPr>
          <w:ilvl w:val="0"/>
          <w:numId w:val="28"/>
        </w:numPr>
        <w:ind w:left="567" w:hanging="567"/>
        <w:jc w:val="both"/>
        <w:rPr>
          <w:rFonts w:ascii="Arial" w:hAnsi="Arial" w:cs="Arial"/>
          <w:color w:val="7B7B7B" w:themeColor="accent3" w:themeShade="BF"/>
          <w:sz w:val="22"/>
          <w:szCs w:val="22"/>
        </w:rPr>
      </w:pPr>
      <w:r w:rsidRPr="00F425AF">
        <w:rPr>
          <w:rFonts w:ascii="Arial" w:hAnsi="Arial" w:cs="Arial"/>
          <w:color w:val="7B7B7B" w:themeColor="accent3" w:themeShade="BF"/>
          <w:sz w:val="22"/>
          <w:szCs w:val="22"/>
        </w:rPr>
        <w:t xml:space="preserve">be domiciled in Hong Kong; </w:t>
      </w:r>
    </w:p>
    <w:p w14:paraId="3334AFA7" w14:textId="77777777" w:rsidR="00F425AF" w:rsidRDefault="00F425AF" w:rsidP="00F425AF">
      <w:pPr>
        <w:pStyle w:val="ListParagraph"/>
        <w:numPr>
          <w:ilvl w:val="0"/>
          <w:numId w:val="28"/>
        </w:numPr>
        <w:ind w:left="567" w:hanging="567"/>
        <w:jc w:val="both"/>
        <w:rPr>
          <w:rFonts w:ascii="Arial" w:hAnsi="Arial" w:cs="Arial"/>
          <w:color w:val="7B7B7B" w:themeColor="accent3" w:themeShade="BF"/>
          <w:sz w:val="22"/>
          <w:szCs w:val="22"/>
        </w:rPr>
      </w:pPr>
      <w:r w:rsidRPr="00F425AF">
        <w:rPr>
          <w:rFonts w:ascii="Arial" w:hAnsi="Arial" w:cs="Arial"/>
          <w:color w:val="7B7B7B" w:themeColor="accent3" w:themeShade="BF"/>
          <w:sz w:val="22"/>
          <w:szCs w:val="22"/>
        </w:rPr>
        <w:t xml:space="preserve">be personally present in Hong Kong on the day on which the petition is presented; or </w:t>
      </w:r>
    </w:p>
    <w:p w14:paraId="31246E41" w14:textId="342207D1" w:rsidR="003C10EB" w:rsidRDefault="00F425AF" w:rsidP="00F425AF">
      <w:pPr>
        <w:pStyle w:val="ListParagraph"/>
        <w:numPr>
          <w:ilvl w:val="0"/>
          <w:numId w:val="28"/>
        </w:numPr>
        <w:ind w:left="567" w:hanging="567"/>
        <w:jc w:val="both"/>
        <w:rPr>
          <w:rFonts w:ascii="Arial" w:hAnsi="Arial" w:cs="Arial"/>
          <w:color w:val="7B7B7B" w:themeColor="accent3" w:themeShade="BF"/>
          <w:sz w:val="22"/>
          <w:szCs w:val="22"/>
        </w:rPr>
      </w:pPr>
      <w:r w:rsidRPr="00F425AF">
        <w:rPr>
          <w:rFonts w:ascii="Arial" w:hAnsi="Arial" w:cs="Arial"/>
          <w:color w:val="7B7B7B" w:themeColor="accent3" w:themeShade="BF"/>
          <w:sz w:val="22"/>
          <w:szCs w:val="22"/>
        </w:rPr>
        <w:t>at any time in the period of three years ending with that day</w:t>
      </w:r>
      <w:r>
        <w:rPr>
          <w:rFonts w:ascii="Arial" w:hAnsi="Arial" w:cs="Arial"/>
          <w:color w:val="7B7B7B" w:themeColor="accent3" w:themeShade="BF"/>
          <w:sz w:val="22"/>
          <w:szCs w:val="22"/>
        </w:rPr>
        <w:t>:</w:t>
      </w:r>
    </w:p>
    <w:p w14:paraId="1892ACF4" w14:textId="77777777" w:rsidR="00F425AF" w:rsidRDefault="00F425AF" w:rsidP="00F425AF">
      <w:pPr>
        <w:pStyle w:val="ListParagraph"/>
        <w:ind w:left="1080"/>
        <w:jc w:val="both"/>
        <w:rPr>
          <w:rFonts w:ascii="Arial" w:hAnsi="Arial" w:cs="Arial"/>
          <w:color w:val="7B7B7B" w:themeColor="accent3" w:themeShade="BF"/>
          <w:sz w:val="22"/>
          <w:szCs w:val="22"/>
        </w:rPr>
      </w:pPr>
    </w:p>
    <w:p w14:paraId="6101BD6D" w14:textId="4300928E" w:rsidR="00F425AF" w:rsidRDefault="00F425AF" w:rsidP="00F425AF">
      <w:pPr>
        <w:pStyle w:val="ListParagraph"/>
        <w:numPr>
          <w:ilvl w:val="0"/>
          <w:numId w:val="29"/>
        </w:numPr>
        <w:ind w:left="1134"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have been ordinarily resident, or have had a place of residence in Hong Kong; or </w:t>
      </w:r>
    </w:p>
    <w:p w14:paraId="08032177" w14:textId="6962760E" w:rsidR="00F425AF" w:rsidRPr="00F425AF" w:rsidRDefault="00F425AF" w:rsidP="00F425AF">
      <w:pPr>
        <w:pStyle w:val="ListParagraph"/>
        <w:numPr>
          <w:ilvl w:val="0"/>
          <w:numId w:val="29"/>
        </w:numPr>
        <w:ind w:left="1134"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have carried on business in Hong Kong.</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6F3E43E3" w14:textId="4EF8CF18" w:rsidR="00F425AF" w:rsidRDefault="00F425AF" w:rsidP="00F425AF">
      <w:pPr>
        <w:pStyle w:val="BodyText"/>
      </w:pPr>
      <w:r>
        <w:t xml:space="preserve">The three core requirements that must be shown in court in order to establish that an unregistered company in Hong Kong is sufficiently connected to Hong Kong, thereby said company can be wound up are: </w:t>
      </w:r>
    </w:p>
    <w:p w14:paraId="3A2DA901" w14:textId="77777777" w:rsidR="00F425AF" w:rsidRDefault="00F425AF" w:rsidP="00F425AF">
      <w:pPr>
        <w:ind w:left="720" w:hanging="720"/>
        <w:jc w:val="both"/>
        <w:rPr>
          <w:rFonts w:ascii="Arial" w:hAnsi="Arial" w:cs="Arial"/>
          <w:color w:val="7B7B7B" w:themeColor="accent3" w:themeShade="BF"/>
          <w:sz w:val="22"/>
          <w:szCs w:val="22"/>
        </w:rPr>
      </w:pPr>
    </w:p>
    <w:p w14:paraId="04B96AAD" w14:textId="70C34BDB" w:rsidR="00F425AF" w:rsidRDefault="00F425AF" w:rsidP="00F425AF">
      <w:pPr>
        <w:pStyle w:val="ListParagraph"/>
        <w:numPr>
          <w:ilvl w:val="0"/>
          <w:numId w:val="31"/>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must be sufficient connection in Hong Kong (not necessarily referring to having assets within Hong Kong); </w:t>
      </w:r>
    </w:p>
    <w:p w14:paraId="5A655AEF" w14:textId="77777777" w:rsidR="00F425AF" w:rsidRDefault="00F425AF" w:rsidP="00F425AF">
      <w:pPr>
        <w:pStyle w:val="ListParagraph"/>
        <w:ind w:left="567"/>
        <w:jc w:val="both"/>
        <w:rPr>
          <w:rFonts w:ascii="Arial" w:hAnsi="Arial" w:cs="Arial"/>
          <w:color w:val="7B7B7B" w:themeColor="accent3" w:themeShade="BF"/>
          <w:sz w:val="22"/>
          <w:szCs w:val="22"/>
        </w:rPr>
      </w:pPr>
    </w:p>
    <w:p w14:paraId="0F421675" w14:textId="0254BE91" w:rsidR="00F425AF" w:rsidRDefault="00F425AF" w:rsidP="00F425AF">
      <w:pPr>
        <w:pStyle w:val="ListParagraph"/>
        <w:numPr>
          <w:ilvl w:val="0"/>
          <w:numId w:val="31"/>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must be a reasonable possibility that the winding up order would benefit those applying for it; and </w:t>
      </w:r>
    </w:p>
    <w:p w14:paraId="7D5E674D" w14:textId="77777777" w:rsidR="00F425AF" w:rsidRPr="00F425AF" w:rsidRDefault="00F425AF" w:rsidP="00F425AF">
      <w:pPr>
        <w:jc w:val="both"/>
        <w:rPr>
          <w:rFonts w:ascii="Arial" w:hAnsi="Arial" w:cs="Arial"/>
          <w:color w:val="7B7B7B" w:themeColor="accent3" w:themeShade="BF"/>
          <w:sz w:val="22"/>
          <w:szCs w:val="22"/>
        </w:rPr>
      </w:pPr>
    </w:p>
    <w:p w14:paraId="081F6BB0" w14:textId="74863662" w:rsidR="00F425AF" w:rsidRPr="00F425AF" w:rsidRDefault="00F425AF" w:rsidP="00F425AF">
      <w:pPr>
        <w:pStyle w:val="ListParagraph"/>
        <w:numPr>
          <w:ilvl w:val="0"/>
          <w:numId w:val="31"/>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must be able to exercise jurisdiction over one or more person interested in the distribution of the company’s assets. </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7E5863D8" w14:textId="6970EE82" w:rsidR="00F425AF" w:rsidRDefault="00F425AF" w:rsidP="00F425AF">
      <w:pPr>
        <w:pStyle w:val="BodyText"/>
      </w:pPr>
      <w:r>
        <w:t>A provisional liquidator can be appointed pursuant to section 193 of the Companies (Winding Up and Miscellaneous Provisions) Ordinance (CWUMPO)</w:t>
      </w:r>
      <w:r w:rsidR="00593C91">
        <w:t xml:space="preserve">. </w:t>
      </w:r>
    </w:p>
    <w:p w14:paraId="3EDE18F9" w14:textId="77777777" w:rsidR="00593C91" w:rsidRDefault="00593C91" w:rsidP="00F425AF">
      <w:pPr>
        <w:pStyle w:val="BodyText"/>
      </w:pPr>
    </w:p>
    <w:p w14:paraId="2C7ADA34" w14:textId="51FD643F" w:rsidR="00593C91" w:rsidRDefault="00593C91" w:rsidP="00F425AF">
      <w:pPr>
        <w:pStyle w:val="BodyText"/>
      </w:pPr>
      <w:r>
        <w:t xml:space="preserve">A provisional liquidator can be appointed by filing an application in court any time after a winding up petition has been presented and in an urgent case, the appointment applicant can be made same time as the winding up petition. Note that, even when a voluntary liquidator has been appointed, the court still has jurisdiction to appoint a provisional liquidator. </w:t>
      </w:r>
      <w:r w:rsidR="00407C02">
        <w:t xml:space="preserve">The court must be satisfied that there are circumstances justifying the </w:t>
      </w:r>
      <w:r w:rsidR="00407C02">
        <w:lastRenderedPageBreak/>
        <w:t xml:space="preserve">appointment of a provisional liquidator, for example - there is a risk that assets will be dissipated, or otherwise in jeopardy before a winding up order is made. The court will also take into consideration factors including commercial realities, the degree of urgency, the need for the order and balance of convenience. The court is empowered to limit and restrict the powers of a court-appointed provisional liquidator. </w:t>
      </w:r>
    </w:p>
    <w:p w14:paraId="00FBAD31" w14:textId="77777777" w:rsidR="00407C02" w:rsidRDefault="00407C02" w:rsidP="00F425AF">
      <w:pPr>
        <w:pStyle w:val="BodyText"/>
      </w:pPr>
    </w:p>
    <w:p w14:paraId="522FDE48" w14:textId="2742551E" w:rsidR="00407C02" w:rsidRDefault="00407C02" w:rsidP="00F425AF">
      <w:pPr>
        <w:pStyle w:val="BodyText"/>
      </w:pPr>
      <w:r>
        <w:t xml:space="preserve">The function of a provisional liquidator includes: </w:t>
      </w:r>
    </w:p>
    <w:p w14:paraId="2878397E" w14:textId="77777777" w:rsidR="00407C02" w:rsidRDefault="00407C02" w:rsidP="00F425AF">
      <w:pPr>
        <w:pStyle w:val="BodyText"/>
      </w:pPr>
    </w:p>
    <w:p w14:paraId="36C8182C" w14:textId="218971CB" w:rsidR="00407C02" w:rsidRDefault="00407C02" w:rsidP="00407C02">
      <w:pPr>
        <w:pStyle w:val="BodyText"/>
        <w:numPr>
          <w:ilvl w:val="0"/>
          <w:numId w:val="33"/>
        </w:numPr>
        <w:ind w:left="567" w:hanging="567"/>
      </w:pPr>
      <w:r>
        <w:t xml:space="preserve">preserving assets in the period after the presentation of the petition but before winding up order is made. The provisional liquidator does not have to </w:t>
      </w:r>
      <w:proofErr w:type="spellStart"/>
      <w:r>
        <w:t>realise</w:t>
      </w:r>
      <w:proofErr w:type="spellEnd"/>
      <w:r>
        <w:t xml:space="preserve"> those assets (save in situation where </w:t>
      </w:r>
      <w:proofErr w:type="spellStart"/>
      <w:r>
        <w:t>realising</w:t>
      </w:r>
      <w:proofErr w:type="spellEnd"/>
      <w:r>
        <w:t xml:space="preserve"> the assets is necessary to preserve them). </w:t>
      </w:r>
    </w:p>
    <w:p w14:paraId="735E7C3F" w14:textId="77777777" w:rsidR="00C42288" w:rsidRDefault="00C42288" w:rsidP="00C42288">
      <w:pPr>
        <w:pStyle w:val="BodyText"/>
        <w:ind w:left="567"/>
      </w:pPr>
    </w:p>
    <w:p w14:paraId="685BB707" w14:textId="7FFF4EEB" w:rsidR="00407C02" w:rsidRDefault="00407C02" w:rsidP="00407C02">
      <w:pPr>
        <w:pStyle w:val="BodyText"/>
        <w:numPr>
          <w:ilvl w:val="0"/>
          <w:numId w:val="33"/>
        </w:numPr>
        <w:ind w:left="567" w:hanging="567"/>
      </w:pPr>
      <w:r>
        <w:t xml:space="preserve">Sell assets only upon specific application is made in court. </w:t>
      </w:r>
    </w:p>
    <w:p w14:paraId="0AD165F1" w14:textId="77777777" w:rsidR="00C42288" w:rsidRDefault="00C42288" w:rsidP="00C42288">
      <w:pPr>
        <w:pStyle w:val="BodyText"/>
      </w:pPr>
    </w:p>
    <w:p w14:paraId="7FF1F2DF" w14:textId="4C85F98B" w:rsidR="00407C02" w:rsidRDefault="00407C02" w:rsidP="00407C02">
      <w:pPr>
        <w:pStyle w:val="BodyText"/>
        <w:numPr>
          <w:ilvl w:val="0"/>
          <w:numId w:val="33"/>
        </w:numPr>
        <w:ind w:left="567" w:hanging="567"/>
      </w:pPr>
      <w:r>
        <w:t xml:space="preserve">To help facilitate a restructuring proposal (note that this cannot be the sole reason for appointment). </w:t>
      </w:r>
    </w:p>
    <w:p w14:paraId="09E42449" w14:textId="77777777" w:rsidR="00F425AF" w:rsidRDefault="00F425AF" w:rsidP="00F425AF">
      <w:pPr>
        <w:pStyle w:val="BodyText"/>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2130B289" w14:textId="255EBFC7" w:rsidR="00654D1D" w:rsidRDefault="00797EE0" w:rsidP="00797EE0">
      <w:pPr>
        <w:pStyle w:val="BodyText"/>
      </w:pPr>
      <w:r>
        <w:t>A liquidator is empowered to take action against unfair preference as such transaction occurs when the insolvent company places a creditor in a better position than it would have been upon liquidation of the company</w:t>
      </w:r>
      <w:r w:rsidR="00355C25">
        <w:t xml:space="preserve">. </w:t>
      </w:r>
      <w:r>
        <w:t>To successfully claim undue preference, the liquidator must show that</w:t>
      </w:r>
      <w:r w:rsidR="00654D1D">
        <w:t>:</w:t>
      </w:r>
      <w:r>
        <w:t xml:space="preserve"> </w:t>
      </w:r>
    </w:p>
    <w:p w14:paraId="39E8E183" w14:textId="77777777" w:rsidR="00654D1D" w:rsidRDefault="00654D1D" w:rsidP="00797EE0">
      <w:pPr>
        <w:pStyle w:val="BodyText"/>
      </w:pPr>
    </w:p>
    <w:p w14:paraId="4C5283BB" w14:textId="5B18D998" w:rsidR="00797EE0" w:rsidRDefault="00654D1D" w:rsidP="00654D1D">
      <w:pPr>
        <w:pStyle w:val="BodyText"/>
        <w:numPr>
          <w:ilvl w:val="0"/>
          <w:numId w:val="34"/>
        </w:numPr>
        <w:ind w:left="567" w:hanging="567"/>
      </w:pPr>
      <w:r>
        <w:t>A</w:t>
      </w:r>
      <w:r w:rsidR="00797EE0">
        <w:t xml:space="preserve">t the time of the alleged undue preference was given, the company was unable to pay its debt or became unable to pay its debt as a result of the undue preference transaction. </w:t>
      </w:r>
    </w:p>
    <w:p w14:paraId="3EF008EA" w14:textId="77777777" w:rsidR="00355C25" w:rsidRDefault="00355C25" w:rsidP="00355C25">
      <w:pPr>
        <w:pStyle w:val="BodyText"/>
        <w:ind w:left="567"/>
      </w:pPr>
    </w:p>
    <w:p w14:paraId="1992C7C3" w14:textId="5951594D" w:rsidR="00355C25" w:rsidRDefault="00355C25" w:rsidP="00355C25">
      <w:pPr>
        <w:pStyle w:val="BodyText"/>
        <w:ind w:left="567"/>
      </w:pPr>
      <w:r>
        <w:t xml:space="preserve">This is presumed against a recipient who is “a person connected with the company”, but such presumption is open to challenge by the recipient of the undue preference. To establish that one is a “person connected”, he/she would be an “associate” of the company or director/shadow director of the company. </w:t>
      </w:r>
    </w:p>
    <w:p w14:paraId="54475DC3" w14:textId="77777777" w:rsidR="00355C25" w:rsidRDefault="00355C25" w:rsidP="00355C25">
      <w:pPr>
        <w:pStyle w:val="BodyText"/>
        <w:ind w:left="567"/>
      </w:pPr>
    </w:p>
    <w:p w14:paraId="556B9B2C" w14:textId="2C97BD56" w:rsidR="00654D1D" w:rsidRPr="005D2CD6" w:rsidRDefault="00654D1D" w:rsidP="00654D1D">
      <w:pPr>
        <w:pStyle w:val="BodyText"/>
        <w:numPr>
          <w:ilvl w:val="0"/>
          <w:numId w:val="34"/>
        </w:numPr>
        <w:ind w:left="567" w:hanging="567"/>
      </w:pPr>
      <w:r>
        <w:t xml:space="preserve">The company was “influenced by a desire” to improve the creditor’s position when the company goes into liquidation. In practice, this element is difficult to establish. Based on the test set out and adopted in the cases of </w:t>
      </w:r>
      <w:r w:rsidRPr="00654D1D">
        <w:rPr>
          <w:i/>
        </w:rPr>
        <w:t>Re MC Bacon</w:t>
      </w:r>
      <w:r>
        <w:t xml:space="preserve"> [1990] BCLC 324 and </w:t>
      </w:r>
      <w:r w:rsidR="00F83B7D">
        <w:rPr>
          <w:i/>
        </w:rPr>
        <w:t xml:space="preserve">Hong Kong Osman Mohammed Arab </w:t>
      </w:r>
      <w:r w:rsidR="00F83B7D">
        <w:t xml:space="preserve">[2017] HKEC 2435, </w:t>
      </w:r>
      <w:r w:rsidR="00355C25">
        <w:t xml:space="preserve">a transaction will not be set aside as an unfair preference “unless the company positively wished to improve the creditor’s position in the event of its own insolvent liquidation” and a person does not “desire” all of the “necessary consequences of his actions”. Example of such undue preference is when a company gave to its bank a mortgage over an asset and the court considered there were no good grounds to grant the mortgage and that the company </w:t>
      </w:r>
      <w:proofErr w:type="spellStart"/>
      <w:r w:rsidR="00355C25">
        <w:t>deseired</w:t>
      </w:r>
      <w:proofErr w:type="spellEnd"/>
      <w:r w:rsidR="00355C25">
        <w:t xml:space="preserve"> to prefer the bank because personal bankruptcy proceedings were being threaten against the company’s directors (</w:t>
      </w:r>
      <w:r w:rsidR="00355C25">
        <w:rPr>
          <w:i/>
        </w:rPr>
        <w:t xml:space="preserve">see Re </w:t>
      </w:r>
      <w:proofErr w:type="spellStart"/>
      <w:r w:rsidR="00355C25">
        <w:rPr>
          <w:i/>
        </w:rPr>
        <w:t>Sweetmart</w:t>
      </w:r>
      <w:proofErr w:type="spellEnd"/>
      <w:r w:rsidR="00355C25">
        <w:rPr>
          <w:i/>
        </w:rPr>
        <w:t xml:space="preserve"> Garment </w:t>
      </w:r>
      <w:r w:rsidR="00355C25">
        <w:t xml:space="preserve">[2008] 2 HK 252. </w:t>
      </w:r>
    </w:p>
    <w:p w14:paraId="57CBC3D6" w14:textId="3F24D756" w:rsidR="005D446E" w:rsidRDefault="005D446E" w:rsidP="00E14FA7">
      <w:pPr>
        <w:jc w:val="both"/>
        <w:rPr>
          <w:rFonts w:ascii="Arial" w:hAnsi="Arial" w:cs="Arial"/>
          <w:color w:val="808080" w:themeColor="background1" w:themeShade="80"/>
          <w:sz w:val="22"/>
          <w:szCs w:val="22"/>
          <w:lang w:val="en-GB"/>
        </w:rPr>
      </w:pPr>
    </w:p>
    <w:p w14:paraId="5915870E" w14:textId="77777777" w:rsidR="003C5E71" w:rsidRDefault="003C5E71" w:rsidP="00E14FA7">
      <w:pPr>
        <w:jc w:val="both"/>
        <w:rPr>
          <w:rFonts w:ascii="Arial" w:hAnsi="Arial" w:cs="Arial"/>
          <w:color w:val="808080" w:themeColor="background1" w:themeShade="80"/>
          <w:sz w:val="22"/>
          <w:szCs w:val="22"/>
          <w:lang w:val="en-GB"/>
        </w:rPr>
      </w:pPr>
    </w:p>
    <w:p w14:paraId="29EB0917" w14:textId="77777777" w:rsidR="003C5E71" w:rsidRDefault="003C5E71" w:rsidP="00E14FA7">
      <w:pPr>
        <w:jc w:val="both"/>
        <w:rPr>
          <w:rFonts w:ascii="Arial" w:hAnsi="Arial" w:cs="Arial"/>
          <w:color w:val="808080" w:themeColor="background1" w:themeShade="80"/>
          <w:sz w:val="22"/>
          <w:szCs w:val="22"/>
          <w:lang w:val="en-GB"/>
        </w:rPr>
      </w:pPr>
    </w:p>
    <w:p w14:paraId="38C88B80" w14:textId="77777777" w:rsidR="003C5E71" w:rsidRDefault="003C5E71" w:rsidP="00E14FA7">
      <w:pPr>
        <w:jc w:val="both"/>
        <w:rPr>
          <w:rFonts w:ascii="Arial" w:hAnsi="Arial" w:cs="Arial"/>
          <w:color w:val="808080" w:themeColor="background1" w:themeShade="80"/>
          <w:sz w:val="22"/>
          <w:szCs w:val="22"/>
          <w:lang w:val="en-GB"/>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lastRenderedPageBreak/>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0D853162" w14:textId="3AE3BEFC" w:rsidR="00A73DD7" w:rsidRDefault="00E01E29" w:rsidP="00A73DD7">
      <w:pPr>
        <w:pStyle w:val="BodyText"/>
      </w:pPr>
      <w:r>
        <w:t xml:space="preserve">Such </w:t>
      </w:r>
      <w:r w:rsidR="00A73DD7">
        <w:t xml:space="preserve">a </w:t>
      </w:r>
      <w:r>
        <w:t>s</w:t>
      </w:r>
      <w:r w:rsidR="00A73DD7">
        <w:t xml:space="preserve">tatement would be correct prior to May 2021. Hong Kong has not adopted the UNCITRAL Model Law, has not sign any international treaties in relation to cross-border insolvency nor has it enter into any bilateral agreements with </w:t>
      </w:r>
      <w:r w:rsidR="00085524">
        <w:t xml:space="preserve">the Mainland. Therefore, prior to May 2021, the difficulty of cross-border insolvency matters between Hong Kong and the Mainland were dealt via common law. </w:t>
      </w:r>
    </w:p>
    <w:p w14:paraId="4E22A70F" w14:textId="77777777" w:rsidR="00085524" w:rsidRDefault="00085524" w:rsidP="00A73DD7">
      <w:pPr>
        <w:pStyle w:val="BodyText"/>
      </w:pPr>
    </w:p>
    <w:p w14:paraId="226FB84D" w14:textId="6823C606" w:rsidR="00085524" w:rsidRDefault="00085524" w:rsidP="00A73DD7">
      <w:pPr>
        <w:pStyle w:val="BodyText"/>
      </w:pPr>
      <w:r>
        <w:t xml:space="preserve">Under the common law, there is now at least 2 cases where the Hong Kong courts gave recognition to officeholders from the Mainland, despite it not being a common law jurisdiction. However, under the Mainland law, for a proceeding (including those from Hong Kong) to be recognized in the Mainland, there needs to be reciprocity. </w:t>
      </w:r>
    </w:p>
    <w:p w14:paraId="06896009" w14:textId="77777777" w:rsidR="00A73DD7" w:rsidRDefault="00A73DD7" w:rsidP="00A73DD7">
      <w:pPr>
        <w:jc w:val="both"/>
        <w:rPr>
          <w:rFonts w:ascii="Arial" w:hAnsi="Arial" w:cs="Arial"/>
          <w:color w:val="7B7B7B" w:themeColor="accent3" w:themeShade="BF"/>
          <w:sz w:val="22"/>
          <w:szCs w:val="22"/>
        </w:rPr>
      </w:pPr>
    </w:p>
    <w:p w14:paraId="2A349965" w14:textId="621114DC" w:rsidR="006527C0" w:rsidRDefault="00A73DD7" w:rsidP="00A73DD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from May 202</w:t>
      </w:r>
      <w:r w:rsidR="00764670">
        <w:rPr>
          <w:rFonts w:ascii="Arial" w:hAnsi="Arial" w:cs="Arial"/>
          <w:color w:val="7B7B7B" w:themeColor="accent3" w:themeShade="BF"/>
          <w:sz w:val="22"/>
          <w:szCs w:val="22"/>
        </w:rPr>
        <w:t>1</w:t>
      </w:r>
      <w:r>
        <w:rPr>
          <w:rFonts w:ascii="Arial" w:hAnsi="Arial" w:cs="Arial"/>
          <w:color w:val="7B7B7B" w:themeColor="accent3" w:themeShade="BF"/>
          <w:sz w:val="22"/>
          <w:szCs w:val="22"/>
        </w:rPr>
        <w:t>, new arrangement</w:t>
      </w:r>
      <w:r w:rsidR="00764670">
        <w:rPr>
          <w:rFonts w:ascii="Arial" w:hAnsi="Arial" w:cs="Arial"/>
          <w:color w:val="7B7B7B" w:themeColor="accent3" w:themeShade="BF"/>
          <w:sz w:val="22"/>
          <w:szCs w:val="22"/>
        </w:rPr>
        <w:t xml:space="preserve"> of cooperation mechanism</w:t>
      </w:r>
      <w:r>
        <w:rPr>
          <w:rFonts w:ascii="Arial" w:hAnsi="Arial" w:cs="Arial"/>
          <w:color w:val="7B7B7B" w:themeColor="accent3" w:themeShade="BF"/>
          <w:sz w:val="22"/>
          <w:szCs w:val="22"/>
        </w:rPr>
        <w:t xml:space="preserve"> was made between Hong Kong and certain </w:t>
      </w:r>
      <w:r w:rsidR="00764670">
        <w:rPr>
          <w:rFonts w:ascii="Arial" w:hAnsi="Arial" w:cs="Arial"/>
          <w:color w:val="7B7B7B" w:themeColor="accent3" w:themeShade="BF"/>
          <w:sz w:val="22"/>
          <w:szCs w:val="22"/>
        </w:rPr>
        <w:t xml:space="preserve">areas of the Mainland, namely Shanghai, Xia Men and Shenzhen which are the designated pilot areas. </w:t>
      </w:r>
      <w:r w:rsidR="006527C0">
        <w:rPr>
          <w:rFonts w:ascii="Arial" w:hAnsi="Arial" w:cs="Arial"/>
          <w:color w:val="7B7B7B" w:themeColor="accent3" w:themeShade="BF"/>
          <w:sz w:val="22"/>
          <w:szCs w:val="22"/>
        </w:rPr>
        <w:t xml:space="preserve">Such cooperation mechanism stemmed from the record of meeting between representatives from Hong Kong and the Mainland and is intended to further Article 95 of the Basic Law – which states that “The Hong Kong Special Administrative Region may, through consultations and in accordance with law, maintain juridical relations with the judicial organs of other parts of the country and they may render assistance to each other”. </w:t>
      </w:r>
    </w:p>
    <w:p w14:paraId="5A3C2A2E" w14:textId="77777777" w:rsidR="00595317" w:rsidRDefault="00595317" w:rsidP="00A73DD7">
      <w:pPr>
        <w:jc w:val="both"/>
        <w:rPr>
          <w:rFonts w:ascii="Arial" w:hAnsi="Arial" w:cs="Arial"/>
          <w:color w:val="7B7B7B" w:themeColor="accent3" w:themeShade="BF"/>
          <w:sz w:val="22"/>
          <w:szCs w:val="22"/>
        </w:rPr>
      </w:pPr>
    </w:p>
    <w:p w14:paraId="2DD074BE" w14:textId="77777777" w:rsidR="00595317" w:rsidRDefault="00595317" w:rsidP="00A73DD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Based on the record of meeting, supplemented by an opinion of the Supreme Court:</w:t>
      </w:r>
    </w:p>
    <w:p w14:paraId="512B0A37" w14:textId="311B75AA" w:rsidR="00595317" w:rsidRDefault="00595317" w:rsidP="00A73DD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6E027B7D" w14:textId="062BA832" w:rsidR="00595317" w:rsidRDefault="00595317" w:rsidP="00595317">
      <w:pPr>
        <w:pStyle w:val="ListParagraph"/>
        <w:numPr>
          <w:ilvl w:val="0"/>
          <w:numId w:val="35"/>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Hong Kong appointed liquidator or provisional liquidator is entitled to apply for recognition in the Mainland. Similarly, Mainland appointed administrators can apply for recognition in Hong Kong. </w:t>
      </w:r>
    </w:p>
    <w:p w14:paraId="7EFF45A7" w14:textId="630E68CF" w:rsidR="00595317" w:rsidRDefault="00595317" w:rsidP="00595317">
      <w:pPr>
        <w:pStyle w:val="ListParagraph"/>
        <w:numPr>
          <w:ilvl w:val="0"/>
          <w:numId w:val="35"/>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“Hong Kong Insolvency Proceedings” mean any collective insolvency proceedings commenced under CWUMPO or the CO, including compulsory liquidations, creditors’ voluntary liquidations and scheme of arrangement which involves a liquidator or provisional liquidator. </w:t>
      </w:r>
    </w:p>
    <w:p w14:paraId="3AD7BF04" w14:textId="20AFAB8D" w:rsidR="00595317" w:rsidRDefault="00595317" w:rsidP="00595317">
      <w:pPr>
        <w:pStyle w:val="ListParagraph"/>
        <w:numPr>
          <w:ilvl w:val="0"/>
          <w:numId w:val="35"/>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debtor’s </w:t>
      </w:r>
      <w:proofErr w:type="spellStart"/>
      <w:r>
        <w:rPr>
          <w:rFonts w:ascii="Arial" w:hAnsi="Arial" w:cs="Arial"/>
          <w:color w:val="7B7B7B" w:themeColor="accent3" w:themeShade="BF"/>
          <w:sz w:val="22"/>
          <w:szCs w:val="22"/>
        </w:rPr>
        <w:t>centre</w:t>
      </w:r>
      <w:proofErr w:type="spellEnd"/>
      <w:r>
        <w:rPr>
          <w:rFonts w:ascii="Arial" w:hAnsi="Arial" w:cs="Arial"/>
          <w:color w:val="7B7B7B" w:themeColor="accent3" w:themeShade="BF"/>
          <w:sz w:val="22"/>
          <w:szCs w:val="22"/>
        </w:rPr>
        <w:t xml:space="preserve"> of main interest (COMI) must be in Hong Kong. For this purpose, COMI would generally mean place of incorporation of the debtor but the Supreme Court has also stated that other factors to be taken into account is the place of principal office, the principal place of business, place of principal assets of the debtor. The Supreme Court also stated that when a Hong Kong administrator applies for recognition and assistance before the Mainland courts, the COMI of the debtor shall have been in Hong Kong Special Administrative Region continuously for at least 6 months. </w:t>
      </w:r>
    </w:p>
    <w:p w14:paraId="4E81A49F" w14:textId="3889CE31" w:rsidR="00595317" w:rsidRPr="00595317" w:rsidRDefault="00595317" w:rsidP="00595317">
      <w:pPr>
        <w:pStyle w:val="ListParagraph"/>
        <w:numPr>
          <w:ilvl w:val="0"/>
          <w:numId w:val="35"/>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Supreme Court also stated that </w:t>
      </w:r>
      <w:r w:rsidR="00A317EE">
        <w:rPr>
          <w:rFonts w:ascii="Arial" w:hAnsi="Arial" w:cs="Arial"/>
          <w:color w:val="7B7B7B" w:themeColor="accent3" w:themeShade="BF"/>
          <w:sz w:val="22"/>
          <w:szCs w:val="22"/>
        </w:rPr>
        <w:t xml:space="preserve">a Hong Kong administrator may apply for recognition and assistance to the Hong Kong Insolvency Proceeding, </w:t>
      </w:r>
      <w:r>
        <w:rPr>
          <w:rFonts w:ascii="Arial" w:hAnsi="Arial" w:cs="Arial"/>
          <w:color w:val="7B7B7B" w:themeColor="accent3" w:themeShade="BF"/>
          <w:sz w:val="22"/>
          <w:szCs w:val="22"/>
        </w:rPr>
        <w:t>if the debtor’s p</w:t>
      </w:r>
      <w:r w:rsidR="00A317EE">
        <w:rPr>
          <w:rFonts w:ascii="Arial" w:hAnsi="Arial" w:cs="Arial"/>
          <w:color w:val="7B7B7B" w:themeColor="accent3" w:themeShade="BF"/>
          <w:sz w:val="22"/>
          <w:szCs w:val="22"/>
        </w:rPr>
        <w:t>rincipal asset</w:t>
      </w:r>
      <w:r>
        <w:rPr>
          <w:rFonts w:ascii="Arial" w:hAnsi="Arial" w:cs="Arial"/>
          <w:color w:val="7B7B7B" w:themeColor="accent3" w:themeShade="BF"/>
          <w:sz w:val="22"/>
          <w:szCs w:val="22"/>
        </w:rPr>
        <w:t xml:space="preserve">s in the Mainland are in the pilot area, or it has a place of business </w:t>
      </w:r>
      <w:r w:rsidR="00A317EE">
        <w:rPr>
          <w:rFonts w:ascii="Arial" w:hAnsi="Arial" w:cs="Arial"/>
          <w:color w:val="7B7B7B" w:themeColor="accent3" w:themeShade="BF"/>
          <w:sz w:val="22"/>
          <w:szCs w:val="22"/>
        </w:rPr>
        <w:t>or a representative office in a pilot area, the Hong Kong administrator.</w:t>
      </w:r>
    </w:p>
    <w:p w14:paraId="31DAF833" w14:textId="77777777" w:rsidR="00A317EE" w:rsidRDefault="00A317EE" w:rsidP="00A317EE">
      <w:pPr>
        <w:pStyle w:val="ListParagraph"/>
        <w:numPr>
          <w:ilvl w:val="0"/>
          <w:numId w:val="35"/>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Must obtain a letter of request from the Hong Kong Court to support the recognition application in Mainland court. </w:t>
      </w:r>
    </w:p>
    <w:p w14:paraId="6A381B90" w14:textId="058641A7" w:rsidR="003E220B" w:rsidRDefault="003E220B" w:rsidP="00E14FA7">
      <w:pPr>
        <w:jc w:val="both"/>
        <w:rPr>
          <w:rFonts w:ascii="Arial" w:hAnsi="Arial" w:cs="Arial"/>
          <w:color w:val="7B7B7B" w:themeColor="accent3" w:themeShade="BF"/>
          <w:sz w:val="22"/>
          <w:szCs w:val="22"/>
          <w:lang w:val="en-GB"/>
        </w:rPr>
      </w:pPr>
    </w:p>
    <w:p w14:paraId="63D7BA55" w14:textId="77777777" w:rsidR="00D75D34" w:rsidRDefault="00D75D34" w:rsidP="00E14FA7">
      <w:pPr>
        <w:jc w:val="both"/>
        <w:rPr>
          <w:rFonts w:ascii="Arial" w:hAnsi="Arial" w:cs="Arial"/>
          <w:color w:val="7B7B7B" w:themeColor="accent3" w:themeShade="BF"/>
          <w:sz w:val="22"/>
          <w:szCs w:val="22"/>
          <w:lang w:val="en-GB"/>
        </w:rPr>
      </w:pPr>
    </w:p>
    <w:p w14:paraId="66142D96" w14:textId="77777777" w:rsidR="00D75D34" w:rsidRDefault="00D75D34" w:rsidP="00E14FA7">
      <w:pPr>
        <w:jc w:val="both"/>
        <w:rPr>
          <w:rFonts w:ascii="Arial" w:hAnsi="Arial" w:cs="Arial"/>
          <w:color w:val="7B7B7B" w:themeColor="accent3" w:themeShade="BF"/>
          <w:sz w:val="22"/>
          <w:szCs w:val="22"/>
          <w:lang w:val="en-GB"/>
        </w:rPr>
      </w:pPr>
    </w:p>
    <w:p w14:paraId="2F25C41C" w14:textId="77777777" w:rsidR="00D75D34" w:rsidRDefault="00D75D34" w:rsidP="00E14FA7">
      <w:pPr>
        <w:jc w:val="both"/>
        <w:rPr>
          <w:rFonts w:ascii="Arial" w:hAnsi="Arial" w:cs="Arial"/>
          <w:color w:val="7B7B7B" w:themeColor="accent3" w:themeShade="BF"/>
          <w:sz w:val="22"/>
          <w:szCs w:val="22"/>
          <w:lang w:val="en-GB"/>
        </w:rPr>
      </w:pPr>
    </w:p>
    <w:p w14:paraId="56E1403C" w14:textId="77777777" w:rsidR="00D75D34" w:rsidRDefault="00D75D34"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lastRenderedPageBreak/>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4AC820A2" w14:textId="16E9BCAE" w:rsidR="003F6C7C" w:rsidRDefault="003F6C7C" w:rsidP="0039328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scheme of arrangement (SOA) is a statutory mechanism which enables a company to propose compromises/arrangements with its members/creditors (or any class of them), including adjustments of debts owed to its creditors or reduction of share capital. If such propose scheme is approved it will be binding on all, or the relevant, creditors. </w:t>
      </w:r>
      <w:r w:rsidR="001E572D">
        <w:rPr>
          <w:rFonts w:ascii="Arial" w:hAnsi="Arial" w:cs="Arial"/>
          <w:color w:val="7B7B7B" w:themeColor="accent3" w:themeShade="BF"/>
          <w:sz w:val="22"/>
          <w:szCs w:val="22"/>
        </w:rPr>
        <w:t xml:space="preserve">SOA is governed by sections 668 to 677 of the Companies Ordinance and Order 102 rule 2 and rule 5 of the Rules of the High Court. </w:t>
      </w:r>
      <w:r w:rsidR="00387378">
        <w:rPr>
          <w:rFonts w:ascii="Arial" w:hAnsi="Arial" w:cs="Arial"/>
          <w:color w:val="7B7B7B" w:themeColor="accent3" w:themeShade="BF"/>
          <w:sz w:val="22"/>
          <w:szCs w:val="22"/>
        </w:rPr>
        <w:t xml:space="preserve">Essentially, SOA is a three stage procedure as follows: </w:t>
      </w:r>
    </w:p>
    <w:p w14:paraId="55C59C76" w14:textId="77777777" w:rsidR="00387378" w:rsidRDefault="00387378" w:rsidP="0039328C">
      <w:pPr>
        <w:jc w:val="both"/>
        <w:rPr>
          <w:rFonts w:ascii="Arial" w:hAnsi="Arial" w:cs="Arial"/>
          <w:color w:val="7B7B7B" w:themeColor="accent3" w:themeShade="BF"/>
          <w:sz w:val="22"/>
          <w:szCs w:val="22"/>
        </w:rPr>
      </w:pPr>
    </w:p>
    <w:p w14:paraId="45B2C233" w14:textId="32545709" w:rsidR="009A7C49" w:rsidRDefault="00387378" w:rsidP="009A7C49">
      <w:pPr>
        <w:pStyle w:val="ListParagraph"/>
        <w:numPr>
          <w:ilvl w:val="0"/>
          <w:numId w:val="38"/>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Stage 1 – </w:t>
      </w:r>
      <w:r w:rsidRPr="00387378">
        <w:rPr>
          <w:rFonts w:ascii="Arial" w:hAnsi="Arial" w:cs="Arial"/>
          <w:color w:val="7B7B7B" w:themeColor="accent3" w:themeShade="BF"/>
          <w:sz w:val="22"/>
          <w:szCs w:val="22"/>
        </w:rPr>
        <w:t xml:space="preserve">The applicant company files an application in court (via originating summons) for leave to convene </w:t>
      </w:r>
      <w:r>
        <w:rPr>
          <w:rFonts w:ascii="Arial" w:hAnsi="Arial" w:cs="Arial"/>
          <w:color w:val="7B7B7B" w:themeColor="accent3" w:themeShade="BF"/>
          <w:sz w:val="22"/>
          <w:szCs w:val="22"/>
        </w:rPr>
        <w:t>scheme meeting with creditors to consider</w:t>
      </w:r>
      <w:r w:rsidRPr="00387378">
        <w:rPr>
          <w:rFonts w:ascii="Arial" w:hAnsi="Arial" w:cs="Arial"/>
          <w:color w:val="7B7B7B" w:themeColor="accent3" w:themeShade="BF"/>
          <w:sz w:val="22"/>
          <w:szCs w:val="22"/>
        </w:rPr>
        <w:t xml:space="preserve">, and if thought fit, approve scheme. The Court is empowered to provide directions on giving notice of and advertising such meetings to the relevant parties including inter alia creditors. </w:t>
      </w:r>
    </w:p>
    <w:p w14:paraId="126D8D0B" w14:textId="77777777" w:rsidR="009A7C49" w:rsidRDefault="009A7C49" w:rsidP="009A7C49">
      <w:pPr>
        <w:pStyle w:val="ListParagraph"/>
        <w:ind w:left="567"/>
        <w:jc w:val="both"/>
        <w:rPr>
          <w:rFonts w:ascii="Arial" w:hAnsi="Arial" w:cs="Arial"/>
          <w:color w:val="7B7B7B" w:themeColor="accent3" w:themeShade="BF"/>
          <w:sz w:val="22"/>
          <w:szCs w:val="22"/>
        </w:rPr>
      </w:pPr>
    </w:p>
    <w:p w14:paraId="0FC898C5" w14:textId="209D4A4A" w:rsidR="009A7C49" w:rsidRDefault="009A7C49" w:rsidP="009A7C49">
      <w:pPr>
        <w:pStyle w:val="ListParagraph"/>
        <w:ind w:left="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application must be accompanied by an affirmation to provide explanation regarding the proposed SOA including exhibiting a copy of the draft explanatory statement (in compliance with section 671 Companies </w:t>
      </w:r>
      <w:proofErr w:type="spellStart"/>
      <w:r>
        <w:rPr>
          <w:rFonts w:ascii="Arial" w:hAnsi="Arial" w:cs="Arial"/>
          <w:color w:val="7B7B7B" w:themeColor="accent3" w:themeShade="BF"/>
          <w:sz w:val="22"/>
          <w:szCs w:val="22"/>
        </w:rPr>
        <w:t>Ordiance</w:t>
      </w:r>
      <w:proofErr w:type="spellEnd"/>
      <w:r>
        <w:rPr>
          <w:rFonts w:ascii="Arial" w:hAnsi="Arial" w:cs="Arial"/>
          <w:color w:val="7B7B7B" w:themeColor="accent3" w:themeShade="BF"/>
          <w:sz w:val="22"/>
          <w:szCs w:val="22"/>
        </w:rPr>
        <w:t xml:space="preserve">), a draft scheme document, draft notices of scheme meeting, copy of proxy forms and draft advertisement to be published. </w:t>
      </w:r>
    </w:p>
    <w:p w14:paraId="48262470" w14:textId="77777777" w:rsidR="009A7C49" w:rsidRPr="00387378" w:rsidRDefault="009A7C49" w:rsidP="009A7C49">
      <w:pPr>
        <w:pStyle w:val="ListParagraph"/>
        <w:ind w:left="567"/>
        <w:jc w:val="both"/>
        <w:rPr>
          <w:rFonts w:ascii="Arial" w:hAnsi="Arial" w:cs="Arial"/>
          <w:color w:val="7B7B7B" w:themeColor="accent3" w:themeShade="BF"/>
          <w:sz w:val="22"/>
          <w:szCs w:val="22"/>
        </w:rPr>
      </w:pPr>
    </w:p>
    <w:p w14:paraId="30AFE8BD" w14:textId="1FF82E6A" w:rsidR="00387378" w:rsidRDefault="00387378" w:rsidP="00387378">
      <w:pPr>
        <w:pStyle w:val="ListParagraph"/>
        <w:numPr>
          <w:ilvl w:val="0"/>
          <w:numId w:val="38"/>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Stage 2 – The scheme meeting is convened where creditors vote on the proposed scheme. </w:t>
      </w:r>
    </w:p>
    <w:p w14:paraId="587C349B" w14:textId="77777777" w:rsidR="009A7C49" w:rsidRPr="009A7C49" w:rsidRDefault="009A7C49" w:rsidP="009A7C49">
      <w:pPr>
        <w:pStyle w:val="ListParagraph"/>
        <w:rPr>
          <w:rFonts w:ascii="Arial" w:hAnsi="Arial" w:cs="Arial"/>
          <w:color w:val="7B7B7B" w:themeColor="accent3" w:themeShade="BF"/>
          <w:sz w:val="22"/>
          <w:szCs w:val="22"/>
        </w:rPr>
      </w:pPr>
    </w:p>
    <w:p w14:paraId="0F194BC3" w14:textId="0EFBB143" w:rsidR="009A7C49" w:rsidRPr="00387378" w:rsidRDefault="009A7C49" w:rsidP="00387378">
      <w:pPr>
        <w:pStyle w:val="ListParagraph"/>
        <w:numPr>
          <w:ilvl w:val="0"/>
          <w:numId w:val="38"/>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Stage 3 – The applicant company files a petition for the Court to sanction the SOA. During this sanction stage, the court will also look into the issue of classification of creditors. </w:t>
      </w:r>
    </w:p>
    <w:p w14:paraId="7A98C1A9" w14:textId="77777777" w:rsidR="003F6C7C" w:rsidRDefault="003F6C7C" w:rsidP="0039328C">
      <w:pPr>
        <w:jc w:val="both"/>
        <w:rPr>
          <w:rFonts w:ascii="Arial" w:hAnsi="Arial" w:cs="Arial"/>
          <w:color w:val="7B7B7B" w:themeColor="accent3" w:themeShade="BF"/>
          <w:sz w:val="22"/>
          <w:szCs w:val="22"/>
        </w:rPr>
      </w:pPr>
    </w:p>
    <w:p w14:paraId="0353AADE" w14:textId="17EB6196" w:rsidR="003C10EB" w:rsidRDefault="0039328C" w:rsidP="0039328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One of the downside of a Hong Kong </w:t>
      </w:r>
      <w:r w:rsidR="003F6C7C">
        <w:rPr>
          <w:rFonts w:ascii="Arial" w:hAnsi="Arial" w:cs="Arial"/>
          <w:color w:val="7B7B7B" w:themeColor="accent3" w:themeShade="BF"/>
          <w:sz w:val="22"/>
          <w:szCs w:val="22"/>
        </w:rPr>
        <w:t xml:space="preserve">SOA </w:t>
      </w:r>
      <w:r>
        <w:rPr>
          <w:rFonts w:ascii="Arial" w:hAnsi="Arial" w:cs="Arial"/>
          <w:color w:val="7B7B7B" w:themeColor="accent3" w:themeShade="BF"/>
          <w:sz w:val="22"/>
          <w:szCs w:val="22"/>
        </w:rPr>
        <w:t xml:space="preserve">is the lack of moratorium. Contrary to other the mechanism of SOA of other nations such as that of Australia, UK or the US, there is on automatic moratorium that kicks in upon commencement of SOA which acts as a safe space for a financially distressed company to propose its scheme to creditors without being pressured by enforcement actions by creditors, for example. Due to the lack of statutory moratorium, or at all, the development in Hong Kong Law, namely the Rules of the High Court, is such that the court is empowered to make certain orders to stay court proceedings pending a winding up proceeding. The Court in </w:t>
      </w:r>
      <w:r>
        <w:rPr>
          <w:rFonts w:ascii="Arial" w:hAnsi="Arial" w:cs="Arial"/>
          <w:i/>
          <w:color w:val="7B7B7B" w:themeColor="accent3" w:themeShade="BF"/>
          <w:sz w:val="22"/>
          <w:szCs w:val="22"/>
        </w:rPr>
        <w:t xml:space="preserve">Eastman Chemical Ltd v </w:t>
      </w:r>
      <w:proofErr w:type="spellStart"/>
      <w:r>
        <w:rPr>
          <w:rFonts w:ascii="Arial" w:hAnsi="Arial" w:cs="Arial"/>
          <w:i/>
          <w:color w:val="7B7B7B" w:themeColor="accent3" w:themeShade="BF"/>
          <w:sz w:val="22"/>
          <w:szCs w:val="22"/>
        </w:rPr>
        <w:t>Heyro</w:t>
      </w:r>
      <w:proofErr w:type="spellEnd"/>
      <w:r>
        <w:rPr>
          <w:rFonts w:ascii="Arial" w:hAnsi="Arial" w:cs="Arial"/>
          <w:i/>
          <w:color w:val="7B7B7B" w:themeColor="accent3" w:themeShade="BF"/>
          <w:sz w:val="22"/>
          <w:szCs w:val="22"/>
        </w:rPr>
        <w:t xml:space="preserve"> Chemical Co Ltd </w:t>
      </w:r>
      <w:r>
        <w:rPr>
          <w:rFonts w:ascii="Arial" w:hAnsi="Arial" w:cs="Arial"/>
          <w:color w:val="7B7B7B" w:themeColor="accent3" w:themeShade="BF"/>
          <w:sz w:val="22"/>
          <w:szCs w:val="22"/>
        </w:rPr>
        <w:t>[2012] HKEC 272 has stated that pursuant to the Rules of the High Court</w:t>
      </w:r>
      <w:r w:rsidR="003F6C7C">
        <w:rPr>
          <w:rFonts w:ascii="Arial" w:hAnsi="Arial" w:cs="Arial"/>
          <w:color w:val="7B7B7B" w:themeColor="accent3" w:themeShade="BF"/>
          <w:sz w:val="22"/>
          <w:szCs w:val="22"/>
        </w:rPr>
        <w:t xml:space="preserve">, the court may grant a stay to aid a restructuring effort (one such as SOA) – as per UK Court in </w:t>
      </w:r>
      <w:proofErr w:type="spellStart"/>
      <w:r w:rsidR="003F6C7C">
        <w:rPr>
          <w:rFonts w:ascii="Arial" w:hAnsi="Arial" w:cs="Arial"/>
          <w:i/>
          <w:color w:val="7B7B7B" w:themeColor="accent3" w:themeShade="BF"/>
          <w:sz w:val="22"/>
          <w:szCs w:val="22"/>
        </w:rPr>
        <w:t>BlueCrest</w:t>
      </w:r>
      <w:proofErr w:type="spellEnd"/>
      <w:r w:rsidR="003F6C7C">
        <w:rPr>
          <w:rFonts w:ascii="Arial" w:hAnsi="Arial" w:cs="Arial"/>
          <w:i/>
          <w:color w:val="7B7B7B" w:themeColor="accent3" w:themeShade="BF"/>
          <w:sz w:val="22"/>
          <w:szCs w:val="22"/>
        </w:rPr>
        <w:t xml:space="preserve"> Mercantile</w:t>
      </w:r>
      <w:r w:rsidR="003F6C7C">
        <w:rPr>
          <w:rFonts w:ascii="Arial" w:hAnsi="Arial" w:cs="Arial"/>
          <w:color w:val="7B7B7B" w:themeColor="accent3" w:themeShade="BF"/>
          <w:sz w:val="22"/>
          <w:szCs w:val="22"/>
        </w:rPr>
        <w:t>.</w:t>
      </w:r>
    </w:p>
    <w:p w14:paraId="68CC1527" w14:textId="77777777" w:rsidR="009A7C49" w:rsidRDefault="009A7C49" w:rsidP="0039328C">
      <w:pPr>
        <w:jc w:val="both"/>
        <w:rPr>
          <w:rFonts w:ascii="Arial" w:hAnsi="Arial" w:cs="Arial"/>
          <w:color w:val="7B7B7B" w:themeColor="accent3" w:themeShade="BF"/>
          <w:sz w:val="22"/>
          <w:szCs w:val="22"/>
        </w:rPr>
      </w:pPr>
    </w:p>
    <w:p w14:paraId="216A296B" w14:textId="325E534D" w:rsidR="009A7C49" w:rsidRDefault="009A7C49" w:rsidP="0039328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Further, it is also a downside that the issue of classification of creditors are only considered during stage 3 of the SOA (sanction 3). As such, in reality, there is still a likelihood that the SOA will fail if the Court is of the view that the classification of creditors is not correct, after the all relevant creditors have considered the proposed scheme and scheme meetings had been convened with all necessary procedures complied. This will undoubtedly cause delay in the SOA process as the creditors would need to be re-classed, which would lead to increase in cost. It could be argued that matters concerning classification of creditors could also be decided by the court during stage 1 of the SOA. </w:t>
      </w:r>
    </w:p>
    <w:p w14:paraId="6D17393C" w14:textId="77777777" w:rsidR="009A7C49" w:rsidRDefault="009A7C49" w:rsidP="0039328C">
      <w:pPr>
        <w:jc w:val="both"/>
        <w:rPr>
          <w:rFonts w:ascii="Arial" w:hAnsi="Arial" w:cs="Arial"/>
          <w:color w:val="7B7B7B" w:themeColor="accent3" w:themeShade="BF"/>
          <w:sz w:val="22"/>
          <w:szCs w:val="22"/>
        </w:rPr>
      </w:pPr>
    </w:p>
    <w:p w14:paraId="41D4FAA7" w14:textId="2FB9833F" w:rsidR="00387378" w:rsidRDefault="00387378" w:rsidP="0039328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terms of procedure, unlike the UK SOA, in Hong Kong there is no requirement for a creditors’ issue letter (also known as practice statement letter) to be issued to notify scheme creditors, on a confidential basis, that the company is proposing to apply to curt to seek an </w:t>
      </w:r>
      <w:r>
        <w:rPr>
          <w:rFonts w:ascii="Arial" w:hAnsi="Arial" w:cs="Arial"/>
          <w:color w:val="7B7B7B" w:themeColor="accent3" w:themeShade="BF"/>
          <w:sz w:val="22"/>
          <w:szCs w:val="22"/>
        </w:rPr>
        <w:lastRenderedPageBreak/>
        <w:t>order to convene creditors meeting under a SOA and to provide details of the proposed scheme. As such, scheme creditors in Hong Kong do not get the benefit of an advance notice to consider the proposed scheme or rather to consider its options. Arguably, this benefits the applicant company as there is no risk of certain creditors taking steps which may adversely affect the company’s proposed scheme before the applicant file its application in court.</w:t>
      </w:r>
    </w:p>
    <w:p w14:paraId="7AECDF1A" w14:textId="77777777" w:rsidR="00A71E04" w:rsidRDefault="00A71E04" w:rsidP="0039328C">
      <w:pPr>
        <w:jc w:val="both"/>
        <w:rPr>
          <w:rFonts w:ascii="Arial" w:hAnsi="Arial" w:cs="Arial"/>
          <w:color w:val="7B7B7B" w:themeColor="accent3" w:themeShade="BF"/>
          <w:sz w:val="22"/>
          <w:szCs w:val="22"/>
        </w:rPr>
      </w:pPr>
    </w:p>
    <w:p w14:paraId="0A0C957B" w14:textId="2DD68D04" w:rsidR="00387378" w:rsidRPr="003F6C7C" w:rsidRDefault="00A71E04" w:rsidP="0039328C">
      <w:pPr>
        <w:jc w:val="both"/>
        <w:rPr>
          <w:rFonts w:ascii="Arial" w:hAnsi="Arial" w:cs="Arial"/>
          <w:sz w:val="22"/>
          <w:szCs w:val="22"/>
        </w:rPr>
      </w:pPr>
      <w:r>
        <w:rPr>
          <w:rFonts w:ascii="Arial" w:hAnsi="Arial" w:cs="Arial"/>
          <w:color w:val="7B7B7B" w:themeColor="accent3" w:themeShade="BF"/>
          <w:sz w:val="22"/>
          <w:szCs w:val="22"/>
        </w:rPr>
        <w:t xml:space="preserve">Under a SOA, it is beneficial to the applicant company as it does not need to obtain approval of 100% of relevant creditors to contractually vary debts owed to creditors. Scheme is also useful where there may be hold-out creditors who seek an unfair advantage or preferential treatment against other similarly ranked creditors. Under the proposed scheme, the company would have the liberty to propose scheme viable to its business and once the proposed scheme is approved, it binds all the relevant creditors (including dissenting creditors). </w:t>
      </w: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proofErr w:type="spellStart"/>
      <w:r w:rsidRPr="00D27A96">
        <w:rPr>
          <w:rFonts w:ascii="Arial" w:hAnsi="Arial" w:cs="Arial"/>
          <w:sz w:val="22"/>
          <w:szCs w:val="22"/>
        </w:rPr>
        <w:t>Mr</w:t>
      </w:r>
      <w:proofErr w:type="spellEnd"/>
      <w:r w:rsidRPr="00D27A96">
        <w:rPr>
          <w:rFonts w:ascii="Arial" w:hAnsi="Arial" w:cs="Arial"/>
          <w:sz w:val="22"/>
          <w:szCs w:val="22"/>
        </w:rPr>
        <w:t xml:space="preserve"> Chan is the sole director of </w:t>
      </w:r>
      <w:proofErr w:type="spellStart"/>
      <w:r w:rsidRPr="00D27A96">
        <w:rPr>
          <w:rFonts w:ascii="Arial" w:hAnsi="Arial" w:cs="Arial"/>
          <w:sz w:val="22"/>
          <w:szCs w:val="22"/>
        </w:rPr>
        <w:t>Mountainview</w:t>
      </w:r>
      <w:proofErr w:type="spellEnd"/>
      <w:r w:rsidRPr="00D27A96">
        <w:rPr>
          <w:rFonts w:ascii="Arial" w:hAnsi="Arial" w:cs="Arial"/>
          <w:sz w:val="22"/>
          <w:szCs w:val="22"/>
        </w:rPr>
        <w:t xml:space="preserve"> Limited, which is a Hong Kong incorporated company.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6F3675CC" w14:textId="4D2AC426" w:rsidR="005D6FE1" w:rsidRDefault="005D6FE1" w:rsidP="005D6FE1">
      <w:pPr>
        <w:pStyle w:val="BodyText"/>
      </w:pPr>
      <w:r>
        <w:t xml:space="preserve">From a legal insolvency point of view, an option available to </w:t>
      </w:r>
      <w:proofErr w:type="spellStart"/>
      <w:r>
        <w:t>Mr</w:t>
      </w:r>
      <w:proofErr w:type="spellEnd"/>
      <w:r>
        <w:t xml:space="preserve"> Chan would be to initiate liquidation of </w:t>
      </w:r>
      <w:proofErr w:type="spellStart"/>
      <w:r>
        <w:t>Mountainview</w:t>
      </w:r>
      <w:proofErr w:type="spellEnd"/>
      <w:r>
        <w:t xml:space="preserve"> Ltd through members’ voluntary liquidation. When </w:t>
      </w:r>
      <w:proofErr w:type="spellStart"/>
      <w:r>
        <w:t>Mr</w:t>
      </w:r>
      <w:proofErr w:type="spellEnd"/>
      <w:r>
        <w:t xml:space="preserve"> Chan said that his company is in “financial difficulties” and “is unlikely to be able to continue in business", firstly, it should be ascertained whether </w:t>
      </w:r>
      <w:proofErr w:type="spellStart"/>
      <w:r>
        <w:t>Mountainview</w:t>
      </w:r>
      <w:proofErr w:type="spellEnd"/>
      <w:r>
        <w:t xml:space="preserve"> Ltd will be able to satisfy the ground of “inability to pay debts” under section 178 of the CWUMPO. </w:t>
      </w:r>
      <w:proofErr w:type="spellStart"/>
      <w:r>
        <w:t>Mountainview</w:t>
      </w:r>
      <w:proofErr w:type="spellEnd"/>
      <w:r>
        <w:t xml:space="preserve"> Ltd would be regarded as unable to pay debts: </w:t>
      </w:r>
    </w:p>
    <w:p w14:paraId="7CB3B753" w14:textId="77777777" w:rsidR="005D6FE1" w:rsidRDefault="005D6FE1" w:rsidP="005D6FE1">
      <w:pPr>
        <w:pStyle w:val="BodyText"/>
      </w:pPr>
    </w:p>
    <w:p w14:paraId="158CDCF9" w14:textId="23A39232" w:rsidR="005D6FE1" w:rsidRDefault="005D6FE1" w:rsidP="005D6FE1">
      <w:pPr>
        <w:pStyle w:val="BodyText"/>
        <w:numPr>
          <w:ilvl w:val="0"/>
          <w:numId w:val="37"/>
        </w:numPr>
        <w:ind w:left="567" w:hanging="567"/>
      </w:pPr>
      <w:r>
        <w:t xml:space="preserve">If a creditor had issued a demand (as required under section 178 CWUMPO) for a sum of debt and for 3 weeks after the service of the demand, </w:t>
      </w:r>
      <w:proofErr w:type="spellStart"/>
      <w:r>
        <w:t>Mountainview</w:t>
      </w:r>
      <w:proofErr w:type="spellEnd"/>
      <w:r>
        <w:t xml:space="preserve"> Ltd neglected to pay the sum, or to secure or compound for it to the reasonable satisfaction of the creditor; or</w:t>
      </w:r>
    </w:p>
    <w:p w14:paraId="552C5F4E" w14:textId="3043B059" w:rsidR="005D6FE1" w:rsidRDefault="005D6FE1" w:rsidP="005D6FE1">
      <w:pPr>
        <w:pStyle w:val="BodyText"/>
        <w:numPr>
          <w:ilvl w:val="0"/>
          <w:numId w:val="37"/>
        </w:numPr>
        <w:ind w:left="567" w:hanging="567"/>
      </w:pPr>
      <w:r>
        <w:t xml:space="preserve"> If </w:t>
      </w:r>
      <w:proofErr w:type="spellStart"/>
      <w:r>
        <w:t>Mountainview</w:t>
      </w:r>
      <w:proofErr w:type="spellEnd"/>
      <w:r>
        <w:t xml:space="preserve"> Ltd is unable to satisfy execution (or other process) issued on a judgment, decree or order of any court in </w:t>
      </w:r>
      <w:proofErr w:type="spellStart"/>
      <w:r>
        <w:t>favour</w:t>
      </w:r>
      <w:proofErr w:type="spellEnd"/>
      <w:r>
        <w:t xml:space="preserve"> of a creditor.; or </w:t>
      </w:r>
    </w:p>
    <w:p w14:paraId="2FD108CB" w14:textId="1C0CEFBB" w:rsidR="005D6FE1" w:rsidRPr="005D6FE1" w:rsidRDefault="005D6FE1" w:rsidP="005D6FE1">
      <w:pPr>
        <w:pStyle w:val="BodyText"/>
        <w:numPr>
          <w:ilvl w:val="0"/>
          <w:numId w:val="37"/>
        </w:numPr>
        <w:ind w:left="567" w:hanging="567"/>
      </w:pPr>
      <w:r>
        <w:t xml:space="preserve">If it could be proved to the satisfaction of the court that </w:t>
      </w:r>
      <w:proofErr w:type="spellStart"/>
      <w:r>
        <w:t>Mountainview</w:t>
      </w:r>
      <w:proofErr w:type="spellEnd"/>
      <w:r>
        <w:t xml:space="preserve"> Ltd is unable to its debt and in determining whether </w:t>
      </w:r>
      <w:proofErr w:type="spellStart"/>
      <w:r>
        <w:t>Mountainview</w:t>
      </w:r>
      <w:proofErr w:type="spellEnd"/>
      <w:r>
        <w:t xml:space="preserve"> Ltd is unable to pay its debt, the court shall take into account the contingent and prospective liabilities of the company.</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54C73849" w14:textId="2A33A2A8" w:rsidR="005D6FE1" w:rsidRDefault="005D6FE1"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items (a), (b) or (c) could be proved, then </w:t>
      </w:r>
      <w:proofErr w:type="spellStart"/>
      <w:r w:rsidRPr="005D6FE1">
        <w:rPr>
          <w:rFonts w:ascii="Arial" w:hAnsi="Arial" w:cs="Arial"/>
          <w:color w:val="808080" w:themeColor="background1" w:themeShade="80"/>
          <w:sz w:val="22"/>
          <w:szCs w:val="22"/>
          <w:lang w:val="en-GB"/>
        </w:rPr>
        <w:t>Mountainview</w:t>
      </w:r>
      <w:proofErr w:type="spellEnd"/>
      <w:r w:rsidRPr="005D6FE1">
        <w:rPr>
          <w:rFonts w:ascii="Arial" w:hAnsi="Arial" w:cs="Arial"/>
          <w:color w:val="808080" w:themeColor="background1" w:themeShade="80"/>
          <w:sz w:val="22"/>
          <w:szCs w:val="22"/>
          <w:lang w:val="en-GB"/>
        </w:rPr>
        <w:t xml:space="preserve"> Ltd</w:t>
      </w:r>
      <w:r>
        <w:rPr>
          <w:rFonts w:ascii="Arial" w:hAnsi="Arial" w:cs="Arial"/>
          <w:color w:val="808080" w:themeColor="background1" w:themeShade="80"/>
          <w:sz w:val="22"/>
          <w:szCs w:val="22"/>
          <w:lang w:val="en-GB"/>
        </w:rPr>
        <w:t xml:space="preserve"> is unable to pay its debt thus it is possible for Mr Chan to enter into a </w:t>
      </w:r>
      <w:r w:rsidR="00DC3E64">
        <w:rPr>
          <w:rFonts w:ascii="Arial" w:hAnsi="Arial" w:cs="Arial"/>
          <w:color w:val="808080" w:themeColor="background1" w:themeShade="80"/>
          <w:sz w:val="22"/>
          <w:szCs w:val="22"/>
          <w:lang w:val="en-GB"/>
        </w:rPr>
        <w:t xml:space="preserve">members’ voluntary liquidation, as long as it can settle all its liabilities within 12 months from the commencement of the proceedings. </w:t>
      </w:r>
    </w:p>
    <w:p w14:paraId="3C6B3828" w14:textId="1DCDCEF3" w:rsidR="00DC3E64" w:rsidRDefault="00DC3E64" w:rsidP="00E14FA7">
      <w:pPr>
        <w:autoSpaceDE w:val="0"/>
        <w:autoSpaceDN w:val="0"/>
        <w:adjustRightInd w:val="0"/>
        <w:jc w:val="both"/>
        <w:rPr>
          <w:rFonts w:ascii="Arial" w:hAnsi="Arial" w:cs="Arial"/>
          <w:color w:val="808080" w:themeColor="background1" w:themeShade="80"/>
          <w:sz w:val="22"/>
          <w:szCs w:val="22"/>
          <w:lang w:val="en-GB"/>
        </w:rPr>
      </w:pPr>
    </w:p>
    <w:p w14:paraId="7B88F3F9" w14:textId="6E218C96" w:rsidR="00DC3E64" w:rsidRDefault="00DC3E64"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terms of procedural requirements: </w:t>
      </w:r>
    </w:p>
    <w:p w14:paraId="5725651C" w14:textId="77777777" w:rsidR="00DC3E64" w:rsidRDefault="00DC3E64" w:rsidP="00E14FA7">
      <w:pPr>
        <w:autoSpaceDE w:val="0"/>
        <w:autoSpaceDN w:val="0"/>
        <w:adjustRightInd w:val="0"/>
        <w:jc w:val="both"/>
        <w:rPr>
          <w:rFonts w:ascii="Arial" w:hAnsi="Arial" w:cs="Arial"/>
          <w:color w:val="808080" w:themeColor="background1" w:themeShade="80"/>
          <w:sz w:val="22"/>
          <w:szCs w:val="22"/>
          <w:lang w:val="en-GB"/>
        </w:rPr>
      </w:pPr>
    </w:p>
    <w:p w14:paraId="7D5FBA80" w14:textId="77777777" w:rsidR="00DC3E64" w:rsidRDefault="00DC3E64" w:rsidP="00DC3E64">
      <w:pPr>
        <w:pStyle w:val="ListParagraph"/>
        <w:numPr>
          <w:ilvl w:val="0"/>
          <w:numId w:val="37"/>
        </w:numPr>
        <w:autoSpaceDE w:val="0"/>
        <w:autoSpaceDN w:val="0"/>
        <w:adjustRightInd w:val="0"/>
        <w:ind w:left="567" w:hanging="567"/>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Chan is required to sign a “certificate of solvency”. </w:t>
      </w:r>
    </w:p>
    <w:p w14:paraId="2C185156" w14:textId="74DE1FB8" w:rsidR="00DC3E64" w:rsidRDefault="00DC3E64" w:rsidP="00DC3E64">
      <w:pPr>
        <w:pStyle w:val="ListParagraph"/>
        <w:numPr>
          <w:ilvl w:val="0"/>
          <w:numId w:val="37"/>
        </w:numPr>
        <w:autoSpaceDE w:val="0"/>
        <w:autoSpaceDN w:val="0"/>
        <w:adjustRightInd w:val="0"/>
        <w:ind w:left="567" w:hanging="567"/>
        <w:jc w:val="both"/>
        <w:rPr>
          <w:rFonts w:ascii="Arial" w:hAnsi="Arial" w:cs="Arial"/>
          <w:color w:val="808080" w:themeColor="background1" w:themeShade="80"/>
          <w:sz w:val="22"/>
          <w:szCs w:val="22"/>
          <w:lang w:val="en-GB"/>
        </w:rPr>
      </w:pPr>
      <w:r w:rsidRPr="00DC3E64">
        <w:rPr>
          <w:rFonts w:ascii="Arial" w:hAnsi="Arial" w:cs="Arial"/>
          <w:color w:val="808080" w:themeColor="background1" w:themeShade="80"/>
          <w:sz w:val="22"/>
          <w:szCs w:val="22"/>
          <w:lang w:val="en-GB"/>
        </w:rPr>
        <w:t xml:space="preserve">The shareholders of </w:t>
      </w:r>
      <w:proofErr w:type="spellStart"/>
      <w:r w:rsidRPr="00DC3E64">
        <w:rPr>
          <w:rFonts w:ascii="Arial" w:hAnsi="Arial" w:cs="Arial"/>
          <w:color w:val="808080" w:themeColor="background1" w:themeShade="80"/>
          <w:sz w:val="22"/>
          <w:szCs w:val="22"/>
          <w:lang w:val="en-GB"/>
        </w:rPr>
        <w:t>Mountainview</w:t>
      </w:r>
      <w:proofErr w:type="spellEnd"/>
      <w:r w:rsidRPr="00DC3E64">
        <w:rPr>
          <w:rFonts w:ascii="Arial" w:hAnsi="Arial" w:cs="Arial"/>
          <w:color w:val="808080" w:themeColor="background1" w:themeShade="80"/>
          <w:sz w:val="22"/>
          <w:szCs w:val="22"/>
          <w:lang w:val="en-GB"/>
        </w:rPr>
        <w:t xml:space="preserve"> Ltd</w:t>
      </w:r>
      <w:r>
        <w:rPr>
          <w:rFonts w:ascii="Arial" w:hAnsi="Arial" w:cs="Arial"/>
          <w:color w:val="808080" w:themeColor="background1" w:themeShade="80"/>
          <w:sz w:val="22"/>
          <w:szCs w:val="22"/>
          <w:lang w:val="en-GB"/>
        </w:rPr>
        <w:t xml:space="preserve"> must pass a special resolution for winding up and appointment of liquidators. </w:t>
      </w:r>
    </w:p>
    <w:p w14:paraId="0873BB86" w14:textId="77777777" w:rsidR="00DC3E64" w:rsidRDefault="00DC3E64" w:rsidP="00DC3E64">
      <w:pPr>
        <w:autoSpaceDE w:val="0"/>
        <w:autoSpaceDN w:val="0"/>
        <w:adjustRightInd w:val="0"/>
        <w:jc w:val="both"/>
        <w:rPr>
          <w:rFonts w:ascii="Arial" w:hAnsi="Arial" w:cs="Arial"/>
          <w:color w:val="808080" w:themeColor="background1" w:themeShade="80"/>
          <w:sz w:val="22"/>
          <w:szCs w:val="22"/>
          <w:lang w:val="en-GB"/>
        </w:rPr>
      </w:pPr>
    </w:p>
    <w:p w14:paraId="03C443FC" w14:textId="73455013" w:rsidR="00DC3E64" w:rsidRPr="00DC3E64" w:rsidRDefault="00DC3E64" w:rsidP="00DC3E64">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Once liquidator is appointed, the liquidator will take over control of </w:t>
      </w:r>
      <w:proofErr w:type="spellStart"/>
      <w:r w:rsidRPr="00DC3E64">
        <w:rPr>
          <w:rFonts w:ascii="Arial" w:hAnsi="Arial" w:cs="Arial"/>
          <w:color w:val="808080" w:themeColor="background1" w:themeShade="80"/>
          <w:sz w:val="22"/>
          <w:szCs w:val="22"/>
          <w:lang w:val="en-GB"/>
        </w:rPr>
        <w:t>Mountainview</w:t>
      </w:r>
      <w:proofErr w:type="spellEnd"/>
      <w:r w:rsidRPr="00DC3E64">
        <w:rPr>
          <w:rFonts w:ascii="Arial" w:hAnsi="Arial" w:cs="Arial"/>
          <w:color w:val="808080" w:themeColor="background1" w:themeShade="80"/>
          <w:sz w:val="22"/>
          <w:szCs w:val="22"/>
          <w:lang w:val="en-GB"/>
        </w:rPr>
        <w:t xml:space="preserve"> Ltd</w:t>
      </w:r>
      <w:r>
        <w:rPr>
          <w:rFonts w:ascii="Arial" w:hAnsi="Arial" w:cs="Arial"/>
          <w:color w:val="808080" w:themeColor="background1" w:themeShade="80"/>
          <w:sz w:val="22"/>
          <w:szCs w:val="22"/>
          <w:lang w:val="en-GB"/>
        </w:rPr>
        <w:t xml:space="preserve"> from Mr Chan and will investigate the affairs of the company including the conduct of Mr Chan. This is part of the appointed liquidator’s statutory duty therefore, there is no such thing as a “friendly liquidator” who will not investigate the company’s too closely as such liquidator is risking breach of statutory duty and professional negligence. Broadly, the duty of the liquidator also includes realising assets to make payments to creditors and then shareholders. The fees of the liquidator will also be paid out of the assets of the company with excess fund thereafter to be paid to members of </w:t>
      </w:r>
      <w:proofErr w:type="spellStart"/>
      <w:r w:rsidRPr="00DC3E64">
        <w:rPr>
          <w:rFonts w:ascii="Arial" w:hAnsi="Arial" w:cs="Arial"/>
          <w:color w:val="808080" w:themeColor="background1" w:themeShade="80"/>
          <w:sz w:val="22"/>
          <w:szCs w:val="22"/>
          <w:lang w:val="en-GB"/>
        </w:rPr>
        <w:t>Mountainview</w:t>
      </w:r>
      <w:proofErr w:type="spellEnd"/>
      <w:r w:rsidRPr="00DC3E64">
        <w:rPr>
          <w:rFonts w:ascii="Arial" w:hAnsi="Arial" w:cs="Arial"/>
          <w:color w:val="808080" w:themeColor="background1" w:themeShade="80"/>
          <w:sz w:val="22"/>
          <w:szCs w:val="22"/>
          <w:lang w:val="en-GB"/>
        </w:rPr>
        <w:t xml:space="preserve"> Ltd</w:t>
      </w:r>
      <w:r>
        <w:rPr>
          <w:rFonts w:ascii="Arial" w:hAnsi="Arial" w:cs="Arial"/>
          <w:color w:val="808080" w:themeColor="background1" w:themeShade="80"/>
          <w:sz w:val="22"/>
          <w:szCs w:val="22"/>
          <w:lang w:val="en-GB"/>
        </w:rPr>
        <w:t>.</w:t>
      </w:r>
    </w:p>
    <w:p w14:paraId="4A4E8F9B" w14:textId="77777777" w:rsidR="005D6FE1" w:rsidRDefault="005D6FE1" w:rsidP="00E14FA7">
      <w:pPr>
        <w:autoSpaceDE w:val="0"/>
        <w:autoSpaceDN w:val="0"/>
        <w:adjustRightInd w:val="0"/>
        <w:jc w:val="both"/>
        <w:rPr>
          <w:rFonts w:ascii="Arial" w:hAnsi="Arial" w:cs="Arial"/>
          <w:color w:val="808080" w:themeColor="background1" w:themeShade="80"/>
          <w:sz w:val="22"/>
          <w:szCs w:val="22"/>
          <w:lang w:val="en-GB"/>
        </w:rPr>
      </w:pPr>
    </w:p>
    <w:p w14:paraId="42E810E3" w14:textId="77777777" w:rsidR="005D6FE1" w:rsidRDefault="005D6FE1"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w:t>
      </w:r>
      <w:proofErr w:type="spellStart"/>
      <w:r w:rsidRPr="007E1E1F">
        <w:rPr>
          <w:rFonts w:ascii="Arial" w:hAnsi="Arial" w:cs="Arial"/>
          <w:sz w:val="22"/>
          <w:szCs w:val="22"/>
        </w:rPr>
        <w:t>mis</w:t>
      </w:r>
      <w:proofErr w:type="spellEnd"/>
      <w:r w:rsidRPr="007E1E1F">
        <w:rPr>
          <w:rFonts w:ascii="Arial" w:hAnsi="Arial" w:cs="Arial"/>
          <w:sz w:val="22"/>
          <w:szCs w:val="22"/>
        </w:rPr>
        <w:t>-match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w:t>
      </w:r>
      <w:proofErr w:type="spellStart"/>
      <w:r w:rsidRPr="007E1E1F">
        <w:rPr>
          <w:rFonts w:ascii="Arial" w:hAnsi="Arial" w:cs="Arial"/>
          <w:sz w:val="22"/>
          <w:szCs w:val="22"/>
        </w:rPr>
        <w:t>cashflow</w:t>
      </w:r>
      <w:proofErr w:type="spellEnd"/>
      <w:r w:rsidRPr="007E1E1F">
        <w:rPr>
          <w:rFonts w:ascii="Arial" w:hAnsi="Arial" w:cs="Arial"/>
          <w:sz w:val="22"/>
          <w:szCs w:val="22"/>
        </w:rPr>
        <w:t>;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2A42DD" w:rsidRDefault="007E1E1F" w:rsidP="007E1E1F">
      <w:pPr>
        <w:jc w:val="both"/>
        <w:rPr>
          <w:rFonts w:ascii="Arial" w:hAnsi="Arial" w:cs="Arial"/>
          <w:sz w:val="22"/>
          <w:szCs w:val="22"/>
        </w:rPr>
      </w:pPr>
      <w:r w:rsidRPr="002A42DD">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2A42DD" w:rsidRDefault="007E1E1F" w:rsidP="007E1E1F">
      <w:pPr>
        <w:pStyle w:val="ListParagraph"/>
        <w:jc w:val="both"/>
        <w:rPr>
          <w:rFonts w:ascii="Arial" w:hAnsi="Arial" w:cs="Arial"/>
          <w:sz w:val="22"/>
          <w:szCs w:val="22"/>
        </w:rPr>
      </w:pPr>
    </w:p>
    <w:p w14:paraId="67BB985E" w14:textId="6F017A88" w:rsidR="009B0723" w:rsidRPr="007E1E1F" w:rsidRDefault="007E1E1F" w:rsidP="007E1E1F">
      <w:pPr>
        <w:autoSpaceDE w:val="0"/>
        <w:autoSpaceDN w:val="0"/>
        <w:adjustRightInd w:val="0"/>
        <w:jc w:val="both"/>
        <w:rPr>
          <w:rFonts w:ascii="Arial" w:hAnsi="Arial" w:cs="Arial"/>
          <w:sz w:val="22"/>
          <w:szCs w:val="22"/>
          <w:lang w:val="en-GB"/>
        </w:rPr>
      </w:pPr>
      <w:r w:rsidRPr="002A42DD">
        <w:rPr>
          <w:rFonts w:ascii="Arial" w:hAnsi="Arial" w:cs="Arial"/>
          <w:sz w:val="22"/>
          <w:szCs w:val="22"/>
        </w:rPr>
        <w:t xml:space="preserve">Recently, GFL appointed a receiver pursuant to the charge executed in its </w:t>
      </w:r>
      <w:proofErr w:type="spellStart"/>
      <w:r w:rsidRPr="002A42DD">
        <w:rPr>
          <w:rFonts w:ascii="Arial" w:hAnsi="Arial" w:cs="Arial"/>
          <w:sz w:val="22"/>
          <w:szCs w:val="22"/>
        </w:rPr>
        <w:t>favour</w:t>
      </w:r>
      <w:proofErr w:type="spellEnd"/>
      <w:r w:rsidRPr="002A42DD">
        <w:rPr>
          <w:rFonts w:ascii="Arial" w:hAnsi="Arial" w:cs="Arial"/>
          <w:sz w:val="22"/>
          <w:szCs w:val="22"/>
        </w:rPr>
        <w:t>.  The company has also been wound up on a petition presented by another creditor and a liquidator appointed. The receivables appear to be Kite’s only assets</w:t>
      </w:r>
      <w:r w:rsidR="00DC3E64" w:rsidRPr="002A42DD">
        <w:rPr>
          <w:rFonts w:ascii="Arial" w:hAnsi="Arial" w:cs="Arial"/>
          <w:sz w:val="22"/>
          <w:szCs w:val="22"/>
        </w:rPr>
        <w:t xml:space="preserve">. </w:t>
      </w:r>
      <w:r w:rsidRPr="002A42DD">
        <w:rPr>
          <w:rFonts w:ascii="Arial" w:hAnsi="Arial" w:cs="Arial"/>
          <w:sz w:val="22"/>
          <w:szCs w:val="22"/>
        </w:rPr>
        <w:t xml:space="preserve">The liquidator asks for your advice on whether she can insist that the receiver hand over </w:t>
      </w:r>
      <w:proofErr w:type="spellStart"/>
      <w:r w:rsidRPr="002A42DD">
        <w:rPr>
          <w:rFonts w:ascii="Arial" w:hAnsi="Arial" w:cs="Arial"/>
          <w:sz w:val="22"/>
          <w:szCs w:val="22"/>
        </w:rPr>
        <w:t>realisations</w:t>
      </w:r>
      <w:proofErr w:type="spellEnd"/>
      <w:r w:rsidRPr="002A42DD">
        <w:rPr>
          <w:rFonts w:ascii="Arial" w:hAnsi="Arial" w:cs="Arial"/>
          <w:sz w:val="22"/>
          <w:szCs w:val="22"/>
        </w:rPr>
        <w:t xml:space="preserve">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0BE65079" w14:textId="56EC5B00" w:rsidR="00245B09" w:rsidRDefault="00245B09" w:rsidP="00245B09">
      <w:pPr>
        <w:pStyle w:val="BodyText"/>
      </w:pPr>
      <w:r>
        <w:t xml:space="preserve">The liquidator of Kite is entitled to take action to challenge the charge given in </w:t>
      </w:r>
      <w:proofErr w:type="spellStart"/>
      <w:r>
        <w:t>favour</w:t>
      </w:r>
      <w:proofErr w:type="spellEnd"/>
      <w:r>
        <w:t xml:space="preserve"> of GFL on the ground that such transaction </w:t>
      </w:r>
      <w:r w:rsidR="005A25AE">
        <w:t xml:space="preserve">amounts to an undue preference. </w:t>
      </w:r>
      <w:r>
        <w:t xml:space="preserve">Essentially, the liquidator would have to argue that, by Kite granting the said charge, Kite had placed GFL in a better position than it would have been upon liquidation of Kite. To successfully claim undue preference, the liquidator must show that: </w:t>
      </w:r>
    </w:p>
    <w:p w14:paraId="1DA9F937" w14:textId="77777777" w:rsidR="00245B09" w:rsidRDefault="00245B09" w:rsidP="00245B09">
      <w:pPr>
        <w:pStyle w:val="BodyText"/>
      </w:pPr>
    </w:p>
    <w:p w14:paraId="300C42A9" w14:textId="1CAB1A92" w:rsidR="007E2AF5" w:rsidRDefault="007E2AF5" w:rsidP="00245B09">
      <w:pPr>
        <w:pStyle w:val="BodyText"/>
        <w:numPr>
          <w:ilvl w:val="0"/>
          <w:numId w:val="34"/>
        </w:numPr>
        <w:ind w:left="567" w:hanging="567"/>
      </w:pPr>
      <w:r>
        <w:t xml:space="preserve">The charge was executed 6 months prior to the commencement of the liquidation. On the facts, it appears that the charge was executed “some months ago” – as long as it is within 6 months before the liquidation of Kite, such charge could be argued to be an undue preference. </w:t>
      </w:r>
    </w:p>
    <w:p w14:paraId="650365D0" w14:textId="77777777" w:rsidR="007E2AF5" w:rsidRDefault="007E2AF5" w:rsidP="007E2AF5">
      <w:pPr>
        <w:pStyle w:val="BodyText"/>
        <w:ind w:left="567"/>
      </w:pPr>
    </w:p>
    <w:p w14:paraId="1CCA82DB" w14:textId="5712421B" w:rsidR="00245B09" w:rsidRDefault="00245B09" w:rsidP="00245B09">
      <w:pPr>
        <w:pStyle w:val="BodyText"/>
        <w:numPr>
          <w:ilvl w:val="0"/>
          <w:numId w:val="34"/>
        </w:numPr>
        <w:ind w:left="567" w:hanging="567"/>
      </w:pPr>
      <w:r>
        <w:t xml:space="preserve">At the time of when the charge </w:t>
      </w:r>
      <w:r w:rsidR="007E2AF5">
        <w:t>was executed</w:t>
      </w:r>
      <w:r>
        <w:t xml:space="preserve">, the company was unable to pay its debt or became unable to pay its debt as a result of the undue preference transaction. On the facts, it appears that Kite was indeed already having financial difficulties and in fact, such financial difficulties are what prompted GFL to convince Kite to execute a charge over its receivables. </w:t>
      </w:r>
    </w:p>
    <w:p w14:paraId="666F9431" w14:textId="77777777" w:rsidR="00CF455A" w:rsidRDefault="00CF455A" w:rsidP="00CF455A">
      <w:pPr>
        <w:pStyle w:val="ListParagraph"/>
      </w:pPr>
    </w:p>
    <w:p w14:paraId="472FE49A" w14:textId="77777777" w:rsidR="00CF455A" w:rsidRDefault="00CF455A" w:rsidP="00CF455A">
      <w:pPr>
        <w:pStyle w:val="BodyText"/>
        <w:numPr>
          <w:ilvl w:val="0"/>
          <w:numId w:val="34"/>
        </w:numPr>
        <w:ind w:left="567" w:hanging="567"/>
      </w:pPr>
      <w:r>
        <w:t>The liquidator must also show that Kite</w:t>
      </w:r>
      <w:r w:rsidR="00245B09">
        <w:t xml:space="preserve"> was “influenced by a desire” to improve the creditor’s position when the company goes into liquidation. </w:t>
      </w:r>
      <w:r>
        <w:t>By applying the</w:t>
      </w:r>
      <w:r w:rsidR="00245B09">
        <w:t xml:space="preserve"> test set out in the cases of </w:t>
      </w:r>
      <w:r w:rsidR="00245B09" w:rsidRPr="00CF455A">
        <w:rPr>
          <w:i/>
        </w:rPr>
        <w:t>Re MC Bacon</w:t>
      </w:r>
      <w:r w:rsidR="00245B09">
        <w:t xml:space="preserve"> [1990] BCLC 324 and </w:t>
      </w:r>
      <w:r w:rsidR="00245B09" w:rsidRPr="00CF455A">
        <w:rPr>
          <w:i/>
        </w:rPr>
        <w:t xml:space="preserve">Hong Kong Osman Mohammed Arab </w:t>
      </w:r>
      <w:r w:rsidR="00245B09">
        <w:t xml:space="preserve">[2017] HKEC 2435, </w:t>
      </w:r>
      <w:r>
        <w:t xml:space="preserve">the charge </w:t>
      </w:r>
      <w:r w:rsidR="00245B09">
        <w:t xml:space="preserve">will not be set aside as an unfair preference </w:t>
      </w:r>
      <w:r w:rsidR="00245B09">
        <w:lastRenderedPageBreak/>
        <w:t xml:space="preserve">“unless the company positively wished to improve the creditor’s position in the event of its own insolvent liquidation” and a person does not “desire” all of the “necessary consequences of his actions”. </w:t>
      </w:r>
    </w:p>
    <w:p w14:paraId="289BEA76" w14:textId="77777777" w:rsidR="00CF455A" w:rsidRDefault="00CF455A" w:rsidP="00CF455A">
      <w:pPr>
        <w:pStyle w:val="ListParagraph"/>
      </w:pPr>
    </w:p>
    <w:p w14:paraId="6209E011" w14:textId="5B38211C" w:rsidR="00245B09" w:rsidRDefault="00CF455A" w:rsidP="00CF455A">
      <w:pPr>
        <w:pStyle w:val="BodyText"/>
        <w:ind w:left="567"/>
      </w:pPr>
      <w:r>
        <w:t xml:space="preserve">On the facts, there might be difficulty in establishing that Kite indeed was “influenced by a desire” to improve the GFL’s position when it goes into liquidation. Kit’s liquidator would have to try to argue that there is no good grounds for Kite to grant such charge in </w:t>
      </w:r>
      <w:proofErr w:type="spellStart"/>
      <w:r>
        <w:t>favour</w:t>
      </w:r>
      <w:proofErr w:type="spellEnd"/>
      <w:r>
        <w:t xml:space="preserve"> of GFL as it does not benefit Kite’s course of business and that GFL indeed had concerns (and had communicated such concern via medium which could be used as evidence in court) that Kite was unable to pay its debt at the time of the transaction (i.e. charge). </w:t>
      </w:r>
    </w:p>
    <w:p w14:paraId="4D384CC6" w14:textId="77777777" w:rsidR="005A25AE" w:rsidRDefault="005A25AE" w:rsidP="00CF455A">
      <w:pPr>
        <w:pStyle w:val="BodyText"/>
        <w:ind w:left="567"/>
      </w:pPr>
    </w:p>
    <w:p w14:paraId="446C034A" w14:textId="31719763" w:rsidR="005A25AE" w:rsidRDefault="005A25AE" w:rsidP="005A25AE">
      <w:pPr>
        <w:pStyle w:val="BodyText"/>
        <w:ind w:left="567"/>
      </w:pPr>
      <w:r>
        <w:t xml:space="preserve">If successful, the transaction would be set aside. Under section 266 of CWUMPO, the court could order that the charge given by Kite in </w:t>
      </w:r>
      <w:proofErr w:type="spellStart"/>
      <w:r>
        <w:t>favour</w:t>
      </w:r>
      <w:proofErr w:type="spellEnd"/>
      <w:r>
        <w:t xml:space="preserve"> of GFL be released or discharged, direct GFL to pay to Kite’s liquidators any benefits (including the receivable) received by GFL. Should there be any debt owed by Kite to GFL, such debt would be proved via proof of debt and the liquidator will pay GFL accordingly following the relevant distribution under the law.</w:t>
      </w:r>
    </w:p>
    <w:p w14:paraId="03E622AC" w14:textId="5880DEA2" w:rsidR="005A25AE" w:rsidRPr="005D2CD6" w:rsidRDefault="005A25AE" w:rsidP="005A25AE">
      <w:pPr>
        <w:pStyle w:val="BodyText"/>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2A42DD" w:rsidRDefault="007E1E1F" w:rsidP="007E1E1F">
      <w:pPr>
        <w:spacing w:after="160" w:line="259" w:lineRule="auto"/>
        <w:jc w:val="both"/>
        <w:rPr>
          <w:rFonts w:ascii="Arial" w:hAnsi="Arial" w:cs="Arial"/>
          <w:sz w:val="22"/>
          <w:szCs w:val="22"/>
        </w:rPr>
      </w:pPr>
      <w:bookmarkStart w:id="2" w:name="_GoBack"/>
      <w:bookmarkEnd w:id="2"/>
      <w:r w:rsidRPr="002A42DD">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USD 20 million into the project by advancing that sum to SPL.  The FA also provided that if the project could not be developed and sold on to a buyer within a period of two (2) years from the date of the FA, then SPL will pay a sum of USD 22 million to Mr Xu (representing a return of his investment plus USD 2 million to represent interest).</w:t>
      </w:r>
    </w:p>
    <w:p w14:paraId="669C8304" w14:textId="77777777" w:rsidR="007E1E1F" w:rsidRPr="002A42DD" w:rsidRDefault="007E1E1F" w:rsidP="007E1E1F">
      <w:pPr>
        <w:pStyle w:val="ListParagraph"/>
        <w:jc w:val="both"/>
        <w:rPr>
          <w:rFonts w:ascii="Arial" w:hAnsi="Arial" w:cs="Arial"/>
          <w:sz w:val="22"/>
          <w:szCs w:val="22"/>
        </w:rPr>
      </w:pPr>
    </w:p>
    <w:p w14:paraId="1D5B116A" w14:textId="74B60A8E" w:rsidR="007E1E1F" w:rsidRPr="002A42DD" w:rsidRDefault="007E1E1F" w:rsidP="007E1E1F">
      <w:pPr>
        <w:jc w:val="both"/>
        <w:rPr>
          <w:rFonts w:ascii="Arial" w:hAnsi="Arial" w:cs="Arial"/>
          <w:sz w:val="22"/>
          <w:szCs w:val="22"/>
        </w:rPr>
      </w:pPr>
      <w:r w:rsidRPr="002A42DD">
        <w:rPr>
          <w:rFonts w:ascii="Arial" w:hAnsi="Arial" w:cs="Arial"/>
          <w:sz w:val="22"/>
          <w:szCs w:val="22"/>
        </w:rPr>
        <w:t>Mr Xu remitted the USD 20 million to SPL but over the months that followed became concerned that the project was not progressing, with many excuses coming from Mr Qi.  He subsequently discovered that the project had not even started (and may be a scam entirely).  More than two (2) years has passed since the date of the FA and SPL did not pay any money to Mr Xu.  Mr Xu therefore obtained a winding up order over SPL in the BVI.</w:t>
      </w:r>
    </w:p>
    <w:p w14:paraId="49B7C4A2" w14:textId="77777777" w:rsidR="007E1E1F" w:rsidRPr="002A42DD" w:rsidRDefault="007E1E1F" w:rsidP="007E1E1F">
      <w:pPr>
        <w:pStyle w:val="ListParagraph"/>
        <w:jc w:val="both"/>
        <w:rPr>
          <w:rFonts w:ascii="Arial" w:hAnsi="Arial" w:cs="Arial"/>
          <w:sz w:val="22"/>
          <w:szCs w:val="22"/>
        </w:rPr>
      </w:pPr>
    </w:p>
    <w:p w14:paraId="29FF4C60" w14:textId="77777777" w:rsidR="007E1E1F" w:rsidRPr="002A42DD" w:rsidRDefault="007E1E1F" w:rsidP="007E1E1F">
      <w:pPr>
        <w:jc w:val="both"/>
        <w:rPr>
          <w:rFonts w:ascii="Arial" w:hAnsi="Arial" w:cs="Arial"/>
          <w:sz w:val="22"/>
          <w:szCs w:val="22"/>
        </w:rPr>
      </w:pPr>
      <w:r w:rsidRPr="002A42DD">
        <w:rPr>
          <w:rFonts w:ascii="Arial" w:hAnsi="Arial" w:cs="Arial"/>
          <w:sz w:val="22"/>
          <w:szCs w:val="22"/>
        </w:rPr>
        <w:t>The BVI liquidator appointed has identified:</w:t>
      </w:r>
    </w:p>
    <w:p w14:paraId="4221CA54" w14:textId="77777777" w:rsidR="007E1E1F" w:rsidRPr="002A42DD" w:rsidRDefault="007E1E1F" w:rsidP="007E1E1F">
      <w:pPr>
        <w:pStyle w:val="ListParagraph"/>
        <w:jc w:val="both"/>
        <w:rPr>
          <w:rFonts w:ascii="Arial" w:hAnsi="Arial" w:cs="Arial"/>
          <w:sz w:val="22"/>
          <w:szCs w:val="22"/>
        </w:rPr>
      </w:pPr>
    </w:p>
    <w:p w14:paraId="255BCEFC" w14:textId="4439D29A" w:rsidR="007E1E1F" w:rsidRPr="002A42DD" w:rsidRDefault="007E1E1F" w:rsidP="007E1E1F">
      <w:pPr>
        <w:pStyle w:val="ListParagraph"/>
        <w:numPr>
          <w:ilvl w:val="2"/>
          <w:numId w:val="12"/>
        </w:numPr>
        <w:spacing w:after="160" w:line="259" w:lineRule="auto"/>
        <w:ind w:left="426"/>
        <w:jc w:val="both"/>
        <w:rPr>
          <w:rFonts w:ascii="Arial" w:hAnsi="Arial" w:cs="Arial"/>
          <w:sz w:val="22"/>
          <w:szCs w:val="22"/>
        </w:rPr>
      </w:pPr>
      <w:r w:rsidRPr="002A42DD">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p>
    <w:p w14:paraId="4E20648D" w14:textId="77777777" w:rsidR="007E1E1F" w:rsidRPr="002A42DD" w:rsidRDefault="007E1E1F" w:rsidP="007E1E1F">
      <w:pPr>
        <w:pStyle w:val="ListParagraph"/>
        <w:ind w:left="426"/>
        <w:jc w:val="both"/>
        <w:rPr>
          <w:rFonts w:ascii="Arial" w:hAnsi="Arial" w:cs="Arial"/>
          <w:sz w:val="22"/>
          <w:szCs w:val="22"/>
        </w:rPr>
      </w:pPr>
    </w:p>
    <w:p w14:paraId="4BBE483E" w14:textId="46552F26" w:rsidR="007E1E1F" w:rsidRPr="002A42DD" w:rsidRDefault="007E1E1F" w:rsidP="007E1E1F">
      <w:pPr>
        <w:pStyle w:val="ListParagraph"/>
        <w:numPr>
          <w:ilvl w:val="2"/>
          <w:numId w:val="12"/>
        </w:numPr>
        <w:spacing w:after="160" w:line="259" w:lineRule="auto"/>
        <w:ind w:left="426"/>
        <w:jc w:val="both"/>
        <w:rPr>
          <w:rFonts w:ascii="Arial" w:hAnsi="Arial" w:cs="Arial"/>
          <w:sz w:val="22"/>
          <w:szCs w:val="22"/>
        </w:rPr>
      </w:pPr>
      <w:r w:rsidRPr="002A42DD">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p>
    <w:p w14:paraId="5DE65640" w14:textId="77777777" w:rsidR="007E1E1F" w:rsidRPr="002A42DD" w:rsidRDefault="007E1E1F" w:rsidP="007E1E1F">
      <w:pPr>
        <w:pStyle w:val="ListParagraph"/>
        <w:ind w:left="426"/>
        <w:rPr>
          <w:rFonts w:ascii="Arial" w:hAnsi="Arial" w:cs="Arial"/>
          <w:sz w:val="22"/>
          <w:szCs w:val="22"/>
        </w:rPr>
      </w:pPr>
    </w:p>
    <w:p w14:paraId="6887CC62" w14:textId="4CFE8EE9" w:rsidR="007E1E1F" w:rsidRPr="002A42DD" w:rsidRDefault="007E1E1F" w:rsidP="007E1E1F">
      <w:pPr>
        <w:pStyle w:val="ListParagraph"/>
        <w:numPr>
          <w:ilvl w:val="2"/>
          <w:numId w:val="12"/>
        </w:numPr>
        <w:spacing w:after="160" w:line="259" w:lineRule="auto"/>
        <w:ind w:left="426"/>
        <w:jc w:val="both"/>
        <w:rPr>
          <w:rFonts w:ascii="Arial" w:hAnsi="Arial" w:cs="Arial"/>
          <w:sz w:val="22"/>
          <w:szCs w:val="22"/>
        </w:rPr>
      </w:pPr>
      <w:r w:rsidRPr="002A42DD">
        <w:rPr>
          <w:rFonts w:ascii="Arial" w:hAnsi="Arial" w:cs="Arial"/>
          <w:sz w:val="22"/>
          <w:szCs w:val="22"/>
        </w:rPr>
        <w:t>SPL has a bank account at a bank in Hong Kong;</w:t>
      </w:r>
    </w:p>
    <w:p w14:paraId="3CB8C476" w14:textId="77777777" w:rsidR="007E1E1F" w:rsidRPr="002A42DD" w:rsidRDefault="007E1E1F" w:rsidP="007E1E1F">
      <w:pPr>
        <w:pStyle w:val="ListParagraph"/>
        <w:ind w:left="426"/>
        <w:rPr>
          <w:rFonts w:ascii="Arial" w:hAnsi="Arial" w:cs="Arial"/>
          <w:sz w:val="22"/>
          <w:szCs w:val="22"/>
        </w:rPr>
      </w:pPr>
    </w:p>
    <w:p w14:paraId="1755BC2F" w14:textId="65371062" w:rsidR="007E1E1F" w:rsidRPr="002A42DD" w:rsidRDefault="007E1E1F" w:rsidP="007E1E1F">
      <w:pPr>
        <w:pStyle w:val="ListParagraph"/>
        <w:numPr>
          <w:ilvl w:val="2"/>
          <w:numId w:val="12"/>
        </w:numPr>
        <w:spacing w:after="160" w:line="259" w:lineRule="auto"/>
        <w:ind w:left="426"/>
        <w:jc w:val="both"/>
        <w:rPr>
          <w:rFonts w:ascii="Arial" w:hAnsi="Arial" w:cs="Arial"/>
          <w:sz w:val="22"/>
          <w:szCs w:val="22"/>
        </w:rPr>
      </w:pPr>
      <w:r w:rsidRPr="002A42DD">
        <w:rPr>
          <w:rFonts w:ascii="Arial" w:hAnsi="Arial" w:cs="Arial"/>
          <w:sz w:val="22"/>
          <w:szCs w:val="22"/>
        </w:rPr>
        <w:lastRenderedPageBreak/>
        <w:t>It is not known where Mr Qi is currently, but it is believed he is a Hong Kong resident;</w:t>
      </w:r>
    </w:p>
    <w:p w14:paraId="4F211E55" w14:textId="77777777" w:rsidR="007E1E1F" w:rsidRPr="002A42DD" w:rsidRDefault="007E1E1F" w:rsidP="007E1E1F">
      <w:pPr>
        <w:pStyle w:val="ListParagraph"/>
        <w:ind w:left="426"/>
        <w:rPr>
          <w:rFonts w:ascii="Arial" w:hAnsi="Arial" w:cs="Arial"/>
          <w:sz w:val="22"/>
          <w:szCs w:val="22"/>
        </w:rPr>
      </w:pPr>
    </w:p>
    <w:p w14:paraId="449572C1" w14:textId="302960F5" w:rsidR="007E1E1F" w:rsidRPr="002A42DD" w:rsidRDefault="007E1E1F" w:rsidP="007E1E1F">
      <w:pPr>
        <w:pStyle w:val="ListParagraph"/>
        <w:numPr>
          <w:ilvl w:val="2"/>
          <w:numId w:val="12"/>
        </w:numPr>
        <w:spacing w:after="160" w:line="259" w:lineRule="auto"/>
        <w:ind w:left="426"/>
        <w:jc w:val="both"/>
        <w:rPr>
          <w:rFonts w:ascii="Arial" w:hAnsi="Arial" w:cs="Arial"/>
          <w:sz w:val="22"/>
          <w:szCs w:val="22"/>
        </w:rPr>
      </w:pPr>
      <w:r w:rsidRPr="002A42DD">
        <w:rPr>
          <w:rFonts w:ascii="Arial" w:hAnsi="Arial" w:cs="Arial"/>
          <w:sz w:val="22"/>
          <w:szCs w:val="22"/>
        </w:rPr>
        <w:t>SPL is believed to have assets in the Mainland, but the liquidator is not sure where these assets are located.</w:t>
      </w:r>
    </w:p>
    <w:p w14:paraId="346021B8" w14:textId="77777777" w:rsidR="007E1E1F" w:rsidRPr="002A42DD"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2A42DD">
        <w:rPr>
          <w:rFonts w:ascii="Arial" w:hAnsi="Arial" w:cs="Arial"/>
          <w:b/>
          <w:bCs/>
          <w:sz w:val="22"/>
          <w:szCs w:val="22"/>
        </w:rPr>
        <w:t>The liquidator asks for your advice on what steps he can take in Hong Kong</w:t>
      </w:r>
      <w:r w:rsidRPr="002A42DD">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25A5EF23" w14:textId="533055C0" w:rsidR="00391875" w:rsidRDefault="00391875" w:rsidP="00092350">
      <w:pPr>
        <w:pStyle w:val="BodyText"/>
      </w:pPr>
      <w:r>
        <w:t xml:space="preserve">In Hong Kong, foreign judgments can be enforced either via: </w:t>
      </w:r>
    </w:p>
    <w:p w14:paraId="005689BC" w14:textId="77777777" w:rsidR="00391875" w:rsidRDefault="00391875" w:rsidP="00092350">
      <w:pPr>
        <w:pStyle w:val="BodyText"/>
      </w:pPr>
    </w:p>
    <w:p w14:paraId="166612F9" w14:textId="69BF32BD" w:rsidR="00391875" w:rsidRDefault="00391875" w:rsidP="00391875">
      <w:pPr>
        <w:pStyle w:val="BodyText"/>
        <w:numPr>
          <w:ilvl w:val="0"/>
          <w:numId w:val="40"/>
        </w:numPr>
        <w:ind w:left="567" w:hanging="567"/>
      </w:pPr>
      <w:r>
        <w:t xml:space="preserve">Statutory recognition via </w:t>
      </w:r>
      <w:r w:rsidRPr="00391875">
        <w:t>Foreign Judgments (Reciprocal Enforcement) Ordinance (FJREO)</w:t>
      </w:r>
      <w:r>
        <w:t xml:space="preserve">; Foreign Judgments (Restriction on Recognition and Enforcement) Ordinance; or </w:t>
      </w:r>
    </w:p>
    <w:p w14:paraId="670A77EA" w14:textId="4373528A" w:rsidR="00391875" w:rsidRPr="00391875" w:rsidRDefault="00391875" w:rsidP="00391875">
      <w:pPr>
        <w:pStyle w:val="BodyText"/>
        <w:numPr>
          <w:ilvl w:val="0"/>
          <w:numId w:val="40"/>
        </w:numPr>
        <w:ind w:left="567" w:hanging="567"/>
      </w:pPr>
      <w:r>
        <w:t>Common law.</w:t>
      </w:r>
    </w:p>
    <w:p w14:paraId="244F4D9B" w14:textId="77777777" w:rsidR="00092350" w:rsidRDefault="00092350" w:rsidP="00092350">
      <w:pPr>
        <w:jc w:val="both"/>
        <w:rPr>
          <w:rFonts w:ascii="Arial" w:hAnsi="Arial" w:cs="Arial"/>
          <w:color w:val="7B7B7B" w:themeColor="accent3" w:themeShade="BF"/>
          <w:sz w:val="22"/>
          <w:szCs w:val="22"/>
        </w:rPr>
      </w:pPr>
    </w:p>
    <w:p w14:paraId="3A325784" w14:textId="4BF88517" w:rsidR="00391875" w:rsidRDefault="00391875" w:rsidP="0009235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FJROE applies to judgments from 15 jurisdictions such as inter alia Australia, France, Malaysia </w:t>
      </w:r>
      <w:proofErr w:type="spellStart"/>
      <w:r>
        <w:rPr>
          <w:rFonts w:ascii="Arial" w:hAnsi="Arial" w:cs="Arial"/>
          <w:color w:val="7B7B7B" w:themeColor="accent3" w:themeShade="BF"/>
          <w:sz w:val="22"/>
          <w:szCs w:val="22"/>
        </w:rPr>
        <w:t>etc</w:t>
      </w:r>
      <w:proofErr w:type="spellEnd"/>
      <w:r>
        <w:rPr>
          <w:rFonts w:ascii="Arial" w:hAnsi="Arial" w:cs="Arial"/>
          <w:color w:val="7B7B7B" w:themeColor="accent3" w:themeShade="BF"/>
          <w:sz w:val="22"/>
          <w:szCs w:val="22"/>
        </w:rPr>
        <w:t xml:space="preserve">, but does not include BVI. Therefore, the BVI liquidator will not be able to rely on </w:t>
      </w:r>
      <w:r w:rsidR="00E11F26">
        <w:rPr>
          <w:rFonts w:ascii="Arial" w:hAnsi="Arial" w:cs="Arial"/>
          <w:color w:val="7B7B7B" w:themeColor="accent3" w:themeShade="BF"/>
          <w:sz w:val="22"/>
          <w:szCs w:val="22"/>
        </w:rPr>
        <w:t xml:space="preserve">FJROE </w:t>
      </w:r>
      <w:r>
        <w:rPr>
          <w:rFonts w:ascii="Arial" w:hAnsi="Arial" w:cs="Arial"/>
          <w:color w:val="7B7B7B" w:themeColor="accent3" w:themeShade="BF"/>
          <w:sz w:val="22"/>
          <w:szCs w:val="22"/>
        </w:rPr>
        <w:t xml:space="preserve">to </w:t>
      </w:r>
      <w:r w:rsidR="00E11F26">
        <w:rPr>
          <w:rFonts w:ascii="Arial" w:hAnsi="Arial" w:cs="Arial"/>
          <w:color w:val="7B7B7B" w:themeColor="accent3" w:themeShade="BF"/>
          <w:sz w:val="22"/>
          <w:szCs w:val="22"/>
        </w:rPr>
        <w:t>seek recognition of the BVI winding up order.</w:t>
      </w:r>
    </w:p>
    <w:p w14:paraId="1816A2F7" w14:textId="77777777" w:rsidR="00E11F26" w:rsidRDefault="00E11F26" w:rsidP="00092350">
      <w:pPr>
        <w:jc w:val="both"/>
        <w:rPr>
          <w:rFonts w:ascii="Arial" w:hAnsi="Arial" w:cs="Arial"/>
          <w:color w:val="7B7B7B" w:themeColor="accent3" w:themeShade="BF"/>
          <w:sz w:val="22"/>
          <w:szCs w:val="22"/>
        </w:rPr>
      </w:pPr>
    </w:p>
    <w:p w14:paraId="5C4AFB0C" w14:textId="77777777" w:rsidR="00FB4C90" w:rsidRDefault="00E11F26" w:rsidP="0009235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BVI liquidator could consider enforcing the BVI winding up order by common law.</w:t>
      </w:r>
      <w:r w:rsidR="00FB4C90">
        <w:rPr>
          <w:rFonts w:ascii="Arial" w:hAnsi="Arial" w:cs="Arial"/>
          <w:color w:val="7B7B7B" w:themeColor="accent3" w:themeShade="BF"/>
          <w:sz w:val="22"/>
          <w:szCs w:val="22"/>
        </w:rPr>
        <w:t xml:space="preserve"> The BVI should take note of the following: </w:t>
      </w:r>
    </w:p>
    <w:p w14:paraId="35F637A5" w14:textId="77777777" w:rsidR="00FB4C90" w:rsidRDefault="00FB4C90" w:rsidP="00092350">
      <w:pPr>
        <w:jc w:val="both"/>
        <w:rPr>
          <w:rFonts w:ascii="Arial" w:hAnsi="Arial" w:cs="Arial"/>
          <w:color w:val="7B7B7B" w:themeColor="accent3" w:themeShade="BF"/>
          <w:sz w:val="22"/>
          <w:szCs w:val="22"/>
        </w:rPr>
      </w:pPr>
    </w:p>
    <w:p w14:paraId="6741B6B4" w14:textId="77777777" w:rsidR="00FB4C90" w:rsidRDefault="00FB4C90" w:rsidP="00FB4C90">
      <w:pPr>
        <w:pStyle w:val="ListParagraph"/>
        <w:numPr>
          <w:ilvl w:val="0"/>
          <w:numId w:val="41"/>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is no requirement for the foreign judgment to originate from a common law jurisdiction therefore the BVI winding up order would qualify for enforcement in Hong Kong under common law. </w:t>
      </w:r>
    </w:p>
    <w:p w14:paraId="7A76C5F7" w14:textId="5F0AFBB8" w:rsidR="00FB4C90" w:rsidRDefault="00E11F26" w:rsidP="00FB4C90">
      <w:pPr>
        <w:pStyle w:val="ListParagraph"/>
        <w:numPr>
          <w:ilvl w:val="0"/>
          <w:numId w:val="41"/>
        </w:numPr>
        <w:ind w:left="567" w:hanging="567"/>
        <w:jc w:val="both"/>
        <w:rPr>
          <w:rFonts w:ascii="Arial" w:hAnsi="Arial" w:cs="Arial"/>
          <w:color w:val="7B7B7B" w:themeColor="accent3" w:themeShade="BF"/>
          <w:sz w:val="22"/>
          <w:szCs w:val="22"/>
        </w:rPr>
      </w:pPr>
      <w:r w:rsidRPr="00FB4C90">
        <w:rPr>
          <w:rFonts w:ascii="Arial" w:hAnsi="Arial" w:cs="Arial"/>
          <w:color w:val="7B7B7B" w:themeColor="accent3" w:themeShade="BF"/>
          <w:sz w:val="22"/>
          <w:szCs w:val="22"/>
        </w:rPr>
        <w:t xml:space="preserve">An enforcement action upon the winding up order must be brought within 6 years after the date on which the winding up order becomes enforceable. </w:t>
      </w:r>
    </w:p>
    <w:p w14:paraId="3776AEE1" w14:textId="1F361EB8" w:rsidR="00E11F26" w:rsidRDefault="00E11F26" w:rsidP="00FB4C90">
      <w:pPr>
        <w:pStyle w:val="ListParagraph"/>
        <w:numPr>
          <w:ilvl w:val="0"/>
          <w:numId w:val="41"/>
        </w:numPr>
        <w:ind w:left="567" w:hanging="567"/>
        <w:jc w:val="both"/>
        <w:rPr>
          <w:rFonts w:ascii="Arial" w:hAnsi="Arial" w:cs="Arial"/>
          <w:color w:val="7B7B7B" w:themeColor="accent3" w:themeShade="BF"/>
          <w:sz w:val="22"/>
          <w:szCs w:val="22"/>
        </w:rPr>
      </w:pPr>
      <w:r w:rsidRPr="00FB4C90">
        <w:rPr>
          <w:rFonts w:ascii="Arial" w:hAnsi="Arial" w:cs="Arial"/>
          <w:color w:val="7B7B7B" w:themeColor="accent3" w:themeShade="BF"/>
          <w:sz w:val="22"/>
          <w:szCs w:val="22"/>
        </w:rPr>
        <w:t>The law is trite in that foreign monetary judgment can be enforced in Hong Kong if it is a final and conclusive on the merits.</w:t>
      </w:r>
      <w:r w:rsidR="00FB4C90">
        <w:rPr>
          <w:rFonts w:ascii="Arial" w:hAnsi="Arial" w:cs="Arial"/>
          <w:color w:val="7B7B7B" w:themeColor="accent3" w:themeShade="BF"/>
          <w:sz w:val="22"/>
          <w:szCs w:val="22"/>
        </w:rPr>
        <w:t xml:space="preserve"> A winding up order would satisfy this requirement. </w:t>
      </w:r>
    </w:p>
    <w:p w14:paraId="4D15B87A" w14:textId="3F2185D8" w:rsidR="00FB4C90" w:rsidRDefault="00FB4C90" w:rsidP="00FB4C90">
      <w:pPr>
        <w:pStyle w:val="ListParagraph"/>
        <w:numPr>
          <w:ilvl w:val="0"/>
          <w:numId w:val="41"/>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foreign judgment must be for a fixed sum and must also come from a competent court. If the judgment sum is clearly set out in the BVI winding up order, then this would not be an issue. There is also nothing to suggest that the BVI court is not a “competent” court.</w:t>
      </w:r>
    </w:p>
    <w:p w14:paraId="041882A5" w14:textId="06EF8CCD" w:rsidR="00FB4C90" w:rsidRDefault="00FB4C90" w:rsidP="00FB4C90">
      <w:pPr>
        <w:pStyle w:val="ListParagraph"/>
        <w:numPr>
          <w:ilvl w:val="0"/>
          <w:numId w:val="41"/>
        </w:numPr>
        <w:ind w:left="567" w:hanging="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BVI liquidator is required to file a write endorsed with a short statement of claim. If the claim is defended by SPL in the Hong Kong court, it is likely that the matter would be dismissed summarily. </w:t>
      </w:r>
    </w:p>
    <w:p w14:paraId="347BAFE4" w14:textId="77777777" w:rsidR="003C1779" w:rsidRDefault="003C1779" w:rsidP="003C10EB">
      <w:pPr>
        <w:ind w:left="720" w:hanging="720"/>
        <w:jc w:val="both"/>
        <w:rPr>
          <w:rFonts w:ascii="Arial" w:hAnsi="Arial" w:cs="Arial"/>
          <w:color w:val="7B7B7B" w:themeColor="accent3" w:themeShade="BF"/>
          <w:sz w:val="22"/>
          <w:szCs w:val="22"/>
        </w:rPr>
      </w:pPr>
    </w:p>
    <w:p w14:paraId="08178D8E" w14:textId="5E39D232" w:rsidR="003C1779" w:rsidRDefault="003C1779" w:rsidP="003C10EB">
      <w:pPr>
        <w:ind w:left="720" w:hanging="720"/>
        <w:jc w:val="both"/>
        <w:rPr>
          <w:rFonts w:ascii="Arial" w:hAnsi="Arial" w:cs="Arial"/>
          <w:color w:val="7B7B7B" w:themeColor="accent3" w:themeShade="BF"/>
          <w:sz w:val="22"/>
          <w:szCs w:val="22"/>
          <w:u w:val="single"/>
        </w:rPr>
      </w:pPr>
      <w:r w:rsidRPr="003C1779">
        <w:rPr>
          <w:rFonts w:ascii="Arial" w:hAnsi="Arial" w:cs="Arial"/>
          <w:color w:val="7B7B7B" w:themeColor="accent3" w:themeShade="BF"/>
          <w:sz w:val="22"/>
          <w:szCs w:val="22"/>
          <w:u w:val="single"/>
        </w:rPr>
        <w:t>Assets in Mainland (but not sure where assets are located)</w:t>
      </w:r>
    </w:p>
    <w:p w14:paraId="6B419DBB" w14:textId="77777777" w:rsidR="003C1779" w:rsidRPr="003C1779" w:rsidRDefault="003C1779" w:rsidP="003C10EB">
      <w:pPr>
        <w:ind w:left="720" w:hanging="720"/>
        <w:jc w:val="both"/>
        <w:rPr>
          <w:rFonts w:ascii="Arial" w:hAnsi="Arial" w:cs="Arial"/>
          <w:color w:val="7B7B7B" w:themeColor="accent3" w:themeShade="BF"/>
          <w:sz w:val="22"/>
          <w:szCs w:val="22"/>
          <w:u w:val="single"/>
        </w:rPr>
      </w:pPr>
    </w:p>
    <w:p w14:paraId="1CF6BD03" w14:textId="0AFD1001" w:rsidR="00092350" w:rsidRPr="00092350" w:rsidRDefault="003C1779" w:rsidP="00092350">
      <w:pPr>
        <w:jc w:val="both"/>
        <w:rPr>
          <w:rFonts w:ascii="Arial" w:hAnsi="Arial" w:cs="Arial"/>
          <w:color w:val="7B7B7B" w:themeColor="accent3" w:themeShade="BF"/>
          <w:sz w:val="22"/>
          <w:szCs w:val="22"/>
        </w:rPr>
      </w:pPr>
      <w:r w:rsidRPr="00092350">
        <w:rPr>
          <w:rFonts w:ascii="Arial" w:hAnsi="Arial" w:cs="Arial"/>
          <w:color w:val="7B7B7B" w:themeColor="accent3" w:themeShade="BF"/>
          <w:sz w:val="22"/>
          <w:szCs w:val="22"/>
        </w:rPr>
        <w:t xml:space="preserve">There could be 2 scenarios arising from this point. Scenario 1 – </w:t>
      </w:r>
      <w:r w:rsidR="00366D43" w:rsidRPr="00092350">
        <w:rPr>
          <w:rFonts w:ascii="Arial" w:hAnsi="Arial" w:cs="Arial"/>
          <w:color w:val="7B7B7B" w:themeColor="accent3" w:themeShade="BF"/>
          <w:sz w:val="22"/>
          <w:szCs w:val="22"/>
        </w:rPr>
        <w:t>If the assets are situated within any of the designated pilot areas (i.e. Shanghai, Xia Men and Shenzhen), t</w:t>
      </w:r>
      <w:r w:rsidRPr="00092350">
        <w:rPr>
          <w:rFonts w:ascii="Arial" w:hAnsi="Arial" w:cs="Arial"/>
          <w:color w:val="7B7B7B" w:themeColor="accent3" w:themeShade="BF"/>
          <w:sz w:val="22"/>
          <w:szCs w:val="22"/>
        </w:rPr>
        <w:t>he appointed liquidator</w:t>
      </w:r>
      <w:r w:rsidR="00366D43" w:rsidRPr="00092350">
        <w:rPr>
          <w:rFonts w:ascii="Arial" w:hAnsi="Arial" w:cs="Arial"/>
          <w:color w:val="7B7B7B" w:themeColor="accent3" w:themeShade="BF"/>
          <w:sz w:val="22"/>
          <w:szCs w:val="22"/>
        </w:rPr>
        <w:t xml:space="preserve"> could rely on</w:t>
      </w:r>
      <w:r w:rsidRPr="00092350">
        <w:rPr>
          <w:rFonts w:ascii="Arial" w:hAnsi="Arial" w:cs="Arial"/>
          <w:color w:val="7B7B7B" w:themeColor="accent3" w:themeShade="BF"/>
          <w:sz w:val="22"/>
          <w:szCs w:val="22"/>
        </w:rPr>
        <w:t xml:space="preserve"> t</w:t>
      </w:r>
      <w:r w:rsidR="00366D43" w:rsidRPr="00092350">
        <w:rPr>
          <w:rFonts w:ascii="Arial" w:hAnsi="Arial" w:cs="Arial"/>
          <w:color w:val="7B7B7B" w:themeColor="accent3" w:themeShade="BF"/>
          <w:sz w:val="22"/>
          <w:szCs w:val="22"/>
        </w:rPr>
        <w:t>he new “cooperation mechanisms”. In order to rely on the new cooperation mechan</w:t>
      </w:r>
      <w:r w:rsidR="00092350" w:rsidRPr="00092350">
        <w:rPr>
          <w:rFonts w:ascii="Arial" w:hAnsi="Arial" w:cs="Arial"/>
          <w:color w:val="7B7B7B" w:themeColor="accent3" w:themeShade="BF"/>
          <w:sz w:val="22"/>
          <w:szCs w:val="22"/>
        </w:rPr>
        <w:t xml:space="preserve">ism, the recognition application must be applied by a Hong Kong appointed liquidator or provision liquidator – the BVI liquidator would not have locus to file such recognition application in the Mainland. </w:t>
      </w:r>
    </w:p>
    <w:p w14:paraId="6FE3A34F" w14:textId="77777777" w:rsidR="00092350" w:rsidRDefault="00092350" w:rsidP="00092350">
      <w:pPr>
        <w:pStyle w:val="ListParagraph"/>
        <w:ind w:left="567" w:hanging="567"/>
        <w:jc w:val="both"/>
        <w:rPr>
          <w:rFonts w:ascii="Arial" w:hAnsi="Arial" w:cs="Arial"/>
          <w:color w:val="7B7B7B" w:themeColor="accent3" w:themeShade="BF"/>
          <w:sz w:val="22"/>
          <w:szCs w:val="22"/>
        </w:rPr>
      </w:pPr>
    </w:p>
    <w:p w14:paraId="6E409A80" w14:textId="59A3DBFB" w:rsidR="003C1779" w:rsidRPr="002A42DD" w:rsidRDefault="00092350" w:rsidP="00E14FA7">
      <w:pPr>
        <w:jc w:val="both"/>
        <w:rPr>
          <w:rFonts w:ascii="Arial" w:hAnsi="Arial" w:cs="Arial"/>
          <w:color w:val="7B7B7B" w:themeColor="accent3" w:themeShade="BF"/>
          <w:sz w:val="22"/>
          <w:szCs w:val="22"/>
        </w:rPr>
      </w:pPr>
      <w:r w:rsidRPr="00092350">
        <w:rPr>
          <w:rFonts w:ascii="Arial" w:hAnsi="Arial" w:cs="Arial"/>
          <w:color w:val="7B7B7B" w:themeColor="accent3" w:themeShade="BF"/>
          <w:sz w:val="22"/>
          <w:szCs w:val="22"/>
        </w:rPr>
        <w:t>Scenario 2 – if the China assets are situated outside of Shanghai, Xia Men and Shenzhen, neither the BVI Liquidator nor a Hong Kong appointed liquidator could seek recognition nor assistance from the relevant China court to assist with location the assets, if any.</w:t>
      </w: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8430D" w14:textId="77777777" w:rsidR="00366D43" w:rsidRDefault="00366D43" w:rsidP="00241B44">
      <w:r>
        <w:separator/>
      </w:r>
    </w:p>
  </w:endnote>
  <w:endnote w:type="continuationSeparator" w:id="0">
    <w:p w14:paraId="6625C609" w14:textId="77777777" w:rsidR="00366D43" w:rsidRDefault="00366D4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366D43" w:rsidRPr="00FC7B47" w:rsidRDefault="00366D4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366D43" w:rsidRPr="00FC7B47" w:rsidRDefault="00366D43"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366D43" w:rsidRPr="009B4976" w:rsidRDefault="00366D43" w:rsidP="00F425AF">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A42DD">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30F05E79" w14:textId="47ABFBD2" w:rsidR="00366D43" w:rsidRDefault="00311DD0" w:rsidP="009B4976">
    <w:pPr>
      <w:pStyle w:val="Footer"/>
      <w:ind w:right="360"/>
      <w:rPr>
        <w:rFonts w:ascii="Arial" w:hAnsi="Arial" w:cs="Arial"/>
        <w:sz w:val="18"/>
        <w:szCs w:val="18"/>
        <w:lang w:val="en-GB"/>
      </w:rPr>
    </w:pPr>
    <w:r w:rsidRPr="0044418D">
      <w:rPr>
        <w:rFonts w:ascii="Arial" w:hAnsi="Arial" w:cs="Arial"/>
        <w:sz w:val="18"/>
        <w:szCs w:val="18"/>
      </w:rPr>
      <w:t>202122-530</w:t>
    </w:r>
    <w:r w:rsidR="00366D43" w:rsidRPr="009B4976">
      <w:rPr>
        <w:rFonts w:ascii="Arial" w:hAnsi="Arial" w:cs="Arial"/>
        <w:sz w:val="18"/>
        <w:szCs w:val="18"/>
        <w:lang w:val="en-GB"/>
      </w:rPr>
      <w:t>.assessment</w:t>
    </w:r>
    <w:r w:rsidR="00366D43">
      <w:rPr>
        <w:rFonts w:ascii="Arial" w:hAnsi="Arial" w:cs="Arial"/>
        <w:sz w:val="18"/>
        <w:szCs w:val="18"/>
        <w:lang w:val="en-GB"/>
      </w:rPr>
      <w:t>8C.docx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D7DD" w14:textId="08FEBD83" w:rsidR="00366D43" w:rsidRPr="003D7879" w:rsidRDefault="00366D43" w:rsidP="003D7879">
    <w:pPr>
      <w:pStyle w:val="Footer"/>
    </w:pPr>
    <w:bookmarkStart w:id="3" w:name="FIRSTPAGEFOOTERSPECEND1"/>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841D9" w14:textId="77777777" w:rsidR="00366D43" w:rsidRDefault="00366D43" w:rsidP="00241B44">
      <w:r>
        <w:separator/>
      </w:r>
    </w:p>
  </w:footnote>
  <w:footnote w:type="continuationSeparator" w:id="0">
    <w:p w14:paraId="7C52732E" w14:textId="77777777" w:rsidR="00366D43" w:rsidRDefault="00366D43" w:rsidP="0024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180A1" w14:textId="77777777" w:rsidR="00311DD0" w:rsidRDefault="00311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D12" w14:textId="77777777" w:rsidR="00311DD0" w:rsidRDefault="00311D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781A4" w14:textId="77777777" w:rsidR="00311DD0" w:rsidRDefault="00311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5D6965"/>
    <w:multiLevelType w:val="hybridMultilevel"/>
    <w:tmpl w:val="E52EBDC6"/>
    <w:lvl w:ilvl="0" w:tplc="78E0A198">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F61E7C"/>
    <w:multiLevelType w:val="hybridMultilevel"/>
    <w:tmpl w:val="497A44D8"/>
    <w:lvl w:ilvl="0" w:tplc="D9DEBE4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7B76F5"/>
    <w:multiLevelType w:val="hybridMultilevel"/>
    <w:tmpl w:val="627E14E4"/>
    <w:lvl w:ilvl="0" w:tplc="ACDAC4E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6731164"/>
    <w:multiLevelType w:val="hybridMultilevel"/>
    <w:tmpl w:val="8BD02FEA"/>
    <w:lvl w:ilvl="0" w:tplc="F232ED0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981EA4"/>
    <w:multiLevelType w:val="hybridMultilevel"/>
    <w:tmpl w:val="3EB03964"/>
    <w:lvl w:ilvl="0" w:tplc="625A749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F64C76"/>
    <w:multiLevelType w:val="hybridMultilevel"/>
    <w:tmpl w:val="5EB6D1E0"/>
    <w:lvl w:ilvl="0" w:tplc="A11E73C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AE23A8"/>
    <w:multiLevelType w:val="hybridMultilevel"/>
    <w:tmpl w:val="FB7423C4"/>
    <w:lvl w:ilvl="0" w:tplc="98FCA82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B2A6DB1"/>
    <w:multiLevelType w:val="hybridMultilevel"/>
    <w:tmpl w:val="1C32EDF0"/>
    <w:lvl w:ilvl="0" w:tplc="625A749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718A1CF1"/>
    <w:multiLevelType w:val="hybridMultilevel"/>
    <w:tmpl w:val="FC98EF8E"/>
    <w:lvl w:ilvl="0" w:tplc="7D3872C8">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D6253"/>
    <w:multiLevelType w:val="hybridMultilevel"/>
    <w:tmpl w:val="D74CFCEE"/>
    <w:lvl w:ilvl="0" w:tplc="CD82750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20E3F"/>
    <w:multiLevelType w:val="hybridMultilevel"/>
    <w:tmpl w:val="0FBACE56"/>
    <w:lvl w:ilvl="0" w:tplc="ADB2FB1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783145EC"/>
    <w:multiLevelType w:val="hybridMultilevel"/>
    <w:tmpl w:val="D0887DEC"/>
    <w:lvl w:ilvl="0" w:tplc="625A749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78CD1A69"/>
    <w:multiLevelType w:val="hybridMultilevel"/>
    <w:tmpl w:val="B93476CC"/>
    <w:lvl w:ilvl="0" w:tplc="0B7E43A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B083EB0"/>
    <w:multiLevelType w:val="hybridMultilevel"/>
    <w:tmpl w:val="A620C342"/>
    <w:lvl w:ilvl="0" w:tplc="4114F1B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1"/>
  </w:num>
  <w:num w:numId="3">
    <w:abstractNumId w:val="15"/>
  </w:num>
  <w:num w:numId="4">
    <w:abstractNumId w:val="19"/>
  </w:num>
  <w:num w:numId="5">
    <w:abstractNumId w:val="10"/>
  </w:num>
  <w:num w:numId="6">
    <w:abstractNumId w:val="9"/>
  </w:num>
  <w:num w:numId="7">
    <w:abstractNumId w:val="8"/>
  </w:num>
  <w:num w:numId="8">
    <w:abstractNumId w:val="18"/>
  </w:num>
  <w:num w:numId="9">
    <w:abstractNumId w:val="4"/>
  </w:num>
  <w:num w:numId="10">
    <w:abstractNumId w:val="23"/>
  </w:num>
  <w:num w:numId="11">
    <w:abstractNumId w:val="14"/>
  </w:num>
  <w:num w:numId="12">
    <w:abstractNumId w:val="20"/>
  </w:num>
  <w:num w:numId="13">
    <w:abstractNumId w:val="40"/>
  </w:num>
  <w:num w:numId="14">
    <w:abstractNumId w:val="25"/>
  </w:num>
  <w:num w:numId="15">
    <w:abstractNumId w:val="22"/>
  </w:num>
  <w:num w:numId="16">
    <w:abstractNumId w:val="21"/>
  </w:num>
  <w:num w:numId="17">
    <w:abstractNumId w:val="5"/>
  </w:num>
  <w:num w:numId="18">
    <w:abstractNumId w:val="39"/>
  </w:num>
  <w:num w:numId="19">
    <w:abstractNumId w:val="26"/>
  </w:num>
  <w:num w:numId="20">
    <w:abstractNumId w:val="33"/>
  </w:num>
  <w:num w:numId="21">
    <w:abstractNumId w:val="13"/>
  </w:num>
  <w:num w:numId="22">
    <w:abstractNumId w:val="16"/>
  </w:num>
  <w:num w:numId="23">
    <w:abstractNumId w:val="0"/>
  </w:num>
  <w:num w:numId="24">
    <w:abstractNumId w:val="27"/>
  </w:num>
  <w:num w:numId="25">
    <w:abstractNumId w:val="6"/>
  </w:num>
  <w:num w:numId="26">
    <w:abstractNumId w:val="2"/>
  </w:num>
  <w:num w:numId="27">
    <w:abstractNumId w:val="3"/>
  </w:num>
  <w:num w:numId="28">
    <w:abstractNumId w:val="24"/>
  </w:num>
  <w:num w:numId="29">
    <w:abstractNumId w:val="1"/>
  </w:num>
  <w:num w:numId="30">
    <w:abstractNumId w:val="30"/>
  </w:num>
  <w:num w:numId="31">
    <w:abstractNumId w:val="17"/>
  </w:num>
  <w:num w:numId="32">
    <w:abstractNumId w:val="36"/>
  </w:num>
  <w:num w:numId="33">
    <w:abstractNumId w:val="29"/>
  </w:num>
  <w:num w:numId="34">
    <w:abstractNumId w:val="28"/>
  </w:num>
  <w:num w:numId="35">
    <w:abstractNumId w:val="38"/>
  </w:num>
  <w:num w:numId="36">
    <w:abstractNumId w:val="32"/>
  </w:num>
  <w:num w:numId="37">
    <w:abstractNumId w:val="35"/>
  </w:num>
  <w:num w:numId="38">
    <w:abstractNumId w:val="7"/>
  </w:num>
  <w:num w:numId="39">
    <w:abstractNumId w:val="12"/>
  </w:num>
  <w:num w:numId="40">
    <w:abstractNumId w:val="11"/>
  </w:num>
  <w:num w:numId="41">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809"/>
    <w:rsid w:val="00010BA0"/>
    <w:rsid w:val="000168DB"/>
    <w:rsid w:val="00020557"/>
    <w:rsid w:val="00021FC2"/>
    <w:rsid w:val="000250C7"/>
    <w:rsid w:val="00026F16"/>
    <w:rsid w:val="00037621"/>
    <w:rsid w:val="00044D46"/>
    <w:rsid w:val="00045088"/>
    <w:rsid w:val="00045904"/>
    <w:rsid w:val="00046FA0"/>
    <w:rsid w:val="000502FD"/>
    <w:rsid w:val="0005076F"/>
    <w:rsid w:val="00057102"/>
    <w:rsid w:val="00065166"/>
    <w:rsid w:val="00074890"/>
    <w:rsid w:val="00082609"/>
    <w:rsid w:val="000851CC"/>
    <w:rsid w:val="00085524"/>
    <w:rsid w:val="00087F21"/>
    <w:rsid w:val="00092350"/>
    <w:rsid w:val="00093BE8"/>
    <w:rsid w:val="000A1AC9"/>
    <w:rsid w:val="000A407B"/>
    <w:rsid w:val="000A463E"/>
    <w:rsid w:val="000A68ED"/>
    <w:rsid w:val="000B05A3"/>
    <w:rsid w:val="000B1C00"/>
    <w:rsid w:val="000B5FF1"/>
    <w:rsid w:val="000B609F"/>
    <w:rsid w:val="000D55A8"/>
    <w:rsid w:val="000E4841"/>
    <w:rsid w:val="000E7B06"/>
    <w:rsid w:val="000F1677"/>
    <w:rsid w:val="000F3D6C"/>
    <w:rsid w:val="000F5F80"/>
    <w:rsid w:val="00100999"/>
    <w:rsid w:val="00101707"/>
    <w:rsid w:val="00102CC9"/>
    <w:rsid w:val="0010593A"/>
    <w:rsid w:val="0011473D"/>
    <w:rsid w:val="00115C85"/>
    <w:rsid w:val="001219F4"/>
    <w:rsid w:val="00123305"/>
    <w:rsid w:val="00123855"/>
    <w:rsid w:val="00126A4D"/>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9C0"/>
    <w:rsid w:val="001D4862"/>
    <w:rsid w:val="001E11FC"/>
    <w:rsid w:val="001E25B9"/>
    <w:rsid w:val="001E2A61"/>
    <w:rsid w:val="001E49E0"/>
    <w:rsid w:val="001E572D"/>
    <w:rsid w:val="001E7B5A"/>
    <w:rsid w:val="001F7412"/>
    <w:rsid w:val="0020090A"/>
    <w:rsid w:val="00202DFE"/>
    <w:rsid w:val="0020725B"/>
    <w:rsid w:val="002110F1"/>
    <w:rsid w:val="00225ADF"/>
    <w:rsid w:val="002356EA"/>
    <w:rsid w:val="0024116D"/>
    <w:rsid w:val="002414D3"/>
    <w:rsid w:val="00241B44"/>
    <w:rsid w:val="00241FA3"/>
    <w:rsid w:val="00245B09"/>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A42DD"/>
    <w:rsid w:val="002B1C45"/>
    <w:rsid w:val="002C13C8"/>
    <w:rsid w:val="002C3547"/>
    <w:rsid w:val="002C6462"/>
    <w:rsid w:val="002D0021"/>
    <w:rsid w:val="002D1456"/>
    <w:rsid w:val="002D299D"/>
    <w:rsid w:val="002D30E7"/>
    <w:rsid w:val="002D3473"/>
    <w:rsid w:val="002F1956"/>
    <w:rsid w:val="002F3440"/>
    <w:rsid w:val="002F75A3"/>
    <w:rsid w:val="0030392B"/>
    <w:rsid w:val="00303C2F"/>
    <w:rsid w:val="00311DD0"/>
    <w:rsid w:val="003144EF"/>
    <w:rsid w:val="00321FE0"/>
    <w:rsid w:val="00326292"/>
    <w:rsid w:val="00326415"/>
    <w:rsid w:val="00330937"/>
    <w:rsid w:val="00330F31"/>
    <w:rsid w:val="003311A1"/>
    <w:rsid w:val="00334648"/>
    <w:rsid w:val="0033768C"/>
    <w:rsid w:val="00337938"/>
    <w:rsid w:val="00340769"/>
    <w:rsid w:val="00341AA6"/>
    <w:rsid w:val="003518BB"/>
    <w:rsid w:val="00355C25"/>
    <w:rsid w:val="00361A0A"/>
    <w:rsid w:val="00363D14"/>
    <w:rsid w:val="00364836"/>
    <w:rsid w:val="0036565C"/>
    <w:rsid w:val="0036625E"/>
    <w:rsid w:val="00366D43"/>
    <w:rsid w:val="0037383A"/>
    <w:rsid w:val="0037465A"/>
    <w:rsid w:val="003765EF"/>
    <w:rsid w:val="00382C98"/>
    <w:rsid w:val="0038533C"/>
    <w:rsid w:val="00386568"/>
    <w:rsid w:val="00386801"/>
    <w:rsid w:val="00387378"/>
    <w:rsid w:val="00390B57"/>
    <w:rsid w:val="00391875"/>
    <w:rsid w:val="0039328C"/>
    <w:rsid w:val="003948D5"/>
    <w:rsid w:val="00396821"/>
    <w:rsid w:val="00397D3A"/>
    <w:rsid w:val="003A051E"/>
    <w:rsid w:val="003B170F"/>
    <w:rsid w:val="003B3C5F"/>
    <w:rsid w:val="003B67D1"/>
    <w:rsid w:val="003C10EB"/>
    <w:rsid w:val="003C1779"/>
    <w:rsid w:val="003C4471"/>
    <w:rsid w:val="003C5E71"/>
    <w:rsid w:val="003D0A6D"/>
    <w:rsid w:val="003D7879"/>
    <w:rsid w:val="003E0B16"/>
    <w:rsid w:val="003E10A7"/>
    <w:rsid w:val="003E220B"/>
    <w:rsid w:val="003E67D1"/>
    <w:rsid w:val="003F6C7C"/>
    <w:rsid w:val="003F73C7"/>
    <w:rsid w:val="004017D4"/>
    <w:rsid w:val="00404329"/>
    <w:rsid w:val="00405DC1"/>
    <w:rsid w:val="00407C02"/>
    <w:rsid w:val="00411D40"/>
    <w:rsid w:val="0041438F"/>
    <w:rsid w:val="00415F1F"/>
    <w:rsid w:val="0042108F"/>
    <w:rsid w:val="00426090"/>
    <w:rsid w:val="00426448"/>
    <w:rsid w:val="00430FED"/>
    <w:rsid w:val="00434A8C"/>
    <w:rsid w:val="0043616E"/>
    <w:rsid w:val="00437297"/>
    <w:rsid w:val="00444284"/>
    <w:rsid w:val="00445CE6"/>
    <w:rsid w:val="004534C2"/>
    <w:rsid w:val="0045446F"/>
    <w:rsid w:val="00455631"/>
    <w:rsid w:val="0045683E"/>
    <w:rsid w:val="00477C72"/>
    <w:rsid w:val="00485546"/>
    <w:rsid w:val="00491675"/>
    <w:rsid w:val="00493855"/>
    <w:rsid w:val="00494160"/>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93C91"/>
    <w:rsid w:val="00595317"/>
    <w:rsid w:val="005A0CCA"/>
    <w:rsid w:val="005A25AE"/>
    <w:rsid w:val="005A6FF2"/>
    <w:rsid w:val="005A726D"/>
    <w:rsid w:val="005B67AC"/>
    <w:rsid w:val="005B79F4"/>
    <w:rsid w:val="005D093D"/>
    <w:rsid w:val="005D16DD"/>
    <w:rsid w:val="005D43E0"/>
    <w:rsid w:val="005D446E"/>
    <w:rsid w:val="005D54B3"/>
    <w:rsid w:val="005D58A3"/>
    <w:rsid w:val="005D6FE1"/>
    <w:rsid w:val="005E1B79"/>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2E44"/>
    <w:rsid w:val="00634622"/>
    <w:rsid w:val="00636808"/>
    <w:rsid w:val="00641515"/>
    <w:rsid w:val="006527C0"/>
    <w:rsid w:val="00654C2F"/>
    <w:rsid w:val="00654D1D"/>
    <w:rsid w:val="00657087"/>
    <w:rsid w:val="0066105D"/>
    <w:rsid w:val="006639DB"/>
    <w:rsid w:val="006661EF"/>
    <w:rsid w:val="00677AEB"/>
    <w:rsid w:val="00680EF2"/>
    <w:rsid w:val="00687A1D"/>
    <w:rsid w:val="00690B0B"/>
    <w:rsid w:val="00697EA1"/>
    <w:rsid w:val="006A2646"/>
    <w:rsid w:val="006A6530"/>
    <w:rsid w:val="006B435A"/>
    <w:rsid w:val="006B4C64"/>
    <w:rsid w:val="006B5069"/>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603F5"/>
    <w:rsid w:val="00764670"/>
    <w:rsid w:val="00764DB0"/>
    <w:rsid w:val="0076764D"/>
    <w:rsid w:val="0077498C"/>
    <w:rsid w:val="007809BC"/>
    <w:rsid w:val="00784128"/>
    <w:rsid w:val="00785A24"/>
    <w:rsid w:val="00787BCC"/>
    <w:rsid w:val="00791E9F"/>
    <w:rsid w:val="00793173"/>
    <w:rsid w:val="00797EE0"/>
    <w:rsid w:val="007A06A0"/>
    <w:rsid w:val="007A2A33"/>
    <w:rsid w:val="007B5C89"/>
    <w:rsid w:val="007C1FCC"/>
    <w:rsid w:val="007C4AE9"/>
    <w:rsid w:val="007C6201"/>
    <w:rsid w:val="007C625D"/>
    <w:rsid w:val="007D7C92"/>
    <w:rsid w:val="007E1154"/>
    <w:rsid w:val="007E1E1F"/>
    <w:rsid w:val="007E2AF5"/>
    <w:rsid w:val="007E6BA4"/>
    <w:rsid w:val="007F39C7"/>
    <w:rsid w:val="007F41F8"/>
    <w:rsid w:val="007F659B"/>
    <w:rsid w:val="008023B6"/>
    <w:rsid w:val="00802E21"/>
    <w:rsid w:val="00803FDF"/>
    <w:rsid w:val="0080454E"/>
    <w:rsid w:val="00804C32"/>
    <w:rsid w:val="00806302"/>
    <w:rsid w:val="00807119"/>
    <w:rsid w:val="0081669A"/>
    <w:rsid w:val="0082483F"/>
    <w:rsid w:val="008279C0"/>
    <w:rsid w:val="00844E12"/>
    <w:rsid w:val="00852D90"/>
    <w:rsid w:val="00867701"/>
    <w:rsid w:val="008723F3"/>
    <w:rsid w:val="00876F56"/>
    <w:rsid w:val="00881DE6"/>
    <w:rsid w:val="008837A6"/>
    <w:rsid w:val="00884C75"/>
    <w:rsid w:val="0089145D"/>
    <w:rsid w:val="00893B7C"/>
    <w:rsid w:val="00897D68"/>
    <w:rsid w:val="008A298C"/>
    <w:rsid w:val="008A4DF2"/>
    <w:rsid w:val="008A6CFE"/>
    <w:rsid w:val="008B5333"/>
    <w:rsid w:val="008B6223"/>
    <w:rsid w:val="008C66E0"/>
    <w:rsid w:val="008E3339"/>
    <w:rsid w:val="008F20FC"/>
    <w:rsid w:val="008F4673"/>
    <w:rsid w:val="008F5FFE"/>
    <w:rsid w:val="00905A43"/>
    <w:rsid w:val="00912C79"/>
    <w:rsid w:val="00921B8C"/>
    <w:rsid w:val="009337CE"/>
    <w:rsid w:val="00942123"/>
    <w:rsid w:val="00943F99"/>
    <w:rsid w:val="0095207B"/>
    <w:rsid w:val="009578F6"/>
    <w:rsid w:val="00962045"/>
    <w:rsid w:val="00966B3B"/>
    <w:rsid w:val="00980E61"/>
    <w:rsid w:val="0098256E"/>
    <w:rsid w:val="00991428"/>
    <w:rsid w:val="00992676"/>
    <w:rsid w:val="0099505F"/>
    <w:rsid w:val="009954B2"/>
    <w:rsid w:val="00996691"/>
    <w:rsid w:val="009A3A68"/>
    <w:rsid w:val="009A3AB7"/>
    <w:rsid w:val="009A7C49"/>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A0319B"/>
    <w:rsid w:val="00A047EE"/>
    <w:rsid w:val="00A2274A"/>
    <w:rsid w:val="00A235B7"/>
    <w:rsid w:val="00A27A7A"/>
    <w:rsid w:val="00A303C9"/>
    <w:rsid w:val="00A317EE"/>
    <w:rsid w:val="00A34ABE"/>
    <w:rsid w:val="00A407EF"/>
    <w:rsid w:val="00A46B4C"/>
    <w:rsid w:val="00A5117B"/>
    <w:rsid w:val="00A56D34"/>
    <w:rsid w:val="00A60074"/>
    <w:rsid w:val="00A6325B"/>
    <w:rsid w:val="00A6627C"/>
    <w:rsid w:val="00A706C7"/>
    <w:rsid w:val="00A71019"/>
    <w:rsid w:val="00A71E04"/>
    <w:rsid w:val="00A73DD7"/>
    <w:rsid w:val="00A7515C"/>
    <w:rsid w:val="00A81029"/>
    <w:rsid w:val="00A845F5"/>
    <w:rsid w:val="00A87BA2"/>
    <w:rsid w:val="00A96489"/>
    <w:rsid w:val="00AA0C60"/>
    <w:rsid w:val="00AB2425"/>
    <w:rsid w:val="00AB685C"/>
    <w:rsid w:val="00AB6C2D"/>
    <w:rsid w:val="00AC08F7"/>
    <w:rsid w:val="00AC3839"/>
    <w:rsid w:val="00AC7082"/>
    <w:rsid w:val="00AD4BE8"/>
    <w:rsid w:val="00AF228E"/>
    <w:rsid w:val="00B0084D"/>
    <w:rsid w:val="00B016A8"/>
    <w:rsid w:val="00B14819"/>
    <w:rsid w:val="00B15E2F"/>
    <w:rsid w:val="00B17AA9"/>
    <w:rsid w:val="00B22016"/>
    <w:rsid w:val="00B25814"/>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A25"/>
    <w:rsid w:val="00C328C8"/>
    <w:rsid w:val="00C35671"/>
    <w:rsid w:val="00C35B77"/>
    <w:rsid w:val="00C376EB"/>
    <w:rsid w:val="00C42288"/>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6C50"/>
    <w:rsid w:val="00CE6E50"/>
    <w:rsid w:val="00CE7AFA"/>
    <w:rsid w:val="00CF1E7A"/>
    <w:rsid w:val="00CF2819"/>
    <w:rsid w:val="00CF455A"/>
    <w:rsid w:val="00CF4F9D"/>
    <w:rsid w:val="00CF70DC"/>
    <w:rsid w:val="00D027D9"/>
    <w:rsid w:val="00D148DC"/>
    <w:rsid w:val="00D17FDC"/>
    <w:rsid w:val="00D21D8C"/>
    <w:rsid w:val="00D27A96"/>
    <w:rsid w:val="00D423E5"/>
    <w:rsid w:val="00D53719"/>
    <w:rsid w:val="00D63EFD"/>
    <w:rsid w:val="00D759CE"/>
    <w:rsid w:val="00D75D34"/>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3E64"/>
    <w:rsid w:val="00DC4420"/>
    <w:rsid w:val="00DD0802"/>
    <w:rsid w:val="00DD2E11"/>
    <w:rsid w:val="00DE03AF"/>
    <w:rsid w:val="00DE121C"/>
    <w:rsid w:val="00DE2CA5"/>
    <w:rsid w:val="00DE6633"/>
    <w:rsid w:val="00DF75F8"/>
    <w:rsid w:val="00DF7A3A"/>
    <w:rsid w:val="00E00C00"/>
    <w:rsid w:val="00E01E29"/>
    <w:rsid w:val="00E02EDA"/>
    <w:rsid w:val="00E06F2B"/>
    <w:rsid w:val="00E07C5A"/>
    <w:rsid w:val="00E11F26"/>
    <w:rsid w:val="00E14541"/>
    <w:rsid w:val="00E14FA7"/>
    <w:rsid w:val="00E15753"/>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85668"/>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25AF"/>
    <w:rsid w:val="00F45207"/>
    <w:rsid w:val="00F5524B"/>
    <w:rsid w:val="00F60538"/>
    <w:rsid w:val="00F61DD2"/>
    <w:rsid w:val="00F65AB3"/>
    <w:rsid w:val="00F66AFF"/>
    <w:rsid w:val="00F66F36"/>
    <w:rsid w:val="00F71433"/>
    <w:rsid w:val="00F83B7D"/>
    <w:rsid w:val="00F946AC"/>
    <w:rsid w:val="00F97C5B"/>
    <w:rsid w:val="00FA3D50"/>
    <w:rsid w:val="00FB44D4"/>
    <w:rsid w:val="00FB4C90"/>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 w:type="paragraph" w:styleId="BodyText">
    <w:name w:val="Body Text"/>
    <w:basedOn w:val="Normal"/>
    <w:link w:val="BodyTextChar"/>
    <w:uiPriority w:val="99"/>
    <w:unhideWhenUsed/>
    <w:rsid w:val="00F425AF"/>
    <w:pPr>
      <w:jc w:val="both"/>
    </w:pPr>
    <w:rPr>
      <w:rFonts w:ascii="Arial" w:hAnsi="Arial" w:cs="Arial"/>
      <w:color w:val="7B7B7B" w:themeColor="accent3" w:themeShade="BF"/>
      <w:sz w:val="22"/>
      <w:szCs w:val="22"/>
    </w:rPr>
  </w:style>
  <w:style w:type="character" w:customStyle="1" w:styleId="BodyTextChar">
    <w:name w:val="Body Text Char"/>
    <w:basedOn w:val="DefaultParagraphFont"/>
    <w:link w:val="BodyText"/>
    <w:uiPriority w:val="99"/>
    <w:rsid w:val="00F425AF"/>
    <w:rPr>
      <w:rFonts w:ascii="Arial" w:eastAsia="Times New Roman" w:hAnsi="Arial" w:cs="Arial"/>
      <w:color w:val="7B7B7B" w:themeColor="accent3"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08275-4D14-4022-82A6-ED9C62FC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5597</TotalTime>
  <Pages>13</Pages>
  <Words>4981</Words>
  <Characters>28395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Christine Lay Kei Een</cp:lastModifiedBy>
  <cp:revision>26</cp:revision>
  <cp:lastPrinted>2020-06-08T04:09:00Z</cp:lastPrinted>
  <dcterms:created xsi:type="dcterms:W3CDTF">2021-09-20T09:41:00Z</dcterms:created>
  <dcterms:modified xsi:type="dcterms:W3CDTF">2022-07-30T18:14:00Z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