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w:t>
      </w:r>
      <w:proofErr w:type="gramStart"/>
      <w:r w:rsidRPr="00592F82">
        <w:rPr>
          <w:rFonts w:ascii="Arial" w:hAnsi="Arial" w:cs="Arial"/>
          <w:sz w:val="22"/>
          <w:szCs w:val="22"/>
          <w:lang w:val="en-GB"/>
        </w:rPr>
        <w:t>a</w:t>
      </w:r>
      <w:proofErr w:type="gramEnd"/>
      <w:r w:rsidRPr="00592F82">
        <w:rPr>
          <w:rFonts w:ascii="Arial" w:hAnsi="Arial" w:cs="Arial"/>
          <w:sz w:val="22"/>
          <w:szCs w:val="22"/>
          <w:lang w:val="en-GB"/>
        </w:rPr>
        <w:t xml:space="preserve">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apply</w:t>
      </w:r>
      <w:proofErr w:type="gramEnd"/>
      <w:r w:rsidRPr="00E11C54">
        <w:rPr>
          <w:rFonts w:ascii="Arial" w:hAnsi="Arial" w:cs="Arial"/>
          <w:sz w:val="22"/>
          <w:szCs w:val="22"/>
          <w:lang w:val="en-GB"/>
        </w:rPr>
        <w:t xml:space="preserve">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apply</w:t>
      </w:r>
      <w:proofErr w:type="gramEnd"/>
      <w:r w:rsidRPr="00E11C54">
        <w:rPr>
          <w:rFonts w:ascii="Arial" w:hAnsi="Arial" w:cs="Arial"/>
          <w:sz w:val="22"/>
          <w:szCs w:val="22"/>
          <w:lang w:val="en-GB"/>
        </w:rPr>
        <w:t xml:space="preserve">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proofErr w:type="gramStart"/>
      <w:r w:rsidRPr="00E11C54">
        <w:rPr>
          <w:rFonts w:ascii="Arial" w:hAnsi="Arial" w:cs="Arial"/>
          <w:sz w:val="22"/>
          <w:szCs w:val="22"/>
          <w:lang w:val="en-GB"/>
        </w:rPr>
        <w:t>bring</w:t>
      </w:r>
      <w:proofErr w:type="gramEnd"/>
      <w:r w:rsidRPr="00E11C54">
        <w:rPr>
          <w:rFonts w:ascii="Arial" w:hAnsi="Arial" w:cs="Arial"/>
          <w:sz w:val="22"/>
          <w:szCs w:val="22"/>
          <w:lang w:val="en-GB"/>
        </w:rPr>
        <w:t xml:space="preserve">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956B16" w:rsidRDefault="00AD12C7" w:rsidP="00265D2D">
      <w:pPr>
        <w:pStyle w:val="ListParagraph"/>
        <w:numPr>
          <w:ilvl w:val="0"/>
          <w:numId w:val="11"/>
        </w:numPr>
        <w:ind w:left="426"/>
        <w:jc w:val="both"/>
        <w:rPr>
          <w:rFonts w:ascii="Arial" w:hAnsi="Arial" w:cs="Arial"/>
          <w:sz w:val="22"/>
          <w:szCs w:val="22"/>
          <w:highlight w:val="yellow"/>
          <w:lang w:val="en-GB"/>
        </w:rPr>
      </w:pPr>
      <w:proofErr w:type="gramStart"/>
      <w:r w:rsidRPr="00956B16">
        <w:rPr>
          <w:rFonts w:ascii="Arial" w:hAnsi="Arial" w:cs="Arial"/>
          <w:sz w:val="22"/>
          <w:szCs w:val="22"/>
          <w:highlight w:val="yellow"/>
          <w:lang w:val="en-GB"/>
        </w:rPr>
        <w:t>apply</w:t>
      </w:r>
      <w:proofErr w:type="gramEnd"/>
      <w:r w:rsidRPr="00956B16">
        <w:rPr>
          <w:rFonts w:ascii="Arial" w:hAnsi="Arial" w:cs="Arial"/>
          <w:sz w:val="22"/>
          <w:szCs w:val="22"/>
          <w:highlight w:val="yellow"/>
          <w:lang w:val="en-GB"/>
        </w:rPr>
        <w:t xml:space="preserve"> to the court for the decision to be reversed or varied</w:t>
      </w:r>
      <w:r w:rsidR="005A2E18" w:rsidRPr="00956B16">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956B16" w:rsidRDefault="005A2E18" w:rsidP="00265D2D">
      <w:pPr>
        <w:pStyle w:val="ListParagraph"/>
        <w:numPr>
          <w:ilvl w:val="0"/>
          <w:numId w:val="12"/>
        </w:numPr>
        <w:ind w:left="426"/>
        <w:rPr>
          <w:rFonts w:ascii="Arial" w:hAnsi="Arial" w:cs="Arial"/>
          <w:sz w:val="22"/>
          <w:szCs w:val="22"/>
          <w:highlight w:val="yellow"/>
          <w:lang w:val="en-GB"/>
        </w:rPr>
      </w:pPr>
      <w:r w:rsidRPr="00956B16">
        <w:rPr>
          <w:rFonts w:ascii="Arial" w:hAnsi="Arial" w:cs="Arial"/>
          <w:sz w:val="22"/>
          <w:szCs w:val="22"/>
          <w:highlight w:val="yellow"/>
          <w:lang w:val="en-GB"/>
        </w:rPr>
        <w:t>R</w:t>
      </w:r>
      <w:r w:rsidR="00AD12C7" w:rsidRPr="00956B16">
        <w:rPr>
          <w:rFonts w:ascii="Arial" w:hAnsi="Arial" w:cs="Arial"/>
          <w:sz w:val="22"/>
          <w:szCs w:val="22"/>
          <w:highlight w:val="yellow"/>
          <w:lang w:val="en-GB"/>
        </w:rPr>
        <w:t>eceivership</w:t>
      </w:r>
      <w:r w:rsidRPr="00956B16">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Default="0089536F" w:rsidP="00265D2D">
      <w:pPr>
        <w:pStyle w:val="ListParagraph"/>
        <w:numPr>
          <w:ilvl w:val="0"/>
          <w:numId w:val="13"/>
        </w:numPr>
        <w:ind w:left="426"/>
        <w:jc w:val="both"/>
        <w:rPr>
          <w:rFonts w:ascii="Arial" w:hAnsi="Arial" w:cs="Arial"/>
          <w:sz w:val="22"/>
          <w:szCs w:val="22"/>
          <w:lang w:val="en-GB"/>
        </w:rPr>
      </w:pPr>
      <w:proofErr w:type="gramStart"/>
      <w:r w:rsidRPr="00956B16">
        <w:rPr>
          <w:rFonts w:ascii="Arial" w:hAnsi="Arial" w:cs="Arial"/>
          <w:sz w:val="22"/>
          <w:szCs w:val="22"/>
          <w:highlight w:val="yellow"/>
          <w:lang w:val="en-GB"/>
        </w:rPr>
        <w:t>creditors</w:t>
      </w:r>
      <w:proofErr w:type="gramEnd"/>
      <w:r w:rsidRPr="00956B16">
        <w:rPr>
          <w:rFonts w:ascii="Arial" w:hAnsi="Arial" w:cs="Arial"/>
          <w:sz w:val="22"/>
          <w:szCs w:val="22"/>
          <w:highlight w:val="yellow"/>
          <w:lang w:val="en-GB"/>
        </w:rPr>
        <w:t>’ scheme of arrangement</w:t>
      </w:r>
      <w:r w:rsidR="00265D2D" w:rsidRPr="00956B16">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deed</w:t>
      </w:r>
      <w:proofErr w:type="gramEnd"/>
      <w:r>
        <w:rPr>
          <w:rFonts w:ascii="Arial" w:hAnsi="Arial" w:cs="Arial"/>
          <w:sz w:val="22"/>
          <w:szCs w:val="22"/>
          <w:lang w:val="en-GB"/>
        </w:rPr>
        <w:t xml:space="preserve">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Pr="00956B16" w:rsidRDefault="0089536F" w:rsidP="00265D2D">
      <w:pPr>
        <w:pStyle w:val="ListParagraph"/>
        <w:numPr>
          <w:ilvl w:val="0"/>
          <w:numId w:val="13"/>
        </w:numPr>
        <w:ind w:left="426"/>
        <w:jc w:val="both"/>
        <w:rPr>
          <w:rFonts w:ascii="Arial" w:hAnsi="Arial" w:cs="Arial"/>
          <w:sz w:val="22"/>
          <w:szCs w:val="22"/>
          <w:lang w:val="en-GB"/>
        </w:rPr>
      </w:pPr>
      <w:proofErr w:type="gramStart"/>
      <w:r w:rsidRPr="00956B16">
        <w:rPr>
          <w:rFonts w:ascii="Arial" w:hAnsi="Arial" w:cs="Arial"/>
          <w:sz w:val="22"/>
          <w:szCs w:val="22"/>
          <w:lang w:val="en-GB"/>
        </w:rPr>
        <w:t>creditors</w:t>
      </w:r>
      <w:proofErr w:type="gramEnd"/>
      <w:r w:rsidRPr="00956B16">
        <w:rPr>
          <w:rFonts w:ascii="Arial" w:hAnsi="Arial" w:cs="Arial"/>
          <w:sz w:val="22"/>
          <w:szCs w:val="22"/>
          <w:lang w:val="en-GB"/>
        </w:rPr>
        <w:t>’ voluntary liquidation</w:t>
      </w:r>
      <w:r w:rsidR="00265D2D" w:rsidRPr="00956B16">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voluntary</w:t>
      </w:r>
      <w:proofErr w:type="gramEnd"/>
      <w:r>
        <w:rPr>
          <w:rFonts w:ascii="Arial" w:hAnsi="Arial" w:cs="Arial"/>
          <w:sz w:val="22"/>
          <w:szCs w:val="22"/>
          <w:lang w:val="en-GB"/>
        </w:rPr>
        <w:t xml:space="preserve">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proofErr w:type="gramStart"/>
      <w:r>
        <w:rPr>
          <w:rFonts w:ascii="Arial" w:hAnsi="Arial" w:cs="Arial"/>
          <w:sz w:val="22"/>
          <w:szCs w:val="22"/>
          <w:lang w:val="en-GB"/>
        </w:rPr>
        <w:t>small</w:t>
      </w:r>
      <w:proofErr w:type="gramEnd"/>
      <w:r>
        <w:rPr>
          <w:rFonts w:ascii="Arial" w:hAnsi="Arial" w:cs="Arial"/>
          <w:sz w:val="22"/>
          <w:szCs w:val="22"/>
          <w:lang w:val="en-GB"/>
        </w:rPr>
        <w:t xml:space="preserve">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w:t>
      </w:r>
      <w:r w:rsidRPr="00F43A99">
        <w:rPr>
          <w:rFonts w:ascii="Arial" w:hAnsi="Arial" w:cs="Arial"/>
          <w:sz w:val="22"/>
          <w:szCs w:val="22"/>
          <w:lang w:val="en-GB"/>
        </w:rPr>
        <w:t xml:space="preserve">to its trade creditors and it has </w:t>
      </w:r>
      <w:proofErr w:type="gramStart"/>
      <w:r w:rsidRPr="00F43A99">
        <w:rPr>
          <w:rFonts w:ascii="Arial" w:hAnsi="Arial" w:cs="Arial"/>
          <w:sz w:val="22"/>
          <w:szCs w:val="22"/>
          <w:lang w:val="en-GB"/>
        </w:rPr>
        <w:t>a</w:t>
      </w:r>
      <w:proofErr w:type="gramEnd"/>
      <w:r w:rsidRPr="00F43A99">
        <w:rPr>
          <w:rFonts w:ascii="Arial" w:hAnsi="Arial" w:cs="Arial"/>
          <w:sz w:val="22"/>
          <w:szCs w:val="22"/>
          <w:lang w:val="en-GB"/>
        </w:rPr>
        <w:t xml:space="preserve"> </w:t>
      </w:r>
      <w:r w:rsidR="00265D2D" w:rsidRPr="00F43A99">
        <w:rPr>
          <w:rFonts w:ascii="Arial" w:hAnsi="Arial" w:cs="Arial"/>
          <w:sz w:val="22"/>
          <w:szCs w:val="22"/>
          <w:lang w:val="en-GB"/>
        </w:rPr>
        <w:t xml:space="preserve">AUD </w:t>
      </w:r>
      <w:r w:rsidRPr="00F43A99">
        <w:rPr>
          <w:rFonts w:ascii="Arial" w:hAnsi="Arial" w:cs="Arial"/>
          <w:sz w:val="22"/>
          <w:szCs w:val="22"/>
          <w:lang w:val="en-GB"/>
        </w:rPr>
        <w:t>800,000 secured loan from its bank. Which of these restructuring processes is</w:t>
      </w:r>
      <w:r>
        <w:rPr>
          <w:rFonts w:ascii="Arial" w:hAnsi="Arial" w:cs="Arial"/>
          <w:sz w:val="22"/>
          <w:szCs w:val="22"/>
          <w:lang w:val="en-GB"/>
        </w:rPr>
        <w:t xml:space="preserve">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F43A99" w:rsidRDefault="00321D73" w:rsidP="00265D2D">
      <w:pPr>
        <w:pStyle w:val="ListParagraph"/>
        <w:numPr>
          <w:ilvl w:val="0"/>
          <w:numId w:val="14"/>
        </w:numPr>
        <w:ind w:left="426"/>
        <w:rPr>
          <w:rFonts w:ascii="Arial" w:hAnsi="Arial" w:cs="Arial"/>
          <w:sz w:val="22"/>
          <w:szCs w:val="22"/>
          <w:highlight w:val="yellow"/>
          <w:lang w:val="en-GB"/>
        </w:rPr>
      </w:pPr>
      <w:r w:rsidRPr="00F43A99">
        <w:rPr>
          <w:rFonts w:ascii="Arial" w:hAnsi="Arial" w:cs="Arial"/>
          <w:sz w:val="22"/>
          <w:szCs w:val="22"/>
          <w:highlight w:val="yellow"/>
          <w:lang w:val="en-GB"/>
        </w:rPr>
        <w:t>A</w:t>
      </w:r>
      <w:r w:rsidR="000D2487" w:rsidRPr="00F43A99">
        <w:rPr>
          <w:rFonts w:ascii="Arial" w:hAnsi="Arial" w:cs="Arial"/>
          <w:sz w:val="22"/>
          <w:szCs w:val="22"/>
          <w:highlight w:val="yellow"/>
          <w:lang w:val="en-GB"/>
        </w:rPr>
        <w:t xml:space="preserve"> small business restructuring plan</w:t>
      </w:r>
      <w:r w:rsidR="00265D2D" w:rsidRPr="00F43A99">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Pr="00817EA6" w:rsidRDefault="00FB4C6B" w:rsidP="00265D2D">
      <w:pPr>
        <w:pStyle w:val="ListParagraph"/>
        <w:numPr>
          <w:ilvl w:val="0"/>
          <w:numId w:val="15"/>
        </w:numPr>
        <w:ind w:left="426"/>
        <w:rPr>
          <w:rFonts w:ascii="Arial" w:hAnsi="Arial" w:cs="Arial"/>
          <w:sz w:val="22"/>
          <w:szCs w:val="22"/>
          <w:highlight w:val="yellow"/>
          <w:lang w:val="en-GB"/>
        </w:rPr>
      </w:pPr>
      <w:r w:rsidRPr="00817EA6">
        <w:rPr>
          <w:rFonts w:ascii="Arial" w:hAnsi="Arial" w:cs="Arial"/>
          <w:sz w:val="22"/>
          <w:szCs w:val="22"/>
          <w:highlight w:val="yellow"/>
          <w:lang w:val="en-GB"/>
        </w:rPr>
        <w:t>The bankrupt’s family home</w:t>
      </w:r>
      <w:r w:rsidR="007B3A5E" w:rsidRPr="00817EA6">
        <w:rPr>
          <w:rFonts w:ascii="Arial" w:hAnsi="Arial" w:cs="Arial"/>
          <w:sz w:val="22"/>
          <w:szCs w:val="22"/>
          <w:highlight w:val="yellow"/>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817EA6" w:rsidRDefault="007B3A5E" w:rsidP="00265D2D">
      <w:pPr>
        <w:pStyle w:val="ListParagraph"/>
        <w:numPr>
          <w:ilvl w:val="0"/>
          <w:numId w:val="16"/>
        </w:numPr>
        <w:ind w:left="426"/>
        <w:jc w:val="both"/>
        <w:rPr>
          <w:rFonts w:ascii="Arial" w:hAnsi="Arial" w:cs="Arial"/>
          <w:sz w:val="22"/>
          <w:szCs w:val="22"/>
          <w:highlight w:val="yellow"/>
          <w:lang w:val="en-GB"/>
        </w:rPr>
      </w:pPr>
      <w:r w:rsidRPr="00817EA6">
        <w:rPr>
          <w:rFonts w:ascii="Arial" w:hAnsi="Arial" w:cs="Arial"/>
          <w:sz w:val="22"/>
          <w:szCs w:val="22"/>
          <w:highlight w:val="yellow"/>
          <w:lang w:val="en-GB"/>
        </w:rPr>
        <w:t>T</w:t>
      </w:r>
      <w:r w:rsidR="00AD12C7" w:rsidRPr="00817EA6">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proofErr w:type="gramStart"/>
      <w:r w:rsidRPr="00265D2D">
        <w:rPr>
          <w:rFonts w:ascii="Arial" w:hAnsi="Arial" w:cs="Arial"/>
          <w:sz w:val="22"/>
          <w:szCs w:val="22"/>
          <w:lang w:val="en-GB"/>
        </w:rPr>
        <w:t>the</w:t>
      </w:r>
      <w:proofErr w:type="gramEnd"/>
      <w:r w:rsidRPr="00265D2D">
        <w:rPr>
          <w:rFonts w:ascii="Arial" w:hAnsi="Arial" w:cs="Arial"/>
          <w:sz w:val="22"/>
          <w:szCs w:val="22"/>
          <w:lang w:val="en-GB"/>
        </w:rPr>
        <w:t xml:space="preserv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proofErr w:type="gramStart"/>
      <w:r w:rsidRPr="00265D2D">
        <w:rPr>
          <w:rFonts w:ascii="Arial" w:hAnsi="Arial" w:cs="Arial"/>
          <w:sz w:val="22"/>
          <w:szCs w:val="22"/>
          <w:lang w:val="en-GB"/>
        </w:rPr>
        <w:t>the</w:t>
      </w:r>
      <w:proofErr w:type="gramEnd"/>
      <w:r w:rsidRPr="00265D2D">
        <w:rPr>
          <w:rFonts w:ascii="Arial" w:hAnsi="Arial" w:cs="Arial"/>
          <w:sz w:val="22"/>
          <w:szCs w:val="22"/>
          <w:lang w:val="en-GB"/>
        </w:rPr>
        <w:t xml:space="preserv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proofErr w:type="gramStart"/>
      <w:r w:rsidRPr="00265D2D">
        <w:rPr>
          <w:rFonts w:ascii="Arial" w:hAnsi="Arial" w:cs="Arial"/>
          <w:sz w:val="22"/>
          <w:szCs w:val="22"/>
          <w:lang w:val="en-GB"/>
        </w:rPr>
        <w:t>a</w:t>
      </w:r>
      <w:proofErr w:type="gramEnd"/>
      <w:r w:rsidRPr="00265D2D">
        <w:rPr>
          <w:rFonts w:ascii="Arial" w:hAnsi="Arial" w:cs="Arial"/>
          <w:sz w:val="22"/>
          <w:szCs w:val="22"/>
          <w:lang w:val="en-GB"/>
        </w:rPr>
        <w:t xml:space="preserve">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F43A99" w:rsidRDefault="0089536F" w:rsidP="00265D2D">
      <w:pPr>
        <w:pStyle w:val="ListParagraph"/>
        <w:numPr>
          <w:ilvl w:val="0"/>
          <w:numId w:val="17"/>
        </w:numPr>
        <w:ind w:left="426"/>
        <w:rPr>
          <w:rFonts w:ascii="Arial" w:hAnsi="Arial" w:cs="Arial"/>
          <w:sz w:val="22"/>
          <w:szCs w:val="22"/>
          <w:highlight w:val="yellow"/>
          <w:lang w:val="en-GB"/>
        </w:rPr>
      </w:pPr>
      <w:proofErr w:type="gramStart"/>
      <w:r w:rsidRPr="00F43A99">
        <w:rPr>
          <w:rFonts w:ascii="Arial" w:hAnsi="Arial" w:cs="Arial"/>
          <w:sz w:val="22"/>
          <w:szCs w:val="22"/>
          <w:highlight w:val="yellow"/>
          <w:lang w:val="en-GB"/>
        </w:rPr>
        <w:t>the</w:t>
      </w:r>
      <w:proofErr w:type="gramEnd"/>
      <w:r w:rsidRPr="00F43A99">
        <w:rPr>
          <w:rFonts w:ascii="Arial" w:hAnsi="Arial" w:cs="Arial"/>
          <w:sz w:val="22"/>
          <w:szCs w:val="22"/>
          <w:highlight w:val="yellow"/>
          <w:lang w:val="en-GB"/>
        </w:rPr>
        <w:t xml:space="preserv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owes</w:t>
      </w:r>
      <w:proofErr w:type="gramEnd"/>
      <w:r w:rsidRPr="00023705">
        <w:rPr>
          <w:rFonts w:ascii="Arial" w:hAnsi="Arial" w:cs="Arial"/>
          <w:sz w:val="22"/>
          <w:szCs w:val="22"/>
          <w:lang w:val="en-GB"/>
        </w:rPr>
        <w:t xml:space="preserve">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F43A99" w:rsidRDefault="00AD12C7" w:rsidP="00265D2D">
      <w:pPr>
        <w:pStyle w:val="ListParagraph"/>
        <w:numPr>
          <w:ilvl w:val="0"/>
          <w:numId w:val="19"/>
        </w:numPr>
        <w:ind w:left="426"/>
        <w:jc w:val="both"/>
        <w:rPr>
          <w:rFonts w:ascii="Arial" w:hAnsi="Arial" w:cs="Arial"/>
          <w:sz w:val="22"/>
          <w:szCs w:val="22"/>
          <w:lang w:val="en-GB"/>
        </w:rPr>
      </w:pPr>
      <w:proofErr w:type="gramStart"/>
      <w:r w:rsidRPr="00F43A99">
        <w:rPr>
          <w:rFonts w:ascii="Arial" w:hAnsi="Arial" w:cs="Arial"/>
          <w:sz w:val="22"/>
          <w:szCs w:val="22"/>
          <w:lang w:val="en-GB"/>
        </w:rPr>
        <w:t>is</w:t>
      </w:r>
      <w:proofErr w:type="gramEnd"/>
      <w:r w:rsidRPr="00F43A99">
        <w:rPr>
          <w:rFonts w:ascii="Arial" w:hAnsi="Arial" w:cs="Arial"/>
          <w:sz w:val="22"/>
          <w:szCs w:val="22"/>
          <w:lang w:val="en-GB"/>
        </w:rPr>
        <w:t xml:space="preserve">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F43A99" w:rsidRDefault="00AD12C7" w:rsidP="00265D2D">
      <w:pPr>
        <w:pStyle w:val="ListParagraph"/>
        <w:numPr>
          <w:ilvl w:val="0"/>
          <w:numId w:val="19"/>
        </w:numPr>
        <w:ind w:left="426"/>
        <w:jc w:val="both"/>
        <w:rPr>
          <w:rFonts w:ascii="Arial" w:hAnsi="Arial" w:cs="Arial"/>
          <w:sz w:val="22"/>
          <w:szCs w:val="22"/>
          <w:highlight w:val="yellow"/>
          <w:lang w:val="en-GB"/>
        </w:rPr>
      </w:pPr>
      <w:proofErr w:type="gramStart"/>
      <w:r w:rsidRPr="00F43A99">
        <w:rPr>
          <w:rFonts w:ascii="Arial" w:hAnsi="Arial" w:cs="Arial"/>
          <w:sz w:val="22"/>
          <w:szCs w:val="22"/>
          <w:highlight w:val="yellow"/>
          <w:lang w:val="en-GB"/>
        </w:rPr>
        <w:t>is</w:t>
      </w:r>
      <w:proofErr w:type="gramEnd"/>
      <w:r w:rsidRPr="00F43A99">
        <w:rPr>
          <w:rFonts w:ascii="Arial" w:hAnsi="Arial" w:cs="Arial"/>
          <w:sz w:val="22"/>
          <w:szCs w:val="22"/>
          <w:highlight w:val="yellow"/>
          <w:lang w:val="en-GB"/>
        </w:rPr>
        <w:t xml:space="preserve"> an agent of the company until the appointment of a liquidator to </w:t>
      </w:r>
      <w:r w:rsidR="00023705" w:rsidRPr="00F43A99">
        <w:rPr>
          <w:rFonts w:ascii="Arial" w:hAnsi="Arial" w:cs="Arial"/>
          <w:sz w:val="22"/>
          <w:szCs w:val="22"/>
          <w:highlight w:val="yellow"/>
          <w:lang w:val="en-GB"/>
        </w:rPr>
        <w:t xml:space="preserve">the </w:t>
      </w:r>
      <w:r w:rsidRPr="00F43A99">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proofErr w:type="gramStart"/>
      <w:r w:rsidRPr="00023705">
        <w:rPr>
          <w:rFonts w:ascii="Arial" w:hAnsi="Arial" w:cs="Arial"/>
          <w:sz w:val="22"/>
          <w:szCs w:val="22"/>
          <w:lang w:val="en-GB"/>
        </w:rPr>
        <w:t>is</w:t>
      </w:r>
      <w:proofErr w:type="gramEnd"/>
      <w:r w:rsidRPr="00023705">
        <w:rPr>
          <w:rFonts w:ascii="Arial" w:hAnsi="Arial" w:cs="Arial"/>
          <w:sz w:val="22"/>
          <w:szCs w:val="22"/>
          <w:lang w:val="en-GB"/>
        </w:rPr>
        <w:t xml:space="preserve">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F43A99" w:rsidRDefault="00416D2B" w:rsidP="00265D2D">
      <w:pPr>
        <w:pStyle w:val="ListParagraph"/>
        <w:numPr>
          <w:ilvl w:val="0"/>
          <w:numId w:val="20"/>
        </w:numPr>
        <w:ind w:left="426"/>
        <w:jc w:val="both"/>
        <w:rPr>
          <w:rFonts w:ascii="Arial" w:hAnsi="Arial" w:cs="Arial"/>
          <w:sz w:val="22"/>
          <w:szCs w:val="22"/>
          <w:highlight w:val="yellow"/>
          <w:lang w:val="en-GB"/>
        </w:rPr>
      </w:pPr>
      <w:r w:rsidRPr="00F43A99">
        <w:rPr>
          <w:rFonts w:ascii="Arial" w:hAnsi="Arial" w:cs="Arial"/>
          <w:sz w:val="22"/>
          <w:szCs w:val="22"/>
          <w:highlight w:val="yellow"/>
          <w:lang w:val="en-GB"/>
        </w:rPr>
        <w:t>T</w:t>
      </w:r>
      <w:r w:rsidR="002476AF" w:rsidRPr="00F43A99">
        <w:rPr>
          <w:rFonts w:ascii="Arial" w:hAnsi="Arial" w:cs="Arial"/>
          <w:sz w:val="22"/>
          <w:szCs w:val="22"/>
          <w:highlight w:val="yellow"/>
          <w:lang w:val="en-GB"/>
        </w:rPr>
        <w:t xml:space="preserve">he part dealing with receivers, and other controllers, of property of </w:t>
      </w:r>
      <w:r w:rsidRPr="00F43A99">
        <w:rPr>
          <w:rFonts w:ascii="Arial" w:hAnsi="Arial" w:cs="Arial"/>
          <w:sz w:val="22"/>
          <w:szCs w:val="22"/>
          <w:highlight w:val="yellow"/>
          <w:lang w:val="en-GB"/>
        </w:rPr>
        <w:t xml:space="preserve">the </w:t>
      </w:r>
      <w:r w:rsidR="002476AF" w:rsidRPr="00F43A99">
        <w:rPr>
          <w:rFonts w:ascii="Arial" w:hAnsi="Arial" w:cs="Arial"/>
          <w:sz w:val="22"/>
          <w:szCs w:val="22"/>
          <w:highlight w:val="yellow"/>
          <w:lang w:val="en-GB"/>
        </w:rPr>
        <w:t>corporation</w:t>
      </w:r>
      <w:r w:rsidRPr="00F43A99">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proofErr w:type="gramStart"/>
      <w:r w:rsidRPr="00416D2B">
        <w:rPr>
          <w:rFonts w:ascii="Arial" w:hAnsi="Arial" w:cs="Arial"/>
          <w:sz w:val="22"/>
          <w:szCs w:val="22"/>
          <w:lang w:val="en-GB"/>
        </w:rPr>
        <w:t>an</w:t>
      </w:r>
      <w:proofErr w:type="gramEnd"/>
      <w:r w:rsidRPr="00416D2B">
        <w:rPr>
          <w:rFonts w:ascii="Arial" w:hAnsi="Arial" w:cs="Arial"/>
          <w:sz w:val="22"/>
          <w:szCs w:val="22"/>
          <w:lang w:val="en-GB"/>
        </w:rPr>
        <w:t xml:space="preserve">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F43A99" w:rsidRDefault="002476AF" w:rsidP="00265D2D">
      <w:pPr>
        <w:pStyle w:val="ListParagraph"/>
        <w:numPr>
          <w:ilvl w:val="0"/>
          <w:numId w:val="21"/>
        </w:numPr>
        <w:ind w:left="426"/>
        <w:jc w:val="both"/>
        <w:rPr>
          <w:rFonts w:ascii="Arial" w:hAnsi="Arial" w:cs="Arial"/>
          <w:sz w:val="22"/>
          <w:szCs w:val="22"/>
          <w:highlight w:val="yellow"/>
          <w:lang w:val="en-GB"/>
        </w:rPr>
      </w:pPr>
      <w:proofErr w:type="gramStart"/>
      <w:r w:rsidRPr="00F43A99">
        <w:rPr>
          <w:rFonts w:ascii="Arial" w:hAnsi="Arial" w:cs="Arial"/>
          <w:sz w:val="22"/>
          <w:szCs w:val="22"/>
          <w:highlight w:val="yellow"/>
          <w:lang w:val="en-GB"/>
        </w:rPr>
        <w:t>simplified</w:t>
      </w:r>
      <w:proofErr w:type="gramEnd"/>
      <w:r w:rsidRPr="00F43A99">
        <w:rPr>
          <w:rFonts w:ascii="Arial" w:hAnsi="Arial" w:cs="Arial"/>
          <w:sz w:val="22"/>
          <w:szCs w:val="22"/>
          <w:highlight w:val="yellow"/>
          <w:lang w:val="en-GB"/>
        </w:rPr>
        <w:t xml:space="preserve"> </w:t>
      </w:r>
      <w:r w:rsidR="008235B7" w:rsidRPr="00F43A99">
        <w:rPr>
          <w:rFonts w:ascii="Arial" w:hAnsi="Arial" w:cs="Arial"/>
          <w:sz w:val="22"/>
          <w:szCs w:val="22"/>
          <w:highlight w:val="yellow"/>
          <w:lang w:val="en-GB"/>
        </w:rPr>
        <w:t>restructuring and liquidation regimes for small companies</w:t>
      </w:r>
      <w:r w:rsidRPr="00F43A99">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proofErr w:type="gramStart"/>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proofErr w:type="gramEnd"/>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 xml:space="preserve">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5C786148" w14:textId="5E6E2A38" w:rsidR="00210D91" w:rsidRDefault="00210D91" w:rsidP="00210D91">
      <w:pPr>
        <w:pStyle w:val="BodyText"/>
      </w:pPr>
      <w:r>
        <w:t xml:space="preserve">The types of avoidable transactions that can be reversed by a bankruptcy trustee are undervalued transactions, transfers to defect creditors and preferential payments to creditors. </w:t>
      </w:r>
    </w:p>
    <w:p w14:paraId="33E11EFA" w14:textId="77777777" w:rsidR="00210D91" w:rsidRDefault="00210D91" w:rsidP="00210D91">
      <w:pPr>
        <w:pStyle w:val="BodyText"/>
      </w:pPr>
    </w:p>
    <w:p w14:paraId="43569889" w14:textId="0F31CFFB" w:rsidR="00210D91" w:rsidRDefault="00210D91" w:rsidP="00210D91">
      <w:pPr>
        <w:pStyle w:val="BodyText"/>
      </w:pPr>
      <w:r>
        <w:t>An undervalued transaction will not be reversible if the transaction took place more than 5 years before the commencement of the bankruptcy. If a transaction occurred within the 5 year period, the transaction will not be reversible if the transferee can be shown that the transaction occurred more than 2 years ago and that the debtor was solvent at that time.</w:t>
      </w:r>
    </w:p>
    <w:p w14:paraId="0FE4E8E5" w14:textId="77777777" w:rsidR="00210D91" w:rsidRDefault="00210D91" w:rsidP="00210D91">
      <w:pPr>
        <w:pStyle w:val="BodyText"/>
      </w:pPr>
    </w:p>
    <w:p w14:paraId="083F6903" w14:textId="0A6534F7" w:rsidR="00210D91" w:rsidRDefault="00210D91" w:rsidP="00210D91">
      <w:pPr>
        <w:pStyle w:val="BodyText"/>
      </w:pPr>
      <w:r>
        <w:t xml:space="preserve">A transfer to defect creditors will not be reversible if the debtor is able to show that it paid market value for the property and at the time of the transfer, the transferee did not know and could not reasonably have inferred that the transferor had the main purpose of defeating creditors or the transferor was insolvent or about to become insolvent. </w:t>
      </w:r>
    </w:p>
    <w:p w14:paraId="6154B9B5" w14:textId="77777777" w:rsidR="00210D91" w:rsidRDefault="00210D91" w:rsidP="00210D91">
      <w:pPr>
        <w:pStyle w:val="BodyText"/>
      </w:pPr>
    </w:p>
    <w:p w14:paraId="67ADA3E5" w14:textId="3F9EBC19" w:rsidR="00210D91" w:rsidRPr="002A37BB" w:rsidRDefault="00210D91" w:rsidP="00210D91">
      <w:pPr>
        <w:pStyle w:val="BodyText"/>
      </w:pPr>
      <w:r>
        <w:t>A preferential payment will not be reversible if the transfer of property by the debtor to the creditor occurred more than 6 months prior to the presentation of the bankruptcy petition and if the debtor was solvent at the time of transfer. The transaction will not be reversible if it can be shown by the creditor that the payment was received in good faith, in the ordinary course of business and in return of valuable consideration.</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5F1FE430" w14:textId="544DA245" w:rsidR="00041B35" w:rsidRDefault="00041B35" w:rsidP="00041B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scope of stay under Article 20 of the Model Law implemented by Australia is regarded as the same as the Bankruptcy or Chapter 5 of the Corporation Act, as the case requires. </w:t>
      </w:r>
    </w:p>
    <w:p w14:paraId="6C78C4A5" w14:textId="77777777" w:rsidR="00041B35" w:rsidRDefault="00041B35" w:rsidP="00041B35">
      <w:pPr>
        <w:jc w:val="both"/>
        <w:rPr>
          <w:rFonts w:ascii="Arial" w:hAnsi="Arial" w:cs="Arial"/>
          <w:color w:val="7B7B7B" w:themeColor="accent3" w:themeShade="BF"/>
          <w:sz w:val="22"/>
          <w:szCs w:val="22"/>
        </w:rPr>
      </w:pPr>
    </w:p>
    <w:p w14:paraId="1BF2FDA1" w14:textId="77777777" w:rsidR="002425AF" w:rsidRDefault="00041B35" w:rsidP="00041B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determine what the case requires, the Court would need to ascertain whether the case requires the broader voluntary administration stay which affects secured creditors or the standard liquidation stay that affects only unsecured creditors. The Court would need to </w:t>
      </w:r>
      <w:r>
        <w:rPr>
          <w:rFonts w:ascii="Arial" w:hAnsi="Arial" w:cs="Arial"/>
          <w:color w:val="7B7B7B" w:themeColor="accent3" w:themeShade="BF"/>
          <w:sz w:val="22"/>
          <w:szCs w:val="22"/>
        </w:rPr>
        <w:lastRenderedPageBreak/>
        <w:t xml:space="preserve">determine the nature of the proceeding – if the foreign proceeding is a business rescue procedure, the stay applicable to voluntary administration would be more appropriate. </w:t>
      </w:r>
    </w:p>
    <w:p w14:paraId="0D1F0BBC" w14:textId="77777777" w:rsidR="002425AF" w:rsidRDefault="002425AF" w:rsidP="00041B35">
      <w:pPr>
        <w:jc w:val="both"/>
        <w:rPr>
          <w:rFonts w:ascii="Arial" w:hAnsi="Arial" w:cs="Arial"/>
          <w:color w:val="7B7B7B" w:themeColor="accent3" w:themeShade="BF"/>
          <w:sz w:val="22"/>
          <w:szCs w:val="22"/>
        </w:rPr>
      </w:pPr>
    </w:p>
    <w:p w14:paraId="701CD604" w14:textId="698D648C" w:rsidR="00041B35" w:rsidRDefault="00041B35" w:rsidP="00041B3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the other hand, </w:t>
      </w:r>
      <w:r w:rsidR="002425AF">
        <w:rPr>
          <w:rFonts w:ascii="Arial" w:hAnsi="Arial" w:cs="Arial"/>
          <w:color w:val="7B7B7B" w:themeColor="accent3" w:themeShade="BF"/>
          <w:sz w:val="22"/>
          <w:szCs w:val="22"/>
        </w:rPr>
        <w:t>if the foreign proceeding is more similar to liquidation then stay under the liquidation route will be more applicable – i.e. stay on enforcement action against the assets pf the company and/or stay of proceedings against the company.</w:t>
      </w:r>
    </w:p>
    <w:p w14:paraId="7F8C089D" w14:textId="77777777" w:rsidR="00FE2DE2" w:rsidRDefault="00FE2DE2" w:rsidP="00041B35">
      <w:pPr>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1EE98235" w14:textId="77777777" w:rsidR="00A5418B" w:rsidRDefault="00A5418B" w:rsidP="00A5418B">
      <w:pPr>
        <w:pStyle w:val="BodyText"/>
      </w:pPr>
      <w:r>
        <w:t>Ipso facto clauses allow a party to terminate or modify the operation of a contract upon the occurrence of certain events of default such as the counterparty’s insolvency or restructuring.</w:t>
      </w:r>
    </w:p>
    <w:p w14:paraId="7F34F964" w14:textId="77777777" w:rsidR="00A5418B" w:rsidRDefault="00A5418B" w:rsidP="00A5418B">
      <w:pPr>
        <w:pStyle w:val="BodyText"/>
      </w:pPr>
    </w:p>
    <w:p w14:paraId="2E507398" w14:textId="77777777" w:rsidR="00A5418B" w:rsidRDefault="00A5418B" w:rsidP="00A5418B">
      <w:pPr>
        <w:pStyle w:val="BodyText"/>
      </w:pPr>
      <w:r>
        <w:t xml:space="preserve">During liquidation, a liquidator who intends to maintain an important supply contract for a period of time to assist the temporary conduct of the debtor company’s business pending any transaction, the liquidator will not have the benefit of the ipso facto enforcement prohibition that applies during bankruptcy. Therefore, with an ipso facto clause in place, a supplier, contractor or a party is generally able to terminate its contract with the company as soon as the company enters into liquidation. </w:t>
      </w:r>
    </w:p>
    <w:p w14:paraId="5F6F4CA2" w14:textId="77777777" w:rsidR="00A5418B" w:rsidRDefault="00A5418B" w:rsidP="00A5418B">
      <w:pPr>
        <w:pStyle w:val="BodyText"/>
      </w:pPr>
    </w:p>
    <w:p w14:paraId="4BDBC874" w14:textId="77777777" w:rsidR="00A5418B" w:rsidRPr="002A37BB" w:rsidRDefault="00A5418B" w:rsidP="00A5418B">
      <w:pPr>
        <w:pStyle w:val="BodyText"/>
      </w:pPr>
      <w:r>
        <w:t>An exception to the above general principle which enables liquidator to rely on the ipso facto clause prohibition, is in a creditors’ voluntary liquidation scenario which immediately follows a prior voluntary administration or attempt to negotiate a creditor’s scheme of arrangement – in such scenario, a moratorium introduced under the Corporations Act kicks in. The ipso facto moratorium applies to contracts entered into with a company on or before 1.7.2018, where a company is in the process of voluntary administration – a corporate rescue mechanism.</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roofErr w:type="gramStart"/>
      <w:r w:rsidR="0089536F">
        <w:rPr>
          <w:rFonts w:ascii="Arial" w:hAnsi="Arial" w:cs="Arial"/>
          <w:sz w:val="22"/>
          <w:szCs w:val="22"/>
          <w:lang w:val="en-GB"/>
        </w:rPr>
        <w:t>.“</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0F92B79E" w14:textId="77777777" w:rsidR="00A5418B" w:rsidRDefault="00A5418B" w:rsidP="00A541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respectfully disagree with the statement for reasons to be discussed below. While developments in Australia’s insolvency and restructuring regimes have seen an effort in moving away from a creditors’ rights dominance stance, it cannot be said to have become a debtor-friendly jurisdiction.</w:t>
      </w:r>
    </w:p>
    <w:p w14:paraId="0A9AE685" w14:textId="77777777" w:rsidR="00A5418B" w:rsidRDefault="00A5418B" w:rsidP="00A5418B">
      <w:pPr>
        <w:jc w:val="both"/>
        <w:rPr>
          <w:rFonts w:ascii="Arial" w:hAnsi="Arial" w:cs="Arial"/>
          <w:color w:val="7B7B7B" w:themeColor="accent3" w:themeShade="BF"/>
          <w:sz w:val="22"/>
          <w:szCs w:val="22"/>
          <w:lang w:val="en-GB"/>
        </w:rPr>
      </w:pPr>
    </w:p>
    <w:p w14:paraId="738A1FAE" w14:textId="77777777" w:rsidR="00A5418B" w:rsidRDefault="00A5418B" w:rsidP="00A541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points support the proposition that Australia’s insolvency and restructuring regimes is indeed creditor-friendly: </w:t>
      </w:r>
    </w:p>
    <w:p w14:paraId="14EE4C3A" w14:textId="77777777" w:rsidR="00A5418B" w:rsidRDefault="00A5418B" w:rsidP="00A5418B">
      <w:pPr>
        <w:jc w:val="both"/>
        <w:rPr>
          <w:rFonts w:ascii="Arial" w:hAnsi="Arial" w:cs="Arial"/>
          <w:color w:val="7B7B7B" w:themeColor="accent3" w:themeShade="BF"/>
          <w:sz w:val="22"/>
          <w:szCs w:val="22"/>
          <w:lang w:val="en-GB"/>
        </w:rPr>
      </w:pPr>
    </w:p>
    <w:p w14:paraId="14EF03D9" w14:textId="77777777" w:rsidR="00A5418B" w:rsidRDefault="00A5418B" w:rsidP="00A5418B">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bankruptcy (insolvent individual) and liquidation (insolvent company) scenarios, secured creditors are not bound by the bankruptcy moratorium and remain entitled to enforce their rights against the individual/company. </w:t>
      </w:r>
    </w:p>
    <w:p w14:paraId="307346D8" w14:textId="77777777" w:rsidR="00A5418B" w:rsidRDefault="00A5418B" w:rsidP="00A5418B">
      <w:pPr>
        <w:pStyle w:val="ListParagraph"/>
        <w:ind w:left="567"/>
        <w:jc w:val="both"/>
        <w:rPr>
          <w:rFonts w:ascii="Arial" w:hAnsi="Arial" w:cs="Arial"/>
          <w:color w:val="7B7B7B" w:themeColor="accent3" w:themeShade="BF"/>
          <w:sz w:val="22"/>
          <w:szCs w:val="22"/>
          <w:lang w:val="en-GB"/>
        </w:rPr>
      </w:pPr>
    </w:p>
    <w:p w14:paraId="517189FC" w14:textId="77777777" w:rsidR="00A5418B" w:rsidRDefault="00A5418B" w:rsidP="00A5418B">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voluntary administration scenario, an alternative aim of the option is to enable a maximum return to be achieved for distribution to creditors as envisaged by the Corporations Act. </w:t>
      </w:r>
    </w:p>
    <w:p w14:paraId="0BC76742" w14:textId="77777777" w:rsidR="00A5418B" w:rsidRPr="00342405" w:rsidRDefault="00A5418B" w:rsidP="00A5418B">
      <w:pPr>
        <w:pStyle w:val="ListParagraph"/>
        <w:rPr>
          <w:rFonts w:ascii="Arial" w:hAnsi="Arial" w:cs="Arial"/>
          <w:color w:val="7B7B7B" w:themeColor="accent3" w:themeShade="BF"/>
          <w:sz w:val="22"/>
          <w:szCs w:val="22"/>
          <w:lang w:val="en-GB"/>
        </w:rPr>
      </w:pPr>
    </w:p>
    <w:p w14:paraId="7BD1193A" w14:textId="77777777" w:rsidR="00A5418B" w:rsidRDefault="00A5418B" w:rsidP="00A5418B">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voluntary administration scenario, a secured creditor with interest over the whole, or substantially the whole of a company’s property, can enforce its security right by appointing a receiver, within the decision period of 13 business days from the commencement of the voluntary administration or from the secured party receiving notice of appointment of the voluntary administrator. </w:t>
      </w:r>
    </w:p>
    <w:p w14:paraId="1FC1C680" w14:textId="77777777" w:rsidR="00A5418B" w:rsidRPr="00D51A06" w:rsidRDefault="00A5418B" w:rsidP="00A5418B">
      <w:pPr>
        <w:pStyle w:val="ListParagraph"/>
        <w:rPr>
          <w:rFonts w:ascii="Arial" w:hAnsi="Arial" w:cs="Arial"/>
          <w:color w:val="7B7B7B" w:themeColor="accent3" w:themeShade="BF"/>
          <w:sz w:val="22"/>
          <w:szCs w:val="22"/>
          <w:lang w:val="en-GB"/>
        </w:rPr>
      </w:pPr>
    </w:p>
    <w:p w14:paraId="67E8DCDC" w14:textId="256EA990" w:rsidR="00A5418B" w:rsidRDefault="00A5418B" w:rsidP="00A5418B">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voluntary administration scenario, non-major secured creditors, owners and lessors bearing enforcement rights, can continue with enforcement proceedings which had been commenced prior to the appointment of a voluntary administrator or which relates to perishable property or otherwise with the consent of the court. </w:t>
      </w:r>
    </w:p>
    <w:p w14:paraId="3B210F6F" w14:textId="77777777" w:rsidR="00A5418B" w:rsidRPr="00A5418B" w:rsidRDefault="00A5418B" w:rsidP="00A5418B">
      <w:pPr>
        <w:pStyle w:val="ListParagraph"/>
        <w:rPr>
          <w:rFonts w:ascii="Arial" w:hAnsi="Arial" w:cs="Arial"/>
          <w:color w:val="7B7B7B" w:themeColor="accent3" w:themeShade="BF"/>
          <w:sz w:val="22"/>
          <w:szCs w:val="22"/>
          <w:lang w:val="en-GB"/>
        </w:rPr>
      </w:pPr>
    </w:p>
    <w:p w14:paraId="216BAEE3" w14:textId="31DB25D4" w:rsidR="00A5418B" w:rsidRDefault="00A5418B" w:rsidP="00A5418B">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law related to insolvent trading liability, liquidator is able to recover substantial sums from directors, from directors’ and officers’ insurance policy, where directors have allowed a company to incur debts whilst being insolvent. </w:t>
      </w:r>
    </w:p>
    <w:p w14:paraId="7D8D08A2" w14:textId="77777777" w:rsidR="00A5418B" w:rsidRPr="00A5418B" w:rsidRDefault="00A5418B" w:rsidP="00A5418B">
      <w:pPr>
        <w:pStyle w:val="ListParagraph"/>
        <w:rPr>
          <w:rFonts w:ascii="Arial" w:hAnsi="Arial" w:cs="Arial"/>
          <w:color w:val="7B7B7B" w:themeColor="accent3" w:themeShade="BF"/>
          <w:sz w:val="22"/>
          <w:szCs w:val="22"/>
          <w:lang w:val="en-GB"/>
        </w:rPr>
      </w:pPr>
    </w:p>
    <w:p w14:paraId="025E7A78" w14:textId="198A4D11" w:rsidR="00A5418B" w:rsidRDefault="00A5418B" w:rsidP="00A5418B">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law related to voidable regime, particularly in corporate liquidation, certain transactions could be challenged and clawed back for the benefits of creditors over a substantial period of years and without having to prove improper conduct such as an intention to defeat creditors. </w:t>
      </w:r>
    </w:p>
    <w:p w14:paraId="4EE38B8E" w14:textId="77777777" w:rsidR="00A5418B" w:rsidRPr="00A5418B" w:rsidRDefault="00A5418B" w:rsidP="00A5418B">
      <w:pPr>
        <w:pStyle w:val="ListParagraph"/>
        <w:rPr>
          <w:rFonts w:ascii="Arial" w:hAnsi="Arial" w:cs="Arial"/>
          <w:color w:val="7B7B7B" w:themeColor="accent3" w:themeShade="BF"/>
          <w:sz w:val="22"/>
          <w:szCs w:val="22"/>
          <w:lang w:val="en-GB"/>
        </w:rPr>
      </w:pPr>
    </w:p>
    <w:p w14:paraId="69BB3B6C" w14:textId="0A49A276" w:rsidR="00A5418B" w:rsidRDefault="00A5418B" w:rsidP="00A541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Having said the above, recent developments in the</w:t>
      </w:r>
      <w:r w:rsidR="00DC5C75">
        <w:rPr>
          <w:rFonts w:ascii="Arial" w:hAnsi="Arial" w:cs="Arial"/>
          <w:color w:val="7B7B7B" w:themeColor="accent3" w:themeShade="BF"/>
          <w:sz w:val="22"/>
          <w:szCs w:val="22"/>
          <w:lang w:val="en-GB"/>
        </w:rPr>
        <w:t xml:space="preserve"> corporate rescue and</w:t>
      </w:r>
      <w:r>
        <w:rPr>
          <w:rFonts w:ascii="Arial" w:hAnsi="Arial" w:cs="Arial"/>
          <w:color w:val="7B7B7B" w:themeColor="accent3" w:themeShade="BF"/>
          <w:sz w:val="22"/>
          <w:szCs w:val="22"/>
          <w:lang w:val="en-GB"/>
        </w:rPr>
        <w:t xml:space="preserve"> corporate insolv</w:t>
      </w:r>
      <w:r w:rsidR="00DC5C75">
        <w:rPr>
          <w:rFonts w:ascii="Arial" w:hAnsi="Arial" w:cs="Arial"/>
          <w:color w:val="7B7B7B" w:themeColor="accent3" w:themeShade="BF"/>
          <w:sz w:val="22"/>
          <w:szCs w:val="22"/>
          <w:lang w:val="en-GB"/>
        </w:rPr>
        <w:t>ency regime in Australia appear</w:t>
      </w:r>
      <w:r>
        <w:rPr>
          <w:rFonts w:ascii="Arial" w:hAnsi="Arial" w:cs="Arial"/>
          <w:color w:val="7B7B7B" w:themeColor="accent3" w:themeShade="BF"/>
          <w:sz w:val="22"/>
          <w:szCs w:val="22"/>
          <w:lang w:val="en-GB"/>
        </w:rPr>
        <w:t xml:space="preserve"> to encourage a stronger corporate and business rescue culture and promote a move away from the existing and long-established notion</w:t>
      </w:r>
      <w:r w:rsidR="00DC5C75">
        <w:rPr>
          <w:rFonts w:ascii="Arial" w:hAnsi="Arial" w:cs="Arial"/>
          <w:color w:val="7B7B7B" w:themeColor="accent3" w:themeShade="BF"/>
          <w:sz w:val="22"/>
          <w:szCs w:val="22"/>
          <w:lang w:val="en-GB"/>
        </w:rPr>
        <w:t xml:space="preserve"> of creditors’ rights dominance. This can be observed in the following: </w:t>
      </w:r>
    </w:p>
    <w:p w14:paraId="2196B681" w14:textId="77777777" w:rsidR="00DC5C75" w:rsidRDefault="00DC5C75" w:rsidP="00A5418B">
      <w:pPr>
        <w:jc w:val="both"/>
        <w:rPr>
          <w:rFonts w:ascii="Arial" w:hAnsi="Arial" w:cs="Arial"/>
          <w:color w:val="7B7B7B" w:themeColor="accent3" w:themeShade="BF"/>
          <w:sz w:val="22"/>
          <w:szCs w:val="22"/>
          <w:lang w:val="en-GB"/>
        </w:rPr>
      </w:pPr>
    </w:p>
    <w:p w14:paraId="2DE43674" w14:textId="55468116" w:rsidR="00DC5C75" w:rsidRDefault="00DC5C75" w:rsidP="00DC5C75">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voluntary administration scenario, the primary goal is to maximise the chance of an insolvent company, or as much as possible of its business, continuing n existence under the terms of a DOCA. </w:t>
      </w:r>
    </w:p>
    <w:p w14:paraId="19E36BBB" w14:textId="77777777" w:rsidR="00DC5C75" w:rsidRDefault="00DC5C75" w:rsidP="00DC5C75">
      <w:pPr>
        <w:pStyle w:val="ListParagraph"/>
        <w:ind w:left="567"/>
        <w:jc w:val="both"/>
        <w:rPr>
          <w:rFonts w:ascii="Arial" w:hAnsi="Arial" w:cs="Arial"/>
          <w:color w:val="7B7B7B" w:themeColor="accent3" w:themeShade="BF"/>
          <w:sz w:val="22"/>
          <w:szCs w:val="22"/>
          <w:lang w:val="en-GB"/>
        </w:rPr>
      </w:pPr>
    </w:p>
    <w:p w14:paraId="72343AED" w14:textId="77777777" w:rsidR="00DC5C75" w:rsidRDefault="00DC5C75" w:rsidP="00DC5C75">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of 1 July 2018, there is an ipso facto moratorium whereby creditors are prevented from enforcing an ipso facto contractual rights contingent only on a company’s insolvency or entry into an external administration, subject to an exception. </w:t>
      </w:r>
    </w:p>
    <w:p w14:paraId="2FF5B034" w14:textId="77777777" w:rsidR="00DC5C75" w:rsidRPr="00DC5C75" w:rsidRDefault="00DC5C75" w:rsidP="00DC5C75">
      <w:pPr>
        <w:pStyle w:val="ListParagraph"/>
        <w:rPr>
          <w:rFonts w:ascii="Arial" w:hAnsi="Arial" w:cs="Arial"/>
          <w:color w:val="7B7B7B" w:themeColor="accent3" w:themeShade="BF"/>
          <w:sz w:val="22"/>
          <w:szCs w:val="22"/>
          <w:lang w:val="en-GB"/>
        </w:rPr>
      </w:pPr>
    </w:p>
    <w:p w14:paraId="0CD31BF0" w14:textId="72F3FB5F" w:rsidR="00DC5C75" w:rsidRDefault="00DC5C75" w:rsidP="00DC5C75">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personal bankruptcy scenario, under the Bankruptcy Act, an ipso facto clauses is void outright when a person becomes a bankrupt.</w:t>
      </w:r>
    </w:p>
    <w:p w14:paraId="2624999C" w14:textId="77777777" w:rsidR="00DC5C75" w:rsidRPr="00DC5C75" w:rsidRDefault="00DC5C75" w:rsidP="00DC5C75">
      <w:pPr>
        <w:pStyle w:val="ListParagraph"/>
        <w:rPr>
          <w:rFonts w:ascii="Arial" w:hAnsi="Arial" w:cs="Arial"/>
          <w:color w:val="7B7B7B" w:themeColor="accent3" w:themeShade="BF"/>
          <w:sz w:val="22"/>
          <w:szCs w:val="22"/>
          <w:lang w:val="en-GB"/>
        </w:rPr>
      </w:pPr>
    </w:p>
    <w:p w14:paraId="1FB1E9BA" w14:textId="2A9F80E1" w:rsidR="00265D2D" w:rsidRPr="00FB7FA2" w:rsidRDefault="00DC5C75" w:rsidP="00907170">
      <w:pPr>
        <w:pStyle w:val="ListParagraph"/>
        <w:numPr>
          <w:ilvl w:val="0"/>
          <w:numId w:val="22"/>
        </w:numPr>
        <w:ind w:left="567" w:hanging="567"/>
        <w:jc w:val="both"/>
        <w:rPr>
          <w:rFonts w:ascii="Arial" w:hAnsi="Arial" w:cs="Arial"/>
          <w:sz w:val="22"/>
          <w:szCs w:val="22"/>
          <w:shd w:val="clear" w:color="auto" w:fill="FFFFFF"/>
        </w:rPr>
      </w:pPr>
      <w:r w:rsidRPr="00FB7FA2">
        <w:rPr>
          <w:rFonts w:ascii="Arial" w:hAnsi="Arial" w:cs="Arial"/>
          <w:color w:val="7B7B7B" w:themeColor="accent3" w:themeShade="BF"/>
          <w:sz w:val="22"/>
          <w:szCs w:val="22"/>
          <w:lang w:val="en-GB"/>
        </w:rPr>
        <w:t xml:space="preserve">In an insolvent trading scenario, as of September 2017, </w:t>
      </w:r>
      <w:r w:rsidR="00FB7FA2" w:rsidRPr="00FB7FA2">
        <w:rPr>
          <w:rFonts w:ascii="Arial" w:hAnsi="Arial" w:cs="Arial"/>
          <w:color w:val="7B7B7B" w:themeColor="accent3" w:themeShade="BF"/>
          <w:sz w:val="22"/>
          <w:szCs w:val="22"/>
          <w:lang w:val="en-GB"/>
        </w:rPr>
        <w:t xml:space="preserve">company directors can take advantage of a “safe harbour” from insolvent trading liability, so that they can continue to allow a company to incur debts with a view to implementing a proposed restructuring attempt under the supervision of an appointed restructuring expert. </w:t>
      </w:r>
    </w:p>
    <w:p w14:paraId="14A01003" w14:textId="5B930626" w:rsidR="00265D2D" w:rsidRDefault="00265D2D" w:rsidP="002A37BB">
      <w:pPr>
        <w:jc w:val="both"/>
        <w:rPr>
          <w:rFonts w:ascii="Arial" w:hAnsi="Arial" w:cs="Arial"/>
          <w:sz w:val="22"/>
          <w:szCs w:val="22"/>
          <w:shd w:val="clear" w:color="auto" w:fill="FFFFFF"/>
        </w:rPr>
      </w:pPr>
    </w:p>
    <w:p w14:paraId="325FCF73" w14:textId="20A63AFB"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Pr="003A7EF7" w:rsidRDefault="00E14FED" w:rsidP="00E14FED">
      <w:pPr>
        <w:jc w:val="both"/>
        <w:rPr>
          <w:rFonts w:ascii="Arial" w:hAnsi="Arial" w:cs="Arial"/>
          <w:sz w:val="22"/>
          <w:szCs w:val="22"/>
          <w:lang w:val="en-GB"/>
        </w:rPr>
      </w:pPr>
      <w:r>
        <w:rPr>
          <w:rFonts w:ascii="Arial" w:hAnsi="Arial" w:cs="Arial"/>
          <w:sz w:val="22"/>
          <w:szCs w:val="22"/>
          <w:lang w:val="en-GB"/>
        </w:rPr>
        <w:t>Aussiebe</w:t>
      </w:r>
      <w:bookmarkStart w:id="1" w:name="_GoBack"/>
      <w:bookmarkEnd w:id="1"/>
      <w:r w:rsidRPr="003A7EF7">
        <w:rPr>
          <w:rFonts w:ascii="Arial" w:hAnsi="Arial" w:cs="Arial"/>
          <w:sz w:val="22"/>
          <w:szCs w:val="22"/>
          <w:lang w:val="en-GB"/>
        </w:rPr>
        <w:t>e Pty Ltd (</w:t>
      </w:r>
      <w:r w:rsidRPr="003A7EF7">
        <w:rPr>
          <w:rFonts w:ascii="Arial" w:hAnsi="Arial" w:cs="Arial"/>
          <w:bCs/>
          <w:sz w:val="22"/>
          <w:szCs w:val="22"/>
          <w:lang w:val="en-GB"/>
        </w:rPr>
        <w:t>Aussiebee</w:t>
      </w:r>
      <w:r w:rsidRPr="003A7EF7">
        <w:rPr>
          <w:rFonts w:ascii="Arial" w:hAnsi="Arial"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3A7EF7" w:rsidRDefault="00E14FED" w:rsidP="00E14FED">
      <w:pPr>
        <w:jc w:val="both"/>
        <w:rPr>
          <w:rFonts w:ascii="Arial" w:hAnsi="Arial" w:cs="Arial"/>
          <w:sz w:val="22"/>
          <w:szCs w:val="22"/>
          <w:lang w:val="en-GB"/>
        </w:rPr>
      </w:pPr>
    </w:p>
    <w:p w14:paraId="743C63D9" w14:textId="43C03C3C" w:rsidR="00E14FED" w:rsidRPr="003A7EF7" w:rsidRDefault="00E14FED" w:rsidP="00E14FED">
      <w:pPr>
        <w:jc w:val="both"/>
        <w:rPr>
          <w:rFonts w:ascii="Arial" w:hAnsi="Arial" w:cs="Arial"/>
          <w:sz w:val="22"/>
          <w:szCs w:val="22"/>
          <w:lang w:val="en-GB"/>
        </w:rPr>
      </w:pPr>
      <w:proofErr w:type="spellStart"/>
      <w:r w:rsidRPr="003A7EF7">
        <w:rPr>
          <w:rFonts w:ascii="Arial" w:hAnsi="Arial" w:cs="Arial"/>
          <w:sz w:val="22"/>
          <w:szCs w:val="22"/>
          <w:lang w:val="en-GB"/>
        </w:rPr>
        <w:t>Aussiebee</w:t>
      </w:r>
      <w:proofErr w:type="spellEnd"/>
      <w:r w:rsidRPr="003A7EF7">
        <w:rPr>
          <w:rFonts w:ascii="Arial" w:hAnsi="Arial" w:cs="Arial"/>
          <w:sz w:val="22"/>
          <w:szCs w:val="22"/>
          <w:lang w:val="en-GB"/>
        </w:rPr>
        <w:t xml:space="preserve"> has offices and warehouses in both Sydney and in </w:t>
      </w:r>
      <w:proofErr w:type="spellStart"/>
      <w:r w:rsidRPr="003A7EF7">
        <w:rPr>
          <w:rFonts w:ascii="Arial" w:hAnsi="Arial" w:cs="Arial"/>
          <w:sz w:val="22"/>
          <w:szCs w:val="22"/>
          <w:lang w:val="en-GB"/>
        </w:rPr>
        <w:t>Lyonesse</w:t>
      </w:r>
      <w:proofErr w:type="spellEnd"/>
      <w:r w:rsidRPr="003A7EF7">
        <w:rPr>
          <w:rFonts w:ascii="Arial" w:hAnsi="Arial" w:cs="Arial"/>
          <w:sz w:val="22"/>
          <w:szCs w:val="22"/>
          <w:lang w:val="en-GB"/>
        </w:rPr>
        <w:t>. Aussiebee regularly s</w:t>
      </w:r>
      <w:r w:rsidR="00A55389" w:rsidRPr="003A7EF7">
        <w:rPr>
          <w:rFonts w:ascii="Arial" w:hAnsi="Arial" w:cs="Arial"/>
          <w:sz w:val="22"/>
          <w:szCs w:val="22"/>
          <w:lang w:val="en-GB"/>
        </w:rPr>
        <w:t>ells</w:t>
      </w:r>
      <w:r w:rsidRPr="003A7EF7">
        <w:rPr>
          <w:rFonts w:ascii="Arial" w:hAnsi="Arial" w:cs="Arial"/>
          <w:sz w:val="22"/>
          <w:szCs w:val="22"/>
          <w:lang w:val="en-GB"/>
        </w:rPr>
        <w:t xml:space="preserve"> its chocolates all over the world, from both its Lyonesse and its Sydney offices </w:t>
      </w:r>
      <w:r w:rsidRPr="003A7EF7">
        <w:rPr>
          <w:rFonts w:ascii="Arial" w:hAnsi="Arial" w:cs="Arial"/>
          <w:sz w:val="22"/>
          <w:szCs w:val="22"/>
          <w:lang w:val="en-GB"/>
        </w:rPr>
        <w:lastRenderedPageBreak/>
        <w:t>and warehouses. Aussie</w:t>
      </w:r>
      <w:r w:rsidR="0089536F" w:rsidRPr="003A7EF7">
        <w:rPr>
          <w:rFonts w:ascii="Arial" w:hAnsi="Arial" w:cs="Arial"/>
          <w:sz w:val="22"/>
          <w:szCs w:val="22"/>
          <w:lang w:val="en-GB"/>
        </w:rPr>
        <w:t>b</w:t>
      </w:r>
      <w:r w:rsidRPr="003A7EF7">
        <w:rPr>
          <w:rFonts w:ascii="Arial" w:hAnsi="Arial" w:cs="Arial"/>
          <w:sz w:val="22"/>
          <w:szCs w:val="22"/>
          <w:lang w:val="en-GB"/>
        </w:rPr>
        <w:t>ee and NewYums share a board of directors, made up of six Australians and one Lyonessian. Aussi</w:t>
      </w:r>
      <w:r w:rsidR="0089536F" w:rsidRPr="003A7EF7">
        <w:rPr>
          <w:rFonts w:ascii="Arial" w:hAnsi="Arial" w:cs="Arial"/>
          <w:sz w:val="22"/>
          <w:szCs w:val="22"/>
          <w:lang w:val="en-GB"/>
        </w:rPr>
        <w:t>e</w:t>
      </w:r>
      <w:r w:rsidRPr="003A7EF7">
        <w:rPr>
          <w:rFonts w:ascii="Arial" w:hAnsi="Arial" w:cs="Arial"/>
          <w:sz w:val="22"/>
          <w:szCs w:val="22"/>
          <w:lang w:val="en-GB"/>
        </w:rPr>
        <w:t>bee employed 40 staff</w:t>
      </w:r>
      <w:r w:rsidR="00A55389" w:rsidRPr="003A7EF7">
        <w:rPr>
          <w:rFonts w:ascii="Arial" w:hAnsi="Arial" w:cs="Arial"/>
          <w:sz w:val="22"/>
          <w:szCs w:val="22"/>
          <w:lang w:val="en-GB"/>
        </w:rPr>
        <w:t xml:space="preserve">: </w:t>
      </w:r>
      <w:r w:rsidRPr="003A7EF7">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Pr="003A7EF7" w:rsidRDefault="00E14FED" w:rsidP="00E14FED">
      <w:pPr>
        <w:jc w:val="both"/>
        <w:rPr>
          <w:rFonts w:ascii="Arial" w:hAnsi="Arial" w:cs="Arial"/>
          <w:sz w:val="22"/>
          <w:szCs w:val="22"/>
          <w:lang w:val="en-GB"/>
        </w:rPr>
      </w:pPr>
    </w:p>
    <w:p w14:paraId="727FCF75" w14:textId="77777777" w:rsidR="00E14FED" w:rsidRPr="003A7EF7" w:rsidRDefault="00E14FED" w:rsidP="00E14FED">
      <w:pPr>
        <w:jc w:val="both"/>
        <w:rPr>
          <w:rFonts w:ascii="Arial" w:hAnsi="Arial" w:cs="Arial"/>
          <w:sz w:val="22"/>
          <w:szCs w:val="22"/>
          <w:lang w:val="en-GB"/>
        </w:rPr>
      </w:pPr>
      <w:r w:rsidRPr="003A7EF7">
        <w:rPr>
          <w:rFonts w:ascii="Arial" w:hAnsi="Arial" w:cs="Arial"/>
          <w:sz w:val="22"/>
          <w:szCs w:val="22"/>
          <w:lang w:val="en-GB"/>
        </w:rPr>
        <w:t>Aussiebee is insolvent. NewYums, however, remains solvent.</w:t>
      </w:r>
    </w:p>
    <w:p w14:paraId="2C46BC3B" w14:textId="77777777" w:rsidR="00E14FED" w:rsidRPr="003A7EF7" w:rsidRDefault="00E14FED" w:rsidP="00E14FED">
      <w:pPr>
        <w:jc w:val="both"/>
        <w:rPr>
          <w:rFonts w:ascii="Arial" w:hAnsi="Arial" w:cs="Arial"/>
          <w:sz w:val="22"/>
          <w:szCs w:val="22"/>
          <w:lang w:val="en-GB"/>
        </w:rPr>
      </w:pPr>
    </w:p>
    <w:p w14:paraId="30AFFFAC" w14:textId="0D1CCC1F" w:rsidR="00E14FED" w:rsidRPr="003A7EF7" w:rsidRDefault="00E14FED" w:rsidP="00E14FED">
      <w:pPr>
        <w:jc w:val="both"/>
        <w:rPr>
          <w:rFonts w:ascii="Arial" w:hAnsi="Arial" w:cs="Arial"/>
          <w:sz w:val="22"/>
          <w:szCs w:val="22"/>
          <w:lang w:val="en-GB"/>
        </w:rPr>
      </w:pPr>
      <w:r w:rsidRPr="003A7EF7">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sidRPr="003A7EF7">
        <w:rPr>
          <w:rFonts w:ascii="Arial" w:hAnsi="Arial" w:cs="Arial"/>
          <w:sz w:val="22"/>
          <w:szCs w:val="22"/>
          <w:lang w:val="en-GB"/>
        </w:rPr>
        <w:t xml:space="preserve"> </w:t>
      </w:r>
      <w:r w:rsidRPr="003A7EF7">
        <w:rPr>
          <w:rFonts w:ascii="Arial" w:hAnsi="Arial" w:cs="Arial"/>
          <w:sz w:val="22"/>
          <w:szCs w:val="22"/>
          <w:lang w:val="en-GB"/>
        </w:rPr>
        <w:t>20 million) to her, so that she can realise them for the benefit of creditors in the Lyonessian liquidation.</w:t>
      </w:r>
    </w:p>
    <w:p w14:paraId="6AF033F6" w14:textId="77777777" w:rsidR="00E14FED" w:rsidRPr="003A7EF7" w:rsidRDefault="00E14FED" w:rsidP="00E14FED">
      <w:pPr>
        <w:jc w:val="both"/>
        <w:rPr>
          <w:rFonts w:ascii="Arial" w:hAnsi="Arial" w:cs="Arial"/>
          <w:sz w:val="22"/>
          <w:szCs w:val="22"/>
          <w:lang w:val="en-GB"/>
        </w:rPr>
      </w:pPr>
    </w:p>
    <w:p w14:paraId="1C065357" w14:textId="24CF7869" w:rsidR="00E14FED" w:rsidRPr="003A7EF7" w:rsidRDefault="00E14FED" w:rsidP="00E14FED">
      <w:pPr>
        <w:jc w:val="both"/>
        <w:rPr>
          <w:rFonts w:ascii="Arial" w:hAnsi="Arial" w:cs="Arial"/>
          <w:sz w:val="22"/>
          <w:szCs w:val="22"/>
          <w:lang w:val="en-GB"/>
        </w:rPr>
      </w:pPr>
      <w:r w:rsidRPr="003A7EF7">
        <w:rPr>
          <w:rFonts w:ascii="Arial" w:hAnsi="Arial" w:cs="Arial"/>
          <w:sz w:val="22"/>
          <w:szCs w:val="22"/>
          <w:lang w:val="en-GB"/>
        </w:rPr>
        <w:t>Aussiebee owes AUD</w:t>
      </w:r>
      <w:r w:rsidR="001316B3" w:rsidRPr="003A7EF7">
        <w:rPr>
          <w:rFonts w:ascii="Arial" w:hAnsi="Arial" w:cs="Arial"/>
          <w:sz w:val="22"/>
          <w:szCs w:val="22"/>
          <w:lang w:val="en-GB"/>
        </w:rPr>
        <w:t xml:space="preserve"> </w:t>
      </w:r>
      <w:r w:rsidRPr="003A7EF7">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3A7EF7" w:rsidRDefault="00E14FED" w:rsidP="00E14FED">
      <w:pPr>
        <w:jc w:val="both"/>
        <w:rPr>
          <w:rFonts w:ascii="Arial" w:hAnsi="Arial" w:cs="Arial"/>
          <w:sz w:val="22"/>
          <w:szCs w:val="22"/>
          <w:lang w:val="en-GB"/>
        </w:rPr>
      </w:pPr>
    </w:p>
    <w:p w14:paraId="5EC70A86" w14:textId="77777777" w:rsidR="00E14FED" w:rsidRPr="003A7EF7" w:rsidRDefault="00E14FED" w:rsidP="00E14FED">
      <w:pPr>
        <w:jc w:val="both"/>
        <w:rPr>
          <w:rFonts w:ascii="Arial" w:hAnsi="Arial" w:cs="Arial"/>
          <w:sz w:val="22"/>
          <w:szCs w:val="22"/>
          <w:lang w:val="en-GB"/>
        </w:rPr>
      </w:pPr>
      <w:r w:rsidRPr="003A7EF7">
        <w:rPr>
          <w:rFonts w:ascii="Arial" w:hAnsi="Arial" w:cs="Arial"/>
          <w:sz w:val="22"/>
          <w:szCs w:val="22"/>
          <w:lang w:val="en-GB"/>
        </w:rPr>
        <w:t>You are advising the ATO. What should the ATO do to protect or improve its position?</w:t>
      </w:r>
    </w:p>
    <w:p w14:paraId="65F5F5B0" w14:textId="77777777" w:rsidR="00E14FED" w:rsidRPr="003A7EF7" w:rsidRDefault="00E14FED" w:rsidP="002476AF">
      <w:pPr>
        <w:jc w:val="both"/>
        <w:rPr>
          <w:rFonts w:ascii="Arial" w:hAnsi="Arial" w:cs="Arial"/>
          <w:sz w:val="22"/>
          <w:szCs w:val="22"/>
          <w:lang w:val="en-GB"/>
        </w:rPr>
      </w:pPr>
    </w:p>
    <w:p w14:paraId="01ECA46D" w14:textId="77777777" w:rsidR="006C49CA" w:rsidRPr="003A7EF7" w:rsidRDefault="00907170" w:rsidP="001A007A">
      <w:pPr>
        <w:autoSpaceDE w:val="0"/>
        <w:autoSpaceDN w:val="0"/>
        <w:adjustRightInd w:val="0"/>
        <w:jc w:val="both"/>
        <w:rPr>
          <w:rFonts w:ascii="Arial" w:hAnsi="Arial" w:cs="Arial"/>
          <w:color w:val="7B7B7B" w:themeColor="accent3" w:themeShade="BF"/>
          <w:sz w:val="22"/>
          <w:szCs w:val="22"/>
          <w:lang w:val="en-GB"/>
        </w:rPr>
      </w:pPr>
      <w:r w:rsidRPr="003A7EF7">
        <w:rPr>
          <w:rFonts w:ascii="Arial" w:hAnsi="Arial" w:cs="Arial"/>
          <w:color w:val="7B7B7B" w:themeColor="accent3" w:themeShade="BF"/>
          <w:sz w:val="22"/>
          <w:szCs w:val="22"/>
          <w:lang w:val="en-GB"/>
        </w:rPr>
        <w:t xml:space="preserve">The ATO should firstly apply to court to challenge the recognition application filed by the </w:t>
      </w:r>
      <w:proofErr w:type="spellStart"/>
      <w:r w:rsidRPr="003A7EF7">
        <w:rPr>
          <w:rFonts w:ascii="Arial" w:hAnsi="Arial" w:cs="Arial"/>
          <w:color w:val="7B7B7B" w:themeColor="accent3" w:themeShade="BF"/>
          <w:sz w:val="22"/>
          <w:szCs w:val="22"/>
          <w:lang w:val="en-GB"/>
        </w:rPr>
        <w:t>Lyonesses</w:t>
      </w:r>
      <w:proofErr w:type="spellEnd"/>
      <w:r w:rsidRPr="003A7EF7">
        <w:rPr>
          <w:rFonts w:ascii="Arial" w:hAnsi="Arial" w:cs="Arial"/>
          <w:color w:val="7B7B7B" w:themeColor="accent3" w:themeShade="BF"/>
          <w:sz w:val="22"/>
          <w:szCs w:val="22"/>
          <w:lang w:val="en-GB"/>
        </w:rPr>
        <w:t xml:space="preserve"> liquidator. The challenge is not to object to the whole recognition application per se, but rather to seek the Court to modify the recognition order that the Australian Court would grant to the </w:t>
      </w:r>
      <w:proofErr w:type="spellStart"/>
      <w:r w:rsidRPr="003A7EF7">
        <w:rPr>
          <w:rFonts w:ascii="Arial" w:hAnsi="Arial" w:cs="Arial"/>
          <w:color w:val="7B7B7B" w:themeColor="accent3" w:themeShade="BF"/>
          <w:sz w:val="22"/>
          <w:szCs w:val="22"/>
          <w:lang w:val="en-GB"/>
        </w:rPr>
        <w:t>Lyonesse</w:t>
      </w:r>
      <w:proofErr w:type="spellEnd"/>
      <w:r w:rsidRPr="003A7EF7">
        <w:rPr>
          <w:rFonts w:ascii="Arial" w:hAnsi="Arial" w:cs="Arial"/>
          <w:color w:val="7B7B7B" w:themeColor="accent3" w:themeShade="BF"/>
          <w:sz w:val="22"/>
          <w:szCs w:val="22"/>
          <w:lang w:val="en-GB"/>
        </w:rPr>
        <w:t xml:space="preserve"> liquidator. </w:t>
      </w:r>
    </w:p>
    <w:p w14:paraId="562C2696" w14:textId="77777777" w:rsidR="006C49CA" w:rsidRPr="003A7EF7" w:rsidRDefault="006C49CA" w:rsidP="001A007A">
      <w:pPr>
        <w:autoSpaceDE w:val="0"/>
        <w:autoSpaceDN w:val="0"/>
        <w:adjustRightInd w:val="0"/>
        <w:jc w:val="both"/>
        <w:rPr>
          <w:rFonts w:ascii="Arial" w:hAnsi="Arial" w:cs="Arial"/>
          <w:color w:val="7B7B7B" w:themeColor="accent3" w:themeShade="BF"/>
          <w:sz w:val="22"/>
          <w:szCs w:val="22"/>
          <w:lang w:val="en-GB"/>
        </w:rPr>
      </w:pPr>
    </w:p>
    <w:p w14:paraId="1B7CF6AF" w14:textId="6E6C920E" w:rsidR="00907170" w:rsidRPr="003A7EF7" w:rsidRDefault="00907170" w:rsidP="001A007A">
      <w:pPr>
        <w:autoSpaceDE w:val="0"/>
        <w:autoSpaceDN w:val="0"/>
        <w:adjustRightInd w:val="0"/>
        <w:jc w:val="both"/>
        <w:rPr>
          <w:rFonts w:ascii="Arial" w:hAnsi="Arial" w:cs="Arial"/>
          <w:color w:val="7B7B7B" w:themeColor="accent3" w:themeShade="BF"/>
          <w:sz w:val="22"/>
          <w:szCs w:val="22"/>
          <w:lang w:val="en-GB"/>
        </w:rPr>
      </w:pPr>
      <w:r w:rsidRPr="003A7EF7">
        <w:rPr>
          <w:rFonts w:ascii="Arial" w:hAnsi="Arial" w:cs="Arial"/>
          <w:color w:val="7B7B7B" w:themeColor="accent3" w:themeShade="BF"/>
          <w:sz w:val="22"/>
          <w:szCs w:val="22"/>
          <w:lang w:val="en-GB"/>
        </w:rPr>
        <w:t xml:space="preserve">ATO should seek leave from the Court for ATO to initiate enforcement actions against </w:t>
      </w:r>
      <w:proofErr w:type="spellStart"/>
      <w:r w:rsidRPr="003A7EF7">
        <w:rPr>
          <w:rFonts w:ascii="Arial" w:hAnsi="Arial" w:cs="Arial"/>
          <w:color w:val="7B7B7B" w:themeColor="accent3" w:themeShade="BF"/>
          <w:sz w:val="22"/>
          <w:szCs w:val="22"/>
          <w:lang w:val="en-GB"/>
        </w:rPr>
        <w:t>Aussiebee</w:t>
      </w:r>
      <w:proofErr w:type="spellEnd"/>
      <w:r w:rsidRPr="003A7EF7">
        <w:rPr>
          <w:rFonts w:ascii="Arial" w:hAnsi="Arial" w:cs="Arial"/>
          <w:color w:val="7B7B7B" w:themeColor="accent3" w:themeShade="BF"/>
          <w:sz w:val="22"/>
          <w:szCs w:val="22"/>
          <w:lang w:val="en-GB"/>
        </w:rPr>
        <w:t xml:space="preserve"> in Australia, expressly for the purpose of recovering an amount up to the </w:t>
      </w:r>
      <w:proofErr w:type="spellStart"/>
      <w:r w:rsidRPr="003A7EF7">
        <w:rPr>
          <w:rFonts w:ascii="Arial" w:hAnsi="Arial" w:cs="Arial"/>
          <w:color w:val="7B7B7B" w:themeColor="accent3" w:themeShade="BF"/>
          <w:sz w:val="22"/>
          <w:szCs w:val="22"/>
          <w:lang w:val="en-GB"/>
        </w:rPr>
        <w:t>pari</w:t>
      </w:r>
      <w:proofErr w:type="spellEnd"/>
      <w:r w:rsidRPr="003A7EF7">
        <w:rPr>
          <w:rFonts w:ascii="Arial" w:hAnsi="Arial" w:cs="Arial"/>
          <w:color w:val="7B7B7B" w:themeColor="accent3" w:themeShade="BF"/>
          <w:sz w:val="22"/>
          <w:szCs w:val="22"/>
          <w:lang w:val="en-GB"/>
        </w:rPr>
        <w:t xml:space="preserve"> </w:t>
      </w:r>
      <w:proofErr w:type="spellStart"/>
      <w:r w:rsidRPr="003A7EF7">
        <w:rPr>
          <w:rFonts w:ascii="Arial" w:hAnsi="Arial" w:cs="Arial"/>
          <w:color w:val="7B7B7B" w:themeColor="accent3" w:themeShade="BF"/>
          <w:sz w:val="22"/>
          <w:szCs w:val="22"/>
          <w:lang w:val="en-GB"/>
        </w:rPr>
        <w:t>passu</w:t>
      </w:r>
      <w:proofErr w:type="spellEnd"/>
      <w:r w:rsidRPr="003A7EF7">
        <w:rPr>
          <w:rFonts w:ascii="Arial" w:hAnsi="Arial" w:cs="Arial"/>
          <w:color w:val="7B7B7B" w:themeColor="accent3" w:themeShade="BF"/>
          <w:sz w:val="22"/>
          <w:szCs w:val="22"/>
          <w:lang w:val="en-GB"/>
        </w:rPr>
        <w:t xml:space="preserve"> amount the ATO would have received as if ATO were entitled to the tax debt of 12 million owed by </w:t>
      </w:r>
      <w:proofErr w:type="spellStart"/>
      <w:r w:rsidRPr="003A7EF7">
        <w:rPr>
          <w:rFonts w:ascii="Arial" w:hAnsi="Arial" w:cs="Arial"/>
          <w:color w:val="7B7B7B" w:themeColor="accent3" w:themeShade="BF"/>
          <w:sz w:val="22"/>
          <w:szCs w:val="22"/>
          <w:lang w:val="en-GB"/>
        </w:rPr>
        <w:t>Aussiebee</w:t>
      </w:r>
      <w:proofErr w:type="spellEnd"/>
      <w:r w:rsidRPr="003A7EF7">
        <w:rPr>
          <w:rFonts w:ascii="Arial" w:hAnsi="Arial" w:cs="Arial"/>
          <w:color w:val="7B7B7B" w:themeColor="accent3" w:themeShade="BF"/>
          <w:sz w:val="22"/>
          <w:szCs w:val="22"/>
          <w:lang w:val="en-GB"/>
        </w:rPr>
        <w:t xml:space="preserve">. This is to ensure that the interest of ATO, as a creditor in Australia is protected. </w:t>
      </w:r>
    </w:p>
    <w:p w14:paraId="22EAA311" w14:textId="77777777" w:rsidR="00907170" w:rsidRPr="003A7EF7" w:rsidRDefault="00907170" w:rsidP="001A007A">
      <w:pPr>
        <w:autoSpaceDE w:val="0"/>
        <w:autoSpaceDN w:val="0"/>
        <w:adjustRightInd w:val="0"/>
        <w:jc w:val="both"/>
        <w:rPr>
          <w:rFonts w:ascii="Arial" w:hAnsi="Arial" w:cs="Arial"/>
          <w:color w:val="7B7B7B" w:themeColor="accent3" w:themeShade="BF"/>
          <w:sz w:val="22"/>
          <w:szCs w:val="22"/>
          <w:lang w:val="en-GB"/>
        </w:rPr>
      </w:pPr>
    </w:p>
    <w:p w14:paraId="3415F278" w14:textId="54FCFC6C" w:rsidR="007F0B87" w:rsidRPr="002A37BB" w:rsidRDefault="00907170" w:rsidP="001A007A">
      <w:pPr>
        <w:autoSpaceDE w:val="0"/>
        <w:autoSpaceDN w:val="0"/>
        <w:adjustRightInd w:val="0"/>
        <w:jc w:val="both"/>
        <w:rPr>
          <w:rFonts w:ascii="Arial" w:hAnsi="Arial" w:cs="Arial"/>
          <w:sz w:val="22"/>
          <w:szCs w:val="22"/>
          <w:lang w:val="en-GB"/>
        </w:rPr>
      </w:pPr>
      <w:r w:rsidRPr="003A7EF7">
        <w:rPr>
          <w:rFonts w:ascii="Arial" w:hAnsi="Arial" w:cs="Arial"/>
          <w:color w:val="7B7B7B" w:themeColor="accent3" w:themeShade="BF"/>
          <w:sz w:val="22"/>
          <w:szCs w:val="22"/>
          <w:lang w:val="en-GB"/>
        </w:rPr>
        <w:t xml:space="preserve">The facts of this matter is similar to the of the case of </w:t>
      </w:r>
      <w:r w:rsidR="007F0B87" w:rsidRPr="003A7EF7">
        <w:rPr>
          <w:rFonts w:ascii="Arial" w:hAnsi="Arial" w:cs="Arial"/>
          <w:color w:val="7B7B7B" w:themeColor="accent3" w:themeShade="BF"/>
          <w:sz w:val="22"/>
          <w:szCs w:val="22"/>
          <w:lang w:val="en-GB"/>
        </w:rPr>
        <w:t>Ackers v Deputy Commissioner of Taxations</w:t>
      </w:r>
      <w:r w:rsidRPr="003A7EF7">
        <w:rPr>
          <w:rFonts w:ascii="Arial" w:hAnsi="Arial" w:cs="Arial"/>
          <w:color w:val="7B7B7B" w:themeColor="accent3" w:themeShade="BF"/>
          <w:sz w:val="22"/>
          <w:szCs w:val="22"/>
          <w:lang w:val="en-GB"/>
        </w:rPr>
        <w:t>, where in similar situations, the Federal Court had found it appropriate to modify a recognition order granted to a Cayman Island liquidator.</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Pr="003A7EF7" w:rsidRDefault="004D468D" w:rsidP="002476AF">
      <w:pPr>
        <w:jc w:val="both"/>
        <w:rPr>
          <w:rFonts w:ascii="Arial" w:hAnsi="Arial" w:cs="Arial"/>
          <w:sz w:val="22"/>
          <w:szCs w:val="22"/>
          <w:lang w:val="en-GB"/>
        </w:rPr>
      </w:pPr>
      <w:bookmarkStart w:id="2"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t>
      </w:r>
      <w:r w:rsidR="0031579E" w:rsidRPr="003A7EF7">
        <w:rPr>
          <w:rFonts w:ascii="Arial" w:hAnsi="Arial" w:cs="Arial"/>
          <w:sz w:val="22"/>
          <w:szCs w:val="22"/>
          <w:lang w:val="en-GB"/>
        </w:rPr>
        <w:t xml:space="preserve">waste oil from electric substations in Australia and selling the re-refined oil. </w:t>
      </w:r>
      <w:r w:rsidR="00533704" w:rsidRPr="003A7EF7">
        <w:rPr>
          <w:rFonts w:ascii="Arial" w:hAnsi="Arial" w:cs="Arial"/>
          <w:sz w:val="22"/>
          <w:szCs w:val="22"/>
          <w:lang w:val="en-GB"/>
        </w:rPr>
        <w:t xml:space="preserve">All of the shares in HA are owned by HA’s parent company, Hyrofine Group </w:t>
      </w:r>
      <w:r w:rsidR="00BC5A60" w:rsidRPr="003A7EF7">
        <w:rPr>
          <w:rFonts w:ascii="Arial" w:hAnsi="Arial" w:cs="Arial"/>
          <w:sz w:val="22"/>
          <w:szCs w:val="22"/>
          <w:lang w:val="en-GB"/>
        </w:rPr>
        <w:t>Ltd</w:t>
      </w:r>
      <w:r w:rsidR="00533704" w:rsidRPr="003A7EF7">
        <w:rPr>
          <w:rFonts w:ascii="Arial" w:hAnsi="Arial" w:cs="Arial"/>
          <w:sz w:val="22"/>
          <w:szCs w:val="22"/>
          <w:lang w:val="en-GB"/>
        </w:rPr>
        <w:t xml:space="preserve"> (</w:t>
      </w:r>
      <w:r w:rsidR="00BC5A60" w:rsidRPr="003A7EF7">
        <w:rPr>
          <w:rFonts w:ascii="Arial" w:hAnsi="Arial" w:cs="Arial"/>
          <w:sz w:val="22"/>
          <w:szCs w:val="22"/>
          <w:lang w:val="en-GB"/>
        </w:rPr>
        <w:t>HGL</w:t>
      </w:r>
      <w:r w:rsidR="00533704" w:rsidRPr="003A7EF7">
        <w:rPr>
          <w:rFonts w:ascii="Arial" w:hAnsi="Arial" w:cs="Arial"/>
          <w:sz w:val="22"/>
          <w:szCs w:val="22"/>
          <w:lang w:val="en-GB"/>
        </w:rPr>
        <w:t>)</w:t>
      </w:r>
      <w:r w:rsidR="00BC5A60" w:rsidRPr="003A7EF7">
        <w:rPr>
          <w:rFonts w:ascii="Arial" w:hAnsi="Arial" w:cs="Arial"/>
          <w:sz w:val="22"/>
          <w:szCs w:val="22"/>
          <w:lang w:val="en-GB"/>
        </w:rPr>
        <w:t>, also incorporated in Australia</w:t>
      </w:r>
      <w:r w:rsidR="00533704" w:rsidRPr="003A7EF7">
        <w:rPr>
          <w:rFonts w:ascii="Arial" w:hAnsi="Arial" w:cs="Arial"/>
          <w:sz w:val="22"/>
          <w:szCs w:val="22"/>
          <w:lang w:val="en-GB"/>
        </w:rPr>
        <w:t>.</w:t>
      </w:r>
      <w:r w:rsidR="00C41993" w:rsidRPr="003A7EF7">
        <w:rPr>
          <w:rFonts w:ascii="Arial" w:hAnsi="Arial" w:cs="Arial"/>
          <w:sz w:val="22"/>
          <w:szCs w:val="22"/>
          <w:lang w:val="en-GB"/>
        </w:rPr>
        <w:t xml:space="preserve"> The </w:t>
      </w:r>
      <w:r w:rsidR="00176286" w:rsidRPr="003A7EF7">
        <w:rPr>
          <w:rFonts w:ascii="Arial" w:hAnsi="Arial" w:cs="Arial"/>
          <w:sz w:val="22"/>
          <w:szCs w:val="22"/>
          <w:lang w:val="en-GB"/>
        </w:rPr>
        <w:t xml:space="preserve">same </w:t>
      </w:r>
      <w:r w:rsidR="00BC5A60" w:rsidRPr="003A7EF7">
        <w:rPr>
          <w:rFonts w:ascii="Arial" w:hAnsi="Arial" w:cs="Arial"/>
          <w:sz w:val="22"/>
          <w:szCs w:val="22"/>
          <w:lang w:val="en-GB"/>
        </w:rPr>
        <w:t>B</w:t>
      </w:r>
      <w:r w:rsidR="00176286" w:rsidRPr="003A7EF7">
        <w:rPr>
          <w:rFonts w:ascii="Arial" w:hAnsi="Arial" w:cs="Arial"/>
          <w:sz w:val="22"/>
          <w:szCs w:val="22"/>
          <w:lang w:val="en-GB"/>
        </w:rPr>
        <w:t xml:space="preserve">oard of directors controls both </w:t>
      </w:r>
      <w:r w:rsidR="00BC5A60" w:rsidRPr="003A7EF7">
        <w:rPr>
          <w:rFonts w:ascii="Arial" w:hAnsi="Arial" w:cs="Arial"/>
          <w:sz w:val="22"/>
          <w:szCs w:val="22"/>
          <w:lang w:val="en-GB"/>
        </w:rPr>
        <w:t>HGL</w:t>
      </w:r>
      <w:r w:rsidR="00176286" w:rsidRPr="003A7EF7">
        <w:rPr>
          <w:rFonts w:ascii="Arial" w:hAnsi="Arial" w:cs="Arial"/>
          <w:sz w:val="22"/>
          <w:szCs w:val="22"/>
          <w:lang w:val="en-GB"/>
        </w:rPr>
        <w:t xml:space="preserve"> and HA.</w:t>
      </w:r>
    </w:p>
    <w:p w14:paraId="5C3025C3" w14:textId="77777777" w:rsidR="00533704" w:rsidRPr="003A7EF7" w:rsidRDefault="00533704" w:rsidP="002476AF">
      <w:pPr>
        <w:jc w:val="both"/>
        <w:rPr>
          <w:rFonts w:ascii="Arial" w:hAnsi="Arial" w:cs="Arial"/>
          <w:sz w:val="22"/>
          <w:szCs w:val="22"/>
          <w:lang w:val="en-GB"/>
        </w:rPr>
      </w:pPr>
    </w:p>
    <w:p w14:paraId="0BAB5AF2" w14:textId="716C1FD2" w:rsidR="00FA0CE9" w:rsidRPr="003A7EF7" w:rsidRDefault="009512E1" w:rsidP="002476AF">
      <w:pPr>
        <w:jc w:val="both"/>
        <w:rPr>
          <w:rFonts w:ascii="Arial" w:hAnsi="Arial" w:cs="Arial"/>
          <w:sz w:val="22"/>
          <w:szCs w:val="22"/>
          <w:lang w:val="en-GB"/>
        </w:rPr>
      </w:pPr>
      <w:r w:rsidRPr="003A7EF7">
        <w:rPr>
          <w:rFonts w:ascii="Arial" w:hAnsi="Arial" w:cs="Arial"/>
          <w:sz w:val="22"/>
          <w:szCs w:val="22"/>
          <w:lang w:val="en-GB"/>
        </w:rPr>
        <w:t xml:space="preserve">HA </w:t>
      </w:r>
      <w:r w:rsidR="004D468D" w:rsidRPr="003A7EF7">
        <w:rPr>
          <w:rFonts w:ascii="Arial" w:hAnsi="Arial" w:cs="Arial"/>
          <w:sz w:val="22"/>
          <w:szCs w:val="22"/>
          <w:lang w:val="en-GB"/>
        </w:rPr>
        <w:t xml:space="preserve">operated an oil </w:t>
      </w:r>
      <w:r w:rsidR="00EB080B" w:rsidRPr="003A7EF7">
        <w:rPr>
          <w:rFonts w:ascii="Arial" w:hAnsi="Arial" w:cs="Arial"/>
          <w:sz w:val="22"/>
          <w:szCs w:val="22"/>
          <w:lang w:val="en-GB"/>
        </w:rPr>
        <w:t>re-</w:t>
      </w:r>
      <w:r w:rsidR="004D468D" w:rsidRPr="003A7EF7">
        <w:rPr>
          <w:rFonts w:ascii="Arial" w:hAnsi="Arial" w:cs="Arial"/>
          <w:sz w:val="22"/>
          <w:szCs w:val="22"/>
          <w:lang w:val="en-GB"/>
        </w:rPr>
        <w:t xml:space="preserve">refining plant near Sydney, Australia </w:t>
      </w:r>
      <w:r w:rsidR="00C15EA3" w:rsidRPr="003A7EF7">
        <w:rPr>
          <w:rFonts w:ascii="Arial" w:hAnsi="Arial" w:cs="Arial"/>
          <w:sz w:val="22"/>
          <w:szCs w:val="22"/>
          <w:lang w:val="en-GB"/>
        </w:rPr>
        <w:t>as</w:t>
      </w:r>
      <w:r w:rsidR="004D468D" w:rsidRPr="003A7EF7">
        <w:rPr>
          <w:rFonts w:ascii="Arial" w:hAnsi="Arial" w:cs="Arial"/>
          <w:sz w:val="22"/>
          <w:szCs w:val="22"/>
          <w:lang w:val="en-GB"/>
        </w:rPr>
        <w:t xml:space="preserve"> a joint venture with </w:t>
      </w:r>
      <w:r w:rsidR="0031579E" w:rsidRPr="003A7EF7">
        <w:rPr>
          <w:rFonts w:ascii="Arial" w:hAnsi="Arial" w:cs="Arial"/>
          <w:sz w:val="22"/>
          <w:szCs w:val="22"/>
          <w:lang w:val="en-GB"/>
        </w:rPr>
        <w:t>Best</w:t>
      </w:r>
      <w:r w:rsidR="004D468D" w:rsidRPr="003A7EF7">
        <w:rPr>
          <w:rFonts w:ascii="Arial" w:hAnsi="Arial" w:cs="Arial"/>
          <w:sz w:val="22"/>
          <w:szCs w:val="22"/>
          <w:lang w:val="en-GB"/>
        </w:rPr>
        <w:t xml:space="preserve"> Oil Refining Pty Ltd (</w:t>
      </w:r>
      <w:r w:rsidR="0031579E" w:rsidRPr="003A7EF7">
        <w:rPr>
          <w:rFonts w:ascii="Arial" w:hAnsi="Arial" w:cs="Arial"/>
          <w:sz w:val="22"/>
          <w:szCs w:val="22"/>
          <w:lang w:val="en-GB"/>
        </w:rPr>
        <w:t>B</w:t>
      </w:r>
      <w:r w:rsidR="004D468D" w:rsidRPr="003A7EF7">
        <w:rPr>
          <w:rFonts w:ascii="Arial" w:hAnsi="Arial" w:cs="Arial"/>
          <w:sz w:val="22"/>
          <w:szCs w:val="22"/>
          <w:lang w:val="en-GB"/>
        </w:rPr>
        <w:t xml:space="preserve">OR). </w:t>
      </w:r>
      <w:r w:rsidR="00FC7249" w:rsidRPr="003A7EF7">
        <w:rPr>
          <w:rFonts w:ascii="Arial" w:hAnsi="Arial" w:cs="Arial"/>
          <w:sz w:val="22"/>
          <w:szCs w:val="22"/>
          <w:lang w:val="en-GB"/>
        </w:rPr>
        <w:t>T</w:t>
      </w:r>
      <w:r w:rsidR="004D468D" w:rsidRPr="003A7EF7">
        <w:rPr>
          <w:rFonts w:ascii="Arial" w:hAnsi="Arial" w:cs="Arial"/>
          <w:sz w:val="22"/>
          <w:szCs w:val="22"/>
          <w:lang w:val="en-GB"/>
        </w:rPr>
        <w:t xml:space="preserve">he joint venture </w:t>
      </w:r>
      <w:r w:rsidR="00C57CC1" w:rsidRPr="003A7EF7">
        <w:rPr>
          <w:rFonts w:ascii="Arial" w:hAnsi="Arial" w:cs="Arial"/>
          <w:sz w:val="22"/>
          <w:szCs w:val="22"/>
          <w:lang w:val="en-GB"/>
        </w:rPr>
        <w:t xml:space="preserve">proved to be </w:t>
      </w:r>
      <w:r w:rsidR="00FC7249" w:rsidRPr="003A7EF7">
        <w:rPr>
          <w:rFonts w:ascii="Arial" w:hAnsi="Arial" w:cs="Arial"/>
          <w:sz w:val="22"/>
          <w:szCs w:val="22"/>
          <w:lang w:val="en-GB"/>
        </w:rPr>
        <w:t>unprofitable</w:t>
      </w:r>
      <w:r w:rsidR="00C15EA3" w:rsidRPr="003A7EF7">
        <w:rPr>
          <w:rFonts w:ascii="Arial" w:hAnsi="Arial" w:cs="Arial"/>
          <w:sz w:val="22"/>
          <w:szCs w:val="22"/>
          <w:lang w:val="en-GB"/>
        </w:rPr>
        <w:t xml:space="preserve"> and the plant ceased operations in </w:t>
      </w:r>
      <w:r w:rsidR="004D468D" w:rsidRPr="003A7EF7">
        <w:rPr>
          <w:rFonts w:ascii="Arial" w:hAnsi="Arial" w:cs="Arial"/>
          <w:sz w:val="22"/>
          <w:szCs w:val="22"/>
          <w:lang w:val="en-GB"/>
        </w:rPr>
        <w:t>mid-2020.</w:t>
      </w:r>
    </w:p>
    <w:p w14:paraId="0F82EA69" w14:textId="77777777" w:rsidR="00FA0CE9" w:rsidRPr="003A7EF7"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sidRPr="003A7EF7">
        <w:rPr>
          <w:rFonts w:ascii="Arial" w:hAnsi="Arial" w:cs="Arial"/>
          <w:sz w:val="22"/>
          <w:szCs w:val="22"/>
          <w:lang w:val="en-GB"/>
        </w:rPr>
        <w:t>HA</w:t>
      </w:r>
      <w:r w:rsidR="00FA0CE9" w:rsidRPr="003A7EF7">
        <w:rPr>
          <w:rFonts w:ascii="Arial" w:hAnsi="Arial" w:cs="Arial"/>
          <w:sz w:val="22"/>
          <w:szCs w:val="22"/>
          <w:lang w:val="en-GB"/>
        </w:rPr>
        <w:t xml:space="preserve">’s major </w:t>
      </w:r>
      <w:r w:rsidR="00800BA5" w:rsidRPr="003A7EF7">
        <w:rPr>
          <w:rFonts w:ascii="Arial" w:hAnsi="Arial" w:cs="Arial"/>
          <w:sz w:val="22"/>
          <w:szCs w:val="22"/>
          <w:lang w:val="en-GB"/>
        </w:rPr>
        <w:t xml:space="preserve">remaining </w:t>
      </w:r>
      <w:r w:rsidR="00FA0CE9" w:rsidRPr="003A7EF7">
        <w:rPr>
          <w:rFonts w:ascii="Arial" w:hAnsi="Arial" w:cs="Arial"/>
          <w:sz w:val="22"/>
          <w:szCs w:val="22"/>
          <w:lang w:val="en-GB"/>
        </w:rPr>
        <w:t xml:space="preserve">asset is a second </w:t>
      </w:r>
      <w:r w:rsidR="00ED14CB" w:rsidRPr="003A7EF7">
        <w:rPr>
          <w:rFonts w:ascii="Arial" w:hAnsi="Arial" w:cs="Arial"/>
          <w:sz w:val="22"/>
          <w:szCs w:val="22"/>
          <w:lang w:val="en-GB"/>
        </w:rPr>
        <w:t>re-</w:t>
      </w:r>
      <w:r w:rsidR="00FA0CE9" w:rsidRPr="003A7EF7">
        <w:rPr>
          <w:rFonts w:ascii="Arial" w:hAnsi="Arial" w:cs="Arial"/>
          <w:sz w:val="22"/>
          <w:szCs w:val="22"/>
          <w:lang w:val="en-GB"/>
        </w:rPr>
        <w:t>refining plant that it operates near Perth</w:t>
      </w:r>
      <w:r w:rsidR="00ED14CB" w:rsidRPr="003A7EF7">
        <w:rPr>
          <w:rFonts w:ascii="Arial" w:hAnsi="Arial" w:cs="Arial"/>
          <w:sz w:val="22"/>
          <w:szCs w:val="22"/>
          <w:lang w:val="en-GB"/>
        </w:rPr>
        <w:t>, Western Australia</w:t>
      </w:r>
      <w:r w:rsidR="00FA0CE9" w:rsidRPr="003A7EF7">
        <w:rPr>
          <w:rFonts w:ascii="Arial" w:hAnsi="Arial" w:cs="Arial"/>
          <w:sz w:val="22"/>
          <w:szCs w:val="22"/>
          <w:lang w:val="en-GB"/>
        </w:rPr>
        <w:t>. This plant has only been in operation for one year. The funding for th</w:t>
      </w:r>
      <w:r w:rsidR="00ED14CB" w:rsidRPr="003A7EF7">
        <w:rPr>
          <w:rFonts w:ascii="Arial" w:hAnsi="Arial" w:cs="Arial"/>
          <w:sz w:val="22"/>
          <w:szCs w:val="22"/>
          <w:lang w:val="en-GB"/>
        </w:rPr>
        <w:t>e Perth</w:t>
      </w:r>
      <w:r w:rsidR="00FA0CE9" w:rsidRPr="003A7EF7">
        <w:rPr>
          <w:rFonts w:ascii="Arial" w:hAnsi="Arial" w:cs="Arial"/>
          <w:sz w:val="22"/>
          <w:szCs w:val="22"/>
          <w:lang w:val="en-GB"/>
        </w:rPr>
        <w:t xml:space="preserve"> plant has been provided by a </w:t>
      </w:r>
      <w:r w:rsidR="002A2C11" w:rsidRPr="003A7EF7">
        <w:rPr>
          <w:rFonts w:ascii="Arial" w:hAnsi="Arial" w:cs="Arial"/>
          <w:sz w:val="22"/>
          <w:szCs w:val="22"/>
          <w:lang w:val="en-GB"/>
        </w:rPr>
        <w:t xml:space="preserve">major shareholder of </w:t>
      </w:r>
      <w:r w:rsidR="00BC5A60" w:rsidRPr="003A7EF7">
        <w:rPr>
          <w:rFonts w:ascii="Arial" w:hAnsi="Arial" w:cs="Arial"/>
          <w:sz w:val="22"/>
          <w:szCs w:val="22"/>
          <w:lang w:val="en-GB"/>
        </w:rPr>
        <w:t>HGL</w:t>
      </w:r>
      <w:r w:rsidR="00FA0CE9" w:rsidRPr="003A7EF7">
        <w:rPr>
          <w:rFonts w:ascii="Arial" w:hAnsi="Arial" w:cs="Arial"/>
          <w:sz w:val="22"/>
          <w:szCs w:val="22"/>
          <w:lang w:val="en-GB"/>
        </w:rPr>
        <w:t xml:space="preserve"> as an unsecured loan for </w:t>
      </w:r>
      <w:r w:rsidR="001316B3" w:rsidRPr="003A7EF7">
        <w:rPr>
          <w:rFonts w:ascii="Arial" w:hAnsi="Arial" w:cs="Arial"/>
          <w:sz w:val="22"/>
          <w:szCs w:val="22"/>
          <w:lang w:val="en-GB"/>
        </w:rPr>
        <w:t xml:space="preserve">AUD </w:t>
      </w:r>
      <w:r w:rsidR="00FA0CE9" w:rsidRPr="003A7EF7">
        <w:rPr>
          <w:rFonts w:ascii="Arial" w:hAnsi="Arial" w:cs="Arial"/>
          <w:sz w:val="22"/>
          <w:szCs w:val="22"/>
          <w:lang w:val="en-GB"/>
        </w:rPr>
        <w:t>30</w:t>
      </w:r>
      <w:r w:rsidR="00867C22" w:rsidRPr="003A7EF7">
        <w:rPr>
          <w:rFonts w:ascii="Arial" w:hAnsi="Arial" w:cs="Arial"/>
          <w:sz w:val="22"/>
          <w:szCs w:val="22"/>
          <w:lang w:val="en-GB"/>
        </w:rPr>
        <w:t> </w:t>
      </w:r>
      <w:r w:rsidR="00FA0CE9" w:rsidRPr="003A7EF7">
        <w:rPr>
          <w:rFonts w:ascii="Arial" w:hAnsi="Arial" w:cs="Arial"/>
          <w:sz w:val="22"/>
          <w:szCs w:val="22"/>
          <w:lang w:val="en-GB"/>
        </w:rPr>
        <w:t>million. The loan agreement provides that the loan is repayable by month</w:t>
      </w:r>
      <w:r w:rsidR="00FC7249" w:rsidRPr="003A7EF7">
        <w:rPr>
          <w:rFonts w:ascii="Arial" w:hAnsi="Arial" w:cs="Arial"/>
          <w:sz w:val="22"/>
          <w:szCs w:val="22"/>
          <w:lang w:val="en-GB"/>
        </w:rPr>
        <w:t>ly</w:t>
      </w:r>
      <w:r w:rsidR="00FA0CE9" w:rsidRPr="003A7EF7">
        <w:rPr>
          <w:rFonts w:ascii="Arial" w:hAnsi="Arial" w:cs="Arial"/>
          <w:sz w:val="22"/>
          <w:szCs w:val="22"/>
          <w:lang w:val="en-GB"/>
        </w:rPr>
        <w:t xml:space="preserve"> instalments over </w:t>
      </w:r>
      <w:r w:rsidR="00FC7249" w:rsidRPr="003A7EF7">
        <w:rPr>
          <w:rFonts w:ascii="Arial" w:hAnsi="Arial" w:cs="Arial"/>
          <w:sz w:val="22"/>
          <w:szCs w:val="22"/>
          <w:lang w:val="en-GB"/>
        </w:rPr>
        <w:t>a term of 5</w:t>
      </w:r>
      <w:r w:rsidR="00DA078F" w:rsidRPr="003A7EF7">
        <w:rPr>
          <w:rFonts w:ascii="Arial" w:hAnsi="Arial" w:cs="Arial"/>
          <w:sz w:val="22"/>
          <w:szCs w:val="22"/>
          <w:lang w:val="en-GB"/>
        </w:rPr>
        <w:t> </w:t>
      </w:r>
      <w:r w:rsidR="00FA0CE9" w:rsidRPr="003A7EF7">
        <w:rPr>
          <w:rFonts w:ascii="Arial" w:hAnsi="Arial" w:cs="Arial"/>
          <w:sz w:val="22"/>
          <w:szCs w:val="22"/>
          <w:lang w:val="en-GB"/>
        </w:rPr>
        <w:t>years with the first payment due at the end of 202</w:t>
      </w:r>
      <w:r w:rsidR="00FC7249" w:rsidRPr="003A7EF7">
        <w:rPr>
          <w:rFonts w:ascii="Arial" w:hAnsi="Arial" w:cs="Arial"/>
          <w:sz w:val="22"/>
          <w:szCs w:val="22"/>
          <w:lang w:val="en-GB"/>
        </w:rPr>
        <w:t>1. The loan agreement also provides that t</w:t>
      </w:r>
      <w:r w:rsidR="00FA0CE9" w:rsidRPr="003A7EF7">
        <w:rPr>
          <w:rFonts w:ascii="Arial" w:hAnsi="Arial" w:cs="Arial"/>
          <w:sz w:val="22"/>
          <w:szCs w:val="22"/>
          <w:lang w:val="en-GB"/>
        </w:rPr>
        <w:t>he loan becomes automatically due and payable in full if HA</w:t>
      </w:r>
      <w:r w:rsidR="00FC7249" w:rsidRPr="003A7EF7">
        <w:rPr>
          <w:rFonts w:ascii="Arial" w:hAnsi="Arial" w:cs="Arial"/>
          <w:sz w:val="22"/>
          <w:szCs w:val="22"/>
          <w:lang w:val="en-GB"/>
        </w:rPr>
        <w:t xml:space="preserve"> </w:t>
      </w:r>
      <w:r w:rsidR="00FA0CE9" w:rsidRPr="003A7EF7">
        <w:rPr>
          <w:rFonts w:ascii="Arial" w:hAnsi="Arial" w:cs="Arial"/>
          <w:sz w:val="22"/>
          <w:szCs w:val="22"/>
          <w:lang w:val="en-GB"/>
        </w:rPr>
        <w:t>enters into any formal insolvency or restructuring process</w:t>
      </w:r>
      <w:r w:rsidR="002A2C11" w:rsidRPr="003A7EF7">
        <w:rPr>
          <w:rFonts w:ascii="Arial" w:hAnsi="Arial" w:cs="Arial"/>
          <w:sz w:val="22"/>
          <w:szCs w:val="22"/>
          <w:lang w:val="en-GB"/>
        </w:rPr>
        <w:t xml:space="preserve"> in Australia</w:t>
      </w:r>
      <w:r w:rsidR="00FA0CE9" w:rsidRPr="003A7EF7">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Pr="003A7EF7" w:rsidRDefault="00EB080B" w:rsidP="00FC7249">
      <w:pPr>
        <w:jc w:val="both"/>
        <w:rPr>
          <w:rFonts w:ascii="Arial" w:hAnsi="Arial" w:cs="Arial"/>
          <w:sz w:val="22"/>
          <w:szCs w:val="22"/>
          <w:lang w:val="en-GB"/>
        </w:rPr>
      </w:pPr>
      <w:r>
        <w:rPr>
          <w:rFonts w:ascii="Arial" w:hAnsi="Arial" w:cs="Arial"/>
          <w:sz w:val="22"/>
          <w:szCs w:val="22"/>
          <w:lang w:val="en-GB"/>
        </w:rPr>
        <w:lastRenderedPageBreak/>
        <w:t xml:space="preserve">HA </w:t>
      </w:r>
      <w:r w:rsidRPr="003A7EF7">
        <w:rPr>
          <w:rFonts w:ascii="Arial" w:hAnsi="Arial" w:cs="Arial"/>
          <w:sz w:val="22"/>
          <w:szCs w:val="22"/>
          <w:lang w:val="en-GB"/>
        </w:rPr>
        <w:t xml:space="preserve">also owns three large trucks </w:t>
      </w:r>
      <w:r w:rsidR="001316B3" w:rsidRPr="003A7EF7">
        <w:rPr>
          <w:rFonts w:ascii="Arial" w:hAnsi="Arial" w:cs="Arial"/>
          <w:sz w:val="22"/>
          <w:szCs w:val="22"/>
          <w:lang w:val="en-GB"/>
        </w:rPr>
        <w:t>that</w:t>
      </w:r>
      <w:r w:rsidRPr="003A7EF7">
        <w:rPr>
          <w:rFonts w:ascii="Arial" w:hAnsi="Arial" w:cs="Arial"/>
          <w:sz w:val="22"/>
          <w:szCs w:val="22"/>
          <w:lang w:val="en-GB"/>
        </w:rPr>
        <w:t xml:space="preserve"> transport waste oil to the Perth re-refining plant and transport re-refined oil to HA’s customers. Those trucks were purchased with </w:t>
      </w:r>
      <w:proofErr w:type="gramStart"/>
      <w:r w:rsidRPr="003A7EF7">
        <w:rPr>
          <w:rFonts w:ascii="Arial" w:hAnsi="Arial" w:cs="Arial"/>
          <w:sz w:val="22"/>
          <w:szCs w:val="22"/>
          <w:lang w:val="en-GB"/>
        </w:rPr>
        <w:t>a</w:t>
      </w:r>
      <w:proofErr w:type="gramEnd"/>
      <w:r w:rsidRPr="003A7EF7">
        <w:rPr>
          <w:rFonts w:ascii="Arial" w:hAnsi="Arial" w:cs="Arial"/>
          <w:sz w:val="22"/>
          <w:szCs w:val="22"/>
          <w:lang w:val="en-GB"/>
        </w:rPr>
        <w:t xml:space="preserve"> </w:t>
      </w:r>
      <w:r w:rsidR="001316B3" w:rsidRPr="003A7EF7">
        <w:rPr>
          <w:rFonts w:ascii="Arial" w:hAnsi="Arial" w:cs="Arial"/>
          <w:sz w:val="22"/>
          <w:szCs w:val="22"/>
          <w:lang w:val="en-GB"/>
        </w:rPr>
        <w:t xml:space="preserve">AUD </w:t>
      </w:r>
      <w:r w:rsidRPr="003A7EF7">
        <w:rPr>
          <w:rFonts w:ascii="Arial" w:hAnsi="Arial" w:cs="Arial"/>
          <w:sz w:val="22"/>
          <w:szCs w:val="22"/>
          <w:lang w:val="en-GB"/>
        </w:rPr>
        <w:t>3 million loan from the Commonwealth Bank of Australia</w:t>
      </w:r>
      <w:r w:rsidR="002A2C11" w:rsidRPr="003A7EF7">
        <w:rPr>
          <w:rFonts w:ascii="Arial" w:hAnsi="Arial" w:cs="Arial"/>
          <w:sz w:val="22"/>
          <w:szCs w:val="22"/>
          <w:lang w:val="en-GB"/>
        </w:rPr>
        <w:t xml:space="preserve"> (CBA)</w:t>
      </w:r>
      <w:r w:rsidRPr="003A7EF7">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Pr="003A7EF7" w:rsidRDefault="00EB080B" w:rsidP="00FC7249">
      <w:pPr>
        <w:jc w:val="both"/>
        <w:rPr>
          <w:rFonts w:ascii="Arial" w:hAnsi="Arial" w:cs="Arial"/>
          <w:sz w:val="22"/>
          <w:szCs w:val="22"/>
          <w:lang w:val="en-GB"/>
        </w:rPr>
      </w:pPr>
    </w:p>
    <w:p w14:paraId="20AAE1A2" w14:textId="6754E085" w:rsidR="00FC7249" w:rsidRPr="003A7EF7" w:rsidRDefault="00FC7249" w:rsidP="00FC7249">
      <w:pPr>
        <w:jc w:val="both"/>
        <w:rPr>
          <w:rFonts w:ascii="Arial" w:hAnsi="Arial" w:cs="Arial"/>
          <w:sz w:val="22"/>
          <w:szCs w:val="22"/>
          <w:lang w:val="en-GB"/>
        </w:rPr>
      </w:pPr>
      <w:r w:rsidRPr="003A7EF7">
        <w:rPr>
          <w:rFonts w:ascii="Arial" w:hAnsi="Arial" w:cs="Arial"/>
          <w:sz w:val="22"/>
          <w:szCs w:val="22"/>
          <w:lang w:val="en-GB"/>
        </w:rPr>
        <w:t xml:space="preserve">In July 2020, </w:t>
      </w:r>
      <w:r w:rsidR="0031579E" w:rsidRPr="003A7EF7">
        <w:rPr>
          <w:rFonts w:ascii="Arial" w:hAnsi="Arial" w:cs="Arial"/>
          <w:sz w:val="22"/>
          <w:szCs w:val="22"/>
          <w:lang w:val="en-GB"/>
        </w:rPr>
        <w:t>B</w:t>
      </w:r>
      <w:r w:rsidRPr="003A7EF7">
        <w:rPr>
          <w:rFonts w:ascii="Arial" w:hAnsi="Arial" w:cs="Arial"/>
          <w:sz w:val="22"/>
          <w:szCs w:val="22"/>
          <w:lang w:val="en-GB"/>
        </w:rPr>
        <w:t>OR commenced proceedings against HA</w:t>
      </w:r>
      <w:r w:rsidR="005522C4" w:rsidRPr="003A7EF7">
        <w:rPr>
          <w:rFonts w:ascii="Arial" w:hAnsi="Arial" w:cs="Arial"/>
          <w:sz w:val="22"/>
          <w:szCs w:val="22"/>
          <w:lang w:val="en-GB"/>
        </w:rPr>
        <w:t xml:space="preserve"> </w:t>
      </w:r>
      <w:r w:rsidRPr="003A7EF7">
        <w:rPr>
          <w:rFonts w:ascii="Arial" w:hAnsi="Arial" w:cs="Arial"/>
          <w:sz w:val="22"/>
          <w:szCs w:val="22"/>
          <w:lang w:val="en-GB"/>
        </w:rPr>
        <w:t xml:space="preserve">in the Supreme Court of New South Wales for damages in respect of the failed joint venture. </w:t>
      </w:r>
      <w:r w:rsidR="00785534" w:rsidRPr="003A7EF7">
        <w:rPr>
          <w:rFonts w:ascii="Arial" w:hAnsi="Arial" w:cs="Arial"/>
          <w:sz w:val="22"/>
          <w:szCs w:val="22"/>
          <w:lang w:val="en-GB"/>
        </w:rPr>
        <w:t>On 1 </w:t>
      </w:r>
      <w:r w:rsidRPr="003A7EF7">
        <w:rPr>
          <w:rFonts w:ascii="Arial" w:hAnsi="Arial" w:cs="Arial"/>
          <w:sz w:val="22"/>
          <w:szCs w:val="22"/>
          <w:lang w:val="en-GB"/>
        </w:rPr>
        <w:t>October 202</w:t>
      </w:r>
      <w:r w:rsidR="00E05C07" w:rsidRPr="003A7EF7">
        <w:rPr>
          <w:rFonts w:ascii="Arial" w:hAnsi="Arial" w:cs="Arial"/>
          <w:sz w:val="22"/>
          <w:szCs w:val="22"/>
          <w:lang w:val="en-GB"/>
        </w:rPr>
        <w:t>0</w:t>
      </w:r>
      <w:r w:rsidRPr="003A7EF7">
        <w:rPr>
          <w:rFonts w:ascii="Arial" w:hAnsi="Arial" w:cs="Arial"/>
          <w:sz w:val="22"/>
          <w:szCs w:val="22"/>
          <w:lang w:val="en-GB"/>
        </w:rPr>
        <w:t xml:space="preserve">, the Supreme Court found in favour of </w:t>
      </w:r>
      <w:r w:rsidR="0031579E" w:rsidRPr="003A7EF7">
        <w:rPr>
          <w:rFonts w:ascii="Arial" w:hAnsi="Arial" w:cs="Arial"/>
          <w:sz w:val="22"/>
          <w:szCs w:val="22"/>
          <w:lang w:val="en-GB"/>
        </w:rPr>
        <w:t>B</w:t>
      </w:r>
      <w:r w:rsidRPr="003A7EF7">
        <w:rPr>
          <w:rFonts w:ascii="Arial" w:hAnsi="Arial" w:cs="Arial"/>
          <w:sz w:val="22"/>
          <w:szCs w:val="22"/>
          <w:lang w:val="en-GB"/>
        </w:rPr>
        <w:t xml:space="preserve">OR, ordering that HA pay </w:t>
      </w:r>
      <w:r w:rsidR="001316B3" w:rsidRPr="003A7EF7">
        <w:rPr>
          <w:rFonts w:ascii="Arial" w:hAnsi="Arial" w:cs="Arial"/>
          <w:sz w:val="22"/>
          <w:szCs w:val="22"/>
          <w:lang w:val="en-GB"/>
        </w:rPr>
        <w:t xml:space="preserve">AUD </w:t>
      </w:r>
      <w:r w:rsidRPr="003A7EF7">
        <w:rPr>
          <w:rFonts w:ascii="Arial" w:hAnsi="Arial" w:cs="Arial"/>
          <w:sz w:val="22"/>
          <w:szCs w:val="22"/>
          <w:lang w:val="en-GB"/>
        </w:rPr>
        <w:t xml:space="preserve">4.6 million in damages to </w:t>
      </w:r>
      <w:r w:rsidR="0031579E" w:rsidRPr="003A7EF7">
        <w:rPr>
          <w:rFonts w:ascii="Arial" w:hAnsi="Arial" w:cs="Arial"/>
          <w:sz w:val="22"/>
          <w:szCs w:val="22"/>
          <w:lang w:val="en-GB"/>
        </w:rPr>
        <w:t>B</w:t>
      </w:r>
      <w:r w:rsidRPr="003A7EF7">
        <w:rPr>
          <w:rFonts w:ascii="Arial" w:hAnsi="Arial" w:cs="Arial"/>
          <w:sz w:val="22"/>
          <w:szCs w:val="22"/>
          <w:lang w:val="en-GB"/>
        </w:rPr>
        <w:t>OR.</w:t>
      </w:r>
    </w:p>
    <w:p w14:paraId="5E7DFD1E" w14:textId="22643E85" w:rsidR="00FC7249" w:rsidRPr="003A7EF7"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sidRPr="003A7EF7">
        <w:rPr>
          <w:rFonts w:ascii="Arial" w:hAnsi="Arial" w:cs="Arial"/>
          <w:sz w:val="22"/>
          <w:szCs w:val="22"/>
          <w:lang w:val="en-GB"/>
        </w:rPr>
        <w:t>Between October 2020 and October 2021, HA continued to trade</w:t>
      </w:r>
      <w:r w:rsidR="00EB080B" w:rsidRPr="003A7EF7">
        <w:rPr>
          <w:rFonts w:ascii="Arial" w:hAnsi="Arial" w:cs="Arial"/>
          <w:sz w:val="22"/>
          <w:szCs w:val="22"/>
          <w:lang w:val="en-GB"/>
        </w:rPr>
        <w:t xml:space="preserve">, incurring debts to trade creditors as well as borrowing </w:t>
      </w:r>
      <w:r w:rsidR="001316B3" w:rsidRPr="003A7EF7">
        <w:rPr>
          <w:rFonts w:ascii="Arial" w:hAnsi="Arial" w:cs="Arial"/>
          <w:sz w:val="22"/>
          <w:szCs w:val="22"/>
          <w:lang w:val="en-GB"/>
        </w:rPr>
        <w:t xml:space="preserve">AUD </w:t>
      </w:r>
      <w:r w:rsidR="00785534" w:rsidRPr="003A7EF7">
        <w:rPr>
          <w:rFonts w:ascii="Arial" w:hAnsi="Arial" w:cs="Arial"/>
          <w:sz w:val="22"/>
          <w:szCs w:val="22"/>
          <w:lang w:val="en-GB"/>
        </w:rPr>
        <w:t xml:space="preserve">5 million from its parent company </w:t>
      </w:r>
      <w:r w:rsidR="00BC5A60" w:rsidRPr="003A7EF7">
        <w:rPr>
          <w:rFonts w:ascii="Arial" w:hAnsi="Arial" w:cs="Arial"/>
          <w:sz w:val="22"/>
          <w:szCs w:val="22"/>
          <w:lang w:val="en-GB"/>
        </w:rPr>
        <w:t>HGL</w:t>
      </w:r>
      <w:r w:rsidR="00785534" w:rsidRPr="003A7EF7">
        <w:rPr>
          <w:rFonts w:ascii="Arial" w:hAnsi="Arial" w:cs="Arial"/>
          <w:sz w:val="22"/>
          <w:szCs w:val="22"/>
          <w:lang w:val="en-GB"/>
        </w:rPr>
        <w:t xml:space="preserve">. </w:t>
      </w:r>
      <w:r w:rsidR="00EB080B" w:rsidRPr="003A7EF7">
        <w:rPr>
          <w:rFonts w:ascii="Arial" w:hAnsi="Arial" w:cs="Arial"/>
          <w:sz w:val="22"/>
          <w:szCs w:val="22"/>
          <w:lang w:val="en-GB"/>
        </w:rPr>
        <w:t xml:space="preserve">It made </w:t>
      </w:r>
      <w:r w:rsidR="002A2C11" w:rsidRPr="003A7EF7">
        <w:rPr>
          <w:rFonts w:ascii="Arial" w:hAnsi="Arial" w:cs="Arial"/>
          <w:sz w:val="22"/>
          <w:szCs w:val="22"/>
          <w:lang w:val="en-GB"/>
        </w:rPr>
        <w:t xml:space="preserve">only a small </w:t>
      </w:r>
      <w:r w:rsidR="00EB080B" w:rsidRPr="003A7EF7">
        <w:rPr>
          <w:rFonts w:ascii="Arial" w:hAnsi="Arial" w:cs="Arial"/>
          <w:sz w:val="22"/>
          <w:szCs w:val="22"/>
          <w:lang w:val="en-GB"/>
        </w:rPr>
        <w:t xml:space="preserve">profit from its Perth </w:t>
      </w:r>
      <w:r w:rsidR="002A2C11" w:rsidRPr="003A7EF7">
        <w:rPr>
          <w:rFonts w:ascii="Arial" w:hAnsi="Arial" w:cs="Arial"/>
          <w:sz w:val="22"/>
          <w:szCs w:val="22"/>
          <w:lang w:val="en-GB"/>
        </w:rPr>
        <w:t>re-</w:t>
      </w:r>
      <w:r w:rsidR="00EB080B" w:rsidRPr="003A7EF7">
        <w:rPr>
          <w:rFonts w:ascii="Arial" w:hAnsi="Arial" w:cs="Arial"/>
          <w:sz w:val="22"/>
          <w:szCs w:val="22"/>
          <w:lang w:val="en-GB"/>
        </w:rPr>
        <w:t>refining plant</w:t>
      </w:r>
      <w:r w:rsidR="002A2C11" w:rsidRPr="003A7EF7">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2"/>
    <w:p w14:paraId="42175ADF" w14:textId="15024BD1" w:rsidR="009E6DC9" w:rsidRPr="009E6DC9" w:rsidRDefault="009E6DC9" w:rsidP="009E6DC9">
      <w:pPr>
        <w:pStyle w:val="Heading2"/>
      </w:pPr>
      <w:r w:rsidRPr="009E6DC9">
        <w:t xml:space="preserve">Insolvent trading </w:t>
      </w:r>
    </w:p>
    <w:p w14:paraId="14235D95" w14:textId="77777777" w:rsidR="009E6DC9" w:rsidRPr="009E6DC9" w:rsidRDefault="009E6DC9" w:rsidP="002D62AD">
      <w:pPr>
        <w:autoSpaceDE w:val="0"/>
        <w:autoSpaceDN w:val="0"/>
        <w:adjustRightInd w:val="0"/>
        <w:jc w:val="both"/>
        <w:rPr>
          <w:rFonts w:ascii="Arial" w:hAnsi="Arial" w:cs="Arial"/>
          <w:color w:val="7B7B7B" w:themeColor="accent3" w:themeShade="BF"/>
          <w:sz w:val="22"/>
          <w:szCs w:val="22"/>
          <w:u w:val="single"/>
          <w:lang w:val="en-GB"/>
        </w:rPr>
      </w:pPr>
    </w:p>
    <w:p w14:paraId="76E7C0F7" w14:textId="4E718A40" w:rsidR="009E6DC9" w:rsidRDefault="00B67320"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discussing what are the options available to the Board and HA, it is important to first identify what are the potential issues that may arise given the</w:t>
      </w:r>
      <w:r w:rsidR="009E6DC9">
        <w:rPr>
          <w:rFonts w:ascii="Arial" w:hAnsi="Arial" w:cs="Arial"/>
          <w:color w:val="7B7B7B" w:themeColor="accent3" w:themeShade="BF"/>
          <w:sz w:val="22"/>
          <w:szCs w:val="22"/>
          <w:lang w:val="en-GB"/>
        </w:rPr>
        <w:t xml:space="preserve"> circumstances. Assuming it is true that HA had been insolvent since October 2020 when BOR obtained a judgment against HA, the fact that HA continued trading for another year incurring further debts exposes the directors of HA to claims of insolvent trading.</w:t>
      </w:r>
      <w:r w:rsidR="003E7477">
        <w:rPr>
          <w:rFonts w:ascii="Arial" w:hAnsi="Arial" w:cs="Arial"/>
          <w:color w:val="7B7B7B" w:themeColor="accent3" w:themeShade="BF"/>
          <w:sz w:val="22"/>
          <w:szCs w:val="22"/>
          <w:lang w:val="en-GB"/>
        </w:rPr>
        <w:t xml:space="preserve"> </w:t>
      </w:r>
      <w:r w:rsidR="009E6DC9">
        <w:rPr>
          <w:rFonts w:ascii="Arial" w:hAnsi="Arial" w:cs="Arial"/>
          <w:color w:val="7B7B7B" w:themeColor="accent3" w:themeShade="BF"/>
          <w:sz w:val="22"/>
          <w:szCs w:val="22"/>
          <w:lang w:val="en-GB"/>
        </w:rPr>
        <w:t xml:space="preserve">Briefly, a director of HA may potentially be liable for insolvent trading as: </w:t>
      </w:r>
    </w:p>
    <w:p w14:paraId="7F6E5D6A" w14:textId="77777777" w:rsidR="009E6DC9" w:rsidRDefault="009E6DC9" w:rsidP="002D62AD">
      <w:pPr>
        <w:autoSpaceDE w:val="0"/>
        <w:autoSpaceDN w:val="0"/>
        <w:adjustRightInd w:val="0"/>
        <w:jc w:val="both"/>
        <w:rPr>
          <w:rFonts w:ascii="Arial" w:hAnsi="Arial" w:cs="Arial"/>
          <w:color w:val="7B7B7B" w:themeColor="accent3" w:themeShade="BF"/>
          <w:sz w:val="22"/>
          <w:szCs w:val="22"/>
          <w:lang w:val="en-GB"/>
        </w:rPr>
      </w:pPr>
    </w:p>
    <w:p w14:paraId="1BD36677" w14:textId="07BB6EA6" w:rsidR="009E6DC9" w:rsidRDefault="009E6DC9" w:rsidP="009E6DC9">
      <w:pPr>
        <w:pStyle w:val="ListParagraph"/>
        <w:numPr>
          <w:ilvl w:val="0"/>
          <w:numId w:val="23"/>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were directors of HA when the debt was incurred i.e. between period of October 2020 until October 2021; </w:t>
      </w:r>
    </w:p>
    <w:p w14:paraId="1CEBA576" w14:textId="3EB7FE00" w:rsidR="009E6DC9" w:rsidRDefault="009E6DC9" w:rsidP="009E6DC9">
      <w:pPr>
        <w:pStyle w:val="ListParagraph"/>
        <w:numPr>
          <w:ilvl w:val="0"/>
          <w:numId w:val="23"/>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 was insolvent when the debt was incurred;</w:t>
      </w:r>
    </w:p>
    <w:p w14:paraId="6411F7F3" w14:textId="6C81327F" w:rsidR="009E6DC9" w:rsidRDefault="009E6DC9" w:rsidP="009E6DC9">
      <w:pPr>
        <w:pStyle w:val="ListParagraph"/>
        <w:numPr>
          <w:ilvl w:val="0"/>
          <w:numId w:val="23"/>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were reasonable grounds for suspecting HA was insolvent and the directors were aware of such reasonable grounds – in particular, there is already an unsatisfied judgment sum owed by HA to BOR. </w:t>
      </w:r>
    </w:p>
    <w:p w14:paraId="02041FF0" w14:textId="69DB60A9" w:rsidR="009E6DC9" w:rsidRDefault="009E6DC9" w:rsidP="009E6DC9">
      <w:pPr>
        <w:pStyle w:val="ListParagraph"/>
        <w:numPr>
          <w:ilvl w:val="0"/>
          <w:numId w:val="23"/>
        </w:numPr>
        <w:autoSpaceDE w:val="0"/>
        <w:autoSpaceDN w:val="0"/>
        <w:adjustRightInd w:val="0"/>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failed to prevent the company from incurring debts, </w:t>
      </w:r>
      <w:proofErr w:type="gramStart"/>
      <w:r>
        <w:rPr>
          <w:rFonts w:ascii="Arial" w:hAnsi="Arial" w:cs="Arial"/>
          <w:color w:val="7B7B7B" w:themeColor="accent3" w:themeShade="BF"/>
          <w:sz w:val="22"/>
          <w:szCs w:val="22"/>
          <w:lang w:val="en-GB"/>
        </w:rPr>
        <w:t>especially between October 2020 until October 2021</w:t>
      </w:r>
      <w:proofErr w:type="gramEnd"/>
      <w:r>
        <w:rPr>
          <w:rFonts w:ascii="Arial" w:hAnsi="Arial" w:cs="Arial"/>
          <w:color w:val="7B7B7B" w:themeColor="accent3" w:themeShade="BF"/>
          <w:sz w:val="22"/>
          <w:szCs w:val="22"/>
          <w:lang w:val="en-GB"/>
        </w:rPr>
        <w:t xml:space="preserve">. </w:t>
      </w:r>
    </w:p>
    <w:p w14:paraId="20182F7A" w14:textId="77777777" w:rsidR="009E6DC9" w:rsidRDefault="009E6DC9" w:rsidP="009E6DC9">
      <w:pPr>
        <w:autoSpaceDE w:val="0"/>
        <w:autoSpaceDN w:val="0"/>
        <w:adjustRightInd w:val="0"/>
        <w:jc w:val="both"/>
        <w:rPr>
          <w:rFonts w:ascii="Arial" w:hAnsi="Arial" w:cs="Arial"/>
          <w:color w:val="7B7B7B" w:themeColor="accent3" w:themeShade="BF"/>
          <w:sz w:val="22"/>
          <w:szCs w:val="22"/>
          <w:lang w:val="en-GB"/>
        </w:rPr>
      </w:pPr>
    </w:p>
    <w:p w14:paraId="39D7AE52" w14:textId="754EB5D3" w:rsidR="009E6DC9" w:rsidRDefault="009E6DC9" w:rsidP="009E6DC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Court </w:t>
      </w:r>
      <w:proofErr w:type="gramStart"/>
      <w:r>
        <w:rPr>
          <w:rFonts w:ascii="Arial" w:hAnsi="Arial" w:cs="Arial"/>
          <w:color w:val="7B7B7B" w:themeColor="accent3" w:themeShade="BF"/>
          <w:sz w:val="22"/>
          <w:szCs w:val="22"/>
          <w:lang w:val="en-GB"/>
        </w:rPr>
        <w:t>find</w:t>
      </w:r>
      <w:proofErr w:type="gramEnd"/>
      <w:r>
        <w:rPr>
          <w:rFonts w:ascii="Arial" w:hAnsi="Arial" w:cs="Arial"/>
          <w:color w:val="7B7B7B" w:themeColor="accent3" w:themeShade="BF"/>
          <w:sz w:val="22"/>
          <w:szCs w:val="22"/>
          <w:lang w:val="en-GB"/>
        </w:rPr>
        <w:t xml:space="preserve"> that the director(s) are liable for insolvent trading</w:t>
      </w:r>
      <w:r w:rsidR="003E7477">
        <w:rPr>
          <w:rFonts w:ascii="Arial" w:hAnsi="Arial" w:cs="Arial"/>
          <w:color w:val="7B7B7B" w:themeColor="accent3" w:themeShade="BF"/>
          <w:sz w:val="22"/>
          <w:szCs w:val="22"/>
          <w:lang w:val="en-GB"/>
        </w:rPr>
        <w:t xml:space="preserve">, the Court would usually make a compensation order against the directors. The Court could also impose a civil penalty, a disqualification order and if a director has behaved dishonestly, a criminal penalty. </w:t>
      </w:r>
    </w:p>
    <w:p w14:paraId="0FBD8973" w14:textId="77777777" w:rsidR="003E7477" w:rsidRDefault="003E7477" w:rsidP="009E6DC9">
      <w:pPr>
        <w:autoSpaceDE w:val="0"/>
        <w:autoSpaceDN w:val="0"/>
        <w:adjustRightInd w:val="0"/>
        <w:jc w:val="both"/>
        <w:rPr>
          <w:rFonts w:ascii="Arial" w:hAnsi="Arial" w:cs="Arial"/>
          <w:color w:val="7B7B7B" w:themeColor="accent3" w:themeShade="BF"/>
          <w:sz w:val="22"/>
          <w:szCs w:val="22"/>
          <w:lang w:val="en-GB"/>
        </w:rPr>
      </w:pPr>
    </w:p>
    <w:p w14:paraId="67A25091" w14:textId="16968EC9" w:rsidR="003E7477" w:rsidRDefault="003E7477" w:rsidP="009E6DC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w:t>
      </w:r>
      <w:r w:rsidR="00834F94">
        <w:rPr>
          <w:rFonts w:ascii="Arial" w:hAnsi="Arial" w:cs="Arial"/>
          <w:color w:val="7B7B7B" w:themeColor="accent3" w:themeShade="BF"/>
          <w:sz w:val="22"/>
          <w:szCs w:val="22"/>
          <w:lang w:val="en-GB"/>
        </w:rPr>
        <w:t xml:space="preserve">may argue in defence that there are reasonable grounds to expect solvency or there is a reasonable expectation of solvency based on information provided by a competent and reliable person fulfilling responsibility to provide that information. </w:t>
      </w:r>
    </w:p>
    <w:p w14:paraId="455CDCFC" w14:textId="77777777" w:rsidR="00834F94" w:rsidRDefault="00834F94" w:rsidP="009E6DC9">
      <w:pPr>
        <w:autoSpaceDE w:val="0"/>
        <w:autoSpaceDN w:val="0"/>
        <w:adjustRightInd w:val="0"/>
        <w:jc w:val="both"/>
        <w:rPr>
          <w:rFonts w:ascii="Arial" w:hAnsi="Arial" w:cs="Arial"/>
          <w:color w:val="7B7B7B" w:themeColor="accent3" w:themeShade="BF"/>
          <w:sz w:val="22"/>
          <w:szCs w:val="22"/>
          <w:lang w:val="en-GB"/>
        </w:rPr>
      </w:pPr>
    </w:p>
    <w:p w14:paraId="206319BA" w14:textId="23F43811" w:rsidR="00B67320" w:rsidRDefault="00834F94"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crucial to note under the Corporations Act the liability for insolvent trading could extend to a holding company. In other words, for the debts of HA the liability for insolvent trading could potentially extent to HGL. </w:t>
      </w:r>
    </w:p>
    <w:p w14:paraId="3DACA9A0" w14:textId="77777777" w:rsidR="00834F94" w:rsidRDefault="00834F94" w:rsidP="002D62AD">
      <w:pPr>
        <w:autoSpaceDE w:val="0"/>
        <w:autoSpaceDN w:val="0"/>
        <w:adjustRightInd w:val="0"/>
        <w:jc w:val="both"/>
        <w:rPr>
          <w:rFonts w:ascii="Arial" w:hAnsi="Arial" w:cs="Arial"/>
          <w:color w:val="7B7B7B" w:themeColor="accent3" w:themeShade="BF"/>
          <w:sz w:val="22"/>
          <w:szCs w:val="22"/>
          <w:lang w:val="en-GB"/>
        </w:rPr>
      </w:pPr>
    </w:p>
    <w:p w14:paraId="6B17AEF4" w14:textId="479B96B7" w:rsidR="00834F94" w:rsidRDefault="00834F94" w:rsidP="00834F94">
      <w:pPr>
        <w:pStyle w:val="Heading1"/>
      </w:pPr>
      <w:r>
        <w:lastRenderedPageBreak/>
        <w:t xml:space="preserve">Safe harbour </w:t>
      </w:r>
    </w:p>
    <w:p w14:paraId="78A75CAF" w14:textId="77777777" w:rsidR="00834F94" w:rsidRDefault="00834F94" w:rsidP="0099373B">
      <w:pPr>
        <w:autoSpaceDE w:val="0"/>
        <w:autoSpaceDN w:val="0"/>
        <w:adjustRightInd w:val="0"/>
        <w:jc w:val="both"/>
        <w:rPr>
          <w:rFonts w:ascii="Arial" w:hAnsi="Arial" w:cs="Arial"/>
          <w:color w:val="7B7B7B" w:themeColor="accent3" w:themeShade="BF"/>
          <w:sz w:val="22"/>
          <w:szCs w:val="22"/>
          <w:u w:val="single"/>
          <w:lang w:val="en-GB"/>
        </w:rPr>
      </w:pPr>
    </w:p>
    <w:p w14:paraId="36F1CF1C" w14:textId="70E3A390" w:rsidR="00834F94" w:rsidRDefault="0059146D" w:rsidP="0099373B">
      <w:pPr>
        <w:pStyle w:val="BodyText"/>
        <w:autoSpaceDE w:val="0"/>
        <w:autoSpaceDN w:val="0"/>
        <w:adjustRightInd w:val="0"/>
      </w:pPr>
      <w:r>
        <w:t xml:space="preserve">With effect from September 2017, “safe harbour” provisions was introduced which provide that insolvent trading liability is not incurred where, after the time that directors begin to suspect that the company may be or may become insolvent, they start developing one or more courses of action that are reasonably likely to lead to a better outcome for the company. In other words, the directors of HA and HGL must have already taken or now take steps to that are reasonably likely to lead to a better outcome for the company – one of this steps being information restructuring (discussed below). </w:t>
      </w:r>
    </w:p>
    <w:p w14:paraId="6806C7EB" w14:textId="77777777" w:rsidR="0059146D" w:rsidRDefault="0059146D" w:rsidP="0099373B">
      <w:pPr>
        <w:pStyle w:val="BodyText"/>
        <w:autoSpaceDE w:val="0"/>
        <w:autoSpaceDN w:val="0"/>
        <w:adjustRightInd w:val="0"/>
      </w:pPr>
    </w:p>
    <w:p w14:paraId="67305EE8" w14:textId="3B608921" w:rsidR="0059146D" w:rsidRPr="0059146D" w:rsidRDefault="0059146D" w:rsidP="0099373B">
      <w:pPr>
        <w:pStyle w:val="BodyText"/>
        <w:autoSpaceDE w:val="0"/>
        <w:autoSpaceDN w:val="0"/>
        <w:adjustRightInd w:val="0"/>
      </w:pPr>
      <w:r>
        <w:t xml:space="preserve">In order to rely on the safe harbour provisions, HA must continue to pay all employee entitlements (including superannuation) as and when they fall due and the company must </w:t>
      </w:r>
      <w:proofErr w:type="spellStart"/>
      <w:r>
        <w:t>complay</w:t>
      </w:r>
      <w:proofErr w:type="spellEnd"/>
      <w:r>
        <w:t xml:space="preserve"> with </w:t>
      </w:r>
      <w:r w:rsidR="0099373B">
        <w:t>all ta</w:t>
      </w:r>
      <w:r>
        <w:t xml:space="preserve">x reporting obligations. </w:t>
      </w:r>
    </w:p>
    <w:p w14:paraId="18681A58" w14:textId="77777777" w:rsidR="00B67320" w:rsidRDefault="00B67320" w:rsidP="0099373B">
      <w:pPr>
        <w:autoSpaceDE w:val="0"/>
        <w:autoSpaceDN w:val="0"/>
        <w:adjustRightInd w:val="0"/>
        <w:jc w:val="both"/>
        <w:rPr>
          <w:rFonts w:ascii="Arial" w:hAnsi="Arial" w:cs="Arial"/>
          <w:color w:val="7B7B7B" w:themeColor="accent3" w:themeShade="BF"/>
          <w:sz w:val="22"/>
          <w:szCs w:val="22"/>
          <w:lang w:val="en-GB"/>
        </w:rPr>
      </w:pPr>
    </w:p>
    <w:p w14:paraId="1EFD204D" w14:textId="6FCCDEF2" w:rsidR="00B67320" w:rsidRDefault="00B67320" w:rsidP="0099373B">
      <w:pPr>
        <w:pStyle w:val="Heading1"/>
      </w:pPr>
      <w:r>
        <w:t>Informal restructuring</w:t>
      </w:r>
    </w:p>
    <w:p w14:paraId="10109110" w14:textId="03FA87D8" w:rsidR="0059146D" w:rsidRDefault="0059146D" w:rsidP="0099373B">
      <w:pPr>
        <w:jc w:val="both"/>
        <w:rPr>
          <w:rFonts w:ascii="Arial" w:hAnsi="Arial" w:cs="Arial"/>
          <w:color w:val="7B7B7B" w:themeColor="accent3" w:themeShade="BF"/>
          <w:sz w:val="22"/>
          <w:szCs w:val="22"/>
          <w:lang w:val="en-GB"/>
        </w:rPr>
      </w:pPr>
    </w:p>
    <w:p w14:paraId="378AE899" w14:textId="6AFEF159" w:rsidR="0099373B" w:rsidRDefault="0099373B" w:rsidP="0099373B">
      <w:pPr>
        <w:pStyle w:val="BodyText"/>
      </w:pPr>
      <w:r>
        <w:t xml:space="preserve">The directors of HA are advised to formulate and implement a dedicated informal restructuring plan acting on the advice of an appointed specialist restructuring expert. </w:t>
      </w:r>
    </w:p>
    <w:p w14:paraId="517DDFDD" w14:textId="77777777" w:rsidR="0099373B" w:rsidRDefault="0099373B" w:rsidP="0099373B">
      <w:pPr>
        <w:jc w:val="both"/>
        <w:rPr>
          <w:rFonts w:ascii="Arial" w:hAnsi="Arial" w:cs="Arial"/>
          <w:color w:val="7B7B7B" w:themeColor="accent3" w:themeShade="BF"/>
          <w:sz w:val="22"/>
          <w:szCs w:val="22"/>
          <w:lang w:val="en-GB"/>
        </w:rPr>
      </w:pPr>
    </w:p>
    <w:p w14:paraId="6501F6ED" w14:textId="78126E15" w:rsidR="0099373B" w:rsidRDefault="0099373B" w:rsidP="009937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informal restructuring may be a more recommended option as compared to voluntary </w:t>
      </w:r>
      <w:r w:rsidR="00DF53E8">
        <w:rPr>
          <w:rFonts w:ascii="Arial" w:hAnsi="Arial" w:cs="Arial"/>
          <w:color w:val="7B7B7B" w:themeColor="accent3" w:themeShade="BF"/>
          <w:sz w:val="22"/>
          <w:szCs w:val="22"/>
          <w:lang w:val="en-GB"/>
        </w:rPr>
        <w:t>administration</w:t>
      </w:r>
      <w:r>
        <w:rPr>
          <w:rFonts w:ascii="Arial" w:hAnsi="Arial" w:cs="Arial"/>
          <w:color w:val="7B7B7B" w:themeColor="accent3" w:themeShade="BF"/>
          <w:sz w:val="22"/>
          <w:szCs w:val="22"/>
          <w:lang w:val="en-GB"/>
        </w:rPr>
        <w:t xml:space="preserve"> (discussed below) as in the latter, creditor may use the appointment of an administrator as the trigger to enforce their securities and ipso facto contractual rights. This in turn will diminish the enterprise value of HA, minimising the success rate of reviving the company. </w:t>
      </w:r>
      <w:r w:rsidR="00213CEA">
        <w:rPr>
          <w:rFonts w:ascii="Arial" w:hAnsi="Arial" w:cs="Arial"/>
          <w:color w:val="7B7B7B" w:themeColor="accent3" w:themeShade="BF"/>
          <w:sz w:val="22"/>
          <w:szCs w:val="22"/>
          <w:lang w:val="en-GB"/>
        </w:rPr>
        <w:t>With the safe harbour in place, by pursuing an informal restructuring, HA may be able to revive HA or at least preserve HA’s business as a going concern.</w:t>
      </w:r>
    </w:p>
    <w:p w14:paraId="0A1E1EAE" w14:textId="77777777" w:rsidR="0099373B" w:rsidRDefault="0099373B" w:rsidP="0099373B">
      <w:pPr>
        <w:jc w:val="both"/>
        <w:rPr>
          <w:rFonts w:ascii="Arial" w:hAnsi="Arial" w:cs="Arial"/>
          <w:color w:val="7B7B7B" w:themeColor="accent3" w:themeShade="BF"/>
          <w:sz w:val="22"/>
          <w:szCs w:val="22"/>
          <w:lang w:val="en-GB"/>
        </w:rPr>
      </w:pPr>
    </w:p>
    <w:p w14:paraId="408BB95A" w14:textId="7190A2B7" w:rsidR="0099373B" w:rsidRPr="00213CEA" w:rsidRDefault="00213CEA" w:rsidP="00213CEA">
      <w:pPr>
        <w:pStyle w:val="Heading1"/>
        <w:autoSpaceDE/>
        <w:autoSpaceDN/>
        <w:adjustRightInd/>
      </w:pPr>
      <w:r>
        <w:t xml:space="preserve">Voluntary </w:t>
      </w:r>
      <w:r w:rsidR="00DF53E8">
        <w:t>Administration</w:t>
      </w:r>
      <w:r>
        <w:t xml:space="preserve"> </w:t>
      </w:r>
    </w:p>
    <w:p w14:paraId="077A39DC" w14:textId="77777777" w:rsidR="0099373B" w:rsidRDefault="0099373B" w:rsidP="0099373B">
      <w:pPr>
        <w:jc w:val="both"/>
        <w:rPr>
          <w:rFonts w:ascii="Arial" w:hAnsi="Arial" w:cs="Arial"/>
          <w:color w:val="7B7B7B" w:themeColor="accent3" w:themeShade="BF"/>
          <w:sz w:val="22"/>
          <w:szCs w:val="22"/>
          <w:lang w:val="en-GB"/>
        </w:rPr>
      </w:pPr>
    </w:p>
    <w:p w14:paraId="3D3AFE38" w14:textId="368761BD" w:rsidR="00213CEA" w:rsidRDefault="00213CEA" w:rsidP="009937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HA can opt to initiate voluntary </w:t>
      </w:r>
      <w:r w:rsidR="00DF53E8">
        <w:rPr>
          <w:rFonts w:ascii="Arial" w:hAnsi="Arial" w:cs="Arial"/>
          <w:color w:val="7B7B7B" w:themeColor="accent3" w:themeShade="BF"/>
          <w:sz w:val="22"/>
          <w:szCs w:val="22"/>
          <w:lang w:val="en-GB"/>
        </w:rPr>
        <w:t>administration</w:t>
      </w:r>
      <w:r>
        <w:rPr>
          <w:rFonts w:ascii="Arial" w:hAnsi="Arial" w:cs="Arial"/>
          <w:color w:val="7B7B7B" w:themeColor="accent3" w:themeShade="BF"/>
          <w:sz w:val="22"/>
          <w:szCs w:val="22"/>
          <w:lang w:val="en-GB"/>
        </w:rPr>
        <w:t xml:space="preserve"> where a majority of HA’s directors </w:t>
      </w:r>
      <w:r w:rsidR="00800D00">
        <w:rPr>
          <w:rFonts w:ascii="Arial" w:hAnsi="Arial" w:cs="Arial"/>
          <w:color w:val="7B7B7B" w:themeColor="accent3" w:themeShade="BF"/>
          <w:sz w:val="22"/>
          <w:szCs w:val="22"/>
          <w:lang w:val="en-GB"/>
        </w:rPr>
        <w:t xml:space="preserve">resolve that, in their opinion, HA is insolvent and that an administrator should be appointed. </w:t>
      </w:r>
    </w:p>
    <w:p w14:paraId="2ECD1F72" w14:textId="77777777" w:rsidR="00800D00" w:rsidRDefault="00800D00" w:rsidP="0099373B">
      <w:pPr>
        <w:jc w:val="both"/>
        <w:rPr>
          <w:rFonts w:ascii="Arial" w:hAnsi="Arial" w:cs="Arial"/>
          <w:color w:val="7B7B7B" w:themeColor="accent3" w:themeShade="BF"/>
          <w:sz w:val="22"/>
          <w:szCs w:val="22"/>
          <w:lang w:val="en-GB"/>
        </w:rPr>
      </w:pPr>
    </w:p>
    <w:p w14:paraId="72799921" w14:textId="077EBFF1" w:rsidR="00B67320" w:rsidRPr="00B67320" w:rsidRDefault="00800D00" w:rsidP="0099373B">
      <w:pPr>
        <w:jc w:val="both"/>
        <w:rPr>
          <w:lang w:val="en-GB"/>
        </w:rPr>
      </w:pPr>
      <w:r>
        <w:rPr>
          <w:rFonts w:ascii="Arial" w:hAnsi="Arial" w:cs="Arial"/>
          <w:color w:val="7B7B7B" w:themeColor="accent3" w:themeShade="BF"/>
          <w:sz w:val="22"/>
          <w:szCs w:val="22"/>
          <w:lang w:val="en-GB"/>
        </w:rPr>
        <w:t>As a side note, o</w:t>
      </w:r>
      <w:r w:rsidR="00834F94">
        <w:rPr>
          <w:rFonts w:ascii="Arial" w:hAnsi="Arial" w:cs="Arial"/>
          <w:color w:val="7B7B7B" w:themeColor="accent3" w:themeShade="BF"/>
          <w:sz w:val="22"/>
          <w:szCs w:val="22"/>
          <w:lang w:val="en-GB"/>
        </w:rPr>
        <w:t>n the facts of the case, it appears that HA has been insolvent for at least 1 year since October 2020. Therefore, this effective rules out the option of member’s voluntary liquidation because it is a pre-requisite for a company to be solvent to initiate a member’s voluntary liquidation.</w:t>
      </w:r>
    </w:p>
    <w:p w14:paraId="2E11AEE1" w14:textId="77777777" w:rsidR="00B67320" w:rsidRDefault="00B67320" w:rsidP="002D62AD">
      <w:pPr>
        <w:autoSpaceDE w:val="0"/>
        <w:autoSpaceDN w:val="0"/>
        <w:adjustRightInd w:val="0"/>
        <w:jc w:val="both"/>
        <w:rPr>
          <w:rFonts w:ascii="Arial" w:hAnsi="Arial" w:cs="Arial"/>
          <w:color w:val="7B7B7B" w:themeColor="accent3" w:themeShade="BF"/>
          <w:sz w:val="22"/>
          <w:szCs w:val="22"/>
          <w:lang w:val="en-GB"/>
        </w:rPr>
      </w:pPr>
    </w:p>
    <w:p w14:paraId="71232639" w14:textId="77777777" w:rsidR="00B67320" w:rsidRDefault="00B67320" w:rsidP="002D62AD">
      <w:pPr>
        <w:autoSpaceDE w:val="0"/>
        <w:autoSpaceDN w:val="0"/>
        <w:adjustRightInd w:val="0"/>
        <w:jc w:val="both"/>
        <w:rPr>
          <w:rFonts w:ascii="Arial" w:hAnsi="Arial" w:cs="Arial"/>
          <w:color w:val="7B7B7B" w:themeColor="accent3" w:themeShade="BF"/>
          <w:sz w:val="22"/>
          <w:szCs w:val="22"/>
          <w:lang w:val="en-GB"/>
        </w:rPr>
      </w:pPr>
    </w:p>
    <w:p w14:paraId="6C7E4008" w14:textId="77777777" w:rsidR="00B67320" w:rsidRDefault="00B67320" w:rsidP="002D62AD">
      <w:pPr>
        <w:autoSpaceDE w:val="0"/>
        <w:autoSpaceDN w:val="0"/>
        <w:adjustRightInd w:val="0"/>
        <w:jc w:val="both"/>
        <w:rPr>
          <w:rFonts w:ascii="Arial" w:hAnsi="Arial" w:cs="Arial"/>
          <w:color w:val="7B7B7B" w:themeColor="accent3" w:themeShade="BF"/>
          <w:sz w:val="22"/>
          <w:szCs w:val="22"/>
          <w:lang w:val="en-GB"/>
        </w:rPr>
      </w:pP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39F5" w14:textId="77777777" w:rsidR="0059146D" w:rsidRDefault="0059146D" w:rsidP="00241B44">
      <w:r>
        <w:separator/>
      </w:r>
    </w:p>
  </w:endnote>
  <w:endnote w:type="continuationSeparator" w:id="0">
    <w:p w14:paraId="36838684" w14:textId="77777777" w:rsidR="0059146D" w:rsidRDefault="005914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9146D" w:rsidRPr="00FC7B47" w:rsidRDefault="0059146D"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9146D" w:rsidRPr="00FC7B47" w:rsidRDefault="0059146D"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9146D" w:rsidRPr="009B4976" w:rsidRDefault="0059146D"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A7EF7">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00D1D284" w:rsidR="0059146D" w:rsidRPr="009B4976" w:rsidRDefault="00834E36" w:rsidP="009B4976">
    <w:pPr>
      <w:pStyle w:val="Footer"/>
      <w:ind w:right="360"/>
      <w:rPr>
        <w:rFonts w:ascii="Arial" w:hAnsi="Arial" w:cs="Arial"/>
        <w:sz w:val="18"/>
        <w:szCs w:val="18"/>
        <w:lang w:val="en-GB"/>
      </w:rPr>
    </w:pPr>
    <w:r w:rsidRPr="0044418D">
      <w:rPr>
        <w:rFonts w:ascii="Arial" w:hAnsi="Arial" w:cs="Arial"/>
        <w:sz w:val="18"/>
        <w:szCs w:val="18"/>
      </w:rPr>
      <w:t>202122-530</w:t>
    </w:r>
    <w:r w:rsidR="0059146D" w:rsidRPr="009B4976">
      <w:rPr>
        <w:rFonts w:ascii="Arial" w:hAnsi="Arial" w:cs="Arial"/>
        <w:sz w:val="18"/>
        <w:szCs w:val="18"/>
        <w:lang w:val="en-GB"/>
      </w:rPr>
      <w:t>.assessment</w:t>
    </w:r>
    <w:r w:rsidR="0059146D">
      <w:rPr>
        <w:rFonts w:ascii="Arial" w:hAnsi="Arial" w:cs="Arial"/>
        <w:sz w:val="18"/>
        <w:szCs w:val="18"/>
        <w:lang w:val="en-GB"/>
      </w:rPr>
      <w:t>8A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45D3" w14:textId="77777777" w:rsidR="00834E36" w:rsidRDefault="0083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EFB5F" w14:textId="77777777" w:rsidR="0059146D" w:rsidRDefault="0059146D" w:rsidP="00241B44">
      <w:r>
        <w:separator/>
      </w:r>
    </w:p>
  </w:footnote>
  <w:footnote w:type="continuationSeparator" w:id="0">
    <w:p w14:paraId="7F383D2A" w14:textId="77777777" w:rsidR="0059146D" w:rsidRDefault="0059146D" w:rsidP="0024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A04A" w14:textId="77777777" w:rsidR="00834E36" w:rsidRDefault="00834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B743" w14:textId="77777777" w:rsidR="00834E36" w:rsidRDefault="00834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F911" w14:textId="77777777" w:rsidR="00834E36" w:rsidRDefault="00834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F3EBC"/>
    <w:multiLevelType w:val="hybridMultilevel"/>
    <w:tmpl w:val="B8F88548"/>
    <w:lvl w:ilvl="0" w:tplc="A0E8615E">
      <w:start w:val="1"/>
      <w:numFmt w:val="lowerLetter"/>
      <w:lvlText w:val="(%1)"/>
      <w:lvlJc w:val="left"/>
      <w:pPr>
        <w:ind w:left="720" w:hanging="360"/>
      </w:pPr>
      <w:rPr>
        <w:rFonts w:hint="default"/>
        <w:color w:val="808080" w:themeColor="background1" w:themeShade="8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7D749C7"/>
    <w:multiLevelType w:val="hybridMultilevel"/>
    <w:tmpl w:val="38DE0EF8"/>
    <w:lvl w:ilvl="0" w:tplc="6A48E1B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8"/>
  </w:num>
  <w:num w:numId="4">
    <w:abstractNumId w:val="17"/>
  </w:num>
  <w:num w:numId="5">
    <w:abstractNumId w:val="9"/>
  </w:num>
  <w:num w:numId="6">
    <w:abstractNumId w:val="11"/>
  </w:num>
  <w:num w:numId="7">
    <w:abstractNumId w:val="18"/>
  </w:num>
  <w:num w:numId="8">
    <w:abstractNumId w:val="14"/>
  </w:num>
  <w:num w:numId="9">
    <w:abstractNumId w:val="7"/>
  </w:num>
  <w:num w:numId="10">
    <w:abstractNumId w:val="5"/>
  </w:num>
  <w:num w:numId="11">
    <w:abstractNumId w:val="0"/>
  </w:num>
  <w:num w:numId="12">
    <w:abstractNumId w:val="16"/>
  </w:num>
  <w:num w:numId="13">
    <w:abstractNumId w:val="20"/>
  </w:num>
  <w:num w:numId="14">
    <w:abstractNumId w:val="6"/>
  </w:num>
  <w:num w:numId="15">
    <w:abstractNumId w:val="3"/>
  </w:num>
  <w:num w:numId="16">
    <w:abstractNumId w:val="1"/>
  </w:num>
  <w:num w:numId="17">
    <w:abstractNumId w:val="22"/>
  </w:num>
  <w:num w:numId="18">
    <w:abstractNumId w:val="4"/>
  </w:num>
  <w:num w:numId="19">
    <w:abstractNumId w:val="13"/>
  </w:num>
  <w:num w:numId="20">
    <w:abstractNumId w:val="2"/>
  </w:num>
  <w:num w:numId="21">
    <w:abstractNumId w:val="12"/>
  </w:num>
  <w:num w:numId="22">
    <w:abstractNumId w:val="15"/>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1B35"/>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76286"/>
    <w:rsid w:val="00177747"/>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0D91"/>
    <w:rsid w:val="002110F1"/>
    <w:rsid w:val="00213CEA"/>
    <w:rsid w:val="00216FA9"/>
    <w:rsid w:val="002172B8"/>
    <w:rsid w:val="002356EA"/>
    <w:rsid w:val="0024116D"/>
    <w:rsid w:val="00241B44"/>
    <w:rsid w:val="00241FA3"/>
    <w:rsid w:val="002425AF"/>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A7EF7"/>
    <w:rsid w:val="003B170F"/>
    <w:rsid w:val="003B3C5F"/>
    <w:rsid w:val="003C4471"/>
    <w:rsid w:val="003D0A6D"/>
    <w:rsid w:val="003E0B16"/>
    <w:rsid w:val="003E67D1"/>
    <w:rsid w:val="003E7477"/>
    <w:rsid w:val="00404329"/>
    <w:rsid w:val="00405DC1"/>
    <w:rsid w:val="00415F1F"/>
    <w:rsid w:val="00416D2B"/>
    <w:rsid w:val="0042108F"/>
    <w:rsid w:val="00430FED"/>
    <w:rsid w:val="0043389B"/>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D6F64"/>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8DC"/>
    <w:rsid w:val="0056391B"/>
    <w:rsid w:val="005650E2"/>
    <w:rsid w:val="00567AD7"/>
    <w:rsid w:val="00572FFA"/>
    <w:rsid w:val="00575B2D"/>
    <w:rsid w:val="005833D0"/>
    <w:rsid w:val="005846F3"/>
    <w:rsid w:val="0058622F"/>
    <w:rsid w:val="0059146D"/>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5375"/>
    <w:rsid w:val="006A6530"/>
    <w:rsid w:val="006B435A"/>
    <w:rsid w:val="006B4C64"/>
    <w:rsid w:val="006B7879"/>
    <w:rsid w:val="006C49CA"/>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75C59"/>
    <w:rsid w:val="00777776"/>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0B87"/>
    <w:rsid w:val="007F41F8"/>
    <w:rsid w:val="007F659B"/>
    <w:rsid w:val="00800BA5"/>
    <w:rsid w:val="00800D00"/>
    <w:rsid w:val="0080454E"/>
    <w:rsid w:val="00804C32"/>
    <w:rsid w:val="00806302"/>
    <w:rsid w:val="00807119"/>
    <w:rsid w:val="00817EA6"/>
    <w:rsid w:val="008235B7"/>
    <w:rsid w:val="00823B29"/>
    <w:rsid w:val="0082483F"/>
    <w:rsid w:val="008279C0"/>
    <w:rsid w:val="00834E36"/>
    <w:rsid w:val="00834F94"/>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5A43"/>
    <w:rsid w:val="00907170"/>
    <w:rsid w:val="00912C79"/>
    <w:rsid w:val="00921B8C"/>
    <w:rsid w:val="00942123"/>
    <w:rsid w:val="009512E1"/>
    <w:rsid w:val="0095207B"/>
    <w:rsid w:val="00956B16"/>
    <w:rsid w:val="00962045"/>
    <w:rsid w:val="00980E61"/>
    <w:rsid w:val="00991428"/>
    <w:rsid w:val="0099169D"/>
    <w:rsid w:val="00992676"/>
    <w:rsid w:val="0099373B"/>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E6DC9"/>
    <w:rsid w:val="009F275E"/>
    <w:rsid w:val="009F2E51"/>
    <w:rsid w:val="00A047EE"/>
    <w:rsid w:val="00A15DC7"/>
    <w:rsid w:val="00A21FA5"/>
    <w:rsid w:val="00A2274A"/>
    <w:rsid w:val="00A235B7"/>
    <w:rsid w:val="00A27A7A"/>
    <w:rsid w:val="00A34ABE"/>
    <w:rsid w:val="00A407EF"/>
    <w:rsid w:val="00A46B4C"/>
    <w:rsid w:val="00A5117B"/>
    <w:rsid w:val="00A5418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40F9"/>
    <w:rsid w:val="00B37C3C"/>
    <w:rsid w:val="00B44713"/>
    <w:rsid w:val="00B51B95"/>
    <w:rsid w:val="00B53FBE"/>
    <w:rsid w:val="00B56103"/>
    <w:rsid w:val="00B64929"/>
    <w:rsid w:val="00B67320"/>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148DC"/>
    <w:rsid w:val="00D17FDC"/>
    <w:rsid w:val="00D21D8C"/>
    <w:rsid w:val="00D45B4F"/>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C5C75"/>
    <w:rsid w:val="00DD0802"/>
    <w:rsid w:val="00DD2E11"/>
    <w:rsid w:val="00DE03AF"/>
    <w:rsid w:val="00DE121C"/>
    <w:rsid w:val="00DE6633"/>
    <w:rsid w:val="00DF53E8"/>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3A99"/>
    <w:rsid w:val="00F5165C"/>
    <w:rsid w:val="00F5524B"/>
    <w:rsid w:val="00F60531"/>
    <w:rsid w:val="00F60538"/>
    <w:rsid w:val="00F61DD2"/>
    <w:rsid w:val="00F66AFF"/>
    <w:rsid w:val="00F71433"/>
    <w:rsid w:val="00F97C5B"/>
    <w:rsid w:val="00FA0CE9"/>
    <w:rsid w:val="00FA18CF"/>
    <w:rsid w:val="00FA3D50"/>
    <w:rsid w:val="00FB4C6B"/>
    <w:rsid w:val="00FB7FA2"/>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1">
    <w:name w:val="heading 1"/>
    <w:basedOn w:val="Normal"/>
    <w:next w:val="Normal"/>
    <w:link w:val="Heading1Char"/>
    <w:uiPriority w:val="9"/>
    <w:qFormat/>
    <w:rsid w:val="00B67320"/>
    <w:pPr>
      <w:keepNext/>
      <w:autoSpaceDE w:val="0"/>
      <w:autoSpaceDN w:val="0"/>
      <w:adjustRightInd w:val="0"/>
      <w:jc w:val="both"/>
      <w:outlineLvl w:val="0"/>
    </w:pPr>
    <w:rPr>
      <w:rFonts w:ascii="Arial" w:hAnsi="Arial" w:cs="Arial"/>
      <w:color w:val="7B7B7B" w:themeColor="accent3" w:themeShade="BF"/>
      <w:sz w:val="22"/>
      <w:szCs w:val="22"/>
      <w:u w:val="single"/>
      <w:lang w:val="en-GB"/>
    </w:rPr>
  </w:style>
  <w:style w:type="paragraph" w:styleId="Heading2">
    <w:name w:val="heading 2"/>
    <w:basedOn w:val="Normal"/>
    <w:next w:val="Normal"/>
    <w:link w:val="Heading2Char"/>
    <w:uiPriority w:val="9"/>
    <w:unhideWhenUsed/>
    <w:qFormat/>
    <w:rsid w:val="009E6DC9"/>
    <w:pPr>
      <w:keepNext/>
      <w:outlineLvl w:val="1"/>
    </w:pPr>
    <w:rPr>
      <w:rFonts w:ascii="Arial" w:hAnsi="Arial" w:cs="Arial"/>
      <w:color w:val="7B7B7B" w:themeColor="accent3" w:themeShade="BF"/>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99"/>
    <w:unhideWhenUsed/>
    <w:rsid w:val="00210D91"/>
    <w:pPr>
      <w:jc w:val="both"/>
    </w:pPr>
    <w:rPr>
      <w:rFonts w:ascii="Arial" w:hAnsi="Arial" w:cs="Arial"/>
      <w:color w:val="7B7B7B" w:themeColor="accent3" w:themeShade="BF"/>
      <w:sz w:val="22"/>
      <w:szCs w:val="22"/>
      <w:lang w:val="en-GB"/>
    </w:rPr>
  </w:style>
  <w:style w:type="character" w:customStyle="1" w:styleId="BodyTextChar">
    <w:name w:val="Body Text Char"/>
    <w:basedOn w:val="DefaultParagraphFont"/>
    <w:link w:val="BodyText"/>
    <w:uiPriority w:val="99"/>
    <w:rsid w:val="00210D91"/>
    <w:rPr>
      <w:rFonts w:ascii="Arial" w:eastAsia="Times New Roman" w:hAnsi="Arial" w:cs="Arial"/>
      <w:color w:val="7B7B7B" w:themeColor="accent3" w:themeShade="BF"/>
      <w:sz w:val="22"/>
      <w:szCs w:val="22"/>
      <w:lang w:val="en-GB"/>
    </w:rPr>
  </w:style>
  <w:style w:type="character" w:customStyle="1" w:styleId="Heading1Char">
    <w:name w:val="Heading 1 Char"/>
    <w:basedOn w:val="DefaultParagraphFont"/>
    <w:link w:val="Heading1"/>
    <w:uiPriority w:val="9"/>
    <w:rsid w:val="00B67320"/>
    <w:rPr>
      <w:rFonts w:ascii="Arial" w:eastAsia="Times New Roman" w:hAnsi="Arial" w:cs="Arial"/>
      <w:color w:val="7B7B7B" w:themeColor="accent3" w:themeShade="BF"/>
      <w:sz w:val="22"/>
      <w:szCs w:val="22"/>
      <w:u w:val="single"/>
      <w:lang w:val="en-GB"/>
    </w:rPr>
  </w:style>
  <w:style w:type="character" w:customStyle="1" w:styleId="Heading2Char">
    <w:name w:val="Heading 2 Char"/>
    <w:basedOn w:val="DefaultParagraphFont"/>
    <w:link w:val="Heading2"/>
    <w:uiPriority w:val="9"/>
    <w:rsid w:val="009E6DC9"/>
    <w:rPr>
      <w:rFonts w:ascii="Arial" w:eastAsia="Times New Roman" w:hAnsi="Arial" w:cs="Arial"/>
      <w:color w:val="7B7B7B" w:themeColor="accent3" w:themeShade="BF"/>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8466-7696-4512-81A3-610B9963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 Lay Kei Een</cp:lastModifiedBy>
  <cp:revision>19</cp:revision>
  <cp:lastPrinted>2019-08-27T05:42:00Z</cp:lastPrinted>
  <dcterms:created xsi:type="dcterms:W3CDTF">2021-09-15T13:49:00Z</dcterms:created>
  <dcterms:modified xsi:type="dcterms:W3CDTF">2022-07-30T18:09:00Z</dcterms:modified>
</cp:coreProperties>
</file>