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000000" w:rsidP="00592F82">
      <w:pPr>
        <w:jc w:val="center"/>
        <w:rPr>
          <w:rFonts w:ascii="Arial" w:hAnsi="Arial" w:cs="Arial"/>
          <w:b/>
          <w:sz w:val="22"/>
          <w:szCs w:val="22"/>
          <w:lang w:val="en-GB"/>
        </w:rPr>
      </w:pPr>
    </w:p>
    <w:p w14:paraId="7579FDD6" w14:textId="77777777" w:rsidR="00397D3A" w:rsidRDefault="00000000" w:rsidP="00592F82">
      <w:pPr>
        <w:jc w:val="center"/>
        <w:rPr>
          <w:rFonts w:ascii="Arial" w:hAnsi="Arial" w:cs="Arial"/>
          <w:b/>
          <w:sz w:val="22"/>
          <w:szCs w:val="22"/>
          <w:lang w:val="en-GB"/>
        </w:rPr>
      </w:pPr>
    </w:p>
    <w:p w14:paraId="640BE849" w14:textId="77777777" w:rsidR="00437297" w:rsidRDefault="00000000" w:rsidP="00592F82">
      <w:pPr>
        <w:jc w:val="center"/>
        <w:rPr>
          <w:rFonts w:ascii="Arial" w:hAnsi="Arial" w:cs="Arial"/>
          <w:b/>
          <w:sz w:val="22"/>
          <w:szCs w:val="22"/>
          <w:lang w:val="en-GB"/>
        </w:rPr>
      </w:pPr>
    </w:p>
    <w:p w14:paraId="37DB27F0" w14:textId="77777777" w:rsidR="00437297" w:rsidRDefault="00000000" w:rsidP="00592F82">
      <w:pPr>
        <w:jc w:val="center"/>
        <w:rPr>
          <w:rFonts w:ascii="Arial" w:hAnsi="Arial" w:cs="Arial"/>
          <w:b/>
          <w:sz w:val="22"/>
          <w:szCs w:val="22"/>
          <w:lang w:val="en-GB"/>
        </w:rPr>
      </w:pPr>
    </w:p>
    <w:p w14:paraId="6D97FFD8" w14:textId="77777777" w:rsidR="00397D3A" w:rsidRDefault="00000000" w:rsidP="00592F82">
      <w:pPr>
        <w:jc w:val="center"/>
        <w:rPr>
          <w:rFonts w:ascii="Arial" w:hAnsi="Arial" w:cs="Arial"/>
          <w:b/>
          <w:sz w:val="22"/>
          <w:szCs w:val="22"/>
          <w:lang w:val="en-GB"/>
        </w:rPr>
      </w:pPr>
    </w:p>
    <w:p w14:paraId="7B3F039E" w14:textId="77777777" w:rsidR="00397D3A" w:rsidRDefault="00000000" w:rsidP="00592F82">
      <w:pPr>
        <w:jc w:val="center"/>
        <w:rPr>
          <w:rFonts w:ascii="Arial" w:hAnsi="Arial" w:cs="Arial"/>
          <w:b/>
          <w:sz w:val="22"/>
          <w:szCs w:val="22"/>
          <w:lang w:val="en-GB"/>
        </w:rPr>
      </w:pPr>
    </w:p>
    <w:p w14:paraId="3B7AB1DF" w14:textId="77777777" w:rsidR="00E93993" w:rsidRDefault="00000000" w:rsidP="00592F82">
      <w:pPr>
        <w:jc w:val="center"/>
        <w:rPr>
          <w:rFonts w:ascii="Arial" w:hAnsi="Arial" w:cs="Arial"/>
          <w:b/>
          <w:sz w:val="22"/>
          <w:szCs w:val="22"/>
          <w:lang w:val="en-GB"/>
        </w:rPr>
      </w:pPr>
    </w:p>
    <w:p w14:paraId="6D067A05" w14:textId="77777777" w:rsidR="00434A8C"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000000" w:rsidP="00592F82">
      <w:pPr>
        <w:jc w:val="center"/>
        <w:rPr>
          <w:rFonts w:ascii="Arial" w:hAnsi="Arial" w:cs="Arial"/>
          <w:b/>
          <w:color w:val="000000"/>
          <w:sz w:val="22"/>
          <w:szCs w:val="22"/>
          <w:lang w:val="en-GB"/>
        </w:rPr>
      </w:pPr>
    </w:p>
    <w:p w14:paraId="4276954A" w14:textId="77777777" w:rsidR="00E93993" w:rsidRDefault="00000000" w:rsidP="00592F82">
      <w:pPr>
        <w:jc w:val="center"/>
        <w:rPr>
          <w:rFonts w:ascii="Arial" w:hAnsi="Arial" w:cs="Arial"/>
          <w:b/>
          <w:color w:val="000000"/>
          <w:sz w:val="22"/>
          <w:szCs w:val="22"/>
          <w:lang w:val="en-GB"/>
        </w:rPr>
      </w:pPr>
    </w:p>
    <w:p w14:paraId="5A4A06A2" w14:textId="77777777" w:rsidR="00397D3A" w:rsidRDefault="00000000" w:rsidP="00592F82">
      <w:pPr>
        <w:jc w:val="center"/>
        <w:rPr>
          <w:rFonts w:ascii="Arial" w:hAnsi="Arial" w:cs="Arial"/>
          <w:b/>
          <w:color w:val="000000"/>
          <w:sz w:val="22"/>
          <w:szCs w:val="22"/>
          <w:lang w:val="en-GB"/>
        </w:rPr>
      </w:pPr>
    </w:p>
    <w:p w14:paraId="64ED4B04" w14:textId="77777777" w:rsidR="00397D3A" w:rsidRDefault="00000000" w:rsidP="00592F82">
      <w:pPr>
        <w:jc w:val="center"/>
        <w:rPr>
          <w:rFonts w:ascii="Arial" w:hAnsi="Arial" w:cs="Arial"/>
          <w:b/>
          <w:color w:val="000000"/>
          <w:sz w:val="22"/>
          <w:szCs w:val="22"/>
          <w:lang w:val="en-GB"/>
        </w:rPr>
      </w:pPr>
    </w:p>
    <w:p w14:paraId="7E63D44E" w14:textId="77777777" w:rsidR="00437297" w:rsidRDefault="00000000" w:rsidP="00592F82">
      <w:pPr>
        <w:jc w:val="center"/>
        <w:rPr>
          <w:rFonts w:ascii="Arial" w:hAnsi="Arial" w:cs="Arial"/>
          <w:b/>
          <w:color w:val="000000"/>
          <w:sz w:val="22"/>
          <w:szCs w:val="22"/>
          <w:lang w:val="en-GB"/>
        </w:rPr>
      </w:pPr>
    </w:p>
    <w:p w14:paraId="56D4BE34" w14:textId="77777777" w:rsidR="00397D3A" w:rsidRDefault="00000000" w:rsidP="00592F82">
      <w:pPr>
        <w:jc w:val="center"/>
        <w:rPr>
          <w:rFonts w:ascii="Arial" w:hAnsi="Arial" w:cs="Arial"/>
          <w:b/>
          <w:color w:val="000000"/>
          <w:sz w:val="22"/>
          <w:szCs w:val="22"/>
          <w:lang w:val="en-GB"/>
        </w:rPr>
      </w:pPr>
    </w:p>
    <w:p w14:paraId="3A91B31F" w14:textId="77777777" w:rsidR="00397D3A" w:rsidRDefault="00000000" w:rsidP="00592F82">
      <w:pPr>
        <w:jc w:val="center"/>
        <w:rPr>
          <w:rFonts w:ascii="Arial" w:hAnsi="Arial" w:cs="Arial"/>
          <w:b/>
          <w:color w:val="000000"/>
          <w:sz w:val="22"/>
          <w:szCs w:val="22"/>
          <w:lang w:val="en-GB"/>
        </w:rPr>
      </w:pPr>
    </w:p>
    <w:p w14:paraId="02918B20" w14:textId="77777777" w:rsid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000000" w:rsidP="007C6201">
      <w:pPr>
        <w:jc w:val="both"/>
        <w:rPr>
          <w:rFonts w:ascii="Arial" w:hAnsi="Arial" w:cs="Arial"/>
          <w:b/>
          <w:color w:val="767171"/>
          <w:sz w:val="22"/>
          <w:szCs w:val="22"/>
          <w:lang w:val="en-GB"/>
        </w:rPr>
      </w:pPr>
    </w:p>
    <w:p w14:paraId="473EBBAB" w14:textId="77777777" w:rsidR="00DB56F2" w:rsidRDefault="00000000" w:rsidP="007C6201">
      <w:pPr>
        <w:jc w:val="both"/>
        <w:rPr>
          <w:rFonts w:ascii="Arial" w:hAnsi="Arial" w:cs="Arial"/>
          <w:b/>
          <w:color w:val="767171"/>
          <w:sz w:val="22"/>
          <w:szCs w:val="22"/>
          <w:lang w:val="en-GB"/>
        </w:rPr>
      </w:pPr>
    </w:p>
    <w:p w14:paraId="4CB26B82" w14:textId="77777777" w:rsidR="00397D3A" w:rsidRDefault="00000000" w:rsidP="007C6201">
      <w:pPr>
        <w:jc w:val="both"/>
        <w:rPr>
          <w:rFonts w:ascii="Arial" w:hAnsi="Arial" w:cs="Arial"/>
          <w:b/>
          <w:color w:val="767171"/>
          <w:sz w:val="22"/>
          <w:szCs w:val="22"/>
          <w:lang w:val="en-GB"/>
        </w:rPr>
      </w:pPr>
    </w:p>
    <w:p w14:paraId="73D332A4" w14:textId="77777777" w:rsidR="00397D3A" w:rsidRDefault="00000000" w:rsidP="007C6201">
      <w:pPr>
        <w:jc w:val="both"/>
        <w:rPr>
          <w:rFonts w:ascii="Arial" w:hAnsi="Arial" w:cs="Arial"/>
          <w:b/>
          <w:color w:val="767171"/>
          <w:sz w:val="22"/>
          <w:szCs w:val="22"/>
          <w:lang w:val="en-GB"/>
        </w:rPr>
      </w:pPr>
    </w:p>
    <w:p w14:paraId="084AA44F" w14:textId="77777777" w:rsidR="00397D3A" w:rsidRDefault="00000000" w:rsidP="007C6201">
      <w:pPr>
        <w:jc w:val="both"/>
        <w:rPr>
          <w:rFonts w:ascii="Arial" w:hAnsi="Arial" w:cs="Arial"/>
          <w:b/>
          <w:color w:val="767171"/>
          <w:sz w:val="22"/>
          <w:szCs w:val="22"/>
          <w:lang w:val="en-GB"/>
        </w:rPr>
      </w:pPr>
    </w:p>
    <w:p w14:paraId="328E1F60" w14:textId="77777777" w:rsidR="00397D3A" w:rsidRDefault="00000000" w:rsidP="007C6201">
      <w:pPr>
        <w:jc w:val="both"/>
        <w:rPr>
          <w:rFonts w:ascii="Arial" w:hAnsi="Arial" w:cs="Arial"/>
          <w:b/>
          <w:color w:val="767171"/>
          <w:sz w:val="22"/>
          <w:szCs w:val="22"/>
          <w:lang w:val="en-GB"/>
        </w:rPr>
      </w:pPr>
    </w:p>
    <w:p w14:paraId="115673F4" w14:textId="77777777" w:rsidR="00397D3A" w:rsidRDefault="00000000" w:rsidP="007C6201">
      <w:pPr>
        <w:jc w:val="both"/>
        <w:rPr>
          <w:rFonts w:ascii="Arial" w:hAnsi="Arial" w:cs="Arial"/>
          <w:b/>
          <w:color w:val="767171"/>
          <w:sz w:val="22"/>
          <w:szCs w:val="22"/>
          <w:lang w:val="en-GB"/>
        </w:rPr>
      </w:pPr>
    </w:p>
    <w:p w14:paraId="3CAB1575" w14:textId="77777777" w:rsidR="00397D3A" w:rsidRDefault="00000000" w:rsidP="007C6201">
      <w:pPr>
        <w:jc w:val="both"/>
        <w:rPr>
          <w:rFonts w:ascii="Arial" w:hAnsi="Arial" w:cs="Arial"/>
          <w:b/>
          <w:color w:val="767171"/>
          <w:sz w:val="22"/>
          <w:szCs w:val="22"/>
          <w:lang w:val="en-GB"/>
        </w:rPr>
      </w:pPr>
    </w:p>
    <w:p w14:paraId="0A62FDBA" w14:textId="77777777" w:rsidR="00397D3A" w:rsidRDefault="00000000" w:rsidP="007C6201">
      <w:pPr>
        <w:jc w:val="both"/>
        <w:rPr>
          <w:rFonts w:ascii="Arial" w:hAnsi="Arial" w:cs="Arial"/>
          <w:b/>
          <w:color w:val="767171"/>
          <w:sz w:val="22"/>
          <w:szCs w:val="22"/>
          <w:lang w:val="en-GB"/>
        </w:rPr>
      </w:pPr>
    </w:p>
    <w:p w14:paraId="12AC8258" w14:textId="41302FC1" w:rsidR="00AA5E84" w:rsidRDefault="00000000">
      <w:pPr>
        <w:rPr>
          <w:rFonts w:ascii="Arial" w:hAnsi="Arial" w:cs="Arial"/>
          <w:b/>
          <w:sz w:val="22"/>
          <w:szCs w:val="22"/>
          <w:u w:val="single"/>
          <w:lang w:val="en-GB"/>
        </w:rPr>
      </w:pPr>
    </w:p>
    <w:p w14:paraId="7F111F2A" w14:textId="77777777" w:rsidR="00AA5E84" w:rsidRPr="00D80DC2" w:rsidRDefault="00000000" w:rsidP="009D0811">
      <w:pPr>
        <w:jc w:val="center"/>
        <w:rPr>
          <w:rFonts w:ascii="Arial" w:hAnsi="Arial" w:cs="Arial"/>
          <w:b/>
          <w:sz w:val="22"/>
          <w:szCs w:val="22"/>
          <w:u w:val="single"/>
          <w:lang w:val="en-GB"/>
        </w:rPr>
      </w:pPr>
    </w:p>
    <w:p w14:paraId="4EE58D1C" w14:textId="77777777" w:rsidR="00AA5E84" w:rsidRPr="00D80DC2" w:rsidRDefault="00000000"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000000"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000000"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000000"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000000"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000000" w:rsidP="00E951B2">
      <w:pPr>
        <w:ind w:left="720" w:hanging="720"/>
        <w:rPr>
          <w:rFonts w:ascii="Arial" w:hAnsi="Arial" w:cs="Arial"/>
          <w:sz w:val="22"/>
          <w:szCs w:val="22"/>
          <w:lang w:val="en-GB"/>
        </w:rPr>
      </w:pPr>
    </w:p>
    <w:p w14:paraId="124B7E72" w14:textId="503EF5A8" w:rsidR="00E951B2" w:rsidRPr="003C0C12" w:rsidRDefault="008C6FAA" w:rsidP="00107795">
      <w:pPr>
        <w:pStyle w:val="ListParagraph"/>
        <w:numPr>
          <w:ilvl w:val="0"/>
          <w:numId w:val="13"/>
        </w:numPr>
        <w:ind w:left="426"/>
        <w:rPr>
          <w:rFonts w:ascii="Arial" w:hAnsi="Arial" w:cs="Arial"/>
          <w:sz w:val="22"/>
          <w:szCs w:val="22"/>
          <w:highlight w:val="yellow"/>
          <w:lang w:val="en-GB"/>
        </w:rPr>
      </w:pPr>
      <w:r w:rsidRPr="003C0C12">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000000"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000000"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000000" w:rsidP="00E951B2">
      <w:pPr>
        <w:ind w:left="720" w:hanging="720"/>
        <w:rPr>
          <w:rFonts w:ascii="Arial" w:hAnsi="Arial" w:cs="Arial"/>
          <w:sz w:val="22"/>
          <w:szCs w:val="22"/>
          <w:lang w:val="en-GB"/>
        </w:rPr>
      </w:pPr>
    </w:p>
    <w:p w14:paraId="08AC7282" w14:textId="4EBFF266" w:rsidR="00E951B2" w:rsidRPr="003B2F4E" w:rsidRDefault="003B2F4E" w:rsidP="00107795">
      <w:pPr>
        <w:pStyle w:val="ListParagraph"/>
        <w:numPr>
          <w:ilvl w:val="0"/>
          <w:numId w:val="14"/>
        </w:numPr>
        <w:ind w:left="426"/>
        <w:rPr>
          <w:rFonts w:ascii="Arial" w:hAnsi="Arial" w:cs="Arial"/>
          <w:sz w:val="22"/>
          <w:szCs w:val="22"/>
          <w:lang w:val="en-GB"/>
        </w:rPr>
      </w:pPr>
      <w:r w:rsidRPr="003C0C12">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000000"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000000"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000000"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 xml:space="preserve">The CCAA </w:t>
      </w:r>
      <w:r w:rsidR="00135B78">
        <w:rPr>
          <w:rFonts w:ascii="Arial" w:hAnsi="Arial" w:cs="Arial"/>
          <w:sz w:val="22"/>
          <w:szCs w:val="22"/>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Pr="00ED325E" w:rsidRDefault="008C6FAA" w:rsidP="009569A2">
      <w:pPr>
        <w:pStyle w:val="ListParagraph"/>
        <w:numPr>
          <w:ilvl w:val="0"/>
          <w:numId w:val="15"/>
        </w:numPr>
        <w:ind w:left="426"/>
        <w:rPr>
          <w:rFonts w:ascii="Arial" w:hAnsi="Arial" w:cs="Arial"/>
          <w:sz w:val="22"/>
          <w:szCs w:val="22"/>
          <w:highlight w:val="yellow"/>
          <w:lang w:val="en-GB"/>
        </w:rPr>
      </w:pPr>
      <w:r w:rsidRPr="00ED325E">
        <w:rPr>
          <w:rFonts w:ascii="Arial" w:hAnsi="Arial" w:cs="Arial"/>
          <w:sz w:val="22"/>
          <w:szCs w:val="22"/>
          <w:highlight w:val="yellow"/>
          <w:lang w:val="en-GB"/>
        </w:rPr>
        <w:t xml:space="preserve">The </w:t>
      </w:r>
      <w:r w:rsidR="00135B78" w:rsidRPr="00ED325E">
        <w:rPr>
          <w:rFonts w:ascii="Arial" w:hAnsi="Arial" w:cs="Arial"/>
          <w:sz w:val="22"/>
          <w:szCs w:val="22"/>
          <w:highlight w:val="yellow"/>
          <w:lang w:val="en-GB"/>
        </w:rPr>
        <w:t xml:space="preserve">CCAA sets out a relatively skeletal framework, and affords broad discretion to a judge as compared to a restructuring under the BIA. </w:t>
      </w:r>
    </w:p>
    <w:p w14:paraId="7CDC70A2" w14:textId="6E8D4965" w:rsidR="00EE28C9" w:rsidRPr="00D80DC2" w:rsidRDefault="00000000">
      <w:pPr>
        <w:jc w:val="both"/>
        <w:rPr>
          <w:rFonts w:ascii="Arial" w:hAnsi="Arial" w:cs="Arial"/>
          <w:b/>
          <w:bCs/>
          <w:sz w:val="22"/>
          <w:szCs w:val="22"/>
          <w:lang w:val="en-GB"/>
        </w:rPr>
      </w:pPr>
    </w:p>
    <w:p w14:paraId="2FD9EDF4" w14:textId="77777777" w:rsidR="00EE28C9" w:rsidRPr="00D80DC2" w:rsidRDefault="00000000">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000000"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000000"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2A49B4" w:rsidRDefault="003044AE" w:rsidP="002A49B4">
      <w:pPr>
        <w:pStyle w:val="ListParagraph"/>
        <w:numPr>
          <w:ilvl w:val="0"/>
          <w:numId w:val="16"/>
        </w:numPr>
        <w:ind w:left="426"/>
        <w:rPr>
          <w:rFonts w:ascii="Arial" w:hAnsi="Arial" w:cs="Arial"/>
          <w:sz w:val="22"/>
          <w:szCs w:val="22"/>
          <w:lang w:val="en-GB"/>
        </w:rPr>
      </w:pPr>
      <w:r w:rsidRPr="00ED325E">
        <w:rPr>
          <w:rFonts w:ascii="Arial" w:hAnsi="Arial" w:cs="Arial"/>
          <w:sz w:val="22"/>
          <w:szCs w:val="22"/>
          <w:highlight w:val="yellow"/>
          <w:lang w:val="en-GB"/>
        </w:rPr>
        <w:t>All of the above.</w:t>
      </w:r>
      <w:r>
        <w:rPr>
          <w:rFonts w:ascii="Arial" w:hAnsi="Arial" w:cs="Arial"/>
          <w:sz w:val="22"/>
          <w:szCs w:val="22"/>
          <w:lang w:val="en-GB"/>
        </w:rPr>
        <w:t xml:space="preserve"> </w:t>
      </w:r>
    </w:p>
    <w:p w14:paraId="59E1BA41" w14:textId="77777777" w:rsidR="00EE28C9" w:rsidRPr="00D80DC2" w:rsidRDefault="00000000">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000000"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000000"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E672A6" w:rsidRDefault="00E91C87" w:rsidP="001B0BDE">
      <w:pPr>
        <w:pStyle w:val="ListParagraph"/>
        <w:numPr>
          <w:ilvl w:val="0"/>
          <w:numId w:val="17"/>
        </w:numPr>
        <w:ind w:left="426"/>
        <w:rPr>
          <w:rFonts w:ascii="Arial" w:hAnsi="Arial" w:cs="Arial"/>
          <w:sz w:val="22"/>
          <w:szCs w:val="22"/>
          <w:highlight w:val="yellow"/>
          <w:lang w:val="en-GB"/>
        </w:rPr>
      </w:pPr>
      <w:r w:rsidRPr="00E672A6">
        <w:rPr>
          <w:rFonts w:ascii="Arial" w:hAnsi="Arial" w:cs="Arial"/>
          <w:sz w:val="22"/>
          <w:szCs w:val="22"/>
          <w:highlight w:val="yellow"/>
          <w:lang w:val="en-GB"/>
        </w:rPr>
        <w:t xml:space="preserve">the debtor </w:t>
      </w:r>
      <w:r w:rsidR="006C686A" w:rsidRPr="00E672A6">
        <w:rPr>
          <w:rFonts w:ascii="Arial" w:hAnsi="Arial" w:cs="Arial"/>
          <w:sz w:val="22"/>
          <w:szCs w:val="22"/>
          <w:highlight w:val="yellow"/>
          <w:lang w:val="en-GB"/>
        </w:rPr>
        <w:t xml:space="preserve">misses a mortgage payment. </w:t>
      </w:r>
    </w:p>
    <w:p w14:paraId="381396E9" w14:textId="77777777" w:rsidR="00EE28C9" w:rsidRPr="00D80DC2" w:rsidRDefault="00000000">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000000"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000000" w:rsidP="00EE28C9">
      <w:pPr>
        <w:ind w:left="426" w:hanging="284"/>
        <w:jc w:val="both"/>
        <w:rPr>
          <w:rFonts w:ascii="Arial" w:hAnsi="Arial" w:cs="Arial"/>
          <w:sz w:val="22"/>
          <w:szCs w:val="22"/>
          <w:lang w:val="en-GB"/>
        </w:rPr>
      </w:pPr>
    </w:p>
    <w:p w14:paraId="1C89F69D" w14:textId="2E30383B" w:rsidR="00EE28C9" w:rsidRPr="00A44888" w:rsidRDefault="00F73328" w:rsidP="00513258">
      <w:pPr>
        <w:pStyle w:val="ListParagraph"/>
        <w:numPr>
          <w:ilvl w:val="0"/>
          <w:numId w:val="18"/>
        </w:numPr>
        <w:ind w:left="426"/>
        <w:jc w:val="both"/>
        <w:rPr>
          <w:rFonts w:ascii="Arial" w:hAnsi="Arial" w:cs="Arial"/>
          <w:sz w:val="22"/>
          <w:szCs w:val="22"/>
          <w:highlight w:val="yellow"/>
          <w:lang w:val="en-GB"/>
        </w:rPr>
      </w:pPr>
      <w:r w:rsidRPr="00A44888">
        <w:rPr>
          <w:rFonts w:ascii="Arial" w:hAnsi="Arial" w:cs="Arial"/>
          <w:sz w:val="22"/>
          <w:szCs w:val="22"/>
          <w:highlight w:val="yellow"/>
          <w:lang w:val="en-GB"/>
        </w:rPr>
        <w:t xml:space="preserve">continue to </w:t>
      </w:r>
      <w:r w:rsidR="00791452" w:rsidRPr="00A44888">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000000">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000000"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000000" w:rsidP="00EE28C9">
      <w:pPr>
        <w:jc w:val="both"/>
        <w:rPr>
          <w:rFonts w:ascii="Arial" w:hAnsi="Arial" w:cs="Arial"/>
          <w:sz w:val="22"/>
          <w:szCs w:val="22"/>
          <w:lang w:val="en-GB"/>
        </w:rPr>
      </w:pPr>
    </w:p>
    <w:p w14:paraId="75BAC333" w14:textId="5E15857F" w:rsidR="00EE28C9" w:rsidRPr="00A44888" w:rsidRDefault="008C6FAA" w:rsidP="005625A0">
      <w:pPr>
        <w:pStyle w:val="ListParagraph"/>
        <w:numPr>
          <w:ilvl w:val="0"/>
          <w:numId w:val="19"/>
        </w:numPr>
        <w:ind w:left="426"/>
        <w:jc w:val="both"/>
        <w:rPr>
          <w:rFonts w:ascii="Arial" w:hAnsi="Arial" w:cs="Arial"/>
          <w:sz w:val="22"/>
          <w:szCs w:val="22"/>
          <w:highlight w:val="yellow"/>
          <w:lang w:val="en-GB"/>
        </w:rPr>
      </w:pPr>
      <w:r w:rsidRPr="00A44888">
        <w:rPr>
          <w:rFonts w:ascii="Arial" w:hAnsi="Arial" w:cs="Arial"/>
          <w:sz w:val="22"/>
          <w:szCs w:val="22"/>
          <w:highlight w:val="yellow"/>
          <w:lang w:val="en-GB"/>
        </w:rPr>
        <w:t>True</w:t>
      </w:r>
      <w:r w:rsidR="00E0683B" w:rsidRPr="00A44888">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000000"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000000" w:rsidP="00C91D6F">
      <w:pPr>
        <w:jc w:val="both"/>
        <w:rPr>
          <w:rFonts w:ascii="Arial" w:hAnsi="Arial" w:cs="Arial"/>
          <w:sz w:val="22"/>
          <w:szCs w:val="22"/>
          <w:lang w:val="en-GB"/>
        </w:rPr>
      </w:pPr>
    </w:p>
    <w:p w14:paraId="7EDA2BD3" w14:textId="1C6DC874" w:rsidR="00C91D6F" w:rsidRPr="00A44888" w:rsidRDefault="008C6FAA" w:rsidP="00E0683B">
      <w:pPr>
        <w:pStyle w:val="ListParagraph"/>
        <w:numPr>
          <w:ilvl w:val="0"/>
          <w:numId w:val="20"/>
        </w:numPr>
        <w:ind w:left="426"/>
        <w:jc w:val="both"/>
        <w:rPr>
          <w:rFonts w:ascii="Arial" w:hAnsi="Arial" w:cs="Arial"/>
          <w:sz w:val="22"/>
          <w:szCs w:val="22"/>
          <w:highlight w:val="yellow"/>
          <w:lang w:val="en-GB"/>
        </w:rPr>
      </w:pPr>
      <w:r w:rsidRPr="00A44888">
        <w:rPr>
          <w:rFonts w:ascii="Arial" w:hAnsi="Arial" w:cs="Arial"/>
          <w:sz w:val="22"/>
          <w:szCs w:val="22"/>
          <w:highlight w:val="yellow"/>
          <w:lang w:val="en-GB"/>
        </w:rPr>
        <w:t>True</w:t>
      </w:r>
      <w:r w:rsidR="00E0683B" w:rsidRPr="00A44888">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000000"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000000"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000000"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A44888" w:rsidRDefault="008C6FAA" w:rsidP="00E0683B">
      <w:pPr>
        <w:pStyle w:val="ListParagraph"/>
        <w:numPr>
          <w:ilvl w:val="0"/>
          <w:numId w:val="21"/>
        </w:numPr>
        <w:ind w:left="426"/>
        <w:jc w:val="both"/>
        <w:rPr>
          <w:rFonts w:ascii="Arial" w:hAnsi="Arial" w:cs="Arial"/>
          <w:sz w:val="22"/>
          <w:szCs w:val="22"/>
          <w:highlight w:val="yellow"/>
          <w:lang w:val="en-GB"/>
        </w:rPr>
      </w:pPr>
      <w:r w:rsidRPr="00A44888">
        <w:rPr>
          <w:rFonts w:ascii="Arial" w:hAnsi="Arial" w:cs="Arial"/>
          <w:sz w:val="22"/>
          <w:szCs w:val="22"/>
          <w:highlight w:val="yellow"/>
          <w:lang w:val="en-GB"/>
        </w:rPr>
        <w:t>False</w:t>
      </w:r>
      <w:r w:rsidR="00E0683B" w:rsidRPr="00A44888">
        <w:rPr>
          <w:rFonts w:ascii="Arial" w:hAnsi="Arial" w:cs="Arial"/>
          <w:sz w:val="22"/>
          <w:szCs w:val="22"/>
          <w:highlight w:val="yellow"/>
          <w:lang w:val="en-GB"/>
        </w:rPr>
        <w:t>.</w:t>
      </w:r>
    </w:p>
    <w:p w14:paraId="5A1C34C3" w14:textId="77777777" w:rsidR="00EE28C9" w:rsidRPr="00D80DC2" w:rsidRDefault="00000000">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000000"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000000" w:rsidP="00EE28C9">
      <w:pPr>
        <w:rPr>
          <w:rFonts w:ascii="Arial" w:hAnsi="Arial" w:cs="Arial"/>
          <w:sz w:val="22"/>
          <w:szCs w:val="22"/>
          <w:lang w:val="en-GB"/>
        </w:rPr>
      </w:pPr>
    </w:p>
    <w:p w14:paraId="0047F34A" w14:textId="75B35152" w:rsidR="00EE28C9" w:rsidRPr="00A44888" w:rsidRDefault="008C6FAA" w:rsidP="00A254C1">
      <w:pPr>
        <w:pStyle w:val="ListParagraph"/>
        <w:numPr>
          <w:ilvl w:val="0"/>
          <w:numId w:val="22"/>
        </w:numPr>
        <w:ind w:left="426"/>
        <w:jc w:val="both"/>
        <w:rPr>
          <w:rFonts w:ascii="Arial" w:hAnsi="Arial" w:cs="Arial"/>
          <w:sz w:val="22"/>
          <w:szCs w:val="22"/>
          <w:highlight w:val="yellow"/>
          <w:lang w:val="en-GB"/>
        </w:rPr>
      </w:pPr>
      <w:r w:rsidRPr="00A44888">
        <w:rPr>
          <w:rFonts w:ascii="Arial" w:hAnsi="Arial" w:cs="Arial"/>
          <w:sz w:val="22"/>
          <w:szCs w:val="22"/>
          <w:highlight w:val="yellow"/>
          <w:lang w:val="en-GB"/>
        </w:rPr>
        <w:t>True</w:t>
      </w:r>
      <w:r w:rsidR="00A254C1" w:rsidRPr="00A44888">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000000" w:rsidP="00EE28C9">
      <w:pPr>
        <w:rPr>
          <w:rFonts w:ascii="Arial" w:hAnsi="Arial" w:cs="Arial"/>
          <w:b/>
          <w:sz w:val="22"/>
          <w:szCs w:val="22"/>
          <w:lang w:val="en-GB"/>
        </w:rPr>
      </w:pPr>
    </w:p>
    <w:p w14:paraId="6949B42C" w14:textId="77777777" w:rsidR="00CA6FCA" w:rsidRDefault="00000000"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000000"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000000"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000000" w:rsidP="002A37BB">
      <w:pPr>
        <w:ind w:left="720" w:hanging="720"/>
        <w:jc w:val="both"/>
        <w:rPr>
          <w:rFonts w:ascii="Arial" w:hAnsi="Arial" w:cs="Arial"/>
          <w:sz w:val="22"/>
          <w:szCs w:val="22"/>
          <w:lang w:val="en-GB"/>
        </w:rPr>
      </w:pPr>
    </w:p>
    <w:p w14:paraId="13D997D2" w14:textId="77777777" w:rsidR="00DE03AF" w:rsidRPr="00D80DC2" w:rsidRDefault="008C6FAA" w:rsidP="00D32862">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1DA216F4" w14:textId="128834EA" w:rsidR="00020557" w:rsidRDefault="00000000" w:rsidP="002A37BB">
      <w:pPr>
        <w:jc w:val="both"/>
        <w:rPr>
          <w:rFonts w:ascii="Arial" w:hAnsi="Arial" w:cs="Arial"/>
          <w:color w:val="7B7B7B"/>
          <w:sz w:val="22"/>
          <w:szCs w:val="22"/>
          <w:lang w:val="en-GB"/>
        </w:rPr>
      </w:pPr>
    </w:p>
    <w:p w14:paraId="0E62BE97" w14:textId="78FA1BE5" w:rsidR="00A15772" w:rsidRDefault="00B27DB1" w:rsidP="002A37BB">
      <w:pPr>
        <w:jc w:val="both"/>
        <w:rPr>
          <w:rFonts w:ascii="Arial" w:hAnsi="Arial" w:cs="Arial"/>
          <w:sz w:val="22"/>
          <w:szCs w:val="22"/>
          <w:lang w:val="en-GB"/>
        </w:rPr>
      </w:pPr>
      <w:r>
        <w:rPr>
          <w:rFonts w:ascii="Arial" w:hAnsi="Arial" w:cs="Arial"/>
          <w:sz w:val="22"/>
          <w:szCs w:val="22"/>
          <w:lang w:val="en-GB"/>
        </w:rPr>
        <w:t xml:space="preserve">In </w:t>
      </w:r>
      <w:r>
        <w:rPr>
          <w:rFonts w:ascii="Arial" w:hAnsi="Arial" w:cs="Arial"/>
          <w:i/>
          <w:iCs/>
          <w:sz w:val="22"/>
          <w:szCs w:val="22"/>
          <w:lang w:val="en-GB"/>
        </w:rPr>
        <w:t xml:space="preserve">Newfoundland and Labrador v AbitibiBowater Inc [2012], </w:t>
      </w:r>
      <w:r>
        <w:rPr>
          <w:rFonts w:ascii="Arial" w:hAnsi="Arial" w:cs="Arial"/>
          <w:sz w:val="22"/>
          <w:szCs w:val="22"/>
          <w:lang w:val="en-GB"/>
        </w:rPr>
        <w:t>the Supreme court of Canada set out the following conditions for a claim to be provable in bankruptcy:</w:t>
      </w:r>
    </w:p>
    <w:p w14:paraId="5B3FE99A" w14:textId="3DF18DFD" w:rsidR="00B27DB1" w:rsidRDefault="00B27DB1" w:rsidP="002A37BB">
      <w:pPr>
        <w:jc w:val="both"/>
        <w:rPr>
          <w:rFonts w:ascii="Arial" w:hAnsi="Arial" w:cs="Arial"/>
          <w:sz w:val="22"/>
          <w:szCs w:val="22"/>
          <w:lang w:val="en-GB"/>
        </w:rPr>
      </w:pPr>
    </w:p>
    <w:p w14:paraId="76E102F7" w14:textId="69189059" w:rsidR="00B27DB1" w:rsidRDefault="00B27DB1" w:rsidP="00B27DB1">
      <w:pPr>
        <w:pStyle w:val="ListParagraph"/>
        <w:numPr>
          <w:ilvl w:val="0"/>
          <w:numId w:val="23"/>
        </w:numPr>
        <w:jc w:val="both"/>
        <w:rPr>
          <w:rFonts w:ascii="Arial" w:hAnsi="Arial" w:cs="Arial"/>
          <w:sz w:val="22"/>
          <w:szCs w:val="22"/>
          <w:lang w:val="en-GB"/>
        </w:rPr>
      </w:pPr>
      <w:r>
        <w:rPr>
          <w:rFonts w:ascii="Arial" w:hAnsi="Arial" w:cs="Arial"/>
          <w:sz w:val="22"/>
          <w:szCs w:val="22"/>
          <w:lang w:val="en-GB"/>
        </w:rPr>
        <w:t>the debt, liability or obligation must be owned by the creditor;</w:t>
      </w:r>
    </w:p>
    <w:p w14:paraId="789DCED9" w14:textId="7182F949" w:rsidR="00B27DB1" w:rsidRDefault="00B27DB1" w:rsidP="00B27DB1">
      <w:pPr>
        <w:pStyle w:val="ListParagraph"/>
        <w:numPr>
          <w:ilvl w:val="0"/>
          <w:numId w:val="23"/>
        </w:numPr>
        <w:jc w:val="both"/>
        <w:rPr>
          <w:rFonts w:ascii="Arial" w:hAnsi="Arial" w:cs="Arial"/>
          <w:sz w:val="22"/>
          <w:szCs w:val="22"/>
          <w:lang w:val="en-GB"/>
        </w:rPr>
      </w:pPr>
      <w:r>
        <w:rPr>
          <w:rFonts w:ascii="Arial" w:hAnsi="Arial" w:cs="Arial"/>
          <w:sz w:val="22"/>
          <w:szCs w:val="22"/>
          <w:lang w:val="en-GB"/>
        </w:rPr>
        <w:t>a debt, liability, or obligation must be incurred before the debtor becomes bankrupt; and</w:t>
      </w:r>
    </w:p>
    <w:p w14:paraId="75A116DA" w14:textId="1811485F" w:rsidR="00B27DB1" w:rsidRPr="00B27DB1" w:rsidRDefault="00B27DB1" w:rsidP="00B27DB1">
      <w:pPr>
        <w:pStyle w:val="ListParagraph"/>
        <w:numPr>
          <w:ilvl w:val="0"/>
          <w:numId w:val="23"/>
        </w:numPr>
        <w:jc w:val="both"/>
        <w:rPr>
          <w:rFonts w:ascii="Arial" w:hAnsi="Arial" w:cs="Arial"/>
          <w:sz w:val="22"/>
          <w:szCs w:val="22"/>
          <w:lang w:val="en-GB"/>
        </w:rPr>
      </w:pPr>
      <w:r>
        <w:rPr>
          <w:rFonts w:ascii="Arial" w:hAnsi="Arial" w:cs="Arial"/>
          <w:sz w:val="22"/>
          <w:szCs w:val="22"/>
          <w:lang w:val="en-GB"/>
        </w:rPr>
        <w:t>it must be possible to attach a monetary value to the debt, lability or obligation.</w:t>
      </w:r>
    </w:p>
    <w:p w14:paraId="6E5742F0" w14:textId="77777777" w:rsidR="000434FB" w:rsidRPr="00D80DC2" w:rsidRDefault="00000000"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000000"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000000" w:rsidP="002A37BB">
      <w:pPr>
        <w:ind w:left="720" w:hanging="720"/>
        <w:jc w:val="both"/>
        <w:rPr>
          <w:rFonts w:ascii="Arial" w:hAnsi="Arial" w:cs="Arial"/>
          <w:sz w:val="22"/>
          <w:szCs w:val="22"/>
          <w:lang w:val="en-GB"/>
        </w:rPr>
      </w:pPr>
    </w:p>
    <w:p w14:paraId="46C762F4" w14:textId="77777777" w:rsidR="009B07AD" w:rsidRPr="00D80DC2" w:rsidRDefault="008C6FAA" w:rsidP="002A37BB">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A2BF63E" w14:textId="6A122A7E" w:rsidR="00FE2DE2" w:rsidRDefault="00000000" w:rsidP="002A37BB">
      <w:pPr>
        <w:ind w:left="720" w:hanging="720"/>
        <w:jc w:val="both"/>
        <w:rPr>
          <w:rFonts w:ascii="Arial" w:hAnsi="Arial" w:cs="Arial"/>
          <w:color w:val="7B7B7B"/>
          <w:sz w:val="22"/>
          <w:szCs w:val="22"/>
          <w:lang w:val="en-GB"/>
        </w:rPr>
      </w:pPr>
    </w:p>
    <w:p w14:paraId="55F516A3" w14:textId="3C5A899A" w:rsidR="00B27DB1" w:rsidRDefault="00FB5D9B" w:rsidP="002A23E8">
      <w:pPr>
        <w:jc w:val="both"/>
        <w:rPr>
          <w:rFonts w:ascii="Arial" w:hAnsi="Arial" w:cs="Arial"/>
          <w:sz w:val="22"/>
          <w:szCs w:val="22"/>
          <w:lang w:val="en-GB"/>
        </w:rPr>
      </w:pPr>
      <w:r>
        <w:rPr>
          <w:rFonts w:ascii="Arial" w:hAnsi="Arial" w:cs="Arial"/>
          <w:sz w:val="22"/>
          <w:szCs w:val="22"/>
          <w:lang w:val="en-GB"/>
        </w:rPr>
        <w:t>Bankruptcy exemptions in Canada are set by provincial legislation.  How much of each exempt asset class a debtor can retain depends on the province or territory in which they live.  Generally, the types of assets that a debtor can keep in a bankruptcy include:</w:t>
      </w:r>
    </w:p>
    <w:p w14:paraId="785DADFC" w14:textId="3CE8A2F8" w:rsidR="00FB5D9B" w:rsidRDefault="00FB5D9B" w:rsidP="002A37BB">
      <w:pPr>
        <w:ind w:left="720" w:hanging="720"/>
        <w:jc w:val="both"/>
        <w:rPr>
          <w:rFonts w:ascii="Arial" w:hAnsi="Arial" w:cs="Arial"/>
          <w:sz w:val="22"/>
          <w:szCs w:val="22"/>
          <w:lang w:val="en-GB"/>
        </w:rPr>
      </w:pPr>
    </w:p>
    <w:p w14:paraId="43C0D8D6" w14:textId="632B352A" w:rsidR="00FB5D9B" w:rsidRDefault="00FB5D9B" w:rsidP="00FB5D9B">
      <w:pPr>
        <w:pStyle w:val="ListParagraph"/>
        <w:numPr>
          <w:ilvl w:val="0"/>
          <w:numId w:val="24"/>
        </w:numPr>
        <w:jc w:val="both"/>
        <w:rPr>
          <w:rFonts w:ascii="Arial" w:hAnsi="Arial" w:cs="Arial"/>
          <w:sz w:val="22"/>
          <w:szCs w:val="22"/>
          <w:lang w:val="en-GB"/>
        </w:rPr>
      </w:pPr>
      <w:r>
        <w:rPr>
          <w:rFonts w:ascii="Arial" w:hAnsi="Arial" w:cs="Arial"/>
          <w:sz w:val="22"/>
          <w:szCs w:val="22"/>
          <w:lang w:val="en-GB"/>
        </w:rPr>
        <w:t>personal items and clothing;</w:t>
      </w:r>
    </w:p>
    <w:p w14:paraId="0BA37EAD" w14:textId="293A8378" w:rsidR="00FB5D9B" w:rsidRDefault="00FB5D9B" w:rsidP="00FB5D9B">
      <w:pPr>
        <w:pStyle w:val="ListParagraph"/>
        <w:numPr>
          <w:ilvl w:val="0"/>
          <w:numId w:val="24"/>
        </w:numPr>
        <w:jc w:val="both"/>
        <w:rPr>
          <w:rFonts w:ascii="Arial" w:hAnsi="Arial" w:cs="Arial"/>
          <w:sz w:val="22"/>
          <w:szCs w:val="22"/>
          <w:lang w:val="en-GB"/>
        </w:rPr>
      </w:pPr>
      <w:r>
        <w:rPr>
          <w:rFonts w:ascii="Arial" w:hAnsi="Arial" w:cs="Arial"/>
          <w:sz w:val="22"/>
          <w:szCs w:val="22"/>
          <w:lang w:val="en-GB"/>
        </w:rPr>
        <w:t>household furniture, food and utensils in the debtor’s permanent house;</w:t>
      </w:r>
    </w:p>
    <w:p w14:paraId="44D26E02" w14:textId="0E53E30C" w:rsidR="00FB5D9B" w:rsidRDefault="00FB5D9B" w:rsidP="00FB5D9B">
      <w:pPr>
        <w:pStyle w:val="ListParagraph"/>
        <w:numPr>
          <w:ilvl w:val="0"/>
          <w:numId w:val="24"/>
        </w:numPr>
        <w:jc w:val="both"/>
        <w:rPr>
          <w:rFonts w:ascii="Arial" w:hAnsi="Arial" w:cs="Arial"/>
          <w:sz w:val="22"/>
          <w:szCs w:val="22"/>
          <w:lang w:val="en-GB"/>
        </w:rPr>
      </w:pPr>
      <w:r>
        <w:rPr>
          <w:rFonts w:ascii="Arial" w:hAnsi="Arial" w:cs="Arial"/>
          <w:sz w:val="22"/>
          <w:szCs w:val="22"/>
          <w:lang w:val="en-GB"/>
        </w:rPr>
        <w:t>tools necessary to a debtor’s work;</w:t>
      </w:r>
    </w:p>
    <w:p w14:paraId="4339FE7A" w14:textId="33C4E3EF" w:rsidR="00FB5D9B" w:rsidRDefault="00FB5D9B" w:rsidP="00FB5D9B">
      <w:pPr>
        <w:pStyle w:val="ListParagraph"/>
        <w:numPr>
          <w:ilvl w:val="0"/>
          <w:numId w:val="24"/>
        </w:numPr>
        <w:jc w:val="both"/>
        <w:rPr>
          <w:rFonts w:ascii="Arial" w:hAnsi="Arial" w:cs="Arial"/>
          <w:sz w:val="22"/>
          <w:szCs w:val="22"/>
          <w:lang w:val="en-GB"/>
        </w:rPr>
      </w:pPr>
      <w:r>
        <w:rPr>
          <w:rFonts w:ascii="Arial" w:hAnsi="Arial" w:cs="Arial"/>
          <w:sz w:val="22"/>
          <w:szCs w:val="22"/>
          <w:lang w:val="en-GB"/>
        </w:rPr>
        <w:t>a motor vehicle with a value up to a certain limit; and</w:t>
      </w:r>
    </w:p>
    <w:p w14:paraId="63619E53" w14:textId="51CA24BD" w:rsidR="00FB5D9B" w:rsidRPr="00FB5D9B" w:rsidRDefault="00FB5D9B" w:rsidP="00FB5D9B">
      <w:pPr>
        <w:pStyle w:val="ListParagraph"/>
        <w:numPr>
          <w:ilvl w:val="0"/>
          <w:numId w:val="24"/>
        </w:numPr>
        <w:jc w:val="both"/>
        <w:rPr>
          <w:rFonts w:ascii="Arial" w:hAnsi="Arial" w:cs="Arial"/>
          <w:sz w:val="22"/>
          <w:szCs w:val="22"/>
          <w:lang w:val="en-GB"/>
        </w:rPr>
      </w:pPr>
      <w:r>
        <w:rPr>
          <w:rFonts w:ascii="Arial" w:hAnsi="Arial" w:cs="Arial"/>
          <w:sz w:val="22"/>
          <w:szCs w:val="22"/>
          <w:lang w:val="en-GB"/>
        </w:rPr>
        <w:t>certain farm property.</w:t>
      </w: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000000"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4C43CAE9" w14:textId="273A888E" w:rsidR="00C72848" w:rsidRDefault="008C6FAA" w:rsidP="00EE28C9">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[Type your answer here]</w:t>
      </w:r>
    </w:p>
    <w:p w14:paraId="0B95659D" w14:textId="7D67EA15" w:rsidR="00605657" w:rsidRDefault="00605657" w:rsidP="00EE28C9">
      <w:pPr>
        <w:ind w:left="720" w:hanging="720"/>
        <w:jc w:val="both"/>
        <w:rPr>
          <w:rFonts w:ascii="Arial" w:hAnsi="Arial" w:cs="Arial"/>
          <w:color w:val="7B7B7B"/>
          <w:sz w:val="22"/>
          <w:szCs w:val="22"/>
          <w:lang w:val="en-GB"/>
        </w:rPr>
      </w:pPr>
    </w:p>
    <w:p w14:paraId="168C34B9" w14:textId="6117CCB9" w:rsidR="00605657" w:rsidRDefault="00605657" w:rsidP="00EE28C9">
      <w:pPr>
        <w:ind w:left="720" w:hanging="720"/>
        <w:jc w:val="both"/>
        <w:rPr>
          <w:rFonts w:ascii="Arial" w:hAnsi="Arial" w:cs="Arial"/>
          <w:sz w:val="22"/>
          <w:szCs w:val="22"/>
          <w:lang w:val="en-GB"/>
        </w:rPr>
      </w:pPr>
      <w:r>
        <w:rPr>
          <w:rFonts w:ascii="Arial" w:hAnsi="Arial" w:cs="Arial"/>
          <w:sz w:val="22"/>
          <w:szCs w:val="22"/>
          <w:lang w:val="en-GB"/>
        </w:rPr>
        <w:t>Three methods of entering into bankruptcy in Canada are:</w:t>
      </w:r>
    </w:p>
    <w:p w14:paraId="6915BEA1" w14:textId="023F1623" w:rsidR="00605657" w:rsidRDefault="00605657" w:rsidP="00EE28C9">
      <w:pPr>
        <w:ind w:left="720" w:hanging="720"/>
        <w:jc w:val="both"/>
        <w:rPr>
          <w:rFonts w:ascii="Arial" w:hAnsi="Arial" w:cs="Arial"/>
          <w:sz w:val="22"/>
          <w:szCs w:val="22"/>
          <w:lang w:val="en-GB"/>
        </w:rPr>
      </w:pPr>
    </w:p>
    <w:p w14:paraId="4940E28E" w14:textId="497C7DDE" w:rsidR="00605657" w:rsidRDefault="001E20BE" w:rsidP="00605657">
      <w:pPr>
        <w:pStyle w:val="ListParagraph"/>
        <w:numPr>
          <w:ilvl w:val="0"/>
          <w:numId w:val="25"/>
        </w:numPr>
        <w:jc w:val="both"/>
        <w:rPr>
          <w:rFonts w:ascii="Arial" w:hAnsi="Arial" w:cs="Arial"/>
          <w:sz w:val="22"/>
          <w:szCs w:val="22"/>
          <w:lang w:val="en-GB"/>
        </w:rPr>
      </w:pPr>
      <w:r>
        <w:rPr>
          <w:rFonts w:ascii="Arial" w:hAnsi="Arial" w:cs="Arial"/>
          <w:sz w:val="22"/>
          <w:szCs w:val="22"/>
          <w:lang w:val="en-GB"/>
        </w:rPr>
        <w:t>involuntary;</w:t>
      </w:r>
    </w:p>
    <w:p w14:paraId="47F59B1E" w14:textId="776EDD26" w:rsidR="001E20BE" w:rsidRDefault="001E20BE" w:rsidP="00605657">
      <w:pPr>
        <w:pStyle w:val="ListParagraph"/>
        <w:numPr>
          <w:ilvl w:val="0"/>
          <w:numId w:val="25"/>
        </w:numPr>
        <w:jc w:val="both"/>
        <w:rPr>
          <w:rFonts w:ascii="Arial" w:hAnsi="Arial" w:cs="Arial"/>
          <w:sz w:val="22"/>
          <w:szCs w:val="22"/>
          <w:lang w:val="en-GB"/>
        </w:rPr>
      </w:pPr>
      <w:r>
        <w:rPr>
          <w:rFonts w:ascii="Arial" w:hAnsi="Arial" w:cs="Arial"/>
          <w:sz w:val="22"/>
          <w:szCs w:val="22"/>
          <w:lang w:val="en-GB"/>
        </w:rPr>
        <w:t>voluntary; and</w:t>
      </w:r>
    </w:p>
    <w:p w14:paraId="7326E9FF" w14:textId="4C0A77B5" w:rsidR="001E20BE" w:rsidRPr="00605657" w:rsidRDefault="001E20BE" w:rsidP="00605657">
      <w:pPr>
        <w:pStyle w:val="ListParagraph"/>
        <w:numPr>
          <w:ilvl w:val="0"/>
          <w:numId w:val="25"/>
        </w:numPr>
        <w:jc w:val="both"/>
        <w:rPr>
          <w:rFonts w:ascii="Arial" w:hAnsi="Arial" w:cs="Arial"/>
          <w:sz w:val="22"/>
          <w:szCs w:val="22"/>
          <w:lang w:val="en-GB"/>
        </w:rPr>
      </w:pPr>
      <w:r>
        <w:rPr>
          <w:rFonts w:ascii="Arial" w:hAnsi="Arial" w:cs="Arial"/>
          <w:sz w:val="22"/>
          <w:szCs w:val="22"/>
          <w:lang w:val="en-GB"/>
        </w:rPr>
        <w:t>on the failure of, or failure to perform the terms of, a BIA proposal.</w:t>
      </w:r>
    </w:p>
    <w:p w14:paraId="7B85192C" w14:textId="77777777" w:rsidR="00605657" w:rsidRPr="00D80DC2" w:rsidRDefault="00605657" w:rsidP="00EE28C9">
      <w:pPr>
        <w:ind w:left="720" w:hanging="720"/>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000000"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000000">
      <w:pPr>
        <w:ind w:left="720" w:hanging="720"/>
        <w:jc w:val="both"/>
        <w:rPr>
          <w:rFonts w:ascii="Arial" w:hAnsi="Arial" w:cs="Arial"/>
          <w:sz w:val="22"/>
          <w:szCs w:val="22"/>
        </w:rPr>
      </w:pPr>
    </w:p>
    <w:p w14:paraId="16008E18" w14:textId="77777777" w:rsidR="00A35877" w:rsidRPr="00D80DC2" w:rsidRDefault="008C6FAA" w:rsidP="00D32862">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2E57DAB4" w14:textId="73452096" w:rsidR="00A35877" w:rsidRDefault="00000000" w:rsidP="002A37BB">
      <w:pPr>
        <w:jc w:val="both"/>
        <w:rPr>
          <w:rFonts w:ascii="Arial" w:hAnsi="Arial" w:cs="Arial"/>
          <w:bCs/>
          <w:color w:val="7B7B7B"/>
          <w:sz w:val="22"/>
          <w:szCs w:val="22"/>
          <w:lang w:val="en-GB"/>
        </w:rPr>
      </w:pPr>
    </w:p>
    <w:p w14:paraId="3E0005CA" w14:textId="55C2B6BC" w:rsidR="00605657" w:rsidRDefault="00605657" w:rsidP="002A37BB">
      <w:pPr>
        <w:jc w:val="both"/>
        <w:rPr>
          <w:rFonts w:ascii="Arial" w:hAnsi="Arial" w:cs="Arial"/>
          <w:bCs/>
          <w:sz w:val="22"/>
          <w:szCs w:val="22"/>
          <w:lang w:val="en-GB"/>
        </w:rPr>
      </w:pPr>
      <w:r>
        <w:rPr>
          <w:rFonts w:ascii="Arial" w:hAnsi="Arial" w:cs="Arial"/>
          <w:bCs/>
          <w:sz w:val="22"/>
          <w:szCs w:val="22"/>
          <w:lang w:val="en-GB"/>
        </w:rPr>
        <w:t>Pursuant to section 2 of the BIA debtor is defined as:</w:t>
      </w:r>
    </w:p>
    <w:p w14:paraId="48F29DEC" w14:textId="1EA150E9" w:rsidR="00605657" w:rsidRDefault="00605657" w:rsidP="002A37BB">
      <w:pPr>
        <w:jc w:val="both"/>
        <w:rPr>
          <w:rFonts w:ascii="Arial" w:hAnsi="Arial" w:cs="Arial"/>
          <w:bCs/>
          <w:sz w:val="22"/>
          <w:szCs w:val="22"/>
          <w:lang w:val="en-GB"/>
        </w:rPr>
      </w:pPr>
    </w:p>
    <w:p w14:paraId="4715C052" w14:textId="489F260F" w:rsidR="00605657" w:rsidRDefault="00605657" w:rsidP="002A37BB">
      <w:pPr>
        <w:jc w:val="both"/>
        <w:rPr>
          <w:rFonts w:ascii="Arial" w:hAnsi="Arial" w:cs="Arial"/>
          <w:bCs/>
          <w:i/>
          <w:iCs/>
          <w:sz w:val="22"/>
          <w:szCs w:val="22"/>
          <w:lang w:val="en-GB"/>
        </w:rPr>
      </w:pPr>
      <w:r w:rsidRPr="00605657">
        <w:rPr>
          <w:rFonts w:ascii="Arial" w:hAnsi="Arial" w:cs="Arial"/>
          <w:bCs/>
          <w:i/>
          <w:iCs/>
          <w:sz w:val="22"/>
          <w:szCs w:val="22"/>
          <w:lang w:val="en-GB"/>
        </w:rPr>
        <w:t>“debtor includes an insolvent person and any person who, at the time an act of bankruptcy was committed by him, resided or carried on business in Canada and, where the context requires, includes a bankrupt.”</w:t>
      </w:r>
    </w:p>
    <w:p w14:paraId="1C83D5FB" w14:textId="08B4D16F" w:rsidR="001E20BE" w:rsidRDefault="001E20BE" w:rsidP="002A37BB">
      <w:pPr>
        <w:jc w:val="both"/>
        <w:rPr>
          <w:rFonts w:ascii="Arial" w:hAnsi="Arial" w:cs="Arial"/>
          <w:bCs/>
          <w:sz w:val="22"/>
          <w:szCs w:val="22"/>
          <w:lang w:val="en-GB"/>
        </w:rPr>
      </w:pPr>
    </w:p>
    <w:p w14:paraId="1BD33B3C" w14:textId="5C1E0810" w:rsidR="001E20BE" w:rsidRPr="001E20BE" w:rsidRDefault="001E20BE" w:rsidP="002A37BB">
      <w:pPr>
        <w:jc w:val="both"/>
        <w:rPr>
          <w:rFonts w:ascii="Arial" w:hAnsi="Arial" w:cs="Arial"/>
          <w:bCs/>
          <w:sz w:val="22"/>
          <w:szCs w:val="22"/>
          <w:lang w:val="en-GB"/>
        </w:rPr>
      </w:pPr>
      <w:r>
        <w:rPr>
          <w:rFonts w:ascii="Arial" w:hAnsi="Arial" w:cs="Arial"/>
          <w:bCs/>
          <w:sz w:val="22"/>
          <w:szCs w:val="22"/>
          <w:lang w:val="en-GB"/>
        </w:rPr>
        <w:t>The acts of bankruptcy are listed in section 42 of the BIA.</w:t>
      </w:r>
    </w:p>
    <w:p w14:paraId="7B6DF6C4" w14:textId="77777777" w:rsidR="000434FB" w:rsidRPr="00D80DC2" w:rsidRDefault="00000000"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000000"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000000"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664E43DC" w14:textId="77777777" w:rsidR="00544127" w:rsidRPr="00D80DC2" w:rsidRDefault="008C6FAA" w:rsidP="002A37BB">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38E4262" w14:textId="17BCF73B" w:rsidR="00D17FDC" w:rsidRDefault="00000000" w:rsidP="002A37BB">
      <w:pPr>
        <w:jc w:val="both"/>
        <w:rPr>
          <w:rFonts w:ascii="Arial" w:hAnsi="Arial" w:cs="Arial"/>
          <w:color w:val="7B7B7B"/>
          <w:sz w:val="22"/>
          <w:szCs w:val="22"/>
          <w:lang w:val="en-GB"/>
        </w:rPr>
      </w:pPr>
    </w:p>
    <w:p w14:paraId="47653F2A" w14:textId="0A7588AE" w:rsidR="00310359" w:rsidRDefault="00310359" w:rsidP="002A37BB">
      <w:pPr>
        <w:jc w:val="both"/>
        <w:rPr>
          <w:rFonts w:ascii="Arial" w:hAnsi="Arial" w:cs="Arial"/>
          <w:sz w:val="22"/>
          <w:szCs w:val="22"/>
          <w:u w:val="single"/>
          <w:lang w:val="en-GB"/>
        </w:rPr>
      </w:pPr>
      <w:r>
        <w:rPr>
          <w:rFonts w:ascii="Arial" w:hAnsi="Arial" w:cs="Arial"/>
          <w:sz w:val="22"/>
          <w:szCs w:val="22"/>
          <w:u w:val="single"/>
          <w:lang w:val="en-GB"/>
        </w:rPr>
        <w:t>Private Receiver</w:t>
      </w:r>
    </w:p>
    <w:p w14:paraId="5A093F2B" w14:textId="2FC94B29" w:rsidR="00310359" w:rsidRDefault="00310359" w:rsidP="002A37BB">
      <w:pPr>
        <w:jc w:val="both"/>
        <w:rPr>
          <w:rFonts w:ascii="Arial" w:hAnsi="Arial" w:cs="Arial"/>
          <w:sz w:val="22"/>
          <w:szCs w:val="22"/>
          <w:lang w:val="en-GB"/>
        </w:rPr>
      </w:pPr>
    </w:p>
    <w:p w14:paraId="58552502" w14:textId="5120F311" w:rsidR="00310359" w:rsidRDefault="00180BE0" w:rsidP="002A37BB">
      <w:pPr>
        <w:jc w:val="both"/>
        <w:rPr>
          <w:rFonts w:ascii="Arial" w:hAnsi="Arial" w:cs="Arial"/>
          <w:sz w:val="22"/>
          <w:szCs w:val="22"/>
          <w:lang w:val="en-GB"/>
        </w:rPr>
      </w:pPr>
      <w:r>
        <w:rPr>
          <w:rFonts w:ascii="Arial" w:hAnsi="Arial" w:cs="Arial"/>
          <w:sz w:val="22"/>
          <w:szCs w:val="22"/>
          <w:lang w:val="en-GB"/>
        </w:rPr>
        <w:t>A private receiver is appointed via the contractual right of the secured creditor pursuant to the security agreement between the debtor and secured creditor.</w:t>
      </w:r>
    </w:p>
    <w:p w14:paraId="7819BDCC" w14:textId="0E932729" w:rsidR="00180BE0" w:rsidRDefault="00180BE0" w:rsidP="002A37BB">
      <w:pPr>
        <w:jc w:val="both"/>
        <w:rPr>
          <w:rFonts w:ascii="Arial" w:hAnsi="Arial" w:cs="Arial"/>
          <w:sz w:val="22"/>
          <w:szCs w:val="22"/>
          <w:lang w:val="en-GB"/>
        </w:rPr>
      </w:pPr>
    </w:p>
    <w:p w14:paraId="3E5200AC" w14:textId="2F0CC645" w:rsidR="00180BE0" w:rsidRDefault="00180BE0" w:rsidP="002A37BB">
      <w:pPr>
        <w:jc w:val="both"/>
        <w:rPr>
          <w:rFonts w:ascii="Arial" w:hAnsi="Arial" w:cs="Arial"/>
          <w:sz w:val="22"/>
          <w:szCs w:val="22"/>
          <w:lang w:val="en-GB"/>
        </w:rPr>
      </w:pPr>
      <w:r>
        <w:rPr>
          <w:rFonts w:ascii="Arial" w:hAnsi="Arial" w:cs="Arial"/>
          <w:sz w:val="22"/>
          <w:szCs w:val="22"/>
          <w:lang w:val="en-GB"/>
        </w:rPr>
        <w:lastRenderedPageBreak/>
        <w:t xml:space="preserve">The primary duties of a private receiver are those assigned to the private receiver by the secured creditor who appointed them.  </w:t>
      </w:r>
      <w:r w:rsidR="005E74CD">
        <w:rPr>
          <w:rFonts w:ascii="Arial" w:hAnsi="Arial" w:cs="Arial"/>
          <w:sz w:val="22"/>
          <w:szCs w:val="22"/>
          <w:lang w:val="en-GB"/>
        </w:rPr>
        <w:t>According to</w:t>
      </w:r>
      <w:r w:rsidR="00FD6A23">
        <w:rPr>
          <w:rFonts w:ascii="Arial" w:hAnsi="Arial" w:cs="Arial"/>
          <w:sz w:val="22"/>
          <w:szCs w:val="22"/>
          <w:lang w:val="en-GB"/>
        </w:rPr>
        <w:t xml:space="preserve"> Rogers and Huff, t</w:t>
      </w:r>
      <w:r>
        <w:rPr>
          <w:rFonts w:ascii="Arial" w:hAnsi="Arial" w:cs="Arial"/>
          <w:sz w:val="22"/>
          <w:szCs w:val="22"/>
          <w:lang w:val="en-GB"/>
        </w:rPr>
        <w:t xml:space="preserve">he private receiver also has a </w:t>
      </w:r>
      <w:r w:rsidR="00FD6A23">
        <w:rPr>
          <w:rFonts w:ascii="Arial" w:hAnsi="Arial" w:cs="Arial"/>
          <w:sz w:val="22"/>
          <w:szCs w:val="22"/>
          <w:lang w:val="en-GB"/>
        </w:rPr>
        <w:t xml:space="preserve">general </w:t>
      </w:r>
      <w:r>
        <w:rPr>
          <w:rFonts w:ascii="Arial" w:hAnsi="Arial" w:cs="Arial"/>
          <w:sz w:val="22"/>
          <w:szCs w:val="22"/>
          <w:lang w:val="en-GB"/>
        </w:rPr>
        <w:t xml:space="preserve">duty to act honestly, in good faith and in a commercially reasonable </w:t>
      </w:r>
      <w:r w:rsidR="00FD6A23">
        <w:rPr>
          <w:rFonts w:ascii="Arial" w:hAnsi="Arial" w:cs="Arial"/>
          <w:sz w:val="22"/>
          <w:szCs w:val="22"/>
          <w:lang w:val="en-GB"/>
        </w:rPr>
        <w:t xml:space="preserve">manner.  This includes attempting to maximise recoveries and to obtain the best price for the debtor’s assets (in the circumstances). </w:t>
      </w:r>
    </w:p>
    <w:p w14:paraId="48F0261D" w14:textId="3FF2F5BC" w:rsidR="00FD6A23" w:rsidRDefault="00FD6A23" w:rsidP="002A37BB">
      <w:pPr>
        <w:jc w:val="both"/>
        <w:rPr>
          <w:rFonts w:ascii="Arial" w:hAnsi="Arial" w:cs="Arial"/>
          <w:sz w:val="22"/>
          <w:szCs w:val="22"/>
          <w:lang w:val="en-GB"/>
        </w:rPr>
      </w:pPr>
    </w:p>
    <w:p w14:paraId="66CA06E9" w14:textId="589B757D" w:rsidR="00FD6A23" w:rsidRDefault="00FD6A23" w:rsidP="002A37BB">
      <w:pPr>
        <w:jc w:val="both"/>
        <w:rPr>
          <w:rFonts w:ascii="Arial" w:hAnsi="Arial" w:cs="Arial"/>
          <w:sz w:val="22"/>
          <w:szCs w:val="22"/>
          <w:lang w:val="en-GB"/>
        </w:rPr>
      </w:pPr>
      <w:r>
        <w:rPr>
          <w:rFonts w:ascii="Arial" w:hAnsi="Arial" w:cs="Arial"/>
          <w:sz w:val="22"/>
          <w:szCs w:val="22"/>
          <w:lang w:val="en-GB"/>
        </w:rPr>
        <w:t>A private receiver is generally used where there is a small business or a discrete pool of assets and there will not be competing creditor claims or disputes with the debtor.</w:t>
      </w:r>
    </w:p>
    <w:p w14:paraId="33D55191" w14:textId="19A6ED5D" w:rsidR="00310359" w:rsidRDefault="00310359" w:rsidP="002A37BB">
      <w:pPr>
        <w:jc w:val="both"/>
        <w:rPr>
          <w:rFonts w:ascii="Arial" w:hAnsi="Arial" w:cs="Arial"/>
          <w:sz w:val="22"/>
          <w:szCs w:val="22"/>
          <w:lang w:val="en-GB"/>
        </w:rPr>
      </w:pPr>
    </w:p>
    <w:p w14:paraId="33ECB96A" w14:textId="2163EBF1" w:rsidR="00310359" w:rsidRDefault="00310359" w:rsidP="002A37BB">
      <w:pPr>
        <w:jc w:val="both"/>
        <w:rPr>
          <w:rFonts w:ascii="Arial" w:hAnsi="Arial" w:cs="Arial"/>
          <w:sz w:val="22"/>
          <w:szCs w:val="22"/>
          <w:u w:val="single"/>
          <w:lang w:val="en-GB"/>
        </w:rPr>
      </w:pPr>
      <w:r>
        <w:rPr>
          <w:rFonts w:ascii="Arial" w:hAnsi="Arial" w:cs="Arial"/>
          <w:sz w:val="22"/>
          <w:szCs w:val="22"/>
          <w:u w:val="single"/>
          <w:lang w:val="en-GB"/>
        </w:rPr>
        <w:t>Court-appointed Receiver</w:t>
      </w:r>
    </w:p>
    <w:p w14:paraId="115F313B" w14:textId="0BF04C26" w:rsidR="00310359" w:rsidRDefault="00310359" w:rsidP="002A37BB">
      <w:pPr>
        <w:jc w:val="both"/>
        <w:rPr>
          <w:rFonts w:ascii="Arial" w:hAnsi="Arial" w:cs="Arial"/>
          <w:sz w:val="22"/>
          <w:szCs w:val="22"/>
          <w:lang w:val="en-GB"/>
        </w:rPr>
      </w:pPr>
    </w:p>
    <w:p w14:paraId="1CA60B9F" w14:textId="1F6D8615" w:rsidR="00310359" w:rsidRDefault="00F762AE" w:rsidP="002A37BB">
      <w:pPr>
        <w:jc w:val="both"/>
        <w:rPr>
          <w:rFonts w:ascii="Arial" w:hAnsi="Arial" w:cs="Arial"/>
          <w:sz w:val="22"/>
          <w:szCs w:val="22"/>
          <w:lang w:val="en-GB"/>
        </w:rPr>
      </w:pPr>
      <w:r>
        <w:rPr>
          <w:rFonts w:ascii="Arial" w:hAnsi="Arial" w:cs="Arial"/>
          <w:sz w:val="22"/>
          <w:szCs w:val="22"/>
          <w:lang w:val="en-GB"/>
        </w:rPr>
        <w:t>Where a private receiver is appointed by a secured creditor pursuant to their contract, a</w:t>
      </w:r>
      <w:r w:rsidR="005E74CD">
        <w:rPr>
          <w:rFonts w:ascii="Arial" w:hAnsi="Arial" w:cs="Arial"/>
          <w:sz w:val="22"/>
          <w:szCs w:val="22"/>
          <w:lang w:val="en-GB"/>
        </w:rPr>
        <w:t xml:space="preserve"> court appointed receiver is appointed by a court order, typically on application by a secured creditor, under section 243 of the BIA.  The application by the secured creditor is made under the </w:t>
      </w:r>
      <w:r>
        <w:rPr>
          <w:rFonts w:ascii="Arial" w:hAnsi="Arial" w:cs="Arial"/>
          <w:sz w:val="22"/>
          <w:szCs w:val="22"/>
          <w:lang w:val="en-GB"/>
        </w:rPr>
        <w:t xml:space="preserve">rules of the court </w:t>
      </w:r>
      <w:r w:rsidR="005E74CD">
        <w:rPr>
          <w:rFonts w:ascii="Arial" w:hAnsi="Arial" w:cs="Arial"/>
          <w:sz w:val="22"/>
          <w:szCs w:val="22"/>
          <w:lang w:val="en-GB"/>
        </w:rPr>
        <w:t>of the province where the debtor’s business is based.</w:t>
      </w:r>
    </w:p>
    <w:p w14:paraId="615918DA" w14:textId="321B5E9A" w:rsidR="005E74CD" w:rsidRDefault="005E74CD" w:rsidP="002A37BB">
      <w:pPr>
        <w:jc w:val="both"/>
        <w:rPr>
          <w:rFonts w:ascii="Arial" w:hAnsi="Arial" w:cs="Arial"/>
          <w:sz w:val="22"/>
          <w:szCs w:val="22"/>
          <w:lang w:val="en-GB"/>
        </w:rPr>
      </w:pPr>
    </w:p>
    <w:p w14:paraId="5F091A00" w14:textId="114B12C8" w:rsidR="005E74CD" w:rsidRDefault="00F762AE" w:rsidP="002A37BB">
      <w:pPr>
        <w:jc w:val="both"/>
        <w:rPr>
          <w:rFonts w:ascii="Arial" w:hAnsi="Arial" w:cs="Arial"/>
          <w:sz w:val="22"/>
          <w:szCs w:val="22"/>
          <w:lang w:val="en-GB"/>
        </w:rPr>
      </w:pPr>
      <w:r>
        <w:rPr>
          <w:rFonts w:ascii="Arial" w:hAnsi="Arial" w:cs="Arial"/>
          <w:sz w:val="22"/>
          <w:szCs w:val="22"/>
          <w:lang w:val="en-GB"/>
        </w:rPr>
        <w:t>The Courts of Justice Acts of the individual provinces also allows the court to appoint a receiver on application by an interested party (i.e. shareholder or unsecured creditor) where it is just and convenient to do so.  This is referred to as an equitable receiver.</w:t>
      </w:r>
    </w:p>
    <w:p w14:paraId="081C44D2" w14:textId="3F88EEAD" w:rsidR="00F762AE" w:rsidRDefault="00F762AE" w:rsidP="002A37BB">
      <w:pPr>
        <w:jc w:val="both"/>
        <w:rPr>
          <w:rFonts w:ascii="Arial" w:hAnsi="Arial" w:cs="Arial"/>
          <w:sz w:val="22"/>
          <w:szCs w:val="22"/>
          <w:lang w:val="en-GB"/>
        </w:rPr>
      </w:pPr>
    </w:p>
    <w:p w14:paraId="318912C8" w14:textId="186A87A5" w:rsidR="00F762AE" w:rsidRDefault="00340FB8" w:rsidP="002A37BB">
      <w:pPr>
        <w:jc w:val="both"/>
        <w:rPr>
          <w:rFonts w:ascii="Arial" w:hAnsi="Arial" w:cs="Arial"/>
          <w:sz w:val="22"/>
          <w:szCs w:val="22"/>
          <w:lang w:val="en-GB"/>
        </w:rPr>
      </w:pPr>
      <w:r>
        <w:rPr>
          <w:rFonts w:ascii="Arial" w:hAnsi="Arial" w:cs="Arial"/>
          <w:sz w:val="22"/>
          <w:szCs w:val="22"/>
          <w:lang w:val="en-GB"/>
        </w:rPr>
        <w:t xml:space="preserve">As opposed to a private receiver having its duties assigned by the secured creditor, a court appointed receiver derives its power from the court order and any specific legislation governing its power.  A court appointed receiver is an officer of the court and has duties to all creditors of the debtor.  It reports </w:t>
      </w:r>
      <w:r w:rsidR="00FA0FE0">
        <w:rPr>
          <w:rFonts w:ascii="Arial" w:hAnsi="Arial" w:cs="Arial"/>
          <w:sz w:val="22"/>
          <w:szCs w:val="22"/>
          <w:lang w:val="en-GB"/>
        </w:rPr>
        <w:t>to and takes instructions from the court, not the creditor who sought the appointment.</w:t>
      </w:r>
    </w:p>
    <w:p w14:paraId="60EB9E6E" w14:textId="77777777" w:rsidR="00F762AE" w:rsidRDefault="00F762AE" w:rsidP="002A37BB">
      <w:pPr>
        <w:jc w:val="both"/>
        <w:rPr>
          <w:rFonts w:ascii="Arial" w:hAnsi="Arial" w:cs="Arial"/>
          <w:sz w:val="22"/>
          <w:szCs w:val="22"/>
          <w:lang w:val="en-GB"/>
        </w:rPr>
      </w:pPr>
    </w:p>
    <w:p w14:paraId="598F8823" w14:textId="3EF34C2D" w:rsidR="00F762AE" w:rsidRDefault="00F762AE" w:rsidP="002A37BB">
      <w:pPr>
        <w:jc w:val="both"/>
        <w:rPr>
          <w:rFonts w:ascii="Arial" w:hAnsi="Arial" w:cs="Arial"/>
          <w:sz w:val="22"/>
          <w:szCs w:val="22"/>
          <w:lang w:val="en-GB"/>
        </w:rPr>
      </w:pPr>
      <w:r>
        <w:rPr>
          <w:rFonts w:ascii="Arial" w:hAnsi="Arial" w:cs="Arial"/>
          <w:sz w:val="22"/>
          <w:szCs w:val="22"/>
          <w:lang w:val="en-GB"/>
        </w:rPr>
        <w:t>A court appointed receiver is generally used in more complex cases, especially where there are competing claims between the creditors or disputes between the creditor and the debtor.  A court appointed receiver can also be used where on the outset it is decided that the assistance of the court will be required on an ongoing basis.</w:t>
      </w:r>
    </w:p>
    <w:p w14:paraId="16BE2A99" w14:textId="1874F7AA" w:rsidR="00340FB8" w:rsidRDefault="00340FB8" w:rsidP="002A37BB">
      <w:pPr>
        <w:jc w:val="both"/>
        <w:rPr>
          <w:rFonts w:ascii="Arial" w:hAnsi="Arial" w:cs="Arial"/>
          <w:sz w:val="22"/>
          <w:szCs w:val="22"/>
          <w:lang w:val="en-GB"/>
        </w:rPr>
      </w:pPr>
    </w:p>
    <w:p w14:paraId="5A4E048E" w14:textId="78B72BA4" w:rsidR="00340FB8" w:rsidRPr="00310359" w:rsidRDefault="00340FB8" w:rsidP="002A37BB">
      <w:pPr>
        <w:jc w:val="both"/>
        <w:rPr>
          <w:rFonts w:ascii="Arial" w:hAnsi="Arial" w:cs="Arial"/>
          <w:sz w:val="22"/>
          <w:szCs w:val="22"/>
          <w:lang w:val="en-GB"/>
        </w:rPr>
      </w:pPr>
      <w:r>
        <w:rPr>
          <w:rFonts w:ascii="Arial" w:hAnsi="Arial" w:cs="Arial"/>
          <w:sz w:val="22"/>
          <w:szCs w:val="22"/>
          <w:lang w:val="en-GB"/>
        </w:rPr>
        <w:t xml:space="preserve">It is important to note that both private and court appointed receivers have certain obligations mandated by their appointment.  </w:t>
      </w:r>
      <w:r w:rsidR="00FA0FE0">
        <w:rPr>
          <w:rFonts w:ascii="Arial" w:hAnsi="Arial" w:cs="Arial"/>
          <w:sz w:val="22"/>
          <w:szCs w:val="22"/>
          <w:lang w:val="en-GB"/>
        </w:rPr>
        <w:t>Both types of receiver must provide notice of their appointment to all creditors and prepare and distribution interim and final reports.  Interim and final reports are filed with the Office of the Superintendent of Bankruptcy Canada (“</w:t>
      </w:r>
      <w:r w:rsidR="00FA0FE0" w:rsidRPr="00FA0FE0">
        <w:rPr>
          <w:rFonts w:ascii="Arial" w:hAnsi="Arial" w:cs="Arial"/>
          <w:sz w:val="22"/>
          <w:szCs w:val="22"/>
          <w:lang w:val="en-GB"/>
        </w:rPr>
        <w:t>OSB</w:t>
      </w:r>
      <w:r w:rsidR="00FA0FE0">
        <w:rPr>
          <w:rFonts w:ascii="Arial" w:hAnsi="Arial" w:cs="Arial"/>
          <w:sz w:val="22"/>
          <w:szCs w:val="22"/>
          <w:lang w:val="en-GB"/>
        </w:rPr>
        <w:t>”) and made available to all creditors.</w:t>
      </w:r>
    </w:p>
    <w:p w14:paraId="6395A648" w14:textId="77777777" w:rsidR="00AE184B" w:rsidRPr="00D80DC2" w:rsidRDefault="00000000"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000000"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000000" w:rsidP="00EE28C9">
      <w:pPr>
        <w:jc w:val="both"/>
        <w:rPr>
          <w:rFonts w:ascii="Arial" w:hAnsi="Arial" w:cs="Arial"/>
          <w:sz w:val="22"/>
          <w:szCs w:val="22"/>
          <w:shd w:val="clear" w:color="auto" w:fill="FFFFFF"/>
          <w:lang w:val="en-GB"/>
        </w:rPr>
      </w:pPr>
    </w:p>
    <w:p w14:paraId="416ADBC4" w14:textId="77777777" w:rsidR="000434FB" w:rsidRPr="00D80DC2" w:rsidRDefault="008C6FAA" w:rsidP="00EE28C9">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[Type your answer here]</w:t>
      </w:r>
    </w:p>
    <w:p w14:paraId="3B7DC066" w14:textId="70A4E2B1" w:rsidR="000434FB" w:rsidRDefault="00000000" w:rsidP="002A37BB">
      <w:pPr>
        <w:jc w:val="both"/>
        <w:rPr>
          <w:rFonts w:ascii="Arial" w:hAnsi="Arial" w:cs="Arial"/>
          <w:color w:val="7B7B7B"/>
          <w:sz w:val="22"/>
          <w:szCs w:val="22"/>
          <w:lang w:val="en-GB"/>
        </w:rPr>
      </w:pPr>
    </w:p>
    <w:p w14:paraId="00998981" w14:textId="1027B352" w:rsidR="00180BE0" w:rsidRDefault="00844C8B" w:rsidP="002A37BB">
      <w:pPr>
        <w:jc w:val="both"/>
        <w:rPr>
          <w:rFonts w:ascii="Arial" w:hAnsi="Arial" w:cs="Arial"/>
          <w:sz w:val="22"/>
          <w:szCs w:val="22"/>
          <w:lang w:val="en-GB"/>
        </w:rPr>
      </w:pPr>
      <w:r>
        <w:rPr>
          <w:rFonts w:ascii="Arial" w:hAnsi="Arial" w:cs="Arial"/>
          <w:sz w:val="22"/>
          <w:szCs w:val="22"/>
          <w:lang w:val="en-GB"/>
        </w:rPr>
        <w:t xml:space="preserve">As outlined in the </w:t>
      </w:r>
      <w:r w:rsidRPr="00844C8B">
        <w:rPr>
          <w:rFonts w:ascii="Arial" w:hAnsi="Arial" w:cs="Arial"/>
          <w:i/>
          <w:iCs/>
          <w:sz w:val="22"/>
          <w:szCs w:val="22"/>
          <w:lang w:val="en-GB"/>
        </w:rPr>
        <w:t>Industry Canada Statutory Review of Insolvency Laws</w:t>
      </w:r>
      <w:r>
        <w:rPr>
          <w:rFonts w:ascii="Arial" w:hAnsi="Arial" w:cs="Arial"/>
          <w:i/>
          <w:iCs/>
          <w:sz w:val="22"/>
          <w:szCs w:val="22"/>
          <w:lang w:val="en-GB"/>
        </w:rPr>
        <w:t xml:space="preserve"> </w:t>
      </w:r>
      <w:r w:rsidR="00BB1754">
        <w:rPr>
          <w:rFonts w:ascii="Arial" w:hAnsi="Arial" w:cs="Arial"/>
          <w:i/>
          <w:iCs/>
          <w:sz w:val="22"/>
          <w:szCs w:val="22"/>
          <w:lang w:val="en-GB"/>
        </w:rPr>
        <w:t xml:space="preserve">(“CSRIL”) </w:t>
      </w:r>
      <w:r>
        <w:rPr>
          <w:rFonts w:ascii="Arial" w:hAnsi="Arial" w:cs="Arial"/>
          <w:sz w:val="22"/>
          <w:szCs w:val="22"/>
          <w:lang w:val="en-GB"/>
        </w:rPr>
        <w:t xml:space="preserve">published in 2014, Canada has </w:t>
      </w:r>
      <w:r w:rsidR="00BB1754">
        <w:rPr>
          <w:rFonts w:ascii="Arial" w:hAnsi="Arial" w:cs="Arial"/>
          <w:sz w:val="22"/>
          <w:szCs w:val="22"/>
          <w:lang w:val="en-GB"/>
        </w:rPr>
        <w:t>adopted a ‘fresh start’ policy for consumers</w:t>
      </w:r>
      <w:r w:rsidR="00855383">
        <w:rPr>
          <w:rFonts w:ascii="Arial" w:hAnsi="Arial" w:cs="Arial"/>
          <w:sz w:val="22"/>
          <w:szCs w:val="22"/>
          <w:lang w:val="en-GB"/>
        </w:rPr>
        <w:t xml:space="preserve"> / individuals</w:t>
      </w:r>
      <w:r w:rsidR="00BB1754">
        <w:rPr>
          <w:rFonts w:ascii="Arial" w:hAnsi="Arial" w:cs="Arial"/>
          <w:sz w:val="22"/>
          <w:szCs w:val="22"/>
          <w:lang w:val="en-GB"/>
        </w:rPr>
        <w:t xml:space="preserve">, which relieves honest but unfortunate debtors of excessive debts.  </w:t>
      </w:r>
      <w:r w:rsidR="00855383">
        <w:rPr>
          <w:rFonts w:ascii="Arial" w:hAnsi="Arial" w:cs="Arial"/>
          <w:sz w:val="22"/>
          <w:szCs w:val="22"/>
          <w:lang w:val="en-GB"/>
        </w:rPr>
        <w:t xml:space="preserve">For </w:t>
      </w:r>
      <w:r w:rsidR="00BB1754">
        <w:rPr>
          <w:rFonts w:ascii="Arial" w:hAnsi="Arial" w:cs="Arial"/>
          <w:sz w:val="22"/>
          <w:szCs w:val="22"/>
          <w:lang w:val="en-GB"/>
        </w:rPr>
        <w:t>commercial insolvency, Canada aims to encourage rehabilitation of viable, but financially distressed, businesses as a means of increasing recoveries for creditors, maintaining supplier relationships and protecting jobs.</w:t>
      </w:r>
    </w:p>
    <w:p w14:paraId="5AA326BF" w14:textId="401256A9" w:rsidR="00BB1754" w:rsidRDefault="00BB1754" w:rsidP="002A37BB">
      <w:pPr>
        <w:jc w:val="both"/>
        <w:rPr>
          <w:rFonts w:ascii="Arial" w:hAnsi="Arial" w:cs="Arial"/>
          <w:sz w:val="22"/>
          <w:szCs w:val="22"/>
          <w:lang w:val="en-GB"/>
        </w:rPr>
      </w:pPr>
    </w:p>
    <w:p w14:paraId="1A93731B" w14:textId="1F3171F8" w:rsidR="00BB1754" w:rsidRDefault="00BB1754" w:rsidP="00BB1754">
      <w:pPr>
        <w:jc w:val="both"/>
        <w:rPr>
          <w:rFonts w:ascii="Arial" w:hAnsi="Arial" w:cs="Arial"/>
          <w:sz w:val="22"/>
          <w:szCs w:val="22"/>
          <w:lang w:val="en-GB"/>
        </w:rPr>
      </w:pPr>
      <w:r>
        <w:rPr>
          <w:rFonts w:ascii="Arial" w:hAnsi="Arial" w:cs="Arial"/>
          <w:sz w:val="22"/>
          <w:szCs w:val="22"/>
          <w:lang w:val="en-GB"/>
        </w:rPr>
        <w:t>According to the CSRIL, t</w:t>
      </w:r>
      <w:r w:rsidRPr="00BB1754">
        <w:rPr>
          <w:rFonts w:ascii="Arial" w:hAnsi="Arial" w:cs="Arial"/>
          <w:sz w:val="22"/>
          <w:szCs w:val="22"/>
          <w:lang w:val="en-GB"/>
        </w:rPr>
        <w:t>he objectives underlying the BIA and CCAA include minimi</w:t>
      </w:r>
      <w:r>
        <w:rPr>
          <w:rFonts w:ascii="Arial" w:hAnsi="Arial" w:cs="Arial"/>
          <w:sz w:val="22"/>
          <w:szCs w:val="22"/>
          <w:lang w:val="en-GB"/>
        </w:rPr>
        <w:t>s</w:t>
      </w:r>
      <w:r w:rsidRPr="00BB1754">
        <w:rPr>
          <w:rFonts w:ascii="Arial" w:hAnsi="Arial" w:cs="Arial"/>
          <w:sz w:val="22"/>
          <w:szCs w:val="22"/>
          <w:lang w:val="en-GB"/>
        </w:rPr>
        <w:t>ing the impact</w:t>
      </w:r>
      <w:r>
        <w:rPr>
          <w:rFonts w:ascii="Arial" w:hAnsi="Arial" w:cs="Arial"/>
          <w:sz w:val="22"/>
          <w:szCs w:val="22"/>
          <w:lang w:val="en-GB"/>
        </w:rPr>
        <w:t xml:space="preserve"> </w:t>
      </w:r>
      <w:r w:rsidRPr="00BB1754">
        <w:rPr>
          <w:rFonts w:ascii="Arial" w:hAnsi="Arial" w:cs="Arial"/>
          <w:sz w:val="22"/>
          <w:szCs w:val="22"/>
          <w:lang w:val="en-GB"/>
        </w:rPr>
        <w:t>of a debtor’s insolvency on all stakeholders by pursuing an equitable distribution of</w:t>
      </w:r>
      <w:r>
        <w:rPr>
          <w:rFonts w:ascii="Arial" w:hAnsi="Arial" w:cs="Arial"/>
          <w:sz w:val="22"/>
          <w:szCs w:val="22"/>
          <w:lang w:val="en-GB"/>
        </w:rPr>
        <w:t xml:space="preserve"> </w:t>
      </w:r>
      <w:r w:rsidRPr="00BB1754">
        <w:rPr>
          <w:rFonts w:ascii="Arial" w:hAnsi="Arial" w:cs="Arial"/>
          <w:sz w:val="22"/>
          <w:szCs w:val="22"/>
          <w:lang w:val="en-GB"/>
        </w:rPr>
        <w:t>the debtor’s assets and, where possible, by rehabilitation of the debtor.</w:t>
      </w:r>
    </w:p>
    <w:p w14:paraId="46EE06BE" w14:textId="655C71F7" w:rsidR="00BB1754" w:rsidRDefault="00BB1754" w:rsidP="00BB1754">
      <w:pPr>
        <w:jc w:val="both"/>
        <w:rPr>
          <w:rFonts w:ascii="Arial" w:hAnsi="Arial" w:cs="Arial"/>
          <w:sz w:val="22"/>
          <w:szCs w:val="22"/>
          <w:lang w:val="en-GB"/>
        </w:rPr>
      </w:pPr>
    </w:p>
    <w:p w14:paraId="01290A66" w14:textId="21279982" w:rsidR="00BB1754" w:rsidRDefault="00320C98" w:rsidP="00BB1754">
      <w:pPr>
        <w:jc w:val="both"/>
        <w:rPr>
          <w:rFonts w:ascii="Arial" w:hAnsi="Arial" w:cs="Arial"/>
          <w:sz w:val="22"/>
          <w:szCs w:val="22"/>
          <w:lang w:val="en-GB"/>
        </w:rPr>
      </w:pPr>
      <w:r>
        <w:rPr>
          <w:rFonts w:ascii="Arial" w:hAnsi="Arial" w:cs="Arial"/>
          <w:sz w:val="22"/>
          <w:szCs w:val="22"/>
          <w:lang w:val="en-GB"/>
        </w:rPr>
        <w:t xml:space="preserve">One example of how </w:t>
      </w:r>
      <w:r w:rsidR="00BB1754">
        <w:rPr>
          <w:rFonts w:ascii="Arial" w:hAnsi="Arial" w:cs="Arial"/>
          <w:sz w:val="22"/>
          <w:szCs w:val="22"/>
          <w:lang w:val="en-GB"/>
        </w:rPr>
        <w:t xml:space="preserve">Canada has reflected their commitment to rehabilitation of debtors </w:t>
      </w:r>
      <w:r w:rsidR="00FD4AED">
        <w:rPr>
          <w:rFonts w:ascii="Arial" w:hAnsi="Arial" w:cs="Arial"/>
          <w:sz w:val="22"/>
          <w:szCs w:val="22"/>
          <w:lang w:val="en-GB"/>
        </w:rPr>
        <w:t xml:space="preserve">is </w:t>
      </w:r>
      <w:r>
        <w:rPr>
          <w:rFonts w:ascii="Arial" w:hAnsi="Arial" w:cs="Arial"/>
          <w:sz w:val="22"/>
          <w:szCs w:val="22"/>
          <w:lang w:val="en-GB"/>
        </w:rPr>
        <w:t xml:space="preserve">through the implementation of the Companies’ Creditors Arrangement Act (“CCAA”) which is a Federal Act that allows financially troubled corporations the opportunity to restructure their affairs.  </w:t>
      </w:r>
      <w:r w:rsidR="00FD4AED">
        <w:rPr>
          <w:rFonts w:ascii="Arial" w:hAnsi="Arial" w:cs="Arial"/>
          <w:sz w:val="22"/>
          <w:szCs w:val="22"/>
          <w:lang w:val="en-GB"/>
        </w:rPr>
        <w:t>Part III of t</w:t>
      </w:r>
      <w:r>
        <w:rPr>
          <w:rFonts w:ascii="Arial" w:hAnsi="Arial" w:cs="Arial"/>
          <w:sz w:val="22"/>
          <w:szCs w:val="22"/>
          <w:lang w:val="en-GB"/>
        </w:rPr>
        <w:t xml:space="preserve">he BIA also </w:t>
      </w:r>
      <w:r w:rsidR="00FD4AED">
        <w:rPr>
          <w:rFonts w:ascii="Arial" w:hAnsi="Arial" w:cs="Arial"/>
          <w:sz w:val="22"/>
          <w:szCs w:val="22"/>
          <w:lang w:val="en-GB"/>
        </w:rPr>
        <w:t>outlines a stricter proposal process which must consider the unsecured creditors of a debtor.</w:t>
      </w:r>
    </w:p>
    <w:p w14:paraId="6875DC74" w14:textId="0C973CAA" w:rsidR="00352E92" w:rsidRDefault="00352E92" w:rsidP="00BB1754">
      <w:pPr>
        <w:jc w:val="both"/>
        <w:rPr>
          <w:rFonts w:ascii="Arial" w:hAnsi="Arial" w:cs="Arial"/>
          <w:sz w:val="22"/>
          <w:szCs w:val="22"/>
          <w:lang w:val="en-GB"/>
        </w:rPr>
      </w:pPr>
    </w:p>
    <w:p w14:paraId="20FEF62A" w14:textId="721F09D5" w:rsidR="00352E92" w:rsidRPr="00844C8B" w:rsidRDefault="009B3AA0" w:rsidP="00BB1754">
      <w:pPr>
        <w:jc w:val="both"/>
        <w:rPr>
          <w:rFonts w:ascii="Arial" w:hAnsi="Arial" w:cs="Arial"/>
          <w:sz w:val="22"/>
          <w:szCs w:val="22"/>
          <w:lang w:val="en-GB"/>
        </w:rPr>
      </w:pPr>
      <w:r>
        <w:rPr>
          <w:rFonts w:ascii="Arial" w:hAnsi="Arial" w:cs="Arial"/>
          <w:sz w:val="22"/>
          <w:szCs w:val="22"/>
          <w:lang w:val="en-GB"/>
        </w:rPr>
        <w:t xml:space="preserve">The national insolvency system in Canada is described as following a ‘single proceeding’ model because the Canadian insolvency process collectivises all creditors’ remedies into a single proceeding.  The methodology is that by grouping all possible </w:t>
      </w:r>
      <w:r w:rsidR="006F2B00">
        <w:rPr>
          <w:rFonts w:ascii="Arial" w:hAnsi="Arial" w:cs="Arial"/>
          <w:sz w:val="22"/>
          <w:szCs w:val="22"/>
          <w:lang w:val="en-GB"/>
        </w:rPr>
        <w:t xml:space="preserve">actions against a debtor into a single proceeding controlled in a single forum is more efficient and facilitates negotiation with creditors because it places all creditors on equal footing.  </w:t>
      </w:r>
    </w:p>
    <w:p w14:paraId="624AECDB" w14:textId="77777777" w:rsidR="00EB17D0" w:rsidRPr="00D80DC2" w:rsidRDefault="00000000"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000000"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000000"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000000"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000000"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000000"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000000" w:rsidP="000400E0">
      <w:pPr>
        <w:jc w:val="both"/>
        <w:rPr>
          <w:rFonts w:ascii="Arial" w:hAnsi="Arial" w:cs="Arial"/>
          <w:sz w:val="22"/>
          <w:szCs w:val="22"/>
          <w:lang w:val="en-GB"/>
        </w:rPr>
      </w:pPr>
    </w:p>
    <w:p w14:paraId="031329D8" w14:textId="77777777" w:rsidR="00AE184B" w:rsidRPr="00D80DC2" w:rsidRDefault="008C6FAA" w:rsidP="000400E0">
      <w:pPr>
        <w:jc w:val="both"/>
        <w:rPr>
          <w:rFonts w:ascii="Arial" w:hAnsi="Arial" w:cs="Arial"/>
          <w:b/>
          <w:color w:val="7B7B7B"/>
          <w:sz w:val="22"/>
          <w:szCs w:val="22"/>
          <w:lang w:val="en-GB"/>
        </w:rPr>
      </w:pPr>
      <w:r w:rsidRPr="00D80DC2">
        <w:rPr>
          <w:rFonts w:ascii="Arial" w:hAnsi="Arial" w:cs="Arial"/>
          <w:color w:val="7B7B7B" w:themeColor="accent3" w:themeShade="BF"/>
          <w:sz w:val="22"/>
          <w:szCs w:val="22"/>
          <w:lang w:val="en-GB"/>
        </w:rPr>
        <w:t>[Type your answer here]</w:t>
      </w:r>
    </w:p>
    <w:p w14:paraId="1138FE97" w14:textId="56B60062" w:rsidR="009B0723" w:rsidRDefault="00000000" w:rsidP="00087F21">
      <w:pPr>
        <w:autoSpaceDE w:val="0"/>
        <w:autoSpaceDN w:val="0"/>
        <w:adjustRightInd w:val="0"/>
        <w:jc w:val="both"/>
        <w:rPr>
          <w:rFonts w:ascii="Arial" w:hAnsi="Arial" w:cs="Arial"/>
          <w:color w:val="7B7B7B"/>
          <w:sz w:val="22"/>
          <w:szCs w:val="22"/>
          <w:lang w:val="en-GB"/>
        </w:rPr>
      </w:pPr>
    </w:p>
    <w:p w14:paraId="1F39950F" w14:textId="321C0297" w:rsidR="005466AC" w:rsidRDefault="00794CB2"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For the Foreign Agent to gain recognition in Canada for </w:t>
      </w:r>
      <w:r w:rsidR="002B0DED">
        <w:rPr>
          <w:rFonts w:ascii="Arial" w:hAnsi="Arial" w:cs="Arial"/>
          <w:sz w:val="22"/>
          <w:szCs w:val="22"/>
          <w:lang w:val="en-GB"/>
        </w:rPr>
        <w:t xml:space="preserve">the insolvency proceeds of </w:t>
      </w:r>
      <w:r>
        <w:rPr>
          <w:rFonts w:ascii="Arial" w:hAnsi="Arial" w:cs="Arial"/>
          <w:sz w:val="22"/>
          <w:szCs w:val="22"/>
          <w:lang w:val="en-GB"/>
        </w:rPr>
        <w:t xml:space="preserve">the Business, the foreign Agent will have to provide formal proof of three main requirements to the </w:t>
      </w:r>
      <w:r w:rsidR="005466AC">
        <w:rPr>
          <w:rFonts w:ascii="Arial" w:hAnsi="Arial" w:cs="Arial"/>
          <w:sz w:val="22"/>
          <w:szCs w:val="22"/>
          <w:lang w:val="en-GB"/>
        </w:rPr>
        <w:t>Canadian Courts:</w:t>
      </w:r>
    </w:p>
    <w:p w14:paraId="26AAD0ED" w14:textId="021DE1A7" w:rsidR="005466AC" w:rsidRDefault="005466AC" w:rsidP="00087F21">
      <w:pPr>
        <w:autoSpaceDE w:val="0"/>
        <w:autoSpaceDN w:val="0"/>
        <w:adjustRightInd w:val="0"/>
        <w:jc w:val="both"/>
        <w:rPr>
          <w:rFonts w:ascii="Arial" w:hAnsi="Arial" w:cs="Arial"/>
          <w:sz w:val="22"/>
          <w:szCs w:val="22"/>
          <w:lang w:val="en-GB"/>
        </w:rPr>
      </w:pPr>
    </w:p>
    <w:p w14:paraId="4F667711" w14:textId="7BE19545" w:rsidR="005466AC" w:rsidRDefault="00794CB2" w:rsidP="005466AC">
      <w:pPr>
        <w:pStyle w:val="ListParagraph"/>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lang w:val="en-GB"/>
        </w:rPr>
        <w:t>that the proceeding is a “foreign proceeding” in accordance with the statutory definition;</w:t>
      </w:r>
    </w:p>
    <w:p w14:paraId="18287A98" w14:textId="26DB387E" w:rsidR="00794CB2" w:rsidRDefault="00794CB2" w:rsidP="005466AC">
      <w:pPr>
        <w:pStyle w:val="ListParagraph"/>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lang w:val="en-GB"/>
        </w:rPr>
        <w:t>that the applicant is a “foreign representative” in accordance with the statutory definition; and</w:t>
      </w:r>
    </w:p>
    <w:p w14:paraId="4312FB7C" w14:textId="00A79F8E" w:rsidR="00794CB2" w:rsidRDefault="00794CB2" w:rsidP="005466AC">
      <w:pPr>
        <w:pStyle w:val="ListParagraph"/>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whether the “foreign proceeding” is a “foreign main proceeding” or a foreign non-main proceeding” based on </w:t>
      </w:r>
      <w:r w:rsidR="00497491">
        <w:rPr>
          <w:rFonts w:ascii="Arial" w:hAnsi="Arial" w:cs="Arial"/>
          <w:sz w:val="22"/>
          <w:szCs w:val="22"/>
          <w:lang w:val="en-GB"/>
        </w:rPr>
        <w:t>a Center of Main Interest (“COMI”) analysis.</w:t>
      </w:r>
    </w:p>
    <w:p w14:paraId="2284E55F" w14:textId="77777777" w:rsidR="00F4389B" w:rsidRDefault="00F4389B" w:rsidP="00497491">
      <w:pPr>
        <w:autoSpaceDE w:val="0"/>
        <w:autoSpaceDN w:val="0"/>
        <w:adjustRightInd w:val="0"/>
        <w:jc w:val="both"/>
        <w:rPr>
          <w:rFonts w:ascii="Arial" w:hAnsi="Arial" w:cs="Arial"/>
          <w:sz w:val="22"/>
          <w:szCs w:val="22"/>
          <w:lang w:val="en-GB"/>
        </w:rPr>
      </w:pPr>
    </w:p>
    <w:p w14:paraId="39A0BE96" w14:textId="45CE9DB4" w:rsidR="00497491" w:rsidRDefault="001F383A" w:rsidP="00497491">
      <w:pPr>
        <w:autoSpaceDE w:val="0"/>
        <w:autoSpaceDN w:val="0"/>
        <w:adjustRightInd w:val="0"/>
        <w:jc w:val="both"/>
        <w:rPr>
          <w:rFonts w:ascii="Arial" w:hAnsi="Arial" w:cs="Arial"/>
          <w:sz w:val="22"/>
          <w:szCs w:val="22"/>
          <w:lang w:val="en-GB"/>
        </w:rPr>
      </w:pPr>
      <w:r>
        <w:rPr>
          <w:rFonts w:ascii="Arial" w:hAnsi="Arial" w:cs="Arial"/>
          <w:sz w:val="22"/>
          <w:szCs w:val="22"/>
          <w:lang w:val="en-GB"/>
        </w:rPr>
        <w:t>Pursuant to section 268(1) of the BIA</w:t>
      </w:r>
      <w:r w:rsidR="002A63C4">
        <w:rPr>
          <w:rFonts w:ascii="Arial" w:hAnsi="Arial" w:cs="Arial"/>
          <w:sz w:val="22"/>
          <w:szCs w:val="22"/>
          <w:lang w:val="en-GB"/>
        </w:rPr>
        <w:t xml:space="preserve"> the statutory definition of a foreign proceeding is:</w:t>
      </w:r>
    </w:p>
    <w:p w14:paraId="7B7881DC" w14:textId="591ABCD9" w:rsidR="002A63C4" w:rsidRDefault="002A63C4" w:rsidP="00497491">
      <w:pPr>
        <w:autoSpaceDE w:val="0"/>
        <w:autoSpaceDN w:val="0"/>
        <w:adjustRightInd w:val="0"/>
        <w:jc w:val="both"/>
        <w:rPr>
          <w:rFonts w:ascii="Arial" w:hAnsi="Arial" w:cs="Arial"/>
          <w:sz w:val="22"/>
          <w:szCs w:val="22"/>
          <w:lang w:val="en-GB"/>
        </w:rPr>
      </w:pPr>
    </w:p>
    <w:p w14:paraId="71CBA845" w14:textId="301B0283" w:rsidR="002A63C4" w:rsidRPr="002A63C4" w:rsidRDefault="002A63C4" w:rsidP="00497491">
      <w:pPr>
        <w:autoSpaceDE w:val="0"/>
        <w:autoSpaceDN w:val="0"/>
        <w:adjustRightInd w:val="0"/>
        <w:jc w:val="both"/>
        <w:rPr>
          <w:rFonts w:ascii="Arial" w:hAnsi="Arial" w:cs="Arial"/>
          <w:i/>
          <w:iCs/>
          <w:sz w:val="22"/>
          <w:szCs w:val="22"/>
          <w:lang w:val="en-GB"/>
        </w:rPr>
      </w:pPr>
      <w:r>
        <w:rPr>
          <w:rFonts w:ascii="Arial" w:hAnsi="Arial" w:cs="Arial"/>
          <w:i/>
          <w:iCs/>
          <w:sz w:val="22"/>
          <w:szCs w:val="22"/>
          <w:lang w:val="en-GB"/>
        </w:rPr>
        <w:t xml:space="preserve">“a judicial </w:t>
      </w:r>
      <w:r w:rsidRPr="002A63C4">
        <w:rPr>
          <w:rFonts w:ascii="Arial" w:hAnsi="Arial" w:cs="Arial"/>
          <w:i/>
          <w:iCs/>
          <w:sz w:val="22"/>
          <w:szCs w:val="22"/>
          <w:lang w:val="en-GB"/>
        </w:rPr>
        <w:t>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r>
        <w:rPr>
          <w:rFonts w:ascii="Arial" w:hAnsi="Arial" w:cs="Arial"/>
          <w:i/>
          <w:iCs/>
          <w:sz w:val="22"/>
          <w:szCs w:val="22"/>
          <w:lang w:val="en-GB"/>
        </w:rPr>
        <w:t>”</w:t>
      </w:r>
    </w:p>
    <w:p w14:paraId="1F370692" w14:textId="173C2FAA" w:rsidR="007A63E8" w:rsidRDefault="007A63E8" w:rsidP="00497491">
      <w:pPr>
        <w:autoSpaceDE w:val="0"/>
        <w:autoSpaceDN w:val="0"/>
        <w:adjustRightInd w:val="0"/>
        <w:jc w:val="both"/>
        <w:rPr>
          <w:rFonts w:ascii="Arial" w:hAnsi="Arial" w:cs="Arial"/>
          <w:sz w:val="22"/>
          <w:szCs w:val="22"/>
          <w:lang w:val="en-GB"/>
        </w:rPr>
      </w:pPr>
    </w:p>
    <w:p w14:paraId="7AFD3896" w14:textId="2E057927" w:rsidR="002A63C4" w:rsidRDefault="00324FC9" w:rsidP="0049749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is acting under the foreign law of the foreign jurisdiction and is empowered by that foreign jurisdiction’s </w:t>
      </w:r>
      <w:r w:rsidRPr="00D80DC2">
        <w:rPr>
          <w:rFonts w:ascii="Arial" w:hAnsi="Arial" w:cs="Arial"/>
          <w:sz w:val="22"/>
          <w:szCs w:val="22"/>
          <w:lang w:val="en-GB"/>
        </w:rPr>
        <w:t>legislation and courts</w:t>
      </w:r>
      <w:r>
        <w:rPr>
          <w:rFonts w:ascii="Arial" w:hAnsi="Arial" w:cs="Arial"/>
          <w:sz w:val="22"/>
          <w:szCs w:val="22"/>
          <w:lang w:val="en-GB"/>
        </w:rPr>
        <w:t xml:space="preserve"> to deal with the assets of the Business.  </w:t>
      </w:r>
      <w:r w:rsidR="0002555F">
        <w:rPr>
          <w:rFonts w:ascii="Arial" w:hAnsi="Arial" w:cs="Arial"/>
          <w:sz w:val="22"/>
          <w:szCs w:val="22"/>
          <w:lang w:val="en-GB"/>
        </w:rPr>
        <w:t>Therefore, the foreign proceeding meets the broad definition of a foreign proceeding as the foreign jurisdiction is outside of Canada, under laws relating to insolvency</w:t>
      </w:r>
      <w:r w:rsidR="00A95745">
        <w:rPr>
          <w:rFonts w:ascii="Arial" w:hAnsi="Arial" w:cs="Arial"/>
          <w:sz w:val="22"/>
          <w:szCs w:val="22"/>
          <w:lang w:val="en-GB"/>
        </w:rPr>
        <w:t>,</w:t>
      </w:r>
      <w:r w:rsidR="0002555F">
        <w:rPr>
          <w:rFonts w:ascii="Arial" w:hAnsi="Arial" w:cs="Arial"/>
          <w:sz w:val="22"/>
          <w:szCs w:val="22"/>
          <w:lang w:val="en-GB"/>
        </w:rPr>
        <w:t xml:space="preserve"> and</w:t>
      </w:r>
      <w:r w:rsidR="00A95745">
        <w:rPr>
          <w:rFonts w:ascii="Arial" w:hAnsi="Arial" w:cs="Arial"/>
          <w:sz w:val="22"/>
          <w:szCs w:val="22"/>
          <w:lang w:val="en-GB"/>
        </w:rPr>
        <w:t>,</w:t>
      </w:r>
      <w:r w:rsidR="0002555F">
        <w:rPr>
          <w:rFonts w:ascii="Arial" w:hAnsi="Arial" w:cs="Arial"/>
          <w:sz w:val="22"/>
          <w:szCs w:val="22"/>
          <w:lang w:val="en-GB"/>
        </w:rPr>
        <w:t xml:space="preserve"> the appointment is over the assets of the Business.</w:t>
      </w:r>
    </w:p>
    <w:p w14:paraId="467482A1" w14:textId="7EC4379F" w:rsidR="0002555F" w:rsidRDefault="0002555F" w:rsidP="00497491">
      <w:pPr>
        <w:autoSpaceDE w:val="0"/>
        <w:autoSpaceDN w:val="0"/>
        <w:adjustRightInd w:val="0"/>
        <w:jc w:val="both"/>
        <w:rPr>
          <w:rFonts w:ascii="Arial" w:hAnsi="Arial" w:cs="Arial"/>
          <w:sz w:val="22"/>
          <w:szCs w:val="22"/>
          <w:lang w:val="en-GB"/>
        </w:rPr>
      </w:pPr>
    </w:p>
    <w:p w14:paraId="4896C67F" w14:textId="4A5ECAEB" w:rsidR="0002555F" w:rsidRDefault="0002555F" w:rsidP="00497491">
      <w:pPr>
        <w:autoSpaceDE w:val="0"/>
        <w:autoSpaceDN w:val="0"/>
        <w:adjustRightInd w:val="0"/>
        <w:jc w:val="both"/>
        <w:rPr>
          <w:rFonts w:ascii="Arial" w:hAnsi="Arial" w:cs="Arial"/>
          <w:sz w:val="22"/>
          <w:szCs w:val="22"/>
          <w:lang w:val="en-GB"/>
        </w:rPr>
      </w:pPr>
      <w:r>
        <w:rPr>
          <w:rFonts w:ascii="Arial" w:hAnsi="Arial" w:cs="Arial"/>
          <w:sz w:val="22"/>
          <w:szCs w:val="22"/>
          <w:lang w:val="en-GB"/>
        </w:rPr>
        <w:t>Pursuant to section 268(1) of the BIA the statutory definition of a foreign representative is:</w:t>
      </w:r>
    </w:p>
    <w:p w14:paraId="319B7263" w14:textId="338011B6" w:rsidR="0002555F" w:rsidRDefault="0002555F" w:rsidP="00497491">
      <w:pPr>
        <w:autoSpaceDE w:val="0"/>
        <w:autoSpaceDN w:val="0"/>
        <w:adjustRightInd w:val="0"/>
        <w:jc w:val="both"/>
        <w:rPr>
          <w:rFonts w:ascii="Arial" w:hAnsi="Arial" w:cs="Arial"/>
          <w:sz w:val="22"/>
          <w:szCs w:val="22"/>
          <w:lang w:val="en-GB"/>
        </w:rPr>
      </w:pPr>
    </w:p>
    <w:p w14:paraId="1BBC75EF" w14:textId="77777777" w:rsidR="0002555F" w:rsidRPr="0002555F" w:rsidRDefault="0002555F" w:rsidP="0002555F">
      <w:pPr>
        <w:autoSpaceDE w:val="0"/>
        <w:autoSpaceDN w:val="0"/>
        <w:adjustRightInd w:val="0"/>
        <w:jc w:val="both"/>
        <w:rPr>
          <w:rFonts w:ascii="Arial" w:hAnsi="Arial" w:cs="Arial"/>
          <w:i/>
          <w:iCs/>
          <w:sz w:val="22"/>
          <w:szCs w:val="22"/>
          <w:lang w:val="en-GB"/>
        </w:rPr>
      </w:pPr>
      <w:r>
        <w:rPr>
          <w:rFonts w:ascii="Arial" w:hAnsi="Arial" w:cs="Arial"/>
          <w:i/>
          <w:iCs/>
          <w:sz w:val="22"/>
          <w:szCs w:val="22"/>
          <w:lang w:val="en-GB"/>
        </w:rPr>
        <w:t>“</w:t>
      </w:r>
      <w:r w:rsidRPr="0002555F">
        <w:rPr>
          <w:rFonts w:ascii="Arial" w:hAnsi="Arial" w:cs="Arial"/>
          <w:i/>
          <w:iCs/>
          <w:sz w:val="22"/>
          <w:szCs w:val="22"/>
          <w:lang w:val="en-GB"/>
        </w:rPr>
        <w:t>a person or body, including one appointed on an interim basis, who is authorized, in a foreign proceeding in respect of a debtor, to</w:t>
      </w:r>
    </w:p>
    <w:p w14:paraId="280515C9" w14:textId="77777777" w:rsidR="0002555F" w:rsidRPr="0002555F" w:rsidRDefault="0002555F" w:rsidP="0002555F">
      <w:pPr>
        <w:autoSpaceDE w:val="0"/>
        <w:autoSpaceDN w:val="0"/>
        <w:adjustRightInd w:val="0"/>
        <w:jc w:val="both"/>
        <w:rPr>
          <w:rFonts w:ascii="Arial" w:hAnsi="Arial" w:cs="Arial"/>
          <w:i/>
          <w:iCs/>
          <w:sz w:val="22"/>
          <w:szCs w:val="22"/>
          <w:lang w:val="en-GB"/>
        </w:rPr>
      </w:pPr>
    </w:p>
    <w:p w14:paraId="66219031" w14:textId="77777777" w:rsidR="0002555F" w:rsidRPr="0002555F" w:rsidRDefault="0002555F" w:rsidP="0002555F">
      <w:pPr>
        <w:autoSpaceDE w:val="0"/>
        <w:autoSpaceDN w:val="0"/>
        <w:adjustRightInd w:val="0"/>
        <w:jc w:val="both"/>
        <w:rPr>
          <w:rFonts w:ascii="Arial" w:hAnsi="Arial" w:cs="Arial"/>
          <w:i/>
          <w:iCs/>
          <w:sz w:val="22"/>
          <w:szCs w:val="22"/>
          <w:lang w:val="en-GB"/>
        </w:rPr>
      </w:pPr>
      <w:r w:rsidRPr="0002555F">
        <w:rPr>
          <w:rFonts w:ascii="Arial" w:hAnsi="Arial" w:cs="Arial"/>
          <w:i/>
          <w:iCs/>
          <w:sz w:val="22"/>
          <w:szCs w:val="22"/>
          <w:lang w:val="en-GB"/>
        </w:rPr>
        <w:t>(a) administer the debtor’s property or affairs for the purpose of reorganization or liquidation; or</w:t>
      </w:r>
    </w:p>
    <w:p w14:paraId="30A58F47" w14:textId="77777777" w:rsidR="0002555F" w:rsidRPr="0002555F" w:rsidRDefault="0002555F" w:rsidP="0002555F">
      <w:pPr>
        <w:autoSpaceDE w:val="0"/>
        <w:autoSpaceDN w:val="0"/>
        <w:adjustRightInd w:val="0"/>
        <w:jc w:val="both"/>
        <w:rPr>
          <w:rFonts w:ascii="Arial" w:hAnsi="Arial" w:cs="Arial"/>
          <w:i/>
          <w:iCs/>
          <w:sz w:val="22"/>
          <w:szCs w:val="22"/>
          <w:lang w:val="en-GB"/>
        </w:rPr>
      </w:pPr>
    </w:p>
    <w:p w14:paraId="53345379" w14:textId="0B753EC0" w:rsidR="0002555F" w:rsidRPr="0002555F" w:rsidRDefault="0002555F" w:rsidP="0002555F">
      <w:pPr>
        <w:autoSpaceDE w:val="0"/>
        <w:autoSpaceDN w:val="0"/>
        <w:adjustRightInd w:val="0"/>
        <w:jc w:val="both"/>
        <w:rPr>
          <w:rFonts w:ascii="Arial" w:hAnsi="Arial" w:cs="Arial"/>
          <w:i/>
          <w:iCs/>
          <w:sz w:val="22"/>
          <w:szCs w:val="22"/>
          <w:lang w:val="en-GB"/>
        </w:rPr>
      </w:pPr>
      <w:r w:rsidRPr="0002555F">
        <w:rPr>
          <w:rFonts w:ascii="Arial" w:hAnsi="Arial" w:cs="Arial"/>
          <w:i/>
          <w:iCs/>
          <w:sz w:val="22"/>
          <w:szCs w:val="22"/>
          <w:lang w:val="en-GB"/>
        </w:rPr>
        <w:t>(b) act as a representative in respect of the foreign proceeding.</w:t>
      </w:r>
      <w:r>
        <w:rPr>
          <w:rFonts w:ascii="Arial" w:hAnsi="Arial" w:cs="Arial"/>
          <w:i/>
          <w:iCs/>
          <w:sz w:val="22"/>
          <w:szCs w:val="22"/>
          <w:lang w:val="en-GB"/>
        </w:rPr>
        <w:t>”</w:t>
      </w:r>
    </w:p>
    <w:p w14:paraId="07CE1724" w14:textId="2BF4FAE2" w:rsidR="002A63C4" w:rsidRDefault="002A63C4" w:rsidP="00497491">
      <w:pPr>
        <w:autoSpaceDE w:val="0"/>
        <w:autoSpaceDN w:val="0"/>
        <w:adjustRightInd w:val="0"/>
        <w:jc w:val="both"/>
        <w:rPr>
          <w:rFonts w:ascii="Arial" w:hAnsi="Arial" w:cs="Arial"/>
          <w:sz w:val="22"/>
          <w:szCs w:val="22"/>
          <w:lang w:val="en-GB"/>
        </w:rPr>
      </w:pPr>
    </w:p>
    <w:p w14:paraId="70496D3E" w14:textId="00B07C3F" w:rsidR="0002555F" w:rsidRDefault="00FD72FA" w:rsidP="00497491">
      <w:pPr>
        <w:autoSpaceDE w:val="0"/>
        <w:autoSpaceDN w:val="0"/>
        <w:adjustRightInd w:val="0"/>
        <w:jc w:val="both"/>
        <w:rPr>
          <w:rFonts w:ascii="Arial" w:hAnsi="Arial" w:cs="Arial"/>
          <w:sz w:val="22"/>
          <w:szCs w:val="22"/>
          <w:lang w:val="en-GB"/>
        </w:rPr>
      </w:pPr>
      <w:r>
        <w:rPr>
          <w:rFonts w:ascii="Arial" w:hAnsi="Arial" w:cs="Arial"/>
          <w:sz w:val="22"/>
          <w:szCs w:val="22"/>
          <w:lang w:val="en-GB"/>
        </w:rPr>
        <w:t>The Foreign Agent is appointed over the assets of the business for the purpose of insolvency / reorganisation pursuant to the legislation and court of the foreign jurisdiction.  Therefore, the Foreign Agent meets the statutory definition of a foreign representative.</w:t>
      </w:r>
    </w:p>
    <w:p w14:paraId="0D9B32EA" w14:textId="15FCED10" w:rsidR="00FD72FA" w:rsidRDefault="00FD72FA" w:rsidP="00497491">
      <w:pPr>
        <w:autoSpaceDE w:val="0"/>
        <w:autoSpaceDN w:val="0"/>
        <w:adjustRightInd w:val="0"/>
        <w:jc w:val="both"/>
        <w:rPr>
          <w:rFonts w:ascii="Arial" w:hAnsi="Arial" w:cs="Arial"/>
          <w:sz w:val="22"/>
          <w:szCs w:val="22"/>
          <w:lang w:val="en-GB"/>
        </w:rPr>
      </w:pPr>
    </w:p>
    <w:p w14:paraId="231F4AAE" w14:textId="4A94C848" w:rsidR="00FD72FA" w:rsidRDefault="00E64EC6" w:rsidP="0049749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There is no statutory definition of COMI.  However, both the BIA </w:t>
      </w:r>
      <w:r w:rsidR="00F70733">
        <w:rPr>
          <w:rFonts w:ascii="Arial" w:hAnsi="Arial" w:cs="Arial"/>
          <w:sz w:val="22"/>
          <w:szCs w:val="22"/>
          <w:lang w:val="en-GB"/>
        </w:rPr>
        <w:t xml:space="preserve">(section 268) </w:t>
      </w:r>
      <w:r>
        <w:rPr>
          <w:rFonts w:ascii="Arial" w:hAnsi="Arial" w:cs="Arial"/>
          <w:sz w:val="22"/>
          <w:szCs w:val="22"/>
          <w:lang w:val="en-GB"/>
        </w:rPr>
        <w:t xml:space="preserve">and CCAA </w:t>
      </w:r>
      <w:r w:rsidR="00F70733">
        <w:rPr>
          <w:rFonts w:ascii="Arial" w:hAnsi="Arial" w:cs="Arial"/>
          <w:sz w:val="22"/>
          <w:szCs w:val="22"/>
          <w:lang w:val="en-GB"/>
        </w:rPr>
        <w:t xml:space="preserve">(section 45) </w:t>
      </w:r>
      <w:r>
        <w:rPr>
          <w:rFonts w:ascii="Arial" w:hAnsi="Arial" w:cs="Arial"/>
          <w:sz w:val="22"/>
          <w:szCs w:val="22"/>
          <w:lang w:val="en-GB"/>
        </w:rPr>
        <w:t>contain a rebuttable presumption.  In the case of a company, the COMI, in absence of proof to the contrary is the company’s registered office.</w:t>
      </w:r>
      <w:r w:rsidR="005569CC">
        <w:rPr>
          <w:rFonts w:ascii="Arial" w:hAnsi="Arial" w:cs="Arial"/>
          <w:sz w:val="22"/>
          <w:szCs w:val="22"/>
          <w:lang w:val="en-GB"/>
        </w:rPr>
        <w:t xml:space="preserve">  The Canadian Courts have identified three primary considerations, considered as a whole, are of primary importance for determining the COMI:</w:t>
      </w:r>
    </w:p>
    <w:p w14:paraId="2AC1BAC5" w14:textId="6526CFB0" w:rsidR="005569CC" w:rsidRDefault="005569CC" w:rsidP="00497491">
      <w:pPr>
        <w:autoSpaceDE w:val="0"/>
        <w:autoSpaceDN w:val="0"/>
        <w:adjustRightInd w:val="0"/>
        <w:jc w:val="both"/>
        <w:rPr>
          <w:rFonts w:ascii="Arial" w:hAnsi="Arial" w:cs="Arial"/>
          <w:sz w:val="22"/>
          <w:szCs w:val="22"/>
          <w:lang w:val="en-GB"/>
        </w:rPr>
      </w:pPr>
    </w:p>
    <w:p w14:paraId="1CFA6EA7" w14:textId="681631D7" w:rsidR="005569CC" w:rsidRDefault="005569CC" w:rsidP="005569CC">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sz w:val="22"/>
          <w:szCs w:val="22"/>
          <w:lang w:val="en-GB"/>
        </w:rPr>
        <w:t>the location that significant creditors recognise as being the centre of the company’s operations;</w:t>
      </w:r>
    </w:p>
    <w:p w14:paraId="3682F221" w14:textId="385DCE1F" w:rsidR="005569CC" w:rsidRDefault="005569CC" w:rsidP="005569CC">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sz w:val="22"/>
          <w:szCs w:val="22"/>
          <w:lang w:val="en-GB"/>
        </w:rPr>
        <w:t>the location in which the debtor’s principal assets or operations are found; and</w:t>
      </w:r>
    </w:p>
    <w:p w14:paraId="01B941EC" w14:textId="340FD90F" w:rsidR="005569CC" w:rsidRDefault="005569CC" w:rsidP="005569CC">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sz w:val="22"/>
          <w:szCs w:val="22"/>
          <w:lang w:val="en-GB"/>
        </w:rPr>
        <w:t>the location of the debtor’s headquarters, head office or “nerve centre”.</w:t>
      </w:r>
    </w:p>
    <w:p w14:paraId="5F06E944" w14:textId="11668D04" w:rsidR="005569CC" w:rsidRDefault="005569CC" w:rsidP="005569CC">
      <w:pPr>
        <w:autoSpaceDE w:val="0"/>
        <w:autoSpaceDN w:val="0"/>
        <w:adjustRightInd w:val="0"/>
        <w:jc w:val="both"/>
        <w:rPr>
          <w:rFonts w:ascii="Arial" w:hAnsi="Arial" w:cs="Arial"/>
          <w:sz w:val="22"/>
          <w:szCs w:val="22"/>
          <w:lang w:val="en-GB"/>
        </w:rPr>
      </w:pPr>
    </w:p>
    <w:p w14:paraId="263C9DD5" w14:textId="59DB025F" w:rsidR="005569CC" w:rsidRDefault="00F8516A" w:rsidP="005569CC">
      <w:pPr>
        <w:autoSpaceDE w:val="0"/>
        <w:autoSpaceDN w:val="0"/>
        <w:adjustRightInd w:val="0"/>
        <w:jc w:val="both"/>
        <w:rPr>
          <w:rFonts w:ascii="Arial" w:hAnsi="Arial" w:cs="Arial"/>
          <w:sz w:val="22"/>
          <w:szCs w:val="22"/>
          <w:lang w:val="en-GB"/>
        </w:rPr>
      </w:pPr>
      <w:r>
        <w:rPr>
          <w:rFonts w:ascii="Arial" w:hAnsi="Arial" w:cs="Arial"/>
          <w:sz w:val="22"/>
          <w:szCs w:val="22"/>
          <w:lang w:val="en-GB"/>
        </w:rPr>
        <w:t>From the information provided, the known creditors of the business are foreign based secured lenders who are owed approximately CAD200 million.  Whether those creditors are in the same foreign jurisdiction is not clear.  It is also not known the quantum of creditors the Business has in Canada.</w:t>
      </w:r>
    </w:p>
    <w:p w14:paraId="41F6EF25" w14:textId="39414937" w:rsidR="00F8516A" w:rsidRDefault="00F8516A" w:rsidP="005569CC">
      <w:pPr>
        <w:autoSpaceDE w:val="0"/>
        <w:autoSpaceDN w:val="0"/>
        <w:adjustRightInd w:val="0"/>
        <w:jc w:val="both"/>
        <w:rPr>
          <w:rFonts w:ascii="Arial" w:hAnsi="Arial" w:cs="Arial"/>
          <w:sz w:val="22"/>
          <w:szCs w:val="22"/>
          <w:lang w:val="en-GB"/>
        </w:rPr>
      </w:pPr>
    </w:p>
    <w:p w14:paraId="18A2969A" w14:textId="394931B8" w:rsidR="00F8516A" w:rsidRDefault="00F8516A" w:rsidP="005569CC">
      <w:pPr>
        <w:autoSpaceDE w:val="0"/>
        <w:autoSpaceDN w:val="0"/>
        <w:adjustRightInd w:val="0"/>
        <w:jc w:val="both"/>
        <w:rPr>
          <w:rFonts w:ascii="Arial" w:hAnsi="Arial" w:cs="Arial"/>
          <w:sz w:val="22"/>
          <w:szCs w:val="22"/>
          <w:lang w:val="en-GB"/>
        </w:rPr>
      </w:pPr>
      <w:r>
        <w:rPr>
          <w:rFonts w:ascii="Arial" w:hAnsi="Arial" w:cs="Arial"/>
          <w:sz w:val="22"/>
          <w:szCs w:val="22"/>
          <w:lang w:val="en-GB"/>
        </w:rPr>
        <w:t>Although the Business has a fulfilment office and warehouse in Canada, it is not clear whether that is the location of the Business’s principal assets.</w:t>
      </w:r>
    </w:p>
    <w:p w14:paraId="48052155" w14:textId="07DC8A48" w:rsidR="00F8516A" w:rsidRDefault="00F8516A" w:rsidP="005569CC">
      <w:pPr>
        <w:autoSpaceDE w:val="0"/>
        <w:autoSpaceDN w:val="0"/>
        <w:adjustRightInd w:val="0"/>
        <w:jc w:val="both"/>
        <w:rPr>
          <w:rFonts w:ascii="Arial" w:hAnsi="Arial" w:cs="Arial"/>
          <w:sz w:val="22"/>
          <w:szCs w:val="22"/>
          <w:lang w:val="en-GB"/>
        </w:rPr>
      </w:pPr>
    </w:p>
    <w:p w14:paraId="32B19BD0" w14:textId="32511B9F" w:rsidR="00F8516A" w:rsidRDefault="007C0B73" w:rsidP="005569CC">
      <w:pPr>
        <w:autoSpaceDE w:val="0"/>
        <w:autoSpaceDN w:val="0"/>
        <w:adjustRightInd w:val="0"/>
        <w:jc w:val="both"/>
        <w:rPr>
          <w:rFonts w:ascii="Arial" w:hAnsi="Arial" w:cs="Arial"/>
          <w:sz w:val="22"/>
          <w:szCs w:val="22"/>
          <w:lang w:val="en-GB"/>
        </w:rPr>
      </w:pPr>
      <w:r>
        <w:rPr>
          <w:rFonts w:ascii="Arial" w:hAnsi="Arial" w:cs="Arial"/>
          <w:sz w:val="22"/>
          <w:szCs w:val="22"/>
          <w:lang w:val="en-GB"/>
        </w:rPr>
        <w:t>The head office of the Business is located in the foreign jurisdiction.</w:t>
      </w:r>
    </w:p>
    <w:p w14:paraId="6C9D6AD7" w14:textId="6E18B044" w:rsidR="007C0B73" w:rsidRDefault="007C0B73" w:rsidP="005569CC">
      <w:pPr>
        <w:autoSpaceDE w:val="0"/>
        <w:autoSpaceDN w:val="0"/>
        <w:adjustRightInd w:val="0"/>
        <w:jc w:val="both"/>
        <w:rPr>
          <w:rFonts w:ascii="Arial" w:hAnsi="Arial" w:cs="Arial"/>
          <w:sz w:val="22"/>
          <w:szCs w:val="22"/>
          <w:lang w:val="en-GB"/>
        </w:rPr>
      </w:pPr>
    </w:p>
    <w:p w14:paraId="30CA0A6F" w14:textId="647B38A0" w:rsidR="007C0B73" w:rsidRPr="005569CC" w:rsidRDefault="007C0B73" w:rsidP="005569CC">
      <w:pPr>
        <w:autoSpaceDE w:val="0"/>
        <w:autoSpaceDN w:val="0"/>
        <w:adjustRightInd w:val="0"/>
        <w:jc w:val="both"/>
        <w:rPr>
          <w:rFonts w:ascii="Arial" w:hAnsi="Arial" w:cs="Arial"/>
          <w:sz w:val="22"/>
          <w:szCs w:val="22"/>
          <w:lang w:val="en-GB"/>
        </w:rPr>
      </w:pPr>
      <w:r>
        <w:rPr>
          <w:rFonts w:ascii="Arial" w:hAnsi="Arial" w:cs="Arial"/>
          <w:sz w:val="22"/>
          <w:szCs w:val="22"/>
          <w:lang w:val="en-GB"/>
        </w:rPr>
        <w:t>Because there is limited evidence to the contrary, the COMI of the business is in the foreign Jurisdiction where its head office is located.  Therefore, if the Foreign Representative is successful in achieving recognition, the proceedings will be considered foreign non0main proceedings.</w:t>
      </w:r>
    </w:p>
    <w:p w14:paraId="528BA665" w14:textId="77777777" w:rsidR="00D66613" w:rsidRPr="00D80DC2" w:rsidRDefault="00000000"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000000"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000000" w:rsidP="00087F21">
      <w:pPr>
        <w:autoSpaceDE w:val="0"/>
        <w:autoSpaceDN w:val="0"/>
        <w:adjustRightInd w:val="0"/>
        <w:jc w:val="both"/>
        <w:rPr>
          <w:rFonts w:ascii="Arial" w:hAnsi="Arial" w:cs="Arial"/>
          <w:sz w:val="22"/>
          <w:szCs w:val="22"/>
          <w:lang w:val="en-GB"/>
        </w:rPr>
      </w:pPr>
    </w:p>
    <w:p w14:paraId="43E89BEA" w14:textId="77777777" w:rsidR="00AE184B" w:rsidRDefault="008C6FAA" w:rsidP="00087F21">
      <w:pPr>
        <w:autoSpaceDE w:val="0"/>
        <w:autoSpaceDN w:val="0"/>
        <w:adjustRightInd w:val="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4DB23FB1" w14:textId="66382C90" w:rsidR="001F631D" w:rsidRDefault="00000000" w:rsidP="00087F21">
      <w:pPr>
        <w:autoSpaceDE w:val="0"/>
        <w:autoSpaceDN w:val="0"/>
        <w:adjustRightInd w:val="0"/>
        <w:jc w:val="both"/>
        <w:rPr>
          <w:rFonts w:ascii="Arial" w:hAnsi="Arial" w:cs="Arial"/>
          <w:color w:val="7B7B7B"/>
          <w:sz w:val="22"/>
          <w:szCs w:val="22"/>
          <w:lang w:val="en-GB"/>
        </w:rPr>
      </w:pPr>
    </w:p>
    <w:p w14:paraId="65B703AC" w14:textId="68946EEF" w:rsidR="003F200B" w:rsidRDefault="003F200B"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class action lawsuit has been filed in the Canadian Court on behalf of customers of the Business for monies paid in respect of unfulfilled order in the amount of CAD2 million (“the Lawsuit”).  The Lawsuit is still in the pleadings phase.  </w:t>
      </w:r>
    </w:p>
    <w:p w14:paraId="6D507FB9" w14:textId="77777777" w:rsidR="003F200B" w:rsidRDefault="003F200B" w:rsidP="00087F21">
      <w:pPr>
        <w:autoSpaceDE w:val="0"/>
        <w:autoSpaceDN w:val="0"/>
        <w:adjustRightInd w:val="0"/>
        <w:jc w:val="both"/>
        <w:rPr>
          <w:rFonts w:ascii="Arial" w:hAnsi="Arial" w:cs="Arial"/>
          <w:sz w:val="22"/>
          <w:szCs w:val="22"/>
          <w:lang w:val="en-GB"/>
        </w:rPr>
      </w:pPr>
    </w:p>
    <w:p w14:paraId="1412735F" w14:textId="04BA6F6B" w:rsidR="007C0B73" w:rsidRDefault="00906DB2"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As discussed above,</w:t>
      </w:r>
      <w:r w:rsidR="007C0B73">
        <w:rPr>
          <w:rFonts w:ascii="Arial" w:hAnsi="Arial" w:cs="Arial"/>
          <w:sz w:val="22"/>
          <w:szCs w:val="22"/>
          <w:lang w:val="en-GB"/>
        </w:rPr>
        <w:t xml:space="preserve"> </w:t>
      </w:r>
      <w:r>
        <w:rPr>
          <w:rFonts w:ascii="Arial" w:hAnsi="Arial" w:cs="Arial"/>
          <w:sz w:val="22"/>
          <w:szCs w:val="22"/>
          <w:lang w:val="en-GB"/>
        </w:rPr>
        <w:t xml:space="preserve">it is likely that the Court would determine </w:t>
      </w:r>
      <w:r w:rsidR="007C0B73">
        <w:rPr>
          <w:rFonts w:ascii="Arial" w:hAnsi="Arial" w:cs="Arial"/>
          <w:sz w:val="22"/>
          <w:szCs w:val="22"/>
          <w:lang w:val="en-GB"/>
        </w:rPr>
        <w:t xml:space="preserve">that the </w:t>
      </w:r>
      <w:r>
        <w:rPr>
          <w:rFonts w:ascii="Arial" w:hAnsi="Arial" w:cs="Arial"/>
          <w:sz w:val="22"/>
          <w:szCs w:val="22"/>
          <w:lang w:val="en-GB"/>
        </w:rPr>
        <w:t>Foreign Agent’s appointment</w:t>
      </w:r>
      <w:r w:rsidR="007C0B73">
        <w:rPr>
          <w:rFonts w:ascii="Arial" w:hAnsi="Arial" w:cs="Arial"/>
          <w:sz w:val="22"/>
          <w:szCs w:val="22"/>
          <w:lang w:val="en-GB"/>
        </w:rPr>
        <w:t xml:space="preserve"> be classified as </w:t>
      </w:r>
      <w:r>
        <w:rPr>
          <w:rFonts w:ascii="Arial" w:hAnsi="Arial" w:cs="Arial"/>
          <w:sz w:val="22"/>
          <w:szCs w:val="22"/>
          <w:lang w:val="en-GB"/>
        </w:rPr>
        <w:t xml:space="preserve">a </w:t>
      </w:r>
      <w:r w:rsidR="007C0B73">
        <w:rPr>
          <w:rFonts w:ascii="Arial" w:hAnsi="Arial" w:cs="Arial"/>
          <w:sz w:val="22"/>
          <w:szCs w:val="22"/>
          <w:lang w:val="en-GB"/>
        </w:rPr>
        <w:t>foreign non-main proceeding</w:t>
      </w:r>
      <w:r w:rsidR="003F200B">
        <w:rPr>
          <w:rFonts w:ascii="Arial" w:hAnsi="Arial" w:cs="Arial"/>
          <w:sz w:val="22"/>
          <w:szCs w:val="22"/>
          <w:lang w:val="en-GB"/>
        </w:rPr>
        <w:t xml:space="preserve"> in Canada</w:t>
      </w:r>
      <w:r w:rsidR="007C0B73">
        <w:rPr>
          <w:rFonts w:ascii="Arial" w:hAnsi="Arial" w:cs="Arial"/>
          <w:sz w:val="22"/>
          <w:szCs w:val="22"/>
          <w:lang w:val="en-GB"/>
        </w:rPr>
        <w:t xml:space="preserve">.  </w:t>
      </w:r>
      <w:r w:rsidR="007F3BB8">
        <w:rPr>
          <w:rFonts w:ascii="Arial" w:hAnsi="Arial" w:cs="Arial"/>
          <w:sz w:val="22"/>
          <w:szCs w:val="22"/>
          <w:lang w:val="en-GB"/>
        </w:rPr>
        <w:t>Pursuant to section 272(1) of the BIA / section 49(1) of the CCAA,</w:t>
      </w:r>
      <w:r>
        <w:rPr>
          <w:rFonts w:ascii="Arial" w:hAnsi="Arial" w:cs="Arial"/>
          <w:sz w:val="22"/>
          <w:szCs w:val="22"/>
          <w:lang w:val="en-GB"/>
        </w:rPr>
        <w:t xml:space="preserve"> a stay may be requested by the Foreign Agent, but the Court will exercise its own discretion to make any orders necessary for the protection of the Business’s property or the interest of creditors.</w:t>
      </w:r>
      <w:r w:rsidR="00B34AC0">
        <w:rPr>
          <w:rFonts w:ascii="Arial" w:hAnsi="Arial" w:cs="Arial"/>
          <w:sz w:val="22"/>
          <w:szCs w:val="22"/>
          <w:lang w:val="en-GB"/>
        </w:rPr>
        <w:t xml:space="preserve">  The Foreign Agent may make an application for an Order pursuant to section 271 of the BIA / section 48 of the CCAA including that no person shall commence or continue any action, execution or any other proceedings concerning the Business’s property, debts liabilities of obligations.  Accordingly, the Foreign Agent may make an application to the Canadian Court to stay the Lawsuit.</w:t>
      </w:r>
    </w:p>
    <w:p w14:paraId="29276BB2" w14:textId="685B56E4" w:rsidR="00B34AC0" w:rsidRDefault="00B34AC0" w:rsidP="00087F21">
      <w:pPr>
        <w:autoSpaceDE w:val="0"/>
        <w:autoSpaceDN w:val="0"/>
        <w:adjustRightInd w:val="0"/>
        <w:jc w:val="both"/>
        <w:rPr>
          <w:rFonts w:ascii="Arial" w:hAnsi="Arial" w:cs="Arial"/>
          <w:sz w:val="22"/>
          <w:szCs w:val="22"/>
          <w:lang w:val="en-GB"/>
        </w:rPr>
      </w:pPr>
    </w:p>
    <w:p w14:paraId="508A65D9" w14:textId="46091689" w:rsidR="00906DB2" w:rsidRPr="007C0B73" w:rsidRDefault="00B34AC0"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In deciding whether or not to make an order to stay the Lawsuit, the Canadian Court will consider public policy exemption.</w:t>
      </w:r>
      <w:r w:rsidR="00AA2FB5">
        <w:rPr>
          <w:rFonts w:ascii="Arial" w:hAnsi="Arial" w:cs="Arial"/>
          <w:sz w:val="22"/>
          <w:szCs w:val="22"/>
          <w:lang w:val="en-GB"/>
        </w:rPr>
        <w:t xml:space="preserve">  </w:t>
      </w:r>
      <w:r w:rsidR="00511B3E">
        <w:rPr>
          <w:rFonts w:ascii="Arial" w:hAnsi="Arial" w:cs="Arial"/>
          <w:sz w:val="22"/>
          <w:szCs w:val="22"/>
          <w:lang w:val="en-GB"/>
        </w:rPr>
        <w:t xml:space="preserve">Pursuant to section </w:t>
      </w:r>
      <w:r w:rsidR="005674F1">
        <w:rPr>
          <w:rFonts w:ascii="Arial" w:hAnsi="Arial" w:cs="Arial"/>
          <w:sz w:val="22"/>
          <w:szCs w:val="22"/>
          <w:lang w:val="en-GB"/>
        </w:rPr>
        <w:t>284(2) of the BIA / section 61(2) of the CCAA, the Court may refuse to do something that would be contrary to public policy.  The Court would have to consider whether staying the Lawsuit would be unfairly prejudicial to the Canadian customers CAD2 million claim.</w:t>
      </w:r>
    </w:p>
    <w:p w14:paraId="4A42416B" w14:textId="77777777" w:rsidR="00AE184B" w:rsidRDefault="00000000"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000000"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000000" w:rsidP="00087F21">
      <w:pPr>
        <w:jc w:val="both"/>
        <w:rPr>
          <w:rFonts w:ascii="Arial" w:hAnsi="Arial" w:cs="Arial"/>
          <w:color w:val="000000"/>
          <w:sz w:val="22"/>
          <w:szCs w:val="22"/>
          <w:lang w:val="en-GB"/>
        </w:rPr>
      </w:pPr>
    </w:p>
    <w:p w14:paraId="0FB2E18A" w14:textId="77777777" w:rsidR="00AE184B" w:rsidRDefault="008C6FAA" w:rsidP="00087F21">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5C831B76" w14:textId="65B25F75" w:rsidR="0077498C" w:rsidRDefault="00000000" w:rsidP="00087F21">
      <w:pPr>
        <w:jc w:val="both"/>
        <w:rPr>
          <w:rFonts w:ascii="Arial" w:hAnsi="Arial" w:cs="Arial"/>
          <w:color w:val="000000"/>
          <w:sz w:val="22"/>
          <w:szCs w:val="22"/>
          <w:lang w:val="en-GB"/>
        </w:rPr>
      </w:pPr>
    </w:p>
    <w:p w14:paraId="2CC15DC7" w14:textId="35B58077" w:rsidR="00AE184B" w:rsidRDefault="00E83E0E" w:rsidP="00087F21">
      <w:pPr>
        <w:jc w:val="both"/>
        <w:rPr>
          <w:rFonts w:ascii="Arial" w:hAnsi="Arial" w:cs="Arial"/>
          <w:color w:val="000000"/>
          <w:sz w:val="22"/>
          <w:szCs w:val="22"/>
          <w:lang w:val="en-GB"/>
        </w:rPr>
      </w:pPr>
      <w:r>
        <w:rPr>
          <w:rFonts w:ascii="Arial" w:hAnsi="Arial" w:cs="Arial"/>
          <w:color w:val="000000"/>
          <w:sz w:val="22"/>
          <w:szCs w:val="22"/>
          <w:lang w:val="en-GB"/>
        </w:rPr>
        <w:t>The Courts are not restricted in the relief the</w:t>
      </w:r>
      <w:r w:rsidR="00A95745">
        <w:rPr>
          <w:rFonts w:ascii="Arial" w:hAnsi="Arial" w:cs="Arial"/>
          <w:color w:val="000000"/>
          <w:sz w:val="22"/>
          <w:szCs w:val="22"/>
          <w:lang w:val="en-GB"/>
        </w:rPr>
        <w:t>y</w:t>
      </w:r>
      <w:r>
        <w:rPr>
          <w:rFonts w:ascii="Arial" w:hAnsi="Arial" w:cs="Arial"/>
          <w:color w:val="000000"/>
          <w:sz w:val="22"/>
          <w:szCs w:val="22"/>
          <w:lang w:val="en-GB"/>
        </w:rPr>
        <w:t xml:space="preserve"> can provide to the Foreign Representative.  </w:t>
      </w:r>
      <w:r w:rsidR="00912AFE">
        <w:rPr>
          <w:rFonts w:ascii="Arial" w:hAnsi="Arial" w:cs="Arial"/>
          <w:color w:val="000000"/>
          <w:sz w:val="22"/>
          <w:szCs w:val="22"/>
          <w:lang w:val="en-GB"/>
        </w:rPr>
        <w:t xml:space="preserve">In circumstances where the Foreign Representative’s appointment has been recognised, pursuant to </w:t>
      </w:r>
      <w:r w:rsidR="00C258ED">
        <w:rPr>
          <w:rFonts w:ascii="Arial" w:hAnsi="Arial" w:cs="Arial"/>
          <w:sz w:val="22"/>
          <w:szCs w:val="22"/>
          <w:lang w:val="en-GB"/>
        </w:rPr>
        <w:t>section 272(1) of the BIA / section 49(1) of the CCAA</w:t>
      </w:r>
      <w:r w:rsidR="00912AFE">
        <w:rPr>
          <w:rFonts w:ascii="Arial" w:hAnsi="Arial" w:cs="Arial"/>
          <w:color w:val="000000"/>
          <w:sz w:val="22"/>
          <w:szCs w:val="22"/>
          <w:lang w:val="en-GB"/>
        </w:rPr>
        <w:t>, should the Foreign Representative make an application in the Canadian Court, the Canadian Court has discretionary powers to make “any order that it considers appropriate”.</w:t>
      </w:r>
      <w:r w:rsidR="00C258ED">
        <w:rPr>
          <w:rFonts w:ascii="Arial" w:hAnsi="Arial" w:cs="Arial"/>
          <w:color w:val="000000"/>
          <w:sz w:val="22"/>
          <w:szCs w:val="22"/>
          <w:lang w:val="en-GB"/>
        </w:rPr>
        <w:t xml:space="preserve">  </w:t>
      </w:r>
    </w:p>
    <w:p w14:paraId="6A76679F" w14:textId="5B723380" w:rsidR="00C258ED" w:rsidRDefault="00C258ED" w:rsidP="00087F21">
      <w:pPr>
        <w:jc w:val="both"/>
        <w:rPr>
          <w:rFonts w:ascii="Arial" w:hAnsi="Arial" w:cs="Arial"/>
          <w:color w:val="000000"/>
          <w:sz w:val="22"/>
          <w:szCs w:val="22"/>
          <w:lang w:val="en-GB"/>
        </w:rPr>
      </w:pPr>
    </w:p>
    <w:p w14:paraId="472E8F30" w14:textId="29EF5085" w:rsidR="00C258ED" w:rsidRPr="00C258ED" w:rsidRDefault="00C258ED" w:rsidP="00087F21">
      <w:pPr>
        <w:jc w:val="both"/>
        <w:rPr>
          <w:rFonts w:ascii="Arial" w:hAnsi="Arial" w:cs="Arial"/>
          <w:color w:val="000000"/>
          <w:sz w:val="22"/>
          <w:szCs w:val="22"/>
          <w:lang w:val="en-GB"/>
        </w:rPr>
      </w:pPr>
      <w:r>
        <w:rPr>
          <w:rFonts w:ascii="Arial" w:hAnsi="Arial" w:cs="Arial"/>
          <w:color w:val="000000"/>
          <w:sz w:val="22"/>
          <w:szCs w:val="22"/>
          <w:lang w:val="en-GB"/>
        </w:rPr>
        <w:t xml:space="preserve">The Court is not restricted in exercising the discretion to only providing the remedies available under Canadian insolvency law.  In the case of </w:t>
      </w:r>
      <w:r>
        <w:rPr>
          <w:rFonts w:ascii="Arial" w:hAnsi="Arial" w:cs="Arial"/>
          <w:i/>
          <w:iCs/>
          <w:color w:val="000000"/>
          <w:sz w:val="22"/>
          <w:szCs w:val="22"/>
          <w:lang w:val="en-GB"/>
        </w:rPr>
        <w:t xml:space="preserve">Hartford Computer Hardware Inc, 2012 </w:t>
      </w:r>
      <w:r>
        <w:rPr>
          <w:rFonts w:ascii="Arial" w:hAnsi="Arial" w:cs="Arial"/>
          <w:color w:val="000000"/>
          <w:sz w:val="22"/>
          <w:szCs w:val="22"/>
          <w:lang w:val="en-GB"/>
        </w:rPr>
        <w:t>th</w:t>
      </w:r>
      <w:r w:rsidR="007E68B6">
        <w:rPr>
          <w:rFonts w:ascii="Arial" w:hAnsi="Arial" w:cs="Arial"/>
          <w:color w:val="000000"/>
          <w:sz w:val="22"/>
          <w:szCs w:val="22"/>
          <w:lang w:val="en-GB"/>
        </w:rPr>
        <w:t xml:space="preserve">e </w:t>
      </w:r>
      <w:r w:rsidR="003E6CEC">
        <w:rPr>
          <w:rFonts w:ascii="Arial" w:hAnsi="Arial" w:cs="Arial"/>
          <w:color w:val="000000"/>
          <w:sz w:val="22"/>
          <w:szCs w:val="22"/>
          <w:lang w:val="en-GB"/>
        </w:rPr>
        <w:t>Ontarian</w:t>
      </w:r>
      <w:r>
        <w:rPr>
          <w:rFonts w:ascii="Arial" w:hAnsi="Arial" w:cs="Arial"/>
          <w:color w:val="000000"/>
          <w:sz w:val="22"/>
          <w:szCs w:val="22"/>
          <w:lang w:val="en-GB"/>
        </w:rPr>
        <w:t xml:space="preserve"> Court </w:t>
      </w:r>
      <w:r w:rsidR="007E68B6">
        <w:rPr>
          <w:rFonts w:ascii="Arial" w:hAnsi="Arial" w:cs="Arial"/>
          <w:color w:val="000000"/>
          <w:sz w:val="22"/>
          <w:szCs w:val="22"/>
          <w:lang w:val="en-GB"/>
        </w:rPr>
        <w:t>ordered relief in foreign main proceedings where there are ancillary Canadian proceedings that would not ordinarily be available in Canadian proceedings.</w:t>
      </w:r>
      <w:r w:rsidR="003E6CEC">
        <w:rPr>
          <w:rFonts w:ascii="Arial" w:hAnsi="Arial" w:cs="Arial"/>
          <w:color w:val="000000"/>
          <w:sz w:val="22"/>
          <w:szCs w:val="22"/>
          <w:lang w:val="en-GB"/>
        </w:rPr>
        <w:t xml:space="preserve">  The Ontarian Court determined that recognition of a US Debtor-in-possession order was necessary for the US debtors property, for the interest of the debtors US creditors and was not contrary to public policy.</w:t>
      </w:r>
    </w:p>
    <w:p w14:paraId="113761F4" w14:textId="77777777" w:rsidR="00AE184B" w:rsidRPr="00D80DC2" w:rsidRDefault="00000000"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4270" w14:textId="77777777" w:rsidR="00F27DED" w:rsidRDefault="00F27DED">
      <w:r>
        <w:separator/>
      </w:r>
    </w:p>
  </w:endnote>
  <w:endnote w:type="continuationSeparator" w:id="0">
    <w:p w14:paraId="76CE09A3" w14:textId="77777777" w:rsidR="00F27DED" w:rsidRDefault="00F2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000000"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21741114" w:rsidR="00241FA3" w:rsidRPr="009B4976" w:rsidRDefault="008C6FAA"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14B82">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82BC" w14:textId="77777777" w:rsidR="00F27DED" w:rsidRDefault="00F27DED">
      <w:r>
        <w:separator/>
      </w:r>
    </w:p>
  </w:footnote>
  <w:footnote w:type="continuationSeparator" w:id="0">
    <w:p w14:paraId="07065BC5" w14:textId="77777777" w:rsidR="00F27DED" w:rsidRDefault="00F2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C391472" w:rsidR="00EE28C9" w:rsidRDefault="00A44888">
    <w:pPr>
      <w:pStyle w:val="Header"/>
    </w:pPr>
    <w:r>
      <w:rPr>
        <w:noProof/>
      </w:rPr>
      <mc:AlternateContent>
        <mc:Choice Requires="wps">
          <w:drawing>
            <wp:anchor distT="0" distB="0" distL="114300" distR="114300" simplePos="0" relativeHeight="251657216" behindDoc="0" locked="0" layoutInCell="0" allowOverlap="1" wp14:anchorId="34D2490F" wp14:editId="359EF649">
              <wp:simplePos x="0" y="0"/>
              <wp:positionH relativeFrom="page">
                <wp:posOffset>0</wp:posOffset>
              </wp:positionH>
              <wp:positionV relativeFrom="page">
                <wp:posOffset>190500</wp:posOffset>
              </wp:positionV>
              <wp:extent cx="7560310" cy="252095"/>
              <wp:effectExtent l="0" t="0" r="0" b="14605"/>
              <wp:wrapNone/>
              <wp:docPr id="1" name="MSIPCM3bc54e2697ddc0c4d3ef359b"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CD58E" w14:textId="71B405BA" w:rsidR="00A44888" w:rsidRPr="00A44888" w:rsidRDefault="00A44888" w:rsidP="00A44888">
                          <w:pPr>
                            <w:jc w:val="right"/>
                            <w:rPr>
                              <w:rFonts w:ascii="Arial" w:hAnsi="Arial" w:cs="Arial"/>
                              <w:color w:val="000000"/>
                              <w:sz w:val="16"/>
                            </w:rPr>
                          </w:pPr>
                          <w:r w:rsidRPr="00A4488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4D2490F" id="_x0000_t202" coordsize="21600,21600" o:spt="202" path="m,l,21600r21600,l21600,xe">
              <v:stroke joinstyle="miter"/>
              <v:path gradientshapeok="t" o:connecttype="rect"/>
            </v:shapetype>
            <v:shape id="MSIPCM3bc54e2697ddc0c4d3ef359b"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029CD58E" w14:textId="71B405BA" w:rsidR="00A44888" w:rsidRPr="00A44888" w:rsidRDefault="00A44888" w:rsidP="00A44888">
                    <w:pPr>
                      <w:jc w:val="right"/>
                      <w:rPr>
                        <w:rFonts w:ascii="Arial" w:hAnsi="Arial" w:cs="Arial"/>
                        <w:color w:val="000000"/>
                        <w:sz w:val="16"/>
                      </w:rPr>
                    </w:pPr>
                    <w:r w:rsidRPr="00A44888">
                      <w:rPr>
                        <w:rFonts w:ascii="Arial" w:hAnsi="Arial" w:cs="Arial"/>
                        <w:color w:val="000000"/>
                        <w:sz w:val="16"/>
                      </w:rPr>
                      <w:t>Commercial in confidence</w:t>
                    </w:r>
                  </w:p>
                </w:txbxContent>
              </v:textbox>
              <w10:wrap anchorx="page" anchory="page"/>
            </v:shape>
          </w:pict>
        </mc:Fallback>
      </mc:AlternateContent>
    </w:r>
    <w:r w:rsidR="008C6FA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AF15A0A" w:rsidR="00EE28C9" w:rsidRDefault="00A44888">
    <w:pPr>
      <w:pStyle w:val="Header"/>
    </w:pPr>
    <w:r>
      <w:rPr>
        <w:noProof/>
      </w:rPr>
      <mc:AlternateContent>
        <mc:Choice Requires="wps">
          <w:drawing>
            <wp:anchor distT="0" distB="0" distL="114300" distR="114300" simplePos="0" relativeHeight="251661312" behindDoc="0" locked="0" layoutInCell="0" allowOverlap="1" wp14:anchorId="18181D75" wp14:editId="26BC9BC8">
              <wp:simplePos x="0" y="0"/>
              <wp:positionH relativeFrom="page">
                <wp:posOffset>0</wp:posOffset>
              </wp:positionH>
              <wp:positionV relativeFrom="page">
                <wp:posOffset>190500</wp:posOffset>
              </wp:positionV>
              <wp:extent cx="7560310" cy="252095"/>
              <wp:effectExtent l="0" t="0" r="0" b="14605"/>
              <wp:wrapNone/>
              <wp:docPr id="2" name="MSIPCM7b1748df9e02952d313add9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897AB" w14:textId="5A5A7243" w:rsidR="00A44888" w:rsidRPr="00A44888" w:rsidRDefault="00A44888" w:rsidP="00A44888">
                          <w:pPr>
                            <w:jc w:val="right"/>
                            <w:rPr>
                              <w:rFonts w:ascii="Arial" w:hAnsi="Arial" w:cs="Arial"/>
                              <w:color w:val="000000"/>
                              <w:sz w:val="16"/>
                            </w:rPr>
                          </w:pPr>
                          <w:r w:rsidRPr="00A4488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181D75" id="_x0000_t202" coordsize="21600,21600" o:spt="202" path="m,l,21600r21600,l21600,xe">
              <v:stroke joinstyle="miter"/>
              <v:path gradientshapeok="t" o:connecttype="rect"/>
            </v:shapetype>
            <v:shape id="MSIPCM7b1748df9e02952d313add98"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3E2897AB" w14:textId="5A5A7243" w:rsidR="00A44888" w:rsidRPr="00A44888" w:rsidRDefault="00A44888" w:rsidP="00A44888">
                    <w:pPr>
                      <w:jc w:val="right"/>
                      <w:rPr>
                        <w:rFonts w:ascii="Arial" w:hAnsi="Arial" w:cs="Arial"/>
                        <w:color w:val="000000"/>
                        <w:sz w:val="16"/>
                      </w:rPr>
                    </w:pPr>
                    <w:r w:rsidRPr="00A44888">
                      <w:rPr>
                        <w:rFonts w:ascii="Arial" w:hAnsi="Arial" w:cs="Arial"/>
                        <w:color w:val="000000"/>
                        <w:sz w:val="16"/>
                      </w:rPr>
                      <w:t>Commercial in confidence</w:t>
                    </w:r>
                  </w:p>
                </w:txbxContent>
              </v:textbox>
              <w10:wrap anchorx="page" anchory="page"/>
            </v:shape>
          </w:pict>
        </mc:Fallback>
      </mc:AlternateContent>
    </w:r>
    <w:r w:rsidR="008C6F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6A55E8"/>
    <w:multiLevelType w:val="hybridMultilevel"/>
    <w:tmpl w:val="EC842F06"/>
    <w:lvl w:ilvl="0" w:tplc="12EEB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713ECF"/>
    <w:multiLevelType w:val="hybridMultilevel"/>
    <w:tmpl w:val="C4684C88"/>
    <w:lvl w:ilvl="0" w:tplc="6D9C5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8109A"/>
    <w:multiLevelType w:val="hybridMultilevel"/>
    <w:tmpl w:val="D984453C"/>
    <w:lvl w:ilvl="0" w:tplc="F8EE5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4"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2"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3"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25" w15:restartNumberingAfterBreak="0">
    <w:nsid w:val="751D29CF"/>
    <w:multiLevelType w:val="hybridMultilevel"/>
    <w:tmpl w:val="E41CC93E"/>
    <w:lvl w:ilvl="0" w:tplc="F2D0D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C2FFC"/>
    <w:multiLevelType w:val="hybridMultilevel"/>
    <w:tmpl w:val="B134C2D4"/>
    <w:lvl w:ilvl="0" w:tplc="C92C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9112060">
    <w:abstractNumId w:val="18"/>
  </w:num>
  <w:num w:numId="2" w16cid:durableId="386034446">
    <w:abstractNumId w:val="22"/>
  </w:num>
  <w:num w:numId="3" w16cid:durableId="1403407026">
    <w:abstractNumId w:val="2"/>
  </w:num>
  <w:num w:numId="4" w16cid:durableId="653878914">
    <w:abstractNumId w:val="20"/>
  </w:num>
  <w:num w:numId="5" w16cid:durableId="936408446">
    <w:abstractNumId w:val="24"/>
  </w:num>
  <w:num w:numId="6" w16cid:durableId="919292152">
    <w:abstractNumId w:val="19"/>
  </w:num>
  <w:num w:numId="7" w16cid:durableId="1642416346">
    <w:abstractNumId w:val="0"/>
  </w:num>
  <w:num w:numId="8" w16cid:durableId="1034967138">
    <w:abstractNumId w:val="21"/>
  </w:num>
  <w:num w:numId="9" w16cid:durableId="192501790">
    <w:abstractNumId w:val="3"/>
  </w:num>
  <w:num w:numId="10" w16cid:durableId="1557082804">
    <w:abstractNumId w:val="11"/>
  </w:num>
  <w:num w:numId="11" w16cid:durableId="1901553102">
    <w:abstractNumId w:val="12"/>
  </w:num>
  <w:num w:numId="12" w16cid:durableId="146016548">
    <w:abstractNumId w:val="13"/>
  </w:num>
  <w:num w:numId="13" w16cid:durableId="947081697">
    <w:abstractNumId w:val="17"/>
  </w:num>
  <w:num w:numId="14" w16cid:durableId="1607928550">
    <w:abstractNumId w:val="5"/>
  </w:num>
  <w:num w:numId="15" w16cid:durableId="382290161">
    <w:abstractNumId w:val="10"/>
  </w:num>
  <w:num w:numId="16" w16cid:durableId="392705389">
    <w:abstractNumId w:val="4"/>
  </w:num>
  <w:num w:numId="17" w16cid:durableId="288630412">
    <w:abstractNumId w:val="1"/>
  </w:num>
  <w:num w:numId="18" w16cid:durableId="193345633">
    <w:abstractNumId w:val="16"/>
  </w:num>
  <w:num w:numId="19" w16cid:durableId="612787973">
    <w:abstractNumId w:val="23"/>
  </w:num>
  <w:num w:numId="20" w16cid:durableId="397896673">
    <w:abstractNumId w:val="14"/>
  </w:num>
  <w:num w:numId="21" w16cid:durableId="180437419">
    <w:abstractNumId w:val="7"/>
  </w:num>
  <w:num w:numId="22" w16cid:durableId="154492589">
    <w:abstractNumId w:val="15"/>
  </w:num>
  <w:num w:numId="23" w16cid:durableId="1840927772">
    <w:abstractNumId w:val="9"/>
  </w:num>
  <w:num w:numId="24" w16cid:durableId="455298339">
    <w:abstractNumId w:val="6"/>
  </w:num>
  <w:num w:numId="25" w16cid:durableId="805699850">
    <w:abstractNumId w:val="25"/>
  </w:num>
  <w:num w:numId="26" w16cid:durableId="1288851902">
    <w:abstractNumId w:val="8"/>
  </w:num>
  <w:num w:numId="27" w16cid:durableId="11251243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24DEA"/>
    <w:rsid w:val="00025201"/>
    <w:rsid w:val="0002555F"/>
    <w:rsid w:val="00035DCA"/>
    <w:rsid w:val="00055CC5"/>
    <w:rsid w:val="00081F3B"/>
    <w:rsid w:val="000F2991"/>
    <w:rsid w:val="00107795"/>
    <w:rsid w:val="00135B78"/>
    <w:rsid w:val="00157A36"/>
    <w:rsid w:val="00180BE0"/>
    <w:rsid w:val="001834D3"/>
    <w:rsid w:val="0019721F"/>
    <w:rsid w:val="001A6D29"/>
    <w:rsid w:val="001B0BDE"/>
    <w:rsid w:val="001E20BE"/>
    <w:rsid w:val="001E45D9"/>
    <w:rsid w:val="001E58CA"/>
    <w:rsid w:val="001F383A"/>
    <w:rsid w:val="002031B2"/>
    <w:rsid w:val="00266441"/>
    <w:rsid w:val="002A23E8"/>
    <w:rsid w:val="002A49B4"/>
    <w:rsid w:val="002A63C4"/>
    <w:rsid w:val="002B0DED"/>
    <w:rsid w:val="002D713F"/>
    <w:rsid w:val="003044AE"/>
    <w:rsid w:val="00310359"/>
    <w:rsid w:val="00320C98"/>
    <w:rsid w:val="00324FC9"/>
    <w:rsid w:val="00340FB8"/>
    <w:rsid w:val="00352E92"/>
    <w:rsid w:val="003B2F4E"/>
    <w:rsid w:val="003C0C12"/>
    <w:rsid w:val="003E6CEC"/>
    <w:rsid w:val="003F200B"/>
    <w:rsid w:val="0040437D"/>
    <w:rsid w:val="00410C9A"/>
    <w:rsid w:val="00477556"/>
    <w:rsid w:val="00497491"/>
    <w:rsid w:val="004D2F2F"/>
    <w:rsid w:val="005033A7"/>
    <w:rsid w:val="00511B3E"/>
    <w:rsid w:val="00513258"/>
    <w:rsid w:val="005466AC"/>
    <w:rsid w:val="005521B9"/>
    <w:rsid w:val="00554069"/>
    <w:rsid w:val="005569CC"/>
    <w:rsid w:val="005625A0"/>
    <w:rsid w:val="005674F1"/>
    <w:rsid w:val="005E74CD"/>
    <w:rsid w:val="00605657"/>
    <w:rsid w:val="006339D3"/>
    <w:rsid w:val="006524C5"/>
    <w:rsid w:val="0068536A"/>
    <w:rsid w:val="006A4A9B"/>
    <w:rsid w:val="006C686A"/>
    <w:rsid w:val="006F2B00"/>
    <w:rsid w:val="00714B82"/>
    <w:rsid w:val="0072094D"/>
    <w:rsid w:val="00745755"/>
    <w:rsid w:val="007514E8"/>
    <w:rsid w:val="00791452"/>
    <w:rsid w:val="00794CB2"/>
    <w:rsid w:val="007A63E8"/>
    <w:rsid w:val="007C0B73"/>
    <w:rsid w:val="007E68B6"/>
    <w:rsid w:val="007F3BB8"/>
    <w:rsid w:val="00821333"/>
    <w:rsid w:val="00844C8B"/>
    <w:rsid w:val="00855383"/>
    <w:rsid w:val="008C6FAA"/>
    <w:rsid w:val="008F5F63"/>
    <w:rsid w:val="00906DB2"/>
    <w:rsid w:val="00912AFE"/>
    <w:rsid w:val="00947FFB"/>
    <w:rsid w:val="00950086"/>
    <w:rsid w:val="009569A2"/>
    <w:rsid w:val="009B3AA0"/>
    <w:rsid w:val="009B5FEB"/>
    <w:rsid w:val="009F6486"/>
    <w:rsid w:val="00A13E9B"/>
    <w:rsid w:val="00A15772"/>
    <w:rsid w:val="00A254C1"/>
    <w:rsid w:val="00A44888"/>
    <w:rsid w:val="00A70963"/>
    <w:rsid w:val="00A95745"/>
    <w:rsid w:val="00AA2FB5"/>
    <w:rsid w:val="00AE42F3"/>
    <w:rsid w:val="00B27DB1"/>
    <w:rsid w:val="00B34AC0"/>
    <w:rsid w:val="00BB1754"/>
    <w:rsid w:val="00BE0F40"/>
    <w:rsid w:val="00C158CC"/>
    <w:rsid w:val="00C258ED"/>
    <w:rsid w:val="00C742BD"/>
    <w:rsid w:val="00CC7D24"/>
    <w:rsid w:val="00CD7568"/>
    <w:rsid w:val="00CE7A40"/>
    <w:rsid w:val="00DD4E2B"/>
    <w:rsid w:val="00DD7D62"/>
    <w:rsid w:val="00DE522F"/>
    <w:rsid w:val="00E0683B"/>
    <w:rsid w:val="00E64EC6"/>
    <w:rsid w:val="00E672A6"/>
    <w:rsid w:val="00E83E0E"/>
    <w:rsid w:val="00E91C87"/>
    <w:rsid w:val="00ED325E"/>
    <w:rsid w:val="00EE257D"/>
    <w:rsid w:val="00F27DED"/>
    <w:rsid w:val="00F4389B"/>
    <w:rsid w:val="00F70733"/>
    <w:rsid w:val="00F73328"/>
    <w:rsid w:val="00F762AE"/>
    <w:rsid w:val="00F83D52"/>
    <w:rsid w:val="00F8516A"/>
    <w:rsid w:val="00FA0FE0"/>
    <w:rsid w:val="00FB5D9B"/>
    <w:rsid w:val="00FD4AED"/>
    <w:rsid w:val="00FD5219"/>
    <w:rsid w:val="00FD6A23"/>
    <w:rsid w:val="00FD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6011</TotalTime>
  <Pages>1</Pages>
  <Words>3588</Words>
  <Characters>18553</Characters>
  <Application>Microsoft Office Word</Application>
  <DocSecurity>0</DocSecurity>
  <Lines>530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Bryce Doran</cp:lastModifiedBy>
  <cp:revision>53</cp:revision>
  <dcterms:created xsi:type="dcterms:W3CDTF">2022-02-21T16:30:00Z</dcterms:created>
  <dcterms:modified xsi:type="dcterms:W3CDTF">2022-07-30T17:28:00Z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y fmtid="{D5CDD505-2E9C-101B-9397-08002B2CF9AE}" pid="4" name="MSIP_Label_785837b0-ed5a-4fd4-94ae-ef361c98d083_Enabled">
    <vt:lpwstr>true</vt:lpwstr>
  </property>
  <property fmtid="{D5CDD505-2E9C-101B-9397-08002B2CF9AE}" pid="5" name="MSIP_Label_785837b0-ed5a-4fd4-94ae-ef361c98d083_SetDate">
    <vt:lpwstr>2022-07-30T17:28:07Z</vt:lpwstr>
  </property>
  <property fmtid="{D5CDD505-2E9C-101B-9397-08002B2CF9AE}" pid="6" name="MSIP_Label_785837b0-ed5a-4fd4-94ae-ef361c98d083_Method">
    <vt:lpwstr>Standard</vt:lpwstr>
  </property>
  <property fmtid="{D5CDD505-2E9C-101B-9397-08002B2CF9AE}" pid="7" name="MSIP_Label_785837b0-ed5a-4fd4-94ae-ef361c98d083_Name">
    <vt:lpwstr>785837b0-ed5a-4fd4-94ae-ef361c98d083</vt:lpwstr>
  </property>
  <property fmtid="{D5CDD505-2E9C-101B-9397-08002B2CF9AE}" pid="8" name="MSIP_Label_785837b0-ed5a-4fd4-94ae-ef361c98d083_SiteId">
    <vt:lpwstr>b723253f-7281-4adc-bc1c-fc9ef3674d78</vt:lpwstr>
  </property>
  <property fmtid="{D5CDD505-2E9C-101B-9397-08002B2CF9AE}" pid="9" name="MSIP_Label_785837b0-ed5a-4fd4-94ae-ef361c98d083_ActionId">
    <vt:lpwstr>6f440d1a-699b-415f-a112-ef07a765c20e</vt:lpwstr>
  </property>
  <property fmtid="{D5CDD505-2E9C-101B-9397-08002B2CF9AE}" pid="10" name="MSIP_Label_785837b0-ed5a-4fd4-94ae-ef361c98d083_ContentBits">
    <vt:lpwstr>1</vt:lpwstr>
  </property>
</Properties>
</file>