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6F25A73" w:rsidR="0011473D" w:rsidRPr="00F62E7A"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SUMMATIVE (FORMAL) </w:t>
      </w:r>
      <w:r w:rsidR="009D0811" w:rsidRPr="00F62E7A">
        <w:rPr>
          <w:rFonts w:ascii="Arial" w:hAnsi="Arial" w:cs="Arial"/>
          <w:b/>
          <w:color w:val="000000" w:themeColor="text1"/>
          <w:sz w:val="24"/>
          <w:lang w:val="en-GB"/>
        </w:rPr>
        <w:t xml:space="preserve">ASSESSMENT: MODULE </w:t>
      </w:r>
      <w:r w:rsidR="002903A7" w:rsidRPr="00F62E7A">
        <w:rPr>
          <w:rFonts w:ascii="Arial" w:hAnsi="Arial" w:cs="Arial"/>
          <w:b/>
          <w:color w:val="000000" w:themeColor="text1"/>
          <w:sz w:val="24"/>
          <w:lang w:val="en-GB"/>
        </w:rPr>
        <w:t>3</w:t>
      </w:r>
      <w:r w:rsidR="002356EA" w:rsidRPr="00F62E7A">
        <w:rPr>
          <w:rFonts w:ascii="Arial" w:hAnsi="Arial" w:cs="Arial"/>
          <w:b/>
          <w:color w:val="000000" w:themeColor="text1"/>
          <w:sz w:val="24"/>
          <w:lang w:val="en-GB"/>
        </w:rPr>
        <w:t>B</w:t>
      </w:r>
    </w:p>
    <w:p w14:paraId="1DCE41A2" w14:textId="0CB8A9C3" w:rsidR="002638B0" w:rsidRPr="00F62E7A"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53FC0EF" w14:textId="77777777" w:rsidR="00F62E7A"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THE </w:t>
      </w:r>
      <w:r w:rsidR="002903A7" w:rsidRPr="00F62E7A">
        <w:rPr>
          <w:rFonts w:ascii="Arial" w:hAnsi="Arial" w:cs="Arial"/>
          <w:b/>
          <w:color w:val="000000" w:themeColor="text1"/>
          <w:sz w:val="24"/>
          <w:lang w:val="en-GB"/>
        </w:rPr>
        <w:t xml:space="preserve">INSOLVENCY SYSTEM OF THE UNITED </w:t>
      </w:r>
      <w:r w:rsidR="002356EA" w:rsidRPr="00F62E7A">
        <w:rPr>
          <w:rFonts w:ascii="Arial" w:hAnsi="Arial" w:cs="Arial"/>
          <w:b/>
          <w:color w:val="000000" w:themeColor="text1"/>
          <w:sz w:val="24"/>
          <w:lang w:val="en-GB"/>
        </w:rPr>
        <w:t>KINGDOM</w:t>
      </w:r>
      <w:r w:rsidR="007A5171" w:rsidRPr="00F62E7A">
        <w:rPr>
          <w:rFonts w:ascii="Arial" w:hAnsi="Arial" w:cs="Arial"/>
          <w:b/>
          <w:color w:val="000000" w:themeColor="text1"/>
          <w:sz w:val="24"/>
          <w:lang w:val="en-GB"/>
        </w:rPr>
        <w:t xml:space="preserve"> </w:t>
      </w:r>
    </w:p>
    <w:p w14:paraId="23556360" w14:textId="029E12B1" w:rsidR="002638B0" w:rsidRPr="00F62E7A"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(ENGLAND AND WALES)</w:t>
      </w:r>
    </w:p>
    <w:p w14:paraId="5E119630"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1AFD697E"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F62E7A">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2022</w:t>
      </w:r>
      <w:r w:rsidR="00F62E7A">
        <w:rPr>
          <w:rFonts w:ascii="Arial" w:hAnsi="Arial" w:cs="Arial"/>
          <w:sz w:val="22"/>
          <w:szCs w:val="22"/>
          <w:lang w:val="en-GB" w:eastAsia="en-GB"/>
        </w:rPr>
        <w:t>2</w:t>
      </w:r>
      <w:r w:rsidRPr="00BF1C6F">
        <w:rPr>
          <w:rFonts w:ascii="Arial" w:hAnsi="Arial" w:cs="Arial"/>
          <w:sz w:val="22"/>
          <w:szCs w:val="22"/>
          <w:lang w:val="en-GB" w:eastAsia="en-GB"/>
        </w:rPr>
        <w:t>-</w:t>
      </w:r>
      <w:r w:rsidR="00F62E7A">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594C6A">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56BD07C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1DB30ED7"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C236948"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If you elect 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3F1B6D5C" w14:textId="3A1C9CF1" w:rsidR="00C91062" w:rsidRDefault="00C91062" w:rsidP="00C55824">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14:paraId="37B58E8A" w14:textId="77777777" w:rsidR="00C91062" w:rsidRDefault="00C91062" w:rsidP="00C55824">
      <w:pPr>
        <w:jc w:val="both"/>
        <w:rPr>
          <w:rFonts w:ascii="Arial" w:hAnsi="Arial" w:cs="Arial"/>
          <w:sz w:val="22"/>
          <w:szCs w:val="22"/>
          <w:lang w:val="en-GB"/>
        </w:rPr>
      </w:pPr>
    </w:p>
    <w:p w14:paraId="66D546CF" w14:textId="350F42EF" w:rsidR="00867701" w:rsidRDefault="00C91062" w:rsidP="00C55824">
      <w:pPr>
        <w:jc w:val="both"/>
        <w:rPr>
          <w:rFonts w:ascii="Arial" w:hAnsi="Arial" w:cs="Arial"/>
          <w:sz w:val="22"/>
          <w:szCs w:val="22"/>
          <w:lang w:val="en-GB"/>
        </w:rPr>
      </w:pPr>
      <w:r w:rsidRPr="00C91062">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w:t>
      </w:r>
      <w:r>
        <w:rPr>
          <w:rFonts w:ascii="Arial" w:hAnsi="Arial" w:cs="Arial"/>
          <w:sz w:val="22"/>
          <w:szCs w:val="22"/>
          <w:lang w:val="en-GB"/>
        </w:rPr>
        <w:t xml:space="preserve"> where the disposal occurs:</w:t>
      </w:r>
    </w:p>
    <w:p w14:paraId="2FEB1275" w14:textId="77777777" w:rsidR="00876F56" w:rsidRPr="006D2BBF" w:rsidRDefault="00876F56" w:rsidP="00C55824">
      <w:pPr>
        <w:jc w:val="both"/>
        <w:rPr>
          <w:rFonts w:ascii="Arial" w:hAnsi="Arial" w:cs="Arial"/>
          <w:sz w:val="22"/>
          <w:szCs w:val="22"/>
          <w:lang w:val="en-GB"/>
        </w:rPr>
      </w:pPr>
    </w:p>
    <w:p w14:paraId="1F0A6F95" w14:textId="2587A1BE"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10 weeks of the commencement of the administration</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46D40D09" w:rsidR="00867701" w:rsidRPr="00131DE0" w:rsidRDefault="00AE5B6F" w:rsidP="00B04033">
      <w:pPr>
        <w:pStyle w:val="ListParagraph"/>
        <w:numPr>
          <w:ilvl w:val="0"/>
          <w:numId w:val="1"/>
        </w:numPr>
        <w:ind w:left="426"/>
        <w:jc w:val="both"/>
        <w:rPr>
          <w:rFonts w:ascii="Arial" w:hAnsi="Arial" w:cs="Arial"/>
          <w:sz w:val="22"/>
          <w:szCs w:val="22"/>
          <w:highlight w:val="yellow"/>
          <w:lang w:val="en-GB"/>
        </w:rPr>
      </w:pPr>
      <w:r w:rsidRPr="00131DE0">
        <w:rPr>
          <w:rFonts w:ascii="Arial" w:hAnsi="Arial" w:cs="Arial"/>
          <w:sz w:val="22"/>
          <w:szCs w:val="22"/>
          <w:highlight w:val="yellow"/>
          <w:lang w:val="en-GB"/>
        </w:rPr>
        <w:t>w</w:t>
      </w:r>
      <w:r w:rsidR="00C91062" w:rsidRPr="00131DE0">
        <w:rPr>
          <w:rFonts w:ascii="Arial" w:hAnsi="Arial" w:cs="Arial"/>
          <w:sz w:val="22"/>
          <w:szCs w:val="22"/>
          <w:highlight w:val="yellow"/>
          <w:lang w:val="en-GB"/>
        </w:rPr>
        <w:t>ithin 8 weeks of the commencement of the administration</w:t>
      </w:r>
      <w:r w:rsidR="00763348" w:rsidRPr="00131DE0">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697DCD59"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4 weeks of the commencement of the administration</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01708526" w:rsidR="00867701" w:rsidRPr="00876F56"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00C91062">
        <w:rPr>
          <w:rFonts w:ascii="Arial" w:hAnsi="Arial" w:cs="Arial"/>
          <w:sz w:val="22"/>
          <w:szCs w:val="22"/>
          <w:lang w:val="en-GB"/>
        </w:rPr>
        <w:t>n the day the company enters administration</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00E443D7" w:rsidRPr="00AE5B6F">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Pr="00865C92" w:rsidRDefault="00E443D7" w:rsidP="00B04033">
      <w:pPr>
        <w:pStyle w:val="ListParagraph"/>
        <w:numPr>
          <w:ilvl w:val="0"/>
          <w:numId w:val="2"/>
        </w:numPr>
        <w:ind w:left="426"/>
        <w:jc w:val="both"/>
        <w:rPr>
          <w:rFonts w:ascii="Arial" w:hAnsi="Arial" w:cs="Arial"/>
          <w:sz w:val="22"/>
          <w:szCs w:val="22"/>
          <w:highlight w:val="yellow"/>
          <w:lang w:val="en-GB"/>
        </w:rPr>
      </w:pPr>
      <w:r w:rsidRPr="00865C92">
        <w:rPr>
          <w:rFonts w:ascii="Arial" w:hAnsi="Arial" w:cs="Arial"/>
          <w:sz w:val="22"/>
          <w:szCs w:val="22"/>
          <w:highlight w:val="yellow"/>
          <w:lang w:val="en-GB"/>
        </w:rPr>
        <w:t>40 business days</w:t>
      </w:r>
      <w:r w:rsidR="00763348" w:rsidRPr="00865C92">
        <w:rPr>
          <w:rFonts w:ascii="Arial" w:hAnsi="Arial" w:cs="Arial"/>
          <w:sz w:val="22"/>
          <w:szCs w:val="22"/>
          <w:highlight w:val="yellow"/>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FF5098" w:rsidRDefault="00E443D7" w:rsidP="00B04033">
      <w:pPr>
        <w:pStyle w:val="ListParagraph"/>
        <w:numPr>
          <w:ilvl w:val="0"/>
          <w:numId w:val="2"/>
        </w:numPr>
        <w:ind w:left="426"/>
        <w:jc w:val="both"/>
        <w:rPr>
          <w:rFonts w:ascii="Arial" w:hAnsi="Arial" w:cs="Arial"/>
          <w:sz w:val="22"/>
          <w:szCs w:val="22"/>
          <w:lang w:val="en-GB"/>
        </w:rPr>
      </w:pPr>
      <w:r w:rsidRPr="00FF5098">
        <w:rPr>
          <w:rFonts w:ascii="Arial" w:hAnsi="Arial" w:cs="Arial"/>
          <w:sz w:val="22"/>
          <w:szCs w:val="22"/>
          <w:lang w:val="en-GB"/>
        </w:rPr>
        <w:t>One year</w:t>
      </w:r>
      <w:r w:rsidR="00763348" w:rsidRPr="00FF5098">
        <w:rPr>
          <w:rFonts w:ascii="Arial" w:hAnsi="Arial" w:cs="Arial"/>
          <w:sz w:val="22"/>
          <w:szCs w:val="22"/>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5D99E47C"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enter into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AAAC6E1"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66FEB296"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A</w:t>
      </w:r>
      <w:r w:rsidR="008D1616" w:rsidRPr="008D1616">
        <w:rPr>
          <w:rFonts w:ascii="Arial" w:hAnsi="Arial" w:cs="Arial"/>
          <w:sz w:val="22"/>
          <w:szCs w:val="22"/>
          <w:lang w:val="en-GB"/>
        </w:rPr>
        <w:t xml:space="preserve">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62DD660B" w:rsidR="00763348" w:rsidRDefault="00763348" w:rsidP="00763348">
      <w:pPr>
        <w:ind w:left="66"/>
        <w:jc w:val="both"/>
        <w:rPr>
          <w:rFonts w:ascii="Arial" w:hAnsi="Arial" w:cs="Arial"/>
          <w:sz w:val="22"/>
          <w:szCs w:val="22"/>
          <w:lang w:val="en-GB"/>
        </w:rPr>
      </w:pPr>
    </w:p>
    <w:p w14:paraId="62A0A536" w14:textId="47EEF410" w:rsidR="007E46A8" w:rsidRDefault="007E46A8" w:rsidP="00763348">
      <w:pPr>
        <w:ind w:left="66"/>
        <w:jc w:val="both"/>
        <w:rPr>
          <w:rFonts w:ascii="Arial" w:hAnsi="Arial" w:cs="Arial"/>
          <w:sz w:val="22"/>
          <w:szCs w:val="22"/>
          <w:lang w:val="en-GB"/>
        </w:rPr>
      </w:pPr>
    </w:p>
    <w:p w14:paraId="3515F5C9" w14:textId="77777777" w:rsidR="007E46A8" w:rsidRPr="00763348" w:rsidRDefault="007E46A8" w:rsidP="00763348">
      <w:pPr>
        <w:ind w:left="66"/>
        <w:jc w:val="both"/>
        <w:rPr>
          <w:rFonts w:ascii="Arial" w:hAnsi="Arial" w:cs="Arial"/>
          <w:sz w:val="22"/>
          <w:szCs w:val="22"/>
          <w:lang w:val="en-GB"/>
        </w:rPr>
      </w:pPr>
    </w:p>
    <w:p w14:paraId="6B1A98EB" w14:textId="6C2F4483"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lastRenderedPageBreak/>
        <w:t>T</w:t>
      </w:r>
      <w:r w:rsidR="008D1616" w:rsidRPr="008D1616">
        <w:rPr>
          <w:rFonts w:ascii="Arial" w:hAnsi="Arial" w:cs="Arial"/>
          <w:sz w:val="22"/>
          <w:szCs w:val="22"/>
          <w:lang w:val="en-GB"/>
        </w:rPr>
        <w: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5E53747A" w:rsidR="00867701" w:rsidRPr="00865C92" w:rsidRDefault="00AE5B6F" w:rsidP="00B04033">
      <w:pPr>
        <w:pStyle w:val="ListParagraph"/>
        <w:numPr>
          <w:ilvl w:val="0"/>
          <w:numId w:val="3"/>
        </w:numPr>
        <w:ind w:left="426"/>
        <w:jc w:val="both"/>
        <w:rPr>
          <w:rFonts w:ascii="Arial" w:hAnsi="Arial" w:cs="Arial"/>
          <w:sz w:val="22"/>
          <w:szCs w:val="22"/>
          <w:highlight w:val="yellow"/>
          <w:lang w:val="en-GB"/>
        </w:rPr>
      </w:pPr>
      <w:r w:rsidRPr="00865C92">
        <w:rPr>
          <w:rFonts w:ascii="Arial" w:hAnsi="Arial" w:cs="Arial"/>
          <w:sz w:val="22"/>
          <w:szCs w:val="22"/>
          <w:highlight w:val="yellow"/>
          <w:lang w:val="en-GB"/>
        </w:rPr>
        <w:t>T</w:t>
      </w:r>
      <w:r w:rsidR="008D1616" w:rsidRPr="00865C92">
        <w:rPr>
          <w:rFonts w:ascii="Arial" w:hAnsi="Arial" w:cs="Arial"/>
          <w:sz w:val="22"/>
          <w:szCs w:val="22"/>
          <w:highlight w:val="yellow"/>
          <w:lang w:val="en-GB"/>
        </w:rPr>
        <w:t>he company is, or is likely to become, unable to pay their debts, as defined under s</w:t>
      </w:r>
      <w:r w:rsidR="00E833F4" w:rsidRPr="00865C92">
        <w:rPr>
          <w:rFonts w:ascii="Arial" w:hAnsi="Arial" w:cs="Arial"/>
          <w:sz w:val="22"/>
          <w:szCs w:val="22"/>
          <w:highlight w:val="yellow"/>
          <w:lang w:val="en-GB"/>
        </w:rPr>
        <w:t>ection</w:t>
      </w:r>
      <w:r w:rsidR="008D1616" w:rsidRPr="00865C92">
        <w:rPr>
          <w:rFonts w:ascii="Arial" w:hAnsi="Arial" w:cs="Arial"/>
          <w:sz w:val="22"/>
          <w:szCs w:val="22"/>
          <w:highlight w:val="yellow"/>
          <w:lang w:val="en-GB"/>
        </w:rPr>
        <w:t xml:space="preserve"> 123 of the Insolvency Act 1986</w:t>
      </w:r>
      <w:r w:rsidR="00763348" w:rsidRPr="00865C92">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2E66BBCB" w:rsidR="00867701" w:rsidRDefault="00C91062" w:rsidP="00C55824">
      <w:pPr>
        <w:jc w:val="both"/>
        <w:rPr>
          <w:rFonts w:ascii="Arial" w:hAnsi="Arial" w:cs="Arial"/>
          <w:sz w:val="22"/>
          <w:szCs w:val="22"/>
          <w:lang w:val="en-GB"/>
        </w:rPr>
      </w:pPr>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the independent report must be obtained by who</w:t>
      </w:r>
      <w:r w:rsidR="00AE5B6F">
        <w:rPr>
          <w:rFonts w:ascii="Arial" w:hAnsi="Arial" w:cs="Arial"/>
          <w:sz w:val="22"/>
          <w:szCs w:val="22"/>
          <w:lang w:val="en-GB"/>
        </w:rPr>
        <w:t>m</w:t>
      </w:r>
      <w:r w:rsidR="00867701"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310AD917" w:rsidR="00867701" w:rsidRPr="000A5CFC" w:rsidRDefault="00C91062" w:rsidP="00B04033">
      <w:pPr>
        <w:pStyle w:val="ListParagraph"/>
        <w:numPr>
          <w:ilvl w:val="0"/>
          <w:numId w:val="4"/>
        </w:numPr>
        <w:ind w:left="426"/>
        <w:jc w:val="both"/>
        <w:rPr>
          <w:rFonts w:ascii="Arial" w:hAnsi="Arial" w:cs="Arial"/>
          <w:sz w:val="22"/>
          <w:szCs w:val="22"/>
          <w:highlight w:val="yellow"/>
          <w:lang w:val="en-GB"/>
        </w:rPr>
      </w:pPr>
      <w:r w:rsidRPr="000A5CFC">
        <w:rPr>
          <w:rFonts w:ascii="Arial" w:hAnsi="Arial" w:cs="Arial"/>
          <w:sz w:val="22"/>
          <w:szCs w:val="22"/>
          <w:highlight w:val="yellow"/>
          <w:lang w:val="en-GB"/>
        </w:rPr>
        <w:t>The administrator</w:t>
      </w:r>
      <w:r w:rsidR="00763348" w:rsidRPr="000A5CFC">
        <w:rPr>
          <w:rFonts w:ascii="Arial" w:hAnsi="Arial" w:cs="Arial"/>
          <w:sz w:val="22"/>
          <w:szCs w:val="22"/>
          <w:highlight w:val="yellow"/>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000F4051"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Any secured creditor with the benefit of a qualifying floating charge.</w:t>
      </w:r>
    </w:p>
    <w:p w14:paraId="2F2602FE" w14:textId="77777777" w:rsidR="00763348" w:rsidRPr="00763348" w:rsidRDefault="00763348" w:rsidP="00763348">
      <w:pPr>
        <w:ind w:left="66"/>
        <w:jc w:val="both"/>
        <w:rPr>
          <w:rFonts w:ascii="Arial" w:hAnsi="Arial" w:cs="Arial"/>
          <w:sz w:val="22"/>
          <w:szCs w:val="22"/>
          <w:lang w:val="en-GB"/>
        </w:rPr>
      </w:pPr>
    </w:p>
    <w:p w14:paraId="6B3DB13D" w14:textId="065F40C6" w:rsidR="00867701" w:rsidRPr="00FF5098" w:rsidRDefault="00C91062" w:rsidP="00B04033">
      <w:pPr>
        <w:pStyle w:val="ListParagraph"/>
        <w:numPr>
          <w:ilvl w:val="0"/>
          <w:numId w:val="4"/>
        </w:numPr>
        <w:ind w:left="426"/>
        <w:jc w:val="both"/>
        <w:rPr>
          <w:rFonts w:ascii="Arial" w:hAnsi="Arial" w:cs="Arial"/>
          <w:sz w:val="22"/>
          <w:szCs w:val="22"/>
          <w:lang w:val="en-GB"/>
        </w:rPr>
      </w:pPr>
      <w:r w:rsidRPr="00FF5098">
        <w:rPr>
          <w:rFonts w:ascii="Arial" w:hAnsi="Arial" w:cs="Arial"/>
          <w:sz w:val="22"/>
          <w:szCs w:val="22"/>
          <w:lang w:val="en-GB"/>
        </w:rPr>
        <w:t>The purchaser</w:t>
      </w:r>
      <w:r w:rsidR="00763348" w:rsidRPr="00FF5098">
        <w:rPr>
          <w:rFonts w:ascii="Arial" w:hAnsi="Arial" w:cs="Arial"/>
          <w:sz w:val="22"/>
          <w:szCs w:val="22"/>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54346684" w:rsidR="00867701" w:rsidRPr="00C55824"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0A5CFC" w:rsidRDefault="00BA1CFD" w:rsidP="00B04033">
      <w:pPr>
        <w:pStyle w:val="ListParagraph"/>
        <w:numPr>
          <w:ilvl w:val="0"/>
          <w:numId w:val="5"/>
        </w:numPr>
        <w:ind w:left="426"/>
        <w:jc w:val="both"/>
        <w:rPr>
          <w:rFonts w:ascii="Arial" w:hAnsi="Arial" w:cs="Arial"/>
          <w:sz w:val="22"/>
          <w:szCs w:val="22"/>
          <w:highlight w:val="yellow"/>
          <w:lang w:val="en-GB"/>
        </w:rPr>
      </w:pPr>
      <w:r w:rsidRPr="000A5CFC">
        <w:rPr>
          <w:rFonts w:ascii="Arial" w:hAnsi="Arial" w:cs="Arial"/>
          <w:sz w:val="22"/>
          <w:szCs w:val="22"/>
          <w:highlight w:val="yellow"/>
          <w:lang w:val="en-GB"/>
        </w:rPr>
        <w:t>Administration</w:t>
      </w:r>
      <w:r w:rsidR="00763348" w:rsidRPr="000A5CFC">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0A5CFC" w:rsidRDefault="00BA1CFD" w:rsidP="00B04033">
      <w:pPr>
        <w:pStyle w:val="ListParagraph"/>
        <w:numPr>
          <w:ilvl w:val="0"/>
          <w:numId w:val="6"/>
        </w:numPr>
        <w:ind w:left="426"/>
        <w:jc w:val="both"/>
        <w:rPr>
          <w:rFonts w:ascii="Arial" w:hAnsi="Arial" w:cs="Arial"/>
          <w:sz w:val="22"/>
          <w:szCs w:val="22"/>
          <w:highlight w:val="yellow"/>
          <w:lang w:val="en-GB"/>
        </w:rPr>
      </w:pPr>
      <w:r w:rsidRPr="000A5CFC">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in itself, a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Wrongful trading</w:t>
      </w:r>
      <w:r w:rsidR="00763348">
        <w:rPr>
          <w:rFonts w:ascii="Arial" w:hAnsi="Arial" w:cs="Arial"/>
          <w:sz w:val="22"/>
          <w:szCs w:val="22"/>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EB60DE" w:rsidRDefault="00BA1CFD" w:rsidP="00B04033">
      <w:pPr>
        <w:pStyle w:val="ListParagraph"/>
        <w:numPr>
          <w:ilvl w:val="0"/>
          <w:numId w:val="7"/>
        </w:numPr>
        <w:ind w:left="426"/>
        <w:jc w:val="both"/>
        <w:rPr>
          <w:rFonts w:ascii="Arial" w:hAnsi="Arial" w:cs="Arial"/>
          <w:sz w:val="22"/>
          <w:szCs w:val="22"/>
          <w:highlight w:val="yellow"/>
          <w:lang w:val="en-GB"/>
        </w:rPr>
      </w:pPr>
      <w:r w:rsidRPr="00EB60DE">
        <w:rPr>
          <w:rFonts w:ascii="Arial" w:hAnsi="Arial" w:cs="Arial"/>
          <w:sz w:val="22"/>
          <w:szCs w:val="22"/>
          <w:highlight w:val="yellow"/>
          <w:lang w:val="en-GB"/>
        </w:rPr>
        <w:t>Breach of fiduciary duty</w:t>
      </w:r>
      <w:r w:rsidR="00763348" w:rsidRPr="00EB60DE">
        <w:rPr>
          <w:rFonts w:ascii="Arial" w:hAnsi="Arial" w:cs="Arial"/>
          <w:sz w:val="22"/>
          <w:szCs w:val="22"/>
          <w:highlight w:val="yellow"/>
          <w:lang w:val="en-GB"/>
        </w:rPr>
        <w:t>.</w:t>
      </w: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lastRenderedPageBreak/>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7626BB9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whether or not to approve the proposals </w:t>
      </w:r>
      <w:r w:rsidR="00461F95" w:rsidRPr="00AE5B6F">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Pr="00805C09" w:rsidRDefault="00876F56" w:rsidP="00B04033">
      <w:pPr>
        <w:pStyle w:val="ListParagraph"/>
        <w:numPr>
          <w:ilvl w:val="0"/>
          <w:numId w:val="8"/>
        </w:numPr>
        <w:ind w:left="426"/>
        <w:jc w:val="both"/>
        <w:rPr>
          <w:rFonts w:ascii="Arial" w:hAnsi="Arial" w:cs="Arial"/>
          <w:sz w:val="22"/>
          <w:szCs w:val="22"/>
          <w:highlight w:val="yellow"/>
          <w:lang w:val="en-GB"/>
        </w:rPr>
      </w:pPr>
      <w:r w:rsidRPr="00805C09">
        <w:rPr>
          <w:rFonts w:ascii="Arial" w:hAnsi="Arial" w:cs="Arial"/>
          <w:sz w:val="22"/>
          <w:szCs w:val="22"/>
          <w:highlight w:val="yellow"/>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Pr="00FF5098" w:rsidRDefault="00876F56" w:rsidP="00B04033">
      <w:pPr>
        <w:pStyle w:val="ListParagraph"/>
        <w:numPr>
          <w:ilvl w:val="0"/>
          <w:numId w:val="8"/>
        </w:numPr>
        <w:ind w:left="426"/>
        <w:jc w:val="both"/>
        <w:rPr>
          <w:rFonts w:ascii="Arial" w:hAnsi="Arial" w:cs="Arial"/>
          <w:sz w:val="22"/>
          <w:szCs w:val="22"/>
          <w:lang w:val="en-GB"/>
        </w:rPr>
      </w:pPr>
      <w:r w:rsidRPr="00FF5098">
        <w:rPr>
          <w:rFonts w:ascii="Arial" w:hAnsi="Arial" w:cs="Arial"/>
          <w:sz w:val="22"/>
          <w:szCs w:val="22"/>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2E49A5DA" w:rsidR="00876F56" w:rsidRDefault="00E833F4"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000D10C6" w:rsidRPr="00AE5B6F">
        <w:rPr>
          <w:rFonts w:ascii="Arial" w:hAnsi="Arial" w:cs="Arial"/>
          <w:b/>
          <w:bCs/>
          <w:sz w:val="22"/>
          <w:szCs w:val="22"/>
          <w:u w:val="single"/>
          <w:lang w:val="en-GB"/>
        </w:rPr>
        <w:t>incorrect</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16F83264" w14:textId="5A6C7A9B" w:rsidR="000D10C6" w:rsidRPr="006435CB" w:rsidRDefault="00E833F4" w:rsidP="00B04033">
      <w:pPr>
        <w:pStyle w:val="ListParagraph"/>
        <w:numPr>
          <w:ilvl w:val="0"/>
          <w:numId w:val="9"/>
        </w:numPr>
        <w:ind w:left="426"/>
        <w:jc w:val="both"/>
        <w:rPr>
          <w:rFonts w:ascii="Arial" w:hAnsi="Arial" w:cs="Arial"/>
          <w:sz w:val="22"/>
          <w:szCs w:val="22"/>
          <w:highlight w:val="yellow"/>
          <w:lang w:val="en-GB"/>
        </w:rPr>
      </w:pPr>
      <w:r w:rsidRPr="006435CB">
        <w:rPr>
          <w:rFonts w:ascii="Arial" w:hAnsi="Arial" w:cs="Arial"/>
          <w:sz w:val="22"/>
          <w:szCs w:val="22"/>
          <w:highlight w:val="yellow"/>
          <w:lang w:val="en-GB"/>
        </w:rPr>
        <w:t>A</w:t>
      </w:r>
      <w:r w:rsidR="000D10C6" w:rsidRPr="006435CB">
        <w:rPr>
          <w:rFonts w:ascii="Arial" w:hAnsi="Arial"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Default="00AC317D" w:rsidP="00AE5B6F">
      <w:pPr>
        <w:pStyle w:val="ListParagraph"/>
        <w:ind w:left="426"/>
        <w:jc w:val="both"/>
        <w:rPr>
          <w:rFonts w:ascii="Arial" w:hAnsi="Arial" w:cs="Arial"/>
          <w:sz w:val="22"/>
          <w:szCs w:val="22"/>
          <w:lang w:val="en-GB"/>
        </w:rPr>
      </w:pPr>
    </w:p>
    <w:p w14:paraId="564FBFE2" w14:textId="18CB27BC" w:rsidR="000D10C6" w:rsidRDefault="000D10C6" w:rsidP="00AE5B6F">
      <w:pPr>
        <w:pStyle w:val="ListParagraph"/>
        <w:numPr>
          <w:ilvl w:val="0"/>
          <w:numId w:val="9"/>
        </w:numPr>
        <w:ind w:left="426"/>
        <w:jc w:val="both"/>
        <w:rPr>
          <w:rFonts w:ascii="Arial" w:hAnsi="Arial" w:cs="Arial"/>
          <w:sz w:val="22"/>
          <w:szCs w:val="22"/>
          <w:lang w:val="en-GB"/>
        </w:rPr>
      </w:pPr>
      <w:r w:rsidRPr="000D10C6">
        <w:rPr>
          <w:rFonts w:ascii="Arial" w:hAnsi="Arial" w:cs="Arial"/>
          <w:sz w:val="22"/>
          <w:szCs w:val="22"/>
          <w:lang w:val="en-GB"/>
        </w:rPr>
        <w:t>A</w:t>
      </w:r>
      <w:r>
        <w:rPr>
          <w:rFonts w:ascii="Arial" w:hAnsi="Arial" w:cs="Arial"/>
          <w:sz w:val="22"/>
          <w:szCs w:val="22"/>
          <w:lang w:val="en-GB"/>
        </w:rPr>
        <w:t>n insolvency officeholder from an EU Member State is automatically recognised by the courts in the UK if appointed before Brexit.</w:t>
      </w:r>
    </w:p>
    <w:p w14:paraId="2912DDDB" w14:textId="76C2B73C" w:rsidR="00AC317D" w:rsidRPr="00AE5B6F" w:rsidRDefault="00AC317D" w:rsidP="00AE5B6F">
      <w:pPr>
        <w:jc w:val="both"/>
        <w:rPr>
          <w:rFonts w:ascii="Arial" w:hAnsi="Arial" w:cs="Arial"/>
          <w:sz w:val="22"/>
          <w:szCs w:val="22"/>
          <w:lang w:val="en-GB"/>
        </w:rPr>
      </w:pPr>
    </w:p>
    <w:p w14:paraId="657ABAAD" w14:textId="44C010FE" w:rsidR="00AC317D" w:rsidRDefault="000D10C6"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An insolvency officeholder from an EU Member State </w:t>
      </w:r>
      <w:r w:rsidR="00AC317D">
        <w:rPr>
          <w:rFonts w:ascii="Arial" w:hAnsi="Arial" w:cs="Arial"/>
          <w:sz w:val="22"/>
          <w:szCs w:val="22"/>
          <w:lang w:val="en-GB"/>
        </w:rPr>
        <w:t>appointed after Brexit may apply to a UK court for recognition under the Cross Border Insolvency Regulations.</w:t>
      </w:r>
    </w:p>
    <w:p w14:paraId="405743D4" w14:textId="58DD46AB" w:rsidR="00AC317D" w:rsidRPr="00AE5B6F" w:rsidRDefault="00AC317D" w:rsidP="00AE5B6F">
      <w:pPr>
        <w:jc w:val="both"/>
        <w:rPr>
          <w:rFonts w:ascii="Arial" w:hAnsi="Arial" w:cs="Arial"/>
          <w:sz w:val="22"/>
          <w:szCs w:val="22"/>
          <w:lang w:val="en-GB"/>
        </w:rPr>
      </w:pPr>
    </w:p>
    <w:p w14:paraId="22EF3C05" w14:textId="1758B4DF" w:rsidR="00763348" w:rsidRPr="000D10C6" w:rsidRDefault="00AC317D"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C55824" w:rsidRDefault="000D10C6" w:rsidP="00AE5B6F">
      <w:pPr>
        <w:ind w:left="66"/>
        <w:jc w:val="both"/>
        <w:rPr>
          <w:rFonts w:ascii="Arial" w:hAnsi="Arial" w:cs="Arial"/>
          <w:sz w:val="22"/>
          <w:szCs w:val="22"/>
          <w:lang w:val="en-GB"/>
        </w:rPr>
      </w:pPr>
      <w:r w:rsidRPr="000D10C6">
        <w:rPr>
          <w:rFonts w:ascii="Arial" w:hAnsi="Arial" w:cs="Arial"/>
          <w:sz w:val="22"/>
          <w:szCs w:val="22"/>
          <w:lang w:val="en-GB"/>
        </w:rPr>
        <w:tab/>
      </w: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22664D1"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0020204E" w:rsidRPr="00AE5B6F">
        <w:rPr>
          <w:rFonts w:ascii="Arial" w:hAnsi="Arial" w:cs="Arial"/>
          <w:b/>
          <w:bCs/>
          <w:sz w:val="22"/>
          <w:szCs w:val="22"/>
          <w:u w:val="single"/>
          <w:lang w:val="en-GB"/>
        </w:rPr>
        <w:t>for what period of time</w:t>
      </w:r>
      <w:r w:rsidR="0020204E">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FBDCF46" w:rsidR="00876F56" w:rsidRDefault="0020204E" w:rsidP="00B04033">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2FC5A0D3" w:rsidR="00876F56" w:rsidRPr="006435CB" w:rsidRDefault="0020204E" w:rsidP="00B04033">
      <w:pPr>
        <w:pStyle w:val="ListParagraph"/>
        <w:numPr>
          <w:ilvl w:val="0"/>
          <w:numId w:val="10"/>
        </w:numPr>
        <w:ind w:left="426"/>
        <w:jc w:val="both"/>
        <w:rPr>
          <w:rFonts w:ascii="Arial" w:hAnsi="Arial" w:cs="Arial"/>
          <w:sz w:val="22"/>
          <w:szCs w:val="22"/>
          <w:highlight w:val="yellow"/>
          <w:lang w:val="en-GB"/>
        </w:rPr>
      </w:pPr>
      <w:r w:rsidRPr="006435CB">
        <w:rPr>
          <w:rFonts w:ascii="Arial" w:hAnsi="Arial" w:cs="Arial"/>
          <w:sz w:val="22"/>
          <w:szCs w:val="22"/>
          <w:highlight w:val="yellow"/>
          <w:lang w:val="en-GB"/>
        </w:rPr>
        <w:t>12 months</w:t>
      </w:r>
      <w:r w:rsidR="00763348" w:rsidRPr="006435CB">
        <w:rPr>
          <w:rFonts w:ascii="Arial" w:hAnsi="Arial" w:cs="Arial"/>
          <w:sz w:val="22"/>
          <w:szCs w:val="22"/>
          <w:highlight w:val="yellow"/>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9792E19"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2 years</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56CADDBB" w:rsidR="00876F56" w:rsidRPr="00FF5098" w:rsidRDefault="0020204E" w:rsidP="00B04033">
      <w:pPr>
        <w:pStyle w:val="ListParagraph"/>
        <w:numPr>
          <w:ilvl w:val="0"/>
          <w:numId w:val="10"/>
        </w:numPr>
        <w:ind w:left="426"/>
        <w:jc w:val="both"/>
        <w:rPr>
          <w:rFonts w:ascii="Arial" w:hAnsi="Arial" w:cs="Arial"/>
          <w:sz w:val="22"/>
          <w:szCs w:val="22"/>
          <w:lang w:val="en-GB"/>
        </w:rPr>
      </w:pPr>
      <w:r w:rsidRPr="00FF5098">
        <w:rPr>
          <w:rFonts w:ascii="Arial" w:hAnsi="Arial" w:cs="Arial"/>
          <w:sz w:val="22"/>
          <w:szCs w:val="22"/>
          <w:lang w:val="en-GB"/>
        </w:rPr>
        <w:t>5 years.</w:t>
      </w:r>
    </w:p>
    <w:p w14:paraId="58395851" w14:textId="332DF058" w:rsidR="005B79F4" w:rsidRDefault="005B79F4" w:rsidP="00C55824">
      <w:pPr>
        <w:jc w:val="both"/>
        <w:rPr>
          <w:rFonts w:ascii="Arial" w:hAnsi="Arial" w:cs="Arial"/>
          <w:b/>
          <w:sz w:val="22"/>
          <w:szCs w:val="22"/>
          <w:lang w:val="en-GB"/>
        </w:rPr>
      </w:pPr>
    </w:p>
    <w:p w14:paraId="046A32B2" w14:textId="79277827" w:rsidR="007E46A8" w:rsidRDefault="007E46A8" w:rsidP="00C55824">
      <w:pPr>
        <w:jc w:val="both"/>
        <w:rPr>
          <w:rFonts w:ascii="Arial" w:hAnsi="Arial" w:cs="Arial"/>
          <w:b/>
          <w:sz w:val="22"/>
          <w:szCs w:val="22"/>
          <w:lang w:val="en-GB"/>
        </w:rPr>
      </w:pPr>
    </w:p>
    <w:p w14:paraId="7A3977C9" w14:textId="09B55189" w:rsidR="007E46A8" w:rsidRDefault="007E46A8" w:rsidP="00C55824">
      <w:pPr>
        <w:jc w:val="both"/>
        <w:rPr>
          <w:rFonts w:ascii="Arial" w:hAnsi="Arial" w:cs="Arial"/>
          <w:b/>
          <w:sz w:val="22"/>
          <w:szCs w:val="22"/>
          <w:lang w:val="en-GB"/>
        </w:rPr>
      </w:pPr>
    </w:p>
    <w:p w14:paraId="0C059D76" w14:textId="4E765D2E" w:rsidR="007E46A8" w:rsidRDefault="007E46A8" w:rsidP="00C55824">
      <w:pPr>
        <w:jc w:val="both"/>
        <w:rPr>
          <w:rFonts w:ascii="Arial" w:hAnsi="Arial" w:cs="Arial"/>
          <w:b/>
          <w:sz w:val="22"/>
          <w:szCs w:val="22"/>
          <w:lang w:val="en-GB"/>
        </w:rPr>
      </w:pPr>
    </w:p>
    <w:p w14:paraId="2DE19916" w14:textId="42BA9FA2" w:rsidR="007E46A8" w:rsidRDefault="007E46A8" w:rsidP="00C55824">
      <w:pPr>
        <w:jc w:val="both"/>
        <w:rPr>
          <w:rFonts w:ascii="Arial" w:hAnsi="Arial" w:cs="Arial"/>
          <w:b/>
          <w:sz w:val="22"/>
          <w:szCs w:val="22"/>
          <w:lang w:val="en-GB"/>
        </w:rPr>
      </w:pPr>
    </w:p>
    <w:p w14:paraId="0C8ADE00" w14:textId="77777777" w:rsidR="007E46A8" w:rsidRDefault="007E46A8"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FA940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C317D">
        <w:rPr>
          <w:rFonts w:ascii="Arial" w:hAnsi="Arial" w:cs="Arial"/>
          <w:b/>
          <w:bCs/>
          <w:sz w:val="22"/>
          <w:szCs w:val="22"/>
          <w:lang w:val="en-GB"/>
        </w:rPr>
        <w:t>5</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79F14790" w:rsidR="00241FA3" w:rsidRDefault="0080441E" w:rsidP="00AC317D">
      <w:pPr>
        <w:jc w:val="both"/>
        <w:rPr>
          <w:rFonts w:ascii="Arial" w:hAnsi="Arial" w:cs="Arial"/>
          <w:sz w:val="22"/>
          <w:szCs w:val="22"/>
          <w:lang w:val="en-GB"/>
        </w:rPr>
      </w:pPr>
      <w:r>
        <w:rPr>
          <w:rFonts w:ascii="Arial" w:hAnsi="Arial" w:cs="Arial"/>
          <w:sz w:val="22"/>
          <w:szCs w:val="22"/>
          <w:lang w:val="en-GB"/>
        </w:rPr>
        <w:t>Who may bring an action under: (i) section 423 of the Insolvency Act 1986; (ii) section 6 of the Company Directors Disqualification Act 1986; and (iii) section 246ZB of the Insolvency Act 1986</w:t>
      </w:r>
      <w:r w:rsidR="0020090A"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7061C9D6" w14:textId="6F37D53B" w:rsidR="00AE5B6F" w:rsidRPr="00FF5098" w:rsidRDefault="00FF5098" w:rsidP="006624A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22C610C9" w14:textId="27725A01" w:rsidR="00DE03AF" w:rsidRDefault="00DE03AF" w:rsidP="002A37BB">
      <w:pPr>
        <w:jc w:val="both"/>
        <w:rPr>
          <w:rFonts w:ascii="Arial" w:hAnsi="Arial" w:cs="Arial"/>
          <w:sz w:val="22"/>
          <w:szCs w:val="22"/>
        </w:rPr>
      </w:pPr>
    </w:p>
    <w:p w14:paraId="68F3A59D" w14:textId="0302CE45" w:rsidR="00FF5098" w:rsidRPr="00802F2E" w:rsidRDefault="00802F2E" w:rsidP="002A37BB">
      <w:pPr>
        <w:jc w:val="both"/>
        <w:rPr>
          <w:rFonts w:ascii="Arial" w:hAnsi="Arial" w:cs="Arial"/>
          <w:i/>
          <w:iCs/>
          <w:sz w:val="22"/>
          <w:szCs w:val="22"/>
          <w:u w:val="single"/>
        </w:rPr>
      </w:pPr>
      <w:r w:rsidRPr="00802F2E">
        <w:rPr>
          <w:rFonts w:ascii="Arial" w:hAnsi="Arial" w:cs="Arial"/>
          <w:i/>
          <w:iCs/>
          <w:sz w:val="22"/>
          <w:szCs w:val="22"/>
          <w:u w:val="single"/>
        </w:rPr>
        <w:t>Section 423 of the Insolvency Act 1986</w:t>
      </w:r>
    </w:p>
    <w:p w14:paraId="1DAFECD5" w14:textId="011D70F7" w:rsidR="00802F2E" w:rsidRDefault="00802F2E" w:rsidP="002A37BB">
      <w:pPr>
        <w:jc w:val="both"/>
        <w:rPr>
          <w:rFonts w:ascii="Arial" w:hAnsi="Arial" w:cs="Arial"/>
          <w:sz w:val="22"/>
          <w:szCs w:val="22"/>
        </w:rPr>
      </w:pPr>
    </w:p>
    <w:p w14:paraId="61836615" w14:textId="395264D1" w:rsidR="00802F2E" w:rsidRDefault="00802F2E" w:rsidP="002A37BB">
      <w:pPr>
        <w:jc w:val="both"/>
        <w:rPr>
          <w:rFonts w:ascii="Arial" w:hAnsi="Arial" w:cs="Arial"/>
          <w:sz w:val="22"/>
          <w:szCs w:val="22"/>
        </w:rPr>
      </w:pPr>
      <w:r>
        <w:rPr>
          <w:rFonts w:ascii="Arial" w:hAnsi="Arial" w:cs="Arial"/>
          <w:sz w:val="22"/>
          <w:szCs w:val="22"/>
        </w:rPr>
        <w:t>Section 423 of the Insolvency Act 1986 (“the Act”) relates to transactions defrauding creditors.  An action under section 423 of the Act can be brought by:</w:t>
      </w:r>
    </w:p>
    <w:p w14:paraId="28F26EAF" w14:textId="778CF15C" w:rsidR="00802F2E" w:rsidRDefault="00802F2E" w:rsidP="002A37BB">
      <w:pPr>
        <w:jc w:val="both"/>
        <w:rPr>
          <w:rFonts w:ascii="Arial" w:hAnsi="Arial" w:cs="Arial"/>
          <w:sz w:val="22"/>
          <w:szCs w:val="22"/>
        </w:rPr>
      </w:pPr>
    </w:p>
    <w:p w14:paraId="751442B1" w14:textId="39CAC661" w:rsidR="00802F2E" w:rsidRDefault="00802F2E" w:rsidP="00802F2E">
      <w:pPr>
        <w:pStyle w:val="ListParagraph"/>
        <w:numPr>
          <w:ilvl w:val="0"/>
          <w:numId w:val="18"/>
        </w:numPr>
        <w:jc w:val="both"/>
        <w:rPr>
          <w:rFonts w:ascii="Arial" w:hAnsi="Arial" w:cs="Arial"/>
          <w:sz w:val="22"/>
          <w:szCs w:val="22"/>
        </w:rPr>
      </w:pPr>
      <w:r>
        <w:rPr>
          <w:rFonts w:ascii="Arial" w:hAnsi="Arial" w:cs="Arial"/>
          <w:sz w:val="22"/>
          <w:szCs w:val="22"/>
        </w:rPr>
        <w:t>Where the company is being wound up or is in administration</w:t>
      </w:r>
      <w:r w:rsidR="00011D26">
        <w:rPr>
          <w:rFonts w:ascii="Arial" w:hAnsi="Arial" w:cs="Arial"/>
          <w:sz w:val="22"/>
          <w:szCs w:val="22"/>
        </w:rPr>
        <w:t>:</w:t>
      </w:r>
    </w:p>
    <w:p w14:paraId="33293D73" w14:textId="44F66CA4" w:rsidR="00011D26" w:rsidRDefault="00011D26" w:rsidP="00011D26">
      <w:pPr>
        <w:pStyle w:val="ListParagraph"/>
        <w:numPr>
          <w:ilvl w:val="1"/>
          <w:numId w:val="18"/>
        </w:numPr>
        <w:jc w:val="both"/>
        <w:rPr>
          <w:rFonts w:ascii="Arial" w:hAnsi="Arial" w:cs="Arial"/>
          <w:sz w:val="22"/>
          <w:szCs w:val="22"/>
        </w:rPr>
      </w:pPr>
      <w:r>
        <w:rPr>
          <w:rFonts w:ascii="Arial" w:hAnsi="Arial" w:cs="Arial"/>
          <w:sz w:val="22"/>
          <w:szCs w:val="22"/>
        </w:rPr>
        <w:t>the official receiver;</w:t>
      </w:r>
    </w:p>
    <w:p w14:paraId="7E5E65FB" w14:textId="41AF1D7C" w:rsidR="00011D26" w:rsidRDefault="00011D26" w:rsidP="00011D26">
      <w:pPr>
        <w:pStyle w:val="ListParagraph"/>
        <w:numPr>
          <w:ilvl w:val="1"/>
          <w:numId w:val="18"/>
        </w:numPr>
        <w:jc w:val="both"/>
        <w:rPr>
          <w:rFonts w:ascii="Arial" w:hAnsi="Arial" w:cs="Arial"/>
          <w:sz w:val="22"/>
          <w:szCs w:val="22"/>
        </w:rPr>
      </w:pPr>
      <w:r>
        <w:rPr>
          <w:rFonts w:ascii="Arial" w:hAnsi="Arial" w:cs="Arial"/>
          <w:sz w:val="22"/>
          <w:szCs w:val="22"/>
        </w:rPr>
        <w:t>the liquidator;</w:t>
      </w:r>
    </w:p>
    <w:p w14:paraId="760AEEE4" w14:textId="4D5EBA88" w:rsidR="00011D26" w:rsidRDefault="00011D26" w:rsidP="00011D26">
      <w:pPr>
        <w:pStyle w:val="ListParagraph"/>
        <w:numPr>
          <w:ilvl w:val="1"/>
          <w:numId w:val="18"/>
        </w:numPr>
        <w:jc w:val="both"/>
        <w:rPr>
          <w:rFonts w:ascii="Arial" w:hAnsi="Arial" w:cs="Arial"/>
          <w:sz w:val="22"/>
          <w:szCs w:val="22"/>
        </w:rPr>
      </w:pPr>
      <w:r>
        <w:rPr>
          <w:rFonts w:ascii="Arial" w:hAnsi="Arial" w:cs="Arial"/>
          <w:sz w:val="22"/>
          <w:szCs w:val="22"/>
        </w:rPr>
        <w:t>the administrator; or</w:t>
      </w:r>
    </w:p>
    <w:p w14:paraId="7D168F49" w14:textId="7F5EEF8E" w:rsidR="00011D26" w:rsidRDefault="00011D26" w:rsidP="00011D26">
      <w:pPr>
        <w:pStyle w:val="ListParagraph"/>
        <w:numPr>
          <w:ilvl w:val="1"/>
          <w:numId w:val="18"/>
        </w:numPr>
        <w:jc w:val="both"/>
        <w:rPr>
          <w:rFonts w:ascii="Arial" w:hAnsi="Arial" w:cs="Arial"/>
          <w:sz w:val="22"/>
          <w:szCs w:val="22"/>
        </w:rPr>
      </w:pPr>
      <w:r>
        <w:rPr>
          <w:rFonts w:ascii="Arial" w:hAnsi="Arial" w:cs="Arial"/>
          <w:sz w:val="22"/>
          <w:szCs w:val="22"/>
        </w:rPr>
        <w:t>with the leave of the court, any victim of the transaction such as a creditor.</w:t>
      </w:r>
    </w:p>
    <w:p w14:paraId="78191505" w14:textId="75910406" w:rsidR="00011D26" w:rsidRDefault="00011D26" w:rsidP="00011D26">
      <w:pPr>
        <w:pStyle w:val="ListParagraph"/>
        <w:numPr>
          <w:ilvl w:val="0"/>
          <w:numId w:val="18"/>
        </w:numPr>
        <w:jc w:val="both"/>
        <w:rPr>
          <w:rFonts w:ascii="Arial" w:hAnsi="Arial" w:cs="Arial"/>
          <w:sz w:val="22"/>
          <w:szCs w:val="22"/>
        </w:rPr>
      </w:pPr>
      <w:r>
        <w:rPr>
          <w:rFonts w:ascii="Arial" w:hAnsi="Arial" w:cs="Arial"/>
          <w:sz w:val="22"/>
          <w:szCs w:val="22"/>
        </w:rPr>
        <w:t>Where a victim is bound by a Company Voluntary Arrangement (“CVA”):</w:t>
      </w:r>
    </w:p>
    <w:p w14:paraId="156702A2" w14:textId="6024E10F" w:rsidR="00011D26" w:rsidRDefault="00011D26" w:rsidP="00011D26">
      <w:pPr>
        <w:pStyle w:val="ListParagraph"/>
        <w:numPr>
          <w:ilvl w:val="1"/>
          <w:numId w:val="18"/>
        </w:numPr>
        <w:jc w:val="both"/>
        <w:rPr>
          <w:rFonts w:ascii="Arial" w:hAnsi="Arial" w:cs="Arial"/>
          <w:sz w:val="22"/>
          <w:szCs w:val="22"/>
        </w:rPr>
      </w:pPr>
      <w:r>
        <w:rPr>
          <w:rFonts w:ascii="Arial" w:hAnsi="Arial" w:cs="Arial"/>
          <w:sz w:val="22"/>
          <w:szCs w:val="22"/>
        </w:rPr>
        <w:t>the supervisor of the CVA; or</w:t>
      </w:r>
    </w:p>
    <w:p w14:paraId="01DAF1CB" w14:textId="3251CD0C" w:rsidR="00011D26" w:rsidRDefault="00011D26" w:rsidP="00011D26">
      <w:pPr>
        <w:pStyle w:val="ListParagraph"/>
        <w:numPr>
          <w:ilvl w:val="1"/>
          <w:numId w:val="18"/>
        </w:numPr>
        <w:jc w:val="both"/>
        <w:rPr>
          <w:rFonts w:ascii="Arial" w:hAnsi="Arial" w:cs="Arial"/>
          <w:sz w:val="22"/>
          <w:szCs w:val="22"/>
        </w:rPr>
      </w:pPr>
      <w:r>
        <w:rPr>
          <w:rFonts w:ascii="Arial" w:hAnsi="Arial" w:cs="Arial"/>
          <w:sz w:val="22"/>
          <w:szCs w:val="22"/>
        </w:rPr>
        <w:t>any victim of the transaction (whether bound by the VA or not).</w:t>
      </w:r>
    </w:p>
    <w:p w14:paraId="07340534" w14:textId="49440280" w:rsidR="00011D26" w:rsidRPr="00011D26" w:rsidRDefault="00011D26" w:rsidP="00011D26">
      <w:pPr>
        <w:pStyle w:val="ListParagraph"/>
        <w:numPr>
          <w:ilvl w:val="0"/>
          <w:numId w:val="18"/>
        </w:numPr>
        <w:jc w:val="both"/>
        <w:rPr>
          <w:rFonts w:ascii="Arial" w:hAnsi="Arial" w:cs="Arial"/>
          <w:sz w:val="22"/>
          <w:szCs w:val="22"/>
        </w:rPr>
      </w:pPr>
      <w:r>
        <w:rPr>
          <w:rFonts w:ascii="Arial" w:hAnsi="Arial" w:cs="Arial"/>
          <w:sz w:val="22"/>
          <w:szCs w:val="22"/>
        </w:rPr>
        <w:t>In any other case, by a victim of the transaction.</w:t>
      </w:r>
    </w:p>
    <w:p w14:paraId="7C9D8D96" w14:textId="7977303C" w:rsidR="00802F2E" w:rsidRDefault="00802F2E" w:rsidP="002A37BB">
      <w:pPr>
        <w:jc w:val="both"/>
        <w:rPr>
          <w:rFonts w:ascii="Arial" w:hAnsi="Arial" w:cs="Arial"/>
          <w:sz w:val="22"/>
          <w:szCs w:val="22"/>
        </w:rPr>
      </w:pPr>
    </w:p>
    <w:p w14:paraId="6C827557" w14:textId="62433079" w:rsidR="00802F2E" w:rsidRPr="00802F2E" w:rsidRDefault="00802F2E" w:rsidP="002A37BB">
      <w:pPr>
        <w:jc w:val="both"/>
        <w:rPr>
          <w:rFonts w:ascii="Arial" w:hAnsi="Arial" w:cs="Arial"/>
          <w:b/>
          <w:bCs/>
          <w:i/>
          <w:iCs/>
          <w:sz w:val="22"/>
          <w:szCs w:val="22"/>
          <w:u w:val="single"/>
        </w:rPr>
      </w:pPr>
      <w:r w:rsidRPr="00802F2E">
        <w:rPr>
          <w:rFonts w:ascii="Arial" w:hAnsi="Arial" w:cs="Arial"/>
          <w:i/>
          <w:iCs/>
          <w:sz w:val="22"/>
          <w:szCs w:val="22"/>
          <w:u w:val="single"/>
        </w:rPr>
        <w:t>Section 6 of the Company Directors Disqualification Act</w:t>
      </w:r>
      <w:r w:rsidRPr="00802F2E">
        <w:rPr>
          <w:rFonts w:ascii="Arial" w:hAnsi="Arial" w:cs="Arial"/>
          <w:b/>
          <w:bCs/>
          <w:i/>
          <w:iCs/>
          <w:sz w:val="22"/>
          <w:szCs w:val="22"/>
          <w:u w:val="single"/>
        </w:rPr>
        <w:t xml:space="preserve"> </w:t>
      </w:r>
      <w:r w:rsidRPr="00802F2E">
        <w:rPr>
          <w:rFonts w:ascii="Arial" w:hAnsi="Arial" w:cs="Arial"/>
          <w:i/>
          <w:iCs/>
          <w:sz w:val="22"/>
          <w:szCs w:val="22"/>
          <w:u w:val="single"/>
        </w:rPr>
        <w:t>1986</w:t>
      </w:r>
    </w:p>
    <w:p w14:paraId="18EA8EDB" w14:textId="46A76ABF" w:rsidR="00802F2E" w:rsidRDefault="00802F2E" w:rsidP="002A37BB">
      <w:pPr>
        <w:jc w:val="both"/>
        <w:rPr>
          <w:rFonts w:ascii="Arial" w:hAnsi="Arial" w:cs="Arial"/>
          <w:sz w:val="22"/>
          <w:szCs w:val="22"/>
        </w:rPr>
      </w:pPr>
    </w:p>
    <w:p w14:paraId="5A324060" w14:textId="1450984D" w:rsidR="00F20609" w:rsidRDefault="00F20609" w:rsidP="002A37BB">
      <w:pPr>
        <w:jc w:val="both"/>
        <w:rPr>
          <w:rFonts w:ascii="Arial" w:hAnsi="Arial" w:cs="Arial"/>
          <w:sz w:val="22"/>
          <w:szCs w:val="22"/>
        </w:rPr>
      </w:pPr>
      <w:r>
        <w:rPr>
          <w:rFonts w:ascii="Arial" w:hAnsi="Arial" w:cs="Arial"/>
          <w:sz w:val="22"/>
          <w:szCs w:val="22"/>
        </w:rPr>
        <w:t>A liquidator and administrator has a statutory duty to report any directors who may be “unfit” to be directors under the Company Directors Disqualification Act 1986 (“CDDA”).  Based on the liquidators or administrators report, the Secretary of State may decide to take action against the directors.  Therefore, it is the Secretary of State who can bring an action under section 6 of the CDDA.</w:t>
      </w:r>
    </w:p>
    <w:p w14:paraId="3EA153BF" w14:textId="4E169D14" w:rsidR="00802F2E" w:rsidRDefault="00802F2E" w:rsidP="002A37BB">
      <w:pPr>
        <w:jc w:val="both"/>
        <w:rPr>
          <w:rFonts w:ascii="Arial" w:hAnsi="Arial" w:cs="Arial"/>
          <w:sz w:val="22"/>
          <w:szCs w:val="22"/>
        </w:rPr>
      </w:pPr>
    </w:p>
    <w:p w14:paraId="5494E82C" w14:textId="0526F259" w:rsidR="00802F2E" w:rsidRPr="00802F2E" w:rsidRDefault="00802F2E" w:rsidP="002A37BB">
      <w:pPr>
        <w:jc w:val="both"/>
        <w:rPr>
          <w:rFonts w:ascii="Arial" w:hAnsi="Arial" w:cs="Arial"/>
          <w:i/>
          <w:iCs/>
          <w:sz w:val="22"/>
          <w:szCs w:val="22"/>
          <w:u w:val="single"/>
        </w:rPr>
      </w:pPr>
      <w:r w:rsidRPr="00802F2E">
        <w:rPr>
          <w:rFonts w:ascii="Arial" w:hAnsi="Arial" w:cs="Arial"/>
          <w:i/>
          <w:iCs/>
          <w:sz w:val="22"/>
          <w:szCs w:val="22"/>
          <w:u w:val="single"/>
        </w:rPr>
        <w:t>Section 246ZB of the Insolvency Act 1986</w:t>
      </w:r>
    </w:p>
    <w:p w14:paraId="24C42BDE" w14:textId="422BFBE6" w:rsidR="00802F2E" w:rsidRDefault="00802F2E" w:rsidP="002A37BB">
      <w:pPr>
        <w:jc w:val="both"/>
        <w:rPr>
          <w:rFonts w:ascii="Arial" w:hAnsi="Arial" w:cs="Arial"/>
          <w:sz w:val="22"/>
          <w:szCs w:val="22"/>
        </w:rPr>
      </w:pPr>
    </w:p>
    <w:p w14:paraId="2C6B8FE8" w14:textId="60447C96" w:rsidR="00802F2E" w:rsidRDefault="00E52487" w:rsidP="002A37BB">
      <w:pPr>
        <w:jc w:val="both"/>
        <w:rPr>
          <w:rFonts w:ascii="Arial" w:hAnsi="Arial" w:cs="Arial"/>
          <w:sz w:val="22"/>
          <w:szCs w:val="22"/>
        </w:rPr>
      </w:pPr>
      <w:r>
        <w:rPr>
          <w:rFonts w:ascii="Arial" w:hAnsi="Arial" w:cs="Arial"/>
          <w:sz w:val="22"/>
          <w:szCs w:val="22"/>
        </w:rPr>
        <w:t>Section 246ZB of the Act relates to wrongful trading, specifically wrongful trading in the context of an administration.  Therefore, an action under section 246ZB can be brought by an administrator.</w:t>
      </w:r>
    </w:p>
    <w:p w14:paraId="37EEE98A" w14:textId="77777777" w:rsidR="00802F2E" w:rsidRPr="002A37BB" w:rsidRDefault="00802F2E" w:rsidP="002A37BB">
      <w:pPr>
        <w:jc w:val="both"/>
        <w:rPr>
          <w:rFonts w:ascii="Arial" w:hAnsi="Arial" w:cs="Arial"/>
          <w:sz w:val="22"/>
          <w:szCs w:val="22"/>
        </w:rPr>
      </w:pPr>
    </w:p>
    <w:p w14:paraId="34516371" w14:textId="0E17B3B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3A4482">
        <w:rPr>
          <w:rFonts w:ascii="Arial" w:hAnsi="Arial" w:cs="Arial"/>
          <w:b/>
          <w:bCs/>
          <w:sz w:val="22"/>
          <w:szCs w:val="22"/>
          <w:lang w:val="en-GB"/>
        </w:rPr>
        <w:t>5</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26906D2C"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003A4482">
        <w:rPr>
          <w:rFonts w:ascii="Arial" w:hAnsi="Arial" w:cs="Arial"/>
          <w:sz w:val="22"/>
          <w:szCs w:val="22"/>
          <w:lang w:val="en-GB"/>
        </w:rPr>
        <w:t xml:space="preserve">the </w:t>
      </w:r>
      <w:r w:rsidRPr="00763348">
        <w:rPr>
          <w:rFonts w:ascii="Arial" w:hAnsi="Arial" w:cs="Arial"/>
          <w:b/>
          <w:bCs/>
          <w:sz w:val="22"/>
          <w:szCs w:val="22"/>
          <w:lang w:val="en-GB"/>
        </w:rPr>
        <w:t>f</w:t>
      </w:r>
      <w:r w:rsidR="00AC317D">
        <w:rPr>
          <w:rFonts w:ascii="Arial" w:hAnsi="Arial" w:cs="Arial"/>
          <w:b/>
          <w:bCs/>
          <w:sz w:val="22"/>
          <w:szCs w:val="22"/>
          <w:lang w:val="en-GB"/>
        </w:rPr>
        <w:t>ive</w:t>
      </w:r>
      <w:r w:rsidRPr="00763348">
        <w:rPr>
          <w:rFonts w:ascii="Arial" w:hAnsi="Arial" w:cs="Arial"/>
          <w:b/>
          <w:bCs/>
          <w:sz w:val="22"/>
          <w:szCs w:val="22"/>
          <w:lang w:val="en-GB"/>
        </w:rPr>
        <w:t xml:space="preserve"> </w:t>
      </w:r>
      <w:r w:rsidR="00763348" w:rsidRPr="00763348">
        <w:rPr>
          <w:rFonts w:ascii="Arial" w:hAnsi="Arial" w:cs="Arial"/>
          <w:b/>
          <w:bCs/>
          <w:sz w:val="22"/>
          <w:szCs w:val="22"/>
          <w:lang w:val="en-GB"/>
        </w:rPr>
        <w:t>(</w:t>
      </w:r>
      <w:r w:rsidR="00AC317D">
        <w:rPr>
          <w:rFonts w:ascii="Arial" w:hAnsi="Arial" w:cs="Arial"/>
          <w:b/>
          <w:bCs/>
          <w:sz w:val="22"/>
          <w:szCs w:val="22"/>
          <w:lang w:val="en-GB"/>
        </w:rPr>
        <w:t>5</w:t>
      </w:r>
      <w:r w:rsidR="00763348" w:rsidRPr="00763348">
        <w:rPr>
          <w:rFonts w:ascii="Arial" w:hAnsi="Arial" w:cs="Arial"/>
          <w:b/>
          <w:bCs/>
          <w:sz w:val="22"/>
          <w:szCs w:val="22"/>
          <w:lang w:val="en-GB"/>
        </w:rPr>
        <w:t>)</w:t>
      </w:r>
      <w:r w:rsidR="00763348">
        <w:rPr>
          <w:rFonts w:ascii="Arial" w:hAnsi="Arial" w:cs="Arial"/>
          <w:sz w:val="22"/>
          <w:szCs w:val="22"/>
          <w:lang w:val="en-GB"/>
        </w:rPr>
        <w:t xml:space="preserve"> </w:t>
      </w:r>
      <w:r w:rsidR="00AC317D">
        <w:rPr>
          <w:rFonts w:ascii="Arial" w:hAnsi="Arial" w:cs="Arial"/>
          <w:sz w:val="22"/>
          <w:szCs w:val="22"/>
          <w:lang w:val="en-GB"/>
        </w:rPr>
        <w:t>qualifying decision procedures by which creditors may make decisions in the context of an insolvent company.</w:t>
      </w:r>
    </w:p>
    <w:p w14:paraId="3C47960C" w14:textId="77777777" w:rsidR="00FA417D" w:rsidRPr="002A37BB" w:rsidRDefault="00FA417D" w:rsidP="002A37BB">
      <w:pPr>
        <w:ind w:left="720" w:hanging="720"/>
        <w:jc w:val="both"/>
        <w:rPr>
          <w:rFonts w:ascii="Arial" w:hAnsi="Arial" w:cs="Arial"/>
          <w:sz w:val="22"/>
          <w:szCs w:val="22"/>
          <w:lang w:val="en-GB"/>
        </w:rPr>
      </w:pPr>
    </w:p>
    <w:p w14:paraId="4E1236F0" w14:textId="77777777" w:rsidR="00FF5098" w:rsidRPr="00FF5098" w:rsidRDefault="00FF5098" w:rsidP="00FF5098">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572227E7" w14:textId="248169C6" w:rsidR="0045683E" w:rsidRDefault="0045683E" w:rsidP="002A37BB">
      <w:pPr>
        <w:jc w:val="both"/>
        <w:rPr>
          <w:rFonts w:ascii="Arial" w:hAnsi="Arial" w:cs="Arial"/>
          <w:bCs/>
          <w:sz w:val="22"/>
          <w:szCs w:val="22"/>
          <w:lang w:val="en-GB"/>
        </w:rPr>
      </w:pPr>
    </w:p>
    <w:p w14:paraId="13C398CA" w14:textId="398040D2" w:rsidR="00652038" w:rsidRDefault="00652038" w:rsidP="002A37BB">
      <w:pPr>
        <w:jc w:val="both"/>
        <w:rPr>
          <w:rFonts w:ascii="Arial" w:hAnsi="Arial" w:cs="Arial"/>
          <w:bCs/>
          <w:sz w:val="22"/>
          <w:szCs w:val="22"/>
          <w:lang w:val="en-GB"/>
        </w:rPr>
      </w:pPr>
      <w:r>
        <w:rPr>
          <w:rFonts w:ascii="Arial" w:hAnsi="Arial" w:cs="Arial"/>
          <w:bCs/>
          <w:sz w:val="22"/>
          <w:szCs w:val="22"/>
          <w:lang w:val="en-GB"/>
        </w:rPr>
        <w:t xml:space="preserve">Pursuant to the </w:t>
      </w:r>
      <w:r w:rsidR="005E282A">
        <w:rPr>
          <w:rFonts w:ascii="Arial" w:hAnsi="Arial" w:cs="Arial"/>
          <w:bCs/>
          <w:sz w:val="22"/>
          <w:szCs w:val="22"/>
          <w:lang w:val="en-GB"/>
        </w:rPr>
        <w:t>Insolvency Rules 2016 (“the Rules”), r 15.3, the five (5) qualifying decision making procedures under section 246ZE and 379ZA of the Act are:</w:t>
      </w:r>
    </w:p>
    <w:p w14:paraId="2F80CCCB" w14:textId="77777777" w:rsidR="00652038" w:rsidRDefault="00652038" w:rsidP="002A37BB">
      <w:pPr>
        <w:jc w:val="both"/>
        <w:rPr>
          <w:rFonts w:ascii="Arial" w:hAnsi="Arial" w:cs="Arial"/>
          <w:bCs/>
          <w:sz w:val="22"/>
          <w:szCs w:val="22"/>
          <w:lang w:val="en-GB"/>
        </w:rPr>
      </w:pPr>
    </w:p>
    <w:p w14:paraId="5E4573B9" w14:textId="6405D4A2" w:rsidR="00E52487" w:rsidRDefault="00652038" w:rsidP="00652038">
      <w:pPr>
        <w:pStyle w:val="ListParagraph"/>
        <w:numPr>
          <w:ilvl w:val="0"/>
          <w:numId w:val="20"/>
        </w:numPr>
        <w:jc w:val="both"/>
        <w:rPr>
          <w:rFonts w:ascii="Arial" w:hAnsi="Arial" w:cs="Arial"/>
          <w:bCs/>
          <w:sz w:val="22"/>
          <w:szCs w:val="22"/>
          <w:lang w:val="en-GB"/>
        </w:rPr>
      </w:pPr>
      <w:r>
        <w:rPr>
          <w:rFonts w:ascii="Arial" w:hAnsi="Arial" w:cs="Arial"/>
          <w:bCs/>
          <w:sz w:val="22"/>
          <w:szCs w:val="22"/>
          <w:lang w:val="en-GB"/>
        </w:rPr>
        <w:t>Correspondence;</w:t>
      </w:r>
    </w:p>
    <w:p w14:paraId="4EBB382C" w14:textId="4DDD9204" w:rsidR="00652038" w:rsidRDefault="00652038" w:rsidP="00652038">
      <w:pPr>
        <w:pStyle w:val="ListParagraph"/>
        <w:numPr>
          <w:ilvl w:val="0"/>
          <w:numId w:val="20"/>
        </w:numPr>
        <w:jc w:val="both"/>
        <w:rPr>
          <w:rFonts w:ascii="Arial" w:hAnsi="Arial" w:cs="Arial"/>
          <w:bCs/>
          <w:sz w:val="22"/>
          <w:szCs w:val="22"/>
          <w:lang w:val="en-GB"/>
        </w:rPr>
      </w:pPr>
      <w:r>
        <w:rPr>
          <w:rFonts w:ascii="Arial" w:hAnsi="Arial" w:cs="Arial"/>
          <w:bCs/>
          <w:sz w:val="22"/>
          <w:szCs w:val="22"/>
          <w:lang w:val="en-GB"/>
        </w:rPr>
        <w:t>Electronic voting;</w:t>
      </w:r>
    </w:p>
    <w:p w14:paraId="48378443" w14:textId="35CA7114" w:rsidR="00652038" w:rsidRDefault="00652038" w:rsidP="00652038">
      <w:pPr>
        <w:pStyle w:val="ListParagraph"/>
        <w:numPr>
          <w:ilvl w:val="0"/>
          <w:numId w:val="20"/>
        </w:numPr>
        <w:jc w:val="both"/>
        <w:rPr>
          <w:rFonts w:ascii="Arial" w:hAnsi="Arial" w:cs="Arial"/>
          <w:bCs/>
          <w:sz w:val="22"/>
          <w:szCs w:val="22"/>
          <w:lang w:val="en-GB"/>
        </w:rPr>
      </w:pPr>
      <w:r>
        <w:rPr>
          <w:rFonts w:ascii="Arial" w:hAnsi="Arial" w:cs="Arial"/>
          <w:bCs/>
          <w:sz w:val="22"/>
          <w:szCs w:val="22"/>
          <w:lang w:val="en-GB"/>
        </w:rPr>
        <w:t>Virtual meeting;</w:t>
      </w:r>
    </w:p>
    <w:p w14:paraId="3260CFA1" w14:textId="5EAA667C" w:rsidR="00652038" w:rsidRDefault="00652038" w:rsidP="00652038">
      <w:pPr>
        <w:pStyle w:val="ListParagraph"/>
        <w:numPr>
          <w:ilvl w:val="0"/>
          <w:numId w:val="20"/>
        </w:numPr>
        <w:jc w:val="both"/>
        <w:rPr>
          <w:rFonts w:ascii="Arial" w:hAnsi="Arial" w:cs="Arial"/>
          <w:bCs/>
          <w:sz w:val="22"/>
          <w:szCs w:val="22"/>
          <w:lang w:val="en-GB"/>
        </w:rPr>
      </w:pPr>
      <w:r>
        <w:rPr>
          <w:rFonts w:ascii="Arial" w:hAnsi="Arial" w:cs="Arial"/>
          <w:bCs/>
          <w:sz w:val="22"/>
          <w:szCs w:val="22"/>
          <w:lang w:val="en-GB"/>
        </w:rPr>
        <w:t>Physical meeting; or</w:t>
      </w:r>
    </w:p>
    <w:p w14:paraId="4A2A8188" w14:textId="2C67C871" w:rsidR="00652038" w:rsidRPr="00652038" w:rsidRDefault="00652038" w:rsidP="00652038">
      <w:pPr>
        <w:pStyle w:val="ListParagraph"/>
        <w:numPr>
          <w:ilvl w:val="0"/>
          <w:numId w:val="20"/>
        </w:numPr>
        <w:jc w:val="both"/>
        <w:rPr>
          <w:rFonts w:ascii="Arial" w:hAnsi="Arial" w:cs="Arial"/>
          <w:bCs/>
          <w:sz w:val="22"/>
          <w:szCs w:val="22"/>
          <w:lang w:val="en-GB"/>
        </w:rPr>
      </w:pPr>
      <w:r>
        <w:rPr>
          <w:rFonts w:ascii="Arial" w:hAnsi="Arial" w:cs="Arial"/>
          <w:bCs/>
          <w:sz w:val="22"/>
          <w:szCs w:val="22"/>
          <w:lang w:val="en-GB"/>
        </w:rPr>
        <w:t>Any other decision making procedure which enables all creditors who are entitled to participate in the decision making of the decision to participate equally.</w:t>
      </w:r>
    </w:p>
    <w:p w14:paraId="0089DF92" w14:textId="77777777" w:rsidR="00FF5098" w:rsidRPr="002A37BB" w:rsidRDefault="00FF509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559F77E8" w:rsidR="00FA417D" w:rsidRPr="002A37BB" w:rsidRDefault="00891690" w:rsidP="00FA417D">
      <w:pPr>
        <w:jc w:val="both"/>
        <w:rPr>
          <w:rFonts w:ascii="Arial" w:hAnsi="Arial" w:cs="Arial"/>
          <w:sz w:val="22"/>
          <w:szCs w:val="22"/>
          <w:lang w:val="en-GB"/>
        </w:rPr>
      </w:pPr>
      <w:r>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2A37BB" w:rsidRDefault="00241FA3" w:rsidP="002A37BB">
      <w:pPr>
        <w:jc w:val="both"/>
        <w:rPr>
          <w:rFonts w:ascii="Arial" w:hAnsi="Arial" w:cs="Arial"/>
          <w:sz w:val="22"/>
          <w:szCs w:val="22"/>
        </w:rPr>
      </w:pPr>
    </w:p>
    <w:p w14:paraId="17F2E837" w14:textId="77777777" w:rsidR="00FF5098" w:rsidRPr="00FF5098" w:rsidRDefault="00FF5098" w:rsidP="00FF5098">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2E450CAD" w14:textId="4AA234F6" w:rsidR="00FF5098" w:rsidRDefault="00FF5098" w:rsidP="002A37BB">
      <w:pPr>
        <w:ind w:left="720" w:hanging="720"/>
        <w:jc w:val="both"/>
        <w:rPr>
          <w:rFonts w:ascii="Arial" w:hAnsi="Arial" w:cs="Arial"/>
          <w:sz w:val="22"/>
          <w:szCs w:val="22"/>
        </w:rPr>
      </w:pPr>
    </w:p>
    <w:p w14:paraId="3CD79202" w14:textId="686D024B" w:rsidR="0027188D" w:rsidRDefault="0027188D" w:rsidP="0027188D">
      <w:pPr>
        <w:jc w:val="both"/>
        <w:rPr>
          <w:rFonts w:ascii="Arial" w:hAnsi="Arial" w:cs="Arial"/>
          <w:sz w:val="22"/>
          <w:szCs w:val="22"/>
        </w:rPr>
      </w:pPr>
      <w:r>
        <w:rPr>
          <w:rFonts w:ascii="Arial" w:hAnsi="Arial" w:cs="Arial"/>
          <w:sz w:val="22"/>
          <w:szCs w:val="22"/>
        </w:rPr>
        <w:t xml:space="preserve">The appointment of an administrator does not automatically terminate a company’s executory contracts.  </w:t>
      </w:r>
    </w:p>
    <w:p w14:paraId="38FDF593" w14:textId="01C2EBB0" w:rsidR="0027188D" w:rsidRDefault="0027188D" w:rsidP="0027188D">
      <w:pPr>
        <w:jc w:val="both"/>
        <w:rPr>
          <w:rFonts w:ascii="Arial" w:hAnsi="Arial" w:cs="Arial"/>
          <w:sz w:val="22"/>
          <w:szCs w:val="22"/>
        </w:rPr>
      </w:pPr>
    </w:p>
    <w:p w14:paraId="2DD865E7" w14:textId="02E33D7F" w:rsidR="0027188D" w:rsidRDefault="0027188D" w:rsidP="0027188D">
      <w:pPr>
        <w:jc w:val="both"/>
        <w:rPr>
          <w:rFonts w:ascii="Arial" w:hAnsi="Arial" w:cs="Arial"/>
          <w:sz w:val="22"/>
          <w:szCs w:val="22"/>
        </w:rPr>
      </w:pPr>
      <w:r>
        <w:rPr>
          <w:rFonts w:ascii="Arial" w:hAnsi="Arial" w:cs="Arial"/>
          <w:sz w:val="22"/>
          <w:szCs w:val="22"/>
        </w:rPr>
        <w:t xml:space="preserve">Pursuant to section 233 of the Act, </w:t>
      </w:r>
      <w:r w:rsidR="00CF4E15">
        <w:rPr>
          <w:rFonts w:ascii="Arial" w:hAnsi="Arial" w:cs="Arial"/>
          <w:sz w:val="22"/>
          <w:szCs w:val="22"/>
        </w:rPr>
        <w:t xml:space="preserve">the administrator can obtain and retain certain essential supplies such as gas, water, electricity and communications.  The specific services are outlined in section 233(3) of the Act.  Additionally, section 233(2) of the Act: (i) permits a supplier to stipulate that the administrator must personally guarantee payment of charges for the period of the administration; however, </w:t>
      </w:r>
      <w:r w:rsidR="00981393">
        <w:rPr>
          <w:rFonts w:ascii="Arial" w:hAnsi="Arial" w:cs="Arial"/>
          <w:sz w:val="22"/>
          <w:szCs w:val="22"/>
        </w:rPr>
        <w:t xml:space="preserve">pursuant to </w:t>
      </w:r>
      <w:r w:rsidR="00CF4E15">
        <w:rPr>
          <w:rFonts w:ascii="Arial" w:hAnsi="Arial" w:cs="Arial"/>
          <w:sz w:val="22"/>
          <w:szCs w:val="22"/>
        </w:rPr>
        <w:t xml:space="preserve">(ii) the supplier cannot make it a condition of giving the supply, or do anything which has the effect of making it a condition of giving the supply, that any outstanding charges in </w:t>
      </w:r>
      <w:r w:rsidR="00470E51">
        <w:rPr>
          <w:rFonts w:ascii="Arial" w:hAnsi="Arial" w:cs="Arial"/>
          <w:sz w:val="22"/>
          <w:szCs w:val="22"/>
        </w:rPr>
        <w:t>receipt</w:t>
      </w:r>
      <w:r w:rsidR="00CF4E15">
        <w:rPr>
          <w:rFonts w:ascii="Arial" w:hAnsi="Arial" w:cs="Arial"/>
          <w:sz w:val="22"/>
          <w:szCs w:val="22"/>
        </w:rPr>
        <w:t xml:space="preserve"> of the supply given to the company before the administration date are paid.</w:t>
      </w:r>
    </w:p>
    <w:p w14:paraId="69F2A10C" w14:textId="1C192646" w:rsidR="00CF4E15" w:rsidRDefault="00CF4E15" w:rsidP="0027188D">
      <w:pPr>
        <w:jc w:val="both"/>
        <w:rPr>
          <w:rFonts w:ascii="Arial" w:hAnsi="Arial" w:cs="Arial"/>
          <w:sz w:val="22"/>
          <w:szCs w:val="22"/>
        </w:rPr>
      </w:pPr>
    </w:p>
    <w:p w14:paraId="7445285E" w14:textId="54BEC934" w:rsidR="00092D89" w:rsidRDefault="00981393" w:rsidP="0027188D">
      <w:pPr>
        <w:jc w:val="both"/>
        <w:rPr>
          <w:rFonts w:ascii="Arial" w:hAnsi="Arial" w:cs="Arial"/>
          <w:sz w:val="22"/>
          <w:szCs w:val="22"/>
        </w:rPr>
      </w:pPr>
      <w:r>
        <w:rPr>
          <w:rFonts w:ascii="Arial" w:hAnsi="Arial" w:cs="Arial"/>
          <w:sz w:val="22"/>
          <w:szCs w:val="22"/>
        </w:rPr>
        <w:t xml:space="preserve">With reference </w:t>
      </w:r>
      <w:r w:rsidR="00470E51">
        <w:rPr>
          <w:rFonts w:ascii="Arial" w:hAnsi="Arial" w:cs="Arial"/>
          <w:sz w:val="22"/>
          <w:szCs w:val="22"/>
        </w:rPr>
        <w:t>to section 233A of the Act a supplier is generally unable to rely upon a “insolvency related term</w:t>
      </w:r>
      <w:r w:rsidR="00092D89">
        <w:rPr>
          <w:rFonts w:ascii="Arial" w:hAnsi="Arial" w:cs="Arial"/>
          <w:sz w:val="22"/>
          <w:szCs w:val="22"/>
        </w:rPr>
        <w:t>s</w:t>
      </w:r>
      <w:r w:rsidR="00470E51">
        <w:rPr>
          <w:rFonts w:ascii="Arial" w:hAnsi="Arial" w:cs="Arial"/>
          <w:sz w:val="22"/>
          <w:szCs w:val="22"/>
        </w:rPr>
        <w:t xml:space="preserve">” in a contract of supply which would otherwise allow the supplier to: (i) terminate the supply; (ii) alter the supply terms: or (iii) compel higher payment terms for continued supply.  </w:t>
      </w:r>
    </w:p>
    <w:p w14:paraId="2A3D721E" w14:textId="77777777" w:rsidR="00092D89" w:rsidRDefault="00092D89" w:rsidP="0027188D">
      <w:pPr>
        <w:jc w:val="both"/>
        <w:rPr>
          <w:rFonts w:ascii="Arial" w:hAnsi="Arial" w:cs="Arial"/>
          <w:sz w:val="22"/>
          <w:szCs w:val="22"/>
        </w:rPr>
      </w:pPr>
    </w:p>
    <w:p w14:paraId="0BDE07E6" w14:textId="552673AE" w:rsidR="00CF4E15" w:rsidRDefault="00092D89" w:rsidP="0027188D">
      <w:pPr>
        <w:jc w:val="both"/>
        <w:rPr>
          <w:rFonts w:ascii="Arial" w:hAnsi="Arial" w:cs="Arial"/>
          <w:sz w:val="22"/>
          <w:szCs w:val="22"/>
        </w:rPr>
      </w:pPr>
      <w:r>
        <w:rPr>
          <w:rFonts w:ascii="Arial" w:hAnsi="Arial" w:cs="Arial"/>
          <w:sz w:val="22"/>
          <w:szCs w:val="22"/>
        </w:rPr>
        <w:t>S</w:t>
      </w:r>
      <w:r w:rsidR="00470E51">
        <w:rPr>
          <w:rFonts w:ascii="Arial" w:hAnsi="Arial" w:cs="Arial"/>
          <w:sz w:val="22"/>
          <w:szCs w:val="22"/>
        </w:rPr>
        <w:t>ection 233B of the Act prohibits clauses which allow the supplier to terminate or “do any other thing” in relation to the executory contract if the company enters administration.</w:t>
      </w:r>
      <w:r>
        <w:rPr>
          <w:rFonts w:ascii="Arial" w:hAnsi="Arial" w:cs="Arial"/>
          <w:sz w:val="22"/>
          <w:szCs w:val="22"/>
        </w:rPr>
        <w:t xml:space="preserve">  Therefore, section 233B prevents suppliers from terminating a supply on the company’s insolvency but also prevents suppliers from making it a condition of a continued supply that pre-insolvency arrears paid and from making other changes to the contract such as increasing prices.</w:t>
      </w:r>
    </w:p>
    <w:p w14:paraId="119198A0" w14:textId="1998FC15" w:rsidR="00470E51" w:rsidRDefault="00470E51" w:rsidP="0027188D">
      <w:pPr>
        <w:jc w:val="both"/>
        <w:rPr>
          <w:rFonts w:ascii="Arial" w:hAnsi="Arial" w:cs="Arial"/>
          <w:sz w:val="22"/>
          <w:szCs w:val="22"/>
        </w:rPr>
      </w:pPr>
    </w:p>
    <w:p w14:paraId="1D0B6FD2" w14:textId="5E2C857F" w:rsidR="00470E51" w:rsidRDefault="003D2846" w:rsidP="0027188D">
      <w:pPr>
        <w:jc w:val="both"/>
        <w:rPr>
          <w:rFonts w:ascii="Arial" w:hAnsi="Arial" w:cs="Arial"/>
          <w:sz w:val="22"/>
          <w:szCs w:val="22"/>
        </w:rPr>
      </w:pPr>
      <w:r>
        <w:rPr>
          <w:rFonts w:ascii="Arial" w:hAnsi="Arial" w:cs="Arial"/>
          <w:sz w:val="22"/>
          <w:szCs w:val="22"/>
        </w:rPr>
        <w:t>Under section 233B a contract may still be terminated by a supplier where (i) the administrator consents; or (ii) on application to the court, the court is satisfied that the continuation of the contract would cause the supplier hardship, and grants permission for termination.</w:t>
      </w:r>
    </w:p>
    <w:p w14:paraId="6B41C1AF" w14:textId="54B03DC0" w:rsidR="00470E51" w:rsidRDefault="00470E51" w:rsidP="0027188D">
      <w:pPr>
        <w:jc w:val="both"/>
        <w:rPr>
          <w:rFonts w:ascii="Arial" w:hAnsi="Arial" w:cs="Arial"/>
          <w:sz w:val="22"/>
          <w:szCs w:val="22"/>
        </w:rPr>
      </w:pPr>
    </w:p>
    <w:p w14:paraId="39FE1A5A" w14:textId="3639A310" w:rsidR="0027188D" w:rsidRDefault="002441AF" w:rsidP="0027188D">
      <w:pPr>
        <w:jc w:val="both"/>
        <w:rPr>
          <w:rFonts w:ascii="Arial" w:hAnsi="Arial" w:cs="Arial"/>
          <w:sz w:val="22"/>
          <w:szCs w:val="22"/>
        </w:rPr>
      </w:pPr>
      <w:r>
        <w:rPr>
          <w:rFonts w:ascii="Arial" w:hAnsi="Arial" w:cs="Arial"/>
          <w:sz w:val="22"/>
          <w:szCs w:val="22"/>
        </w:rPr>
        <w:t xml:space="preserve">Accordingly, so long as continuation of the contract does not cause the supplier hardship, the administrator can require a supplier to continue to provide goods and services throughout the administration.  However, the supplier may require the administrator to provide a personal guarantee for </w:t>
      </w:r>
      <w:r w:rsidR="00003B0A">
        <w:rPr>
          <w:rFonts w:ascii="Arial" w:hAnsi="Arial" w:cs="Arial"/>
          <w:sz w:val="22"/>
          <w:szCs w:val="22"/>
        </w:rPr>
        <w:t>any potential unpaid supplies for the administration period.</w:t>
      </w:r>
    </w:p>
    <w:p w14:paraId="78A88EA7" w14:textId="77777777" w:rsidR="00FF5098" w:rsidRPr="00FF5098" w:rsidRDefault="00FF5098" w:rsidP="002A37BB">
      <w:pPr>
        <w:ind w:left="720" w:hanging="720"/>
        <w:jc w:val="both"/>
        <w:rPr>
          <w:rFonts w:ascii="Arial" w:hAnsi="Arial" w:cs="Arial"/>
          <w:sz w:val="22"/>
          <w:szCs w:val="22"/>
        </w:rPr>
      </w:pPr>
    </w:p>
    <w:p w14:paraId="755D6AFF" w14:textId="2A040E6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4C332AE0"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461F95">
        <w:rPr>
          <w:rFonts w:ascii="Arial" w:hAnsi="Arial" w:cs="Arial"/>
          <w:sz w:val="22"/>
          <w:szCs w:val="22"/>
          <w:lang w:val="en-GB"/>
        </w:rPr>
        <w:t>order of priority of payments in a liquidation</w:t>
      </w:r>
      <w:r w:rsidR="00F70126">
        <w:rPr>
          <w:rFonts w:ascii="Arial" w:hAnsi="Arial" w:cs="Arial"/>
          <w:sz w:val="22"/>
          <w:szCs w:val="22"/>
          <w:lang w:val="en-GB"/>
        </w:rPr>
        <w:t xml:space="preserve"> and explain the nature of </w:t>
      </w:r>
      <w:r w:rsidR="00311816">
        <w:rPr>
          <w:rFonts w:ascii="Arial" w:hAnsi="Arial" w:cs="Arial"/>
          <w:sz w:val="22"/>
          <w:szCs w:val="22"/>
          <w:lang w:val="en-GB"/>
        </w:rPr>
        <w:t xml:space="preserve">the rights enjoyed by </w:t>
      </w:r>
      <w:r w:rsidR="00F70126">
        <w:rPr>
          <w:rFonts w:ascii="Arial" w:hAnsi="Arial" w:cs="Arial"/>
          <w:sz w:val="22"/>
          <w:szCs w:val="22"/>
          <w:lang w:val="en-GB"/>
        </w:rPr>
        <w:t xml:space="preserve">each </w:t>
      </w:r>
      <w:r w:rsidR="00311816">
        <w:rPr>
          <w:rFonts w:ascii="Arial" w:hAnsi="Arial" w:cs="Arial"/>
          <w:sz w:val="22"/>
          <w:szCs w:val="22"/>
          <w:lang w:val="en-GB"/>
        </w:rPr>
        <w:t xml:space="preserve">class of </w:t>
      </w:r>
      <w:r w:rsidR="00F70126">
        <w:rPr>
          <w:rFonts w:ascii="Arial" w:hAnsi="Arial" w:cs="Arial"/>
          <w:sz w:val="22"/>
          <w:szCs w:val="22"/>
          <w:lang w:val="en-GB"/>
        </w:rPr>
        <w:t>creditor</w:t>
      </w:r>
      <w:r w:rsidR="00311816">
        <w:rPr>
          <w:rFonts w:ascii="Arial" w:hAnsi="Arial" w:cs="Arial"/>
          <w:sz w:val="22"/>
          <w:szCs w:val="22"/>
          <w:lang w:val="en-GB"/>
        </w:rPr>
        <w:t xml:space="preserve"> or expense</w:t>
      </w:r>
      <w:r w:rsidR="00763348">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416B3334" w14:textId="77777777" w:rsidR="00FF5098" w:rsidRPr="00FF5098" w:rsidRDefault="00FF5098" w:rsidP="00FF5098">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3DAA6780" w14:textId="35F146A0" w:rsidR="00962045" w:rsidRDefault="00962045" w:rsidP="002A37BB">
      <w:pPr>
        <w:jc w:val="both"/>
        <w:rPr>
          <w:rFonts w:ascii="Arial" w:hAnsi="Arial" w:cs="Arial"/>
          <w:sz w:val="22"/>
          <w:szCs w:val="22"/>
          <w:shd w:val="clear" w:color="auto" w:fill="FFFFFF"/>
        </w:rPr>
      </w:pPr>
    </w:p>
    <w:p w14:paraId="2308DE17" w14:textId="0A18C19E" w:rsidR="00230E2B" w:rsidRDefault="00230E2B" w:rsidP="002A37BB">
      <w:pPr>
        <w:jc w:val="both"/>
        <w:rPr>
          <w:rFonts w:ascii="Arial" w:hAnsi="Arial" w:cs="Arial"/>
          <w:sz w:val="22"/>
          <w:szCs w:val="22"/>
          <w:shd w:val="clear" w:color="auto" w:fill="FFFFFF"/>
        </w:rPr>
      </w:pPr>
      <w:r>
        <w:rPr>
          <w:rFonts w:ascii="Arial" w:hAnsi="Arial" w:cs="Arial"/>
          <w:sz w:val="22"/>
          <w:szCs w:val="22"/>
          <w:shd w:val="clear" w:color="auto" w:fill="FFFFFF"/>
        </w:rPr>
        <w:t>The order of priority of payments in a liquidation are as follows:</w:t>
      </w:r>
    </w:p>
    <w:p w14:paraId="4982C58D" w14:textId="38E19847" w:rsidR="00230E2B" w:rsidRDefault="00230E2B" w:rsidP="002A37BB">
      <w:pPr>
        <w:jc w:val="both"/>
        <w:rPr>
          <w:rFonts w:ascii="Arial" w:hAnsi="Arial" w:cs="Arial"/>
          <w:sz w:val="22"/>
          <w:szCs w:val="22"/>
          <w:shd w:val="clear" w:color="auto" w:fill="FFFFFF"/>
        </w:rPr>
      </w:pPr>
    </w:p>
    <w:p w14:paraId="10B67362" w14:textId="1E8D551B" w:rsidR="00145F6B" w:rsidRDefault="00145F6B" w:rsidP="00230E2B">
      <w:pPr>
        <w:pStyle w:val="ListParagraph"/>
        <w:numPr>
          <w:ilvl w:val="0"/>
          <w:numId w:val="21"/>
        </w:numPr>
        <w:jc w:val="both"/>
        <w:rPr>
          <w:rFonts w:ascii="Arial" w:hAnsi="Arial" w:cs="Arial"/>
          <w:sz w:val="22"/>
          <w:szCs w:val="22"/>
          <w:shd w:val="clear" w:color="auto" w:fill="FFFFFF"/>
        </w:rPr>
      </w:pPr>
      <w:r>
        <w:rPr>
          <w:rFonts w:ascii="Arial" w:hAnsi="Arial" w:cs="Arial"/>
          <w:sz w:val="22"/>
          <w:szCs w:val="22"/>
          <w:shd w:val="clear" w:color="auto" w:fill="FFFFFF"/>
        </w:rPr>
        <w:t>Section 174A of the Act – Moratorium debts etc: priority.</w:t>
      </w:r>
    </w:p>
    <w:p w14:paraId="7167A90E" w14:textId="200829BE" w:rsidR="00145F6B" w:rsidRDefault="00145F6B" w:rsidP="00145F6B">
      <w:pPr>
        <w:pStyle w:val="ListParagraph"/>
        <w:numPr>
          <w:ilvl w:val="1"/>
          <w:numId w:val="21"/>
        </w:numPr>
        <w:jc w:val="both"/>
        <w:rPr>
          <w:rFonts w:ascii="Arial" w:hAnsi="Arial" w:cs="Arial"/>
          <w:sz w:val="22"/>
          <w:szCs w:val="22"/>
          <w:shd w:val="clear" w:color="auto" w:fill="FFFFFF"/>
        </w:rPr>
      </w:pPr>
      <w:r>
        <w:rPr>
          <w:rFonts w:ascii="Arial" w:hAnsi="Arial" w:cs="Arial"/>
          <w:sz w:val="22"/>
          <w:szCs w:val="22"/>
          <w:shd w:val="clear" w:color="auto" w:fill="FFFFFF"/>
        </w:rPr>
        <w:t xml:space="preserve">In a scenario where proceedings for the winding up of a company begun </w:t>
      </w:r>
      <w:r w:rsidR="00984FE8">
        <w:rPr>
          <w:rFonts w:ascii="Arial" w:hAnsi="Arial" w:cs="Arial"/>
          <w:sz w:val="22"/>
          <w:szCs w:val="22"/>
          <w:shd w:val="clear" w:color="auto" w:fill="FFFFFF"/>
        </w:rPr>
        <w:t xml:space="preserve">after </w:t>
      </w:r>
      <w:r>
        <w:rPr>
          <w:rFonts w:ascii="Arial" w:hAnsi="Arial" w:cs="Arial"/>
          <w:sz w:val="22"/>
          <w:szCs w:val="22"/>
          <w:shd w:val="clear" w:color="auto" w:fill="FFFFFF"/>
        </w:rPr>
        <w:t xml:space="preserve">the end of the period of 12 weeks beginning with the day after the end of any </w:t>
      </w:r>
      <w:r>
        <w:rPr>
          <w:rFonts w:ascii="Arial" w:hAnsi="Arial" w:cs="Arial"/>
          <w:sz w:val="22"/>
          <w:szCs w:val="22"/>
          <w:shd w:val="clear" w:color="auto" w:fill="FFFFFF"/>
        </w:rPr>
        <w:lastRenderedPageBreak/>
        <w:t>moratorium of a company, the</w:t>
      </w:r>
      <w:r w:rsidR="00984FE8">
        <w:rPr>
          <w:rFonts w:ascii="Arial" w:hAnsi="Arial" w:cs="Arial"/>
          <w:sz w:val="22"/>
          <w:szCs w:val="22"/>
          <w:shd w:val="clear" w:color="auto" w:fill="FFFFFF"/>
        </w:rPr>
        <w:t xml:space="preserve"> following are payable out of the company’s assets (in the priority shown) in preference to all other claims:</w:t>
      </w:r>
    </w:p>
    <w:p w14:paraId="355C7BAD" w14:textId="35DD6189" w:rsidR="00984FE8" w:rsidRDefault="00984FE8" w:rsidP="00984FE8">
      <w:pPr>
        <w:pStyle w:val="ListParagraph"/>
        <w:numPr>
          <w:ilvl w:val="2"/>
          <w:numId w:val="21"/>
        </w:numPr>
        <w:jc w:val="both"/>
        <w:rPr>
          <w:rFonts w:ascii="Arial" w:hAnsi="Arial" w:cs="Arial"/>
          <w:sz w:val="22"/>
          <w:szCs w:val="22"/>
          <w:shd w:val="clear" w:color="auto" w:fill="FFFFFF"/>
        </w:rPr>
      </w:pPr>
      <w:r>
        <w:rPr>
          <w:rFonts w:ascii="Arial" w:hAnsi="Arial" w:cs="Arial"/>
          <w:sz w:val="22"/>
          <w:szCs w:val="22"/>
          <w:shd w:val="clear" w:color="auto" w:fill="FFFFFF"/>
        </w:rPr>
        <w:t>Any prescribed fees or expenses of the official receiver acting in any capacity in relation not the company; and</w:t>
      </w:r>
    </w:p>
    <w:p w14:paraId="5354DF53" w14:textId="6EC0A726" w:rsidR="00984FE8" w:rsidRDefault="00984FE8" w:rsidP="00984FE8">
      <w:pPr>
        <w:pStyle w:val="ListParagraph"/>
        <w:numPr>
          <w:ilvl w:val="2"/>
          <w:numId w:val="21"/>
        </w:numPr>
        <w:jc w:val="both"/>
        <w:rPr>
          <w:rFonts w:ascii="Arial" w:hAnsi="Arial" w:cs="Arial"/>
          <w:sz w:val="22"/>
          <w:szCs w:val="22"/>
          <w:shd w:val="clear" w:color="auto" w:fill="FFFFFF"/>
        </w:rPr>
      </w:pPr>
      <w:r>
        <w:rPr>
          <w:rFonts w:ascii="Arial" w:hAnsi="Arial" w:cs="Arial"/>
          <w:sz w:val="22"/>
          <w:szCs w:val="22"/>
          <w:shd w:val="clear" w:color="auto" w:fill="FFFFFF"/>
        </w:rPr>
        <w:t>Moratorium debts and priority pre-moratorium debts.</w:t>
      </w:r>
    </w:p>
    <w:p w14:paraId="615731D7" w14:textId="77777777" w:rsidR="00984FE8" w:rsidRDefault="00230E2B" w:rsidP="00230E2B">
      <w:pPr>
        <w:pStyle w:val="ListParagraph"/>
        <w:numPr>
          <w:ilvl w:val="0"/>
          <w:numId w:val="21"/>
        </w:numPr>
        <w:jc w:val="both"/>
        <w:rPr>
          <w:rFonts w:ascii="Arial" w:hAnsi="Arial" w:cs="Arial"/>
          <w:sz w:val="22"/>
          <w:szCs w:val="22"/>
          <w:shd w:val="clear" w:color="auto" w:fill="FFFFFF"/>
        </w:rPr>
      </w:pPr>
      <w:r>
        <w:rPr>
          <w:rFonts w:ascii="Arial" w:hAnsi="Arial" w:cs="Arial"/>
          <w:sz w:val="22"/>
          <w:szCs w:val="22"/>
          <w:shd w:val="clear" w:color="auto" w:fill="FFFFFF"/>
        </w:rPr>
        <w:t xml:space="preserve">Section 115 of the Act - expenses of </w:t>
      </w:r>
      <w:r w:rsidR="00984FE8">
        <w:rPr>
          <w:rFonts w:ascii="Arial" w:hAnsi="Arial" w:cs="Arial"/>
          <w:sz w:val="22"/>
          <w:szCs w:val="22"/>
          <w:shd w:val="clear" w:color="auto" w:fill="FFFFFF"/>
        </w:rPr>
        <w:t xml:space="preserve">voluntary </w:t>
      </w:r>
      <w:r>
        <w:rPr>
          <w:rFonts w:ascii="Arial" w:hAnsi="Arial" w:cs="Arial"/>
          <w:sz w:val="22"/>
          <w:szCs w:val="22"/>
          <w:shd w:val="clear" w:color="auto" w:fill="FFFFFF"/>
        </w:rPr>
        <w:t>winding up</w:t>
      </w:r>
      <w:r w:rsidR="00984FE8">
        <w:rPr>
          <w:rFonts w:ascii="Arial" w:hAnsi="Arial" w:cs="Arial"/>
          <w:sz w:val="22"/>
          <w:szCs w:val="22"/>
          <w:shd w:val="clear" w:color="auto" w:fill="FFFFFF"/>
        </w:rPr>
        <w:t>:</w:t>
      </w:r>
    </w:p>
    <w:p w14:paraId="419B9E68" w14:textId="4C6AA382" w:rsidR="00230E2B" w:rsidRDefault="00230E2B" w:rsidP="00984FE8">
      <w:pPr>
        <w:pStyle w:val="ListParagraph"/>
        <w:numPr>
          <w:ilvl w:val="1"/>
          <w:numId w:val="21"/>
        </w:numPr>
        <w:jc w:val="both"/>
        <w:rPr>
          <w:rFonts w:ascii="Arial" w:hAnsi="Arial" w:cs="Arial"/>
          <w:sz w:val="22"/>
          <w:szCs w:val="22"/>
          <w:shd w:val="clear" w:color="auto" w:fill="FFFFFF"/>
        </w:rPr>
      </w:pPr>
      <w:r>
        <w:rPr>
          <w:rFonts w:ascii="Arial" w:hAnsi="Arial" w:cs="Arial"/>
          <w:sz w:val="22"/>
          <w:szCs w:val="22"/>
          <w:shd w:val="clear" w:color="auto" w:fill="FFFFFF"/>
        </w:rPr>
        <w:t xml:space="preserve"> </w:t>
      </w:r>
      <w:r w:rsidR="00984FE8">
        <w:rPr>
          <w:rFonts w:ascii="Arial" w:hAnsi="Arial" w:cs="Arial"/>
          <w:sz w:val="22"/>
          <w:szCs w:val="22"/>
          <w:shd w:val="clear" w:color="auto" w:fill="FFFFFF"/>
        </w:rPr>
        <w:t xml:space="preserve">After the payment of any liabilities to which section 174A applies, the following expense properly incurred in the winding up </w:t>
      </w:r>
      <w:r>
        <w:rPr>
          <w:rFonts w:ascii="Arial" w:hAnsi="Arial" w:cs="Arial"/>
          <w:sz w:val="22"/>
          <w:szCs w:val="22"/>
          <w:shd w:val="clear" w:color="auto" w:fill="FFFFFF"/>
        </w:rPr>
        <w:t xml:space="preserve">are paid in </w:t>
      </w:r>
      <w:r w:rsidR="00984FE8">
        <w:rPr>
          <w:rFonts w:ascii="Arial" w:hAnsi="Arial" w:cs="Arial"/>
          <w:sz w:val="22"/>
          <w:szCs w:val="22"/>
          <w:shd w:val="clear" w:color="auto" w:fill="FFFFFF"/>
        </w:rPr>
        <w:t xml:space="preserve">priority of all other claims in </w:t>
      </w:r>
      <w:r>
        <w:rPr>
          <w:rFonts w:ascii="Arial" w:hAnsi="Arial" w:cs="Arial"/>
          <w:sz w:val="22"/>
          <w:szCs w:val="22"/>
          <w:shd w:val="clear" w:color="auto" w:fill="FFFFFF"/>
        </w:rPr>
        <w:t xml:space="preserve">the following </w:t>
      </w:r>
      <w:r w:rsidR="00984FE8">
        <w:rPr>
          <w:rFonts w:ascii="Arial" w:hAnsi="Arial" w:cs="Arial"/>
          <w:sz w:val="22"/>
          <w:szCs w:val="22"/>
          <w:shd w:val="clear" w:color="auto" w:fill="FFFFFF"/>
        </w:rPr>
        <w:t>order</w:t>
      </w:r>
      <w:r w:rsidR="00072EE9">
        <w:rPr>
          <w:rFonts w:ascii="Arial" w:hAnsi="Arial" w:cs="Arial"/>
          <w:sz w:val="22"/>
          <w:szCs w:val="22"/>
          <w:shd w:val="clear" w:color="auto" w:fill="FFFFFF"/>
        </w:rPr>
        <w:t xml:space="preserve"> (rules 6.42 and 7.108 of the Rules)</w:t>
      </w:r>
      <w:r>
        <w:rPr>
          <w:rFonts w:ascii="Arial" w:hAnsi="Arial" w:cs="Arial"/>
          <w:sz w:val="22"/>
          <w:szCs w:val="22"/>
          <w:shd w:val="clear" w:color="auto" w:fill="FFFFFF"/>
        </w:rPr>
        <w:t>:</w:t>
      </w:r>
    </w:p>
    <w:p w14:paraId="4A19E675" w14:textId="00B6F99D" w:rsidR="00230E2B" w:rsidRDefault="00072EE9" w:rsidP="00984FE8">
      <w:pPr>
        <w:pStyle w:val="ListParagraph"/>
        <w:numPr>
          <w:ilvl w:val="2"/>
          <w:numId w:val="21"/>
        </w:numPr>
        <w:jc w:val="both"/>
        <w:rPr>
          <w:rFonts w:ascii="Arial" w:hAnsi="Arial" w:cs="Arial"/>
          <w:sz w:val="22"/>
          <w:szCs w:val="22"/>
          <w:shd w:val="clear" w:color="auto" w:fill="FFFFFF"/>
        </w:rPr>
      </w:pPr>
      <w:r>
        <w:rPr>
          <w:rFonts w:ascii="Arial" w:hAnsi="Arial" w:cs="Arial"/>
          <w:sz w:val="22"/>
          <w:szCs w:val="22"/>
          <w:shd w:val="clear" w:color="auto" w:fill="FFFFFF"/>
        </w:rPr>
        <w:t>Expenses that are properly incurred by the liquidator in preserving, realising or getting in any assets of the company (including the conduct of any legal proceedings);</w:t>
      </w:r>
    </w:p>
    <w:p w14:paraId="0692BF1A" w14:textId="1C7DFF20" w:rsidR="00072EE9" w:rsidRDefault="00072EE9" w:rsidP="00984FE8">
      <w:pPr>
        <w:pStyle w:val="ListParagraph"/>
        <w:numPr>
          <w:ilvl w:val="2"/>
          <w:numId w:val="21"/>
        </w:numPr>
        <w:jc w:val="both"/>
        <w:rPr>
          <w:rFonts w:ascii="Arial" w:hAnsi="Arial" w:cs="Arial"/>
          <w:sz w:val="22"/>
          <w:szCs w:val="22"/>
          <w:shd w:val="clear" w:color="auto" w:fill="FFFFFF"/>
        </w:rPr>
      </w:pPr>
      <w:r>
        <w:rPr>
          <w:rFonts w:ascii="Arial" w:hAnsi="Arial" w:cs="Arial"/>
          <w:sz w:val="22"/>
          <w:szCs w:val="22"/>
          <w:shd w:val="clear" w:color="auto" w:fill="FFFFFF"/>
        </w:rPr>
        <w:t>The cost of any security provided by the liquidator;</w:t>
      </w:r>
    </w:p>
    <w:p w14:paraId="28B13728" w14:textId="07FBEE64" w:rsidR="00072EE9" w:rsidRDefault="00072EE9" w:rsidP="00984FE8">
      <w:pPr>
        <w:pStyle w:val="ListParagraph"/>
        <w:numPr>
          <w:ilvl w:val="2"/>
          <w:numId w:val="21"/>
        </w:numPr>
        <w:jc w:val="both"/>
        <w:rPr>
          <w:rFonts w:ascii="Arial" w:hAnsi="Arial" w:cs="Arial"/>
          <w:sz w:val="22"/>
          <w:szCs w:val="22"/>
          <w:shd w:val="clear" w:color="auto" w:fill="FFFFFF"/>
        </w:rPr>
      </w:pPr>
      <w:r>
        <w:rPr>
          <w:rFonts w:ascii="Arial" w:hAnsi="Arial" w:cs="Arial"/>
          <w:sz w:val="22"/>
          <w:szCs w:val="22"/>
          <w:shd w:val="clear" w:color="auto" w:fill="FFFFFF"/>
        </w:rPr>
        <w:t>An amount payable to a person to assist in the preparation of a statement of affairs or accounts;</w:t>
      </w:r>
    </w:p>
    <w:p w14:paraId="66F5182A" w14:textId="3429CB94" w:rsidR="00072EE9" w:rsidRDefault="00D565E1" w:rsidP="00984FE8">
      <w:pPr>
        <w:pStyle w:val="ListParagraph"/>
        <w:numPr>
          <w:ilvl w:val="2"/>
          <w:numId w:val="21"/>
        </w:numPr>
        <w:jc w:val="both"/>
        <w:rPr>
          <w:rFonts w:ascii="Arial" w:hAnsi="Arial" w:cs="Arial"/>
          <w:sz w:val="22"/>
          <w:szCs w:val="22"/>
          <w:shd w:val="clear" w:color="auto" w:fill="FFFFFF"/>
        </w:rPr>
      </w:pPr>
      <w:r>
        <w:rPr>
          <w:rFonts w:ascii="Arial" w:hAnsi="Arial" w:cs="Arial"/>
          <w:sz w:val="22"/>
          <w:szCs w:val="22"/>
          <w:shd w:val="clear" w:color="auto" w:fill="FFFFFF"/>
        </w:rPr>
        <w:t xml:space="preserve">Any necessary disbursements by the liquidator in the course of the winding up (including any expenses incurred by members of the liquidation committee); </w:t>
      </w:r>
    </w:p>
    <w:p w14:paraId="4273B2E6" w14:textId="5D924DA1" w:rsidR="00D565E1" w:rsidRDefault="00D565E1" w:rsidP="00984FE8">
      <w:pPr>
        <w:pStyle w:val="ListParagraph"/>
        <w:numPr>
          <w:ilvl w:val="2"/>
          <w:numId w:val="21"/>
        </w:numPr>
        <w:jc w:val="both"/>
        <w:rPr>
          <w:rFonts w:ascii="Arial" w:hAnsi="Arial" w:cs="Arial"/>
          <w:sz w:val="22"/>
          <w:szCs w:val="22"/>
          <w:shd w:val="clear" w:color="auto" w:fill="FFFFFF"/>
        </w:rPr>
      </w:pPr>
      <w:r>
        <w:rPr>
          <w:rFonts w:ascii="Arial" w:hAnsi="Arial" w:cs="Arial"/>
          <w:sz w:val="22"/>
          <w:szCs w:val="22"/>
          <w:shd w:val="clear" w:color="auto" w:fill="FFFFFF"/>
        </w:rPr>
        <w:t>The remuneration of any person who has been employed by the liquidator to perform any services to the company;</w:t>
      </w:r>
    </w:p>
    <w:p w14:paraId="579AE6F2" w14:textId="4ACA839A" w:rsidR="00D565E1" w:rsidRDefault="00545D5B" w:rsidP="00984FE8">
      <w:pPr>
        <w:pStyle w:val="ListParagraph"/>
        <w:numPr>
          <w:ilvl w:val="2"/>
          <w:numId w:val="21"/>
        </w:numPr>
        <w:jc w:val="both"/>
        <w:rPr>
          <w:rFonts w:ascii="Arial" w:hAnsi="Arial" w:cs="Arial"/>
          <w:sz w:val="22"/>
          <w:szCs w:val="22"/>
          <w:shd w:val="clear" w:color="auto" w:fill="FFFFFF"/>
        </w:rPr>
      </w:pPr>
      <w:r>
        <w:rPr>
          <w:rFonts w:ascii="Arial" w:hAnsi="Arial" w:cs="Arial"/>
          <w:sz w:val="22"/>
          <w:szCs w:val="22"/>
          <w:shd w:val="clear" w:color="auto" w:fill="FFFFFF"/>
        </w:rPr>
        <w:t>The remuneration of the liquidator;</w:t>
      </w:r>
    </w:p>
    <w:p w14:paraId="56279139" w14:textId="01B187EB" w:rsidR="00545D5B" w:rsidRDefault="00545D5B" w:rsidP="00984FE8">
      <w:pPr>
        <w:pStyle w:val="ListParagraph"/>
        <w:numPr>
          <w:ilvl w:val="2"/>
          <w:numId w:val="21"/>
        </w:numPr>
        <w:jc w:val="both"/>
        <w:rPr>
          <w:rFonts w:ascii="Arial" w:hAnsi="Arial" w:cs="Arial"/>
          <w:sz w:val="22"/>
          <w:szCs w:val="22"/>
          <w:shd w:val="clear" w:color="auto" w:fill="FFFFFF"/>
        </w:rPr>
      </w:pPr>
      <w:r>
        <w:rPr>
          <w:rFonts w:ascii="Arial" w:hAnsi="Arial" w:cs="Arial"/>
          <w:sz w:val="22"/>
          <w:szCs w:val="22"/>
          <w:shd w:val="clear" w:color="auto" w:fill="FFFFFF"/>
        </w:rPr>
        <w:t>The amount of any corporation tac on chargeable gains accruing on the realisation of any asset of the company; and</w:t>
      </w:r>
    </w:p>
    <w:p w14:paraId="017D095C" w14:textId="12B7F088" w:rsidR="00545D5B" w:rsidRDefault="00545D5B" w:rsidP="00984FE8">
      <w:pPr>
        <w:pStyle w:val="ListParagraph"/>
        <w:numPr>
          <w:ilvl w:val="2"/>
          <w:numId w:val="21"/>
        </w:numPr>
        <w:jc w:val="both"/>
        <w:rPr>
          <w:rFonts w:ascii="Arial" w:hAnsi="Arial" w:cs="Arial"/>
          <w:sz w:val="22"/>
          <w:szCs w:val="22"/>
          <w:shd w:val="clear" w:color="auto" w:fill="FFFFFF"/>
        </w:rPr>
      </w:pPr>
      <w:r>
        <w:rPr>
          <w:rFonts w:ascii="Arial" w:hAnsi="Arial" w:cs="Arial"/>
          <w:sz w:val="22"/>
          <w:szCs w:val="22"/>
          <w:shd w:val="clear" w:color="auto" w:fill="FFFFFF"/>
        </w:rPr>
        <w:t>Any other expenses properly chargeable by the liquidator in carrying out the liquidator’s functions in the winding up.</w:t>
      </w:r>
    </w:p>
    <w:p w14:paraId="1E0BBDC4" w14:textId="5D6F9DA4" w:rsidR="00545D5B" w:rsidRDefault="00545D5B" w:rsidP="00545D5B">
      <w:pPr>
        <w:pStyle w:val="ListParagraph"/>
        <w:numPr>
          <w:ilvl w:val="0"/>
          <w:numId w:val="21"/>
        </w:numPr>
        <w:jc w:val="both"/>
        <w:rPr>
          <w:rFonts w:ascii="Arial" w:hAnsi="Arial" w:cs="Arial"/>
          <w:sz w:val="22"/>
          <w:szCs w:val="22"/>
          <w:shd w:val="clear" w:color="auto" w:fill="FFFFFF"/>
        </w:rPr>
      </w:pPr>
      <w:r>
        <w:rPr>
          <w:rFonts w:ascii="Arial" w:hAnsi="Arial" w:cs="Arial"/>
          <w:sz w:val="22"/>
          <w:szCs w:val="22"/>
          <w:shd w:val="clear" w:color="auto" w:fill="FFFFFF"/>
        </w:rPr>
        <w:t>Section 386, 387 and Schedule 6: section 175 of the Act – preferential creditors:</w:t>
      </w:r>
    </w:p>
    <w:p w14:paraId="6E53991A" w14:textId="4CC4B339" w:rsidR="00545D5B" w:rsidRDefault="00545D5B" w:rsidP="00545D5B">
      <w:pPr>
        <w:pStyle w:val="ListParagraph"/>
        <w:numPr>
          <w:ilvl w:val="1"/>
          <w:numId w:val="21"/>
        </w:numPr>
        <w:jc w:val="both"/>
        <w:rPr>
          <w:rFonts w:ascii="Arial" w:hAnsi="Arial" w:cs="Arial"/>
          <w:sz w:val="22"/>
          <w:szCs w:val="22"/>
          <w:shd w:val="clear" w:color="auto" w:fill="FFFFFF"/>
        </w:rPr>
      </w:pPr>
      <w:r>
        <w:rPr>
          <w:rFonts w:ascii="Arial" w:hAnsi="Arial" w:cs="Arial"/>
          <w:sz w:val="22"/>
          <w:szCs w:val="22"/>
          <w:shd w:val="clear" w:color="auto" w:fill="FFFFFF"/>
        </w:rPr>
        <w:t>Once the expenses of the liquidation have been paid in full, the assets of the company are then used to pay preferential creditors.  Preferential creditors are paid in priority to holders of floating charges and unsecured creditors.</w:t>
      </w:r>
    </w:p>
    <w:p w14:paraId="311C5F42" w14:textId="2EAB55CB" w:rsidR="00545D5B" w:rsidRDefault="00545D5B" w:rsidP="00545D5B">
      <w:pPr>
        <w:pStyle w:val="ListParagraph"/>
        <w:numPr>
          <w:ilvl w:val="1"/>
          <w:numId w:val="21"/>
        </w:numPr>
        <w:jc w:val="both"/>
        <w:rPr>
          <w:rFonts w:ascii="Arial" w:hAnsi="Arial" w:cs="Arial"/>
          <w:sz w:val="22"/>
          <w:szCs w:val="22"/>
          <w:shd w:val="clear" w:color="auto" w:fill="FFFFFF"/>
        </w:rPr>
      </w:pPr>
      <w:r>
        <w:rPr>
          <w:rFonts w:ascii="Arial" w:hAnsi="Arial" w:cs="Arial"/>
          <w:sz w:val="22"/>
          <w:szCs w:val="22"/>
          <w:shd w:val="clear" w:color="auto" w:fill="FFFFFF"/>
        </w:rPr>
        <w:t xml:space="preserve">There are two classes of preferential debts, ordinary and secondary.  </w:t>
      </w:r>
      <w:r w:rsidR="003A6EDA">
        <w:rPr>
          <w:rFonts w:ascii="Arial" w:hAnsi="Arial" w:cs="Arial"/>
          <w:sz w:val="22"/>
          <w:szCs w:val="22"/>
          <w:shd w:val="clear" w:color="auto" w:fill="FFFFFF"/>
        </w:rPr>
        <w:t>Ordinary preferential debts are paid before secondary preferential debts.</w:t>
      </w:r>
    </w:p>
    <w:p w14:paraId="7E07272E" w14:textId="5F0088BA" w:rsidR="003A6EDA" w:rsidRDefault="003A6EDA" w:rsidP="00545D5B">
      <w:pPr>
        <w:pStyle w:val="ListParagraph"/>
        <w:numPr>
          <w:ilvl w:val="1"/>
          <w:numId w:val="21"/>
        </w:numPr>
        <w:jc w:val="both"/>
        <w:rPr>
          <w:rFonts w:ascii="Arial" w:hAnsi="Arial" w:cs="Arial"/>
          <w:sz w:val="22"/>
          <w:szCs w:val="22"/>
          <w:shd w:val="clear" w:color="auto" w:fill="FFFFFF"/>
        </w:rPr>
      </w:pPr>
      <w:r>
        <w:rPr>
          <w:rFonts w:ascii="Arial" w:hAnsi="Arial" w:cs="Arial"/>
          <w:sz w:val="22"/>
          <w:szCs w:val="22"/>
          <w:shd w:val="clear" w:color="auto" w:fill="FFFFFF"/>
        </w:rPr>
        <w:t>Schedule 6 of the Act outlines debts which are considered to be preferential debts.</w:t>
      </w:r>
    </w:p>
    <w:p w14:paraId="328A3C9C" w14:textId="5BC9AFF0" w:rsidR="003A6EDA" w:rsidRDefault="00921AB4" w:rsidP="003A6EDA">
      <w:pPr>
        <w:pStyle w:val="ListParagraph"/>
        <w:numPr>
          <w:ilvl w:val="0"/>
          <w:numId w:val="21"/>
        </w:numPr>
        <w:jc w:val="both"/>
        <w:rPr>
          <w:rFonts w:ascii="Arial" w:hAnsi="Arial" w:cs="Arial"/>
          <w:sz w:val="22"/>
          <w:szCs w:val="22"/>
          <w:shd w:val="clear" w:color="auto" w:fill="FFFFFF"/>
        </w:rPr>
      </w:pPr>
      <w:r>
        <w:rPr>
          <w:rFonts w:ascii="Arial" w:hAnsi="Arial" w:cs="Arial"/>
          <w:sz w:val="22"/>
          <w:szCs w:val="22"/>
          <w:shd w:val="clear" w:color="auto" w:fill="FFFFFF"/>
        </w:rPr>
        <w:t xml:space="preserve">Section 176ZA </w:t>
      </w:r>
      <w:r w:rsidR="001346E4">
        <w:rPr>
          <w:rFonts w:ascii="Arial" w:hAnsi="Arial" w:cs="Arial"/>
          <w:sz w:val="22"/>
          <w:szCs w:val="22"/>
          <w:shd w:val="clear" w:color="auto" w:fill="FFFFFF"/>
        </w:rPr>
        <w:t xml:space="preserve">of the Act </w:t>
      </w:r>
      <w:r>
        <w:rPr>
          <w:rFonts w:ascii="Arial" w:hAnsi="Arial" w:cs="Arial"/>
          <w:sz w:val="22"/>
          <w:szCs w:val="22"/>
          <w:shd w:val="clear" w:color="auto" w:fill="FFFFFF"/>
        </w:rPr>
        <w:t xml:space="preserve">- </w:t>
      </w:r>
      <w:r w:rsidR="003A6EDA">
        <w:rPr>
          <w:rFonts w:ascii="Arial" w:hAnsi="Arial" w:cs="Arial"/>
          <w:sz w:val="22"/>
          <w:szCs w:val="22"/>
          <w:shd w:val="clear" w:color="auto" w:fill="FFFFFF"/>
        </w:rPr>
        <w:t>Floating charge holders</w:t>
      </w:r>
      <w:r>
        <w:rPr>
          <w:rFonts w:ascii="Arial" w:hAnsi="Arial" w:cs="Arial"/>
          <w:sz w:val="22"/>
          <w:szCs w:val="22"/>
          <w:shd w:val="clear" w:color="auto" w:fill="FFFFFF"/>
        </w:rPr>
        <w:t>:</w:t>
      </w:r>
    </w:p>
    <w:p w14:paraId="3DF4F710" w14:textId="438492F5" w:rsidR="003A6EDA" w:rsidRDefault="001346E4" w:rsidP="00921AB4">
      <w:pPr>
        <w:pStyle w:val="ListParagraph"/>
        <w:numPr>
          <w:ilvl w:val="1"/>
          <w:numId w:val="21"/>
        </w:numPr>
        <w:jc w:val="both"/>
        <w:rPr>
          <w:rFonts w:ascii="Arial" w:hAnsi="Arial" w:cs="Arial"/>
          <w:sz w:val="22"/>
          <w:szCs w:val="22"/>
          <w:shd w:val="clear" w:color="auto" w:fill="FFFFFF"/>
        </w:rPr>
      </w:pPr>
      <w:r>
        <w:rPr>
          <w:rFonts w:ascii="Arial" w:hAnsi="Arial" w:cs="Arial"/>
          <w:sz w:val="22"/>
          <w:szCs w:val="22"/>
          <w:shd w:val="clear" w:color="auto" w:fill="FFFFFF"/>
        </w:rPr>
        <w:t>After preferential creditors have been paid, the next creditor to be paid are any floating charge holder.  If there is more than one floating charge holder, priority between them is generally decided by which floating charge was created first.</w:t>
      </w:r>
    </w:p>
    <w:p w14:paraId="15564607" w14:textId="540B5BC8" w:rsidR="00136F61" w:rsidRDefault="001346E4" w:rsidP="00136F61">
      <w:pPr>
        <w:pStyle w:val="ListParagraph"/>
        <w:numPr>
          <w:ilvl w:val="1"/>
          <w:numId w:val="21"/>
        </w:numPr>
        <w:jc w:val="both"/>
        <w:rPr>
          <w:rFonts w:ascii="Arial" w:hAnsi="Arial" w:cs="Arial"/>
          <w:sz w:val="22"/>
          <w:szCs w:val="22"/>
          <w:shd w:val="clear" w:color="auto" w:fill="FFFFFF"/>
        </w:rPr>
      </w:pPr>
      <w:r>
        <w:rPr>
          <w:rFonts w:ascii="Arial" w:hAnsi="Arial" w:cs="Arial"/>
          <w:sz w:val="22"/>
          <w:szCs w:val="22"/>
          <w:shd w:val="clear" w:color="auto" w:fill="FFFFFF"/>
        </w:rPr>
        <w:t>Before the liquidator can make any payment for a floating charge they must consider the application of section 176A of the Act</w:t>
      </w:r>
      <w:r w:rsidR="00136F61">
        <w:rPr>
          <w:rFonts w:ascii="Arial" w:hAnsi="Arial" w:cs="Arial"/>
          <w:sz w:val="22"/>
          <w:szCs w:val="22"/>
          <w:shd w:val="clear" w:color="auto" w:fill="FFFFFF"/>
        </w:rPr>
        <w:t xml:space="preserve"> which applies to a company with a floating charge created on or after 15 September 2003 and the company has gone into liquidation:</w:t>
      </w:r>
    </w:p>
    <w:p w14:paraId="52CCF640" w14:textId="4310F34B" w:rsidR="00136F61" w:rsidRDefault="00136F61" w:rsidP="00136F61">
      <w:pPr>
        <w:pStyle w:val="ListParagraph"/>
        <w:numPr>
          <w:ilvl w:val="2"/>
          <w:numId w:val="21"/>
        </w:numPr>
        <w:jc w:val="both"/>
        <w:rPr>
          <w:rFonts w:ascii="Arial" w:hAnsi="Arial" w:cs="Arial"/>
          <w:sz w:val="22"/>
          <w:szCs w:val="22"/>
          <w:shd w:val="clear" w:color="auto" w:fill="FFFFFF"/>
        </w:rPr>
      </w:pPr>
      <w:r>
        <w:rPr>
          <w:rFonts w:ascii="Arial" w:hAnsi="Arial" w:cs="Arial"/>
          <w:sz w:val="22"/>
          <w:szCs w:val="22"/>
          <w:shd w:val="clear" w:color="auto" w:fill="FFFFFF"/>
        </w:rPr>
        <w:t>If section 176A applies, the liquidators under a duty to make a “prescribed part” of the company’s net property available for the satisfaction of unsecured creditors and must not distribute any of the “prescribed part” to a floating charge holder except insofar that it is in excess of the amount required to satisfy all the unsecured debts.</w:t>
      </w:r>
    </w:p>
    <w:p w14:paraId="7C525A2F" w14:textId="014696EF" w:rsidR="00E2252F" w:rsidRDefault="00E2252F" w:rsidP="00136F61">
      <w:pPr>
        <w:pStyle w:val="ListParagraph"/>
        <w:numPr>
          <w:ilvl w:val="2"/>
          <w:numId w:val="21"/>
        </w:numPr>
        <w:jc w:val="both"/>
        <w:rPr>
          <w:rFonts w:ascii="Arial" w:hAnsi="Arial" w:cs="Arial"/>
          <w:sz w:val="22"/>
          <w:szCs w:val="22"/>
          <w:shd w:val="clear" w:color="auto" w:fill="FFFFFF"/>
        </w:rPr>
      </w:pPr>
      <w:r>
        <w:rPr>
          <w:rFonts w:ascii="Arial" w:hAnsi="Arial" w:cs="Arial"/>
          <w:sz w:val="22"/>
          <w:szCs w:val="22"/>
          <w:shd w:val="clear" w:color="auto" w:fill="FFFFFF"/>
        </w:rPr>
        <w:t xml:space="preserve">Where the Company’s net property does not exceed </w:t>
      </w:r>
      <w:r w:rsidRPr="00E2252F">
        <w:rPr>
          <w:rFonts w:ascii="Arial" w:hAnsi="Arial" w:cs="Arial"/>
          <w:sz w:val="22"/>
          <w:szCs w:val="22"/>
          <w:shd w:val="clear" w:color="auto" w:fill="FFFFFF"/>
        </w:rPr>
        <w:t>£</w:t>
      </w:r>
      <w:r>
        <w:rPr>
          <w:rFonts w:ascii="Arial" w:hAnsi="Arial" w:cs="Arial"/>
          <w:sz w:val="22"/>
          <w:szCs w:val="22"/>
          <w:shd w:val="clear" w:color="auto" w:fill="FFFFFF"/>
        </w:rPr>
        <w:t>10,000 (the “prescribed minimum”), the prescribed part is 50% of that property.  Where the property is less than the prescribed minimum and the liquidator thinks that a distribution to unsecured creditors would be disproportionate to the benefits, then the duty to make a sitribution of the prescribed part does not apply.</w:t>
      </w:r>
    </w:p>
    <w:p w14:paraId="0C18F604" w14:textId="4F399470" w:rsidR="00E2252F" w:rsidRDefault="00E2252F" w:rsidP="00136F61">
      <w:pPr>
        <w:pStyle w:val="ListParagraph"/>
        <w:numPr>
          <w:ilvl w:val="2"/>
          <w:numId w:val="21"/>
        </w:numPr>
        <w:jc w:val="both"/>
        <w:rPr>
          <w:rFonts w:ascii="Arial" w:hAnsi="Arial" w:cs="Arial"/>
          <w:sz w:val="22"/>
          <w:szCs w:val="22"/>
          <w:shd w:val="clear" w:color="auto" w:fill="FFFFFF"/>
        </w:rPr>
      </w:pPr>
      <w:r>
        <w:rPr>
          <w:rFonts w:ascii="Arial" w:hAnsi="Arial" w:cs="Arial"/>
          <w:sz w:val="22"/>
          <w:szCs w:val="22"/>
          <w:shd w:val="clear" w:color="auto" w:fill="FFFFFF"/>
        </w:rPr>
        <w:t xml:space="preserve">Where the company’s property exceeds </w:t>
      </w:r>
      <w:r w:rsidRPr="00E2252F">
        <w:rPr>
          <w:rFonts w:ascii="Arial" w:hAnsi="Arial" w:cs="Arial"/>
          <w:sz w:val="22"/>
          <w:szCs w:val="22"/>
          <w:shd w:val="clear" w:color="auto" w:fill="FFFFFF"/>
        </w:rPr>
        <w:t>£</w:t>
      </w:r>
      <w:r>
        <w:rPr>
          <w:rFonts w:ascii="Arial" w:hAnsi="Arial" w:cs="Arial"/>
          <w:sz w:val="22"/>
          <w:szCs w:val="22"/>
          <w:shd w:val="clear" w:color="auto" w:fill="FFFFFF"/>
        </w:rPr>
        <w:t>10,000</w:t>
      </w:r>
      <w:r w:rsidR="008F1E3B">
        <w:rPr>
          <w:rFonts w:ascii="Arial" w:hAnsi="Arial" w:cs="Arial"/>
          <w:sz w:val="22"/>
          <w:szCs w:val="22"/>
          <w:shd w:val="clear" w:color="auto" w:fill="FFFFFF"/>
        </w:rPr>
        <w:t xml:space="preserve">, the prescribed part is the sum of 50% of the first </w:t>
      </w:r>
      <w:r w:rsidR="008F1E3B" w:rsidRPr="00E2252F">
        <w:rPr>
          <w:rFonts w:ascii="Arial" w:hAnsi="Arial" w:cs="Arial"/>
          <w:sz w:val="22"/>
          <w:szCs w:val="22"/>
          <w:shd w:val="clear" w:color="auto" w:fill="FFFFFF"/>
        </w:rPr>
        <w:t>£</w:t>
      </w:r>
      <w:r w:rsidR="008F1E3B">
        <w:rPr>
          <w:rFonts w:ascii="Arial" w:hAnsi="Arial" w:cs="Arial"/>
          <w:sz w:val="22"/>
          <w:szCs w:val="22"/>
          <w:shd w:val="clear" w:color="auto" w:fill="FFFFFF"/>
        </w:rPr>
        <w:t xml:space="preserve">10,000 in value, plus 20% of the excess in </w:t>
      </w:r>
      <w:r w:rsidR="008F1E3B">
        <w:rPr>
          <w:rFonts w:ascii="Arial" w:hAnsi="Arial" w:cs="Arial"/>
          <w:sz w:val="22"/>
          <w:szCs w:val="22"/>
          <w:shd w:val="clear" w:color="auto" w:fill="FFFFFF"/>
        </w:rPr>
        <w:lastRenderedPageBreak/>
        <w:t>v</w:t>
      </w:r>
      <w:r w:rsidR="009E28DC">
        <w:rPr>
          <w:rFonts w:ascii="Arial" w:hAnsi="Arial" w:cs="Arial"/>
          <w:sz w:val="22"/>
          <w:szCs w:val="22"/>
          <w:shd w:val="clear" w:color="auto" w:fill="FFFFFF"/>
        </w:rPr>
        <w:t xml:space="preserve">alue above the </w:t>
      </w:r>
      <w:r w:rsidR="009E28DC" w:rsidRPr="00E2252F">
        <w:rPr>
          <w:rFonts w:ascii="Arial" w:hAnsi="Arial" w:cs="Arial"/>
          <w:sz w:val="22"/>
          <w:szCs w:val="22"/>
          <w:shd w:val="clear" w:color="auto" w:fill="FFFFFF"/>
        </w:rPr>
        <w:t>£</w:t>
      </w:r>
      <w:r w:rsidR="009E28DC">
        <w:rPr>
          <w:rFonts w:ascii="Arial" w:hAnsi="Arial" w:cs="Arial"/>
          <w:sz w:val="22"/>
          <w:szCs w:val="22"/>
          <w:shd w:val="clear" w:color="auto" w:fill="FFFFFF"/>
        </w:rPr>
        <w:t xml:space="preserve">10,000, subject to a maximum amount of the prescribed part of </w:t>
      </w:r>
      <w:r w:rsidR="009E28DC" w:rsidRPr="00E2252F">
        <w:rPr>
          <w:rFonts w:ascii="Arial" w:hAnsi="Arial" w:cs="Arial"/>
          <w:sz w:val="22"/>
          <w:szCs w:val="22"/>
          <w:shd w:val="clear" w:color="auto" w:fill="FFFFFF"/>
        </w:rPr>
        <w:t>£</w:t>
      </w:r>
      <w:r w:rsidR="009E28DC">
        <w:rPr>
          <w:rFonts w:ascii="Arial" w:hAnsi="Arial" w:cs="Arial"/>
          <w:sz w:val="22"/>
          <w:szCs w:val="22"/>
          <w:shd w:val="clear" w:color="auto" w:fill="FFFFFF"/>
        </w:rPr>
        <w:t>800,000.</w:t>
      </w:r>
    </w:p>
    <w:p w14:paraId="6F006BB2" w14:textId="07FED5E9" w:rsidR="009E28DC" w:rsidRPr="00136F61" w:rsidRDefault="009E28DC" w:rsidP="00136F61">
      <w:pPr>
        <w:pStyle w:val="ListParagraph"/>
        <w:numPr>
          <w:ilvl w:val="2"/>
          <w:numId w:val="21"/>
        </w:numPr>
        <w:jc w:val="both"/>
        <w:rPr>
          <w:rFonts w:ascii="Arial" w:hAnsi="Arial" w:cs="Arial"/>
          <w:sz w:val="22"/>
          <w:szCs w:val="22"/>
          <w:shd w:val="clear" w:color="auto" w:fill="FFFFFF"/>
        </w:rPr>
      </w:pPr>
      <w:r>
        <w:rPr>
          <w:rFonts w:ascii="Arial" w:hAnsi="Arial" w:cs="Arial"/>
          <w:sz w:val="22"/>
          <w:szCs w:val="22"/>
          <w:shd w:val="clear" w:color="auto" w:fill="FFFFFF"/>
        </w:rPr>
        <w:t>A floating charge holder, who has an outstanding unsecured balance owing to it, is not permitted to participate in the distribution of the prescribed part.</w:t>
      </w:r>
    </w:p>
    <w:p w14:paraId="79FDF262" w14:textId="3652E5A4" w:rsidR="003A6EDA" w:rsidRDefault="009E28DC" w:rsidP="003A6EDA">
      <w:pPr>
        <w:pStyle w:val="ListParagraph"/>
        <w:numPr>
          <w:ilvl w:val="0"/>
          <w:numId w:val="21"/>
        </w:numPr>
        <w:jc w:val="both"/>
        <w:rPr>
          <w:rFonts w:ascii="Arial" w:hAnsi="Arial" w:cs="Arial"/>
          <w:sz w:val="22"/>
          <w:szCs w:val="22"/>
          <w:shd w:val="clear" w:color="auto" w:fill="FFFFFF"/>
        </w:rPr>
      </w:pPr>
      <w:r>
        <w:rPr>
          <w:rFonts w:ascii="Arial" w:hAnsi="Arial" w:cs="Arial"/>
          <w:sz w:val="22"/>
          <w:szCs w:val="22"/>
          <w:shd w:val="clear" w:color="auto" w:fill="FFFFFF"/>
        </w:rPr>
        <w:t xml:space="preserve">Section 176A of the Act - </w:t>
      </w:r>
      <w:r w:rsidR="003A6EDA">
        <w:rPr>
          <w:rFonts w:ascii="Arial" w:hAnsi="Arial" w:cs="Arial"/>
          <w:sz w:val="22"/>
          <w:szCs w:val="22"/>
          <w:shd w:val="clear" w:color="auto" w:fill="FFFFFF"/>
        </w:rPr>
        <w:t>Unsecured creditors</w:t>
      </w:r>
      <w:r>
        <w:rPr>
          <w:rFonts w:ascii="Arial" w:hAnsi="Arial" w:cs="Arial"/>
          <w:sz w:val="22"/>
          <w:szCs w:val="22"/>
          <w:shd w:val="clear" w:color="auto" w:fill="FFFFFF"/>
        </w:rPr>
        <w:t>:</w:t>
      </w:r>
    </w:p>
    <w:p w14:paraId="2540A78F" w14:textId="6567B63F" w:rsidR="009E28DC" w:rsidRDefault="009E28DC" w:rsidP="009E28DC">
      <w:pPr>
        <w:pStyle w:val="ListParagraph"/>
        <w:numPr>
          <w:ilvl w:val="1"/>
          <w:numId w:val="21"/>
        </w:numPr>
        <w:jc w:val="both"/>
        <w:rPr>
          <w:rFonts w:ascii="Arial" w:hAnsi="Arial" w:cs="Arial"/>
          <w:sz w:val="22"/>
          <w:szCs w:val="22"/>
          <w:shd w:val="clear" w:color="auto" w:fill="FFFFFF"/>
        </w:rPr>
      </w:pPr>
      <w:r>
        <w:rPr>
          <w:rFonts w:ascii="Arial" w:hAnsi="Arial" w:cs="Arial"/>
          <w:sz w:val="22"/>
          <w:szCs w:val="22"/>
          <w:shd w:val="clear" w:color="auto" w:fill="FFFFFF"/>
        </w:rPr>
        <w:t xml:space="preserve">Creditors with no security, often ordinary trade-creditors, are paid out last in the statutory order. </w:t>
      </w:r>
    </w:p>
    <w:p w14:paraId="0E3B1726" w14:textId="56C7875F" w:rsidR="003A6EDA" w:rsidRDefault="003A6EDA" w:rsidP="003A6EDA">
      <w:pPr>
        <w:pStyle w:val="ListParagraph"/>
        <w:numPr>
          <w:ilvl w:val="0"/>
          <w:numId w:val="21"/>
        </w:numPr>
        <w:jc w:val="both"/>
        <w:rPr>
          <w:rFonts w:ascii="Arial" w:hAnsi="Arial" w:cs="Arial"/>
          <w:sz w:val="22"/>
          <w:szCs w:val="22"/>
          <w:shd w:val="clear" w:color="auto" w:fill="FFFFFF"/>
        </w:rPr>
      </w:pPr>
      <w:r>
        <w:rPr>
          <w:rFonts w:ascii="Arial" w:hAnsi="Arial" w:cs="Arial"/>
          <w:sz w:val="22"/>
          <w:szCs w:val="22"/>
          <w:shd w:val="clear" w:color="auto" w:fill="FFFFFF"/>
        </w:rPr>
        <w:t>Shareholders</w:t>
      </w:r>
    </w:p>
    <w:p w14:paraId="3FA12459" w14:textId="4C2290E6" w:rsidR="009E28DC" w:rsidRPr="00545D5B" w:rsidRDefault="009E28DC" w:rsidP="009E28DC">
      <w:pPr>
        <w:pStyle w:val="ListParagraph"/>
        <w:numPr>
          <w:ilvl w:val="1"/>
          <w:numId w:val="21"/>
        </w:numPr>
        <w:jc w:val="both"/>
        <w:rPr>
          <w:rFonts w:ascii="Arial" w:hAnsi="Arial" w:cs="Arial"/>
          <w:sz w:val="22"/>
          <w:szCs w:val="22"/>
          <w:shd w:val="clear" w:color="auto" w:fill="FFFFFF"/>
        </w:rPr>
      </w:pPr>
      <w:r>
        <w:rPr>
          <w:rFonts w:ascii="Arial" w:hAnsi="Arial" w:cs="Arial"/>
          <w:sz w:val="22"/>
          <w:szCs w:val="22"/>
          <w:shd w:val="clear" w:color="auto" w:fill="FFFFFF"/>
        </w:rPr>
        <w:t>If there are sufficient funds to pay all the creditors, and interest on their debts, any surplus is distributed amongst the shareholders according to the company’s constitution.</w:t>
      </w:r>
    </w:p>
    <w:p w14:paraId="15C39A15" w14:textId="77777777" w:rsidR="00003B0A" w:rsidRPr="002A37BB" w:rsidRDefault="00003B0A"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54D873D1" w:rsidR="007E2919" w:rsidRPr="00CB79E4" w:rsidRDefault="007E2919" w:rsidP="007E2919">
      <w:pPr>
        <w:pStyle w:val="NormalWeb"/>
        <w:spacing w:before="0" w:beforeAutospacing="0" w:after="0" w:afterAutospacing="0"/>
        <w:rPr>
          <w:rFonts w:ascii="Arial" w:hAnsi="Arial" w:cs="Arial"/>
        </w:rPr>
      </w:pPr>
      <w:bookmarkStart w:id="0" w:name="_Hlk17745211"/>
      <w:r w:rsidRPr="00CB79E4">
        <w:rPr>
          <w:rFonts w:ascii="Arial" w:hAnsi="Arial" w:cs="Arial"/>
        </w:rPr>
        <w:t xml:space="preserve">Prior to going into </w:t>
      </w:r>
      <w:r w:rsidR="00891690">
        <w:rPr>
          <w:rFonts w:ascii="Arial" w:hAnsi="Arial" w:cs="Arial"/>
        </w:rPr>
        <w:t xml:space="preserve">compulsory </w:t>
      </w:r>
      <w:r w:rsidRPr="00CB79E4">
        <w:rPr>
          <w:rFonts w:ascii="Arial" w:hAnsi="Arial" w:cs="Arial"/>
        </w:rPr>
        <w:t>liquidation</w:t>
      </w:r>
      <w:r>
        <w:rPr>
          <w:rFonts w:ascii="Arial" w:hAnsi="Arial" w:cs="Arial"/>
        </w:rPr>
        <w:t xml:space="preserve"> </w:t>
      </w:r>
      <w:r w:rsidR="00314F32">
        <w:rPr>
          <w:rFonts w:ascii="Arial" w:hAnsi="Arial" w:cs="Arial"/>
        </w:rPr>
        <w:t>on 23</w:t>
      </w:r>
      <w:r w:rsidR="00314F32" w:rsidRPr="00E94797">
        <w:rPr>
          <w:rFonts w:ascii="Arial" w:hAnsi="Arial" w:cs="Arial"/>
          <w:vertAlign w:val="superscript"/>
        </w:rPr>
        <w:t>rd</w:t>
      </w:r>
      <w:r w:rsidR="00314F32">
        <w:rPr>
          <w:rFonts w:ascii="Arial" w:hAnsi="Arial" w:cs="Arial"/>
        </w:rPr>
        <w:t xml:space="preserve"> </w:t>
      </w:r>
      <w:r w:rsidR="00891690">
        <w:rPr>
          <w:rFonts w:ascii="Arial" w:hAnsi="Arial" w:cs="Arial"/>
        </w:rPr>
        <w:t>December</w:t>
      </w:r>
      <w:r>
        <w:rPr>
          <w:rFonts w:ascii="Arial" w:hAnsi="Arial" w:cs="Arial"/>
        </w:rPr>
        <w:t xml:space="preserve"> 202</w:t>
      </w:r>
      <w:r w:rsidR="003A4482">
        <w:rPr>
          <w:rFonts w:ascii="Arial" w:hAnsi="Arial" w:cs="Arial"/>
        </w:rPr>
        <w:t>1</w:t>
      </w:r>
      <w:r w:rsidRPr="00CB79E4">
        <w:rPr>
          <w:rFonts w:ascii="Arial" w:hAnsi="Arial" w:cs="Arial"/>
        </w:rPr>
        <w:t xml:space="preserve">, under pressure from its bank, </w:t>
      </w:r>
      <w:r>
        <w:rPr>
          <w:rFonts w:ascii="Arial" w:hAnsi="Arial" w:cs="Arial"/>
        </w:rPr>
        <w:t xml:space="preserve">Stercus </w:t>
      </w:r>
      <w:r w:rsidRPr="00CB79E4">
        <w:rPr>
          <w:rFonts w:ascii="Arial" w:hAnsi="Arial" w:cs="Arial"/>
        </w:rPr>
        <w:t xml:space="preserve">Bank plc, and in order to prevent it from demanding repayment of the company’s loans, </w:t>
      </w:r>
      <w:r w:rsidR="00891690">
        <w:rPr>
          <w:rFonts w:ascii="Arial" w:hAnsi="Arial" w:cs="Arial"/>
        </w:rPr>
        <w:t xml:space="preserve">Corfee Zero </w:t>
      </w:r>
      <w:r w:rsidRPr="00CB79E4">
        <w:rPr>
          <w:rFonts w:ascii="Arial" w:hAnsi="Arial" w:cs="Arial"/>
        </w:rPr>
        <w:t xml:space="preserve">Limited </w:t>
      </w:r>
      <w:r w:rsidR="00891690">
        <w:rPr>
          <w:rFonts w:ascii="Arial" w:hAnsi="Arial" w:cs="Arial"/>
        </w:rPr>
        <w:t>(“the Company”)</w:t>
      </w:r>
      <w:r w:rsidR="0070524B">
        <w:rPr>
          <w:rFonts w:ascii="Arial" w:hAnsi="Arial" w:cs="Arial"/>
        </w:rPr>
        <w:t>,</w:t>
      </w:r>
      <w:r w:rsidR="00891690">
        <w:rPr>
          <w:rFonts w:ascii="Arial" w:hAnsi="Arial" w:cs="Arial"/>
        </w:rPr>
        <w:t xml:space="preserve"> </w:t>
      </w:r>
      <w:r w:rsidRPr="00CB79E4">
        <w:rPr>
          <w:rFonts w:ascii="Arial" w:hAnsi="Arial" w:cs="Arial"/>
        </w:rPr>
        <w:t xml:space="preserve">granted a debenture in favour of </w:t>
      </w:r>
      <w:r>
        <w:rPr>
          <w:rFonts w:ascii="Arial" w:hAnsi="Arial" w:cs="Arial"/>
        </w:rPr>
        <w:t>Stercus</w:t>
      </w:r>
      <w:r w:rsidRPr="00CB79E4">
        <w:rPr>
          <w:rFonts w:ascii="Arial" w:hAnsi="Arial" w:cs="Arial"/>
        </w:rPr>
        <w:t xml:space="preserve"> Bank plc in </w:t>
      </w:r>
      <w:r w:rsidR="00891690">
        <w:rPr>
          <w:rFonts w:ascii="Arial" w:hAnsi="Arial" w:cs="Arial"/>
        </w:rPr>
        <w:t>February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The debenture contained a floating charge over the whole of the </w:t>
      </w:r>
      <w:r w:rsidR="00891690">
        <w:rPr>
          <w:rFonts w:ascii="Arial" w:hAnsi="Arial" w:cs="Arial"/>
        </w:rPr>
        <w:t>C</w:t>
      </w:r>
      <w:r w:rsidRPr="00CB79E4">
        <w:rPr>
          <w:rFonts w:ascii="Arial" w:hAnsi="Arial" w:cs="Arial"/>
        </w:rPr>
        <w:t>ompany’s undertaking.</w:t>
      </w:r>
    </w:p>
    <w:p w14:paraId="446FD66A" w14:textId="65DEFBAC" w:rsidR="007E2919" w:rsidRDefault="007E2919" w:rsidP="007E2919">
      <w:pPr>
        <w:pStyle w:val="NormalWeb"/>
        <w:spacing w:before="0" w:beforeAutospacing="0" w:after="0" w:afterAutospacing="0"/>
        <w:rPr>
          <w:rFonts w:ascii="Arial" w:hAnsi="Arial" w:cs="Arial"/>
        </w:rPr>
      </w:pPr>
    </w:p>
    <w:p w14:paraId="3669DFCF" w14:textId="3DDC0B11" w:rsidR="00314F32" w:rsidRDefault="00314F32" w:rsidP="007E2919">
      <w:pPr>
        <w:pStyle w:val="NormalWeb"/>
        <w:spacing w:before="0" w:beforeAutospacing="0" w:after="0" w:afterAutospacing="0"/>
        <w:rPr>
          <w:rFonts w:ascii="Arial" w:hAnsi="Arial" w:cs="Arial"/>
        </w:rPr>
      </w:pPr>
      <w:r>
        <w:rPr>
          <w:rFonts w:ascii="Arial" w:hAnsi="Arial" w:cs="Arial"/>
        </w:rPr>
        <w:t>The winding up order followed a creditor’s winding up petition issued on 14</w:t>
      </w:r>
      <w:r w:rsidRPr="00E94797">
        <w:rPr>
          <w:rFonts w:ascii="Arial" w:hAnsi="Arial" w:cs="Arial"/>
          <w:vertAlign w:val="superscript"/>
        </w:rPr>
        <w:t>th</w:t>
      </w:r>
      <w:r>
        <w:rPr>
          <w:rFonts w:ascii="Arial" w:hAnsi="Arial" w:cs="Arial"/>
        </w:rPr>
        <w:t xml:space="preserve"> October 2021.</w:t>
      </w:r>
    </w:p>
    <w:p w14:paraId="148D7C3C" w14:textId="77777777" w:rsidR="00314F32" w:rsidRPr="00CB79E4" w:rsidRDefault="00314F32" w:rsidP="007E2919">
      <w:pPr>
        <w:pStyle w:val="NormalWeb"/>
        <w:spacing w:before="0" w:beforeAutospacing="0" w:after="0" w:afterAutospacing="0"/>
        <w:rPr>
          <w:rFonts w:ascii="Arial" w:hAnsi="Arial" w:cs="Arial"/>
        </w:rPr>
      </w:pPr>
    </w:p>
    <w:p w14:paraId="0C3B98CB" w14:textId="0513C8E8" w:rsidR="007E2919" w:rsidRPr="00CB79E4" w:rsidRDefault="007E2919" w:rsidP="00891690">
      <w:pPr>
        <w:pStyle w:val="NormalWeb"/>
        <w:spacing w:before="0" w:beforeAutospacing="0" w:after="0" w:afterAutospacing="0"/>
        <w:rPr>
          <w:rFonts w:ascii="Arial" w:hAnsi="Arial" w:cs="Arial"/>
        </w:rPr>
      </w:pPr>
      <w:r w:rsidRPr="00CB79E4">
        <w:rPr>
          <w:rFonts w:ascii="Arial" w:hAnsi="Arial" w:cs="Arial"/>
        </w:rPr>
        <w:t xml:space="preserve">In </w:t>
      </w:r>
      <w:r w:rsidR="00891690">
        <w:rPr>
          <w:rFonts w:ascii="Arial" w:hAnsi="Arial" w:cs="Arial"/>
        </w:rPr>
        <w:t>July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as the </w:t>
      </w:r>
      <w:r w:rsidR="00891690">
        <w:rPr>
          <w:rFonts w:ascii="Arial" w:hAnsi="Arial" w:cs="Arial"/>
        </w:rPr>
        <w:t>C</w:t>
      </w:r>
      <w:r w:rsidRPr="00CB79E4">
        <w:rPr>
          <w:rFonts w:ascii="Arial" w:hAnsi="Arial" w:cs="Arial"/>
        </w:rPr>
        <w:t>ompany continued to s</w:t>
      </w:r>
      <w:r w:rsidR="00314F32">
        <w:rPr>
          <w:rFonts w:ascii="Arial" w:hAnsi="Arial" w:cs="Arial"/>
        </w:rPr>
        <w:t xml:space="preserve">uffer cash flow problems, </w:t>
      </w:r>
      <w:r w:rsidRPr="00CB79E4">
        <w:rPr>
          <w:rFonts w:ascii="Arial" w:hAnsi="Arial" w:cs="Arial"/>
        </w:rPr>
        <w:t xml:space="preserve">the directors approved the sale of </w:t>
      </w:r>
      <w:r w:rsidR="00891690">
        <w:rPr>
          <w:rFonts w:ascii="Arial" w:hAnsi="Arial" w:cs="Arial"/>
        </w:rPr>
        <w:t>5</w:t>
      </w:r>
      <w:r w:rsidRPr="00CB79E4">
        <w:rPr>
          <w:rFonts w:ascii="Arial" w:hAnsi="Arial" w:cs="Arial"/>
        </w:rPr>
        <w:t xml:space="preserve"> </w:t>
      </w:r>
      <w:r w:rsidR="00891690">
        <w:rPr>
          <w:rFonts w:ascii="Arial" w:hAnsi="Arial" w:cs="Arial"/>
        </w:rPr>
        <w:t xml:space="preserve">coffee roasting machines </w:t>
      </w:r>
      <w:r w:rsidRPr="00CB79E4">
        <w:rPr>
          <w:rFonts w:ascii="Arial" w:hAnsi="Arial" w:cs="Arial"/>
        </w:rPr>
        <w:t xml:space="preserve">to </w:t>
      </w:r>
      <w:r w:rsidR="00891690">
        <w:rPr>
          <w:rFonts w:ascii="Arial" w:hAnsi="Arial" w:cs="Arial"/>
        </w:rPr>
        <w:t>Ann Young</w:t>
      </w:r>
      <w:r>
        <w:rPr>
          <w:rFonts w:ascii="Arial" w:hAnsi="Arial" w:cs="Arial"/>
        </w:rPr>
        <w:t xml:space="preserve"> (a director)</w:t>
      </w:r>
      <w:r w:rsidRPr="00CB79E4">
        <w:rPr>
          <w:rFonts w:ascii="Arial" w:hAnsi="Arial" w:cs="Arial"/>
        </w:rPr>
        <w:t xml:space="preserve"> for £</w:t>
      </w:r>
      <w:r w:rsidR="00891690">
        <w:rPr>
          <w:rFonts w:ascii="Arial" w:hAnsi="Arial" w:cs="Arial"/>
        </w:rPr>
        <w:t>10</w:t>
      </w:r>
      <w:r w:rsidRPr="00CB79E4">
        <w:rPr>
          <w:rFonts w:ascii="Arial" w:hAnsi="Arial" w:cs="Arial"/>
        </w:rPr>
        <w:t xml:space="preserve">,000 in </w:t>
      </w:r>
      <w:r>
        <w:rPr>
          <w:rFonts w:ascii="Arial" w:hAnsi="Arial" w:cs="Arial"/>
        </w:rPr>
        <w:t xml:space="preserve">cash. The </w:t>
      </w:r>
      <w:r w:rsidR="00891690">
        <w:rPr>
          <w:rFonts w:ascii="Arial" w:hAnsi="Arial" w:cs="Arial"/>
        </w:rPr>
        <w:t xml:space="preserve">machines </w:t>
      </w:r>
      <w:r>
        <w:rPr>
          <w:rFonts w:ascii="Arial" w:hAnsi="Arial" w:cs="Arial"/>
        </w:rPr>
        <w:t xml:space="preserve">had </w:t>
      </w:r>
      <w:r w:rsidRPr="00CB79E4">
        <w:rPr>
          <w:rFonts w:ascii="Arial" w:hAnsi="Arial" w:cs="Arial"/>
        </w:rPr>
        <w:t>been bought for £</w:t>
      </w:r>
      <w:r w:rsidR="00891690">
        <w:rPr>
          <w:rFonts w:ascii="Arial" w:hAnsi="Arial" w:cs="Arial"/>
        </w:rPr>
        <w:t>25</w:t>
      </w:r>
      <w:r w:rsidRPr="00CB79E4">
        <w:rPr>
          <w:rFonts w:ascii="Arial" w:hAnsi="Arial" w:cs="Arial"/>
        </w:rPr>
        <w:t>,000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6C9D65B3"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 xml:space="preserve">A month before the </w:t>
      </w:r>
      <w:r w:rsidR="00314F32">
        <w:rPr>
          <w:rFonts w:ascii="Arial" w:hAnsi="Arial" w:cs="Arial"/>
        </w:rPr>
        <w:t xml:space="preserve">winding up </w:t>
      </w:r>
      <w:r w:rsidR="0070524B">
        <w:rPr>
          <w:rFonts w:ascii="Arial" w:hAnsi="Arial" w:cs="Arial"/>
        </w:rPr>
        <w:t>order was made</w:t>
      </w:r>
      <w:r w:rsidRPr="00CB79E4">
        <w:rPr>
          <w:rFonts w:ascii="Arial" w:hAnsi="Arial" w:cs="Arial"/>
        </w:rPr>
        <w:t xml:space="preserve">, </w:t>
      </w:r>
      <w:r w:rsidR="00891690">
        <w:rPr>
          <w:rFonts w:ascii="Arial" w:hAnsi="Arial" w:cs="Arial"/>
        </w:rPr>
        <w:t>Ann Young</w:t>
      </w:r>
      <w:r w:rsidRPr="00CB79E4">
        <w:rPr>
          <w:rFonts w:ascii="Arial" w:hAnsi="Arial" w:cs="Arial"/>
        </w:rPr>
        <w:t xml:space="preserve"> received an </w:t>
      </w:r>
      <w:r w:rsidR="0070524B">
        <w:rPr>
          <w:rFonts w:ascii="Arial" w:hAnsi="Arial" w:cs="Arial"/>
        </w:rPr>
        <w:t xml:space="preserve">email from Beans and Leaves Ltd, one of </w:t>
      </w:r>
      <w:r w:rsidRPr="00CB79E4">
        <w:rPr>
          <w:rFonts w:ascii="Arial" w:hAnsi="Arial" w:cs="Arial"/>
        </w:rPr>
        <w:t xml:space="preserve">the </w:t>
      </w:r>
      <w:r w:rsidR="0070524B">
        <w:rPr>
          <w:rFonts w:ascii="Arial" w:hAnsi="Arial" w:cs="Arial"/>
        </w:rPr>
        <w:t>C</w:t>
      </w:r>
      <w:r w:rsidRPr="00CB79E4">
        <w:rPr>
          <w:rFonts w:ascii="Arial" w:hAnsi="Arial" w:cs="Arial"/>
        </w:rPr>
        <w:t>ompany’s key suppliers. The supplier demanded immediate payment of all sums owing to it</w:t>
      </w:r>
      <w:r w:rsidR="0070524B">
        <w:rPr>
          <w:rFonts w:ascii="Arial" w:hAnsi="Arial" w:cs="Arial"/>
        </w:rPr>
        <w:t xml:space="preserve"> and informed the Company that further supplies would only be made on a cash on delivery basis. As the continued supply of coffee beans was seen as essential by the Company, the board authorised a payment of £8,000 to cover existing liabilities and agreed to further payments, on a cash on delivery basis, for further supplies which amounted to further payment of £3,000 up to the date of the winding up order. </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36E24A51"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r w:rsidR="00435114">
        <w:rPr>
          <w:rFonts w:ascii="Arial" w:hAnsi="Arial" w:cs="Arial"/>
          <w:b/>
          <w:sz w:val="22"/>
          <w:szCs w:val="22"/>
        </w:rPr>
        <w:t>:</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The floating charge in favour of Stercus Bank plc;</w:t>
      </w:r>
    </w:p>
    <w:p w14:paraId="451B70BA" w14:textId="61081683" w:rsidR="007E2919" w:rsidRDefault="007E2919" w:rsidP="007E2919">
      <w:pPr>
        <w:rPr>
          <w:rFonts w:ascii="Arial" w:hAnsi="Arial" w:cs="Arial"/>
          <w:b/>
          <w:sz w:val="24"/>
        </w:rPr>
      </w:pPr>
    </w:p>
    <w:p w14:paraId="0A188A55" w14:textId="77777777" w:rsidR="00FF5098" w:rsidRPr="00FF5098" w:rsidRDefault="00FF5098" w:rsidP="00FF5098">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5E7619B1" w14:textId="73C4792F" w:rsidR="00546C0B" w:rsidRDefault="00546C0B" w:rsidP="007E2919">
      <w:pPr>
        <w:rPr>
          <w:rFonts w:ascii="Arial" w:hAnsi="Arial" w:cs="Arial"/>
          <w:bCs/>
          <w:sz w:val="24"/>
        </w:rPr>
      </w:pPr>
    </w:p>
    <w:p w14:paraId="5369F0C4" w14:textId="1A61DEF5" w:rsidR="00546C0B" w:rsidRDefault="00546C0B" w:rsidP="007E2919">
      <w:pPr>
        <w:rPr>
          <w:rFonts w:ascii="Arial" w:hAnsi="Arial" w:cs="Arial"/>
          <w:bCs/>
          <w:sz w:val="24"/>
        </w:rPr>
      </w:pPr>
      <w:r>
        <w:rPr>
          <w:rFonts w:ascii="Arial" w:hAnsi="Arial" w:cs="Arial"/>
          <w:bCs/>
          <w:sz w:val="24"/>
        </w:rPr>
        <w:lastRenderedPageBreak/>
        <w:t xml:space="preserve">The Company entered liquidation on 23 December 2021.  The debenture, containing </w:t>
      </w:r>
      <w:r w:rsidRPr="00546C0B">
        <w:rPr>
          <w:rFonts w:ascii="Arial" w:hAnsi="Arial" w:cs="Arial"/>
          <w:bCs/>
          <w:sz w:val="24"/>
        </w:rPr>
        <w:t>a floating charge over the whole of the Company’s undertaking</w:t>
      </w:r>
      <w:r>
        <w:rPr>
          <w:rFonts w:ascii="Arial" w:hAnsi="Arial" w:cs="Arial"/>
          <w:bCs/>
          <w:sz w:val="24"/>
        </w:rPr>
        <w:t>, was granted in February 2021.</w:t>
      </w:r>
    </w:p>
    <w:p w14:paraId="37B3107B" w14:textId="6B8C105A" w:rsidR="00546C0B" w:rsidRDefault="00546C0B" w:rsidP="007E2919">
      <w:pPr>
        <w:rPr>
          <w:rFonts w:ascii="Arial" w:hAnsi="Arial" w:cs="Arial"/>
          <w:bCs/>
          <w:sz w:val="24"/>
        </w:rPr>
      </w:pPr>
    </w:p>
    <w:p w14:paraId="775C4C72" w14:textId="7A2816F6" w:rsidR="00546C0B" w:rsidRDefault="00546C0B" w:rsidP="007E2919">
      <w:pPr>
        <w:rPr>
          <w:rFonts w:ascii="Arial" w:hAnsi="Arial" w:cs="Arial"/>
          <w:bCs/>
          <w:sz w:val="24"/>
        </w:rPr>
      </w:pPr>
      <w:r>
        <w:rPr>
          <w:rFonts w:ascii="Arial" w:hAnsi="Arial" w:cs="Arial"/>
          <w:bCs/>
          <w:sz w:val="24"/>
        </w:rPr>
        <w:t xml:space="preserve">As far as the facts of the question are aware, Stercus Bank plc (“Sterkus”) is not connected to the Company.  Therefore the time period in which the floating charge may be considered invalid is </w:t>
      </w:r>
      <w:r w:rsidR="006C7C6A">
        <w:rPr>
          <w:rFonts w:ascii="Arial" w:hAnsi="Arial" w:cs="Arial"/>
          <w:bCs/>
          <w:sz w:val="24"/>
        </w:rPr>
        <w:t xml:space="preserve">within the period </w:t>
      </w:r>
      <w:r>
        <w:rPr>
          <w:rFonts w:ascii="Arial" w:hAnsi="Arial" w:cs="Arial"/>
          <w:bCs/>
          <w:sz w:val="24"/>
        </w:rPr>
        <w:t>12 months</w:t>
      </w:r>
      <w:r w:rsidR="006C7C6A">
        <w:rPr>
          <w:rFonts w:ascii="Arial" w:hAnsi="Arial" w:cs="Arial"/>
          <w:bCs/>
          <w:sz w:val="24"/>
        </w:rPr>
        <w:t xml:space="preserve"> prior to the onset of insolvency</w:t>
      </w:r>
      <w:r>
        <w:rPr>
          <w:rFonts w:ascii="Arial" w:hAnsi="Arial" w:cs="Arial"/>
          <w:bCs/>
          <w:sz w:val="24"/>
        </w:rPr>
        <w:t xml:space="preserve">.  </w:t>
      </w:r>
      <w:r w:rsidR="00096C28">
        <w:rPr>
          <w:rFonts w:ascii="Arial" w:hAnsi="Arial" w:cs="Arial"/>
          <w:bCs/>
          <w:sz w:val="24"/>
        </w:rPr>
        <w:t>The date the floating charge was granted is within the 12 month period pursuant to section 245 of the Act.</w:t>
      </w:r>
    </w:p>
    <w:p w14:paraId="4F4AC686" w14:textId="02AEEECE" w:rsidR="00096C28" w:rsidRDefault="00096C28" w:rsidP="007E2919">
      <w:pPr>
        <w:rPr>
          <w:rFonts w:ascii="Arial" w:hAnsi="Arial" w:cs="Arial"/>
          <w:bCs/>
          <w:sz w:val="24"/>
        </w:rPr>
      </w:pPr>
    </w:p>
    <w:p w14:paraId="0C0C0C70" w14:textId="721E64A0" w:rsidR="00096C28" w:rsidRDefault="006C7C6A" w:rsidP="007E2919">
      <w:pPr>
        <w:rPr>
          <w:rFonts w:ascii="Arial" w:hAnsi="Arial" w:cs="Arial"/>
          <w:bCs/>
          <w:sz w:val="24"/>
        </w:rPr>
      </w:pPr>
      <w:r>
        <w:rPr>
          <w:rFonts w:ascii="Arial" w:hAnsi="Arial" w:cs="Arial"/>
          <w:bCs/>
          <w:sz w:val="24"/>
        </w:rPr>
        <w:t xml:space="preserve">Pursuant to section 245 of the Act, the Liquidator then has to consider whether </w:t>
      </w:r>
      <w:r w:rsidR="00162CFB">
        <w:rPr>
          <w:rFonts w:ascii="Arial" w:hAnsi="Arial" w:cs="Arial"/>
          <w:bCs/>
          <w:sz w:val="24"/>
        </w:rPr>
        <w:t>the Company was either: (i) able to pay its debts when the floating charge was granted</w:t>
      </w:r>
      <w:r w:rsidR="00C73C55">
        <w:rPr>
          <w:rFonts w:ascii="Arial" w:hAnsi="Arial" w:cs="Arial"/>
          <w:bCs/>
          <w:sz w:val="24"/>
        </w:rPr>
        <w:t xml:space="preserve"> (pursuant to section 123 of the Act)</w:t>
      </w:r>
      <w:r w:rsidR="00162CFB">
        <w:rPr>
          <w:rFonts w:ascii="Arial" w:hAnsi="Arial" w:cs="Arial"/>
          <w:bCs/>
          <w:sz w:val="24"/>
        </w:rPr>
        <w:t>; or (ii) became unable to do so in consequence of the transaction.  Given that the floating charge was granted to avoid the bank demanding repayment of the Company’s loans, that is a clear indicator that the Company could not repay its debts at that point in time.</w:t>
      </w:r>
    </w:p>
    <w:p w14:paraId="0037442D" w14:textId="633F175C" w:rsidR="00162CFB" w:rsidRDefault="00162CFB" w:rsidP="007E2919">
      <w:pPr>
        <w:rPr>
          <w:rFonts w:ascii="Arial" w:hAnsi="Arial" w:cs="Arial"/>
          <w:bCs/>
          <w:sz w:val="24"/>
        </w:rPr>
      </w:pPr>
    </w:p>
    <w:p w14:paraId="06701A4A" w14:textId="0B7D7B57" w:rsidR="00162CFB" w:rsidRDefault="00162CFB" w:rsidP="007E2919">
      <w:pPr>
        <w:rPr>
          <w:rFonts w:ascii="Arial" w:hAnsi="Arial" w:cs="Arial"/>
          <w:bCs/>
          <w:sz w:val="24"/>
        </w:rPr>
      </w:pPr>
      <w:r>
        <w:rPr>
          <w:rFonts w:ascii="Arial" w:hAnsi="Arial" w:cs="Arial"/>
          <w:bCs/>
          <w:sz w:val="24"/>
        </w:rPr>
        <w:t>Finally, the liquidator must confirm that the no ‘new’ consideration was provided for the charge.  The facts of the question do not indicate that any new consideration was given in favour of the floating charge which was granted in February 2021.</w:t>
      </w:r>
    </w:p>
    <w:p w14:paraId="67F1749F" w14:textId="3513E48F" w:rsidR="00162CFB" w:rsidRDefault="00162CFB" w:rsidP="007E2919">
      <w:pPr>
        <w:rPr>
          <w:rFonts w:ascii="Arial" w:hAnsi="Arial" w:cs="Arial"/>
          <w:bCs/>
          <w:sz w:val="24"/>
        </w:rPr>
      </w:pPr>
    </w:p>
    <w:p w14:paraId="573411E6" w14:textId="65B03FCE" w:rsidR="00162CFB" w:rsidRDefault="00162CFB" w:rsidP="007E2919">
      <w:pPr>
        <w:rPr>
          <w:rFonts w:ascii="Arial" w:hAnsi="Arial" w:cs="Arial"/>
          <w:bCs/>
          <w:sz w:val="24"/>
        </w:rPr>
      </w:pPr>
      <w:r>
        <w:rPr>
          <w:rFonts w:ascii="Arial" w:hAnsi="Arial" w:cs="Arial"/>
          <w:bCs/>
          <w:sz w:val="24"/>
        </w:rPr>
        <w:t>Accordingly,</w:t>
      </w:r>
      <w:r w:rsidR="00C73C55">
        <w:rPr>
          <w:rFonts w:ascii="Arial" w:hAnsi="Arial" w:cs="Arial"/>
          <w:bCs/>
          <w:sz w:val="24"/>
        </w:rPr>
        <w:t xml:space="preserve"> as the Company is in liquidation,</w:t>
      </w:r>
      <w:r>
        <w:rPr>
          <w:rFonts w:ascii="Arial" w:hAnsi="Arial" w:cs="Arial"/>
          <w:bCs/>
          <w:sz w:val="24"/>
        </w:rPr>
        <w:t xml:space="preserve"> the liquidator may </w:t>
      </w:r>
      <w:r w:rsidR="00C73C55">
        <w:rPr>
          <w:rFonts w:ascii="Arial" w:hAnsi="Arial" w:cs="Arial"/>
          <w:bCs/>
          <w:sz w:val="24"/>
        </w:rPr>
        <w:t xml:space="preserve">render the floating charge as invalid. </w:t>
      </w:r>
    </w:p>
    <w:p w14:paraId="358CB35A" w14:textId="71C964A6" w:rsidR="0020111E" w:rsidRDefault="0020111E" w:rsidP="007E2919">
      <w:pPr>
        <w:rPr>
          <w:rFonts w:ascii="Arial" w:hAnsi="Arial" w:cs="Arial"/>
          <w:bCs/>
          <w:sz w:val="24"/>
        </w:rPr>
      </w:pPr>
    </w:p>
    <w:p w14:paraId="56273628" w14:textId="6373FF2F" w:rsidR="0020111E" w:rsidRDefault="0020111E" w:rsidP="007E2919">
      <w:pPr>
        <w:rPr>
          <w:rFonts w:ascii="Arial" w:hAnsi="Arial" w:cs="Arial"/>
          <w:bCs/>
          <w:sz w:val="24"/>
        </w:rPr>
      </w:pPr>
      <w:r>
        <w:rPr>
          <w:rFonts w:ascii="Arial" w:hAnsi="Arial" w:cs="Arial"/>
          <w:bCs/>
          <w:sz w:val="24"/>
        </w:rPr>
        <w:t>If the Sterkus’ floating charge is deemed to be invalid, and they have no fixed charge over the five coffee machines, they will rank as an ordinary unsecured creditor in the liquidation of the Company.</w:t>
      </w:r>
    </w:p>
    <w:p w14:paraId="3E298014" w14:textId="77777777" w:rsidR="0024438A" w:rsidRPr="009E32D3" w:rsidRDefault="0024438A" w:rsidP="007E2919">
      <w:pPr>
        <w:rPr>
          <w:rFonts w:ascii="Arial" w:hAnsi="Arial" w:cs="Arial"/>
          <w:bCs/>
          <w:sz w:val="24"/>
        </w:rPr>
      </w:pPr>
    </w:p>
    <w:p w14:paraId="0E549215" w14:textId="1AD05DC7" w:rsidR="007E2919" w:rsidRDefault="007E2919" w:rsidP="007E2919">
      <w:pPr>
        <w:rPr>
          <w:rFonts w:ascii="Arial" w:hAnsi="Arial" w:cs="Arial"/>
          <w:b/>
          <w:sz w:val="24"/>
        </w:rPr>
      </w:pPr>
      <w:r>
        <w:rPr>
          <w:rFonts w:ascii="Arial" w:hAnsi="Arial" w:cs="Arial"/>
          <w:b/>
          <w:sz w:val="24"/>
        </w:rPr>
        <w:t xml:space="preserve">Question 4.2 [maximum </w:t>
      </w:r>
      <w:r w:rsidR="00311816">
        <w:rPr>
          <w:rFonts w:ascii="Arial" w:hAnsi="Arial" w:cs="Arial"/>
          <w:b/>
          <w:sz w:val="24"/>
        </w:rPr>
        <w:t>6</w:t>
      </w:r>
      <w:r>
        <w:rPr>
          <w:rFonts w:ascii="Arial" w:hAnsi="Arial" w:cs="Arial"/>
          <w:b/>
          <w:sz w:val="24"/>
        </w:rPr>
        <w:t xml:space="preserve"> marks]</w:t>
      </w:r>
    </w:p>
    <w:p w14:paraId="7916647F" w14:textId="470BBF53" w:rsidR="007E2919" w:rsidRDefault="007E2919" w:rsidP="007E2919">
      <w:pPr>
        <w:rPr>
          <w:rFonts w:ascii="Arial" w:hAnsi="Arial" w:cs="Arial"/>
          <w:b/>
          <w:sz w:val="24"/>
        </w:rPr>
      </w:pPr>
    </w:p>
    <w:p w14:paraId="28B7B160" w14:textId="46AA5F7A" w:rsidR="007E2919" w:rsidRPr="007E2919" w:rsidRDefault="007E2919" w:rsidP="007E2919">
      <w:pPr>
        <w:rPr>
          <w:rFonts w:ascii="Arial" w:hAnsi="Arial" w:cs="Arial"/>
          <w:sz w:val="24"/>
        </w:rPr>
      </w:pPr>
      <w:r w:rsidRPr="007E2919">
        <w:rPr>
          <w:rFonts w:ascii="Arial" w:hAnsi="Arial" w:cs="Arial"/>
          <w:sz w:val="24"/>
        </w:rPr>
        <w:t xml:space="preserve">The sale of the </w:t>
      </w:r>
      <w:r w:rsidR="0070524B">
        <w:rPr>
          <w:rFonts w:ascii="Arial" w:hAnsi="Arial" w:cs="Arial"/>
          <w:sz w:val="24"/>
        </w:rPr>
        <w:t>coffee roasting machines</w:t>
      </w:r>
      <w:r w:rsidRPr="007E2919">
        <w:rPr>
          <w:rFonts w:ascii="Arial" w:hAnsi="Arial" w:cs="Arial"/>
          <w:sz w:val="24"/>
        </w:rPr>
        <w:t>; and</w:t>
      </w:r>
    </w:p>
    <w:p w14:paraId="78CA5A7B" w14:textId="7BC31BB4" w:rsidR="007E2919" w:rsidRDefault="007E2919" w:rsidP="007E2919">
      <w:pPr>
        <w:rPr>
          <w:rFonts w:ascii="Arial" w:hAnsi="Arial" w:cs="Arial"/>
          <w:b/>
          <w:sz w:val="24"/>
        </w:rPr>
      </w:pPr>
    </w:p>
    <w:p w14:paraId="02B9C4FF" w14:textId="77777777" w:rsidR="00FF5098" w:rsidRPr="00FF5098" w:rsidRDefault="00FF5098" w:rsidP="00FF5098">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7AEDE530" w14:textId="08945AF7" w:rsidR="00311816" w:rsidRDefault="00311816" w:rsidP="00311816">
      <w:pPr>
        <w:autoSpaceDE w:val="0"/>
        <w:autoSpaceDN w:val="0"/>
        <w:adjustRightInd w:val="0"/>
        <w:jc w:val="both"/>
        <w:rPr>
          <w:rFonts w:ascii="Arial" w:hAnsi="Arial" w:cs="Arial"/>
          <w:color w:val="7B7B7B" w:themeColor="accent3" w:themeShade="BF"/>
          <w:sz w:val="22"/>
          <w:szCs w:val="22"/>
          <w:lang w:val="en-GB"/>
        </w:rPr>
      </w:pPr>
    </w:p>
    <w:p w14:paraId="54E6C16F" w14:textId="77777777" w:rsidR="00701A6B" w:rsidRDefault="00701A6B" w:rsidP="00701A6B">
      <w:pPr>
        <w:autoSpaceDE w:val="0"/>
        <w:autoSpaceDN w:val="0"/>
        <w:adjustRightInd w:val="0"/>
        <w:jc w:val="both"/>
        <w:rPr>
          <w:rFonts w:ascii="Arial" w:hAnsi="Arial" w:cs="Arial"/>
          <w:sz w:val="22"/>
          <w:szCs w:val="22"/>
          <w:lang w:val="en-GB"/>
        </w:rPr>
      </w:pPr>
    </w:p>
    <w:p w14:paraId="5FA6ACCF" w14:textId="0150D27B" w:rsidR="00C84862" w:rsidRDefault="00701A6B" w:rsidP="00311816">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The sale of the five coffee machines to </w:t>
      </w:r>
      <w:r w:rsidR="00A301F4">
        <w:rPr>
          <w:rFonts w:ascii="Arial" w:hAnsi="Arial" w:cs="Arial"/>
          <w:sz w:val="22"/>
          <w:szCs w:val="22"/>
          <w:lang w:val="en-GB"/>
        </w:rPr>
        <w:t xml:space="preserve">Ms Ann Young (“the Director”) </w:t>
      </w:r>
      <w:r>
        <w:rPr>
          <w:rFonts w:ascii="Arial" w:hAnsi="Arial" w:cs="Arial"/>
          <w:sz w:val="22"/>
          <w:szCs w:val="22"/>
          <w:lang w:val="en-GB"/>
        </w:rPr>
        <w:t>of the Company may be considered an undervalued transaction pursuant to section 238 of the Act.</w:t>
      </w:r>
    </w:p>
    <w:p w14:paraId="385FF92B" w14:textId="77777777" w:rsidR="00701A6B" w:rsidRDefault="00701A6B" w:rsidP="00311816">
      <w:pPr>
        <w:autoSpaceDE w:val="0"/>
        <w:autoSpaceDN w:val="0"/>
        <w:adjustRightInd w:val="0"/>
        <w:jc w:val="both"/>
        <w:rPr>
          <w:rFonts w:ascii="Arial" w:hAnsi="Arial" w:cs="Arial"/>
          <w:sz w:val="22"/>
          <w:szCs w:val="22"/>
          <w:lang w:val="en-GB"/>
        </w:rPr>
      </w:pPr>
    </w:p>
    <w:p w14:paraId="11C0EF59" w14:textId="0061E2E4" w:rsidR="00701A6B" w:rsidRDefault="00A301F4" w:rsidP="00311816">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The Director </w:t>
      </w:r>
      <w:r w:rsidR="00701A6B">
        <w:rPr>
          <w:rFonts w:ascii="Arial" w:hAnsi="Arial" w:cs="Arial"/>
          <w:sz w:val="22"/>
          <w:szCs w:val="22"/>
          <w:lang w:val="en-GB"/>
        </w:rPr>
        <w:t xml:space="preserve">is considered a connected person pursuant to section </w:t>
      </w:r>
      <w:r w:rsidR="00191592">
        <w:rPr>
          <w:rFonts w:ascii="Arial" w:hAnsi="Arial" w:cs="Arial"/>
          <w:sz w:val="22"/>
          <w:szCs w:val="22"/>
          <w:lang w:val="en-GB"/>
        </w:rPr>
        <w:t>249</w:t>
      </w:r>
      <w:r w:rsidR="00701A6B">
        <w:rPr>
          <w:rFonts w:ascii="Arial" w:hAnsi="Arial" w:cs="Arial"/>
          <w:sz w:val="22"/>
          <w:szCs w:val="22"/>
          <w:lang w:val="en-GB"/>
        </w:rPr>
        <w:t xml:space="preserve"> of the Act.  Section 240 of the Act defines “relevant time” under section 238 of the Act, </w:t>
      </w:r>
      <w:r w:rsidR="00701A6B" w:rsidRPr="00701A6B">
        <w:rPr>
          <w:rFonts w:ascii="Arial" w:hAnsi="Arial" w:cs="Arial"/>
          <w:sz w:val="22"/>
          <w:szCs w:val="22"/>
          <w:lang w:val="en-GB"/>
        </w:rPr>
        <w:t xml:space="preserve">in the case of a transaction at an undervalue to a person who is connected with the </w:t>
      </w:r>
      <w:r w:rsidR="00701A6B">
        <w:rPr>
          <w:rFonts w:ascii="Arial" w:hAnsi="Arial" w:cs="Arial"/>
          <w:sz w:val="22"/>
          <w:szCs w:val="22"/>
          <w:lang w:val="en-GB"/>
        </w:rPr>
        <w:t>C</w:t>
      </w:r>
      <w:r w:rsidR="00701A6B" w:rsidRPr="00701A6B">
        <w:rPr>
          <w:rFonts w:ascii="Arial" w:hAnsi="Arial" w:cs="Arial"/>
          <w:sz w:val="22"/>
          <w:szCs w:val="22"/>
          <w:lang w:val="en-GB"/>
        </w:rPr>
        <w:t>ompany (otherwise than by reason only of being its employee), at a time in the period of 2 years ending with the onset of insolvency</w:t>
      </w:r>
      <w:r w:rsidR="00701A6B">
        <w:rPr>
          <w:rFonts w:ascii="Arial" w:hAnsi="Arial" w:cs="Arial"/>
          <w:sz w:val="22"/>
          <w:szCs w:val="22"/>
          <w:lang w:val="en-GB"/>
        </w:rPr>
        <w:t xml:space="preserve">.  The onset of insolvency is also described under section 238 of the Act and in this scenario is the winding up order was filed on 14 October 2021.  The transaction occurred in July 2021 and therefore is within </w:t>
      </w:r>
      <w:r>
        <w:rPr>
          <w:rFonts w:ascii="Arial" w:hAnsi="Arial" w:cs="Arial"/>
          <w:sz w:val="22"/>
          <w:szCs w:val="22"/>
          <w:lang w:val="en-GB"/>
        </w:rPr>
        <w:t>the statutory period.</w:t>
      </w:r>
    </w:p>
    <w:p w14:paraId="1AF578DB" w14:textId="77777777" w:rsidR="00701A6B" w:rsidRDefault="00701A6B" w:rsidP="00311816">
      <w:pPr>
        <w:autoSpaceDE w:val="0"/>
        <w:autoSpaceDN w:val="0"/>
        <w:adjustRightInd w:val="0"/>
        <w:jc w:val="both"/>
        <w:rPr>
          <w:rFonts w:ascii="Arial" w:hAnsi="Arial" w:cs="Arial"/>
          <w:sz w:val="22"/>
          <w:szCs w:val="22"/>
          <w:lang w:val="en-GB"/>
        </w:rPr>
      </w:pPr>
    </w:p>
    <w:p w14:paraId="1C43E3D0" w14:textId="2ABB8013" w:rsidR="000929D8" w:rsidRDefault="000929D8" w:rsidP="00311816">
      <w:pPr>
        <w:autoSpaceDE w:val="0"/>
        <w:autoSpaceDN w:val="0"/>
        <w:adjustRightInd w:val="0"/>
        <w:jc w:val="both"/>
        <w:rPr>
          <w:rFonts w:ascii="Arial" w:hAnsi="Arial" w:cs="Arial"/>
          <w:sz w:val="22"/>
          <w:szCs w:val="22"/>
          <w:lang w:val="en-GB"/>
        </w:rPr>
      </w:pPr>
      <w:r>
        <w:rPr>
          <w:rFonts w:ascii="Arial" w:hAnsi="Arial" w:cs="Arial"/>
          <w:sz w:val="22"/>
          <w:szCs w:val="22"/>
          <w:lang w:val="en-GB"/>
        </w:rPr>
        <w:t>The requirements of section 238 of the Act are that the liquidator may attack the transaction if the Company:</w:t>
      </w:r>
    </w:p>
    <w:p w14:paraId="125DCA7B" w14:textId="332D9026" w:rsidR="000929D8" w:rsidRDefault="000929D8" w:rsidP="00311816">
      <w:pPr>
        <w:autoSpaceDE w:val="0"/>
        <w:autoSpaceDN w:val="0"/>
        <w:adjustRightInd w:val="0"/>
        <w:jc w:val="both"/>
        <w:rPr>
          <w:rFonts w:ascii="Arial" w:hAnsi="Arial" w:cs="Arial"/>
          <w:sz w:val="22"/>
          <w:szCs w:val="22"/>
          <w:lang w:val="en-GB"/>
        </w:rPr>
      </w:pPr>
    </w:p>
    <w:p w14:paraId="75FFD5DF" w14:textId="7072DB22" w:rsidR="000929D8" w:rsidRDefault="000929D8" w:rsidP="000929D8">
      <w:pPr>
        <w:pStyle w:val="ListParagraph"/>
        <w:numPr>
          <w:ilvl w:val="0"/>
          <w:numId w:val="24"/>
        </w:numPr>
        <w:autoSpaceDE w:val="0"/>
        <w:autoSpaceDN w:val="0"/>
        <w:adjustRightInd w:val="0"/>
        <w:jc w:val="both"/>
        <w:rPr>
          <w:rFonts w:ascii="Arial" w:hAnsi="Arial" w:cs="Arial"/>
          <w:sz w:val="22"/>
          <w:szCs w:val="22"/>
          <w:lang w:val="en-GB"/>
        </w:rPr>
      </w:pPr>
      <w:r>
        <w:rPr>
          <w:rFonts w:ascii="Arial" w:hAnsi="Arial" w:cs="Arial"/>
          <w:sz w:val="22"/>
          <w:szCs w:val="22"/>
          <w:lang w:val="en-GB"/>
        </w:rPr>
        <w:t>Made a gift to another person; or</w:t>
      </w:r>
    </w:p>
    <w:p w14:paraId="014D8F5B" w14:textId="3874AC76" w:rsidR="000929D8" w:rsidRDefault="000929D8" w:rsidP="000929D8">
      <w:pPr>
        <w:pStyle w:val="ListParagraph"/>
        <w:numPr>
          <w:ilvl w:val="0"/>
          <w:numId w:val="24"/>
        </w:numPr>
        <w:autoSpaceDE w:val="0"/>
        <w:autoSpaceDN w:val="0"/>
        <w:adjustRightInd w:val="0"/>
        <w:jc w:val="both"/>
        <w:rPr>
          <w:rFonts w:ascii="Arial" w:hAnsi="Arial" w:cs="Arial"/>
          <w:sz w:val="22"/>
          <w:szCs w:val="22"/>
          <w:lang w:val="en-GB"/>
        </w:rPr>
      </w:pPr>
      <w:r>
        <w:rPr>
          <w:rFonts w:ascii="Arial" w:hAnsi="Arial" w:cs="Arial"/>
          <w:sz w:val="22"/>
          <w:szCs w:val="22"/>
          <w:lang w:val="en-GB"/>
        </w:rPr>
        <w:t>Entered into a transaction with another person on terms that provided for the company to receive no consideration; or</w:t>
      </w:r>
    </w:p>
    <w:p w14:paraId="3B6243DD" w14:textId="621B9C27" w:rsidR="000929D8" w:rsidRPr="000929D8" w:rsidRDefault="000929D8" w:rsidP="000929D8">
      <w:pPr>
        <w:pStyle w:val="ListParagraph"/>
        <w:numPr>
          <w:ilvl w:val="0"/>
          <w:numId w:val="24"/>
        </w:numPr>
        <w:autoSpaceDE w:val="0"/>
        <w:autoSpaceDN w:val="0"/>
        <w:adjustRightInd w:val="0"/>
        <w:jc w:val="both"/>
        <w:rPr>
          <w:rFonts w:ascii="Arial" w:hAnsi="Arial" w:cs="Arial"/>
          <w:sz w:val="22"/>
          <w:szCs w:val="22"/>
          <w:lang w:val="en-GB"/>
        </w:rPr>
      </w:pPr>
      <w:r>
        <w:rPr>
          <w:rFonts w:ascii="Arial" w:hAnsi="Arial" w:cs="Arial"/>
          <w:sz w:val="22"/>
          <w:szCs w:val="22"/>
          <w:lang w:val="en-GB"/>
        </w:rPr>
        <w:lastRenderedPageBreak/>
        <w:t>Entered into a transaction with another person for a consideration, in money or money’s worth, was, at the date of the transaction, significantly less than the value, in money or money’s worth, of the consideration provided by the Company.</w:t>
      </w:r>
    </w:p>
    <w:p w14:paraId="7B0FA342" w14:textId="59D8EBB3" w:rsidR="003C3048" w:rsidRDefault="003C3048" w:rsidP="002E5652">
      <w:pPr>
        <w:autoSpaceDE w:val="0"/>
        <w:autoSpaceDN w:val="0"/>
        <w:adjustRightInd w:val="0"/>
        <w:jc w:val="both"/>
        <w:rPr>
          <w:rFonts w:ascii="Arial" w:hAnsi="Arial" w:cs="Arial"/>
          <w:sz w:val="22"/>
          <w:szCs w:val="22"/>
          <w:lang w:val="en-GB"/>
        </w:rPr>
      </w:pPr>
    </w:p>
    <w:p w14:paraId="71D706EB" w14:textId="7D477F9C" w:rsidR="002E5652" w:rsidRDefault="002E5652" w:rsidP="002E5652">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In applying section 238 the liquidator must consider whether the transaction was actually made undervalue.  The coffee machines were purchased for </w:t>
      </w:r>
      <w:r w:rsidRPr="002E5652">
        <w:rPr>
          <w:rFonts w:ascii="Arial" w:hAnsi="Arial" w:cs="Arial"/>
          <w:sz w:val="22"/>
          <w:szCs w:val="22"/>
          <w:lang w:val="en-GB"/>
        </w:rPr>
        <w:t>£25,000</w:t>
      </w:r>
      <w:r>
        <w:rPr>
          <w:rFonts w:ascii="Arial" w:hAnsi="Arial" w:cs="Arial"/>
          <w:sz w:val="22"/>
          <w:szCs w:val="22"/>
          <w:lang w:val="en-GB"/>
        </w:rPr>
        <w:t xml:space="preserve"> one year before they were sold to the director for </w:t>
      </w:r>
      <w:r w:rsidRPr="002E5652">
        <w:rPr>
          <w:rFonts w:ascii="Arial" w:hAnsi="Arial" w:cs="Arial"/>
          <w:sz w:val="22"/>
          <w:szCs w:val="22"/>
          <w:lang w:val="en-GB"/>
        </w:rPr>
        <w:t>£</w:t>
      </w:r>
      <w:r>
        <w:rPr>
          <w:rFonts w:ascii="Arial" w:hAnsi="Arial" w:cs="Arial"/>
          <w:sz w:val="22"/>
          <w:szCs w:val="22"/>
          <w:lang w:val="en-GB"/>
        </w:rPr>
        <w:t>10</w:t>
      </w:r>
      <w:r w:rsidRPr="002E5652">
        <w:rPr>
          <w:rFonts w:ascii="Arial" w:hAnsi="Arial" w:cs="Arial"/>
          <w:sz w:val="22"/>
          <w:szCs w:val="22"/>
          <w:lang w:val="en-GB"/>
        </w:rPr>
        <w:t>,000</w:t>
      </w:r>
      <w:r>
        <w:rPr>
          <w:rFonts w:ascii="Arial" w:hAnsi="Arial" w:cs="Arial"/>
          <w:sz w:val="22"/>
          <w:szCs w:val="22"/>
          <w:lang w:val="en-GB"/>
        </w:rPr>
        <w:t>.  The liquidator would need to confirm the value of the five coffee machines as at the transaction date, preferably via an independent valuer, to confirm the transaction is at an undervalue.</w:t>
      </w:r>
    </w:p>
    <w:p w14:paraId="3AF78EAA" w14:textId="4628E780" w:rsidR="002E5652" w:rsidRDefault="002E5652" w:rsidP="002E5652">
      <w:pPr>
        <w:autoSpaceDE w:val="0"/>
        <w:autoSpaceDN w:val="0"/>
        <w:adjustRightInd w:val="0"/>
        <w:jc w:val="both"/>
        <w:rPr>
          <w:rFonts w:ascii="Arial" w:hAnsi="Arial" w:cs="Arial"/>
          <w:sz w:val="22"/>
          <w:szCs w:val="22"/>
          <w:lang w:val="en-GB"/>
        </w:rPr>
      </w:pPr>
    </w:p>
    <w:p w14:paraId="2A45E7E0" w14:textId="5D9AD0E4" w:rsidR="002E5652" w:rsidRDefault="002E5652" w:rsidP="002E5652">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Additionally, the liquidator must prove that the Company was unable to pay its debts as they fell due (pursuant to section 123 of the Act), or, became unable to pay its debts when </w:t>
      </w:r>
      <w:r w:rsidR="00EF6258">
        <w:rPr>
          <w:rFonts w:ascii="Arial" w:hAnsi="Arial" w:cs="Arial"/>
          <w:sz w:val="22"/>
          <w:szCs w:val="22"/>
          <w:lang w:val="en-GB"/>
        </w:rPr>
        <w:t>as a consequence of the transaction.  The Company was unable to pay its debts to the bank in February 2021 and sold the coffee machines to assist with cash flow.  Therefore it is likely the Company was unable to pay its debts at the time of the transaction in July 2021.</w:t>
      </w:r>
    </w:p>
    <w:p w14:paraId="174C9292" w14:textId="6F9FB969" w:rsidR="00EF6258" w:rsidRDefault="00EF6258" w:rsidP="002E5652">
      <w:pPr>
        <w:autoSpaceDE w:val="0"/>
        <w:autoSpaceDN w:val="0"/>
        <w:adjustRightInd w:val="0"/>
        <w:jc w:val="both"/>
        <w:rPr>
          <w:rFonts w:ascii="Arial" w:hAnsi="Arial" w:cs="Arial"/>
          <w:sz w:val="22"/>
          <w:szCs w:val="22"/>
          <w:lang w:val="en-GB"/>
        </w:rPr>
      </w:pPr>
    </w:p>
    <w:p w14:paraId="27978D91" w14:textId="37665DF0" w:rsidR="00880900" w:rsidRPr="002616D8" w:rsidRDefault="00EF6258" w:rsidP="00311816">
      <w:pPr>
        <w:autoSpaceDE w:val="0"/>
        <w:autoSpaceDN w:val="0"/>
        <w:adjustRightInd w:val="0"/>
        <w:jc w:val="both"/>
        <w:rPr>
          <w:rFonts w:ascii="Arial" w:hAnsi="Arial" w:cs="Arial"/>
          <w:sz w:val="22"/>
          <w:szCs w:val="22"/>
          <w:lang w:val="en-GB"/>
        </w:rPr>
      </w:pPr>
      <w:r>
        <w:rPr>
          <w:rFonts w:ascii="Arial" w:hAnsi="Arial" w:cs="Arial"/>
          <w:sz w:val="22"/>
          <w:szCs w:val="22"/>
          <w:lang w:val="en-GB"/>
        </w:rPr>
        <w:t>If the liquidator does lodge a successful claim pursuant to section 238 of the Act, the director is entitled to a good faith defence.  If the director can prove that the coffee machines were sold to her in good faith and for the purpose of carrying on the business of the Company and at the time of the transaction there were reasonable grounds to believe the transaction would benefit the Company, the Court may choose not to make an Order.</w:t>
      </w:r>
    </w:p>
    <w:p w14:paraId="12EE6ACB" w14:textId="77777777" w:rsidR="008769B2" w:rsidRPr="00311816" w:rsidRDefault="008769B2" w:rsidP="00311816">
      <w:pPr>
        <w:autoSpaceDE w:val="0"/>
        <w:autoSpaceDN w:val="0"/>
        <w:adjustRightInd w:val="0"/>
        <w:jc w:val="both"/>
        <w:rPr>
          <w:rFonts w:ascii="Arial" w:hAnsi="Arial" w:cs="Arial"/>
          <w:color w:val="7B7B7B" w:themeColor="accent3" w:themeShade="BF"/>
          <w:sz w:val="22"/>
          <w:szCs w:val="22"/>
          <w:lang w:val="en-GB"/>
        </w:rPr>
      </w:pPr>
    </w:p>
    <w:p w14:paraId="6E34699E" w14:textId="387798DB" w:rsidR="00701A6B" w:rsidRPr="003A684A" w:rsidRDefault="007E2919" w:rsidP="007E2919">
      <w:pPr>
        <w:rPr>
          <w:rFonts w:ascii="Arial" w:hAnsi="Arial" w:cs="Arial"/>
          <w:b/>
          <w:sz w:val="24"/>
        </w:rPr>
      </w:pPr>
      <w:r>
        <w:rPr>
          <w:rFonts w:ascii="Arial" w:hAnsi="Arial" w:cs="Arial"/>
          <w:b/>
          <w:sz w:val="24"/>
        </w:rPr>
        <w:t xml:space="preserve">Question 4.3 [maximum </w:t>
      </w:r>
      <w:r w:rsidR="00311816">
        <w:rPr>
          <w:rFonts w:ascii="Arial" w:hAnsi="Arial" w:cs="Arial"/>
          <w:b/>
          <w:sz w:val="24"/>
        </w:rPr>
        <w:t>4</w:t>
      </w:r>
      <w:r>
        <w:rPr>
          <w:rFonts w:ascii="Arial" w:hAnsi="Arial" w:cs="Arial"/>
          <w:b/>
          <w:sz w:val="24"/>
        </w:rPr>
        <w:t xml:space="preserve"> marks]</w:t>
      </w:r>
    </w:p>
    <w:p w14:paraId="7765FFFC" w14:textId="77777777" w:rsidR="00701A6B" w:rsidRDefault="00701A6B" w:rsidP="007E2919">
      <w:pPr>
        <w:rPr>
          <w:rFonts w:ascii="Arial" w:hAnsi="Arial" w:cs="Arial"/>
          <w:sz w:val="24"/>
        </w:rPr>
      </w:pPr>
    </w:p>
    <w:p w14:paraId="2CD8591B" w14:textId="6BC4C928" w:rsidR="007E2919" w:rsidRPr="007E2919" w:rsidRDefault="007E2919" w:rsidP="007E2919">
      <w:pPr>
        <w:rPr>
          <w:rFonts w:ascii="Arial" w:hAnsi="Arial" w:cs="Arial"/>
          <w:sz w:val="24"/>
        </w:rPr>
      </w:pPr>
      <w:r w:rsidRPr="007E2919">
        <w:rPr>
          <w:rFonts w:ascii="Arial" w:hAnsi="Arial" w:cs="Arial"/>
          <w:sz w:val="24"/>
        </w:rPr>
        <w:t>The payment</w:t>
      </w:r>
      <w:r w:rsidR="0070524B">
        <w:rPr>
          <w:rFonts w:ascii="Arial" w:hAnsi="Arial" w:cs="Arial"/>
          <w:sz w:val="24"/>
        </w:rPr>
        <w:t>s</w:t>
      </w:r>
      <w:r w:rsidRPr="007E2919">
        <w:rPr>
          <w:rFonts w:ascii="Arial" w:hAnsi="Arial" w:cs="Arial"/>
          <w:sz w:val="24"/>
        </w:rPr>
        <w:t xml:space="preserve"> to </w:t>
      </w:r>
      <w:r w:rsidR="0070524B" w:rsidRPr="0070524B">
        <w:rPr>
          <w:rFonts w:ascii="Arial" w:hAnsi="Arial" w:cs="Arial"/>
          <w:sz w:val="24"/>
        </w:rPr>
        <w:t>Beans and Leaves Ltd</w:t>
      </w:r>
      <w:r w:rsidR="00B04033">
        <w:rPr>
          <w:rFonts w:ascii="Arial" w:hAnsi="Arial" w:cs="Arial"/>
          <w:sz w:val="24"/>
        </w:rPr>
        <w:t>.</w:t>
      </w:r>
    </w:p>
    <w:p w14:paraId="72C79D7A" w14:textId="77777777" w:rsidR="00B04033" w:rsidRDefault="007E2919" w:rsidP="00B04033">
      <w:pPr>
        <w:rPr>
          <w:rFonts w:ascii="Arial" w:hAnsi="Arial" w:cs="Arial"/>
          <w:b/>
        </w:rPr>
      </w:pPr>
      <w:r w:rsidRPr="007E2919">
        <w:rPr>
          <w:rFonts w:ascii="Arial" w:hAnsi="Arial" w:cs="Arial"/>
          <w:b/>
        </w:rPr>
        <w:t xml:space="preserve"> </w:t>
      </w:r>
    </w:p>
    <w:p w14:paraId="3944217E" w14:textId="77777777" w:rsidR="008769B2" w:rsidRPr="00FF5098" w:rsidRDefault="008769B2" w:rsidP="008769B2">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70C6A8B6" w14:textId="311520DA" w:rsidR="00126A4D" w:rsidRDefault="00126A4D" w:rsidP="00087F21">
      <w:pPr>
        <w:autoSpaceDE w:val="0"/>
        <w:autoSpaceDN w:val="0"/>
        <w:adjustRightInd w:val="0"/>
        <w:jc w:val="both"/>
        <w:rPr>
          <w:rFonts w:ascii="Arial" w:hAnsi="Arial" w:cs="Arial"/>
          <w:sz w:val="22"/>
          <w:szCs w:val="22"/>
          <w:lang w:val="en-GB"/>
        </w:rPr>
      </w:pPr>
    </w:p>
    <w:p w14:paraId="129A18C0" w14:textId="1262DA80" w:rsidR="003A684A" w:rsidRDefault="00B6441A"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The payments made to Beans and Leaves Ltd (“B&amp;L:) may be considered a preference pursuant to section 239 of the Act.</w:t>
      </w:r>
    </w:p>
    <w:p w14:paraId="75651B81" w14:textId="42DD127F" w:rsidR="00B6441A" w:rsidRDefault="00B6441A" w:rsidP="00087F21">
      <w:pPr>
        <w:autoSpaceDE w:val="0"/>
        <w:autoSpaceDN w:val="0"/>
        <w:adjustRightInd w:val="0"/>
        <w:jc w:val="both"/>
        <w:rPr>
          <w:rFonts w:ascii="Arial" w:hAnsi="Arial" w:cs="Arial"/>
          <w:sz w:val="22"/>
          <w:szCs w:val="22"/>
          <w:lang w:val="en-GB"/>
        </w:rPr>
      </w:pPr>
    </w:p>
    <w:p w14:paraId="361B604A" w14:textId="270D1212" w:rsidR="00B6441A" w:rsidRDefault="00B6441A"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B&amp;L is not connected to the Company under the definition of section 249 of the Act.  Accordingly, the period in which the liquidator may make a preference claim under section 239 of the Act is six months.  The first payment in the amount of </w:t>
      </w:r>
      <w:r w:rsidRPr="00B6441A">
        <w:rPr>
          <w:rFonts w:ascii="Arial" w:hAnsi="Arial" w:cs="Arial"/>
          <w:sz w:val="22"/>
          <w:szCs w:val="22"/>
          <w:lang w:val="en-GB"/>
        </w:rPr>
        <w:t>£8,000</w:t>
      </w:r>
      <w:r>
        <w:rPr>
          <w:rFonts w:ascii="Arial" w:hAnsi="Arial" w:cs="Arial"/>
          <w:sz w:val="22"/>
          <w:szCs w:val="22"/>
          <w:lang w:val="en-GB"/>
        </w:rPr>
        <w:t xml:space="preserve"> was made to B&amp;L </w:t>
      </w:r>
      <w:r w:rsidR="00156086">
        <w:rPr>
          <w:rFonts w:ascii="Arial" w:hAnsi="Arial" w:cs="Arial"/>
          <w:sz w:val="22"/>
          <w:szCs w:val="22"/>
          <w:lang w:val="en-GB"/>
        </w:rPr>
        <w:t xml:space="preserve">one month before the Company went into liquidation.  The </w:t>
      </w:r>
      <w:r w:rsidR="00156086" w:rsidRPr="00B6441A">
        <w:rPr>
          <w:rFonts w:ascii="Arial" w:hAnsi="Arial" w:cs="Arial"/>
          <w:sz w:val="22"/>
          <w:szCs w:val="22"/>
          <w:lang w:val="en-GB"/>
        </w:rPr>
        <w:t>£</w:t>
      </w:r>
      <w:r w:rsidR="00156086">
        <w:rPr>
          <w:rFonts w:ascii="Arial" w:hAnsi="Arial" w:cs="Arial"/>
          <w:sz w:val="22"/>
          <w:szCs w:val="22"/>
          <w:lang w:val="en-GB"/>
        </w:rPr>
        <w:t>3</w:t>
      </w:r>
      <w:r w:rsidR="00156086" w:rsidRPr="00B6441A">
        <w:rPr>
          <w:rFonts w:ascii="Arial" w:hAnsi="Arial" w:cs="Arial"/>
          <w:sz w:val="22"/>
          <w:szCs w:val="22"/>
          <w:lang w:val="en-GB"/>
        </w:rPr>
        <w:t>,000</w:t>
      </w:r>
      <w:r w:rsidR="00156086">
        <w:rPr>
          <w:rFonts w:ascii="Arial" w:hAnsi="Arial" w:cs="Arial"/>
          <w:sz w:val="22"/>
          <w:szCs w:val="22"/>
          <w:lang w:val="en-GB"/>
        </w:rPr>
        <w:t xml:space="preserve"> cash on delivery transactions were also made within a period one month prior to the date the Company went into liquidation.  Therefore, the transactions are all withing the six month statutory time period.</w:t>
      </w:r>
    </w:p>
    <w:p w14:paraId="3B7AFF07" w14:textId="78969538" w:rsidR="00156086" w:rsidRDefault="00156086" w:rsidP="00087F21">
      <w:pPr>
        <w:autoSpaceDE w:val="0"/>
        <w:autoSpaceDN w:val="0"/>
        <w:adjustRightInd w:val="0"/>
        <w:jc w:val="both"/>
        <w:rPr>
          <w:rFonts w:ascii="Arial" w:hAnsi="Arial" w:cs="Arial"/>
          <w:sz w:val="22"/>
          <w:szCs w:val="22"/>
          <w:lang w:val="en-GB"/>
        </w:rPr>
      </w:pPr>
    </w:p>
    <w:p w14:paraId="43E771D7" w14:textId="0A8ACDDE" w:rsidR="00156086" w:rsidRDefault="00156086"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In order for a transaction to be considered a preference under section 239 of the Act, the liquidator must show that:</w:t>
      </w:r>
    </w:p>
    <w:p w14:paraId="580DDF38" w14:textId="27393F16" w:rsidR="00156086" w:rsidRDefault="00156086" w:rsidP="00087F21">
      <w:pPr>
        <w:autoSpaceDE w:val="0"/>
        <w:autoSpaceDN w:val="0"/>
        <w:adjustRightInd w:val="0"/>
        <w:jc w:val="both"/>
        <w:rPr>
          <w:rFonts w:ascii="Arial" w:hAnsi="Arial" w:cs="Arial"/>
          <w:sz w:val="22"/>
          <w:szCs w:val="22"/>
          <w:lang w:val="en-GB"/>
        </w:rPr>
      </w:pPr>
    </w:p>
    <w:p w14:paraId="5A35FD5E" w14:textId="6096C3A6" w:rsidR="00156086" w:rsidRDefault="00156086" w:rsidP="00156086">
      <w:pPr>
        <w:pStyle w:val="ListParagraph"/>
        <w:numPr>
          <w:ilvl w:val="0"/>
          <w:numId w:val="25"/>
        </w:numPr>
        <w:autoSpaceDE w:val="0"/>
        <w:autoSpaceDN w:val="0"/>
        <w:adjustRightInd w:val="0"/>
        <w:jc w:val="both"/>
        <w:rPr>
          <w:rFonts w:ascii="Arial" w:hAnsi="Arial" w:cs="Arial"/>
          <w:sz w:val="22"/>
          <w:szCs w:val="22"/>
          <w:lang w:val="en-GB"/>
        </w:rPr>
      </w:pPr>
      <w:r>
        <w:rPr>
          <w:rFonts w:ascii="Arial" w:hAnsi="Arial" w:cs="Arial"/>
          <w:sz w:val="22"/>
          <w:szCs w:val="22"/>
          <w:lang w:val="en-GB"/>
        </w:rPr>
        <w:t>B&amp;L, at the time of the transaction, was a creditor of the Company;</w:t>
      </w:r>
    </w:p>
    <w:p w14:paraId="57B679C5" w14:textId="0D87668F" w:rsidR="00710D3F" w:rsidRDefault="00710D3F" w:rsidP="00710D3F">
      <w:pPr>
        <w:pStyle w:val="ListParagraph"/>
        <w:numPr>
          <w:ilvl w:val="0"/>
          <w:numId w:val="25"/>
        </w:num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Something was done by the Company to put B&amp;L in a better position, than other creditors of the Company in the same creditor class now that the Company is in liquidation, than the position B&amp;L would have been had the payments not been received; </w:t>
      </w:r>
    </w:p>
    <w:p w14:paraId="1E7638DE" w14:textId="44AB3B52" w:rsidR="00710D3F" w:rsidRDefault="00710D3F" w:rsidP="00710D3F">
      <w:pPr>
        <w:pStyle w:val="ListParagraph"/>
        <w:numPr>
          <w:ilvl w:val="0"/>
          <w:numId w:val="25"/>
        </w:numPr>
        <w:autoSpaceDE w:val="0"/>
        <w:autoSpaceDN w:val="0"/>
        <w:adjustRightInd w:val="0"/>
        <w:jc w:val="both"/>
        <w:rPr>
          <w:rFonts w:ascii="Arial" w:hAnsi="Arial" w:cs="Arial"/>
          <w:sz w:val="22"/>
          <w:szCs w:val="22"/>
          <w:lang w:val="en-GB"/>
        </w:rPr>
      </w:pPr>
      <w:r>
        <w:rPr>
          <w:rFonts w:ascii="Arial" w:hAnsi="Arial" w:cs="Arial"/>
          <w:sz w:val="22"/>
          <w:szCs w:val="22"/>
          <w:lang w:val="en-GB"/>
        </w:rPr>
        <w:t>The Company, in giving the preference, had a desire to provide a preference to B&amp;L; and</w:t>
      </w:r>
    </w:p>
    <w:p w14:paraId="780F85F6" w14:textId="5AB6FBD0" w:rsidR="00710D3F" w:rsidRPr="00710D3F" w:rsidRDefault="00710D3F" w:rsidP="00710D3F">
      <w:pPr>
        <w:pStyle w:val="ListParagraph"/>
        <w:numPr>
          <w:ilvl w:val="0"/>
          <w:numId w:val="25"/>
        </w:numPr>
        <w:autoSpaceDE w:val="0"/>
        <w:autoSpaceDN w:val="0"/>
        <w:adjustRightInd w:val="0"/>
        <w:jc w:val="both"/>
        <w:rPr>
          <w:rFonts w:ascii="Arial" w:hAnsi="Arial" w:cs="Arial"/>
          <w:sz w:val="22"/>
          <w:szCs w:val="22"/>
          <w:lang w:val="en-GB"/>
        </w:rPr>
      </w:pPr>
      <w:r>
        <w:rPr>
          <w:rFonts w:ascii="Arial" w:hAnsi="Arial" w:cs="Arial"/>
          <w:sz w:val="22"/>
          <w:szCs w:val="22"/>
          <w:lang w:val="en-GB"/>
        </w:rPr>
        <w:t>The preference was given at a relevant time.</w:t>
      </w:r>
    </w:p>
    <w:p w14:paraId="67CE6FDF" w14:textId="38E74689" w:rsidR="003A684A" w:rsidRDefault="003A684A" w:rsidP="00087F21">
      <w:pPr>
        <w:autoSpaceDE w:val="0"/>
        <w:autoSpaceDN w:val="0"/>
        <w:adjustRightInd w:val="0"/>
        <w:jc w:val="both"/>
        <w:rPr>
          <w:rFonts w:ascii="Arial" w:hAnsi="Arial" w:cs="Arial"/>
          <w:sz w:val="22"/>
          <w:szCs w:val="22"/>
          <w:lang w:val="en-GB"/>
        </w:rPr>
      </w:pPr>
    </w:p>
    <w:p w14:paraId="1B89C5CC" w14:textId="1D4C822A" w:rsidR="00710D3F" w:rsidRDefault="00CB3E2E"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In the case of the Company and B&amp;L:</w:t>
      </w:r>
    </w:p>
    <w:p w14:paraId="1B2A3EF5" w14:textId="3EBDF6BD" w:rsidR="00CB3E2E" w:rsidRDefault="00CB3E2E" w:rsidP="00087F21">
      <w:pPr>
        <w:autoSpaceDE w:val="0"/>
        <w:autoSpaceDN w:val="0"/>
        <w:adjustRightInd w:val="0"/>
        <w:jc w:val="both"/>
        <w:rPr>
          <w:rFonts w:ascii="Arial" w:hAnsi="Arial" w:cs="Arial"/>
          <w:sz w:val="22"/>
          <w:szCs w:val="22"/>
          <w:lang w:val="en-GB"/>
        </w:rPr>
      </w:pPr>
    </w:p>
    <w:p w14:paraId="18AF758F" w14:textId="78957361" w:rsidR="00CB3E2E" w:rsidRDefault="00CB3E2E" w:rsidP="00CB3E2E">
      <w:pPr>
        <w:pStyle w:val="ListParagraph"/>
        <w:numPr>
          <w:ilvl w:val="0"/>
          <w:numId w:val="26"/>
        </w:num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For the </w:t>
      </w:r>
      <w:r w:rsidRPr="00B6441A">
        <w:rPr>
          <w:rFonts w:ascii="Arial" w:hAnsi="Arial" w:cs="Arial"/>
          <w:sz w:val="22"/>
          <w:szCs w:val="22"/>
          <w:lang w:val="en-GB"/>
        </w:rPr>
        <w:t>£8,000</w:t>
      </w:r>
      <w:r>
        <w:rPr>
          <w:rFonts w:ascii="Arial" w:hAnsi="Arial" w:cs="Arial"/>
          <w:sz w:val="22"/>
          <w:szCs w:val="22"/>
          <w:lang w:val="en-GB"/>
        </w:rPr>
        <w:t xml:space="preserve"> paid by the Company to B&amp;L as the amount related to outstanding invoices, B&amp;L was a creditor at the time of the payment.  The </w:t>
      </w:r>
      <w:r w:rsidRPr="00B6441A">
        <w:rPr>
          <w:rFonts w:ascii="Arial" w:hAnsi="Arial" w:cs="Arial"/>
          <w:sz w:val="22"/>
          <w:szCs w:val="22"/>
          <w:lang w:val="en-GB"/>
        </w:rPr>
        <w:t>£8,000</w:t>
      </w:r>
      <w:r>
        <w:rPr>
          <w:rFonts w:ascii="Arial" w:hAnsi="Arial" w:cs="Arial"/>
          <w:sz w:val="22"/>
          <w:szCs w:val="22"/>
          <w:lang w:val="en-GB"/>
        </w:rPr>
        <w:t xml:space="preserve"> was full </w:t>
      </w:r>
      <w:r>
        <w:rPr>
          <w:rFonts w:ascii="Arial" w:hAnsi="Arial" w:cs="Arial"/>
          <w:sz w:val="22"/>
          <w:szCs w:val="22"/>
          <w:lang w:val="en-GB"/>
        </w:rPr>
        <w:lastRenderedPageBreak/>
        <w:t xml:space="preserve">payment of the Company’s liabilities to the Company.  The remaining </w:t>
      </w:r>
      <w:r w:rsidRPr="00B6441A">
        <w:rPr>
          <w:rFonts w:ascii="Arial" w:hAnsi="Arial" w:cs="Arial"/>
          <w:sz w:val="22"/>
          <w:szCs w:val="22"/>
          <w:lang w:val="en-GB"/>
        </w:rPr>
        <w:t>£</w:t>
      </w:r>
      <w:r>
        <w:rPr>
          <w:rFonts w:ascii="Arial" w:hAnsi="Arial" w:cs="Arial"/>
          <w:sz w:val="22"/>
          <w:szCs w:val="22"/>
          <w:lang w:val="en-GB"/>
        </w:rPr>
        <w:t>3</w:t>
      </w:r>
      <w:r w:rsidRPr="00B6441A">
        <w:rPr>
          <w:rFonts w:ascii="Arial" w:hAnsi="Arial" w:cs="Arial"/>
          <w:sz w:val="22"/>
          <w:szCs w:val="22"/>
          <w:lang w:val="en-GB"/>
        </w:rPr>
        <w:t>,000</w:t>
      </w:r>
      <w:r>
        <w:rPr>
          <w:rFonts w:ascii="Arial" w:hAnsi="Arial" w:cs="Arial"/>
          <w:sz w:val="22"/>
          <w:szCs w:val="22"/>
          <w:lang w:val="en-GB"/>
        </w:rPr>
        <w:t xml:space="preserve"> was paid on a cash on delivery basis.  Therefore, B&amp;L would not be considered a creditor of the Company for these payments and they could not be pursued by the Liquidator pursuant to section 239 of the Act.</w:t>
      </w:r>
    </w:p>
    <w:p w14:paraId="187856D0" w14:textId="3E2FAE2C" w:rsidR="00CB3E2E" w:rsidRDefault="00265061" w:rsidP="00CB3E2E">
      <w:pPr>
        <w:pStyle w:val="ListParagraph"/>
        <w:numPr>
          <w:ilvl w:val="0"/>
          <w:numId w:val="26"/>
        </w:num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By paying B&amp;L the </w:t>
      </w:r>
      <w:r w:rsidRPr="00B6441A">
        <w:rPr>
          <w:rFonts w:ascii="Arial" w:hAnsi="Arial" w:cs="Arial"/>
          <w:sz w:val="22"/>
          <w:szCs w:val="22"/>
          <w:lang w:val="en-GB"/>
        </w:rPr>
        <w:t>£8,000</w:t>
      </w:r>
      <w:r>
        <w:rPr>
          <w:rFonts w:ascii="Arial" w:hAnsi="Arial" w:cs="Arial"/>
          <w:sz w:val="22"/>
          <w:szCs w:val="22"/>
          <w:lang w:val="en-GB"/>
        </w:rPr>
        <w:t>, the Company put B&amp;L in a better position than they would be had they claimed as an ordinary unsecured creditor in the liquidation.</w:t>
      </w:r>
    </w:p>
    <w:p w14:paraId="4639A2A7" w14:textId="3D55D61F" w:rsidR="00265061" w:rsidRDefault="00265061" w:rsidP="00CB3E2E">
      <w:pPr>
        <w:pStyle w:val="ListParagraph"/>
        <w:numPr>
          <w:ilvl w:val="0"/>
          <w:numId w:val="26"/>
        </w:num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Given the facts, it would be difficult to prove that the Company had the intention to give B&amp;L preference.  In the case of </w:t>
      </w:r>
      <w:r w:rsidRPr="00265061">
        <w:rPr>
          <w:rFonts w:ascii="Arial" w:hAnsi="Arial" w:cs="Arial"/>
          <w:i/>
          <w:iCs/>
          <w:sz w:val="22"/>
          <w:szCs w:val="22"/>
          <w:lang w:val="en-GB"/>
        </w:rPr>
        <w:t>Re MC Bacon Ltd</w:t>
      </w:r>
      <w:r>
        <w:rPr>
          <w:rFonts w:ascii="Arial" w:hAnsi="Arial" w:cs="Arial"/>
          <w:i/>
          <w:iCs/>
          <w:sz w:val="22"/>
          <w:szCs w:val="22"/>
          <w:lang w:val="en-GB"/>
        </w:rPr>
        <w:t xml:space="preserve">, </w:t>
      </w:r>
      <w:r>
        <w:rPr>
          <w:rFonts w:ascii="Arial" w:hAnsi="Arial" w:cs="Arial"/>
          <w:sz w:val="22"/>
          <w:szCs w:val="22"/>
          <w:lang w:val="en-GB"/>
        </w:rPr>
        <w:t xml:space="preserve">the judge found that where </w:t>
      </w:r>
      <w:r w:rsidR="00291BE9">
        <w:rPr>
          <w:rFonts w:ascii="Arial" w:hAnsi="Arial" w:cs="Arial"/>
          <w:sz w:val="22"/>
          <w:szCs w:val="22"/>
          <w:lang w:val="en-GB"/>
        </w:rPr>
        <w:t xml:space="preserve">a </w:t>
      </w:r>
      <w:r>
        <w:rPr>
          <w:rFonts w:ascii="Arial" w:hAnsi="Arial" w:cs="Arial"/>
          <w:sz w:val="22"/>
          <w:szCs w:val="22"/>
          <w:lang w:val="en-GB"/>
        </w:rPr>
        <w:t xml:space="preserve">company </w:t>
      </w:r>
      <w:r w:rsidR="00291BE9">
        <w:rPr>
          <w:rFonts w:ascii="Arial" w:hAnsi="Arial" w:cs="Arial"/>
          <w:sz w:val="22"/>
          <w:szCs w:val="22"/>
          <w:lang w:val="en-GB"/>
        </w:rPr>
        <w:t xml:space="preserve">is </w:t>
      </w:r>
      <w:r>
        <w:rPr>
          <w:rFonts w:ascii="Arial" w:hAnsi="Arial" w:cs="Arial"/>
          <w:sz w:val="22"/>
          <w:szCs w:val="22"/>
          <w:lang w:val="en-GB"/>
        </w:rPr>
        <w:t xml:space="preserve">entirely dependent on the creditor (a bank in the subject case), for continued trading and to prevent going into liquidation; </w:t>
      </w:r>
      <w:r w:rsidR="00291BE9">
        <w:rPr>
          <w:rFonts w:ascii="Arial" w:hAnsi="Arial" w:cs="Arial"/>
          <w:sz w:val="22"/>
          <w:szCs w:val="22"/>
          <w:lang w:val="en-GB"/>
        </w:rPr>
        <w:t>a company would be motivated not by a desire to prefer the creditor but a desire to continue trading.  B&amp;L was a key supplier of the Company and threatened to cease supply if their debt was not paid.  Accordingly, the payment made by the Company was influenced by commercial considerations and an attempt to ensure that the Company continued trading.  It could therefore be concluded that there is no desire to prefer.</w:t>
      </w:r>
    </w:p>
    <w:p w14:paraId="0CA9C4E8" w14:textId="1EAFC573" w:rsidR="00291BE9" w:rsidRPr="00CB3E2E" w:rsidRDefault="00291BE9" w:rsidP="00CB3E2E">
      <w:pPr>
        <w:pStyle w:val="ListParagraph"/>
        <w:numPr>
          <w:ilvl w:val="0"/>
          <w:numId w:val="26"/>
        </w:numPr>
        <w:autoSpaceDE w:val="0"/>
        <w:autoSpaceDN w:val="0"/>
        <w:adjustRightInd w:val="0"/>
        <w:jc w:val="both"/>
        <w:rPr>
          <w:rFonts w:ascii="Arial" w:hAnsi="Arial" w:cs="Arial"/>
          <w:sz w:val="22"/>
          <w:szCs w:val="22"/>
          <w:lang w:val="en-GB"/>
        </w:rPr>
      </w:pPr>
      <w:r>
        <w:rPr>
          <w:rFonts w:ascii="Arial" w:hAnsi="Arial" w:cs="Arial"/>
          <w:sz w:val="22"/>
          <w:szCs w:val="22"/>
          <w:lang w:val="en-GB"/>
        </w:rPr>
        <w:t>The time period for a preference is discussed above.</w:t>
      </w:r>
    </w:p>
    <w:p w14:paraId="0D2DC34F" w14:textId="21043755" w:rsidR="00B04033" w:rsidRDefault="00B04033" w:rsidP="00087F21">
      <w:pPr>
        <w:autoSpaceDE w:val="0"/>
        <w:autoSpaceDN w:val="0"/>
        <w:adjustRightInd w:val="0"/>
        <w:jc w:val="both"/>
        <w:rPr>
          <w:rFonts w:ascii="Arial" w:hAnsi="Arial" w:cs="Arial"/>
          <w:sz w:val="22"/>
          <w:szCs w:val="22"/>
          <w:lang w:val="en-GB"/>
        </w:rPr>
      </w:pPr>
    </w:p>
    <w:p w14:paraId="39CB8A13" w14:textId="686137EA" w:rsidR="00291BE9" w:rsidRDefault="00291BE9"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Given the facts of the case, it would be difficult for the liquidator to pursue a preference claim pursuant to section 239 of the Act.</w:t>
      </w:r>
    </w:p>
    <w:p w14:paraId="66117E47" w14:textId="77777777" w:rsidR="00291BE9" w:rsidRDefault="00291BE9" w:rsidP="00087F21">
      <w:pPr>
        <w:autoSpaceDE w:val="0"/>
        <w:autoSpaceDN w:val="0"/>
        <w:adjustRightInd w:val="0"/>
        <w:jc w:val="both"/>
        <w:rPr>
          <w:rFonts w:ascii="Arial" w:hAnsi="Arial" w:cs="Arial"/>
          <w:sz w:val="22"/>
          <w:szCs w:val="22"/>
          <w:lang w:val="en-GB"/>
        </w:rPr>
      </w:pPr>
    </w:p>
    <w:bookmarkEnd w:id="0"/>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default" r:id="rId9"/>
      <w:footerReference w:type="even" r:id="rId10"/>
      <w:footerReference w:type="default" r:id="rId11"/>
      <w:headerReference w:type="firs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81634" w14:textId="77777777" w:rsidR="00206507" w:rsidRDefault="00206507" w:rsidP="00241B44">
      <w:r>
        <w:separator/>
      </w:r>
    </w:p>
  </w:endnote>
  <w:endnote w:type="continuationSeparator" w:id="0">
    <w:p w14:paraId="0847B19C" w14:textId="77777777" w:rsidR="00206507" w:rsidRDefault="0020650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60436833"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82788">
          <w:rPr>
            <w:rStyle w:val="PageNumber"/>
            <w:rFonts w:ascii="Arial" w:hAnsi="Arial" w:cs="Arial"/>
            <w:b/>
            <w:bCs/>
            <w:noProof/>
            <w:sz w:val="18"/>
            <w:szCs w:val="18"/>
          </w:rPr>
          <w:t>5</w:t>
        </w:r>
        <w:r w:rsidRPr="0010593A">
          <w:rPr>
            <w:rStyle w:val="PageNumber"/>
            <w:rFonts w:ascii="Arial" w:hAnsi="Arial" w:cs="Arial"/>
            <w:b/>
            <w:bCs/>
            <w:sz w:val="18"/>
            <w:szCs w:val="18"/>
          </w:rPr>
          <w:fldChar w:fldCharType="end"/>
        </w:r>
      </w:p>
    </w:sdtContent>
  </w:sdt>
  <w:p w14:paraId="30F05E79" w14:textId="6A93CA33"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AE5B6F">
      <w:rPr>
        <w:rFonts w:ascii="Arial" w:hAnsi="Arial" w:cs="Arial"/>
        <w:sz w:val="18"/>
        <w:szCs w:val="18"/>
        <w:lang w:val="en-GB"/>
      </w:rPr>
      <w:t>ID</w:t>
    </w:r>
    <w:r w:rsidRPr="009B4976">
      <w:rPr>
        <w:rFonts w:ascii="Arial" w:hAnsi="Arial" w:cs="Arial"/>
        <w:sz w:val="18"/>
        <w:szCs w:val="18"/>
        <w:lang w:val="en-GB"/>
      </w:rPr>
      <w:t>.assessment</w:t>
    </w:r>
    <w:r w:rsidR="00610AC7">
      <w:rPr>
        <w:rFonts w:ascii="Arial" w:hAnsi="Arial" w:cs="Arial"/>
        <w:sz w:val="18"/>
        <w:szCs w:val="18"/>
        <w:lang w:val="en-GB"/>
      </w:rPr>
      <w:t>3</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8B036" w14:textId="77777777" w:rsidR="00206507" w:rsidRDefault="00206507" w:rsidP="00241B44">
      <w:r>
        <w:separator/>
      </w:r>
    </w:p>
  </w:footnote>
  <w:footnote w:type="continuationSeparator" w:id="0">
    <w:p w14:paraId="25ACE45E" w14:textId="77777777" w:rsidR="00206507" w:rsidRDefault="00206507"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71610" w14:textId="7DAAF84A" w:rsidR="0037748F" w:rsidRDefault="0037748F">
    <w:pPr>
      <w:pStyle w:val="Header"/>
    </w:pPr>
    <w:r>
      <w:rPr>
        <w:noProof/>
      </w:rPr>
      <mc:AlternateContent>
        <mc:Choice Requires="wps">
          <w:drawing>
            <wp:anchor distT="0" distB="0" distL="114300" distR="114300" simplePos="0" relativeHeight="251659264" behindDoc="0" locked="0" layoutInCell="0" allowOverlap="1" wp14:anchorId="23043AC7" wp14:editId="39447CA6">
              <wp:simplePos x="0" y="0"/>
              <wp:positionH relativeFrom="page">
                <wp:posOffset>0</wp:posOffset>
              </wp:positionH>
              <wp:positionV relativeFrom="page">
                <wp:posOffset>190500</wp:posOffset>
              </wp:positionV>
              <wp:extent cx="7560310" cy="252095"/>
              <wp:effectExtent l="0" t="0" r="0" b="14605"/>
              <wp:wrapNone/>
              <wp:docPr id="1" name="MSIPCM40bc41d0b6dde74d19c71f48" descr="{&quot;HashCode&quot;:-205863894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C5E72A" w14:textId="5AE7AFE6" w:rsidR="0037748F" w:rsidRPr="0037748F" w:rsidRDefault="0037748F" w:rsidP="0037748F">
                          <w:pPr>
                            <w:jc w:val="right"/>
                            <w:rPr>
                              <w:rFonts w:ascii="Arial" w:hAnsi="Arial" w:cs="Arial"/>
                              <w:color w:val="000000"/>
                              <w:sz w:val="16"/>
                            </w:rPr>
                          </w:pPr>
                          <w:r w:rsidRPr="0037748F">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3043AC7" id="_x0000_t202" coordsize="21600,21600" o:spt="202" path="m,l,21600r21600,l21600,xe">
              <v:stroke joinstyle="miter"/>
              <v:path gradientshapeok="t" o:connecttype="rect"/>
            </v:shapetype>
            <v:shape id="MSIPCM40bc41d0b6dde74d19c71f48" o:spid="_x0000_s1026" type="#_x0000_t202" alt="{&quot;HashCode&quot;:-2058638944,&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Dw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" o:allowincell="f" filled="f" stroked="f" strokeweight=".5pt">
              <v:textbox inset=",0,20pt,0">
                <w:txbxContent>
                  <w:p w14:paraId="70C5E72A" w14:textId="5AE7AFE6" w:rsidR="0037748F" w:rsidRPr="0037748F" w:rsidRDefault="0037748F" w:rsidP="0037748F">
                    <w:pPr>
                      <w:jc w:val="right"/>
                      <w:rPr>
                        <w:rFonts w:ascii="Arial" w:hAnsi="Arial" w:cs="Arial"/>
                        <w:color w:val="000000"/>
                        <w:sz w:val="16"/>
                      </w:rPr>
                    </w:pPr>
                    <w:r w:rsidRPr="0037748F">
                      <w:rPr>
                        <w:rFonts w:ascii="Arial" w:hAnsi="Arial" w:cs="Arial"/>
                        <w:color w:val="000000"/>
                        <w:sz w:val="16"/>
                      </w:rPr>
                      <w:t>Commercial in 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443AA" w14:textId="1CAE5FDD" w:rsidR="0037748F" w:rsidRDefault="0037748F">
    <w:pPr>
      <w:pStyle w:val="Header"/>
    </w:pPr>
    <w:r>
      <w:rPr>
        <w:noProof/>
      </w:rPr>
      <mc:AlternateContent>
        <mc:Choice Requires="wps">
          <w:drawing>
            <wp:anchor distT="0" distB="0" distL="114300" distR="114300" simplePos="0" relativeHeight="251660288" behindDoc="0" locked="0" layoutInCell="0" allowOverlap="1" wp14:anchorId="68A06D69" wp14:editId="5B5EB379">
              <wp:simplePos x="0" y="0"/>
              <wp:positionH relativeFrom="page">
                <wp:posOffset>0</wp:posOffset>
              </wp:positionH>
              <wp:positionV relativeFrom="page">
                <wp:posOffset>190500</wp:posOffset>
              </wp:positionV>
              <wp:extent cx="7560310" cy="252095"/>
              <wp:effectExtent l="0" t="0" r="0" b="14605"/>
              <wp:wrapNone/>
              <wp:docPr id="2" name="MSIPCM861748a0884a9b7258c316ee" descr="{&quot;HashCode&quot;:-205863894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534E44" w14:textId="26BFE4C3" w:rsidR="0037748F" w:rsidRPr="0037748F" w:rsidRDefault="0037748F" w:rsidP="0037748F">
                          <w:pPr>
                            <w:jc w:val="right"/>
                            <w:rPr>
                              <w:rFonts w:ascii="Arial" w:hAnsi="Arial" w:cs="Arial"/>
                              <w:color w:val="000000"/>
                              <w:sz w:val="16"/>
                            </w:rPr>
                          </w:pPr>
                          <w:r w:rsidRPr="0037748F">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8A06D69" id="_x0000_t202" coordsize="21600,21600" o:spt="202" path="m,l,21600r21600,l21600,xe">
              <v:stroke joinstyle="miter"/>
              <v:path gradientshapeok="t" o:connecttype="rect"/>
            </v:shapetype>
            <v:shape id="MSIPCM861748a0884a9b7258c316ee" o:spid="_x0000_s1027" type="#_x0000_t202" alt="{&quot;HashCode&quot;:-2058638944,&quot;Height&quot;:841.0,&quot;Width&quot;:595.0,&quot;Placement&quot;:&quot;Header&quot;,&quot;Index&quot;:&quot;FirstPage&quot;,&quot;Section&quot;:1,&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" o:allowincell="f" filled="f" stroked="f" strokeweight=".5pt">
              <v:textbox inset=",0,20pt,0">
                <w:txbxContent>
                  <w:p w14:paraId="61534E44" w14:textId="26BFE4C3" w:rsidR="0037748F" w:rsidRPr="0037748F" w:rsidRDefault="0037748F" w:rsidP="0037748F">
                    <w:pPr>
                      <w:jc w:val="right"/>
                      <w:rPr>
                        <w:rFonts w:ascii="Arial" w:hAnsi="Arial" w:cs="Arial"/>
                        <w:color w:val="000000"/>
                        <w:sz w:val="16"/>
                      </w:rPr>
                    </w:pPr>
                    <w:r w:rsidRPr="0037748F">
                      <w:rPr>
                        <w:rFonts w:ascii="Arial" w:hAnsi="Arial" w:cs="Arial"/>
                        <w:color w:val="000000"/>
                        <w:sz w:val="16"/>
                      </w:rPr>
                      <w:t>Commercial in 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753C02"/>
    <w:multiLevelType w:val="hybridMultilevel"/>
    <w:tmpl w:val="68784BE8"/>
    <w:lvl w:ilvl="0" w:tplc="A92A5F16">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304ED"/>
    <w:multiLevelType w:val="hybridMultilevel"/>
    <w:tmpl w:val="89702918"/>
    <w:lvl w:ilvl="0" w:tplc="38DCA0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A8621A"/>
    <w:multiLevelType w:val="hybridMultilevel"/>
    <w:tmpl w:val="497A24DC"/>
    <w:lvl w:ilvl="0" w:tplc="E9C494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485440"/>
    <w:multiLevelType w:val="hybridMultilevel"/>
    <w:tmpl w:val="924C0606"/>
    <w:lvl w:ilvl="0" w:tplc="A3009F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693C84"/>
    <w:multiLevelType w:val="hybridMultilevel"/>
    <w:tmpl w:val="B34CECA0"/>
    <w:lvl w:ilvl="0" w:tplc="0278EE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BF28E6"/>
    <w:multiLevelType w:val="hybridMultilevel"/>
    <w:tmpl w:val="3CC238B4"/>
    <w:lvl w:ilvl="0" w:tplc="5F641A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547B4D"/>
    <w:multiLevelType w:val="hybridMultilevel"/>
    <w:tmpl w:val="9B98AE42"/>
    <w:lvl w:ilvl="0" w:tplc="166472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383DA5"/>
    <w:multiLevelType w:val="hybridMultilevel"/>
    <w:tmpl w:val="85824D8A"/>
    <w:lvl w:ilvl="0" w:tplc="5EEE25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F42CC3"/>
    <w:multiLevelType w:val="hybridMultilevel"/>
    <w:tmpl w:val="F1FE5650"/>
    <w:lvl w:ilvl="0" w:tplc="B38A2A1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22"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2730699">
    <w:abstractNumId w:val="6"/>
  </w:num>
  <w:num w:numId="2" w16cid:durableId="1939604546">
    <w:abstractNumId w:val="1"/>
  </w:num>
  <w:num w:numId="3" w16cid:durableId="1697268940">
    <w:abstractNumId w:val="0"/>
  </w:num>
  <w:num w:numId="4" w16cid:durableId="1783111732">
    <w:abstractNumId w:val="15"/>
  </w:num>
  <w:num w:numId="5" w16cid:durableId="1491865489">
    <w:abstractNumId w:val="19"/>
  </w:num>
  <w:num w:numId="6" w16cid:durableId="1239511792">
    <w:abstractNumId w:val="2"/>
  </w:num>
  <w:num w:numId="7" w16cid:durableId="1713001279">
    <w:abstractNumId w:val="20"/>
  </w:num>
  <w:num w:numId="8" w16cid:durableId="1106074712">
    <w:abstractNumId w:val="24"/>
  </w:num>
  <w:num w:numId="9" w16cid:durableId="1902642428">
    <w:abstractNumId w:val="17"/>
  </w:num>
  <w:num w:numId="10" w16cid:durableId="626395726">
    <w:abstractNumId w:val="25"/>
  </w:num>
  <w:num w:numId="11" w16cid:durableId="1875531045">
    <w:abstractNumId w:val="10"/>
  </w:num>
  <w:num w:numId="12" w16cid:durableId="1185361217">
    <w:abstractNumId w:val="22"/>
  </w:num>
  <w:num w:numId="13" w16cid:durableId="78404047">
    <w:abstractNumId w:val="18"/>
  </w:num>
  <w:num w:numId="14" w16cid:durableId="299001167">
    <w:abstractNumId w:val="8"/>
  </w:num>
  <w:num w:numId="15" w16cid:durableId="709111368">
    <w:abstractNumId w:val="21"/>
  </w:num>
  <w:num w:numId="16" w16cid:durableId="1342590394">
    <w:abstractNumId w:val="23"/>
  </w:num>
  <w:num w:numId="17" w16cid:durableId="1003513358">
    <w:abstractNumId w:val="11"/>
  </w:num>
  <w:num w:numId="18" w16cid:durableId="1055155088">
    <w:abstractNumId w:val="3"/>
  </w:num>
  <w:num w:numId="19" w16cid:durableId="1125461831">
    <w:abstractNumId w:val="5"/>
  </w:num>
  <w:num w:numId="20" w16cid:durableId="415371365">
    <w:abstractNumId w:val="14"/>
  </w:num>
  <w:num w:numId="21" w16cid:durableId="316961201">
    <w:abstractNumId w:val="16"/>
  </w:num>
  <w:num w:numId="22" w16cid:durableId="1811090729">
    <w:abstractNumId w:val="9"/>
  </w:num>
  <w:num w:numId="23" w16cid:durableId="1554072934">
    <w:abstractNumId w:val="13"/>
  </w:num>
  <w:num w:numId="24" w16cid:durableId="522789144">
    <w:abstractNumId w:val="7"/>
  </w:num>
  <w:num w:numId="25" w16cid:durableId="2145156218">
    <w:abstractNumId w:val="4"/>
  </w:num>
  <w:num w:numId="26" w16cid:durableId="599065087">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0A"/>
    <w:rsid w:val="00010BA0"/>
    <w:rsid w:val="00011D26"/>
    <w:rsid w:val="00020557"/>
    <w:rsid w:val="00021FC2"/>
    <w:rsid w:val="000250C7"/>
    <w:rsid w:val="00026F16"/>
    <w:rsid w:val="00037621"/>
    <w:rsid w:val="00044D46"/>
    <w:rsid w:val="00045088"/>
    <w:rsid w:val="00045904"/>
    <w:rsid w:val="000502FD"/>
    <w:rsid w:val="00052408"/>
    <w:rsid w:val="00065166"/>
    <w:rsid w:val="00072EE9"/>
    <w:rsid w:val="00082609"/>
    <w:rsid w:val="000851CC"/>
    <w:rsid w:val="00087F21"/>
    <w:rsid w:val="000929D8"/>
    <w:rsid w:val="00092D89"/>
    <w:rsid w:val="00093BE8"/>
    <w:rsid w:val="00096C28"/>
    <w:rsid w:val="000A407B"/>
    <w:rsid w:val="000A5CFC"/>
    <w:rsid w:val="000A68ED"/>
    <w:rsid w:val="000B5FF1"/>
    <w:rsid w:val="000B609F"/>
    <w:rsid w:val="000D10C6"/>
    <w:rsid w:val="000D55A8"/>
    <w:rsid w:val="000E3DE6"/>
    <w:rsid w:val="000E4841"/>
    <w:rsid w:val="000E7ADB"/>
    <w:rsid w:val="000F1677"/>
    <w:rsid w:val="000F3D6C"/>
    <w:rsid w:val="00101707"/>
    <w:rsid w:val="00102CC9"/>
    <w:rsid w:val="0010593A"/>
    <w:rsid w:val="0011473D"/>
    <w:rsid w:val="00115C85"/>
    <w:rsid w:val="00123855"/>
    <w:rsid w:val="00126A4D"/>
    <w:rsid w:val="00131DE0"/>
    <w:rsid w:val="001346E4"/>
    <w:rsid w:val="00136F61"/>
    <w:rsid w:val="0014171F"/>
    <w:rsid w:val="00145F6B"/>
    <w:rsid w:val="0014622C"/>
    <w:rsid w:val="00152348"/>
    <w:rsid w:val="0015456D"/>
    <w:rsid w:val="00155FA2"/>
    <w:rsid w:val="00156086"/>
    <w:rsid w:val="00161F1B"/>
    <w:rsid w:val="00162829"/>
    <w:rsid w:val="00162CFB"/>
    <w:rsid w:val="00180548"/>
    <w:rsid w:val="00180AC4"/>
    <w:rsid w:val="00180CCE"/>
    <w:rsid w:val="0018267A"/>
    <w:rsid w:val="00182779"/>
    <w:rsid w:val="00182788"/>
    <w:rsid w:val="001830DF"/>
    <w:rsid w:val="00191592"/>
    <w:rsid w:val="001966D9"/>
    <w:rsid w:val="001A007A"/>
    <w:rsid w:val="001A7E9A"/>
    <w:rsid w:val="001B0F70"/>
    <w:rsid w:val="001B5016"/>
    <w:rsid w:val="001C45FC"/>
    <w:rsid w:val="001D0469"/>
    <w:rsid w:val="001D29C0"/>
    <w:rsid w:val="001D4862"/>
    <w:rsid w:val="001E25B9"/>
    <w:rsid w:val="001E49E0"/>
    <w:rsid w:val="001E7B5A"/>
    <w:rsid w:val="001F7412"/>
    <w:rsid w:val="0020090A"/>
    <w:rsid w:val="0020111E"/>
    <w:rsid w:val="0020204E"/>
    <w:rsid w:val="00202DFE"/>
    <w:rsid w:val="00206507"/>
    <w:rsid w:val="0020725B"/>
    <w:rsid w:val="002110F1"/>
    <w:rsid w:val="00230E2B"/>
    <w:rsid w:val="002356EA"/>
    <w:rsid w:val="0024116D"/>
    <w:rsid w:val="00241B44"/>
    <w:rsid w:val="00241FA3"/>
    <w:rsid w:val="002441AF"/>
    <w:rsid w:val="0024438A"/>
    <w:rsid w:val="00245EFB"/>
    <w:rsid w:val="002532FC"/>
    <w:rsid w:val="0025386E"/>
    <w:rsid w:val="002563FF"/>
    <w:rsid w:val="002616D8"/>
    <w:rsid w:val="002638B0"/>
    <w:rsid w:val="00265061"/>
    <w:rsid w:val="0026647A"/>
    <w:rsid w:val="002668D3"/>
    <w:rsid w:val="0027188D"/>
    <w:rsid w:val="0027299F"/>
    <w:rsid w:val="00284EBE"/>
    <w:rsid w:val="002903A7"/>
    <w:rsid w:val="00291BE9"/>
    <w:rsid w:val="0029433F"/>
    <w:rsid w:val="00294829"/>
    <w:rsid w:val="0029690F"/>
    <w:rsid w:val="00297C8A"/>
    <w:rsid w:val="002A2A60"/>
    <w:rsid w:val="002A37BB"/>
    <w:rsid w:val="002B1C45"/>
    <w:rsid w:val="002C13C8"/>
    <w:rsid w:val="002C3547"/>
    <w:rsid w:val="002C46CB"/>
    <w:rsid w:val="002D0021"/>
    <w:rsid w:val="002D299D"/>
    <w:rsid w:val="002D3473"/>
    <w:rsid w:val="002E0614"/>
    <w:rsid w:val="002E5652"/>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417"/>
    <w:rsid w:val="0036565C"/>
    <w:rsid w:val="0036625E"/>
    <w:rsid w:val="0037465A"/>
    <w:rsid w:val="0037748F"/>
    <w:rsid w:val="00382C98"/>
    <w:rsid w:val="0038533C"/>
    <w:rsid w:val="00386568"/>
    <w:rsid w:val="00390B57"/>
    <w:rsid w:val="003948D5"/>
    <w:rsid w:val="00396821"/>
    <w:rsid w:val="00397D3A"/>
    <w:rsid w:val="003A051E"/>
    <w:rsid w:val="003A4482"/>
    <w:rsid w:val="003A684A"/>
    <w:rsid w:val="003A6EDA"/>
    <w:rsid w:val="003B170F"/>
    <w:rsid w:val="003B3C5F"/>
    <w:rsid w:val="003C3048"/>
    <w:rsid w:val="003C4471"/>
    <w:rsid w:val="003D0A6D"/>
    <w:rsid w:val="003D2846"/>
    <w:rsid w:val="003E0B16"/>
    <w:rsid w:val="003E67D1"/>
    <w:rsid w:val="00404329"/>
    <w:rsid w:val="00405DC1"/>
    <w:rsid w:val="00415F1F"/>
    <w:rsid w:val="0042108F"/>
    <w:rsid w:val="00430FED"/>
    <w:rsid w:val="00434A8C"/>
    <w:rsid w:val="00435114"/>
    <w:rsid w:val="00437297"/>
    <w:rsid w:val="00444284"/>
    <w:rsid w:val="00445CE6"/>
    <w:rsid w:val="004534C2"/>
    <w:rsid w:val="0045446F"/>
    <w:rsid w:val="0045683E"/>
    <w:rsid w:val="00461F95"/>
    <w:rsid w:val="00470E51"/>
    <w:rsid w:val="00474C2B"/>
    <w:rsid w:val="00477C72"/>
    <w:rsid w:val="00491675"/>
    <w:rsid w:val="00493855"/>
    <w:rsid w:val="00495E79"/>
    <w:rsid w:val="00497B5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177FE"/>
    <w:rsid w:val="0052263B"/>
    <w:rsid w:val="00524728"/>
    <w:rsid w:val="005331CA"/>
    <w:rsid w:val="00537970"/>
    <w:rsid w:val="00540E3A"/>
    <w:rsid w:val="00544127"/>
    <w:rsid w:val="00545D5B"/>
    <w:rsid w:val="005463A9"/>
    <w:rsid w:val="00546C0B"/>
    <w:rsid w:val="00553EB2"/>
    <w:rsid w:val="00560534"/>
    <w:rsid w:val="0056391B"/>
    <w:rsid w:val="005650E2"/>
    <w:rsid w:val="00567AD7"/>
    <w:rsid w:val="00575B2D"/>
    <w:rsid w:val="005833D0"/>
    <w:rsid w:val="005846F3"/>
    <w:rsid w:val="0058622F"/>
    <w:rsid w:val="00592F82"/>
    <w:rsid w:val="00594C6A"/>
    <w:rsid w:val="005A0CCA"/>
    <w:rsid w:val="005A1083"/>
    <w:rsid w:val="005A6FF2"/>
    <w:rsid w:val="005A726D"/>
    <w:rsid w:val="005B67AC"/>
    <w:rsid w:val="005B79F4"/>
    <w:rsid w:val="005D16DD"/>
    <w:rsid w:val="005D43E0"/>
    <w:rsid w:val="005D58A3"/>
    <w:rsid w:val="005E1B79"/>
    <w:rsid w:val="005E282A"/>
    <w:rsid w:val="005E41C7"/>
    <w:rsid w:val="005E6076"/>
    <w:rsid w:val="005E7008"/>
    <w:rsid w:val="005F026D"/>
    <w:rsid w:val="005F2AEA"/>
    <w:rsid w:val="005F2D0B"/>
    <w:rsid w:val="005F4B31"/>
    <w:rsid w:val="00610388"/>
    <w:rsid w:val="00610AC7"/>
    <w:rsid w:val="00612CA5"/>
    <w:rsid w:val="006153EC"/>
    <w:rsid w:val="00621A17"/>
    <w:rsid w:val="00627CC9"/>
    <w:rsid w:val="00627E7B"/>
    <w:rsid w:val="00630542"/>
    <w:rsid w:val="00632E44"/>
    <w:rsid w:val="00634622"/>
    <w:rsid w:val="00636808"/>
    <w:rsid w:val="00641515"/>
    <w:rsid w:val="006435CB"/>
    <w:rsid w:val="00652038"/>
    <w:rsid w:val="00654C2F"/>
    <w:rsid w:val="00657087"/>
    <w:rsid w:val="006624AB"/>
    <w:rsid w:val="006639DB"/>
    <w:rsid w:val="006661EF"/>
    <w:rsid w:val="006670DC"/>
    <w:rsid w:val="006724DD"/>
    <w:rsid w:val="00677AEB"/>
    <w:rsid w:val="00680EF2"/>
    <w:rsid w:val="00682B5F"/>
    <w:rsid w:val="00687A1D"/>
    <w:rsid w:val="00697EA1"/>
    <w:rsid w:val="006A2646"/>
    <w:rsid w:val="006A6530"/>
    <w:rsid w:val="006B435A"/>
    <w:rsid w:val="006B4C64"/>
    <w:rsid w:val="006C7C6A"/>
    <w:rsid w:val="006D282B"/>
    <w:rsid w:val="006D6BD5"/>
    <w:rsid w:val="006E481A"/>
    <w:rsid w:val="006E5298"/>
    <w:rsid w:val="006F4A78"/>
    <w:rsid w:val="006F734A"/>
    <w:rsid w:val="00700D83"/>
    <w:rsid w:val="00701A6B"/>
    <w:rsid w:val="00704852"/>
    <w:rsid w:val="0070524B"/>
    <w:rsid w:val="007074E9"/>
    <w:rsid w:val="00710D3F"/>
    <w:rsid w:val="00713DA4"/>
    <w:rsid w:val="00714BF1"/>
    <w:rsid w:val="00721383"/>
    <w:rsid w:val="0073158B"/>
    <w:rsid w:val="007318D4"/>
    <w:rsid w:val="007333CC"/>
    <w:rsid w:val="0073399A"/>
    <w:rsid w:val="00740DAD"/>
    <w:rsid w:val="00742AF3"/>
    <w:rsid w:val="007603F5"/>
    <w:rsid w:val="00763348"/>
    <w:rsid w:val="00764DB0"/>
    <w:rsid w:val="0076764D"/>
    <w:rsid w:val="0077498C"/>
    <w:rsid w:val="007809BC"/>
    <w:rsid w:val="00784128"/>
    <w:rsid w:val="00787BCC"/>
    <w:rsid w:val="00793173"/>
    <w:rsid w:val="007A044A"/>
    <w:rsid w:val="007A2A33"/>
    <w:rsid w:val="007A5171"/>
    <w:rsid w:val="007B5C89"/>
    <w:rsid w:val="007C155A"/>
    <w:rsid w:val="007C1FCC"/>
    <w:rsid w:val="007C6201"/>
    <w:rsid w:val="007D7C92"/>
    <w:rsid w:val="007E1154"/>
    <w:rsid w:val="007E2919"/>
    <w:rsid w:val="007E46A8"/>
    <w:rsid w:val="007E6BA4"/>
    <w:rsid w:val="007F41F8"/>
    <w:rsid w:val="007F659B"/>
    <w:rsid w:val="00802F2E"/>
    <w:rsid w:val="0080441E"/>
    <w:rsid w:val="0080454E"/>
    <w:rsid w:val="00804C32"/>
    <w:rsid w:val="00805C09"/>
    <w:rsid w:val="00806302"/>
    <w:rsid w:val="00807119"/>
    <w:rsid w:val="0082483F"/>
    <w:rsid w:val="008279C0"/>
    <w:rsid w:val="00865C92"/>
    <w:rsid w:val="00865CD0"/>
    <w:rsid w:val="00867701"/>
    <w:rsid w:val="008723F3"/>
    <w:rsid w:val="008769B2"/>
    <w:rsid w:val="00876F56"/>
    <w:rsid w:val="00880900"/>
    <w:rsid w:val="00881DE6"/>
    <w:rsid w:val="008837A6"/>
    <w:rsid w:val="00890CEC"/>
    <w:rsid w:val="0089145D"/>
    <w:rsid w:val="00891690"/>
    <w:rsid w:val="008A4DF2"/>
    <w:rsid w:val="008A6CFE"/>
    <w:rsid w:val="008B5333"/>
    <w:rsid w:val="008B6223"/>
    <w:rsid w:val="008B72B8"/>
    <w:rsid w:val="008C66E0"/>
    <w:rsid w:val="008D1616"/>
    <w:rsid w:val="008E3339"/>
    <w:rsid w:val="008F1E3B"/>
    <w:rsid w:val="008F20FC"/>
    <w:rsid w:val="008F5FFE"/>
    <w:rsid w:val="00905A43"/>
    <w:rsid w:val="00912C79"/>
    <w:rsid w:val="009207EA"/>
    <w:rsid w:val="00921AB4"/>
    <w:rsid w:val="00921B8C"/>
    <w:rsid w:val="00924DAF"/>
    <w:rsid w:val="00931D14"/>
    <w:rsid w:val="0094027D"/>
    <w:rsid w:val="00942123"/>
    <w:rsid w:val="009507ED"/>
    <w:rsid w:val="00951AA8"/>
    <w:rsid w:val="0095207B"/>
    <w:rsid w:val="00962045"/>
    <w:rsid w:val="00964B33"/>
    <w:rsid w:val="00980E61"/>
    <w:rsid w:val="00981393"/>
    <w:rsid w:val="00984FE8"/>
    <w:rsid w:val="00991428"/>
    <w:rsid w:val="00992676"/>
    <w:rsid w:val="00994BA4"/>
    <w:rsid w:val="009954B2"/>
    <w:rsid w:val="00996691"/>
    <w:rsid w:val="009A3AB7"/>
    <w:rsid w:val="009B0723"/>
    <w:rsid w:val="009B07AD"/>
    <w:rsid w:val="009B0883"/>
    <w:rsid w:val="009B15E2"/>
    <w:rsid w:val="009B4976"/>
    <w:rsid w:val="009C0B8E"/>
    <w:rsid w:val="009C1BC8"/>
    <w:rsid w:val="009C2442"/>
    <w:rsid w:val="009D0811"/>
    <w:rsid w:val="009D0EE1"/>
    <w:rsid w:val="009E28DC"/>
    <w:rsid w:val="009E2AEB"/>
    <w:rsid w:val="009E2E27"/>
    <w:rsid w:val="009E32D3"/>
    <w:rsid w:val="009E45DF"/>
    <w:rsid w:val="009E4DE3"/>
    <w:rsid w:val="009F15D9"/>
    <w:rsid w:val="009F275E"/>
    <w:rsid w:val="00A047EE"/>
    <w:rsid w:val="00A2274A"/>
    <w:rsid w:val="00A235B7"/>
    <w:rsid w:val="00A27A7A"/>
    <w:rsid w:val="00A301F4"/>
    <w:rsid w:val="00A34ABE"/>
    <w:rsid w:val="00A407EF"/>
    <w:rsid w:val="00A46B4C"/>
    <w:rsid w:val="00A5117B"/>
    <w:rsid w:val="00A56D34"/>
    <w:rsid w:val="00A60074"/>
    <w:rsid w:val="00A6627C"/>
    <w:rsid w:val="00A71019"/>
    <w:rsid w:val="00A81029"/>
    <w:rsid w:val="00A845F5"/>
    <w:rsid w:val="00A96489"/>
    <w:rsid w:val="00AB2425"/>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44713"/>
    <w:rsid w:val="00B51B95"/>
    <w:rsid w:val="00B56103"/>
    <w:rsid w:val="00B6441A"/>
    <w:rsid w:val="00B64929"/>
    <w:rsid w:val="00B736DF"/>
    <w:rsid w:val="00B743D6"/>
    <w:rsid w:val="00B74FBD"/>
    <w:rsid w:val="00B77F46"/>
    <w:rsid w:val="00B82586"/>
    <w:rsid w:val="00B829A3"/>
    <w:rsid w:val="00B86DB1"/>
    <w:rsid w:val="00B87869"/>
    <w:rsid w:val="00B9639B"/>
    <w:rsid w:val="00BA1CFD"/>
    <w:rsid w:val="00BB0F2B"/>
    <w:rsid w:val="00BE4FF3"/>
    <w:rsid w:val="00BF2C93"/>
    <w:rsid w:val="00BF50F7"/>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3C55"/>
    <w:rsid w:val="00C7736C"/>
    <w:rsid w:val="00C82D87"/>
    <w:rsid w:val="00C84862"/>
    <w:rsid w:val="00C8712A"/>
    <w:rsid w:val="00C902C8"/>
    <w:rsid w:val="00C91062"/>
    <w:rsid w:val="00C919D1"/>
    <w:rsid w:val="00C963D3"/>
    <w:rsid w:val="00CB1983"/>
    <w:rsid w:val="00CB2CBB"/>
    <w:rsid w:val="00CB3E2E"/>
    <w:rsid w:val="00CB7CAC"/>
    <w:rsid w:val="00CC5335"/>
    <w:rsid w:val="00CC5BA4"/>
    <w:rsid w:val="00CD4998"/>
    <w:rsid w:val="00CE1035"/>
    <w:rsid w:val="00CE6E50"/>
    <w:rsid w:val="00CF2819"/>
    <w:rsid w:val="00CF4E15"/>
    <w:rsid w:val="00CF4F9D"/>
    <w:rsid w:val="00CF70DC"/>
    <w:rsid w:val="00D148DC"/>
    <w:rsid w:val="00D17FDC"/>
    <w:rsid w:val="00D21D8C"/>
    <w:rsid w:val="00D3166F"/>
    <w:rsid w:val="00D53719"/>
    <w:rsid w:val="00D565E1"/>
    <w:rsid w:val="00D63EFD"/>
    <w:rsid w:val="00D84752"/>
    <w:rsid w:val="00D86B3B"/>
    <w:rsid w:val="00D8748A"/>
    <w:rsid w:val="00D93196"/>
    <w:rsid w:val="00DA0DC0"/>
    <w:rsid w:val="00DA6F1E"/>
    <w:rsid w:val="00DB243C"/>
    <w:rsid w:val="00DB482A"/>
    <w:rsid w:val="00DB50FB"/>
    <w:rsid w:val="00DB56F2"/>
    <w:rsid w:val="00DB6EF5"/>
    <w:rsid w:val="00DC3089"/>
    <w:rsid w:val="00DC4420"/>
    <w:rsid w:val="00DD0802"/>
    <w:rsid w:val="00DD119F"/>
    <w:rsid w:val="00DD2E11"/>
    <w:rsid w:val="00DE03AF"/>
    <w:rsid w:val="00DE121C"/>
    <w:rsid w:val="00DE6633"/>
    <w:rsid w:val="00DF75F8"/>
    <w:rsid w:val="00DF7A3A"/>
    <w:rsid w:val="00E00C00"/>
    <w:rsid w:val="00E07C5A"/>
    <w:rsid w:val="00E15BA9"/>
    <w:rsid w:val="00E2252F"/>
    <w:rsid w:val="00E26E19"/>
    <w:rsid w:val="00E31DF3"/>
    <w:rsid w:val="00E42061"/>
    <w:rsid w:val="00E443D7"/>
    <w:rsid w:val="00E450A4"/>
    <w:rsid w:val="00E506BE"/>
    <w:rsid w:val="00E52487"/>
    <w:rsid w:val="00E55547"/>
    <w:rsid w:val="00E61314"/>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5B00"/>
    <w:rsid w:val="00EB146B"/>
    <w:rsid w:val="00EB45AC"/>
    <w:rsid w:val="00EB60DE"/>
    <w:rsid w:val="00EC441F"/>
    <w:rsid w:val="00EC4755"/>
    <w:rsid w:val="00ED0BC4"/>
    <w:rsid w:val="00ED289C"/>
    <w:rsid w:val="00ED447D"/>
    <w:rsid w:val="00EE4971"/>
    <w:rsid w:val="00EE6CB0"/>
    <w:rsid w:val="00EF090E"/>
    <w:rsid w:val="00EF5572"/>
    <w:rsid w:val="00EF6258"/>
    <w:rsid w:val="00F01D7D"/>
    <w:rsid w:val="00F033DA"/>
    <w:rsid w:val="00F13691"/>
    <w:rsid w:val="00F13FB1"/>
    <w:rsid w:val="00F20609"/>
    <w:rsid w:val="00F27CD8"/>
    <w:rsid w:val="00F30351"/>
    <w:rsid w:val="00F3323E"/>
    <w:rsid w:val="00F341F4"/>
    <w:rsid w:val="00F34F9D"/>
    <w:rsid w:val="00F35CCE"/>
    <w:rsid w:val="00F5524B"/>
    <w:rsid w:val="00F60538"/>
    <w:rsid w:val="00F61DD2"/>
    <w:rsid w:val="00F621A6"/>
    <w:rsid w:val="00F62E7A"/>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09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90968-DA76-4437-8C52-131AEBC6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5210</TotalTime>
  <Pages>12</Pages>
  <Words>4520</Words>
  <Characters>22285</Characters>
  <Application>Microsoft Office Word</Application>
  <DocSecurity>0</DocSecurity>
  <Lines>619</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Bryce Doran</cp:lastModifiedBy>
  <cp:revision>53</cp:revision>
  <cp:lastPrinted>2019-08-27T05:42:00Z</cp:lastPrinted>
  <dcterms:created xsi:type="dcterms:W3CDTF">2021-08-17T11:41:00Z</dcterms:created>
  <dcterms:modified xsi:type="dcterms:W3CDTF">2022-07-30T17:18:00Z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5837b0-ed5a-4fd4-94ae-ef361c98d083_Enabled">
    <vt:lpwstr>true</vt:lpwstr>
  </property>
  <property fmtid="{D5CDD505-2E9C-101B-9397-08002B2CF9AE}" pid="3" name="MSIP_Label_785837b0-ed5a-4fd4-94ae-ef361c98d083_SetDate">
    <vt:lpwstr>2022-07-30T17:18:46Z</vt:lpwstr>
  </property>
  <property fmtid="{D5CDD505-2E9C-101B-9397-08002B2CF9AE}" pid="4" name="MSIP_Label_785837b0-ed5a-4fd4-94ae-ef361c98d083_Method">
    <vt:lpwstr>Standard</vt:lpwstr>
  </property>
  <property fmtid="{D5CDD505-2E9C-101B-9397-08002B2CF9AE}" pid="5" name="MSIP_Label_785837b0-ed5a-4fd4-94ae-ef361c98d083_Name">
    <vt:lpwstr>785837b0-ed5a-4fd4-94ae-ef361c98d083</vt:lpwstr>
  </property>
  <property fmtid="{D5CDD505-2E9C-101B-9397-08002B2CF9AE}" pid="6" name="MSIP_Label_785837b0-ed5a-4fd4-94ae-ef361c98d083_SiteId">
    <vt:lpwstr>b723253f-7281-4adc-bc1c-fc9ef3674d78</vt:lpwstr>
  </property>
  <property fmtid="{D5CDD505-2E9C-101B-9397-08002B2CF9AE}" pid="7" name="MSIP_Label_785837b0-ed5a-4fd4-94ae-ef361c98d083_ActionId">
    <vt:lpwstr>58932480-468c-4894-97ec-610a38b84918</vt:lpwstr>
  </property>
  <property fmtid="{D5CDD505-2E9C-101B-9397-08002B2CF9AE}" pid="8" name="MSIP_Label_785837b0-ed5a-4fd4-94ae-ef361c98d083_ContentBits">
    <vt:lpwstr>1</vt:lpwstr>
  </property>
</Properties>
</file>