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1467C5">
        <w:rPr>
          <w:rFonts w:ascii="Arial" w:hAnsi="Arial" w:cs="Arial"/>
          <w:color w:val="000000" w:themeColor="text1"/>
          <w:sz w:val="22"/>
          <w:szCs w:val="22"/>
          <w:highlight w:val="yellow"/>
          <w:lang w:val="en-GB"/>
        </w:rPr>
        <w:t>The current Bankruptcy Law</w:t>
      </w:r>
      <w:r w:rsidR="00230B9A" w:rsidRPr="001467C5">
        <w:rPr>
          <w:rFonts w:ascii="Arial" w:hAnsi="Arial" w:cs="Arial"/>
          <w:color w:val="000000" w:themeColor="text1"/>
          <w:sz w:val="22"/>
          <w:szCs w:val="22"/>
          <w:highlight w:val="yellow"/>
          <w:lang w:val="en-GB"/>
        </w:rPr>
        <w:t xml:space="preserve"> contains a section addressing cross-border bankruptcies.</w:t>
      </w:r>
      <w:r w:rsidR="00230B9A" w:rsidRPr="000C765D">
        <w:rPr>
          <w:rFonts w:ascii="Arial" w:hAnsi="Arial" w:cs="Arial"/>
          <w:color w:val="000000" w:themeColor="text1"/>
          <w:sz w:val="22"/>
          <w:szCs w:val="22"/>
          <w:lang w:val="en-GB"/>
        </w:rPr>
        <w:t xml:space="preserve">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is in charge of</w:t>
      </w:r>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Pr="00FB32D8"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FB32D8">
        <w:rPr>
          <w:rFonts w:ascii="Arial" w:hAnsi="Arial" w:cs="Arial"/>
          <w:color w:val="000000" w:themeColor="text1"/>
          <w:sz w:val="22"/>
          <w:szCs w:val="22"/>
          <w:highlight w:val="yellow"/>
          <w:lang w:val="en-GB"/>
        </w:rPr>
        <w:t>Labour disputes take place at a speciali</w:t>
      </w:r>
      <w:r w:rsidR="00AD2BEF" w:rsidRPr="00FB32D8">
        <w:rPr>
          <w:rFonts w:ascii="Arial" w:hAnsi="Arial" w:cs="Arial"/>
          <w:color w:val="000000" w:themeColor="text1"/>
          <w:sz w:val="22"/>
          <w:szCs w:val="22"/>
          <w:highlight w:val="yellow"/>
          <w:lang w:val="en-GB"/>
        </w:rPr>
        <w:t>s</w:t>
      </w:r>
      <w:r w:rsidRPr="00FB32D8">
        <w:rPr>
          <w:rFonts w:ascii="Arial" w:hAnsi="Arial" w:cs="Arial"/>
          <w:color w:val="000000" w:themeColor="text1"/>
          <w:sz w:val="22"/>
          <w:szCs w:val="22"/>
          <w:highlight w:val="yellow"/>
          <w:lang w:val="en-GB"/>
        </w:rPr>
        <w:t xml:space="preserve">ed segment of the </w:t>
      </w:r>
      <w:r w:rsidR="00AD2BEF" w:rsidRPr="00FB32D8">
        <w:rPr>
          <w:rFonts w:ascii="Arial" w:hAnsi="Arial" w:cs="Arial"/>
          <w:color w:val="000000" w:themeColor="text1"/>
          <w:sz w:val="22"/>
          <w:szCs w:val="22"/>
          <w:highlight w:val="yellow"/>
          <w:lang w:val="en-GB"/>
        </w:rPr>
        <w:t>j</w:t>
      </w:r>
      <w:r w:rsidRPr="00FB32D8">
        <w:rPr>
          <w:rFonts w:ascii="Arial" w:hAnsi="Arial" w:cs="Arial"/>
          <w:color w:val="000000" w:themeColor="text1"/>
          <w:sz w:val="22"/>
          <w:szCs w:val="22"/>
          <w:highlight w:val="yellow"/>
          <w:lang w:val="en-GB"/>
        </w:rPr>
        <w:t>udiciary, composed of labo</w:t>
      </w:r>
      <w:r w:rsidR="00FB6C02" w:rsidRPr="00FB32D8">
        <w:rPr>
          <w:rFonts w:ascii="Arial" w:hAnsi="Arial" w:cs="Arial"/>
          <w:color w:val="000000" w:themeColor="text1"/>
          <w:sz w:val="22"/>
          <w:szCs w:val="22"/>
          <w:highlight w:val="yellow"/>
          <w:lang w:val="en-GB"/>
        </w:rPr>
        <w:t>u</w:t>
      </w:r>
      <w:r w:rsidRPr="00FB32D8">
        <w:rPr>
          <w:rFonts w:ascii="Arial" w:hAnsi="Arial" w:cs="Arial"/>
          <w:color w:val="000000" w:themeColor="text1"/>
          <w:sz w:val="22"/>
          <w:szCs w:val="22"/>
          <w:highlight w:val="yellow"/>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Pr="00FB32D8"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FB32D8">
        <w:rPr>
          <w:rFonts w:ascii="Arial" w:hAnsi="Arial" w:cs="Arial"/>
          <w:color w:val="000000" w:themeColor="text1"/>
          <w:sz w:val="22"/>
          <w:szCs w:val="22"/>
          <w:highlight w:val="yellow"/>
          <w:lang w:val="en-GB"/>
        </w:rPr>
        <w:t xml:space="preserve">A pledge is a lien </w:t>
      </w:r>
      <w:r w:rsidR="00063CD7" w:rsidRPr="00FB32D8">
        <w:rPr>
          <w:rFonts w:ascii="Arial" w:hAnsi="Arial" w:cs="Arial"/>
          <w:color w:val="000000" w:themeColor="text1"/>
          <w:sz w:val="22"/>
          <w:szCs w:val="22"/>
          <w:highlight w:val="yellow"/>
          <w:lang w:val="en-GB"/>
        </w:rPr>
        <w:t xml:space="preserve">that may be constituted over both </w:t>
      </w:r>
      <w:r w:rsidRPr="00FB32D8">
        <w:rPr>
          <w:rFonts w:ascii="Arial" w:hAnsi="Arial" w:cs="Arial"/>
          <w:color w:val="000000" w:themeColor="text1"/>
          <w:sz w:val="22"/>
          <w:szCs w:val="22"/>
          <w:highlight w:val="yellow"/>
          <w:lang w:val="en-GB"/>
        </w:rPr>
        <w:t>movable</w:t>
      </w:r>
      <w:r w:rsidR="00063CD7" w:rsidRPr="00FB32D8">
        <w:rPr>
          <w:rFonts w:ascii="Arial" w:hAnsi="Arial" w:cs="Arial"/>
          <w:color w:val="000000" w:themeColor="text1"/>
          <w:sz w:val="22"/>
          <w:szCs w:val="22"/>
          <w:highlight w:val="yellow"/>
          <w:lang w:val="en-GB"/>
        </w:rPr>
        <w:t xml:space="preserve"> and immovable</w:t>
      </w:r>
      <w:r w:rsidRPr="00FB32D8">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r w:rsidRPr="000C765D">
        <w:rPr>
          <w:rFonts w:ascii="Arial" w:hAnsi="Arial" w:cs="Arial"/>
          <w:i/>
          <w:color w:val="000000" w:themeColor="text1"/>
          <w:sz w:val="22"/>
          <w:szCs w:val="22"/>
          <w:lang w:val="en-GB"/>
        </w:rPr>
        <w:t xml:space="preserve">antichresis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r w:rsidR="00357B2B">
        <w:rPr>
          <w:rFonts w:ascii="Arial" w:hAnsi="Arial" w:cs="Arial"/>
          <w:i/>
          <w:color w:val="000000" w:themeColor="text1"/>
          <w:sz w:val="22"/>
          <w:szCs w:val="22"/>
          <w:lang w:val="en-GB"/>
        </w:rPr>
        <w:t>sociedade de economia mista</w:t>
      </w:r>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Pr="00321E4E"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321E4E">
        <w:rPr>
          <w:rFonts w:ascii="Arial" w:hAnsi="Arial" w:cs="Arial"/>
          <w:color w:val="000000" w:themeColor="text1"/>
          <w:sz w:val="22"/>
          <w:szCs w:val="22"/>
          <w:highlight w:val="yellow"/>
          <w:lang w:val="en-GB"/>
        </w:rPr>
        <w:t>A</w:t>
      </w:r>
      <w:r w:rsidR="00357B2B" w:rsidRPr="00321E4E">
        <w:rPr>
          <w:rFonts w:ascii="Arial" w:hAnsi="Arial" w:cs="Arial"/>
          <w:color w:val="000000" w:themeColor="text1"/>
          <w:sz w:val="22"/>
          <w:szCs w:val="22"/>
          <w:highlight w:val="yellow"/>
          <w:lang w:val="en-GB"/>
        </w:rPr>
        <w:t>n accounting</w:t>
      </w:r>
      <w:r w:rsidRPr="00321E4E">
        <w:rPr>
          <w:rFonts w:ascii="Arial" w:hAnsi="Arial" w:cs="Arial"/>
          <w:color w:val="000000" w:themeColor="text1"/>
          <w:sz w:val="22"/>
          <w:szCs w:val="22"/>
          <w:highlight w:val="yellow"/>
          <w:lang w:val="en-GB"/>
        </w:rPr>
        <w:t xml:space="preserve">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rsidP="00507C99">
      <w:pPr>
        <w:pStyle w:val="ListParagraph"/>
        <w:numPr>
          <w:ilvl w:val="0"/>
          <w:numId w:val="32"/>
        </w:numPr>
        <w:ind w:left="426"/>
        <w:rPr>
          <w:rFonts w:ascii="Arial" w:hAnsi="Arial" w:cs="Arial"/>
          <w:sz w:val="22"/>
          <w:lang w:val="en-GB"/>
        </w:rPr>
      </w:pPr>
      <w:r w:rsidRPr="00D70F6D">
        <w:rPr>
          <w:rFonts w:ascii="Arial" w:hAnsi="Arial" w:cs="Arial"/>
          <w:sz w:val="22"/>
          <w:highlight w:val="yellow"/>
          <w:lang w:val="en-GB"/>
        </w:rPr>
        <w:t>A</w:t>
      </w:r>
      <w:r w:rsidR="00357B2B" w:rsidRPr="00D70F6D">
        <w:rPr>
          <w:rFonts w:ascii="Arial" w:hAnsi="Arial" w:cs="Arial"/>
          <w:sz w:val="22"/>
          <w:highlight w:val="yellow"/>
          <w:lang w:val="en-GB"/>
        </w:rPr>
        <w:t>n insurance company</w:t>
      </w:r>
      <w:r w:rsidRPr="00D70F6D">
        <w:rPr>
          <w:rFonts w:ascii="Arial" w:hAnsi="Arial" w:cs="Arial"/>
          <w:sz w:val="22"/>
          <w:highlight w:val="yellow"/>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B1068A"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B1068A">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Fees payable to the judicial administrator and its auxiliaries</w:t>
      </w:r>
      <w:r w:rsidR="00D732D3" w:rsidRPr="000C765D">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Pr="00B1068A" w:rsidRDefault="00357B2B" w:rsidP="00507C99">
      <w:pPr>
        <w:pStyle w:val="ListParagraph"/>
        <w:numPr>
          <w:ilvl w:val="0"/>
          <w:numId w:val="34"/>
        </w:numPr>
        <w:ind w:left="426"/>
        <w:jc w:val="both"/>
        <w:rPr>
          <w:rFonts w:ascii="Arial" w:hAnsi="Arial" w:cs="Arial"/>
          <w:color w:val="000000" w:themeColor="text1"/>
          <w:sz w:val="22"/>
          <w:szCs w:val="22"/>
          <w:highlight w:val="yellow"/>
          <w:lang w:val="en-GB"/>
        </w:rPr>
      </w:pPr>
      <w:r w:rsidRPr="00B1068A">
        <w:rPr>
          <w:rFonts w:ascii="Arial" w:hAnsi="Arial" w:cs="Arial"/>
          <w:color w:val="000000" w:themeColor="text1"/>
          <w:sz w:val="22"/>
          <w:szCs w:val="22"/>
          <w:highlight w:val="yellow"/>
          <w:lang w:val="en-GB"/>
        </w:rPr>
        <w:t>Administrative expenses of the estate</w:t>
      </w:r>
      <w:r w:rsidR="00D732D3" w:rsidRPr="00B1068A">
        <w:rPr>
          <w:rFonts w:ascii="Arial" w:hAnsi="Arial" w:cs="Arial"/>
          <w:color w:val="000000" w:themeColor="text1"/>
          <w:sz w:val="22"/>
          <w:szCs w:val="22"/>
          <w:highlight w:val="yellow"/>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its approval by creditors whose claims amount to a quantity in excess of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Pr="001623A7"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1623A7">
        <w:rPr>
          <w:rFonts w:ascii="Arial" w:hAnsi="Arial" w:cs="Arial"/>
          <w:color w:val="000000" w:themeColor="text1"/>
          <w:sz w:val="22"/>
          <w:szCs w:val="22"/>
          <w:highlight w:val="yellow"/>
          <w:lang w:val="en-GB"/>
        </w:rPr>
        <w:t xml:space="preserve">The approval of the plan in Class III depends on a </w:t>
      </w:r>
      <w:r w:rsidR="005B7491" w:rsidRPr="001623A7">
        <w:rPr>
          <w:rFonts w:ascii="Arial" w:hAnsi="Arial" w:cs="Arial"/>
          <w:color w:val="000000" w:themeColor="text1"/>
          <w:sz w:val="22"/>
          <w:szCs w:val="22"/>
          <w:highlight w:val="yellow"/>
          <w:lang w:val="en-GB"/>
        </w:rPr>
        <w:t xml:space="preserve">double </w:t>
      </w:r>
      <w:r w:rsidRPr="001623A7">
        <w:rPr>
          <w:rFonts w:ascii="Arial" w:hAnsi="Arial" w:cs="Arial"/>
          <w:color w:val="000000" w:themeColor="text1"/>
          <w:sz w:val="22"/>
          <w:szCs w:val="22"/>
          <w:highlight w:val="yellow"/>
          <w:lang w:val="en-GB"/>
        </w:rPr>
        <w:t>majority</w:t>
      </w:r>
      <w:r w:rsidR="005B7491" w:rsidRPr="001623A7">
        <w:rPr>
          <w:rFonts w:ascii="Arial" w:hAnsi="Arial" w:cs="Arial"/>
          <w:color w:val="000000" w:themeColor="text1"/>
          <w:sz w:val="22"/>
          <w:szCs w:val="22"/>
          <w:highlight w:val="yellow"/>
          <w:lang w:val="en-GB"/>
        </w:rPr>
        <w:t>:</w:t>
      </w:r>
      <w:r w:rsidRPr="001623A7">
        <w:rPr>
          <w:rFonts w:ascii="Arial" w:hAnsi="Arial" w:cs="Arial"/>
          <w:color w:val="000000" w:themeColor="text1"/>
          <w:sz w:val="22"/>
          <w:szCs w:val="22"/>
          <w:highlight w:val="yellow"/>
          <w:lang w:val="en-GB"/>
        </w:rPr>
        <w:t xml:space="preserve"> by head count</w:t>
      </w:r>
      <w:r w:rsidR="005B7491" w:rsidRPr="001623A7">
        <w:rPr>
          <w:rFonts w:ascii="Arial" w:hAnsi="Arial" w:cs="Arial"/>
          <w:color w:val="000000" w:themeColor="text1"/>
          <w:sz w:val="22"/>
          <w:szCs w:val="22"/>
          <w:highlight w:val="yellow"/>
          <w:lang w:val="en-GB"/>
        </w:rPr>
        <w:t xml:space="preserve"> and by </w:t>
      </w:r>
      <w:r w:rsidR="00AD2BEF" w:rsidRPr="001623A7">
        <w:rPr>
          <w:rFonts w:ascii="Arial" w:hAnsi="Arial" w:cs="Arial"/>
          <w:color w:val="000000" w:themeColor="text1"/>
          <w:sz w:val="22"/>
          <w:szCs w:val="22"/>
          <w:highlight w:val="yellow"/>
          <w:lang w:val="en-GB"/>
        </w:rPr>
        <w:t xml:space="preserve">the </w:t>
      </w:r>
      <w:r w:rsidR="005B7491" w:rsidRPr="001623A7">
        <w:rPr>
          <w:rFonts w:ascii="Arial" w:hAnsi="Arial" w:cs="Arial"/>
          <w:color w:val="000000" w:themeColor="text1"/>
          <w:sz w:val="22"/>
          <w:szCs w:val="22"/>
          <w:highlight w:val="yellow"/>
          <w:lang w:val="en-GB"/>
        </w:rPr>
        <w:t>total amount of claims</w:t>
      </w:r>
      <w:r w:rsidR="006A1388" w:rsidRPr="001623A7">
        <w:rPr>
          <w:rFonts w:ascii="Arial" w:hAnsi="Arial" w:cs="Arial"/>
          <w:color w:val="000000" w:themeColor="text1"/>
          <w:sz w:val="22"/>
          <w:szCs w:val="22"/>
          <w:highlight w:val="yellow"/>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w:t>
      </w:r>
      <w:r w:rsidRPr="000C765D">
        <w:rPr>
          <w:rFonts w:ascii="Arial" w:hAnsi="Arial" w:cs="Arial"/>
          <w:sz w:val="22"/>
          <w:szCs w:val="22"/>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Pr="00133FDE"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133FDE">
        <w:rPr>
          <w:rFonts w:ascii="Arial" w:hAnsi="Arial" w:cs="Arial"/>
          <w:color w:val="000000" w:themeColor="text1"/>
          <w:sz w:val="22"/>
          <w:szCs w:val="22"/>
          <w:highlight w:val="yellow"/>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with a brief description of the contracts entered into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it is a judicially-created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Pr="00133FDE" w:rsidRDefault="00BE0B1F" w:rsidP="00507C99">
      <w:pPr>
        <w:pStyle w:val="ListParagraph"/>
        <w:numPr>
          <w:ilvl w:val="0"/>
          <w:numId w:val="37"/>
        </w:numPr>
        <w:ind w:left="426"/>
        <w:jc w:val="both"/>
        <w:rPr>
          <w:rFonts w:ascii="Arial" w:hAnsi="Arial" w:cs="Arial"/>
          <w:color w:val="000000" w:themeColor="text1"/>
          <w:sz w:val="22"/>
          <w:szCs w:val="22"/>
          <w:highlight w:val="yellow"/>
          <w:lang w:val="en-GB"/>
        </w:rPr>
      </w:pPr>
      <w:r w:rsidRPr="00133FDE">
        <w:rPr>
          <w:rFonts w:ascii="Arial" w:hAnsi="Arial" w:cs="Arial"/>
          <w:color w:val="000000" w:themeColor="text1"/>
          <w:sz w:val="22"/>
          <w:szCs w:val="22"/>
          <w:highlight w:val="yellow"/>
          <w:lang w:val="en-GB"/>
        </w:rPr>
        <w:lastRenderedPageBreak/>
        <w:t xml:space="preserve">Among the criteria that must be met for </w:t>
      </w:r>
      <w:r w:rsidR="003C673D" w:rsidRPr="00133FDE">
        <w:rPr>
          <w:rFonts w:ascii="Arial" w:hAnsi="Arial" w:cs="Arial"/>
          <w:color w:val="000000" w:themeColor="text1"/>
          <w:sz w:val="22"/>
          <w:szCs w:val="22"/>
          <w:highlight w:val="yellow"/>
          <w:lang w:val="en-GB"/>
        </w:rPr>
        <w:t xml:space="preserve">a </w:t>
      </w:r>
      <w:r w:rsidRPr="00133FDE">
        <w:rPr>
          <w:rFonts w:ascii="Arial" w:hAnsi="Arial" w:cs="Arial"/>
          <w:color w:val="000000" w:themeColor="text1"/>
          <w:sz w:val="22"/>
          <w:szCs w:val="22"/>
          <w:highlight w:val="yellow"/>
          <w:lang w:val="en-GB"/>
        </w:rPr>
        <w:t>cramdown to be imposed, the</w:t>
      </w:r>
      <w:r w:rsidR="00FE5F16" w:rsidRPr="00133FDE">
        <w:rPr>
          <w:rFonts w:ascii="Arial" w:hAnsi="Arial" w:cs="Arial"/>
          <w:color w:val="000000" w:themeColor="text1"/>
          <w:sz w:val="22"/>
          <w:szCs w:val="22"/>
          <w:highlight w:val="yellow"/>
          <w:lang w:val="en-GB"/>
        </w:rPr>
        <w:t xml:space="preserve"> plan needs </w:t>
      </w:r>
      <w:r w:rsidR="003F3F3C" w:rsidRPr="00133FDE">
        <w:rPr>
          <w:rFonts w:ascii="Arial" w:hAnsi="Arial" w:cs="Arial"/>
          <w:color w:val="000000" w:themeColor="text1"/>
          <w:sz w:val="22"/>
          <w:szCs w:val="22"/>
          <w:highlight w:val="yellow"/>
          <w:lang w:val="en-GB"/>
        </w:rPr>
        <w:t xml:space="preserve">to receive </w:t>
      </w:r>
      <w:r w:rsidR="001D168A" w:rsidRPr="00133FDE">
        <w:rPr>
          <w:rFonts w:ascii="Arial" w:hAnsi="Arial" w:cs="Arial"/>
          <w:color w:val="000000" w:themeColor="text1"/>
          <w:sz w:val="22"/>
          <w:szCs w:val="22"/>
          <w:highlight w:val="yellow"/>
          <w:lang w:val="en-GB"/>
        </w:rPr>
        <w:t xml:space="preserve">favourable votes from over half the total amount of claims </w:t>
      </w:r>
      <w:r w:rsidR="005B7491" w:rsidRPr="00133FDE">
        <w:rPr>
          <w:rFonts w:ascii="Arial" w:hAnsi="Arial" w:cs="Arial"/>
          <w:color w:val="000000" w:themeColor="text1"/>
          <w:sz w:val="22"/>
          <w:szCs w:val="22"/>
          <w:highlight w:val="yellow"/>
          <w:lang w:val="en-GB"/>
        </w:rPr>
        <w:t xml:space="preserve">in each of the classes of creditors that were </w:t>
      </w:r>
      <w:r w:rsidR="001D168A" w:rsidRPr="00133FDE">
        <w:rPr>
          <w:rFonts w:ascii="Arial" w:hAnsi="Arial" w:cs="Arial"/>
          <w:color w:val="000000" w:themeColor="text1"/>
          <w:sz w:val="22"/>
          <w:szCs w:val="22"/>
          <w:highlight w:val="yellow"/>
          <w:lang w:val="en-GB"/>
        </w:rPr>
        <w:t>present at the general meeting</w:t>
      </w:r>
      <w:r w:rsidR="006A1388" w:rsidRPr="00133FDE">
        <w:rPr>
          <w:rFonts w:ascii="Arial" w:hAnsi="Arial" w:cs="Arial"/>
          <w:color w:val="000000" w:themeColor="text1"/>
          <w:sz w:val="22"/>
          <w:szCs w:val="22"/>
          <w:highlight w:val="yellow"/>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cramdown cannot be imposed if the judicial recovery plan entails </w:t>
      </w:r>
      <w:r w:rsidR="00AD2BEF">
        <w:rPr>
          <w:rFonts w:ascii="Arial" w:hAnsi="Arial" w:cs="Arial"/>
          <w:color w:val="000000" w:themeColor="text1"/>
          <w:sz w:val="22"/>
          <w:szCs w:val="22"/>
          <w:lang w:val="en-GB"/>
        </w:rPr>
        <w:t xml:space="preserve">the </w:t>
      </w:r>
      <w:r w:rsidR="00B31A6B">
        <w:rPr>
          <w:rFonts w:ascii="Arial" w:hAnsi="Arial" w:cs="Arial"/>
          <w:color w:val="000000" w:themeColor="text1"/>
          <w:sz w:val="22"/>
          <w:szCs w:val="22"/>
          <w:lang w:val="en-GB"/>
        </w:rPr>
        <w:t>discriminatory</w:t>
      </w:r>
      <w:r w:rsidR="00B31A6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treatment </w:t>
      </w:r>
      <w:r w:rsidR="00AD2BEF">
        <w:rPr>
          <w:rFonts w:ascii="Arial" w:hAnsi="Arial" w:cs="Arial"/>
          <w:color w:val="000000" w:themeColor="text1"/>
          <w:sz w:val="22"/>
          <w:szCs w:val="22"/>
          <w:lang w:val="en-GB"/>
        </w:rPr>
        <w:t>of</w:t>
      </w:r>
      <w:r w:rsidRPr="000C765D">
        <w:rPr>
          <w:rFonts w:ascii="Arial" w:hAnsi="Arial" w:cs="Arial"/>
          <w:color w:val="000000" w:themeColor="text1"/>
          <w:sz w:val="22"/>
          <w:szCs w:val="22"/>
          <w:lang w:val="en-GB"/>
        </w:rPr>
        <w:t xml:space="preserve"> creditors within the class that rejected it </w:t>
      </w:r>
      <w:r w:rsidR="005F3304">
        <w:rPr>
          <w:rFonts w:ascii="Arial" w:hAnsi="Arial" w:cs="Arial"/>
          <w:color w:val="000000" w:themeColor="text1"/>
          <w:sz w:val="22"/>
          <w:szCs w:val="22"/>
          <w:lang w:val="en-GB"/>
        </w:rPr>
        <w:t>at</w:t>
      </w:r>
      <w:r w:rsidRPr="000C765D">
        <w:rPr>
          <w:rFonts w:ascii="Arial" w:hAnsi="Arial" w:cs="Arial"/>
          <w:color w:val="000000" w:themeColor="text1"/>
          <w:sz w:val="22"/>
          <w:szCs w:val="22"/>
          <w:lang w:val="en-GB"/>
        </w:rPr>
        <w:t xml:space="preserve"> the </w:t>
      </w:r>
      <w:r w:rsidR="005F3304">
        <w:rPr>
          <w:rFonts w:ascii="Arial" w:hAnsi="Arial" w:cs="Arial"/>
          <w:color w:val="000000" w:themeColor="text1"/>
          <w:sz w:val="22"/>
          <w:szCs w:val="22"/>
          <w:lang w:val="en-GB"/>
        </w:rPr>
        <w:t>g</w:t>
      </w:r>
      <w:r w:rsidRPr="000C765D">
        <w:rPr>
          <w:rFonts w:ascii="Arial" w:hAnsi="Arial" w:cs="Arial"/>
          <w:color w:val="000000" w:themeColor="text1"/>
          <w:sz w:val="22"/>
          <w:szCs w:val="22"/>
          <w:lang w:val="en-GB"/>
        </w:rPr>
        <w:t xml:space="preserve">eneral </w:t>
      </w:r>
      <w:r w:rsidR="005F3304">
        <w:rPr>
          <w:rFonts w:ascii="Arial" w:hAnsi="Arial" w:cs="Arial"/>
          <w:color w:val="000000" w:themeColor="text1"/>
          <w:sz w:val="22"/>
          <w:szCs w:val="22"/>
          <w:lang w:val="en-GB"/>
        </w:rPr>
        <w:t>m</w:t>
      </w:r>
      <w:r w:rsidRPr="000C765D">
        <w:rPr>
          <w:rFonts w:ascii="Arial" w:hAnsi="Arial" w:cs="Arial"/>
          <w:color w:val="000000" w:themeColor="text1"/>
          <w:sz w:val="22"/>
          <w:szCs w:val="22"/>
          <w:lang w:val="en-GB"/>
        </w:rPr>
        <w:t xml:space="preserve">eeting of </w:t>
      </w:r>
      <w:r w:rsidR="005F3304">
        <w:rPr>
          <w:rFonts w:ascii="Arial" w:hAnsi="Arial" w:cs="Arial"/>
          <w:color w:val="000000" w:themeColor="text1"/>
          <w:sz w:val="22"/>
          <w:szCs w:val="22"/>
          <w:lang w:val="en-GB"/>
        </w:rPr>
        <w:t>c</w:t>
      </w:r>
      <w:r w:rsidRPr="000C765D">
        <w:rPr>
          <w:rFonts w:ascii="Arial" w:hAnsi="Arial" w:cs="Arial"/>
          <w:color w:val="000000" w:themeColor="text1"/>
          <w:sz w:val="22"/>
          <w:szCs w:val="22"/>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9F586C"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9F586C">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1DAC6601" w14:textId="77777777" w:rsidR="00D55105" w:rsidRDefault="00D55105" w:rsidP="002A37BB">
      <w:pPr>
        <w:jc w:val="both"/>
        <w:rPr>
          <w:rFonts w:ascii="Arial" w:hAnsi="Arial" w:cs="Arial"/>
          <w:b/>
          <w:sz w:val="22"/>
          <w:szCs w:val="22"/>
          <w:lang w:val="en-GB"/>
        </w:rPr>
      </w:pPr>
    </w:p>
    <w:p w14:paraId="4FC20A3B" w14:textId="52ABA381"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7552626D" w14:textId="6D70C6EF" w:rsidR="00F31348" w:rsidRPr="00F31348" w:rsidRDefault="00F31348" w:rsidP="00F313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64 of the Bankruptcy Law states that the manager(s) shall be removed if the debtor or its manager(s) have its dismissal provided for in the judicial recovery plan, if they have shown strong signs of having committed a crime, or, have acted with malice, simulation, or fraud against the interest of its creditors. </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4445ACBD" w14:textId="77777777" w:rsidR="00F31348" w:rsidRDefault="00F31348" w:rsidP="00F31348">
      <w:pPr>
        <w:jc w:val="both"/>
        <w:rPr>
          <w:rFonts w:ascii="Arial" w:hAnsi="Arial" w:cs="Arial"/>
          <w:sz w:val="22"/>
          <w:szCs w:val="22"/>
          <w:lang w:val="en-GB"/>
        </w:rPr>
      </w:pPr>
    </w:p>
    <w:p w14:paraId="2F57801B" w14:textId="096D7C1D" w:rsidR="009B07AD" w:rsidRDefault="00F31348" w:rsidP="00F313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manners by which the assets of the bankrupt estate may be sold by the judicial administrator during a liquidation procedure are:</w:t>
      </w:r>
    </w:p>
    <w:p w14:paraId="483F0D5F" w14:textId="35F0CF20" w:rsidR="00F31348" w:rsidRDefault="00F31348" w:rsidP="00F31348">
      <w:pPr>
        <w:jc w:val="both"/>
        <w:rPr>
          <w:rFonts w:ascii="Arial" w:hAnsi="Arial" w:cs="Arial"/>
          <w:color w:val="7B7B7B" w:themeColor="accent3" w:themeShade="BF"/>
          <w:sz w:val="22"/>
          <w:szCs w:val="22"/>
          <w:lang w:val="en-GB"/>
        </w:rPr>
      </w:pPr>
    </w:p>
    <w:p w14:paraId="7246E1C1" w14:textId="0AC10BA4" w:rsidR="00F31348" w:rsidRDefault="00F31348" w:rsidP="00F31348">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electronic, in-person, or hybrid auction;</w:t>
      </w:r>
    </w:p>
    <w:p w14:paraId="2AE84CA6" w14:textId="626F1B00" w:rsidR="00F31348" w:rsidRDefault="00F31348" w:rsidP="00F31348">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a competitive procedure </w:t>
      </w:r>
      <w:r w:rsidR="00990C5C">
        <w:rPr>
          <w:rFonts w:ascii="Arial" w:hAnsi="Arial" w:cs="Arial"/>
          <w:color w:val="7B7B7B" w:themeColor="accent3" w:themeShade="BF"/>
          <w:sz w:val="22"/>
          <w:szCs w:val="22"/>
          <w:lang w:val="en-GB"/>
        </w:rPr>
        <w:t xml:space="preserve">dealt with </w:t>
      </w:r>
      <w:r>
        <w:rPr>
          <w:rFonts w:ascii="Arial" w:hAnsi="Arial" w:cs="Arial"/>
          <w:color w:val="7B7B7B" w:themeColor="accent3" w:themeShade="BF"/>
          <w:sz w:val="22"/>
          <w:szCs w:val="22"/>
          <w:lang w:val="en-GB"/>
        </w:rPr>
        <w:t xml:space="preserve">by a specialised agent; or </w:t>
      </w:r>
    </w:p>
    <w:p w14:paraId="46C6BF37" w14:textId="7B4789C6" w:rsidR="00F31348" w:rsidRPr="00F31348" w:rsidRDefault="00F31348" w:rsidP="00F31348">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any other m</w:t>
      </w:r>
      <w:r w:rsidR="00990C5C">
        <w:rPr>
          <w:rFonts w:ascii="Arial" w:hAnsi="Arial" w:cs="Arial"/>
          <w:color w:val="7B7B7B" w:themeColor="accent3" w:themeShade="BF"/>
          <w:sz w:val="22"/>
          <w:szCs w:val="22"/>
          <w:lang w:val="en-GB"/>
        </w:rPr>
        <w:t>ethod so lo</w:t>
      </w:r>
      <w:r>
        <w:rPr>
          <w:rFonts w:ascii="Arial" w:hAnsi="Arial" w:cs="Arial"/>
          <w:color w:val="7B7B7B" w:themeColor="accent3" w:themeShade="BF"/>
          <w:sz w:val="22"/>
          <w:szCs w:val="22"/>
          <w:lang w:val="en-GB"/>
        </w:rPr>
        <w:t xml:space="preserve">ng as </w:t>
      </w:r>
      <w:r w:rsidR="00990C5C">
        <w:rPr>
          <w:rFonts w:ascii="Arial" w:hAnsi="Arial" w:cs="Arial"/>
          <w:color w:val="7B7B7B" w:themeColor="accent3" w:themeShade="BF"/>
          <w:sz w:val="22"/>
          <w:szCs w:val="22"/>
          <w:lang w:val="en-GB"/>
        </w:rPr>
        <w:t xml:space="preserve">it is </w:t>
      </w:r>
      <w:r>
        <w:rPr>
          <w:rFonts w:ascii="Arial" w:hAnsi="Arial" w:cs="Arial"/>
          <w:color w:val="7B7B7B" w:themeColor="accent3" w:themeShade="BF"/>
          <w:sz w:val="22"/>
          <w:szCs w:val="22"/>
          <w:lang w:val="en-GB"/>
        </w:rPr>
        <w:t>approved under the terms of the Bankruptcy Law.</w:t>
      </w:r>
    </w:p>
    <w:p w14:paraId="6948B395" w14:textId="65A1604F" w:rsidR="00E90991" w:rsidRDefault="00E90991" w:rsidP="00F31348">
      <w:pPr>
        <w:jc w:val="both"/>
        <w:rPr>
          <w:rFonts w:ascii="Arial" w:hAnsi="Arial" w:cs="Arial"/>
          <w:sz w:val="22"/>
          <w:szCs w:val="22"/>
          <w:lang w:val="en-GB"/>
        </w:rPr>
      </w:pP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09C26029" w14:textId="77777777" w:rsidR="00D27B5B" w:rsidRDefault="00D27B5B" w:rsidP="00D27B5B">
      <w:pPr>
        <w:jc w:val="both"/>
        <w:rPr>
          <w:rFonts w:ascii="Arial" w:hAnsi="Arial" w:cs="Arial"/>
          <w:sz w:val="22"/>
          <w:szCs w:val="22"/>
          <w:lang w:val="en-GB"/>
        </w:rPr>
      </w:pPr>
    </w:p>
    <w:p w14:paraId="78DB9FD8" w14:textId="4D1DC2AE" w:rsidR="00C72848" w:rsidRDefault="00D27B5B" w:rsidP="00D27B5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following acts may be rendered ineffective towards the bankrupt estate if carried out whilst the “suspect period” of a bankruptcy proceeding was in effect:</w:t>
      </w:r>
    </w:p>
    <w:p w14:paraId="1F8B8E26" w14:textId="47D90B8A" w:rsidR="00D27B5B" w:rsidRDefault="00D27B5B" w:rsidP="002A37BB">
      <w:pPr>
        <w:ind w:left="720" w:hanging="720"/>
        <w:jc w:val="both"/>
        <w:rPr>
          <w:rFonts w:ascii="Arial" w:hAnsi="Arial" w:cs="Arial"/>
          <w:color w:val="7B7B7B" w:themeColor="accent3" w:themeShade="BF"/>
          <w:sz w:val="22"/>
          <w:szCs w:val="22"/>
          <w:lang w:val="en-GB"/>
        </w:rPr>
      </w:pPr>
    </w:p>
    <w:p w14:paraId="6C9C8EC3" w14:textId="196709BC" w:rsidR="00D27B5B" w:rsidRPr="00660883" w:rsidRDefault="00D27B5B" w:rsidP="00D27B5B">
      <w:pPr>
        <w:pStyle w:val="ListParagraph"/>
        <w:numPr>
          <w:ilvl w:val="0"/>
          <w:numId w:val="40"/>
        </w:numPr>
        <w:jc w:val="both"/>
        <w:rPr>
          <w:rFonts w:ascii="Arial" w:hAnsi="Arial" w:cs="Arial"/>
          <w:color w:val="7B7B7B" w:themeColor="accent3" w:themeShade="BF"/>
          <w:sz w:val="22"/>
          <w:szCs w:val="22"/>
          <w:lang w:val="en-GB"/>
        </w:rPr>
      </w:pPr>
      <w:r w:rsidRPr="00660883">
        <w:rPr>
          <w:rFonts w:ascii="Arial" w:hAnsi="Arial" w:cs="Arial"/>
          <w:color w:val="7B7B7B" w:themeColor="accent3" w:themeShade="BF"/>
          <w:sz w:val="22"/>
          <w:szCs w:val="22"/>
          <w:lang w:val="en-GB"/>
        </w:rPr>
        <w:t>Acts performed free of charge during the two years preceding the decree of bankruptcy;</w:t>
      </w:r>
    </w:p>
    <w:p w14:paraId="20ED3662" w14:textId="3765C01B" w:rsidR="00D27B5B" w:rsidRPr="00660883" w:rsidRDefault="00D27B5B" w:rsidP="00D27B5B">
      <w:pPr>
        <w:pStyle w:val="ListParagraph"/>
        <w:numPr>
          <w:ilvl w:val="0"/>
          <w:numId w:val="40"/>
        </w:numPr>
        <w:jc w:val="both"/>
        <w:rPr>
          <w:rFonts w:ascii="Arial" w:hAnsi="Arial" w:cs="Arial"/>
          <w:color w:val="7B7B7B" w:themeColor="accent3" w:themeShade="BF"/>
          <w:sz w:val="22"/>
          <w:szCs w:val="22"/>
          <w:lang w:val="en-GB"/>
        </w:rPr>
      </w:pPr>
      <w:r w:rsidRPr="00660883">
        <w:rPr>
          <w:rFonts w:ascii="Arial" w:hAnsi="Arial" w:cs="Arial"/>
          <w:color w:val="7B7B7B" w:themeColor="accent3" w:themeShade="BF"/>
          <w:sz w:val="22"/>
          <w:szCs w:val="22"/>
          <w:lang w:val="en-GB"/>
        </w:rPr>
        <w:t>The waiver of an inheritance or legacy during the two years preceding the decree of bankruptcy;</w:t>
      </w:r>
    </w:p>
    <w:p w14:paraId="5587A13A" w14:textId="4CBE0849" w:rsidR="00D27B5B" w:rsidRPr="00660883" w:rsidRDefault="00D27B5B" w:rsidP="00D27B5B">
      <w:pPr>
        <w:pStyle w:val="ListParagraph"/>
        <w:numPr>
          <w:ilvl w:val="0"/>
          <w:numId w:val="40"/>
        </w:numPr>
        <w:jc w:val="both"/>
        <w:rPr>
          <w:rFonts w:ascii="Arial" w:hAnsi="Arial" w:cs="Arial"/>
          <w:color w:val="7B7B7B" w:themeColor="accent3" w:themeShade="BF"/>
          <w:sz w:val="22"/>
          <w:szCs w:val="22"/>
          <w:lang w:val="en-GB"/>
        </w:rPr>
      </w:pPr>
      <w:r w:rsidRPr="00660883">
        <w:rPr>
          <w:rFonts w:ascii="Arial" w:hAnsi="Arial" w:cs="Arial"/>
          <w:color w:val="7B7B7B" w:themeColor="accent3" w:themeShade="BF"/>
          <w:sz w:val="22"/>
          <w:szCs w:val="22"/>
          <w:lang w:val="en-GB"/>
        </w:rPr>
        <w:t>Payment of debts that have become due and enforceable, in a way not provided for under the terms of the contract; and</w:t>
      </w:r>
    </w:p>
    <w:p w14:paraId="7BC6166D" w14:textId="7C81377A" w:rsidR="00D27B5B" w:rsidRPr="00660883" w:rsidRDefault="00D27B5B" w:rsidP="00D27B5B">
      <w:pPr>
        <w:pStyle w:val="ListParagraph"/>
        <w:numPr>
          <w:ilvl w:val="0"/>
          <w:numId w:val="40"/>
        </w:numPr>
        <w:jc w:val="both"/>
        <w:rPr>
          <w:rFonts w:ascii="Arial" w:hAnsi="Arial" w:cs="Arial"/>
          <w:color w:val="7B7B7B" w:themeColor="accent3" w:themeShade="BF"/>
          <w:sz w:val="22"/>
          <w:szCs w:val="22"/>
          <w:lang w:val="en-GB"/>
        </w:rPr>
      </w:pPr>
      <w:r w:rsidRPr="00660883">
        <w:rPr>
          <w:rFonts w:ascii="Arial" w:hAnsi="Arial" w:cs="Arial"/>
          <w:color w:val="7B7B7B" w:themeColor="accent3" w:themeShade="BF"/>
          <w:sz w:val="22"/>
          <w:szCs w:val="22"/>
          <w:lang w:val="en-GB"/>
        </w:rPr>
        <w:t xml:space="preserve">The granting of an in rem guarantee (including a lien) </w:t>
      </w:r>
      <w:r w:rsidR="00660883" w:rsidRPr="00660883">
        <w:rPr>
          <w:rFonts w:ascii="Arial" w:hAnsi="Arial" w:cs="Arial"/>
          <w:color w:val="7B7B7B" w:themeColor="accent3" w:themeShade="BF"/>
          <w:sz w:val="22"/>
          <w:szCs w:val="22"/>
          <w:lang w:val="en-GB"/>
        </w:rPr>
        <w:t>in relation to a debt previously entered into but not secured.</w:t>
      </w:r>
    </w:p>
    <w:p w14:paraId="572227E7" w14:textId="55EF74A0" w:rsidR="0045683E" w:rsidRDefault="0045683E" w:rsidP="002A37BB">
      <w:pPr>
        <w:jc w:val="both"/>
        <w:rPr>
          <w:rFonts w:ascii="Arial" w:hAnsi="Arial" w:cs="Arial"/>
          <w:bCs/>
          <w:sz w:val="22"/>
          <w:szCs w:val="22"/>
          <w:lang w:val="en-GB"/>
        </w:rPr>
      </w:pPr>
    </w:p>
    <w:p w14:paraId="0C2D6CD0" w14:textId="17B9C0A1" w:rsidR="00462216" w:rsidRPr="00EC3B44" w:rsidRDefault="00EC3B44" w:rsidP="002A37BB">
      <w:pPr>
        <w:jc w:val="both"/>
        <w:rPr>
          <w:rFonts w:ascii="Arial" w:hAnsi="Arial" w:cs="Arial"/>
          <w:color w:val="7B7B7B" w:themeColor="accent3" w:themeShade="BF"/>
          <w:sz w:val="22"/>
          <w:szCs w:val="22"/>
          <w:lang w:val="en-GB"/>
        </w:rPr>
      </w:pPr>
      <w:r w:rsidRPr="00EC3B44">
        <w:rPr>
          <w:rFonts w:ascii="Arial" w:hAnsi="Arial" w:cs="Arial"/>
          <w:color w:val="7B7B7B" w:themeColor="accent3" w:themeShade="BF"/>
          <w:sz w:val="22"/>
          <w:szCs w:val="22"/>
          <w:lang w:val="en-GB"/>
        </w:rPr>
        <w:t>See Article 129 of the Bankruptcy Law for further examples.</w:t>
      </w:r>
    </w:p>
    <w:p w14:paraId="4C1FAA24" w14:textId="77777777" w:rsidR="00EC3B44" w:rsidRPr="002A1547" w:rsidRDefault="00EC3B44" w:rsidP="002A37BB">
      <w:pPr>
        <w:jc w:val="both"/>
        <w:rPr>
          <w:rFonts w:ascii="Arial" w:hAnsi="Arial" w:cs="Arial"/>
          <w:bCs/>
          <w:sz w:val="22"/>
          <w:szCs w:val="22"/>
          <w:lang w:val="en-GB"/>
        </w:rPr>
      </w:pPr>
    </w:p>
    <w:p w14:paraId="07ABF2C5" w14:textId="77777777" w:rsidR="00D55105" w:rsidRDefault="00D55105" w:rsidP="006A3248">
      <w:pPr>
        <w:ind w:left="720" w:hanging="720"/>
        <w:jc w:val="both"/>
        <w:rPr>
          <w:rFonts w:ascii="Arial" w:hAnsi="Arial" w:cs="Arial"/>
          <w:b/>
          <w:bCs/>
          <w:sz w:val="22"/>
          <w:szCs w:val="22"/>
          <w:lang w:val="en-GB"/>
        </w:rPr>
      </w:pPr>
    </w:p>
    <w:p w14:paraId="4C00F036" w14:textId="79D1FB8B"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E367D8B" w14:textId="77777777" w:rsidR="00724D71" w:rsidRDefault="00724D71" w:rsidP="00724D71">
      <w:pPr>
        <w:jc w:val="both"/>
        <w:rPr>
          <w:rFonts w:ascii="Arial" w:hAnsi="Arial" w:cs="Arial"/>
          <w:color w:val="000000" w:themeColor="text1"/>
          <w:sz w:val="22"/>
          <w:szCs w:val="22"/>
          <w:lang w:val="en-GB"/>
        </w:rPr>
      </w:pPr>
    </w:p>
    <w:p w14:paraId="75D05277" w14:textId="3B7B33F5" w:rsidR="00D57E46" w:rsidRDefault="00724D71" w:rsidP="00724D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enactment of Federal Law 14.112/2020, the following changes were introduced to the Brazilian insolvency legal system:</w:t>
      </w:r>
    </w:p>
    <w:p w14:paraId="00851E97" w14:textId="0DF33F81" w:rsidR="00724D71" w:rsidRDefault="00724D71" w:rsidP="00724D71">
      <w:pPr>
        <w:jc w:val="both"/>
        <w:rPr>
          <w:rFonts w:ascii="Arial" w:hAnsi="Arial" w:cs="Arial"/>
          <w:color w:val="7B7B7B" w:themeColor="accent3" w:themeShade="BF"/>
          <w:sz w:val="22"/>
          <w:szCs w:val="22"/>
          <w:lang w:val="en-GB"/>
        </w:rPr>
      </w:pPr>
    </w:p>
    <w:p w14:paraId="47D7F7A1" w14:textId="6A6ADF80" w:rsidR="00724D71" w:rsidRDefault="00D218F3" w:rsidP="00D218F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expediated termination of insignificant or assetless cases;</w:t>
      </w:r>
    </w:p>
    <w:p w14:paraId="58540B92" w14:textId="08B53816" w:rsidR="00D218F3" w:rsidRDefault="00D218F3" w:rsidP="00D218F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Groups of companies are eligible for the filing of a restructuring procedure (as a group)</w:t>
      </w:r>
      <w:r w:rsidR="006B172E">
        <w:rPr>
          <w:rFonts w:ascii="Arial" w:hAnsi="Arial" w:cs="Arial"/>
          <w:color w:val="7B7B7B" w:themeColor="accent3" w:themeShade="BF"/>
          <w:sz w:val="22"/>
          <w:szCs w:val="22"/>
          <w:lang w:val="en-GB"/>
        </w:rPr>
        <w:t>;</w:t>
      </w:r>
    </w:p>
    <w:p w14:paraId="2B35597E" w14:textId="644C12A0" w:rsidR="006B172E" w:rsidRDefault="006B172E" w:rsidP="00D218F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are allowed to present an alternative judicial recovery plan where the one voluntarily presented by the debtor is rejected under a general meeting of creditors;</w:t>
      </w:r>
    </w:p>
    <w:p w14:paraId="55736AB3" w14:textId="37021D35" w:rsidR="006B172E" w:rsidRDefault="006B172E" w:rsidP="00D218F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Debtors being able to initiate a mediation or conciliation procedure with the creditors prior to the actual filing of the judicial recovery case;</w:t>
      </w:r>
    </w:p>
    <w:p w14:paraId="2885FB30" w14:textId="4656BDB5" w:rsidR="006B172E" w:rsidRDefault="00C20209" w:rsidP="00D218F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Debtors being able to file for extrajudicial recovery as soon as they have one third of favourable votes from the creditors subject to the proceeding;</w:t>
      </w:r>
    </w:p>
    <w:p w14:paraId="08B89FD3" w14:textId="2FF8F25D" w:rsidR="00C20209" w:rsidRDefault="00C20209" w:rsidP="00D218F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stay period to apply to extrajudicial recoveries;</w:t>
      </w:r>
    </w:p>
    <w:p w14:paraId="7C76B5CB" w14:textId="27B6C68D" w:rsidR="00C20209" w:rsidRDefault="00BD7033" w:rsidP="00D218F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certain circumstances, creditors can present their won version of a recovery plan for the debtor (thereby resulting in creditors playing a more active role in recovery proceedings); and</w:t>
      </w:r>
    </w:p>
    <w:p w14:paraId="27D44C6C" w14:textId="5D1AF81A" w:rsidR="00724D71" w:rsidRPr="00BD7033" w:rsidRDefault="00BD7033" w:rsidP="005A548D">
      <w:pPr>
        <w:pStyle w:val="ListParagraph"/>
        <w:numPr>
          <w:ilvl w:val="0"/>
          <w:numId w:val="41"/>
        </w:numPr>
        <w:jc w:val="both"/>
        <w:rPr>
          <w:rFonts w:ascii="Arial" w:hAnsi="Arial" w:cs="Arial"/>
          <w:color w:val="7B7B7B" w:themeColor="accent3" w:themeShade="BF"/>
          <w:sz w:val="22"/>
          <w:szCs w:val="22"/>
          <w:lang w:val="en-GB"/>
        </w:rPr>
      </w:pPr>
      <w:r w:rsidRPr="00BD7033">
        <w:rPr>
          <w:rFonts w:ascii="Arial" w:hAnsi="Arial" w:cs="Arial"/>
          <w:color w:val="7B7B7B" w:themeColor="accent3" w:themeShade="BF"/>
          <w:sz w:val="22"/>
          <w:szCs w:val="22"/>
          <w:lang w:val="en-GB"/>
        </w:rPr>
        <w:t>Health insurance co-operatives being permitted to enter into judicial recovery.</w:t>
      </w:r>
    </w:p>
    <w:p w14:paraId="2E447BC2" w14:textId="144C8A16" w:rsidR="00724D71" w:rsidRDefault="00724D71" w:rsidP="00D57E46">
      <w:pPr>
        <w:ind w:left="720" w:hanging="720"/>
        <w:jc w:val="both"/>
        <w:rPr>
          <w:rFonts w:ascii="Arial" w:hAnsi="Arial" w:cs="Arial"/>
          <w:color w:val="7B7B7B" w:themeColor="accent3" w:themeShade="BF"/>
          <w:sz w:val="22"/>
          <w:szCs w:val="22"/>
          <w:lang w:val="en-GB"/>
        </w:rPr>
      </w:pPr>
    </w:p>
    <w:p w14:paraId="575A21D7" w14:textId="77777777" w:rsidR="00724D71" w:rsidRPr="002A1547" w:rsidRDefault="00724D71" w:rsidP="00D57E46">
      <w:pPr>
        <w:ind w:left="720" w:hanging="720"/>
        <w:jc w:val="both"/>
        <w:rPr>
          <w:rFonts w:ascii="Arial" w:hAnsi="Arial" w:cs="Arial"/>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8C53C7" w:rsidR="00241FA3" w:rsidRDefault="000858C0" w:rsidP="002A37BB">
      <w:pPr>
        <w:jc w:val="both"/>
        <w:rPr>
          <w:rFonts w:ascii="Arial" w:hAnsi="Arial" w:cs="Arial"/>
          <w:color w:val="000000" w:themeColor="text1"/>
          <w:sz w:val="22"/>
          <w:szCs w:val="22"/>
          <w:lang w:val="en-GB"/>
        </w:rPr>
      </w:pPr>
      <w:r w:rsidRPr="00D55105">
        <w:rPr>
          <w:rFonts w:ascii="Arial" w:hAnsi="Arial" w:cs="Arial"/>
          <w:color w:val="000000" w:themeColor="text1"/>
          <w:sz w:val="22"/>
          <w:szCs w:val="22"/>
          <w:lang w:val="en-GB"/>
        </w:rPr>
        <w:t>How is the judicial recovery for micro and small enterprises different from a regular judicial recovery</w:t>
      </w:r>
      <w:r w:rsidR="00462216" w:rsidRPr="00D55105">
        <w:rPr>
          <w:rFonts w:ascii="Arial" w:hAnsi="Arial" w:cs="Arial"/>
          <w:color w:val="000000" w:themeColor="text1"/>
          <w:sz w:val="22"/>
          <w:szCs w:val="22"/>
          <w:lang w:val="en-GB"/>
        </w:rPr>
        <w:t>?</w:t>
      </w:r>
    </w:p>
    <w:p w14:paraId="5876C7BE" w14:textId="5FD9A4AE" w:rsidR="005916DB" w:rsidRDefault="005916DB" w:rsidP="002A37BB">
      <w:pPr>
        <w:jc w:val="both"/>
        <w:rPr>
          <w:rFonts w:ascii="Arial" w:hAnsi="Arial" w:cs="Arial"/>
          <w:color w:val="000000" w:themeColor="text1"/>
          <w:sz w:val="22"/>
          <w:szCs w:val="22"/>
          <w:lang w:val="en-GB"/>
        </w:rPr>
      </w:pPr>
    </w:p>
    <w:p w14:paraId="3B8F8D30" w14:textId="42890D7C" w:rsidR="005916DB" w:rsidRPr="005916DB" w:rsidRDefault="005916DB" w:rsidP="002A37BB">
      <w:pPr>
        <w:jc w:val="both"/>
        <w:rPr>
          <w:rFonts w:ascii="Arial" w:hAnsi="Arial" w:cs="Arial"/>
          <w:color w:val="7B7B7B" w:themeColor="accent3" w:themeShade="BF"/>
          <w:sz w:val="22"/>
          <w:szCs w:val="22"/>
          <w:lang w:val="en-GB"/>
        </w:rPr>
      </w:pPr>
      <w:r w:rsidRPr="005916DB">
        <w:rPr>
          <w:rFonts w:ascii="Arial" w:hAnsi="Arial" w:cs="Arial"/>
          <w:color w:val="7B7B7B" w:themeColor="accent3" w:themeShade="BF"/>
          <w:sz w:val="22"/>
          <w:szCs w:val="22"/>
          <w:lang w:val="en-GB"/>
        </w:rPr>
        <w:t xml:space="preserve">Firstly, micro enterprises are those whose gross revenues </w:t>
      </w:r>
      <w:r w:rsidR="009B0366">
        <w:rPr>
          <w:rFonts w:ascii="Arial" w:hAnsi="Arial" w:cs="Arial"/>
          <w:color w:val="7B7B7B" w:themeColor="accent3" w:themeShade="BF"/>
          <w:sz w:val="22"/>
          <w:szCs w:val="22"/>
          <w:lang w:val="en-GB"/>
        </w:rPr>
        <w:t>are less than</w:t>
      </w:r>
      <w:r w:rsidRPr="005916DB">
        <w:rPr>
          <w:rFonts w:ascii="Arial" w:hAnsi="Arial" w:cs="Arial"/>
          <w:color w:val="7B7B7B" w:themeColor="accent3" w:themeShade="BF"/>
          <w:sz w:val="22"/>
          <w:szCs w:val="22"/>
          <w:lang w:val="en-GB"/>
        </w:rPr>
        <w:t xml:space="preserve"> BRL 360,000 per annum, and small enterprises are those with gross revenues exceeding BRL 360,000 per annum, but </w:t>
      </w:r>
      <w:r w:rsidR="009B0366">
        <w:rPr>
          <w:rFonts w:ascii="Arial" w:hAnsi="Arial" w:cs="Arial"/>
          <w:color w:val="7B7B7B" w:themeColor="accent3" w:themeShade="BF"/>
          <w:sz w:val="22"/>
          <w:szCs w:val="22"/>
          <w:lang w:val="en-GB"/>
        </w:rPr>
        <w:t>that are less than</w:t>
      </w:r>
      <w:r w:rsidRPr="005916DB">
        <w:rPr>
          <w:rFonts w:ascii="Arial" w:hAnsi="Arial" w:cs="Arial"/>
          <w:color w:val="7B7B7B" w:themeColor="accent3" w:themeShade="BF"/>
          <w:sz w:val="22"/>
          <w:szCs w:val="22"/>
          <w:lang w:val="en-GB"/>
        </w:rPr>
        <w:t xml:space="preserve"> BRL4.8m.</w:t>
      </w:r>
    </w:p>
    <w:p w14:paraId="0EAB8561" w14:textId="77777777" w:rsidR="00D57E46" w:rsidRPr="002A1547" w:rsidRDefault="00D57E46" w:rsidP="002A37BB">
      <w:pPr>
        <w:jc w:val="both"/>
        <w:rPr>
          <w:rFonts w:ascii="Arial" w:hAnsi="Arial" w:cs="Arial"/>
          <w:sz w:val="22"/>
          <w:szCs w:val="22"/>
          <w:lang w:val="en-GB"/>
        </w:rPr>
      </w:pPr>
    </w:p>
    <w:p w14:paraId="4024A332" w14:textId="6317B68B" w:rsidR="00544127" w:rsidRDefault="00EA689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differences in remuneration in the judicial recovery for micro and small enterprises and a regular judicial recovery – namely, the </w:t>
      </w:r>
      <w:r w:rsidR="005916DB">
        <w:rPr>
          <w:rFonts w:ascii="Arial" w:hAnsi="Arial" w:cs="Arial"/>
          <w:color w:val="7B7B7B" w:themeColor="accent3" w:themeShade="BF"/>
          <w:sz w:val="22"/>
          <w:szCs w:val="22"/>
          <w:lang w:val="en-GB"/>
        </w:rPr>
        <w:t>total amount paid to the judicial administrator in the case of a micro/small enterprise bankruptcy is a maximum of 2% of the amount payable to the creditors, compared to 5% in a regular judicial recovery.</w:t>
      </w:r>
    </w:p>
    <w:p w14:paraId="1FC2E643" w14:textId="1308642C" w:rsidR="005916DB" w:rsidRDefault="005916DB" w:rsidP="002A37BB">
      <w:pPr>
        <w:jc w:val="both"/>
        <w:rPr>
          <w:rFonts w:ascii="Arial" w:hAnsi="Arial" w:cs="Arial"/>
          <w:color w:val="7B7B7B" w:themeColor="accent3" w:themeShade="BF"/>
          <w:sz w:val="22"/>
          <w:szCs w:val="22"/>
          <w:lang w:val="en-GB"/>
        </w:rPr>
      </w:pPr>
    </w:p>
    <w:p w14:paraId="43F79891" w14:textId="0949E799" w:rsidR="005916DB" w:rsidRPr="002A1547" w:rsidRDefault="005916DB" w:rsidP="002A37BB">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The recovery procedure for micro and small </w:t>
      </w:r>
      <w:r w:rsidR="005D4133">
        <w:rPr>
          <w:rFonts w:ascii="Arial" w:hAnsi="Arial" w:cs="Arial"/>
          <w:color w:val="7B7B7B" w:themeColor="accent3" w:themeShade="BF"/>
          <w:sz w:val="22"/>
          <w:szCs w:val="22"/>
          <w:lang w:val="en-GB"/>
        </w:rPr>
        <w:t>enterprises</w:t>
      </w:r>
      <w:r>
        <w:rPr>
          <w:rFonts w:ascii="Arial" w:hAnsi="Arial" w:cs="Arial"/>
          <w:color w:val="7B7B7B" w:themeColor="accent3" w:themeShade="BF"/>
          <w:sz w:val="22"/>
          <w:szCs w:val="22"/>
          <w:lang w:val="en-GB"/>
        </w:rPr>
        <w:t xml:space="preserve"> provided for in the Bankruptcy Law is very restricted and is often ineffective in allowing for the restructuring of </w:t>
      </w:r>
      <w:r w:rsidR="005D4133">
        <w:rPr>
          <w:rFonts w:ascii="Arial" w:hAnsi="Arial" w:cs="Arial"/>
          <w:color w:val="7B7B7B" w:themeColor="accent3" w:themeShade="BF"/>
          <w:sz w:val="22"/>
          <w:szCs w:val="22"/>
          <w:lang w:val="en-GB"/>
        </w:rPr>
        <w:t>such enterprises experiencing financial crisis.</w:t>
      </w: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7940D274" w14:textId="7DC99288" w:rsidR="00DF75F8" w:rsidRDefault="005D413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for restitution relates to a third party (having and) seeking the right to a restitution of assets that belong to i</w:t>
      </w:r>
      <w:r w:rsidR="00EB1E28">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but are in the possession of the bankrupt estate</w:t>
      </w:r>
      <w:r w:rsidR="00EB1E28">
        <w:rPr>
          <w:rFonts w:ascii="Arial" w:hAnsi="Arial" w:cs="Arial"/>
          <w:color w:val="7B7B7B" w:themeColor="accent3" w:themeShade="BF"/>
          <w:sz w:val="22"/>
          <w:szCs w:val="22"/>
          <w:lang w:val="en-GB"/>
        </w:rPr>
        <w:t>.</w:t>
      </w:r>
    </w:p>
    <w:p w14:paraId="3907658A" w14:textId="6BCF3BF7" w:rsidR="00E107BB" w:rsidRDefault="00E107BB" w:rsidP="002A37BB">
      <w:pPr>
        <w:jc w:val="both"/>
        <w:rPr>
          <w:rFonts w:ascii="Arial" w:hAnsi="Arial" w:cs="Arial"/>
          <w:color w:val="7B7B7B" w:themeColor="accent3" w:themeShade="BF"/>
          <w:sz w:val="22"/>
          <w:szCs w:val="22"/>
          <w:lang w:val="en-GB"/>
        </w:rPr>
      </w:pPr>
    </w:p>
    <w:p w14:paraId="083C74F6" w14:textId="677AEFB1" w:rsidR="00E107BB" w:rsidRDefault="00E107B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monies due as a result of a restitution lawsuit have to be paid in priority to all other claims (including super-priority claims).</w:t>
      </w:r>
    </w:p>
    <w:p w14:paraId="3DAA6780" w14:textId="2B82B6A0" w:rsidR="00962045" w:rsidRPr="002A1547" w:rsidRDefault="00962045"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Describe the process of proof of claims for a creditor, under a judicial recovery case, who (i)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2E5DD3C2" w:rsidR="00B72E42" w:rsidRDefault="00B72E42" w:rsidP="002A37BB">
      <w:pPr>
        <w:jc w:val="both"/>
        <w:rPr>
          <w:rFonts w:ascii="Arial" w:hAnsi="Arial" w:cs="Arial"/>
          <w:color w:val="000000" w:themeColor="text1"/>
          <w:sz w:val="22"/>
          <w:szCs w:val="22"/>
          <w:lang w:val="en-GB"/>
        </w:rPr>
      </w:pPr>
    </w:p>
    <w:p w14:paraId="4B042450" w14:textId="5A95C2C6" w:rsidR="003F681C" w:rsidRPr="00AC0ADA" w:rsidRDefault="00AC0ADA" w:rsidP="003F681C">
      <w:pPr>
        <w:jc w:val="both"/>
        <w:rPr>
          <w:rFonts w:ascii="Arial" w:hAnsi="Arial" w:cs="Arial"/>
          <w:color w:val="7B7B7B" w:themeColor="accent3" w:themeShade="BF"/>
          <w:sz w:val="22"/>
          <w:szCs w:val="22"/>
          <w:lang w:val="en-GB"/>
        </w:rPr>
      </w:pPr>
      <w:r w:rsidRPr="00AC0ADA">
        <w:rPr>
          <w:rFonts w:ascii="Arial" w:hAnsi="Arial" w:cs="Arial"/>
          <w:color w:val="7B7B7B" w:themeColor="accent3" w:themeShade="BF"/>
          <w:sz w:val="22"/>
          <w:szCs w:val="22"/>
          <w:lang w:val="en-GB"/>
        </w:rPr>
        <w:t>(i) a creditor was not listed in the first list of creditors (presented by the debtor)</w:t>
      </w:r>
    </w:p>
    <w:p w14:paraId="328EABA7" w14:textId="77777777" w:rsidR="00AC0ADA" w:rsidRDefault="00AC0ADA" w:rsidP="003F681C">
      <w:pPr>
        <w:jc w:val="both"/>
        <w:rPr>
          <w:rFonts w:ascii="Arial" w:hAnsi="Arial" w:cs="Arial"/>
          <w:sz w:val="22"/>
          <w:szCs w:val="22"/>
          <w:shd w:val="clear" w:color="auto" w:fill="FFFFFF"/>
          <w:lang w:val="en-GB"/>
        </w:rPr>
      </w:pPr>
    </w:p>
    <w:p w14:paraId="64A3E9A3" w14:textId="77777777" w:rsidR="00BA35D2" w:rsidRPr="00BA35D2" w:rsidRDefault="00BA35D2" w:rsidP="00BA35D2">
      <w:pPr>
        <w:jc w:val="both"/>
        <w:rPr>
          <w:rFonts w:ascii="Arial" w:hAnsi="Arial" w:cs="Arial"/>
          <w:color w:val="7B7B7B" w:themeColor="accent3" w:themeShade="BF"/>
          <w:sz w:val="22"/>
          <w:szCs w:val="22"/>
          <w:lang w:val="en-GB"/>
        </w:rPr>
      </w:pPr>
      <w:r w:rsidRPr="00BA35D2">
        <w:rPr>
          <w:rFonts w:ascii="Arial" w:hAnsi="Arial" w:cs="Arial"/>
          <w:color w:val="7B7B7B" w:themeColor="accent3" w:themeShade="BF"/>
          <w:sz w:val="22"/>
          <w:szCs w:val="22"/>
          <w:lang w:val="en-GB"/>
        </w:rPr>
        <w:t>Upon the publication of the first notice in the official press, creditors who are subject to the judicial recovery case have 15 days to submit their claims to the judicial administrator.</w:t>
      </w:r>
    </w:p>
    <w:p w14:paraId="12D49C08" w14:textId="7F46F827" w:rsidR="00BA35D2" w:rsidRDefault="00BA35D2" w:rsidP="003F681C">
      <w:pPr>
        <w:jc w:val="both"/>
        <w:rPr>
          <w:rFonts w:ascii="Arial" w:hAnsi="Arial" w:cs="Arial"/>
          <w:sz w:val="22"/>
          <w:szCs w:val="22"/>
          <w:shd w:val="clear" w:color="auto" w:fill="FFFFFF"/>
          <w:lang w:val="en-GB"/>
        </w:rPr>
      </w:pPr>
    </w:p>
    <w:p w14:paraId="60AAE1E8" w14:textId="14710BFD" w:rsidR="00BA35D2" w:rsidRPr="00BA35D2" w:rsidRDefault="00BA35D2" w:rsidP="003F681C">
      <w:pPr>
        <w:jc w:val="both"/>
        <w:rPr>
          <w:rFonts w:ascii="Arial" w:hAnsi="Arial" w:cs="Arial"/>
          <w:color w:val="7B7B7B" w:themeColor="accent3" w:themeShade="BF"/>
          <w:sz w:val="22"/>
          <w:szCs w:val="22"/>
          <w:lang w:val="en-GB"/>
        </w:rPr>
      </w:pPr>
      <w:r w:rsidRPr="00BA35D2">
        <w:rPr>
          <w:rFonts w:ascii="Arial" w:hAnsi="Arial" w:cs="Arial"/>
          <w:color w:val="7B7B7B" w:themeColor="accent3" w:themeShade="BF"/>
          <w:sz w:val="22"/>
          <w:szCs w:val="22"/>
          <w:lang w:val="en-GB"/>
        </w:rPr>
        <w:t>If the creditor does not submit a claim within the 15 day window</w:t>
      </w:r>
      <w:r w:rsidR="00AC0ADA">
        <w:rPr>
          <w:rFonts w:ascii="Arial" w:hAnsi="Arial" w:cs="Arial"/>
          <w:color w:val="7B7B7B" w:themeColor="accent3" w:themeShade="BF"/>
          <w:sz w:val="22"/>
          <w:szCs w:val="22"/>
          <w:lang w:val="en-GB"/>
        </w:rPr>
        <w:t xml:space="preserve"> (also known as the “administrative phase”)</w:t>
      </w:r>
      <w:r w:rsidRPr="00BA35D2">
        <w:rPr>
          <w:rFonts w:ascii="Arial" w:hAnsi="Arial" w:cs="Arial"/>
          <w:color w:val="7B7B7B" w:themeColor="accent3" w:themeShade="BF"/>
          <w:sz w:val="22"/>
          <w:szCs w:val="22"/>
          <w:lang w:val="en-GB"/>
        </w:rPr>
        <w:t>, its claim is then deemed to be a “late claim”, meaning that the creditor will not have the right to vote at the general meeting of creditors until such a point where his claim is recognised by the judge – this could leave the creditor at risk of bearing legal fees and judicial costs, in the event that its claim is successfully opposed by the debtor.</w:t>
      </w:r>
    </w:p>
    <w:p w14:paraId="2751BE24" w14:textId="77777777" w:rsidR="00BA35D2" w:rsidRDefault="00BA35D2" w:rsidP="003F681C">
      <w:pPr>
        <w:jc w:val="both"/>
        <w:rPr>
          <w:rFonts w:ascii="Arial" w:hAnsi="Arial" w:cs="Arial"/>
          <w:sz w:val="22"/>
          <w:szCs w:val="22"/>
          <w:shd w:val="clear" w:color="auto" w:fill="FFFFFF"/>
          <w:lang w:val="en-GB"/>
        </w:rPr>
      </w:pPr>
    </w:p>
    <w:p w14:paraId="1D9609C9" w14:textId="4FB72685" w:rsidR="00BA35D2" w:rsidRPr="009105D7" w:rsidRDefault="00AC0ADA" w:rsidP="003F681C">
      <w:pPr>
        <w:jc w:val="both"/>
        <w:rPr>
          <w:rFonts w:ascii="Arial" w:hAnsi="Arial" w:cs="Arial"/>
          <w:color w:val="7B7B7B" w:themeColor="accent3" w:themeShade="BF"/>
          <w:sz w:val="22"/>
          <w:szCs w:val="22"/>
          <w:lang w:val="en-GB"/>
        </w:rPr>
      </w:pPr>
      <w:r w:rsidRPr="009105D7">
        <w:rPr>
          <w:rFonts w:ascii="Arial" w:hAnsi="Arial" w:cs="Arial"/>
          <w:color w:val="7B7B7B" w:themeColor="accent3" w:themeShade="BF"/>
          <w:sz w:val="22"/>
          <w:szCs w:val="22"/>
          <w:lang w:val="en-GB"/>
        </w:rPr>
        <w:t xml:space="preserve">ii) a creditor who was not listed in the second list of creditors (presented by the judicial administrator) </w:t>
      </w:r>
    </w:p>
    <w:p w14:paraId="0B2B264D" w14:textId="77777777" w:rsidR="00BA35D2" w:rsidRPr="009105D7" w:rsidRDefault="00BA35D2" w:rsidP="003F681C">
      <w:pPr>
        <w:jc w:val="both"/>
        <w:rPr>
          <w:rFonts w:ascii="Arial" w:hAnsi="Arial" w:cs="Arial"/>
          <w:color w:val="7B7B7B" w:themeColor="accent3" w:themeShade="BF"/>
          <w:sz w:val="22"/>
          <w:szCs w:val="22"/>
          <w:lang w:val="en-GB"/>
        </w:rPr>
      </w:pPr>
    </w:p>
    <w:p w14:paraId="23DB3E90" w14:textId="6EF4BE5A" w:rsidR="00AC0ADA" w:rsidRPr="009105D7" w:rsidRDefault="00AC0ADA" w:rsidP="003F681C">
      <w:pPr>
        <w:jc w:val="both"/>
        <w:rPr>
          <w:rFonts w:ascii="Arial" w:hAnsi="Arial" w:cs="Arial"/>
          <w:color w:val="7B7B7B" w:themeColor="accent3" w:themeShade="BF"/>
          <w:sz w:val="22"/>
          <w:szCs w:val="22"/>
          <w:lang w:val="en-GB"/>
        </w:rPr>
      </w:pPr>
      <w:r w:rsidRPr="009105D7">
        <w:rPr>
          <w:rFonts w:ascii="Arial" w:hAnsi="Arial" w:cs="Arial"/>
          <w:color w:val="7B7B7B" w:themeColor="accent3" w:themeShade="BF"/>
          <w:sz w:val="22"/>
          <w:szCs w:val="22"/>
          <w:lang w:val="en-GB"/>
        </w:rPr>
        <w:t>Creditors have a 10 day window (also known as the “judicial phase”) to object to the</w:t>
      </w:r>
      <w:r w:rsidR="009105D7">
        <w:rPr>
          <w:rFonts w:ascii="Arial" w:hAnsi="Arial" w:cs="Arial"/>
          <w:color w:val="7B7B7B" w:themeColor="accent3" w:themeShade="BF"/>
          <w:sz w:val="22"/>
          <w:szCs w:val="22"/>
          <w:lang w:val="en-GB"/>
        </w:rPr>
        <w:t xml:space="preserve"> (second)</w:t>
      </w:r>
      <w:r w:rsidRPr="009105D7">
        <w:rPr>
          <w:rFonts w:ascii="Arial" w:hAnsi="Arial" w:cs="Arial"/>
          <w:color w:val="7B7B7B" w:themeColor="accent3" w:themeShade="BF"/>
          <w:sz w:val="22"/>
          <w:szCs w:val="22"/>
          <w:lang w:val="en-GB"/>
        </w:rPr>
        <w:t xml:space="preserve"> list of creditors, or argue that a claim is missing and must be listed.</w:t>
      </w:r>
    </w:p>
    <w:p w14:paraId="54C77C65" w14:textId="77777777" w:rsidR="00AC0ADA" w:rsidRPr="009105D7" w:rsidRDefault="00AC0ADA" w:rsidP="003F681C">
      <w:pPr>
        <w:jc w:val="both"/>
        <w:rPr>
          <w:rFonts w:ascii="Arial" w:hAnsi="Arial" w:cs="Arial"/>
          <w:color w:val="7B7B7B" w:themeColor="accent3" w:themeShade="BF"/>
          <w:sz w:val="22"/>
          <w:szCs w:val="22"/>
          <w:lang w:val="en-GB"/>
        </w:rPr>
      </w:pPr>
    </w:p>
    <w:p w14:paraId="46D8685D" w14:textId="77455145" w:rsidR="003F681C" w:rsidRPr="009105D7" w:rsidRDefault="00AC0ADA" w:rsidP="003F681C">
      <w:pPr>
        <w:jc w:val="both"/>
        <w:rPr>
          <w:rFonts w:ascii="Arial" w:hAnsi="Arial" w:cs="Arial"/>
          <w:color w:val="7B7B7B" w:themeColor="accent3" w:themeShade="BF"/>
          <w:sz w:val="22"/>
          <w:szCs w:val="22"/>
          <w:lang w:val="en-GB"/>
        </w:rPr>
      </w:pPr>
      <w:r w:rsidRPr="009105D7">
        <w:rPr>
          <w:rFonts w:ascii="Arial" w:hAnsi="Arial" w:cs="Arial"/>
          <w:color w:val="7B7B7B" w:themeColor="accent3" w:themeShade="BF"/>
          <w:sz w:val="22"/>
          <w:szCs w:val="22"/>
          <w:lang w:val="en-GB"/>
        </w:rPr>
        <w:t>Objections are run under separate case records and are given their own case numbers</w:t>
      </w:r>
      <w:r w:rsidR="009105D7">
        <w:rPr>
          <w:rFonts w:ascii="Arial" w:hAnsi="Arial" w:cs="Arial"/>
          <w:color w:val="7B7B7B" w:themeColor="accent3" w:themeShade="BF"/>
          <w:sz w:val="22"/>
          <w:szCs w:val="22"/>
          <w:lang w:val="en-GB"/>
        </w:rPr>
        <w:t>. G</w:t>
      </w:r>
      <w:r w:rsidRPr="009105D7">
        <w:rPr>
          <w:rFonts w:ascii="Arial" w:hAnsi="Arial" w:cs="Arial"/>
          <w:color w:val="7B7B7B" w:themeColor="accent3" w:themeShade="BF"/>
          <w:sz w:val="22"/>
          <w:szCs w:val="22"/>
          <w:lang w:val="en-GB"/>
        </w:rPr>
        <w:t xml:space="preserve">iven that </w:t>
      </w:r>
      <w:r w:rsidR="009105D7" w:rsidRPr="009105D7">
        <w:rPr>
          <w:rFonts w:ascii="Arial" w:hAnsi="Arial" w:cs="Arial"/>
          <w:color w:val="7B7B7B" w:themeColor="accent3" w:themeShade="BF"/>
          <w:sz w:val="22"/>
          <w:szCs w:val="22"/>
          <w:lang w:val="en-GB"/>
        </w:rPr>
        <w:t xml:space="preserve">objections </w:t>
      </w:r>
      <w:r w:rsidRPr="009105D7">
        <w:rPr>
          <w:rFonts w:ascii="Arial" w:hAnsi="Arial" w:cs="Arial"/>
          <w:color w:val="7B7B7B" w:themeColor="accent3" w:themeShade="BF"/>
          <w:sz w:val="22"/>
          <w:szCs w:val="22"/>
          <w:lang w:val="en-GB"/>
        </w:rPr>
        <w:t xml:space="preserve">to claims take place in court, it is the creditor who bears the risk of the </w:t>
      </w:r>
      <w:r w:rsidR="009105D7" w:rsidRPr="009105D7">
        <w:rPr>
          <w:rFonts w:ascii="Arial" w:hAnsi="Arial" w:cs="Arial"/>
          <w:color w:val="7B7B7B" w:themeColor="accent3" w:themeShade="BF"/>
          <w:sz w:val="22"/>
          <w:szCs w:val="22"/>
          <w:lang w:val="en-GB"/>
        </w:rPr>
        <w:t>objection being unsuccessful</w:t>
      </w:r>
      <w:r w:rsidR="009105D7">
        <w:rPr>
          <w:rFonts w:ascii="Arial" w:hAnsi="Arial" w:cs="Arial"/>
          <w:color w:val="7B7B7B" w:themeColor="accent3" w:themeShade="BF"/>
          <w:sz w:val="22"/>
          <w:szCs w:val="22"/>
          <w:lang w:val="en-GB"/>
        </w:rPr>
        <w:t>.</w:t>
      </w:r>
      <w:r w:rsidR="009105D7" w:rsidRPr="009105D7">
        <w:rPr>
          <w:rFonts w:ascii="Arial" w:hAnsi="Arial" w:cs="Arial"/>
          <w:color w:val="7B7B7B" w:themeColor="accent3" w:themeShade="BF"/>
          <w:sz w:val="22"/>
          <w:szCs w:val="22"/>
          <w:lang w:val="en-GB"/>
        </w:rPr>
        <w:t xml:space="preserve"> </w:t>
      </w:r>
      <w:r w:rsidR="009105D7">
        <w:rPr>
          <w:rFonts w:ascii="Arial" w:hAnsi="Arial" w:cs="Arial"/>
          <w:color w:val="7B7B7B" w:themeColor="accent3" w:themeShade="BF"/>
          <w:sz w:val="22"/>
          <w:szCs w:val="22"/>
          <w:lang w:val="en-GB"/>
        </w:rPr>
        <w:t>I</w:t>
      </w:r>
      <w:r w:rsidR="009105D7" w:rsidRPr="00BA35D2">
        <w:rPr>
          <w:rFonts w:ascii="Arial" w:hAnsi="Arial" w:cs="Arial"/>
          <w:color w:val="7B7B7B" w:themeColor="accent3" w:themeShade="BF"/>
          <w:sz w:val="22"/>
          <w:szCs w:val="22"/>
          <w:lang w:val="en-GB"/>
        </w:rPr>
        <w:t xml:space="preserve">n the event that </w:t>
      </w:r>
      <w:r w:rsidR="009105D7">
        <w:rPr>
          <w:rFonts w:ascii="Arial" w:hAnsi="Arial" w:cs="Arial"/>
          <w:color w:val="7B7B7B" w:themeColor="accent3" w:themeShade="BF"/>
          <w:sz w:val="22"/>
          <w:szCs w:val="22"/>
          <w:lang w:val="en-GB"/>
        </w:rPr>
        <w:t>the</w:t>
      </w:r>
      <w:r w:rsidR="009105D7" w:rsidRPr="009105D7">
        <w:rPr>
          <w:rFonts w:ascii="Arial" w:hAnsi="Arial" w:cs="Arial"/>
          <w:color w:val="7B7B7B" w:themeColor="accent3" w:themeShade="BF"/>
          <w:sz w:val="22"/>
          <w:szCs w:val="22"/>
          <w:lang w:val="en-GB"/>
        </w:rPr>
        <w:t xml:space="preserve"> creditor</w:t>
      </w:r>
      <w:r w:rsidR="009105D7">
        <w:rPr>
          <w:rFonts w:ascii="Arial" w:hAnsi="Arial" w:cs="Arial"/>
          <w:color w:val="7B7B7B" w:themeColor="accent3" w:themeShade="BF"/>
          <w:sz w:val="22"/>
          <w:szCs w:val="22"/>
          <w:lang w:val="en-GB"/>
        </w:rPr>
        <w:t>’s objection is unsuccessful, it</w:t>
      </w:r>
      <w:r w:rsidR="009105D7" w:rsidRPr="009105D7">
        <w:rPr>
          <w:rFonts w:ascii="Arial" w:hAnsi="Arial" w:cs="Arial"/>
          <w:color w:val="7B7B7B" w:themeColor="accent3" w:themeShade="BF"/>
          <w:sz w:val="22"/>
          <w:szCs w:val="22"/>
          <w:lang w:val="en-GB"/>
        </w:rPr>
        <w:t xml:space="preserve"> may be ordered to pay the </w:t>
      </w:r>
      <w:r w:rsidR="009105D7" w:rsidRPr="00BA35D2">
        <w:rPr>
          <w:rFonts w:ascii="Arial" w:hAnsi="Arial" w:cs="Arial"/>
          <w:color w:val="7B7B7B" w:themeColor="accent3" w:themeShade="BF"/>
          <w:sz w:val="22"/>
          <w:szCs w:val="22"/>
          <w:lang w:val="en-GB"/>
        </w:rPr>
        <w:t>legal fees and judicial costs</w:t>
      </w:r>
      <w:r w:rsidR="009105D7">
        <w:rPr>
          <w:rFonts w:ascii="Arial" w:hAnsi="Arial" w:cs="Arial"/>
          <w:color w:val="7B7B7B" w:themeColor="accent3" w:themeShade="BF"/>
          <w:sz w:val="22"/>
          <w:szCs w:val="22"/>
          <w:lang w:val="en-GB"/>
        </w:rPr>
        <w:t xml:space="preserve"> incurred as a result of its challenge. </w:t>
      </w:r>
    </w:p>
    <w:p w14:paraId="69D1FF85" w14:textId="38448156" w:rsidR="003F681C" w:rsidRDefault="003F681C" w:rsidP="003F681C">
      <w:pPr>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any defen</w:t>
      </w:r>
      <w:r w:rsidR="00127435">
        <w:rPr>
          <w:rFonts w:ascii="Arial" w:hAnsi="Arial" w:cs="Arial"/>
          <w:sz w:val="22"/>
          <w:szCs w:val="22"/>
        </w:rPr>
        <w:t>c</w:t>
      </w:r>
      <w:r w:rsidR="00D56515">
        <w:rPr>
          <w:rFonts w:ascii="Arial" w:hAnsi="Arial" w:cs="Arial"/>
          <w:sz w:val="22"/>
          <w:szCs w:val="22"/>
        </w:rPr>
        <w:t xml:space="preserve">e that may be presented by </w:t>
      </w:r>
      <w:r>
        <w:rPr>
          <w:rFonts w:ascii="Arial" w:hAnsi="Arial" w:cs="Arial"/>
          <w:sz w:val="22"/>
          <w:szCs w:val="22"/>
        </w:rPr>
        <w:t xml:space="preserve">Empreendimentos </w:t>
      </w:r>
      <w:r w:rsidR="00D56515">
        <w:rPr>
          <w:rFonts w:ascii="Arial" w:hAnsi="Arial" w:cs="Arial"/>
          <w:sz w:val="22"/>
          <w:szCs w:val="22"/>
        </w:rPr>
        <w:t>in order</w:t>
      </w:r>
      <w:r>
        <w:rPr>
          <w:rFonts w:ascii="Arial" w:hAnsi="Arial" w:cs="Arial"/>
          <w:sz w:val="22"/>
          <w:szCs w:val="22"/>
        </w:rPr>
        <w:t xml:space="preserve"> to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3C9C2508" w14:textId="76B050A3" w:rsidR="001A007A" w:rsidRDefault="002111E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94 of the Bankruptcy Law, there are three situations that allow the commencement of an involuntary bankruptcy procedure in Brazil</w:t>
      </w:r>
      <w:r w:rsidR="00633C8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may be requested by </w:t>
      </w:r>
      <w:r w:rsidRPr="002111EA">
        <w:rPr>
          <w:rFonts w:ascii="Arial" w:hAnsi="Arial" w:cs="Arial"/>
          <w:i/>
          <w:iCs/>
          <w:color w:val="7B7B7B" w:themeColor="accent3" w:themeShade="BF"/>
          <w:sz w:val="22"/>
          <w:szCs w:val="22"/>
          <w:lang w:val="en-GB"/>
        </w:rPr>
        <w:t>any</w:t>
      </w:r>
      <w:r>
        <w:rPr>
          <w:rFonts w:ascii="Arial" w:hAnsi="Arial" w:cs="Arial"/>
          <w:i/>
          <w:iCs/>
          <w:color w:val="7B7B7B" w:themeColor="accent3" w:themeShade="BF"/>
          <w:sz w:val="22"/>
          <w:szCs w:val="22"/>
          <w:lang w:val="en-GB"/>
        </w:rPr>
        <w:t>*</w:t>
      </w:r>
      <w:r>
        <w:rPr>
          <w:rFonts w:ascii="Arial" w:hAnsi="Arial" w:cs="Arial"/>
          <w:color w:val="7B7B7B" w:themeColor="accent3" w:themeShade="BF"/>
          <w:sz w:val="22"/>
          <w:szCs w:val="22"/>
          <w:lang w:val="en-GB"/>
        </w:rPr>
        <w:t xml:space="preserve"> creditor.</w:t>
      </w:r>
    </w:p>
    <w:p w14:paraId="23181CCD" w14:textId="6F15B53E" w:rsidR="002111EA" w:rsidRDefault="002111EA" w:rsidP="001A007A">
      <w:pPr>
        <w:autoSpaceDE w:val="0"/>
        <w:autoSpaceDN w:val="0"/>
        <w:adjustRightInd w:val="0"/>
        <w:jc w:val="both"/>
        <w:rPr>
          <w:rFonts w:ascii="Arial" w:hAnsi="Arial" w:cs="Arial"/>
          <w:color w:val="7B7B7B" w:themeColor="accent3" w:themeShade="BF"/>
          <w:sz w:val="22"/>
          <w:szCs w:val="22"/>
          <w:lang w:val="en-GB"/>
        </w:rPr>
      </w:pPr>
    </w:p>
    <w:p w14:paraId="2ED70462" w14:textId="5D50D4D4" w:rsidR="002111EA" w:rsidRDefault="002111E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creditor is an individual entrepreneur or a business legal entity, he/it must prove the regularity of the business by showing a certificate from the Board of Trade. If the creditor is not domiciled in Brazil, he/it must post a pond of sufficient value for the payment of costs and fees of the proceeding, as well as for the payment of the indemnification. </w:t>
      </w:r>
    </w:p>
    <w:p w14:paraId="0101B9DD" w14:textId="3A43F587" w:rsidR="002111EA" w:rsidRDefault="002111EA" w:rsidP="001A007A">
      <w:pPr>
        <w:autoSpaceDE w:val="0"/>
        <w:autoSpaceDN w:val="0"/>
        <w:adjustRightInd w:val="0"/>
        <w:jc w:val="both"/>
        <w:rPr>
          <w:rFonts w:ascii="Arial" w:hAnsi="Arial" w:cs="Arial"/>
          <w:color w:val="7B7B7B" w:themeColor="accent3" w:themeShade="BF"/>
          <w:sz w:val="22"/>
          <w:szCs w:val="22"/>
          <w:lang w:val="en-GB"/>
        </w:rPr>
      </w:pPr>
    </w:p>
    <w:p w14:paraId="5C2F1642" w14:textId="66F1A133" w:rsidR="002111EA" w:rsidRPr="002A1547" w:rsidRDefault="002111EA" w:rsidP="001A007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Whilst we note that Braz Bank is a Brazilian bank, we need to determine whether it is actually domiciled in Brazil. </w:t>
      </w:r>
    </w:p>
    <w:p w14:paraId="4810DD57" w14:textId="70B9CEC7" w:rsidR="00125EB2" w:rsidRDefault="00125EB2" w:rsidP="00087F21">
      <w:pPr>
        <w:jc w:val="both"/>
        <w:rPr>
          <w:rFonts w:ascii="Arial" w:hAnsi="Arial" w:cs="Arial"/>
          <w:sz w:val="22"/>
          <w:szCs w:val="22"/>
          <w:lang w:val="en-GB"/>
        </w:rPr>
      </w:pPr>
    </w:p>
    <w:p w14:paraId="233E9790" w14:textId="4F2A7BD9" w:rsidR="002111EA" w:rsidRDefault="00DC6AEF"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w:t>
      </w:r>
      <w:r w:rsidR="004D36A6">
        <w:rPr>
          <w:rFonts w:ascii="Arial" w:hAnsi="Arial" w:cs="Arial"/>
          <w:color w:val="7B7B7B" w:themeColor="accent3" w:themeShade="BF"/>
          <w:sz w:val="22"/>
          <w:szCs w:val="22"/>
          <w:lang w:val="en-GB"/>
        </w:rPr>
        <w:t xml:space="preserve"> of the thre</w:t>
      </w:r>
      <w:r w:rsidR="00633C88">
        <w:rPr>
          <w:rFonts w:ascii="Arial" w:hAnsi="Arial" w:cs="Arial"/>
          <w:color w:val="7B7B7B" w:themeColor="accent3" w:themeShade="BF"/>
          <w:sz w:val="22"/>
          <w:szCs w:val="22"/>
          <w:lang w:val="en-GB"/>
        </w:rPr>
        <w:t xml:space="preserve">e situations that allow the commencement of an involuntary bankruptcy procedure in Brazil </w:t>
      </w:r>
      <w:r>
        <w:rPr>
          <w:rFonts w:ascii="Arial" w:hAnsi="Arial" w:cs="Arial"/>
          <w:color w:val="7B7B7B" w:themeColor="accent3" w:themeShade="BF"/>
          <w:sz w:val="22"/>
          <w:szCs w:val="22"/>
          <w:lang w:val="en-GB"/>
        </w:rPr>
        <w:t>is</w:t>
      </w:r>
      <w:r w:rsidR="00633C88">
        <w:rPr>
          <w:rFonts w:ascii="Arial" w:hAnsi="Arial" w:cs="Arial"/>
          <w:color w:val="7B7B7B" w:themeColor="accent3" w:themeShade="BF"/>
          <w:sz w:val="22"/>
          <w:szCs w:val="22"/>
          <w:lang w:val="en-GB"/>
        </w:rPr>
        <w:t>:</w:t>
      </w:r>
    </w:p>
    <w:p w14:paraId="783A5EEE" w14:textId="7258D66E" w:rsidR="00633C88" w:rsidRDefault="00633C88" w:rsidP="004D36A6">
      <w:pPr>
        <w:autoSpaceDE w:val="0"/>
        <w:autoSpaceDN w:val="0"/>
        <w:adjustRightInd w:val="0"/>
        <w:jc w:val="both"/>
        <w:rPr>
          <w:rFonts w:ascii="Arial" w:hAnsi="Arial" w:cs="Arial"/>
          <w:color w:val="7B7B7B" w:themeColor="accent3" w:themeShade="BF"/>
          <w:sz w:val="22"/>
          <w:szCs w:val="22"/>
          <w:lang w:val="en-GB"/>
        </w:rPr>
      </w:pPr>
    </w:p>
    <w:p w14:paraId="55273178" w14:textId="1C446625" w:rsidR="00633C88" w:rsidRPr="004D36A6" w:rsidRDefault="00633C88" w:rsidP="004D36A6">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sidRPr="004D36A6">
        <w:rPr>
          <w:rFonts w:ascii="Arial" w:hAnsi="Arial" w:cs="Arial"/>
          <w:color w:val="7B7B7B" w:themeColor="accent3" w:themeShade="BF"/>
          <w:sz w:val="22"/>
          <w:szCs w:val="22"/>
          <w:lang w:val="en-GB"/>
        </w:rPr>
        <w:t>The debtor</w:t>
      </w:r>
      <w:r w:rsidR="004D36A6" w:rsidRPr="004D36A6">
        <w:rPr>
          <w:rFonts w:ascii="Arial" w:hAnsi="Arial" w:cs="Arial"/>
          <w:color w:val="7B7B7B" w:themeColor="accent3" w:themeShade="BF"/>
          <w:sz w:val="22"/>
          <w:szCs w:val="22"/>
          <w:lang w:val="en-GB"/>
        </w:rPr>
        <w:t>, without a relevant reason under the law, does not pay on the due date a debt that is certain on its value (divida liquida) and expressed in one or more extra-judicially or judicially enforceable titles duly protested, the sum of which exceeds the equivalent of 40 minimum wages on the date of the petition for bankruptcy</w:t>
      </w:r>
      <w:r w:rsidR="00DC6AEF">
        <w:rPr>
          <w:rFonts w:ascii="Arial" w:hAnsi="Arial" w:cs="Arial"/>
          <w:color w:val="7B7B7B" w:themeColor="accent3" w:themeShade="BF"/>
          <w:sz w:val="22"/>
          <w:szCs w:val="22"/>
          <w:lang w:val="en-GB"/>
        </w:rPr>
        <w:t>.</w:t>
      </w:r>
    </w:p>
    <w:p w14:paraId="3783D8BE" w14:textId="2A75D57B" w:rsidR="00125EB2" w:rsidRDefault="00125EB2" w:rsidP="00087F21">
      <w:pPr>
        <w:jc w:val="both"/>
        <w:rPr>
          <w:rFonts w:ascii="Arial" w:hAnsi="Arial" w:cs="Arial"/>
          <w:sz w:val="22"/>
          <w:szCs w:val="22"/>
          <w:lang w:val="en-GB"/>
        </w:rPr>
      </w:pPr>
    </w:p>
    <w:p w14:paraId="058B90A6" w14:textId="309D420F" w:rsidR="00127435" w:rsidRDefault="004D36A6" w:rsidP="00087F21">
      <w:pPr>
        <w:jc w:val="both"/>
        <w:rPr>
          <w:rFonts w:ascii="Arial" w:hAnsi="Arial" w:cs="Arial"/>
          <w:color w:val="7B7B7B" w:themeColor="accent3" w:themeShade="BF"/>
          <w:sz w:val="22"/>
          <w:szCs w:val="22"/>
          <w:lang w:val="en-GB"/>
        </w:rPr>
      </w:pPr>
      <w:r w:rsidRPr="00DC6AEF">
        <w:rPr>
          <w:rFonts w:ascii="Arial" w:hAnsi="Arial" w:cs="Arial"/>
          <w:color w:val="7B7B7B" w:themeColor="accent3" w:themeShade="BF"/>
          <w:sz w:val="22"/>
          <w:szCs w:val="22"/>
          <w:lang w:val="en-GB"/>
        </w:rPr>
        <w:t xml:space="preserve">As far as we are aware from the facts of the question, Empreendimentos </w:t>
      </w:r>
      <w:r w:rsidR="00DC6AEF" w:rsidRPr="00DC6AEF">
        <w:rPr>
          <w:rFonts w:ascii="Arial" w:hAnsi="Arial" w:cs="Arial"/>
          <w:color w:val="7B7B7B" w:themeColor="accent3" w:themeShade="BF"/>
          <w:sz w:val="22"/>
          <w:szCs w:val="22"/>
          <w:lang w:val="en-GB"/>
        </w:rPr>
        <w:t>has</w:t>
      </w:r>
      <w:r w:rsidR="00DC6AEF" w:rsidRPr="004D36A6">
        <w:rPr>
          <w:rFonts w:ascii="Arial" w:hAnsi="Arial" w:cs="Arial"/>
          <w:color w:val="7B7B7B" w:themeColor="accent3" w:themeShade="BF"/>
          <w:sz w:val="22"/>
          <w:szCs w:val="22"/>
          <w:lang w:val="en-GB"/>
        </w:rPr>
        <w:t xml:space="preserve">, without a relevant reason under the law, </w:t>
      </w:r>
      <w:r w:rsidR="00DC6AEF">
        <w:rPr>
          <w:rFonts w:ascii="Arial" w:hAnsi="Arial" w:cs="Arial"/>
          <w:color w:val="7B7B7B" w:themeColor="accent3" w:themeShade="BF"/>
          <w:sz w:val="22"/>
          <w:szCs w:val="22"/>
          <w:lang w:val="en-GB"/>
        </w:rPr>
        <w:t>failed to</w:t>
      </w:r>
      <w:r w:rsidR="00DC6AEF" w:rsidRPr="004D36A6">
        <w:rPr>
          <w:rFonts w:ascii="Arial" w:hAnsi="Arial" w:cs="Arial"/>
          <w:color w:val="7B7B7B" w:themeColor="accent3" w:themeShade="BF"/>
          <w:sz w:val="22"/>
          <w:szCs w:val="22"/>
          <w:lang w:val="en-GB"/>
        </w:rPr>
        <w:t xml:space="preserve"> pay on the due date a debt that is certain on its value (divida liquida) and expressed in one or more extra-judicially or judicially enforceable titles duly protested, the sum of which exceeds the equivalent of 40 minimum wages on the date of the petition for bankruptcy</w:t>
      </w:r>
      <w:r w:rsidR="00DC6AEF">
        <w:rPr>
          <w:rFonts w:ascii="Arial" w:hAnsi="Arial" w:cs="Arial"/>
          <w:color w:val="7B7B7B" w:themeColor="accent3" w:themeShade="BF"/>
          <w:sz w:val="22"/>
          <w:szCs w:val="22"/>
          <w:lang w:val="en-GB"/>
        </w:rPr>
        <w:t xml:space="preserve">. As noted above, </w:t>
      </w:r>
      <w:r w:rsidR="00DC6AEF" w:rsidRPr="00DC6AEF">
        <w:rPr>
          <w:rFonts w:ascii="Arial" w:hAnsi="Arial" w:cs="Arial"/>
          <w:color w:val="7B7B7B" w:themeColor="accent3" w:themeShade="BF"/>
          <w:sz w:val="22"/>
          <w:szCs w:val="22"/>
          <w:lang w:val="en-GB"/>
        </w:rPr>
        <w:t>the loan Empreendimentos has defaulted on was valued at BRL 1,000,000 (one million reais)</w:t>
      </w:r>
      <w:r w:rsidR="00DC6AEF">
        <w:rPr>
          <w:rFonts w:ascii="Arial" w:hAnsi="Arial" w:cs="Arial"/>
          <w:color w:val="7B7B7B" w:themeColor="accent3" w:themeShade="BF"/>
          <w:sz w:val="22"/>
          <w:szCs w:val="22"/>
          <w:lang w:val="en-GB"/>
        </w:rPr>
        <w:t xml:space="preserve">, meaning that Braz Bank does have grounds for filing an involuntary bankruptcy proceeding against Empreendimentos. </w:t>
      </w:r>
    </w:p>
    <w:p w14:paraId="1BFC0774" w14:textId="2EB6A3FD" w:rsidR="00DC6AEF" w:rsidRDefault="00DC6AEF" w:rsidP="00087F21">
      <w:pPr>
        <w:jc w:val="both"/>
        <w:rPr>
          <w:rFonts w:ascii="Arial" w:hAnsi="Arial" w:cs="Arial"/>
          <w:color w:val="7B7B7B" w:themeColor="accent3" w:themeShade="BF"/>
          <w:sz w:val="22"/>
          <w:szCs w:val="22"/>
          <w:lang w:val="en-GB"/>
        </w:rPr>
      </w:pPr>
    </w:p>
    <w:p w14:paraId="2FBDF940" w14:textId="56C553C0" w:rsidR="00DC6AEF" w:rsidRDefault="00DC6AEF"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service, Empreedimentos would have 10 days to present its defence against the involuntary bankruptcy petition</w:t>
      </w:r>
      <w:r w:rsidR="007E0126">
        <w:rPr>
          <w:rFonts w:ascii="Arial" w:hAnsi="Arial" w:cs="Arial"/>
          <w:color w:val="7B7B7B" w:themeColor="accent3" w:themeShade="BF"/>
          <w:sz w:val="22"/>
          <w:szCs w:val="22"/>
          <w:lang w:val="en-GB"/>
        </w:rPr>
        <w:t xml:space="preserve"> – Article 96 of the Bankruptcy Law contains a list of facts that can prevent a bankruptcy decree, being:</w:t>
      </w:r>
    </w:p>
    <w:p w14:paraId="6B2ACA2F" w14:textId="639B5A51" w:rsidR="007E0126" w:rsidRDefault="007E0126" w:rsidP="00087F21">
      <w:pPr>
        <w:jc w:val="both"/>
        <w:rPr>
          <w:rFonts w:ascii="Arial" w:hAnsi="Arial" w:cs="Arial"/>
          <w:color w:val="7B7B7B" w:themeColor="accent3" w:themeShade="BF"/>
          <w:sz w:val="22"/>
          <w:szCs w:val="22"/>
          <w:lang w:val="en-GB"/>
        </w:rPr>
      </w:pPr>
    </w:p>
    <w:p w14:paraId="59E4CF55" w14:textId="51A7099B" w:rsidR="007E0126" w:rsidRDefault="007E0126" w:rsidP="007E0126">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Falsity of the title presented by the creditor;</w:t>
      </w:r>
    </w:p>
    <w:p w14:paraId="102850CC" w14:textId="084C69BA" w:rsidR="007E0126" w:rsidRDefault="007E0126" w:rsidP="007E0126">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Statute of limitations applies to the case;</w:t>
      </w:r>
    </w:p>
    <w:p w14:paraId="7680C275" w14:textId="5F65DB6F" w:rsidR="007E0126" w:rsidRDefault="007E0126" w:rsidP="007E0126">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Nullity of the obligation or its title;</w:t>
      </w:r>
    </w:p>
    <w:p w14:paraId="55788BC9" w14:textId="08B9EA80" w:rsidR="007E0126" w:rsidRDefault="007E0126" w:rsidP="007E0126">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 has already been paid;</w:t>
      </w:r>
    </w:p>
    <w:p w14:paraId="44D3FAED" w14:textId="5066A4E1" w:rsidR="007E0126" w:rsidRDefault="007E0126" w:rsidP="007E0126">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face that extinguishes or suspents the obligation, or does not legitimise the collection of the claim presented by the creditor;</w:t>
      </w:r>
    </w:p>
    <w:p w14:paraId="0CD0297A" w14:textId="54FEEC8F" w:rsidR="007E0126" w:rsidRDefault="007E0126" w:rsidP="007E0126">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Defect in the protest or its instrument;</w:t>
      </w:r>
    </w:p>
    <w:p w14:paraId="52C61492" w14:textId="4B89E2D2" w:rsidR="007E0126" w:rsidRDefault="007E0126" w:rsidP="007E0126">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Filing of a petition for judicial recovery during the 10-day term that the debtor has to oppose the request for bankruptcy; and</w:t>
      </w:r>
    </w:p>
    <w:p w14:paraId="26659B34" w14:textId="58C653CE" w:rsidR="007E0126" w:rsidRPr="007E0126" w:rsidRDefault="007E0126" w:rsidP="007E0126">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Cessation of corporate activities for more than two years prior to the petition in bankruptcy, evidenced by a proper document of the Board of Trade, which must not prevail against evidence that the debtor has, in fact, developed his business activities any time during the referred period. </w:t>
      </w:r>
    </w:p>
    <w:p w14:paraId="624D4162" w14:textId="48D237E6" w:rsidR="00127435" w:rsidRPr="004E682E" w:rsidRDefault="00127435" w:rsidP="00087F21">
      <w:pPr>
        <w:jc w:val="both"/>
        <w:rPr>
          <w:rFonts w:ascii="Arial" w:hAnsi="Arial" w:cs="Arial"/>
          <w:color w:val="7B7B7B" w:themeColor="accent3" w:themeShade="BF"/>
          <w:sz w:val="22"/>
          <w:szCs w:val="22"/>
          <w:lang w:val="en-GB"/>
        </w:rPr>
      </w:pPr>
    </w:p>
    <w:p w14:paraId="43B75097" w14:textId="753BA26B" w:rsidR="00127435" w:rsidRPr="004E682E" w:rsidRDefault="00BD5E0D" w:rsidP="00087F21">
      <w:pPr>
        <w:jc w:val="both"/>
        <w:rPr>
          <w:rFonts w:ascii="Arial" w:hAnsi="Arial" w:cs="Arial"/>
          <w:color w:val="7B7B7B" w:themeColor="accent3" w:themeShade="BF"/>
          <w:sz w:val="22"/>
          <w:szCs w:val="22"/>
          <w:lang w:val="en-GB"/>
        </w:rPr>
      </w:pPr>
      <w:r w:rsidRPr="004E682E">
        <w:rPr>
          <w:rFonts w:ascii="Arial" w:hAnsi="Arial" w:cs="Arial"/>
          <w:color w:val="7B7B7B" w:themeColor="accent3" w:themeShade="BF"/>
          <w:sz w:val="22"/>
          <w:szCs w:val="22"/>
          <w:lang w:val="en-GB"/>
        </w:rPr>
        <w:t>As a result, anything from the above list may be presented by Empreendimentos in order to ensure that the court will not declare its bankruptcy under any circumstances</w:t>
      </w:r>
      <w:r w:rsidR="004E682E" w:rsidRPr="004E682E">
        <w:rPr>
          <w:rFonts w:ascii="Arial" w:hAnsi="Arial" w:cs="Arial"/>
          <w:color w:val="7B7B7B" w:themeColor="accent3" w:themeShade="BF"/>
          <w:sz w:val="22"/>
          <w:szCs w:val="22"/>
          <w:lang w:val="en-GB"/>
        </w:rPr>
        <w:t>.</w:t>
      </w:r>
    </w:p>
    <w:p w14:paraId="18BA655E" w14:textId="77777777" w:rsidR="00BD5E0D" w:rsidRPr="002A1547" w:rsidRDefault="00BD5E0D"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Brasil Autoparts SA and Oil Brasil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626FA5C6" w14:textId="394A6B4F" w:rsidR="002D3473" w:rsidRDefault="0057157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judicial recovery plan to be approved by creditors secured by in rem guarantees, Empreendimentos will need favourable votes from the majority of such creditors by head count and by value of the claims of the attending creditors. </w:t>
      </w:r>
    </w:p>
    <w:p w14:paraId="77038FAF" w14:textId="5EAC328B" w:rsidR="00571576" w:rsidRDefault="00571576" w:rsidP="00087F21">
      <w:pPr>
        <w:autoSpaceDE w:val="0"/>
        <w:autoSpaceDN w:val="0"/>
        <w:adjustRightInd w:val="0"/>
        <w:jc w:val="both"/>
        <w:rPr>
          <w:rFonts w:ascii="Arial" w:hAnsi="Arial" w:cs="Arial"/>
          <w:color w:val="7B7B7B" w:themeColor="accent3" w:themeShade="BF"/>
          <w:sz w:val="22"/>
          <w:szCs w:val="22"/>
          <w:lang w:val="en-GB"/>
        </w:rPr>
      </w:pPr>
    </w:p>
    <w:p w14:paraId="0F1BF603" w14:textId="1A751BF7" w:rsidR="00571576" w:rsidRDefault="0057157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Should all creditors secured by in rem guarantees attend and vote, Braz Bank SA will hold 52% of the votes</w:t>
      </w:r>
      <w:r w:rsidR="006C703C">
        <w:rPr>
          <w:rFonts w:ascii="Arial" w:hAnsi="Arial" w:cs="Arial"/>
          <w:color w:val="7B7B7B" w:themeColor="accent3" w:themeShade="BF"/>
          <w:sz w:val="22"/>
          <w:szCs w:val="22"/>
          <w:lang w:val="en-GB"/>
        </w:rPr>
        <w:t>, however, for the judicial recovery plan to be approved, Empreendimentos also needs a majority by head count – if Braz Bank SA is the only (secured) creditor to vote in favour, it will not meet the criteria for approval.</w:t>
      </w:r>
    </w:p>
    <w:p w14:paraId="19BE9558" w14:textId="3F7416CD" w:rsidR="006C703C" w:rsidRDefault="006C703C" w:rsidP="00087F21">
      <w:pPr>
        <w:autoSpaceDE w:val="0"/>
        <w:autoSpaceDN w:val="0"/>
        <w:adjustRightInd w:val="0"/>
        <w:jc w:val="both"/>
        <w:rPr>
          <w:rFonts w:ascii="Arial" w:hAnsi="Arial" w:cs="Arial"/>
          <w:color w:val="7B7B7B" w:themeColor="accent3" w:themeShade="BF"/>
          <w:sz w:val="22"/>
          <w:szCs w:val="22"/>
          <w:lang w:val="en-GB"/>
        </w:rPr>
      </w:pPr>
    </w:p>
    <w:p w14:paraId="0C6AEF96" w14:textId="70B4829A" w:rsidR="00603560" w:rsidRDefault="006C703C"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NB, the only creditors who are eligible to vote on the judicial recovery plan are those whose claims would be impaired as a result of the same. To this end, unless Bra</w:t>
      </w:r>
      <w:r w:rsidR="0060356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il Autoparts SA and Oil Brasil SA</w:t>
      </w:r>
      <w:r w:rsidR="00603560">
        <w:rPr>
          <w:rFonts w:ascii="Arial" w:hAnsi="Arial" w:cs="Arial"/>
          <w:color w:val="7B7B7B" w:themeColor="accent3" w:themeShade="BF"/>
          <w:sz w:val="22"/>
          <w:szCs w:val="22"/>
          <w:lang w:val="en-GB"/>
        </w:rPr>
        <w:t xml:space="preserve"> also have unsecured claims, they could have claims for restitution (i.e. having and seeking the right to a restitution of assets that belong to them but are in the possession of Empreendimentos) – a successful recovery of their assets (and corresponding creditor sum) may result in a full recovery. In this scenario, Brasil Autoparts SA and Oil Brasil SA’s claims would not be considered impaired and as a result, they may not be eligible to vote on the judicial recovery plan</w:t>
      </w:r>
      <w:r w:rsidR="00131AC7">
        <w:rPr>
          <w:rFonts w:ascii="Arial" w:hAnsi="Arial" w:cs="Arial"/>
          <w:color w:val="7B7B7B" w:themeColor="accent3" w:themeShade="BF"/>
          <w:sz w:val="22"/>
          <w:szCs w:val="22"/>
          <w:lang w:val="en-GB"/>
        </w:rPr>
        <w:t xml:space="preserve">, meaning Braz Bank SA could carry the </w:t>
      </w:r>
      <w:r w:rsidR="00C5443F">
        <w:rPr>
          <w:rFonts w:ascii="Arial" w:hAnsi="Arial" w:cs="Arial"/>
          <w:color w:val="7B7B7B" w:themeColor="accent3" w:themeShade="BF"/>
          <w:sz w:val="22"/>
          <w:szCs w:val="22"/>
          <w:lang w:val="en-GB"/>
        </w:rPr>
        <w:t>vote in Class II</w:t>
      </w:r>
      <w:r w:rsidR="00603560">
        <w:rPr>
          <w:rFonts w:ascii="Arial" w:hAnsi="Arial" w:cs="Arial"/>
          <w:color w:val="7B7B7B" w:themeColor="accent3" w:themeShade="BF"/>
          <w:sz w:val="22"/>
          <w:szCs w:val="22"/>
          <w:lang w:val="en-GB"/>
        </w:rPr>
        <w:t xml:space="preserve">. </w:t>
      </w:r>
    </w:p>
    <w:p w14:paraId="33DC1296" w14:textId="77777777" w:rsidR="00603560" w:rsidRDefault="00603560" w:rsidP="00603560">
      <w:pPr>
        <w:autoSpaceDE w:val="0"/>
        <w:autoSpaceDN w:val="0"/>
        <w:adjustRightInd w:val="0"/>
        <w:jc w:val="both"/>
        <w:rPr>
          <w:rFonts w:ascii="Arial" w:hAnsi="Arial" w:cs="Arial"/>
          <w:color w:val="7B7B7B" w:themeColor="accent3" w:themeShade="BF"/>
          <w:sz w:val="22"/>
          <w:szCs w:val="22"/>
          <w:lang w:val="en-GB"/>
        </w:rPr>
      </w:pPr>
    </w:p>
    <w:p w14:paraId="558CA343" w14:textId="44538B7C" w:rsidR="00603560" w:rsidRDefault="00603560"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Side note: any monies due as a result of a restitution lawsuit have to be paid in priority to all other claims (including super-priority claims).</w:t>
      </w:r>
    </w:p>
    <w:p w14:paraId="541B003E" w14:textId="2AE52F74" w:rsidR="00603560" w:rsidRDefault="00603560" w:rsidP="00603560">
      <w:pPr>
        <w:autoSpaceDE w:val="0"/>
        <w:autoSpaceDN w:val="0"/>
        <w:adjustRightInd w:val="0"/>
        <w:jc w:val="both"/>
        <w:rPr>
          <w:rFonts w:ascii="Arial" w:hAnsi="Arial" w:cs="Arial"/>
          <w:color w:val="7B7B7B" w:themeColor="accent3" w:themeShade="BF"/>
          <w:sz w:val="22"/>
          <w:szCs w:val="22"/>
          <w:lang w:val="en-GB"/>
        </w:rPr>
      </w:pPr>
    </w:p>
    <w:p w14:paraId="355A4251" w14:textId="1E9FB4F3" w:rsidR="00603560" w:rsidRDefault="00603560"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all four classes of claims (labour, secured, unsecured, and those </w:t>
      </w:r>
      <w:r w:rsidR="00C5443F">
        <w:rPr>
          <w:rFonts w:ascii="Arial" w:hAnsi="Arial" w:cs="Arial"/>
          <w:color w:val="7B7B7B" w:themeColor="accent3" w:themeShade="BF"/>
          <w:sz w:val="22"/>
          <w:szCs w:val="22"/>
          <w:lang w:val="en-GB"/>
        </w:rPr>
        <w:t>from</w:t>
      </w:r>
      <w:r>
        <w:rPr>
          <w:rFonts w:ascii="Arial" w:hAnsi="Arial" w:cs="Arial"/>
          <w:color w:val="7B7B7B" w:themeColor="accent3" w:themeShade="BF"/>
          <w:sz w:val="22"/>
          <w:szCs w:val="22"/>
          <w:lang w:val="en-GB"/>
        </w:rPr>
        <w:t xml:space="preserve"> micro and small enterprises) must approve the plan for it to go ahead. In light of this, even if </w:t>
      </w:r>
      <w:r w:rsidR="00C5443F">
        <w:rPr>
          <w:rFonts w:ascii="Arial" w:hAnsi="Arial" w:cs="Arial"/>
          <w:color w:val="7B7B7B" w:themeColor="accent3" w:themeShade="BF"/>
          <w:sz w:val="22"/>
          <w:szCs w:val="22"/>
          <w:lang w:val="en-GB"/>
        </w:rPr>
        <w:t>the plan was to get a favourable vote by Class II, it still requires approval from the other three classes.</w:t>
      </w:r>
    </w:p>
    <w:p w14:paraId="6FED9EF9" w14:textId="09F8A85A" w:rsidR="00C5443F" w:rsidRDefault="00C5443F" w:rsidP="00603560">
      <w:pPr>
        <w:autoSpaceDE w:val="0"/>
        <w:autoSpaceDN w:val="0"/>
        <w:adjustRightInd w:val="0"/>
        <w:jc w:val="both"/>
        <w:rPr>
          <w:rFonts w:ascii="Arial" w:hAnsi="Arial" w:cs="Arial"/>
          <w:color w:val="7B7B7B" w:themeColor="accent3" w:themeShade="BF"/>
          <w:sz w:val="22"/>
          <w:szCs w:val="22"/>
          <w:lang w:val="en-GB"/>
        </w:rPr>
      </w:pPr>
    </w:p>
    <w:p w14:paraId="235F3BC5" w14:textId="43A25258" w:rsidR="00C5443F" w:rsidRDefault="00C5443F"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the other three classes vote in favour of the plan, and Braz Bank SA holds the majority of vote by headcount and value of claim, </w:t>
      </w:r>
      <w:r w:rsidRPr="00C5443F">
        <w:rPr>
          <w:rFonts w:ascii="Arial" w:hAnsi="Arial" w:cs="Arial"/>
          <w:color w:val="7B7B7B" w:themeColor="accent3" w:themeShade="BF"/>
          <w:sz w:val="22"/>
          <w:szCs w:val="22"/>
          <w:lang w:val="en-GB"/>
        </w:rPr>
        <w:t>Empreendimentos is still capable of having its recovery plan approved at a general meeting of creditors</w:t>
      </w:r>
      <w:r>
        <w:rPr>
          <w:rFonts w:ascii="Arial" w:hAnsi="Arial" w:cs="Arial"/>
          <w:color w:val="7B7B7B" w:themeColor="accent3" w:themeShade="BF"/>
          <w:sz w:val="22"/>
          <w:szCs w:val="22"/>
          <w:lang w:val="en-GB"/>
        </w:rPr>
        <w:t xml:space="preserve">. </w:t>
      </w:r>
    </w:p>
    <w:p w14:paraId="453DD382" w14:textId="6FE7FE63" w:rsidR="00C5443F" w:rsidRDefault="00C5443F" w:rsidP="00603560">
      <w:pPr>
        <w:autoSpaceDE w:val="0"/>
        <w:autoSpaceDN w:val="0"/>
        <w:adjustRightInd w:val="0"/>
        <w:jc w:val="both"/>
        <w:rPr>
          <w:rFonts w:ascii="Arial" w:hAnsi="Arial" w:cs="Arial"/>
          <w:color w:val="7B7B7B" w:themeColor="accent3" w:themeShade="BF"/>
          <w:sz w:val="22"/>
          <w:szCs w:val="22"/>
          <w:lang w:val="en-GB"/>
        </w:rPr>
      </w:pPr>
    </w:p>
    <w:p w14:paraId="321705D7" w14:textId="3E752424" w:rsidR="00C5443F" w:rsidRDefault="00C5443F"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58 of the Bankruptcy Law details the circumstances in which a cramdown of </w:t>
      </w:r>
      <w:r w:rsidR="00794C75">
        <w:rPr>
          <w:rFonts w:ascii="Arial" w:hAnsi="Arial" w:cs="Arial"/>
          <w:color w:val="7B7B7B" w:themeColor="accent3" w:themeShade="BF"/>
          <w:sz w:val="22"/>
          <w:szCs w:val="22"/>
          <w:lang w:val="en-GB"/>
        </w:rPr>
        <w:t>a judicial recovery plan can occur – this states:</w:t>
      </w:r>
    </w:p>
    <w:p w14:paraId="2EF859A9" w14:textId="08948768" w:rsidR="00794C75" w:rsidRDefault="00794C75" w:rsidP="00603560">
      <w:pPr>
        <w:autoSpaceDE w:val="0"/>
        <w:autoSpaceDN w:val="0"/>
        <w:adjustRightInd w:val="0"/>
        <w:jc w:val="both"/>
        <w:rPr>
          <w:rFonts w:ascii="Arial" w:hAnsi="Arial" w:cs="Arial"/>
          <w:color w:val="7B7B7B" w:themeColor="accent3" w:themeShade="BF"/>
          <w:sz w:val="22"/>
          <w:szCs w:val="22"/>
          <w:lang w:val="en-GB"/>
        </w:rPr>
      </w:pPr>
    </w:p>
    <w:p w14:paraId="451B608C" w14:textId="6FB59FF8" w:rsidR="00794C75" w:rsidRDefault="00794C75"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requirements of this Law having been met, the judge shall grant the judicial recovery of the debtor whose plan has not been objected to by any creditor pursuant to Article 55 hereof or has been approved by the general meeting of creditors pursuant to Article 45 or 56A hereof.</w:t>
      </w:r>
    </w:p>
    <w:p w14:paraId="25C6F10B" w14:textId="72B41CD2" w:rsidR="00794C75" w:rsidRDefault="00794C75"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Paragraph 1. The judge may grant judicial recovery based on a plan that has not been approved pursuant to Article 45 hereof, provided it has obtained, cumulatively, at the same general meeting:</w:t>
      </w:r>
    </w:p>
    <w:p w14:paraId="56B531A9" w14:textId="691D4A2D" w:rsidR="00794C75" w:rsidRDefault="00794C75"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 the favourable vote of creditors representing over half the amount of all credits represented at the general meeting, independently of classes;</w:t>
      </w:r>
    </w:p>
    <w:p w14:paraId="23B397EF" w14:textId="5531E8FE" w:rsidR="00794C75" w:rsidRDefault="00794C75"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 the approval of three (3) of the classes of creditors pursuant to Article 45 hereof, or if there are only two (2) classes with voting creditors, the approval of at least one (1);</w:t>
      </w:r>
    </w:p>
    <w:p w14:paraId="76C43C60" w14:textId="3635A71F" w:rsidR="00794C75" w:rsidRDefault="00794C75"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 – in the c lass that rejected it, the favourable vote of over one third (1/3) of the creditors, computed pursuant to Article 45, paragraphs 1 and 2 hereof.</w:t>
      </w:r>
    </w:p>
    <w:p w14:paraId="43592AA0" w14:textId="67BCA53A" w:rsidR="00794C75" w:rsidRDefault="00794C75" w:rsidP="006035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Paragraph 2. Judicial recovery may only be grated pursuant to Paragraph 2 of this article if the plan does not entail different treatment among the creditors of the class that rejected it.”</w:t>
      </w:r>
    </w:p>
    <w:p w14:paraId="05825AB7" w14:textId="74483D7A" w:rsidR="00603560" w:rsidRDefault="00603560" w:rsidP="00087F21">
      <w:pPr>
        <w:autoSpaceDE w:val="0"/>
        <w:autoSpaceDN w:val="0"/>
        <w:adjustRightInd w:val="0"/>
        <w:jc w:val="both"/>
        <w:rPr>
          <w:rFonts w:ascii="Arial" w:hAnsi="Arial" w:cs="Arial"/>
          <w:sz w:val="22"/>
          <w:szCs w:val="22"/>
          <w:lang w:val="en-GB"/>
        </w:rPr>
      </w:pPr>
    </w:p>
    <w:p w14:paraId="126B60F7" w14:textId="5E68ED7C" w:rsidR="007E2E90" w:rsidRPr="007E2E90" w:rsidRDefault="007E2E90" w:rsidP="00087F21">
      <w:pPr>
        <w:autoSpaceDE w:val="0"/>
        <w:autoSpaceDN w:val="0"/>
        <w:adjustRightInd w:val="0"/>
        <w:jc w:val="both"/>
        <w:rPr>
          <w:rFonts w:ascii="Arial" w:hAnsi="Arial" w:cs="Arial"/>
          <w:color w:val="7B7B7B" w:themeColor="accent3" w:themeShade="BF"/>
          <w:sz w:val="22"/>
          <w:szCs w:val="22"/>
          <w:lang w:val="en-GB"/>
        </w:rPr>
      </w:pPr>
      <w:r w:rsidRPr="007E2E90">
        <w:rPr>
          <w:rFonts w:ascii="Arial" w:hAnsi="Arial" w:cs="Arial"/>
          <w:color w:val="7B7B7B" w:themeColor="accent3" w:themeShade="BF"/>
          <w:sz w:val="22"/>
          <w:szCs w:val="22"/>
          <w:lang w:val="en-GB"/>
        </w:rPr>
        <w:t>Given the above, there would be grounds for a cramdown.</w:t>
      </w:r>
    </w:p>
    <w:p w14:paraId="7A6B8D21" w14:textId="0B121816" w:rsidR="007E2E90" w:rsidRPr="007E2E90" w:rsidRDefault="007E2E90" w:rsidP="00087F21">
      <w:pPr>
        <w:autoSpaceDE w:val="0"/>
        <w:autoSpaceDN w:val="0"/>
        <w:adjustRightInd w:val="0"/>
        <w:jc w:val="both"/>
        <w:rPr>
          <w:rFonts w:ascii="Arial" w:hAnsi="Arial" w:cs="Arial"/>
          <w:color w:val="7B7B7B" w:themeColor="accent3" w:themeShade="BF"/>
          <w:sz w:val="22"/>
          <w:szCs w:val="22"/>
          <w:lang w:val="en-GB"/>
        </w:rPr>
      </w:pPr>
    </w:p>
    <w:p w14:paraId="4767293A" w14:textId="55AFC9AF" w:rsidR="007E2E90" w:rsidRPr="007E2E90" w:rsidRDefault="007E2E90" w:rsidP="007E2E90">
      <w:pPr>
        <w:autoSpaceDE w:val="0"/>
        <w:autoSpaceDN w:val="0"/>
        <w:adjustRightInd w:val="0"/>
        <w:jc w:val="both"/>
        <w:rPr>
          <w:rFonts w:ascii="Arial" w:hAnsi="Arial" w:cs="Arial"/>
          <w:color w:val="7B7B7B" w:themeColor="accent3" w:themeShade="BF"/>
          <w:sz w:val="22"/>
          <w:szCs w:val="22"/>
          <w:lang w:val="en-GB"/>
        </w:rPr>
      </w:pPr>
      <w:r w:rsidRPr="007E2E90">
        <w:rPr>
          <w:rFonts w:ascii="Arial" w:hAnsi="Arial" w:cs="Arial"/>
          <w:color w:val="7B7B7B" w:themeColor="accent3" w:themeShade="BF"/>
          <w:sz w:val="22"/>
          <w:szCs w:val="22"/>
          <w:lang w:val="en-GB"/>
        </w:rPr>
        <w:t>Given the above, there would not be grounds for a cramdown.</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5D1E18AA" w14:textId="62669D8B" w:rsidR="00D57E46" w:rsidRPr="007573CE" w:rsidRDefault="007573CE" w:rsidP="00A26C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Braz Bank SA cannot retake possession of the</w:t>
      </w:r>
      <w:r w:rsidRPr="007573CE">
        <w:rPr>
          <w:rFonts w:ascii="Arial" w:hAnsi="Arial" w:cs="Arial"/>
          <w:color w:val="7B7B7B" w:themeColor="accent3" w:themeShade="BF"/>
          <w:sz w:val="22"/>
          <w:szCs w:val="22"/>
          <w:lang w:val="en-GB"/>
        </w:rPr>
        <w:t xml:space="preserve"> referred piece of land</w:t>
      </w:r>
      <w:r>
        <w:rPr>
          <w:rFonts w:ascii="Arial" w:hAnsi="Arial" w:cs="Arial"/>
          <w:color w:val="7B7B7B" w:themeColor="accent3" w:themeShade="BF"/>
          <w:sz w:val="22"/>
          <w:szCs w:val="22"/>
          <w:lang w:val="en-GB"/>
        </w:rPr>
        <w:t xml:space="preserve"> during the stay period</w:t>
      </w:r>
      <w:r w:rsidR="00A26C6E">
        <w:rPr>
          <w:rFonts w:ascii="Arial" w:hAnsi="Arial" w:cs="Arial"/>
          <w:color w:val="7B7B7B" w:themeColor="accent3" w:themeShade="BF"/>
          <w:sz w:val="22"/>
          <w:szCs w:val="22"/>
          <w:lang w:val="en-GB"/>
        </w:rPr>
        <w:t xml:space="preserve"> if it is essential for Empreendimentos’ business activities</w:t>
      </w:r>
      <w:r>
        <w:rPr>
          <w:rFonts w:ascii="Arial" w:hAnsi="Arial" w:cs="Arial"/>
          <w:color w:val="7B7B7B" w:themeColor="accent3" w:themeShade="BF"/>
          <w:sz w:val="22"/>
          <w:szCs w:val="22"/>
          <w:lang w:val="en-GB"/>
        </w:rPr>
        <w:t>. NB, the stay period lasts for 180 days and is able to be extended by the court for up to an additional 180 days</w:t>
      </w:r>
      <w:r w:rsidR="00A26C6E">
        <w:rPr>
          <w:rFonts w:ascii="Arial" w:hAnsi="Arial" w:cs="Arial"/>
          <w:color w:val="7B7B7B" w:themeColor="accent3" w:themeShade="BF"/>
          <w:sz w:val="22"/>
          <w:szCs w:val="22"/>
          <w:lang w:val="en-GB"/>
        </w:rPr>
        <w:t xml:space="preserve">, should the court consider that the </w:t>
      </w:r>
      <w:r w:rsidR="00A26C6E" w:rsidRPr="00A26C6E">
        <w:rPr>
          <w:rFonts w:ascii="Arial" w:hAnsi="Arial" w:cs="Arial"/>
          <w:color w:val="7B7B7B" w:themeColor="accent3" w:themeShade="BF"/>
          <w:sz w:val="22"/>
          <w:szCs w:val="22"/>
          <w:lang w:val="en-GB"/>
        </w:rPr>
        <w:t>referred piece of land is vital for Empreendimentos’ turnaround.</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DC5E" w14:textId="77777777" w:rsidR="00FF4837" w:rsidRDefault="00FF4837" w:rsidP="00241B44">
      <w:r>
        <w:separator/>
      </w:r>
    </w:p>
  </w:endnote>
  <w:endnote w:type="continuationSeparator" w:id="0">
    <w:p w14:paraId="6DD34386" w14:textId="77777777" w:rsidR="00FF4837" w:rsidRDefault="00FF48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032C48D" w:rsidR="0068208B" w:rsidRPr="009B4976" w:rsidRDefault="00A863E3" w:rsidP="009B4976">
    <w:pPr>
      <w:pStyle w:val="Footer"/>
      <w:ind w:right="360"/>
      <w:rPr>
        <w:rFonts w:ascii="Arial" w:hAnsi="Arial" w:cs="Arial"/>
        <w:sz w:val="18"/>
        <w:szCs w:val="18"/>
        <w:lang w:val="en-GB"/>
      </w:rPr>
    </w:pPr>
    <w:r>
      <w:rPr>
        <w:rFonts w:ascii="Arial" w:hAnsi="Arial" w:cs="Arial"/>
        <w:sz w:val="18"/>
        <w:szCs w:val="18"/>
        <w:lang w:val="en-GB"/>
      </w:rPr>
      <w:t>202122-611</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7BC9" w14:textId="77777777" w:rsidR="00FF4837" w:rsidRDefault="00FF4837" w:rsidP="00241B44">
      <w:r>
        <w:separator/>
      </w:r>
    </w:p>
  </w:footnote>
  <w:footnote w:type="continuationSeparator" w:id="0">
    <w:p w14:paraId="30C64D2B" w14:textId="77777777" w:rsidR="00FF4837" w:rsidRDefault="00FF483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961C" w14:textId="5BCE94F0" w:rsidR="005447DF" w:rsidRDefault="005447DF">
    <w:pPr>
      <w:pStyle w:val="Header"/>
    </w:pPr>
    <w:r>
      <w:rPr>
        <w:noProof/>
      </w:rPr>
      <mc:AlternateContent>
        <mc:Choice Requires="wps">
          <w:drawing>
            <wp:anchor distT="0" distB="0" distL="114300" distR="114300" simplePos="0" relativeHeight="251659264" behindDoc="0" locked="0" layoutInCell="0" allowOverlap="1" wp14:anchorId="1F34ACEE" wp14:editId="6546980D">
              <wp:simplePos x="0" y="0"/>
              <wp:positionH relativeFrom="page">
                <wp:posOffset>0</wp:posOffset>
              </wp:positionH>
              <wp:positionV relativeFrom="page">
                <wp:posOffset>190500</wp:posOffset>
              </wp:positionV>
              <wp:extent cx="7560310" cy="252095"/>
              <wp:effectExtent l="0" t="0" r="0" b="14605"/>
              <wp:wrapNone/>
              <wp:docPr id="1" name="MSIPCM45ed4e6ba2f21fc51efd6149"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04291F" w14:textId="40CC6671" w:rsidR="005447DF" w:rsidRPr="005447DF" w:rsidRDefault="005447DF" w:rsidP="005447DF">
                          <w:pPr>
                            <w:jc w:val="right"/>
                            <w:rPr>
                              <w:rFonts w:ascii="Arial" w:hAnsi="Arial" w:cs="Arial"/>
                              <w:color w:val="000000"/>
                              <w:sz w:val="16"/>
                            </w:rPr>
                          </w:pPr>
                          <w:r w:rsidRPr="005447DF">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F34ACEE" id="_x0000_t202" coordsize="21600,21600" o:spt="202" path="m,l,21600r21600,l21600,xe">
              <v:stroke joinstyle="miter"/>
              <v:path gradientshapeok="t" o:connecttype="rect"/>
            </v:shapetype>
            <v:shape id="MSIPCM45ed4e6ba2f21fc51efd6149"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5104291F" w14:textId="40CC6671" w:rsidR="005447DF" w:rsidRPr="005447DF" w:rsidRDefault="005447DF" w:rsidP="005447DF">
                    <w:pPr>
                      <w:jc w:val="right"/>
                      <w:rPr>
                        <w:rFonts w:ascii="Arial" w:hAnsi="Arial" w:cs="Arial"/>
                        <w:color w:val="000000"/>
                        <w:sz w:val="16"/>
                      </w:rPr>
                    </w:pPr>
                    <w:r w:rsidRPr="005447DF">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C0D4" w14:textId="3060CC98" w:rsidR="005447DF" w:rsidRDefault="005447DF">
    <w:pPr>
      <w:pStyle w:val="Header"/>
    </w:pPr>
    <w:r>
      <w:rPr>
        <w:noProof/>
      </w:rPr>
      <mc:AlternateContent>
        <mc:Choice Requires="wps">
          <w:drawing>
            <wp:anchor distT="0" distB="0" distL="114300" distR="114300" simplePos="0" relativeHeight="251660288" behindDoc="0" locked="0" layoutInCell="0" allowOverlap="1" wp14:anchorId="0C95A190" wp14:editId="24F07751">
              <wp:simplePos x="0" y="0"/>
              <wp:positionH relativeFrom="page">
                <wp:posOffset>0</wp:posOffset>
              </wp:positionH>
              <wp:positionV relativeFrom="page">
                <wp:posOffset>190500</wp:posOffset>
              </wp:positionV>
              <wp:extent cx="7560310" cy="252095"/>
              <wp:effectExtent l="0" t="0" r="0" b="14605"/>
              <wp:wrapNone/>
              <wp:docPr id="2" name="MSIPCM1d8e4e78b74aec242c983c3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3AA7A" w14:textId="76671A23" w:rsidR="005447DF" w:rsidRPr="005447DF" w:rsidRDefault="005447DF" w:rsidP="005447DF">
                          <w:pPr>
                            <w:jc w:val="right"/>
                            <w:rPr>
                              <w:rFonts w:ascii="Arial" w:hAnsi="Arial" w:cs="Arial"/>
                              <w:color w:val="000000"/>
                              <w:sz w:val="16"/>
                            </w:rPr>
                          </w:pPr>
                          <w:r w:rsidRPr="005447DF">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C95A190" id="_x0000_t202" coordsize="21600,21600" o:spt="202" path="m,l,21600r21600,l21600,xe">
              <v:stroke joinstyle="miter"/>
              <v:path gradientshapeok="t" o:connecttype="rect"/>
            </v:shapetype>
            <v:shape id="MSIPCM1d8e4e78b74aec242c983c38"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5DC3AA7A" w14:textId="76671A23" w:rsidR="005447DF" w:rsidRPr="005447DF" w:rsidRDefault="005447DF" w:rsidP="005447DF">
                    <w:pPr>
                      <w:jc w:val="right"/>
                      <w:rPr>
                        <w:rFonts w:ascii="Arial" w:hAnsi="Arial" w:cs="Arial"/>
                        <w:color w:val="000000"/>
                        <w:sz w:val="16"/>
                      </w:rPr>
                    </w:pPr>
                    <w:r w:rsidRPr="005447DF">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8A8"/>
    <w:multiLevelType w:val="hybridMultilevel"/>
    <w:tmpl w:val="D5DE556A"/>
    <w:lvl w:ilvl="0" w:tplc="50B24E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0DB875DB"/>
    <w:multiLevelType w:val="hybridMultilevel"/>
    <w:tmpl w:val="B434A2D2"/>
    <w:lvl w:ilvl="0" w:tplc="B04CD43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B857462"/>
    <w:multiLevelType w:val="hybridMultilevel"/>
    <w:tmpl w:val="F7503EEE"/>
    <w:lvl w:ilvl="0" w:tplc="4B103DCA">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2F516E"/>
    <w:multiLevelType w:val="hybridMultilevel"/>
    <w:tmpl w:val="162CDAF8"/>
    <w:lvl w:ilvl="0" w:tplc="8F9CF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5386E35"/>
    <w:multiLevelType w:val="hybridMultilevel"/>
    <w:tmpl w:val="0ED2D780"/>
    <w:lvl w:ilvl="0" w:tplc="AAAE5E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A950574"/>
    <w:multiLevelType w:val="hybridMultilevel"/>
    <w:tmpl w:val="6FCC4AA0"/>
    <w:lvl w:ilvl="0" w:tplc="30CEC6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106B2"/>
    <w:multiLevelType w:val="hybridMultilevel"/>
    <w:tmpl w:val="0972B484"/>
    <w:lvl w:ilvl="0" w:tplc="D1B22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08050429">
    <w:abstractNumId w:val="8"/>
  </w:num>
  <w:num w:numId="2" w16cid:durableId="1116172447">
    <w:abstractNumId w:val="30"/>
  </w:num>
  <w:num w:numId="3" w16cid:durableId="1819419844">
    <w:abstractNumId w:val="22"/>
  </w:num>
  <w:num w:numId="4" w16cid:durableId="1795752895">
    <w:abstractNumId w:val="23"/>
  </w:num>
  <w:num w:numId="5" w16cid:durableId="1691101774">
    <w:abstractNumId w:val="29"/>
  </w:num>
  <w:num w:numId="6" w16cid:durableId="277567908">
    <w:abstractNumId w:val="17"/>
  </w:num>
  <w:num w:numId="7" w16cid:durableId="129790946">
    <w:abstractNumId w:val="21"/>
  </w:num>
  <w:num w:numId="8" w16cid:durableId="803501780">
    <w:abstractNumId w:val="19"/>
  </w:num>
  <w:num w:numId="9" w16cid:durableId="1329137339">
    <w:abstractNumId w:val="7"/>
  </w:num>
  <w:num w:numId="10" w16cid:durableId="1931502620">
    <w:abstractNumId w:val="16"/>
  </w:num>
  <w:num w:numId="11" w16cid:durableId="2105808829">
    <w:abstractNumId w:val="4"/>
  </w:num>
  <w:num w:numId="12" w16cid:durableId="1596791214">
    <w:abstractNumId w:val="3"/>
  </w:num>
  <w:num w:numId="13" w16cid:durableId="1624455705">
    <w:abstractNumId w:val="31"/>
  </w:num>
  <w:num w:numId="14" w16cid:durableId="1415781016">
    <w:abstractNumId w:val="26"/>
  </w:num>
  <w:num w:numId="15" w16cid:durableId="7110782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3720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0667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03943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20100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32936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79020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9474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53077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58393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72148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12806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578656">
    <w:abstractNumId w:val="32"/>
  </w:num>
  <w:num w:numId="28" w16cid:durableId="497383026">
    <w:abstractNumId w:val="2"/>
  </w:num>
  <w:num w:numId="29" w16cid:durableId="1240942924">
    <w:abstractNumId w:val="1"/>
  </w:num>
  <w:num w:numId="30" w16cid:durableId="1973556115">
    <w:abstractNumId w:val="25"/>
  </w:num>
  <w:num w:numId="31" w16cid:durableId="1020860139">
    <w:abstractNumId w:val="6"/>
  </w:num>
  <w:num w:numId="32" w16cid:durableId="84036348">
    <w:abstractNumId w:val="11"/>
  </w:num>
  <w:num w:numId="33" w16cid:durableId="2062555356">
    <w:abstractNumId w:val="28"/>
  </w:num>
  <w:num w:numId="34" w16cid:durableId="700710914">
    <w:abstractNumId w:val="13"/>
  </w:num>
  <w:num w:numId="35" w16cid:durableId="2051831930">
    <w:abstractNumId w:val="15"/>
  </w:num>
  <w:num w:numId="36" w16cid:durableId="1868323299">
    <w:abstractNumId w:val="27"/>
  </w:num>
  <w:num w:numId="37" w16cid:durableId="869295181">
    <w:abstractNumId w:val="9"/>
  </w:num>
  <w:num w:numId="38" w16cid:durableId="1327588691">
    <w:abstractNumId w:val="18"/>
  </w:num>
  <w:num w:numId="39" w16cid:durableId="253516676">
    <w:abstractNumId w:val="20"/>
  </w:num>
  <w:num w:numId="40" w16cid:durableId="140735680">
    <w:abstractNumId w:val="0"/>
  </w:num>
  <w:num w:numId="41" w16cid:durableId="477645760">
    <w:abstractNumId w:val="12"/>
  </w:num>
  <w:num w:numId="42" w16cid:durableId="1039547436">
    <w:abstractNumId w:val="10"/>
  </w:num>
  <w:num w:numId="43" w16cid:durableId="42563961">
    <w:abstractNumId w:val="5"/>
  </w:num>
  <w:num w:numId="44" w16cid:durableId="112139531">
    <w:abstractNumId w:val="24"/>
  </w:num>
  <w:num w:numId="45" w16cid:durableId="5248327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3DCD"/>
    <w:rsid w:val="00057808"/>
    <w:rsid w:val="00061EA1"/>
    <w:rsid w:val="00063CD7"/>
    <w:rsid w:val="00065166"/>
    <w:rsid w:val="0007576D"/>
    <w:rsid w:val="00076BB9"/>
    <w:rsid w:val="00081D3D"/>
    <w:rsid w:val="00082609"/>
    <w:rsid w:val="00082C20"/>
    <w:rsid w:val="000851CC"/>
    <w:rsid w:val="000858C0"/>
    <w:rsid w:val="00087525"/>
    <w:rsid w:val="00087F21"/>
    <w:rsid w:val="000929BF"/>
    <w:rsid w:val="00093BE8"/>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00AA"/>
    <w:rsid w:val="00123855"/>
    <w:rsid w:val="00125EB2"/>
    <w:rsid w:val="00126A4D"/>
    <w:rsid w:val="00127435"/>
    <w:rsid w:val="00131AC7"/>
    <w:rsid w:val="00133FDE"/>
    <w:rsid w:val="0014171F"/>
    <w:rsid w:val="0014622C"/>
    <w:rsid w:val="001467C5"/>
    <w:rsid w:val="00152348"/>
    <w:rsid w:val="0015456D"/>
    <w:rsid w:val="00155FA2"/>
    <w:rsid w:val="00161F1B"/>
    <w:rsid w:val="001623A7"/>
    <w:rsid w:val="00162829"/>
    <w:rsid w:val="00180193"/>
    <w:rsid w:val="00180548"/>
    <w:rsid w:val="00180AC4"/>
    <w:rsid w:val="00180CCE"/>
    <w:rsid w:val="0018267A"/>
    <w:rsid w:val="00182779"/>
    <w:rsid w:val="001830DF"/>
    <w:rsid w:val="00194D73"/>
    <w:rsid w:val="001966D9"/>
    <w:rsid w:val="001A007A"/>
    <w:rsid w:val="001A7E9A"/>
    <w:rsid w:val="001B0F70"/>
    <w:rsid w:val="001B4246"/>
    <w:rsid w:val="001B5016"/>
    <w:rsid w:val="001C45FC"/>
    <w:rsid w:val="001C572F"/>
    <w:rsid w:val="001D0469"/>
    <w:rsid w:val="001D168A"/>
    <w:rsid w:val="001D29C0"/>
    <w:rsid w:val="001D4862"/>
    <w:rsid w:val="001E25B9"/>
    <w:rsid w:val="001E49E0"/>
    <w:rsid w:val="001E7B5A"/>
    <w:rsid w:val="001F19EF"/>
    <w:rsid w:val="001F6614"/>
    <w:rsid w:val="001F7412"/>
    <w:rsid w:val="002000EE"/>
    <w:rsid w:val="0020090A"/>
    <w:rsid w:val="00202DFE"/>
    <w:rsid w:val="0020725B"/>
    <w:rsid w:val="002110F1"/>
    <w:rsid w:val="002111EA"/>
    <w:rsid w:val="00216320"/>
    <w:rsid w:val="00230B9A"/>
    <w:rsid w:val="002356EA"/>
    <w:rsid w:val="00236415"/>
    <w:rsid w:val="0024116D"/>
    <w:rsid w:val="00241B44"/>
    <w:rsid w:val="00241FA3"/>
    <w:rsid w:val="00245EFB"/>
    <w:rsid w:val="00250020"/>
    <w:rsid w:val="002528A2"/>
    <w:rsid w:val="0025386E"/>
    <w:rsid w:val="00254F46"/>
    <w:rsid w:val="0026286D"/>
    <w:rsid w:val="002638B0"/>
    <w:rsid w:val="0026647A"/>
    <w:rsid w:val="002668D3"/>
    <w:rsid w:val="00267BAC"/>
    <w:rsid w:val="0027299F"/>
    <w:rsid w:val="00277C37"/>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3C08"/>
    <w:rsid w:val="002D5605"/>
    <w:rsid w:val="002D7373"/>
    <w:rsid w:val="002E7F68"/>
    <w:rsid w:val="002F1956"/>
    <w:rsid w:val="002F1C58"/>
    <w:rsid w:val="002F3440"/>
    <w:rsid w:val="002F75A3"/>
    <w:rsid w:val="0030003C"/>
    <w:rsid w:val="00303C2F"/>
    <w:rsid w:val="003144EF"/>
    <w:rsid w:val="00315E5A"/>
    <w:rsid w:val="00316236"/>
    <w:rsid w:val="00321E4E"/>
    <w:rsid w:val="00326292"/>
    <w:rsid w:val="00326415"/>
    <w:rsid w:val="00330937"/>
    <w:rsid w:val="00330F31"/>
    <w:rsid w:val="00334648"/>
    <w:rsid w:val="0033768C"/>
    <w:rsid w:val="00337938"/>
    <w:rsid w:val="00340769"/>
    <w:rsid w:val="00341AA6"/>
    <w:rsid w:val="00357B2B"/>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673D"/>
    <w:rsid w:val="003D0A6D"/>
    <w:rsid w:val="003E0B16"/>
    <w:rsid w:val="003E67D1"/>
    <w:rsid w:val="003F3F3C"/>
    <w:rsid w:val="003F681C"/>
    <w:rsid w:val="003F7075"/>
    <w:rsid w:val="00404329"/>
    <w:rsid w:val="00405DC1"/>
    <w:rsid w:val="00415F1F"/>
    <w:rsid w:val="004163A2"/>
    <w:rsid w:val="0042108F"/>
    <w:rsid w:val="00430FED"/>
    <w:rsid w:val="00434A8C"/>
    <w:rsid w:val="00437297"/>
    <w:rsid w:val="00444284"/>
    <w:rsid w:val="00445CE6"/>
    <w:rsid w:val="00450643"/>
    <w:rsid w:val="00450B0E"/>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6A6"/>
    <w:rsid w:val="004D3721"/>
    <w:rsid w:val="004D64F9"/>
    <w:rsid w:val="004E3A6B"/>
    <w:rsid w:val="004E622C"/>
    <w:rsid w:val="004E682E"/>
    <w:rsid w:val="004F5FDF"/>
    <w:rsid w:val="00507C99"/>
    <w:rsid w:val="005177FE"/>
    <w:rsid w:val="0052263B"/>
    <w:rsid w:val="00524728"/>
    <w:rsid w:val="005331CA"/>
    <w:rsid w:val="00534637"/>
    <w:rsid w:val="00537970"/>
    <w:rsid w:val="00540E3A"/>
    <w:rsid w:val="00544127"/>
    <w:rsid w:val="0054466C"/>
    <w:rsid w:val="005447DF"/>
    <w:rsid w:val="005463A9"/>
    <w:rsid w:val="00553EB2"/>
    <w:rsid w:val="00560534"/>
    <w:rsid w:val="0056391B"/>
    <w:rsid w:val="005650E2"/>
    <w:rsid w:val="00567AD7"/>
    <w:rsid w:val="00570261"/>
    <w:rsid w:val="00571576"/>
    <w:rsid w:val="00574F47"/>
    <w:rsid w:val="00575B2D"/>
    <w:rsid w:val="005809ED"/>
    <w:rsid w:val="005833D0"/>
    <w:rsid w:val="005846F3"/>
    <w:rsid w:val="0058622F"/>
    <w:rsid w:val="005916DB"/>
    <w:rsid w:val="00592F82"/>
    <w:rsid w:val="005A0CCA"/>
    <w:rsid w:val="005A0D4C"/>
    <w:rsid w:val="005A6FF2"/>
    <w:rsid w:val="005A726D"/>
    <w:rsid w:val="005B67AC"/>
    <w:rsid w:val="005B7491"/>
    <w:rsid w:val="005B79F4"/>
    <w:rsid w:val="005D16DD"/>
    <w:rsid w:val="005D4133"/>
    <w:rsid w:val="005D43E0"/>
    <w:rsid w:val="005D58A3"/>
    <w:rsid w:val="005E0B90"/>
    <w:rsid w:val="005E1B79"/>
    <w:rsid w:val="005E2AFA"/>
    <w:rsid w:val="005E6076"/>
    <w:rsid w:val="005E7008"/>
    <w:rsid w:val="005F026D"/>
    <w:rsid w:val="005F2AEA"/>
    <w:rsid w:val="005F2D0B"/>
    <w:rsid w:val="005F3304"/>
    <w:rsid w:val="005F4B31"/>
    <w:rsid w:val="006010EA"/>
    <w:rsid w:val="00603560"/>
    <w:rsid w:val="00610388"/>
    <w:rsid w:val="00610AC7"/>
    <w:rsid w:val="00612CA5"/>
    <w:rsid w:val="006153EC"/>
    <w:rsid w:val="00621A17"/>
    <w:rsid w:val="00625B25"/>
    <w:rsid w:val="00627CC9"/>
    <w:rsid w:val="00627E7B"/>
    <w:rsid w:val="00630542"/>
    <w:rsid w:val="006306D4"/>
    <w:rsid w:val="00632E44"/>
    <w:rsid w:val="0063332F"/>
    <w:rsid w:val="00633C88"/>
    <w:rsid w:val="00634622"/>
    <w:rsid w:val="00636808"/>
    <w:rsid w:val="00641515"/>
    <w:rsid w:val="00641D76"/>
    <w:rsid w:val="00654C2F"/>
    <w:rsid w:val="00657087"/>
    <w:rsid w:val="00660883"/>
    <w:rsid w:val="0066352C"/>
    <w:rsid w:val="006639DB"/>
    <w:rsid w:val="006661EF"/>
    <w:rsid w:val="00677AEB"/>
    <w:rsid w:val="00677E3F"/>
    <w:rsid w:val="00680EF2"/>
    <w:rsid w:val="0068208B"/>
    <w:rsid w:val="00687A1D"/>
    <w:rsid w:val="006922B1"/>
    <w:rsid w:val="00695697"/>
    <w:rsid w:val="00696755"/>
    <w:rsid w:val="00697EA1"/>
    <w:rsid w:val="006A1388"/>
    <w:rsid w:val="006A2646"/>
    <w:rsid w:val="006A3248"/>
    <w:rsid w:val="006A6530"/>
    <w:rsid w:val="006B172E"/>
    <w:rsid w:val="006B435A"/>
    <w:rsid w:val="006B4C64"/>
    <w:rsid w:val="006B6A59"/>
    <w:rsid w:val="006C703C"/>
    <w:rsid w:val="006D6BD5"/>
    <w:rsid w:val="006E481A"/>
    <w:rsid w:val="006E5298"/>
    <w:rsid w:val="006E5E6C"/>
    <w:rsid w:val="006F4A78"/>
    <w:rsid w:val="006F734A"/>
    <w:rsid w:val="00700D83"/>
    <w:rsid w:val="00704852"/>
    <w:rsid w:val="007074E9"/>
    <w:rsid w:val="00713DA4"/>
    <w:rsid w:val="00714BF1"/>
    <w:rsid w:val="00721383"/>
    <w:rsid w:val="00724D71"/>
    <w:rsid w:val="00725358"/>
    <w:rsid w:val="0073158B"/>
    <w:rsid w:val="007333CC"/>
    <w:rsid w:val="0073399A"/>
    <w:rsid w:val="0073765E"/>
    <w:rsid w:val="00740DAD"/>
    <w:rsid w:val="007434B0"/>
    <w:rsid w:val="00745413"/>
    <w:rsid w:val="007573CE"/>
    <w:rsid w:val="007603F5"/>
    <w:rsid w:val="00762E98"/>
    <w:rsid w:val="00763E05"/>
    <w:rsid w:val="00764DB0"/>
    <w:rsid w:val="007658F2"/>
    <w:rsid w:val="0076764D"/>
    <w:rsid w:val="0077498C"/>
    <w:rsid w:val="007809BC"/>
    <w:rsid w:val="00784128"/>
    <w:rsid w:val="00787BCC"/>
    <w:rsid w:val="00793173"/>
    <w:rsid w:val="00794C75"/>
    <w:rsid w:val="007A2A33"/>
    <w:rsid w:val="007B5C89"/>
    <w:rsid w:val="007C1FCC"/>
    <w:rsid w:val="007C6201"/>
    <w:rsid w:val="007D45F4"/>
    <w:rsid w:val="007D7C92"/>
    <w:rsid w:val="007E0126"/>
    <w:rsid w:val="007E1154"/>
    <w:rsid w:val="007E2E90"/>
    <w:rsid w:val="007E5707"/>
    <w:rsid w:val="007E6BA4"/>
    <w:rsid w:val="007F41F8"/>
    <w:rsid w:val="007F659B"/>
    <w:rsid w:val="008000F6"/>
    <w:rsid w:val="0080454E"/>
    <w:rsid w:val="00804C32"/>
    <w:rsid w:val="00806302"/>
    <w:rsid w:val="00807119"/>
    <w:rsid w:val="00811C19"/>
    <w:rsid w:val="00823549"/>
    <w:rsid w:val="00824144"/>
    <w:rsid w:val="0082483F"/>
    <w:rsid w:val="008279C0"/>
    <w:rsid w:val="008673B7"/>
    <w:rsid w:val="00867402"/>
    <w:rsid w:val="00867701"/>
    <w:rsid w:val="008723F3"/>
    <w:rsid w:val="00876F56"/>
    <w:rsid w:val="00881DE6"/>
    <w:rsid w:val="008837A6"/>
    <w:rsid w:val="0089145D"/>
    <w:rsid w:val="00893E64"/>
    <w:rsid w:val="008A4DF2"/>
    <w:rsid w:val="008A6CFE"/>
    <w:rsid w:val="008B28ED"/>
    <w:rsid w:val="008B5333"/>
    <w:rsid w:val="008B6223"/>
    <w:rsid w:val="008C3DC0"/>
    <w:rsid w:val="008C5A0B"/>
    <w:rsid w:val="008C66E0"/>
    <w:rsid w:val="008E3339"/>
    <w:rsid w:val="008F20FC"/>
    <w:rsid w:val="008F5FFE"/>
    <w:rsid w:val="00905A43"/>
    <w:rsid w:val="009105D7"/>
    <w:rsid w:val="00912C79"/>
    <w:rsid w:val="00921B8C"/>
    <w:rsid w:val="00942123"/>
    <w:rsid w:val="00943B87"/>
    <w:rsid w:val="0095207B"/>
    <w:rsid w:val="00962045"/>
    <w:rsid w:val="00973A3D"/>
    <w:rsid w:val="00980E61"/>
    <w:rsid w:val="00990C5C"/>
    <w:rsid w:val="00991428"/>
    <w:rsid w:val="00992676"/>
    <w:rsid w:val="009954B2"/>
    <w:rsid w:val="00996691"/>
    <w:rsid w:val="009A3AB7"/>
    <w:rsid w:val="009A7717"/>
    <w:rsid w:val="009B0366"/>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2ED"/>
    <w:rsid w:val="009E45DF"/>
    <w:rsid w:val="009E4DE3"/>
    <w:rsid w:val="009F275E"/>
    <w:rsid w:val="009F586C"/>
    <w:rsid w:val="009F6B1D"/>
    <w:rsid w:val="00A047EE"/>
    <w:rsid w:val="00A104DC"/>
    <w:rsid w:val="00A1562D"/>
    <w:rsid w:val="00A2274A"/>
    <w:rsid w:val="00A235B7"/>
    <w:rsid w:val="00A26C6E"/>
    <w:rsid w:val="00A27A7A"/>
    <w:rsid w:val="00A3460B"/>
    <w:rsid w:val="00A34ABE"/>
    <w:rsid w:val="00A407EF"/>
    <w:rsid w:val="00A46B4C"/>
    <w:rsid w:val="00A47D52"/>
    <w:rsid w:val="00A5117B"/>
    <w:rsid w:val="00A56D34"/>
    <w:rsid w:val="00A60074"/>
    <w:rsid w:val="00A6627C"/>
    <w:rsid w:val="00A71019"/>
    <w:rsid w:val="00A81029"/>
    <w:rsid w:val="00A845F5"/>
    <w:rsid w:val="00A863E3"/>
    <w:rsid w:val="00A900E1"/>
    <w:rsid w:val="00A96489"/>
    <w:rsid w:val="00AB2425"/>
    <w:rsid w:val="00AB685C"/>
    <w:rsid w:val="00AB6C2D"/>
    <w:rsid w:val="00AC08F7"/>
    <w:rsid w:val="00AC0ADA"/>
    <w:rsid w:val="00AC3839"/>
    <w:rsid w:val="00AC7082"/>
    <w:rsid w:val="00AD2BEF"/>
    <w:rsid w:val="00AD3D49"/>
    <w:rsid w:val="00AD4BE8"/>
    <w:rsid w:val="00AF228E"/>
    <w:rsid w:val="00B016A8"/>
    <w:rsid w:val="00B1068A"/>
    <w:rsid w:val="00B14819"/>
    <w:rsid w:val="00B15E2F"/>
    <w:rsid w:val="00B1686B"/>
    <w:rsid w:val="00B17AA9"/>
    <w:rsid w:val="00B23BE0"/>
    <w:rsid w:val="00B31A6B"/>
    <w:rsid w:val="00B32A0C"/>
    <w:rsid w:val="00B43018"/>
    <w:rsid w:val="00B44713"/>
    <w:rsid w:val="00B51B95"/>
    <w:rsid w:val="00B56103"/>
    <w:rsid w:val="00B64929"/>
    <w:rsid w:val="00B708C3"/>
    <w:rsid w:val="00B72E42"/>
    <w:rsid w:val="00B736DF"/>
    <w:rsid w:val="00B743D6"/>
    <w:rsid w:val="00B74FBD"/>
    <w:rsid w:val="00B77F46"/>
    <w:rsid w:val="00B82586"/>
    <w:rsid w:val="00B829A3"/>
    <w:rsid w:val="00B8633A"/>
    <w:rsid w:val="00B8681A"/>
    <w:rsid w:val="00B86DB1"/>
    <w:rsid w:val="00B87869"/>
    <w:rsid w:val="00B9639B"/>
    <w:rsid w:val="00BA35D2"/>
    <w:rsid w:val="00BA6E26"/>
    <w:rsid w:val="00BB0F2B"/>
    <w:rsid w:val="00BB66CA"/>
    <w:rsid w:val="00BC4E43"/>
    <w:rsid w:val="00BD5E0D"/>
    <w:rsid w:val="00BD7033"/>
    <w:rsid w:val="00BE0B1F"/>
    <w:rsid w:val="00BE4FF3"/>
    <w:rsid w:val="00BE7A6A"/>
    <w:rsid w:val="00BF50F7"/>
    <w:rsid w:val="00C02F29"/>
    <w:rsid w:val="00C13189"/>
    <w:rsid w:val="00C1635C"/>
    <w:rsid w:val="00C17718"/>
    <w:rsid w:val="00C20209"/>
    <w:rsid w:val="00C20AFE"/>
    <w:rsid w:val="00C22A25"/>
    <w:rsid w:val="00C35671"/>
    <w:rsid w:val="00C35B77"/>
    <w:rsid w:val="00C376EB"/>
    <w:rsid w:val="00C40ACB"/>
    <w:rsid w:val="00C4163E"/>
    <w:rsid w:val="00C46A92"/>
    <w:rsid w:val="00C46EC1"/>
    <w:rsid w:val="00C52796"/>
    <w:rsid w:val="00C53E2C"/>
    <w:rsid w:val="00C5443F"/>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A2A82"/>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7561"/>
    <w:rsid w:val="00D17FDC"/>
    <w:rsid w:val="00D218F3"/>
    <w:rsid w:val="00D21D8C"/>
    <w:rsid w:val="00D23F11"/>
    <w:rsid w:val="00D27B5B"/>
    <w:rsid w:val="00D53719"/>
    <w:rsid w:val="00D55105"/>
    <w:rsid w:val="00D56515"/>
    <w:rsid w:val="00D57E46"/>
    <w:rsid w:val="00D63EFD"/>
    <w:rsid w:val="00D70F6D"/>
    <w:rsid w:val="00D732D3"/>
    <w:rsid w:val="00D84752"/>
    <w:rsid w:val="00D86B3B"/>
    <w:rsid w:val="00D8748A"/>
    <w:rsid w:val="00D93196"/>
    <w:rsid w:val="00DA0DC0"/>
    <w:rsid w:val="00DA44FE"/>
    <w:rsid w:val="00DB243C"/>
    <w:rsid w:val="00DB29B0"/>
    <w:rsid w:val="00DB482A"/>
    <w:rsid w:val="00DB50FB"/>
    <w:rsid w:val="00DB56F2"/>
    <w:rsid w:val="00DB6EF5"/>
    <w:rsid w:val="00DC3089"/>
    <w:rsid w:val="00DC4420"/>
    <w:rsid w:val="00DC6AEF"/>
    <w:rsid w:val="00DD0802"/>
    <w:rsid w:val="00DD2E11"/>
    <w:rsid w:val="00DE03AF"/>
    <w:rsid w:val="00DE121C"/>
    <w:rsid w:val="00DE6633"/>
    <w:rsid w:val="00DF73DE"/>
    <w:rsid w:val="00DF75F8"/>
    <w:rsid w:val="00DF7A3A"/>
    <w:rsid w:val="00E0039C"/>
    <w:rsid w:val="00E00C00"/>
    <w:rsid w:val="00E01470"/>
    <w:rsid w:val="00E07C5A"/>
    <w:rsid w:val="00E107BB"/>
    <w:rsid w:val="00E15BA9"/>
    <w:rsid w:val="00E26E19"/>
    <w:rsid w:val="00E31DF3"/>
    <w:rsid w:val="00E331E0"/>
    <w:rsid w:val="00E33D72"/>
    <w:rsid w:val="00E450A4"/>
    <w:rsid w:val="00E4764E"/>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A6890"/>
    <w:rsid w:val="00EB146B"/>
    <w:rsid w:val="00EB1E28"/>
    <w:rsid w:val="00EB45AC"/>
    <w:rsid w:val="00EC2CE7"/>
    <w:rsid w:val="00EC3B44"/>
    <w:rsid w:val="00EC441F"/>
    <w:rsid w:val="00EC4755"/>
    <w:rsid w:val="00ED0BC4"/>
    <w:rsid w:val="00ED447D"/>
    <w:rsid w:val="00ED69F5"/>
    <w:rsid w:val="00EE436E"/>
    <w:rsid w:val="00EE4971"/>
    <w:rsid w:val="00EE6CB0"/>
    <w:rsid w:val="00EF090E"/>
    <w:rsid w:val="00EF5572"/>
    <w:rsid w:val="00F033DA"/>
    <w:rsid w:val="00F13691"/>
    <w:rsid w:val="00F13FB1"/>
    <w:rsid w:val="00F1530D"/>
    <w:rsid w:val="00F153D4"/>
    <w:rsid w:val="00F27CD8"/>
    <w:rsid w:val="00F30351"/>
    <w:rsid w:val="00F31348"/>
    <w:rsid w:val="00F3323E"/>
    <w:rsid w:val="00F341F4"/>
    <w:rsid w:val="00F34F9D"/>
    <w:rsid w:val="00F35CCE"/>
    <w:rsid w:val="00F5524B"/>
    <w:rsid w:val="00F6020D"/>
    <w:rsid w:val="00F60538"/>
    <w:rsid w:val="00F6140F"/>
    <w:rsid w:val="00F61DD2"/>
    <w:rsid w:val="00F66AFF"/>
    <w:rsid w:val="00F71433"/>
    <w:rsid w:val="00F718F3"/>
    <w:rsid w:val="00F742A9"/>
    <w:rsid w:val="00F97C5B"/>
    <w:rsid w:val="00FA3D50"/>
    <w:rsid w:val="00FB0D02"/>
    <w:rsid w:val="00FB32D8"/>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483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4252</Words>
  <Characters>21475</Characters>
  <Application>Microsoft Office Word</Application>
  <DocSecurity>0</DocSecurity>
  <Lines>580</Lines>
  <Paragraphs>216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Blair Lomax</cp:lastModifiedBy>
  <cp:revision>14</cp:revision>
  <cp:lastPrinted>2019-08-27T05:42:00Z</cp:lastPrinted>
  <dcterms:created xsi:type="dcterms:W3CDTF">2022-07-27T11:39:00Z</dcterms:created>
  <dcterms:modified xsi:type="dcterms:W3CDTF">2022-07-30T14:07:00Z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2022-07-30T14:07:56Z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99f4d5be-f7e3-4752-b814-6564b6ffe2f7</vt:lpwstr>
  </property>
  <property fmtid="{D5CDD505-2E9C-101B-9397-08002B2CF9AE}" pid="8" name="MSIP_Label_785837b0-ed5a-4fd4-94ae-ef361c98d083_ContentBits">
    <vt:lpwstr>1</vt:lpwstr>
  </property>
</Properties>
</file>