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5E1923">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5E1923">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5E1923">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5E1923">
      <w:pPr>
        <w:pStyle w:val="ListParagraph"/>
        <w:numPr>
          <w:ilvl w:val="0"/>
          <w:numId w:val="1"/>
        </w:numPr>
        <w:ind w:left="426"/>
        <w:jc w:val="both"/>
        <w:rPr>
          <w:rFonts w:ascii="Arial" w:hAnsi="Arial" w:cs="Arial"/>
          <w:sz w:val="22"/>
          <w:szCs w:val="22"/>
          <w:lang w:val="en-GB"/>
        </w:rPr>
      </w:pPr>
      <w:bookmarkStart w:id="1" w:name="_Hlk47080379"/>
      <w:r w:rsidRPr="002802B7">
        <w:rPr>
          <w:rFonts w:ascii="Arial" w:hAnsi="Arial" w:cs="Arial"/>
          <w:sz w:val="22"/>
          <w:szCs w:val="22"/>
          <w:highlight w:val="yellow"/>
          <w:lang w:val="en-GB"/>
        </w:rPr>
        <w:t>All of the above.</w:t>
      </w:r>
      <w:r w:rsidRPr="009B5832">
        <w:rPr>
          <w:rFonts w:ascii="Arial" w:hAnsi="Arial" w:cs="Arial"/>
          <w:sz w:val="22"/>
          <w:szCs w:val="22"/>
          <w:lang w:val="en-GB"/>
        </w:rPr>
        <w:t xml:space="preser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865DF" w:rsidRDefault="005F21F4" w:rsidP="005E1923">
      <w:pPr>
        <w:pStyle w:val="ListParagraph"/>
        <w:numPr>
          <w:ilvl w:val="0"/>
          <w:numId w:val="2"/>
        </w:numPr>
        <w:ind w:left="426"/>
        <w:jc w:val="both"/>
        <w:rPr>
          <w:rFonts w:ascii="Arial" w:hAnsi="Arial" w:cs="Arial"/>
          <w:sz w:val="22"/>
          <w:szCs w:val="22"/>
          <w:highlight w:val="yellow"/>
          <w:lang w:val="en-GB"/>
        </w:rPr>
      </w:pPr>
      <w:r w:rsidRPr="009865DF">
        <w:rPr>
          <w:rFonts w:ascii="Arial" w:hAnsi="Arial" w:cs="Arial"/>
          <w:sz w:val="22"/>
          <w:szCs w:val="22"/>
          <w:highlight w:val="yellow"/>
          <w:lang w:val="en-GB"/>
        </w:rPr>
        <w:t>The existence of a statutory basis in national (insolvency) laws for co</w:t>
      </w:r>
      <w:r w:rsidR="00B61419" w:rsidRPr="009865DF">
        <w:rPr>
          <w:rFonts w:ascii="Arial" w:hAnsi="Arial" w:cs="Arial"/>
          <w:sz w:val="22"/>
          <w:szCs w:val="22"/>
          <w:highlight w:val="yellow"/>
          <w:lang w:val="en-GB"/>
        </w:rPr>
        <w:t>-</w:t>
      </w:r>
      <w:r w:rsidRPr="009865DF">
        <w:rPr>
          <w:rFonts w:ascii="Arial" w:hAnsi="Arial" w:cs="Arial"/>
          <w:sz w:val="22"/>
          <w:szCs w:val="22"/>
          <w:highlight w:val="yellow"/>
          <w:lang w:val="en-GB"/>
        </w:rPr>
        <w:t>operation and co</w:t>
      </w:r>
      <w:r w:rsidR="00B61419" w:rsidRPr="009865DF">
        <w:rPr>
          <w:rFonts w:ascii="Arial" w:hAnsi="Arial" w:cs="Arial"/>
          <w:sz w:val="22"/>
          <w:szCs w:val="22"/>
          <w:highlight w:val="yellow"/>
          <w:lang w:val="en-GB"/>
        </w:rPr>
        <w:t>-</w:t>
      </w:r>
      <w:r w:rsidRPr="009865DF">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E1923">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E1923">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E1923">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5E1923">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5E1923">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799554AA" w:rsidR="00853A74" w:rsidRPr="002E4585" w:rsidRDefault="00853A74" w:rsidP="005E1923">
      <w:pPr>
        <w:pStyle w:val="ListParagraph"/>
        <w:numPr>
          <w:ilvl w:val="0"/>
          <w:numId w:val="3"/>
        </w:numPr>
        <w:ind w:left="426"/>
        <w:jc w:val="both"/>
        <w:rPr>
          <w:rFonts w:ascii="Arial" w:hAnsi="Arial" w:cs="Arial"/>
          <w:sz w:val="22"/>
          <w:szCs w:val="22"/>
          <w:highlight w:val="yellow"/>
          <w:lang w:val="en-GB"/>
        </w:rPr>
      </w:pPr>
      <w:r w:rsidRPr="002E4585">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5E1923">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444151" w:rsidRDefault="00E57410" w:rsidP="005E1923">
      <w:pPr>
        <w:pStyle w:val="ListParagraph"/>
        <w:numPr>
          <w:ilvl w:val="0"/>
          <w:numId w:val="4"/>
        </w:numPr>
        <w:ind w:left="426"/>
        <w:jc w:val="both"/>
        <w:rPr>
          <w:rFonts w:ascii="Arial" w:hAnsi="Arial" w:cs="Arial"/>
          <w:sz w:val="22"/>
          <w:szCs w:val="22"/>
          <w:highlight w:val="yellow"/>
          <w:lang w:val="en-GB"/>
        </w:rPr>
      </w:pPr>
      <w:r w:rsidRPr="00444151">
        <w:rPr>
          <w:rFonts w:ascii="Arial" w:hAnsi="Arial" w:cs="Arial"/>
          <w:sz w:val="22"/>
          <w:szCs w:val="22"/>
          <w:highlight w:val="yellow"/>
          <w:lang w:val="en-GB"/>
        </w:rPr>
        <w:t xml:space="preserve">The </w:t>
      </w:r>
      <w:r w:rsidRPr="00444151">
        <w:rPr>
          <w:rFonts w:ascii="Arial" w:hAnsi="Arial" w:cs="Arial"/>
          <w:i/>
          <w:iCs/>
          <w:sz w:val="22"/>
          <w:szCs w:val="22"/>
          <w:highlight w:val="yellow"/>
          <w:lang w:val="en-GB"/>
        </w:rPr>
        <w:t>locus standi</w:t>
      </w:r>
      <w:r w:rsidRPr="00444151">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5E1923">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5E1923">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5E1923">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5E1923">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5E1923">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51118" w:rsidRDefault="00C504E5" w:rsidP="005E1923">
      <w:pPr>
        <w:pStyle w:val="ListParagraph"/>
        <w:numPr>
          <w:ilvl w:val="0"/>
          <w:numId w:val="5"/>
        </w:numPr>
        <w:ind w:left="426"/>
        <w:jc w:val="both"/>
        <w:rPr>
          <w:rFonts w:ascii="Arial" w:hAnsi="Arial" w:cs="Arial"/>
          <w:sz w:val="22"/>
          <w:szCs w:val="22"/>
          <w:highlight w:val="yellow"/>
          <w:lang w:val="en-GB"/>
        </w:rPr>
      </w:pPr>
      <w:r w:rsidRPr="00951118">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5E1923">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5E1923">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5E1923">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5E1923">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897D0F" w:rsidRDefault="00B72F5F" w:rsidP="005E1923">
      <w:pPr>
        <w:pStyle w:val="ListParagraph"/>
        <w:numPr>
          <w:ilvl w:val="0"/>
          <w:numId w:val="6"/>
        </w:numPr>
        <w:ind w:left="426"/>
        <w:jc w:val="both"/>
        <w:rPr>
          <w:rFonts w:ascii="Arial" w:hAnsi="Arial" w:cs="Arial"/>
          <w:sz w:val="22"/>
          <w:szCs w:val="22"/>
          <w:highlight w:val="yellow"/>
          <w:lang w:val="en-GB"/>
        </w:rPr>
      </w:pPr>
      <w:r w:rsidRPr="00897D0F">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97D0F">
        <w:rPr>
          <w:rFonts w:ascii="Arial" w:hAnsi="Arial" w:cs="Arial"/>
          <w:sz w:val="22"/>
          <w:szCs w:val="22"/>
          <w:highlight w:val="yellow"/>
          <w:lang w:val="en-GB"/>
        </w:rPr>
        <w:t>will</w:t>
      </w:r>
      <w:r w:rsidRPr="00897D0F">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5E1923">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865DF" w:rsidRDefault="0067294B" w:rsidP="005E1923">
      <w:pPr>
        <w:pStyle w:val="ListParagraph"/>
        <w:numPr>
          <w:ilvl w:val="0"/>
          <w:numId w:val="7"/>
        </w:numPr>
        <w:ind w:left="426"/>
        <w:jc w:val="both"/>
        <w:rPr>
          <w:rFonts w:ascii="Arial" w:hAnsi="Arial" w:cs="Arial"/>
          <w:sz w:val="22"/>
          <w:szCs w:val="22"/>
          <w:highlight w:val="yellow"/>
          <w:lang w:val="en-GB"/>
        </w:rPr>
      </w:pPr>
      <w:r w:rsidRPr="009865DF">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5E1923">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5E1923">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444151" w:rsidRDefault="004E0549" w:rsidP="005E1923">
      <w:pPr>
        <w:pStyle w:val="ListParagraph"/>
        <w:numPr>
          <w:ilvl w:val="0"/>
          <w:numId w:val="8"/>
        </w:numPr>
        <w:ind w:left="426"/>
        <w:jc w:val="both"/>
        <w:rPr>
          <w:rFonts w:ascii="Arial" w:hAnsi="Arial" w:cs="Arial"/>
          <w:sz w:val="22"/>
          <w:szCs w:val="22"/>
          <w:highlight w:val="yellow"/>
          <w:lang w:val="en-GB"/>
        </w:rPr>
      </w:pPr>
      <w:r w:rsidRPr="00444151">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5E1923">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5E1923">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5E1923">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3E362F" w:rsidRDefault="00573E73" w:rsidP="005E1923">
      <w:pPr>
        <w:pStyle w:val="ListParagraph"/>
        <w:numPr>
          <w:ilvl w:val="0"/>
          <w:numId w:val="9"/>
        </w:numPr>
        <w:ind w:left="426"/>
        <w:jc w:val="both"/>
        <w:rPr>
          <w:rFonts w:ascii="Arial" w:hAnsi="Arial" w:cs="Arial"/>
          <w:sz w:val="22"/>
          <w:szCs w:val="22"/>
          <w:highlight w:val="yellow"/>
          <w:lang w:val="en-GB"/>
        </w:rPr>
      </w:pPr>
      <w:r w:rsidRPr="003E362F">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5E1923">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5E1923">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5E1923">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5E1923">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5E1923">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5E1923">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3E362F" w:rsidRDefault="00114082" w:rsidP="005E1923">
      <w:pPr>
        <w:pStyle w:val="ListParagraph"/>
        <w:numPr>
          <w:ilvl w:val="0"/>
          <w:numId w:val="10"/>
        </w:numPr>
        <w:spacing w:line="276" w:lineRule="auto"/>
        <w:ind w:left="426"/>
        <w:jc w:val="both"/>
        <w:rPr>
          <w:rFonts w:ascii="Arial" w:hAnsi="Arial" w:cs="Arial"/>
          <w:b/>
          <w:sz w:val="22"/>
          <w:szCs w:val="22"/>
          <w:highlight w:val="yellow"/>
          <w:lang w:val="en-GB"/>
        </w:rPr>
      </w:pPr>
      <w:r w:rsidRPr="003E362F">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628EE817" w14:textId="77777777" w:rsidR="001F5842" w:rsidRDefault="00471BAE" w:rsidP="00471B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MLCBI does not expressly indicate the relevant date for determining the COMI of a debtor or whether an establishment exists.</w:t>
      </w:r>
      <w:r>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w:t>
      </w:r>
    </w:p>
    <w:p w14:paraId="00622153" w14:textId="77777777" w:rsidR="001F5842" w:rsidRDefault="001F5842" w:rsidP="00471BAE">
      <w:pPr>
        <w:jc w:val="both"/>
        <w:rPr>
          <w:rFonts w:ascii="Arial" w:hAnsi="Arial" w:cs="Arial"/>
          <w:color w:val="7B7B7B" w:themeColor="accent3" w:themeShade="BF"/>
          <w:sz w:val="22"/>
          <w:szCs w:val="22"/>
          <w:lang w:val="en-GB"/>
        </w:rPr>
      </w:pPr>
    </w:p>
    <w:p w14:paraId="7CE70508" w14:textId="77777777" w:rsidR="001F5842" w:rsidRDefault="00E40844" w:rsidP="00471BAE">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GB"/>
        </w:rPr>
        <w:t>However, a</w:t>
      </w:r>
      <w:r w:rsidR="00471BAE">
        <w:rPr>
          <w:rFonts w:ascii="Arial" w:hAnsi="Arial" w:cs="Arial"/>
          <w:color w:val="7B7B7B" w:themeColor="accent3" w:themeShade="BF"/>
          <w:sz w:val="22"/>
          <w:szCs w:val="22"/>
          <w:lang w:val="en-GB"/>
        </w:rPr>
        <w:t xml:space="preserve">ccording to the </w:t>
      </w:r>
      <w:r w:rsidR="00471BAE" w:rsidRPr="00471BAE">
        <w:rPr>
          <w:rFonts w:ascii="Arial" w:hAnsi="Arial" w:cs="Arial"/>
          <w:color w:val="7B7B7B" w:themeColor="accent3" w:themeShade="BF"/>
          <w:sz w:val="22"/>
          <w:szCs w:val="22"/>
          <w:lang w:val="en-MY"/>
        </w:rPr>
        <w:t>Guide to Enactment and Interpretation of the UNCITRAL Model Law on Cross-Border Insolvency</w:t>
      </w:r>
      <w:r w:rsidR="00471BAE">
        <w:rPr>
          <w:rFonts w:ascii="Arial" w:hAnsi="Arial" w:cs="Arial"/>
          <w:color w:val="7B7B7B" w:themeColor="accent3" w:themeShade="BF"/>
          <w:sz w:val="22"/>
          <w:szCs w:val="22"/>
          <w:lang w:val="en-MY"/>
        </w:rPr>
        <w:t xml:space="preserve"> (“GEI”), the appropriate date for determining the COMI of a debtor or whether an establishment exists is the date of commencement of the foreign proceeding.</w:t>
      </w:r>
      <w:r w:rsidR="00471BAE">
        <w:rPr>
          <w:rStyle w:val="FootnoteReference"/>
          <w:rFonts w:ascii="Arial" w:hAnsi="Arial" w:cs="Arial"/>
          <w:color w:val="7B7B7B" w:themeColor="accent3" w:themeShade="BF"/>
          <w:sz w:val="22"/>
          <w:szCs w:val="22"/>
          <w:lang w:val="en-MY"/>
        </w:rPr>
        <w:footnoteReference w:id="2"/>
      </w:r>
      <w:r w:rsidR="00471BAE">
        <w:rPr>
          <w:rFonts w:ascii="Arial" w:hAnsi="Arial" w:cs="Arial"/>
          <w:color w:val="7B7B7B" w:themeColor="accent3" w:themeShade="BF"/>
          <w:sz w:val="22"/>
          <w:szCs w:val="22"/>
          <w:lang w:val="en-MY"/>
        </w:rPr>
        <w:t xml:space="preserve"> This is taking into account the evidence required to accompany an application for recognition under A</w:t>
      </w:r>
      <w:r>
        <w:rPr>
          <w:rFonts w:ascii="Arial" w:hAnsi="Arial" w:cs="Arial"/>
          <w:color w:val="7B7B7B" w:themeColor="accent3" w:themeShade="BF"/>
          <w:sz w:val="22"/>
          <w:szCs w:val="22"/>
          <w:lang w:val="en-MY"/>
        </w:rPr>
        <w:t xml:space="preserve">rticle 15 of the </w:t>
      </w:r>
      <w:r w:rsidR="00471BAE">
        <w:rPr>
          <w:rFonts w:ascii="Arial" w:hAnsi="Arial" w:cs="Arial"/>
          <w:color w:val="7B7B7B" w:themeColor="accent3" w:themeShade="BF"/>
          <w:sz w:val="22"/>
          <w:szCs w:val="22"/>
          <w:lang w:val="en-MY"/>
        </w:rPr>
        <w:t xml:space="preserve">MLCBI and the relevance accorded the decision commencing the foreign proceeding and appointing the foreign representative. </w:t>
      </w:r>
    </w:p>
    <w:p w14:paraId="0DC37450" w14:textId="1937633E" w:rsidR="00E40844" w:rsidRDefault="00E40844" w:rsidP="00471BAE">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lastRenderedPageBreak/>
        <w:t>The GEI further justifies the date of commencement of the foreign proceeding as the appropriate date for determining COMI of a debtor or whether an establishment exists on the following grounds</w:t>
      </w:r>
      <w:r>
        <w:rPr>
          <w:rStyle w:val="FootnoteReference"/>
          <w:rFonts w:ascii="Arial" w:hAnsi="Arial" w:cs="Arial"/>
          <w:color w:val="7B7B7B" w:themeColor="accent3" w:themeShade="BF"/>
          <w:sz w:val="22"/>
          <w:szCs w:val="22"/>
          <w:lang w:val="en-MY"/>
        </w:rPr>
        <w:footnoteReference w:id="3"/>
      </w:r>
      <w:r>
        <w:rPr>
          <w:rFonts w:ascii="Arial" w:hAnsi="Arial" w:cs="Arial"/>
          <w:color w:val="7B7B7B" w:themeColor="accent3" w:themeShade="BF"/>
          <w:sz w:val="22"/>
          <w:szCs w:val="22"/>
          <w:lang w:val="en-MY"/>
        </w:rPr>
        <w:t xml:space="preserve"> –</w:t>
      </w:r>
    </w:p>
    <w:p w14:paraId="7E64556B" w14:textId="77777777" w:rsidR="001F5842" w:rsidRPr="001F5842" w:rsidRDefault="001F5842" w:rsidP="001F5842">
      <w:pPr>
        <w:pStyle w:val="ListParagraph"/>
        <w:jc w:val="both"/>
        <w:rPr>
          <w:rFonts w:ascii="Arial" w:hAnsi="Arial" w:cs="Arial"/>
          <w:sz w:val="22"/>
          <w:szCs w:val="22"/>
          <w:lang w:val="en-GB"/>
        </w:rPr>
      </w:pPr>
    </w:p>
    <w:p w14:paraId="1C158559" w14:textId="599D30C2" w:rsidR="00E40844" w:rsidRPr="00455D60" w:rsidRDefault="00E40844" w:rsidP="005E1923">
      <w:pPr>
        <w:pStyle w:val="ListParagraph"/>
        <w:numPr>
          <w:ilvl w:val="0"/>
          <w:numId w:val="15"/>
        </w:numPr>
        <w:ind w:hanging="720"/>
        <w:jc w:val="both"/>
        <w:rPr>
          <w:rFonts w:ascii="Arial" w:hAnsi="Arial" w:cs="Arial"/>
          <w:sz w:val="22"/>
          <w:szCs w:val="22"/>
          <w:lang w:val="en-GB"/>
        </w:rPr>
      </w:pPr>
      <w:r>
        <w:rPr>
          <w:rFonts w:ascii="Arial" w:hAnsi="Arial" w:cs="Arial"/>
          <w:color w:val="7B7B7B" w:themeColor="accent3" w:themeShade="BF"/>
          <w:sz w:val="22"/>
          <w:szCs w:val="22"/>
          <w:lang w:val="en-MY"/>
        </w:rPr>
        <w:t>where the business activity of the debtor ceases after commencement of the foreign proceeding, all that may exist at the time of the application for recognition to indicate the debtor’s COMI or establishment is the foreign proceeding and the activity of the foreign representative in administering the debtor’s estate. In such a case, the determination of COMI or establishment with reference to the date of commencement of the foreign proceedings would produce a clear result; and</w:t>
      </w:r>
    </w:p>
    <w:p w14:paraId="57EED9EC" w14:textId="77777777" w:rsidR="001F5842" w:rsidRPr="001F5842" w:rsidRDefault="001F5842" w:rsidP="001F5842">
      <w:pPr>
        <w:pStyle w:val="ListParagraph"/>
        <w:jc w:val="both"/>
        <w:rPr>
          <w:rFonts w:ascii="Arial" w:hAnsi="Arial" w:cs="Arial"/>
          <w:sz w:val="22"/>
          <w:szCs w:val="22"/>
          <w:lang w:val="en-GB"/>
        </w:rPr>
      </w:pPr>
    </w:p>
    <w:p w14:paraId="32656FE9" w14:textId="72704408" w:rsidR="00455D60" w:rsidRPr="00455D60" w:rsidRDefault="00455D60" w:rsidP="005E1923">
      <w:pPr>
        <w:pStyle w:val="ListParagraph"/>
        <w:numPr>
          <w:ilvl w:val="0"/>
          <w:numId w:val="15"/>
        </w:numPr>
        <w:ind w:hanging="720"/>
        <w:jc w:val="both"/>
        <w:rPr>
          <w:rFonts w:ascii="Arial" w:hAnsi="Arial" w:cs="Arial"/>
          <w:sz w:val="22"/>
          <w:szCs w:val="22"/>
          <w:lang w:val="en-GB"/>
        </w:rPr>
      </w:pPr>
      <w:r>
        <w:rPr>
          <w:rFonts w:ascii="Arial" w:hAnsi="Arial" w:cs="Arial"/>
          <w:color w:val="7B7B7B" w:themeColor="accent3" w:themeShade="BF"/>
          <w:sz w:val="22"/>
          <w:szCs w:val="22"/>
          <w:lang w:val="en-MY"/>
        </w:rPr>
        <w:t>taking the date of commencement of the foreign proceeding to determine COMI or establishment of the debtor provides a test that can be applied with certainty to all insolvency proceedings.</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3385D633" w14:textId="65BD49A8" w:rsidR="001B5BA4" w:rsidRDefault="001B5BA4" w:rsidP="00B47B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relates to the coordination of more than one foreign proceeding in Article 30 of the UNCITRAL Model Law </w:t>
      </w:r>
      <w:r w:rsidRPr="001C645C">
        <w:rPr>
          <w:rFonts w:ascii="Arial" w:hAnsi="Arial" w:cs="Arial"/>
          <w:color w:val="7B7B7B" w:themeColor="accent3" w:themeShade="BF"/>
          <w:sz w:val="22"/>
          <w:szCs w:val="22"/>
          <w:lang w:val="en-GB"/>
        </w:rPr>
        <w:t>on Cross-Border Insolvency</w:t>
      </w:r>
      <w:r>
        <w:rPr>
          <w:rFonts w:ascii="Arial" w:hAnsi="Arial" w:cs="Arial"/>
          <w:color w:val="7B7B7B" w:themeColor="accent3" w:themeShade="BF"/>
          <w:sz w:val="22"/>
          <w:szCs w:val="22"/>
          <w:lang w:val="en-GB"/>
        </w:rPr>
        <w:t xml:space="preserve"> (“MLCBI”). In particular, Article 30(c) MLCBI provides for guidance in case of concurrence of two foreign non-main proceedings by stipulating that if, after recognition of a foreign non-main proceeding, another foreign non-main proceeding is recognised, the court shall grant, modify or terminate relief for the purpose of coordination of the proceedings. </w:t>
      </w:r>
      <w:r w:rsidR="008E4D33">
        <w:rPr>
          <w:rFonts w:ascii="Arial" w:hAnsi="Arial" w:cs="Arial"/>
          <w:color w:val="7B7B7B" w:themeColor="accent3" w:themeShade="BF"/>
          <w:sz w:val="22"/>
          <w:szCs w:val="22"/>
          <w:lang w:val="en-GB"/>
        </w:rPr>
        <w:t>Where there are two foreign non-main proceedings, Article 30(c) does not treat any of the proceedings preferentially but instead has the objective of promoting</w:t>
      </w:r>
      <w:r w:rsidR="008E4D33" w:rsidRPr="008E4D33">
        <w:rPr>
          <w:rFonts w:ascii="Arial" w:hAnsi="Arial" w:cs="Arial"/>
          <w:color w:val="7B7B7B" w:themeColor="accent3" w:themeShade="BF"/>
          <w:sz w:val="22"/>
          <w:szCs w:val="22"/>
          <w:lang w:val="en-GB"/>
        </w:rPr>
        <w:t xml:space="preserve"> cooperation, coordination and consistency of the relief granted in </w:t>
      </w:r>
      <w:r w:rsidR="008E4D33">
        <w:rPr>
          <w:rFonts w:ascii="Arial" w:hAnsi="Arial" w:cs="Arial"/>
          <w:color w:val="7B7B7B" w:themeColor="accent3" w:themeShade="BF"/>
          <w:sz w:val="22"/>
          <w:szCs w:val="22"/>
          <w:lang w:val="en-GB"/>
        </w:rPr>
        <w:t xml:space="preserve">the </w:t>
      </w:r>
      <w:r w:rsidR="008E4D33" w:rsidRPr="008E4D33">
        <w:rPr>
          <w:rFonts w:ascii="Arial" w:hAnsi="Arial" w:cs="Arial"/>
          <w:color w:val="7B7B7B" w:themeColor="accent3" w:themeShade="BF"/>
          <w:sz w:val="22"/>
          <w:szCs w:val="22"/>
          <w:lang w:val="en-GB"/>
        </w:rPr>
        <w:t>different proceedings</w:t>
      </w:r>
      <w:r w:rsidR="008E4D33">
        <w:rPr>
          <w:rFonts w:ascii="Arial" w:hAnsi="Arial" w:cs="Arial"/>
          <w:color w:val="7B7B7B" w:themeColor="accent3" w:themeShade="BF"/>
          <w:sz w:val="22"/>
          <w:szCs w:val="22"/>
          <w:lang w:val="en-GB"/>
        </w:rPr>
        <w:t xml:space="preserve"> by appropriately tailoring the relief to be granted or by modifying or terminating relief already granted.</w:t>
      </w:r>
      <w:r w:rsidR="008E4D33">
        <w:rPr>
          <w:rStyle w:val="FootnoteReference"/>
          <w:rFonts w:ascii="Arial" w:hAnsi="Arial" w:cs="Arial"/>
          <w:color w:val="7B7B7B" w:themeColor="accent3" w:themeShade="BF"/>
          <w:sz w:val="22"/>
          <w:szCs w:val="22"/>
          <w:lang w:val="en-GB"/>
        </w:rPr>
        <w:footnoteReference w:id="4"/>
      </w:r>
    </w:p>
    <w:p w14:paraId="443024BC" w14:textId="77777777" w:rsidR="001B5BA4" w:rsidRDefault="001B5BA4" w:rsidP="00B47B2F">
      <w:pPr>
        <w:jc w:val="both"/>
        <w:rPr>
          <w:rFonts w:ascii="Arial" w:hAnsi="Arial" w:cs="Arial"/>
          <w:color w:val="7B7B7B" w:themeColor="accent3" w:themeShade="BF"/>
          <w:sz w:val="22"/>
          <w:szCs w:val="22"/>
          <w:lang w:val="en-GB"/>
        </w:rPr>
      </w:pPr>
    </w:p>
    <w:p w14:paraId="2F57801B" w14:textId="50DE4D00" w:rsidR="009B07AD" w:rsidRDefault="001C645C" w:rsidP="00B47B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relates to the </w:t>
      </w:r>
      <w:r w:rsidR="00B47B2F">
        <w:rPr>
          <w:rFonts w:ascii="Arial" w:hAnsi="Arial" w:cs="Arial"/>
          <w:color w:val="7B7B7B" w:themeColor="accent3" w:themeShade="BF"/>
          <w:sz w:val="22"/>
          <w:szCs w:val="22"/>
          <w:lang w:val="en-GB"/>
        </w:rPr>
        <w:t xml:space="preserve">rule of payment in concurrent proceedings, sometimes referred to as the </w:t>
      </w:r>
      <w:r>
        <w:rPr>
          <w:rFonts w:ascii="Arial" w:hAnsi="Arial" w:cs="Arial"/>
          <w:color w:val="7B7B7B" w:themeColor="accent3" w:themeShade="BF"/>
          <w:sz w:val="22"/>
          <w:szCs w:val="22"/>
          <w:lang w:val="en-GB"/>
        </w:rPr>
        <w:t xml:space="preserve">hotch-potch </w:t>
      </w:r>
      <w:r w:rsidR="00B47B2F">
        <w:rPr>
          <w:rFonts w:ascii="Arial" w:hAnsi="Arial" w:cs="Arial"/>
          <w:color w:val="7B7B7B" w:themeColor="accent3" w:themeShade="BF"/>
          <w:sz w:val="22"/>
          <w:szCs w:val="22"/>
          <w:lang w:val="en-GB"/>
        </w:rPr>
        <w:t xml:space="preserve">or hotchpot </w:t>
      </w:r>
      <w:r>
        <w:rPr>
          <w:rFonts w:ascii="Arial" w:hAnsi="Arial" w:cs="Arial"/>
          <w:color w:val="7B7B7B" w:themeColor="accent3" w:themeShade="BF"/>
          <w:sz w:val="22"/>
          <w:szCs w:val="22"/>
          <w:lang w:val="en-GB"/>
        </w:rPr>
        <w:t>rule</w:t>
      </w:r>
      <w:r w:rsidR="001B5BA4">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in Article 32</w:t>
      </w:r>
      <w:r w:rsidR="001B5BA4">
        <w:rPr>
          <w:rFonts w:ascii="Arial" w:hAnsi="Arial" w:cs="Arial"/>
          <w:color w:val="7B7B7B" w:themeColor="accent3" w:themeShade="BF"/>
          <w:sz w:val="22"/>
          <w:szCs w:val="22"/>
          <w:lang w:val="en-GB"/>
        </w:rPr>
        <w:t xml:space="preserve"> MLCBI</w:t>
      </w:r>
      <w:r>
        <w:rPr>
          <w:rFonts w:ascii="Arial" w:hAnsi="Arial" w:cs="Arial"/>
          <w:color w:val="7B7B7B" w:themeColor="accent3" w:themeShade="BF"/>
          <w:sz w:val="22"/>
          <w:szCs w:val="22"/>
          <w:lang w:val="en-GB"/>
        </w:rPr>
        <w:t xml:space="preserve">. </w:t>
      </w:r>
      <w:r w:rsidR="00B47B2F">
        <w:rPr>
          <w:rFonts w:ascii="Arial" w:hAnsi="Arial" w:cs="Arial"/>
          <w:color w:val="7B7B7B" w:themeColor="accent3" w:themeShade="BF"/>
          <w:sz w:val="22"/>
          <w:szCs w:val="22"/>
          <w:lang w:val="en-GB"/>
        </w:rPr>
        <w:t xml:space="preserve">Article 32 MLCBI provides that a creditor who has received part payment in respect of its claim in an insolvency proceeding in a foreign state may not receive a payment for the same claim in an insolvency proceeding in the enacting state regarding the same debtor, so long as the payment to the other creditors of the same class is proportionately less than the payment the creditor has already received. This rule in Article 32 MLCBI does not affect secured claims or rights </w:t>
      </w:r>
      <w:r w:rsidR="00B47B2F">
        <w:rPr>
          <w:rFonts w:ascii="Arial" w:hAnsi="Arial" w:cs="Arial"/>
          <w:i/>
          <w:color w:val="7B7B7B" w:themeColor="accent3" w:themeShade="BF"/>
          <w:sz w:val="22"/>
          <w:szCs w:val="22"/>
          <w:lang w:val="en-GB"/>
        </w:rPr>
        <w:t>in rem</w:t>
      </w:r>
      <w:r w:rsidR="00B47B2F">
        <w:rPr>
          <w:rFonts w:ascii="Arial" w:hAnsi="Arial" w:cs="Arial"/>
          <w:color w:val="7B7B7B" w:themeColor="accent3" w:themeShade="BF"/>
          <w:sz w:val="22"/>
          <w:szCs w:val="22"/>
          <w:lang w:val="en-GB"/>
        </w:rPr>
        <w:t>.</w:t>
      </w:r>
    </w:p>
    <w:p w14:paraId="7B3CECB0" w14:textId="49E84A17" w:rsidR="00A37054" w:rsidRDefault="00A37054" w:rsidP="00B47B2F">
      <w:pPr>
        <w:jc w:val="both"/>
        <w:rPr>
          <w:rFonts w:ascii="Arial" w:hAnsi="Arial" w:cs="Arial"/>
          <w:color w:val="7B7B7B" w:themeColor="accent3" w:themeShade="BF"/>
          <w:sz w:val="22"/>
          <w:szCs w:val="22"/>
          <w:lang w:val="en-GB"/>
        </w:rPr>
      </w:pPr>
    </w:p>
    <w:p w14:paraId="6F6F3888" w14:textId="62A49785" w:rsidR="00A37054" w:rsidRPr="00B47B2F" w:rsidRDefault="00A37054" w:rsidP="00B47B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3 relates to the rebuttable presumption on the debtor’s centre of main interests or COMI in Article 16 MLCBI. COMI is an undefined key concept in the MLCBI. However, Article 16(3) MLCBI provides for a rebuttable presumption in respect of the concept of COMI by stipulating that in the absence of proof to be contrary, the debtor’s registered office, or habitual residence </w:t>
      </w:r>
      <w:r w:rsidR="00B273BF">
        <w:rPr>
          <w:rFonts w:ascii="Arial" w:hAnsi="Arial" w:cs="Arial"/>
          <w:color w:val="7B7B7B" w:themeColor="accent3" w:themeShade="BF"/>
          <w:sz w:val="22"/>
          <w:szCs w:val="22"/>
          <w:lang w:val="en-GB"/>
        </w:rPr>
        <w:t>in the case of an individual, is presumed to be the centre of the debtor’s main interests.</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35C266E4" w:rsidR="00C72848" w:rsidRDefault="0097679A" w:rsidP="009767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Pr>
          <w:rFonts w:ascii="Arial" w:hAnsi="Arial" w:cs="Arial"/>
          <w:i/>
          <w:color w:val="7B7B7B" w:themeColor="accent3" w:themeShade="BF"/>
          <w:sz w:val="22"/>
          <w:szCs w:val="22"/>
          <w:lang w:val="en-GB"/>
        </w:rPr>
        <w:t xml:space="preserve">IBA </w:t>
      </w:r>
      <w:r>
        <w:rPr>
          <w:rFonts w:ascii="Arial" w:hAnsi="Arial" w:cs="Arial"/>
          <w:color w:val="7B7B7B" w:themeColor="accent3" w:themeShade="BF"/>
          <w:sz w:val="22"/>
          <w:szCs w:val="22"/>
          <w:lang w:val="en-GB"/>
        </w:rPr>
        <w:t xml:space="preserve">case relates to the “Gibbs Rule” derived from the case of </w:t>
      </w:r>
      <w:r>
        <w:rPr>
          <w:rFonts w:ascii="Arial" w:hAnsi="Arial" w:cs="Arial"/>
          <w:i/>
          <w:color w:val="7B7B7B" w:themeColor="accent3" w:themeShade="BF"/>
          <w:sz w:val="22"/>
          <w:szCs w:val="22"/>
          <w:lang w:val="en-GB"/>
        </w:rPr>
        <w:t>Antony Gibbs &amp; Sons v La Societe Industrielle et Commerciale des Metaux</w:t>
      </w:r>
      <w:r w:rsidRPr="001F5842">
        <w:rPr>
          <w:rStyle w:val="FootnoteReference"/>
          <w:rFonts w:ascii="Arial" w:hAnsi="Arial" w:cs="Arial"/>
          <w:color w:val="7B7B7B" w:themeColor="accent3" w:themeShade="BF"/>
          <w:sz w:val="22"/>
          <w:szCs w:val="22"/>
          <w:lang w:val="en-GB"/>
        </w:rPr>
        <w:footnoteReference w:id="6"/>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which stands for the proposition that a debt governed by English law cannot be discharged or compromised by a foreign insolvency proceeding unless the creditors have voluntarily submitted to the foreign insolvency proceeding.</w:t>
      </w:r>
    </w:p>
    <w:p w14:paraId="7DF211EA" w14:textId="03683441" w:rsidR="0097679A" w:rsidRDefault="0097679A" w:rsidP="0097679A">
      <w:pPr>
        <w:jc w:val="both"/>
        <w:rPr>
          <w:rFonts w:ascii="Arial" w:hAnsi="Arial" w:cs="Arial"/>
          <w:color w:val="7B7B7B" w:themeColor="accent3" w:themeShade="BF"/>
          <w:sz w:val="22"/>
          <w:szCs w:val="22"/>
          <w:lang w:val="en-GB"/>
        </w:rPr>
      </w:pPr>
    </w:p>
    <w:p w14:paraId="4FA94966" w14:textId="33A3F71E" w:rsidR="0097679A" w:rsidRDefault="0097679A" w:rsidP="009767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w:t>
      </w:r>
      <w:r>
        <w:rPr>
          <w:rFonts w:ascii="Arial" w:hAnsi="Arial" w:cs="Arial"/>
          <w:i/>
          <w:color w:val="7B7B7B" w:themeColor="accent3" w:themeShade="BF"/>
          <w:sz w:val="22"/>
          <w:szCs w:val="22"/>
          <w:lang w:val="en-GB"/>
        </w:rPr>
        <w:t xml:space="preserve">IBA </w:t>
      </w:r>
      <w:r>
        <w:rPr>
          <w:rFonts w:ascii="Arial" w:hAnsi="Arial" w:cs="Arial"/>
          <w:color w:val="7B7B7B" w:themeColor="accent3" w:themeShade="BF"/>
          <w:sz w:val="22"/>
          <w:szCs w:val="22"/>
          <w:lang w:val="en-GB"/>
        </w:rPr>
        <w:t xml:space="preserve">case, the foreign representative of an insolvency proceeding in Azerbaijan, following an earlier recognition order under the English </w:t>
      </w:r>
      <w:r w:rsidRPr="0097679A">
        <w:rPr>
          <w:rFonts w:ascii="Arial" w:hAnsi="Arial" w:cs="Arial"/>
          <w:color w:val="7B7B7B" w:themeColor="accent3" w:themeShade="BF"/>
          <w:sz w:val="22"/>
          <w:szCs w:val="22"/>
          <w:lang w:val="en-GB"/>
        </w:rPr>
        <w:t>Cross-Border Insolvency Regulations 2006 (CBIR)</w:t>
      </w:r>
      <w:r w:rsidR="00852D5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requested for relief under Article 21 MLCBI in the form of an indefinite continuation of the automatic moratorium that resulted from the earlier recognition order (“Moratorium Continuation”). </w:t>
      </w:r>
      <w:r w:rsidR="00852D5D">
        <w:rPr>
          <w:rFonts w:ascii="Arial" w:hAnsi="Arial" w:cs="Arial"/>
          <w:color w:val="7B7B7B" w:themeColor="accent3" w:themeShade="BF"/>
          <w:sz w:val="22"/>
          <w:szCs w:val="22"/>
          <w:lang w:val="en-GB"/>
        </w:rPr>
        <w:t>The foreign insolvency proceeding in Azerbaijan was a restructuring plan which</w:t>
      </w:r>
      <w:r w:rsidR="002172D8">
        <w:rPr>
          <w:rFonts w:ascii="Arial" w:hAnsi="Arial" w:cs="Arial"/>
          <w:color w:val="7B7B7B" w:themeColor="accent3" w:themeShade="BF"/>
          <w:sz w:val="22"/>
          <w:szCs w:val="22"/>
          <w:lang w:val="en-GB"/>
        </w:rPr>
        <w:t>,</w:t>
      </w:r>
      <w:r w:rsidR="00852D5D">
        <w:rPr>
          <w:rFonts w:ascii="Arial" w:hAnsi="Arial" w:cs="Arial"/>
          <w:color w:val="7B7B7B" w:themeColor="accent3" w:themeShade="BF"/>
          <w:sz w:val="22"/>
          <w:szCs w:val="22"/>
          <w:lang w:val="en-GB"/>
        </w:rPr>
        <w:t xml:space="preserve"> pursuant to Azeri law</w:t>
      </w:r>
      <w:r w:rsidR="002172D8">
        <w:rPr>
          <w:rFonts w:ascii="Arial" w:hAnsi="Arial" w:cs="Arial"/>
          <w:color w:val="7B7B7B" w:themeColor="accent3" w:themeShade="BF"/>
          <w:sz w:val="22"/>
          <w:szCs w:val="22"/>
          <w:lang w:val="en-GB"/>
        </w:rPr>
        <w:t>,</w:t>
      </w:r>
      <w:r w:rsidR="00852D5D">
        <w:rPr>
          <w:rFonts w:ascii="Arial" w:hAnsi="Arial" w:cs="Arial"/>
          <w:color w:val="7B7B7B" w:themeColor="accent3" w:themeShade="BF"/>
          <w:sz w:val="22"/>
          <w:szCs w:val="22"/>
          <w:lang w:val="en-GB"/>
        </w:rPr>
        <w:t xml:space="preserve"> was binding on all creditors. The Moratorium Continuation application was contested by two (2) creditors who had unpaid claims against IBA under debt instruments governed by English law and had not submitted to the foreign insolvency proceeding in Azerbaijan. </w:t>
      </w:r>
    </w:p>
    <w:p w14:paraId="475FC11C" w14:textId="0C66A344" w:rsidR="00852D5D" w:rsidRDefault="00852D5D" w:rsidP="0097679A">
      <w:pPr>
        <w:jc w:val="both"/>
        <w:rPr>
          <w:rFonts w:ascii="Arial" w:hAnsi="Arial" w:cs="Arial"/>
          <w:color w:val="7B7B7B" w:themeColor="accent3" w:themeShade="BF"/>
          <w:sz w:val="22"/>
          <w:szCs w:val="22"/>
          <w:lang w:val="en-GB"/>
        </w:rPr>
      </w:pPr>
    </w:p>
    <w:p w14:paraId="5892176E" w14:textId="6B55D44C" w:rsidR="00852D5D" w:rsidRDefault="00852D5D" w:rsidP="009767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High Court in the </w:t>
      </w:r>
      <w:r>
        <w:rPr>
          <w:rFonts w:ascii="Arial" w:hAnsi="Arial" w:cs="Arial"/>
          <w:i/>
          <w:color w:val="7B7B7B" w:themeColor="accent3" w:themeShade="BF"/>
          <w:sz w:val="22"/>
          <w:szCs w:val="22"/>
          <w:lang w:val="en-GB"/>
        </w:rPr>
        <w:t xml:space="preserve">IBA </w:t>
      </w:r>
      <w:r>
        <w:rPr>
          <w:rFonts w:ascii="Arial" w:hAnsi="Arial" w:cs="Arial"/>
          <w:color w:val="7B7B7B" w:themeColor="accent3" w:themeShade="BF"/>
          <w:sz w:val="22"/>
          <w:szCs w:val="22"/>
          <w:lang w:val="en-GB"/>
        </w:rPr>
        <w:t>case found that the Moratorium Continuation application sought an order which had the effect of forever preventing the challenging creditors from exercising their English law right. Hence, in effect</w:t>
      </w:r>
      <w:r w:rsidR="002172D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relief sought </w:t>
      </w:r>
      <w:r w:rsidR="002172D8">
        <w:rPr>
          <w:rFonts w:ascii="Arial" w:hAnsi="Arial" w:cs="Arial"/>
          <w:color w:val="7B7B7B" w:themeColor="accent3" w:themeShade="BF"/>
          <w:sz w:val="22"/>
          <w:szCs w:val="22"/>
          <w:lang w:val="en-GB"/>
        </w:rPr>
        <w:t>would operate as a discharge of the claims of the challenging creditor</w:t>
      </w:r>
      <w:r w:rsidR="001F5842">
        <w:rPr>
          <w:rFonts w:ascii="Arial" w:hAnsi="Arial" w:cs="Arial"/>
          <w:color w:val="7B7B7B" w:themeColor="accent3" w:themeShade="BF"/>
          <w:sz w:val="22"/>
          <w:szCs w:val="22"/>
          <w:lang w:val="en-GB"/>
        </w:rPr>
        <w:t>s</w:t>
      </w:r>
      <w:r w:rsidR="002172D8">
        <w:rPr>
          <w:rFonts w:ascii="Arial" w:hAnsi="Arial" w:cs="Arial"/>
          <w:color w:val="7B7B7B" w:themeColor="accent3" w:themeShade="BF"/>
          <w:sz w:val="22"/>
          <w:szCs w:val="22"/>
          <w:lang w:val="en-GB"/>
        </w:rPr>
        <w:t xml:space="preserve"> and thus contravene</w:t>
      </w:r>
      <w:r>
        <w:rPr>
          <w:rFonts w:ascii="Arial" w:hAnsi="Arial" w:cs="Arial"/>
          <w:color w:val="7B7B7B" w:themeColor="accent3" w:themeShade="BF"/>
          <w:sz w:val="22"/>
          <w:szCs w:val="22"/>
          <w:lang w:val="en-GB"/>
        </w:rPr>
        <w:t xml:space="preserve"> the Gibbs Rule. </w:t>
      </w:r>
      <w:r w:rsidR="002172D8">
        <w:rPr>
          <w:rFonts w:ascii="Arial" w:hAnsi="Arial" w:cs="Arial"/>
          <w:color w:val="7B7B7B" w:themeColor="accent3" w:themeShade="BF"/>
          <w:sz w:val="22"/>
          <w:szCs w:val="22"/>
          <w:lang w:val="en-GB"/>
        </w:rPr>
        <w:t>The High Court dismissed the Moratorium Continuation application.</w:t>
      </w:r>
    </w:p>
    <w:p w14:paraId="6790A6B1" w14:textId="4E29B989" w:rsidR="002172D8" w:rsidRDefault="002172D8" w:rsidP="0097679A">
      <w:pPr>
        <w:jc w:val="both"/>
        <w:rPr>
          <w:rFonts w:ascii="Arial" w:hAnsi="Arial" w:cs="Arial"/>
          <w:color w:val="7B7B7B" w:themeColor="accent3" w:themeShade="BF"/>
          <w:sz w:val="22"/>
          <w:szCs w:val="22"/>
          <w:lang w:val="en-GB"/>
        </w:rPr>
      </w:pPr>
    </w:p>
    <w:p w14:paraId="5F931FD2" w14:textId="41435CC0" w:rsidR="00413B5E" w:rsidRPr="00413B5E" w:rsidRDefault="002172D8" w:rsidP="0097679A">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In the </w:t>
      </w:r>
      <w:r>
        <w:rPr>
          <w:rFonts w:ascii="Arial" w:hAnsi="Arial" w:cs="Arial"/>
          <w:i/>
          <w:color w:val="7B7B7B" w:themeColor="accent3" w:themeShade="BF"/>
          <w:sz w:val="22"/>
          <w:szCs w:val="22"/>
          <w:lang w:val="en-GB"/>
        </w:rPr>
        <w:t xml:space="preserve">IBA </w:t>
      </w:r>
      <w:r>
        <w:rPr>
          <w:rFonts w:ascii="Arial" w:hAnsi="Arial" w:cs="Arial"/>
          <w:color w:val="7B7B7B" w:themeColor="accent3" w:themeShade="BF"/>
          <w:sz w:val="22"/>
          <w:szCs w:val="22"/>
          <w:lang w:val="en-GB"/>
        </w:rPr>
        <w:t xml:space="preserve">case appeal, </w:t>
      </w:r>
      <w:r w:rsidRPr="002172D8">
        <w:rPr>
          <w:rFonts w:ascii="Arial" w:hAnsi="Arial" w:cs="Arial"/>
          <w:color w:val="7B7B7B" w:themeColor="accent3" w:themeShade="BF"/>
          <w:sz w:val="22"/>
          <w:szCs w:val="22"/>
          <w:lang w:val="en-GB"/>
        </w:rPr>
        <w:t>the English Court of Appeal upheld the decision that the court should not exercise its power to grant the indefinite Moratorium Continuation</w:t>
      </w:r>
      <w:r>
        <w:rPr>
          <w:rFonts w:ascii="Arial" w:hAnsi="Arial" w:cs="Arial"/>
          <w:color w:val="7B7B7B" w:themeColor="accent3" w:themeShade="BF"/>
          <w:sz w:val="22"/>
          <w:szCs w:val="22"/>
          <w:lang w:val="en-GB"/>
        </w:rPr>
        <w:t xml:space="preserve">. The Court of Appeal’s focus was on the jurisdictional question of </w:t>
      </w:r>
      <w:r w:rsidRPr="002172D8">
        <w:rPr>
          <w:rFonts w:ascii="Arial" w:hAnsi="Arial" w:cs="Arial"/>
          <w:i/>
          <w:color w:val="7B7B7B" w:themeColor="accent3" w:themeShade="BF"/>
          <w:sz w:val="22"/>
          <w:szCs w:val="22"/>
          <w:lang w:val="en-GB"/>
        </w:rPr>
        <w:t>“in what sense it may be said that the English court lacks jurisdiction to grant the indefinite stay requested by the foreign representative”</w:t>
      </w:r>
      <w:r w:rsidR="00413B5E">
        <w:rPr>
          <w:rFonts w:ascii="Arial" w:hAnsi="Arial" w:cs="Arial"/>
          <w:i/>
          <w:color w:val="7B7B7B" w:themeColor="accent3" w:themeShade="BF"/>
          <w:sz w:val="22"/>
          <w:szCs w:val="22"/>
          <w:lang w:val="en-GB"/>
        </w:rPr>
        <w:t>.</w:t>
      </w:r>
      <w:r w:rsidRPr="00413B5E">
        <w:rPr>
          <w:rStyle w:val="FootnoteReference"/>
          <w:rFonts w:ascii="Arial" w:hAnsi="Arial" w:cs="Arial"/>
          <w:color w:val="7B7B7B" w:themeColor="accent3" w:themeShade="BF"/>
          <w:sz w:val="22"/>
          <w:szCs w:val="22"/>
          <w:lang w:val="en-GB"/>
        </w:rPr>
        <w:footnoteReference w:id="7"/>
      </w:r>
      <w:r w:rsidR="00413B5E">
        <w:rPr>
          <w:rFonts w:ascii="Arial" w:hAnsi="Arial" w:cs="Arial"/>
          <w:i/>
          <w:color w:val="7B7B7B" w:themeColor="accent3" w:themeShade="BF"/>
          <w:sz w:val="22"/>
          <w:szCs w:val="22"/>
          <w:lang w:val="en-GB"/>
        </w:rPr>
        <w:t xml:space="preserve"> </w:t>
      </w:r>
      <w:r w:rsidR="00413B5E">
        <w:rPr>
          <w:rFonts w:ascii="Arial" w:hAnsi="Arial" w:cs="Arial"/>
          <w:color w:val="7B7B7B" w:themeColor="accent3" w:themeShade="BF"/>
          <w:sz w:val="22"/>
          <w:szCs w:val="22"/>
          <w:lang w:val="en-GB"/>
        </w:rPr>
        <w:t xml:space="preserve">The Court of Appeal found that the issue in the </w:t>
      </w:r>
      <w:r w:rsidR="00413B5E">
        <w:rPr>
          <w:rFonts w:ascii="Arial" w:hAnsi="Arial" w:cs="Arial"/>
          <w:i/>
          <w:color w:val="7B7B7B" w:themeColor="accent3" w:themeShade="BF"/>
          <w:sz w:val="22"/>
          <w:szCs w:val="22"/>
          <w:lang w:val="en-GB"/>
        </w:rPr>
        <w:t xml:space="preserve">IBA </w:t>
      </w:r>
      <w:r w:rsidR="00413B5E">
        <w:rPr>
          <w:rFonts w:ascii="Arial" w:hAnsi="Arial" w:cs="Arial"/>
          <w:color w:val="7B7B7B" w:themeColor="accent3" w:themeShade="BF"/>
          <w:sz w:val="22"/>
          <w:szCs w:val="22"/>
          <w:lang w:val="en-GB"/>
        </w:rPr>
        <w:t xml:space="preserve">case appeal was not one of jurisdiction in the strict sense but </w:t>
      </w:r>
      <w:r w:rsidR="00413B5E" w:rsidRPr="00413B5E">
        <w:rPr>
          <w:rFonts w:ascii="Arial" w:hAnsi="Arial" w:cs="Arial"/>
          <w:i/>
          <w:color w:val="7B7B7B" w:themeColor="accent3" w:themeShade="BF"/>
          <w:sz w:val="22"/>
          <w:szCs w:val="22"/>
          <w:lang w:val="en-GB"/>
        </w:rPr>
        <w:t xml:space="preserve">“whether as a matter of settled practice the court should not exercise its power to grant a stay under </w:t>
      </w:r>
      <w:r w:rsidR="00413B5E">
        <w:rPr>
          <w:rFonts w:ascii="Arial" w:hAnsi="Arial" w:cs="Arial"/>
          <w:i/>
          <w:color w:val="7B7B7B" w:themeColor="accent3" w:themeShade="BF"/>
          <w:sz w:val="22"/>
          <w:szCs w:val="22"/>
          <w:lang w:val="en-GB"/>
        </w:rPr>
        <w:t xml:space="preserve">those paragraphs </w:t>
      </w:r>
      <w:r w:rsidR="00413B5E">
        <w:rPr>
          <w:rFonts w:ascii="Arial" w:hAnsi="Arial" w:cs="Arial"/>
          <w:color w:val="7B7B7B" w:themeColor="accent3" w:themeShade="BF"/>
          <w:sz w:val="22"/>
          <w:szCs w:val="22"/>
          <w:lang w:val="en-GB"/>
        </w:rPr>
        <w:t>[</w:t>
      </w:r>
      <w:r w:rsidR="00413B5E" w:rsidRPr="00413B5E">
        <w:rPr>
          <w:rFonts w:ascii="Arial" w:hAnsi="Arial" w:cs="Arial"/>
          <w:color w:val="7B7B7B" w:themeColor="accent3" w:themeShade="BF"/>
          <w:sz w:val="22"/>
          <w:szCs w:val="22"/>
          <w:lang w:val="en-GB"/>
        </w:rPr>
        <w:t>Article 21 MLCBI</w:t>
      </w:r>
      <w:r w:rsidR="00413B5E">
        <w:rPr>
          <w:rFonts w:ascii="Arial" w:hAnsi="Arial" w:cs="Arial"/>
          <w:color w:val="7B7B7B" w:themeColor="accent3" w:themeShade="BF"/>
          <w:sz w:val="22"/>
          <w:szCs w:val="22"/>
          <w:lang w:val="en-GB"/>
        </w:rPr>
        <w:t>]</w:t>
      </w:r>
      <w:r w:rsidR="00413B5E" w:rsidRPr="00413B5E">
        <w:rPr>
          <w:rFonts w:ascii="Arial" w:hAnsi="Arial" w:cs="Arial"/>
          <w:i/>
          <w:color w:val="7B7B7B" w:themeColor="accent3" w:themeShade="BF"/>
          <w:sz w:val="22"/>
          <w:szCs w:val="22"/>
          <w:lang w:val="en-GB"/>
        </w:rPr>
        <w:t xml:space="preserve">, going beyond the automatic stay under </w:t>
      </w:r>
      <w:r w:rsidR="00413B5E">
        <w:rPr>
          <w:rFonts w:ascii="Arial" w:hAnsi="Arial" w:cs="Arial"/>
          <w:i/>
          <w:color w:val="7B7B7B" w:themeColor="accent3" w:themeShade="BF"/>
          <w:sz w:val="22"/>
          <w:szCs w:val="22"/>
          <w:lang w:val="en-GB"/>
        </w:rPr>
        <w:t>a</w:t>
      </w:r>
      <w:r w:rsidR="00413B5E" w:rsidRPr="00413B5E">
        <w:rPr>
          <w:rFonts w:ascii="Arial" w:hAnsi="Arial" w:cs="Arial"/>
          <w:i/>
          <w:color w:val="7B7B7B" w:themeColor="accent3" w:themeShade="BF"/>
          <w:sz w:val="22"/>
          <w:szCs w:val="22"/>
          <w:lang w:val="en-GB"/>
        </w:rPr>
        <w:t>rticle 20 where to do so –</w:t>
      </w:r>
    </w:p>
    <w:p w14:paraId="31BFA226" w14:textId="3871F0C5" w:rsidR="002172D8" w:rsidRPr="00413B5E" w:rsidRDefault="00413B5E" w:rsidP="00413B5E">
      <w:pPr>
        <w:pStyle w:val="ListParagraph"/>
        <w:numPr>
          <w:ilvl w:val="0"/>
          <w:numId w:val="31"/>
        </w:numPr>
        <w:ind w:hanging="720"/>
        <w:jc w:val="both"/>
        <w:rPr>
          <w:rFonts w:ascii="Arial" w:hAnsi="Arial" w:cs="Arial"/>
          <w:b/>
          <w:i/>
          <w:sz w:val="22"/>
          <w:szCs w:val="22"/>
          <w:lang w:val="en-GB"/>
        </w:rPr>
      </w:pPr>
      <w:r w:rsidRPr="00413B5E">
        <w:rPr>
          <w:rFonts w:ascii="Arial" w:hAnsi="Arial" w:cs="Arial"/>
          <w:i/>
          <w:color w:val="7B7B7B" w:themeColor="accent3" w:themeShade="BF"/>
          <w:sz w:val="22"/>
          <w:szCs w:val="22"/>
          <w:lang w:val="en-GB"/>
        </w:rPr>
        <w:t>would in substance prevent English creditors from enforcing their English law rights in accordance with the Gibbs Rule</w:t>
      </w:r>
      <w:r>
        <w:rPr>
          <w:rFonts w:ascii="Arial" w:hAnsi="Arial" w:cs="Arial"/>
          <w:i/>
          <w:color w:val="7B7B7B" w:themeColor="accent3" w:themeShade="BF"/>
          <w:sz w:val="22"/>
          <w:szCs w:val="22"/>
          <w:lang w:val="en-GB"/>
        </w:rPr>
        <w:t>; and/or</w:t>
      </w:r>
    </w:p>
    <w:p w14:paraId="062E94A7" w14:textId="07E3739F" w:rsidR="00413B5E" w:rsidRPr="00413B5E" w:rsidRDefault="00413B5E" w:rsidP="00413B5E">
      <w:pPr>
        <w:pStyle w:val="ListParagraph"/>
        <w:numPr>
          <w:ilvl w:val="0"/>
          <w:numId w:val="31"/>
        </w:numPr>
        <w:ind w:hanging="720"/>
        <w:jc w:val="both"/>
        <w:rPr>
          <w:rFonts w:ascii="Arial" w:hAnsi="Arial" w:cs="Arial"/>
          <w:b/>
          <w:i/>
          <w:sz w:val="22"/>
          <w:szCs w:val="22"/>
          <w:lang w:val="en-GB"/>
        </w:rPr>
      </w:pPr>
      <w:r>
        <w:rPr>
          <w:rFonts w:ascii="Arial" w:hAnsi="Arial" w:cs="Arial"/>
          <w:i/>
          <w:color w:val="7B7B7B" w:themeColor="accent3" w:themeShade="BF"/>
          <w:sz w:val="22"/>
          <w:szCs w:val="22"/>
          <w:lang w:val="en-GB"/>
        </w:rPr>
        <w:t>would prolong the stay after the Azeri reconstruction has come to an end.”</w:t>
      </w:r>
      <w:r w:rsidRPr="00413B5E">
        <w:rPr>
          <w:rStyle w:val="FootnoteReference"/>
          <w:rFonts w:ascii="Arial" w:hAnsi="Arial" w:cs="Arial"/>
          <w:color w:val="7B7B7B" w:themeColor="accent3" w:themeShade="BF"/>
          <w:sz w:val="22"/>
          <w:szCs w:val="22"/>
          <w:lang w:val="en-GB"/>
        </w:rPr>
        <w:t xml:space="preserve"> </w:t>
      </w:r>
      <w:r>
        <w:rPr>
          <w:rStyle w:val="FootnoteReference"/>
          <w:rFonts w:ascii="Arial" w:hAnsi="Arial" w:cs="Arial"/>
          <w:color w:val="7B7B7B" w:themeColor="accent3" w:themeShade="BF"/>
          <w:sz w:val="22"/>
          <w:szCs w:val="22"/>
          <w:lang w:val="en-GB"/>
        </w:rPr>
        <w:footnoteReference w:id="8"/>
      </w:r>
    </w:p>
    <w:p w14:paraId="3BD75522" w14:textId="2DC4E0C0" w:rsidR="00413B5E" w:rsidRDefault="00413B5E" w:rsidP="00413B5E">
      <w:pPr>
        <w:jc w:val="both"/>
        <w:rPr>
          <w:rFonts w:ascii="Arial" w:hAnsi="Arial" w:cs="Arial"/>
          <w:b/>
          <w:i/>
          <w:sz w:val="22"/>
          <w:szCs w:val="22"/>
          <w:lang w:val="en-GB"/>
        </w:rPr>
      </w:pPr>
    </w:p>
    <w:p w14:paraId="74EEDE51" w14:textId="17E4A480" w:rsidR="00413B5E" w:rsidRDefault="00413B5E" w:rsidP="00413B5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English Court of Appeal held that a stay which is intended to prevent English creditors from enforcing their English law rights indefinitely could only be granted if the court were satisfied that the stay would be necessary to protect the interests of IBA creditors and the stay would be an appropriate way of achieving such protection. The Court of Appeal found that neither of the</w:t>
      </w:r>
      <w:r w:rsidR="00593720">
        <w:rPr>
          <w:rFonts w:ascii="Arial" w:hAnsi="Arial" w:cs="Arial"/>
          <w:color w:val="7B7B7B" w:themeColor="accent3" w:themeShade="BF"/>
          <w:sz w:val="22"/>
          <w:szCs w:val="22"/>
          <w:lang w:val="en-GB"/>
        </w:rPr>
        <w:t>se</w:t>
      </w:r>
      <w:r>
        <w:rPr>
          <w:rFonts w:ascii="Arial" w:hAnsi="Arial" w:cs="Arial"/>
          <w:color w:val="7B7B7B" w:themeColor="accent3" w:themeShade="BF"/>
          <w:sz w:val="22"/>
          <w:szCs w:val="22"/>
          <w:lang w:val="en-GB"/>
        </w:rPr>
        <w:t xml:space="preserve"> conditions were satisfied. </w:t>
      </w:r>
    </w:p>
    <w:p w14:paraId="092E50AE" w14:textId="09C34DAC" w:rsidR="00413B5E" w:rsidRDefault="00413B5E" w:rsidP="00413B5E">
      <w:pPr>
        <w:jc w:val="both"/>
        <w:rPr>
          <w:rFonts w:ascii="Arial" w:hAnsi="Arial" w:cs="Arial"/>
          <w:color w:val="7B7B7B" w:themeColor="accent3" w:themeShade="BF"/>
          <w:sz w:val="22"/>
          <w:szCs w:val="22"/>
          <w:lang w:val="en-GB"/>
        </w:rPr>
      </w:pPr>
    </w:p>
    <w:p w14:paraId="24876613" w14:textId="2FA9130C" w:rsidR="00413B5E" w:rsidRPr="00413B5E" w:rsidRDefault="00413B5E" w:rsidP="00413B5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Court of Appeal went on to further highlight that the </w:t>
      </w:r>
      <w:r w:rsidR="000406A8">
        <w:rPr>
          <w:rFonts w:ascii="Arial" w:hAnsi="Arial" w:cs="Arial"/>
          <w:color w:val="7B7B7B" w:themeColor="accent3" w:themeShade="BF"/>
          <w:sz w:val="22"/>
          <w:szCs w:val="22"/>
          <w:lang w:val="en-GB"/>
        </w:rPr>
        <w:t>scope of the MLCBI is limited to some procedural aspects of cross-border insolvency and that it does not attempt a substantive unification of insolvency law and if the power to grant a stay under Article 21 had been intended to override substantive rights of creditors under the proper law governing their debts, it would have been made explicit in the MLCBI.</w:t>
      </w:r>
      <w:r w:rsidR="000406A8">
        <w:rPr>
          <w:rStyle w:val="FootnoteReference"/>
          <w:rFonts w:ascii="Arial" w:hAnsi="Arial" w:cs="Arial"/>
          <w:color w:val="7B7B7B" w:themeColor="accent3" w:themeShade="BF"/>
          <w:sz w:val="22"/>
          <w:szCs w:val="22"/>
          <w:lang w:val="en-GB"/>
        </w:rPr>
        <w:footnoteReference w:id="9"/>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0A4484EE" w:rsidR="0041139B" w:rsidRDefault="00B273BF" w:rsidP="00B273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domestic proceeding has already been opened in respect of the debtor at the time the application for recognition of the foreign proceeding is filed, Article 29(a) MLCBI will apply. The court of the enacting State must ensure that any relief granted </w:t>
      </w:r>
      <w:r w:rsidR="00D43EF9">
        <w:rPr>
          <w:rFonts w:ascii="Arial" w:hAnsi="Arial" w:cs="Arial"/>
          <w:color w:val="7B7B7B" w:themeColor="accent3" w:themeShade="BF"/>
          <w:sz w:val="22"/>
          <w:szCs w:val="22"/>
          <w:lang w:val="en-GB"/>
        </w:rPr>
        <w:t xml:space="preserve">under </w:t>
      </w:r>
      <w:r>
        <w:rPr>
          <w:rFonts w:ascii="Arial" w:hAnsi="Arial" w:cs="Arial"/>
          <w:color w:val="7B7B7B" w:themeColor="accent3" w:themeShade="BF"/>
          <w:sz w:val="22"/>
          <w:szCs w:val="22"/>
          <w:lang w:val="en-GB"/>
        </w:rPr>
        <w:t xml:space="preserve">Article 19 or 21 MLCBI is consistent with the domestic proceeding in the enacting State (Article 29(a)(i) MLCBI). Further, since the foreign proceeding is recognised as a foreign main proceeding in the enacting State, the automatic stay in Article 20 MLCBI will not apply </w:t>
      </w:r>
      <w:r w:rsidR="00D43EF9">
        <w:rPr>
          <w:rFonts w:ascii="Arial" w:hAnsi="Arial" w:cs="Arial"/>
          <w:color w:val="7B7B7B" w:themeColor="accent3" w:themeShade="BF"/>
          <w:sz w:val="22"/>
          <w:szCs w:val="22"/>
          <w:lang w:val="en-GB"/>
        </w:rPr>
        <w:t xml:space="preserve">(Article 29(a)(ii) MLCBI). </w:t>
      </w:r>
    </w:p>
    <w:p w14:paraId="01AC5C6E" w14:textId="25FBC5A3" w:rsidR="00D43EF9" w:rsidRDefault="00D43EF9" w:rsidP="00B273BF">
      <w:pPr>
        <w:jc w:val="both"/>
        <w:rPr>
          <w:rFonts w:ascii="Arial" w:hAnsi="Arial" w:cs="Arial"/>
          <w:color w:val="7B7B7B" w:themeColor="accent3" w:themeShade="BF"/>
          <w:sz w:val="22"/>
          <w:szCs w:val="22"/>
          <w:lang w:val="en-GB"/>
        </w:rPr>
      </w:pPr>
    </w:p>
    <w:p w14:paraId="46D9D2E2" w14:textId="105B5CDB" w:rsidR="00D43EF9" w:rsidRDefault="00D43EF9" w:rsidP="00B273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the duty of information, Article 15(3) MLCBI requires the foreign representative, in an application for recognition, to include a statement identifying all foreign proceedings in respect of the debtor that are known to the foreign representative. Further, pursuant to Article 18 MLCBI, from the time of filing the application for recognition of the foreign proceeding, the foreign representative must inform the court of the enacting state promptly of –</w:t>
      </w:r>
    </w:p>
    <w:p w14:paraId="21034492" w14:textId="77777777" w:rsidR="001F5842" w:rsidRPr="001F5842" w:rsidRDefault="001F5842" w:rsidP="001F5842">
      <w:pPr>
        <w:pStyle w:val="ListParagraph"/>
        <w:jc w:val="both"/>
        <w:rPr>
          <w:rFonts w:ascii="Arial" w:hAnsi="Arial" w:cs="Arial"/>
          <w:sz w:val="22"/>
          <w:szCs w:val="22"/>
          <w:lang w:val="en-GB"/>
        </w:rPr>
      </w:pPr>
    </w:p>
    <w:p w14:paraId="65B4ABA2" w14:textId="57BA4C05" w:rsidR="00D43EF9" w:rsidRPr="00D43EF9" w:rsidRDefault="00D43EF9" w:rsidP="005E1923">
      <w:pPr>
        <w:pStyle w:val="ListParagraph"/>
        <w:numPr>
          <w:ilvl w:val="0"/>
          <w:numId w:val="16"/>
        </w:numPr>
        <w:ind w:hanging="720"/>
        <w:jc w:val="both"/>
        <w:rPr>
          <w:rFonts w:ascii="Arial" w:hAnsi="Arial" w:cs="Arial"/>
          <w:sz w:val="22"/>
          <w:szCs w:val="22"/>
          <w:lang w:val="en-GB"/>
        </w:rPr>
      </w:pPr>
      <w:r>
        <w:rPr>
          <w:rFonts w:ascii="Arial" w:hAnsi="Arial" w:cs="Arial"/>
          <w:color w:val="7B7B7B" w:themeColor="accent3" w:themeShade="BF"/>
          <w:sz w:val="22"/>
          <w:szCs w:val="22"/>
          <w:lang w:val="en-GB"/>
        </w:rPr>
        <w:t>any substantial change in the status of the recognised foreign proceeding or the status of the foreign representative’s appointment; and</w:t>
      </w:r>
    </w:p>
    <w:p w14:paraId="2B06C3B6" w14:textId="77777777" w:rsidR="001F5842" w:rsidRPr="001F5842" w:rsidRDefault="001F5842" w:rsidP="001F5842">
      <w:pPr>
        <w:pStyle w:val="ListParagraph"/>
        <w:jc w:val="both"/>
        <w:rPr>
          <w:rFonts w:ascii="Arial" w:hAnsi="Arial" w:cs="Arial"/>
          <w:sz w:val="22"/>
          <w:szCs w:val="22"/>
          <w:lang w:val="en-GB"/>
        </w:rPr>
      </w:pPr>
    </w:p>
    <w:p w14:paraId="741E55B5" w14:textId="332845B3" w:rsidR="009D0DAF" w:rsidRPr="009D0DAF" w:rsidRDefault="00D43EF9" w:rsidP="005E1923">
      <w:pPr>
        <w:pStyle w:val="ListParagraph"/>
        <w:numPr>
          <w:ilvl w:val="0"/>
          <w:numId w:val="16"/>
        </w:numPr>
        <w:ind w:hanging="720"/>
        <w:jc w:val="both"/>
        <w:rPr>
          <w:rFonts w:ascii="Arial" w:hAnsi="Arial" w:cs="Arial"/>
          <w:sz w:val="22"/>
          <w:szCs w:val="22"/>
          <w:lang w:val="en-GB"/>
        </w:rPr>
      </w:pPr>
      <w:r>
        <w:rPr>
          <w:rFonts w:ascii="Arial" w:hAnsi="Arial" w:cs="Arial"/>
          <w:color w:val="7B7B7B" w:themeColor="accent3" w:themeShade="BF"/>
          <w:sz w:val="22"/>
          <w:szCs w:val="22"/>
          <w:lang w:val="en-GB"/>
        </w:rPr>
        <w:t>any other foreign proceeding regarding the same debtor that becomes known to the foreign representative.</w:t>
      </w:r>
    </w:p>
    <w:p w14:paraId="71D6C487" w14:textId="77777777" w:rsidR="00593720" w:rsidRDefault="00593720" w:rsidP="00707FC8">
      <w:pPr>
        <w:jc w:val="both"/>
        <w:rPr>
          <w:rFonts w:ascii="Arial" w:hAnsi="Arial" w:cs="Arial"/>
          <w:color w:val="7B7B7B" w:themeColor="accent3" w:themeShade="BF"/>
          <w:sz w:val="22"/>
          <w:szCs w:val="22"/>
          <w:lang w:val="en-GB"/>
        </w:rPr>
      </w:pPr>
    </w:p>
    <w:p w14:paraId="678E4C01" w14:textId="18222AF5" w:rsidR="00F17C87" w:rsidRDefault="009D0DA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the duty to inform the court of the enacting State of any other foreign proceeding regarding the same debtor is an ongoing duty of information that the foreign representative has towards the court of the enacting State.</w:t>
      </w:r>
    </w:p>
    <w:p w14:paraId="451564E1" w14:textId="77777777" w:rsidR="009D0DAF" w:rsidRPr="009B5832" w:rsidRDefault="009D0DAF"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w:t>
      </w:r>
      <w:r w:rsidRPr="009B5832">
        <w:rPr>
          <w:rFonts w:ascii="Arial" w:hAnsi="Arial" w:cs="Arial"/>
          <w:sz w:val="22"/>
          <w:szCs w:val="22"/>
          <w:lang w:val="en-GB"/>
        </w:rPr>
        <w:lastRenderedPageBreak/>
        <w:t xml:space="preserve">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33072934" w14:textId="66C8700A" w:rsidR="009D3E7B" w:rsidRDefault="009D3E7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making a recognition application in State A, the foreign representative </w:t>
      </w:r>
      <w:r w:rsidR="008A33C7">
        <w:rPr>
          <w:rFonts w:ascii="Arial" w:hAnsi="Arial" w:cs="Arial"/>
          <w:color w:val="7B7B7B" w:themeColor="accent3" w:themeShade="BF"/>
          <w:sz w:val="22"/>
          <w:szCs w:val="22"/>
          <w:lang w:val="en-GB"/>
        </w:rPr>
        <w:t>may</w:t>
      </w:r>
      <w:r>
        <w:rPr>
          <w:rFonts w:ascii="Arial" w:hAnsi="Arial" w:cs="Arial"/>
          <w:color w:val="7B7B7B" w:themeColor="accent3" w:themeShade="BF"/>
          <w:sz w:val="22"/>
          <w:szCs w:val="22"/>
          <w:lang w:val="en-GB"/>
        </w:rPr>
        <w:t xml:space="preserve"> rely on </w:t>
      </w:r>
      <w:r w:rsidR="008A33C7">
        <w:rPr>
          <w:rFonts w:ascii="Arial" w:hAnsi="Arial" w:cs="Arial"/>
          <w:color w:val="7B7B7B" w:themeColor="accent3" w:themeShade="BF"/>
          <w:sz w:val="22"/>
          <w:szCs w:val="22"/>
          <w:lang w:val="en-GB"/>
        </w:rPr>
        <w:t xml:space="preserve">the following access and coordination rights of State A which do not require prior recognition of the foreign proceeding </w:t>
      </w:r>
      <w:r>
        <w:rPr>
          <w:rFonts w:ascii="Arial" w:hAnsi="Arial" w:cs="Arial"/>
          <w:color w:val="7B7B7B" w:themeColor="accent3" w:themeShade="BF"/>
          <w:sz w:val="22"/>
          <w:szCs w:val="22"/>
          <w:lang w:val="en-GB"/>
        </w:rPr>
        <w:t>–</w:t>
      </w:r>
    </w:p>
    <w:p w14:paraId="29322416" w14:textId="77777777" w:rsidR="009D3E7B" w:rsidRDefault="009D3E7B" w:rsidP="00707FC8">
      <w:pPr>
        <w:jc w:val="both"/>
        <w:rPr>
          <w:rFonts w:ascii="Arial" w:hAnsi="Arial" w:cs="Arial"/>
          <w:color w:val="7B7B7B" w:themeColor="accent3" w:themeShade="BF"/>
          <w:sz w:val="22"/>
          <w:szCs w:val="22"/>
          <w:lang w:val="en-GB"/>
        </w:rPr>
      </w:pPr>
    </w:p>
    <w:p w14:paraId="4024A332" w14:textId="77674BF4" w:rsidR="00544127" w:rsidRDefault="009D3E7B" w:rsidP="005E1923">
      <w:pPr>
        <w:pStyle w:val="ListParagraph"/>
        <w:numPr>
          <w:ilvl w:val="0"/>
          <w:numId w:val="17"/>
        </w:numPr>
        <w:ind w:hanging="720"/>
        <w:jc w:val="both"/>
        <w:rPr>
          <w:rFonts w:ascii="Arial" w:hAnsi="Arial" w:cs="Arial"/>
          <w:color w:val="7B7B7B" w:themeColor="accent3" w:themeShade="BF"/>
          <w:sz w:val="22"/>
          <w:szCs w:val="22"/>
          <w:lang w:val="en-GB"/>
        </w:rPr>
      </w:pPr>
      <w:r w:rsidRPr="009D3E7B">
        <w:rPr>
          <w:rFonts w:ascii="Arial" w:hAnsi="Arial" w:cs="Arial"/>
          <w:color w:val="7B7B7B" w:themeColor="accent3" w:themeShade="BF"/>
          <w:sz w:val="22"/>
          <w:szCs w:val="22"/>
          <w:lang w:val="en-GB"/>
        </w:rPr>
        <w:t xml:space="preserve">the right of direct access in Article 9 of the MLCBI for access to the courts in State A. </w:t>
      </w:r>
      <w:r w:rsidR="00650706">
        <w:rPr>
          <w:rFonts w:ascii="Arial" w:hAnsi="Arial" w:cs="Arial"/>
          <w:color w:val="7B7B7B" w:themeColor="accent3" w:themeShade="BF"/>
          <w:sz w:val="22"/>
          <w:szCs w:val="22"/>
          <w:lang w:val="en-GB"/>
        </w:rPr>
        <w:t xml:space="preserve">One of the main objectives of MLCBI is to provide foreign representatives with expedited and direct access to the courts of the enacting State. In this regard, </w:t>
      </w:r>
      <w:r w:rsidRPr="009D3E7B">
        <w:rPr>
          <w:rFonts w:ascii="Arial" w:hAnsi="Arial" w:cs="Arial"/>
          <w:color w:val="7B7B7B" w:themeColor="accent3" w:themeShade="BF"/>
          <w:sz w:val="22"/>
          <w:szCs w:val="22"/>
          <w:lang w:val="en-GB"/>
        </w:rPr>
        <w:t xml:space="preserve">Article 9 MLCBI provides that a foreign representative is entitled to apply directly to a court in the enacting State and thus frees the </w:t>
      </w:r>
      <w:r w:rsidR="00650706">
        <w:rPr>
          <w:rFonts w:ascii="Arial" w:hAnsi="Arial" w:cs="Arial"/>
          <w:color w:val="7B7B7B" w:themeColor="accent3" w:themeShade="BF"/>
          <w:sz w:val="22"/>
          <w:szCs w:val="22"/>
          <w:lang w:val="en-GB"/>
        </w:rPr>
        <w:t xml:space="preserve">foreign </w:t>
      </w:r>
      <w:r w:rsidRPr="009D3E7B">
        <w:rPr>
          <w:rFonts w:ascii="Arial" w:hAnsi="Arial" w:cs="Arial"/>
          <w:color w:val="7B7B7B" w:themeColor="accent3" w:themeShade="BF"/>
          <w:sz w:val="22"/>
          <w:szCs w:val="22"/>
          <w:lang w:val="en-GB"/>
        </w:rPr>
        <w:t>representative from having to meet formal requirements such as licences or consular action.</w:t>
      </w:r>
      <w:r>
        <w:rPr>
          <w:rStyle w:val="FootnoteReference"/>
          <w:rFonts w:ascii="Arial" w:hAnsi="Arial" w:cs="Arial"/>
          <w:color w:val="7B7B7B" w:themeColor="accent3" w:themeShade="BF"/>
          <w:sz w:val="22"/>
          <w:szCs w:val="22"/>
          <w:lang w:val="en-GB"/>
        </w:rPr>
        <w:footnoteReference w:id="10"/>
      </w:r>
      <w:r w:rsidRPr="009D3E7B">
        <w:rPr>
          <w:rFonts w:ascii="Arial" w:hAnsi="Arial" w:cs="Arial"/>
          <w:color w:val="7B7B7B" w:themeColor="accent3" w:themeShade="BF"/>
          <w:sz w:val="22"/>
          <w:szCs w:val="22"/>
          <w:lang w:val="en-GB"/>
        </w:rPr>
        <w:t xml:space="preserve"> However, it must be noted that such access does not automatically give the foreign representa</w:t>
      </w:r>
      <w:r>
        <w:rPr>
          <w:rFonts w:ascii="Arial" w:hAnsi="Arial" w:cs="Arial"/>
          <w:color w:val="7B7B7B" w:themeColor="accent3" w:themeShade="BF"/>
          <w:sz w:val="22"/>
          <w:szCs w:val="22"/>
          <w:lang w:val="en-GB"/>
        </w:rPr>
        <w:t xml:space="preserve">tive any other rights or powers; </w:t>
      </w:r>
    </w:p>
    <w:p w14:paraId="4E11284D" w14:textId="77777777" w:rsidR="009D3E7B" w:rsidRDefault="009D3E7B" w:rsidP="009D3E7B">
      <w:pPr>
        <w:pStyle w:val="ListParagraph"/>
        <w:jc w:val="both"/>
        <w:rPr>
          <w:rFonts w:ascii="Arial" w:hAnsi="Arial" w:cs="Arial"/>
          <w:color w:val="7B7B7B" w:themeColor="accent3" w:themeShade="BF"/>
          <w:sz w:val="22"/>
          <w:szCs w:val="22"/>
          <w:lang w:val="en-GB"/>
        </w:rPr>
      </w:pPr>
    </w:p>
    <w:p w14:paraId="5A31A751" w14:textId="28587D5C" w:rsidR="009D3E7B" w:rsidRDefault="009D3E7B" w:rsidP="005E1923">
      <w:pPr>
        <w:pStyle w:val="ListParagraph"/>
        <w:numPr>
          <w:ilvl w:val="0"/>
          <w:numId w:val="17"/>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11 of the MLCBI </w:t>
      </w:r>
      <w:r w:rsidR="00650706">
        <w:rPr>
          <w:rFonts w:ascii="Arial" w:hAnsi="Arial" w:cs="Arial"/>
          <w:color w:val="7B7B7B" w:themeColor="accent3" w:themeShade="BF"/>
          <w:sz w:val="22"/>
          <w:szCs w:val="22"/>
          <w:lang w:val="en-GB"/>
        </w:rPr>
        <w:t>which entitles the foreign representative to apply to commence insolvency proceedings under the laws of State A if the conditions for commencing such a proceeding are met. National laws of a State may not explicitly provide for a foreign representative as person who has standing to request to commence insolvency proceedings in the State. The MLCBI, by way of Article 11, ensures that a foreign representative has standing to request the commencement of an insolvency proceeding in State A.</w:t>
      </w:r>
      <w:r w:rsidR="00650706">
        <w:rPr>
          <w:rStyle w:val="FootnoteReference"/>
          <w:rFonts w:ascii="Arial" w:hAnsi="Arial" w:cs="Arial"/>
          <w:color w:val="7B7B7B" w:themeColor="accent3" w:themeShade="BF"/>
          <w:sz w:val="22"/>
          <w:szCs w:val="22"/>
          <w:lang w:val="en-GB"/>
        </w:rPr>
        <w:footnoteReference w:id="11"/>
      </w:r>
      <w:r w:rsidR="006F5A67">
        <w:rPr>
          <w:rFonts w:ascii="Arial" w:hAnsi="Arial" w:cs="Arial"/>
          <w:color w:val="7B7B7B" w:themeColor="accent3" w:themeShade="BF"/>
          <w:sz w:val="22"/>
          <w:szCs w:val="22"/>
          <w:lang w:val="en-GB"/>
        </w:rPr>
        <w:t xml:space="preserve"> Hence, provided all conditions for commencement of an insolvency proceeding in State A have been satisfied, the foreign representative may request to commence an insolvency proceeding in State A</w:t>
      </w:r>
      <w:r w:rsidR="008A33C7">
        <w:rPr>
          <w:rFonts w:ascii="Arial" w:hAnsi="Arial" w:cs="Arial"/>
          <w:color w:val="7B7B7B" w:themeColor="accent3" w:themeShade="BF"/>
          <w:sz w:val="22"/>
          <w:szCs w:val="22"/>
          <w:lang w:val="en-GB"/>
        </w:rPr>
        <w:t>;</w:t>
      </w:r>
    </w:p>
    <w:p w14:paraId="6ACAF2B9" w14:textId="77777777" w:rsidR="008A33C7" w:rsidRPr="008A33C7" w:rsidRDefault="008A33C7" w:rsidP="008A33C7">
      <w:pPr>
        <w:pStyle w:val="ListParagraph"/>
        <w:rPr>
          <w:rFonts w:ascii="Arial" w:hAnsi="Arial" w:cs="Arial"/>
          <w:color w:val="7B7B7B" w:themeColor="accent3" w:themeShade="BF"/>
          <w:sz w:val="22"/>
          <w:szCs w:val="22"/>
          <w:lang w:val="en-GB"/>
        </w:rPr>
      </w:pPr>
    </w:p>
    <w:p w14:paraId="25DC48AD" w14:textId="683E7C12" w:rsidR="008A33C7" w:rsidRDefault="006F5A67" w:rsidP="005E1923">
      <w:pPr>
        <w:pStyle w:val="ListParagraph"/>
        <w:numPr>
          <w:ilvl w:val="0"/>
          <w:numId w:val="17"/>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25 of the MLCBI which requires the courts of State A to cooperate to the maximum </w:t>
      </w:r>
      <w:r w:rsidR="00EC2D19">
        <w:rPr>
          <w:rFonts w:ascii="Arial" w:hAnsi="Arial" w:cs="Arial"/>
          <w:color w:val="7B7B7B" w:themeColor="accent3" w:themeShade="BF"/>
          <w:sz w:val="22"/>
          <w:szCs w:val="22"/>
          <w:lang w:val="en-GB"/>
        </w:rPr>
        <w:t xml:space="preserve">extent </w:t>
      </w:r>
      <w:r>
        <w:rPr>
          <w:rFonts w:ascii="Arial" w:hAnsi="Arial" w:cs="Arial"/>
          <w:color w:val="7B7B7B" w:themeColor="accent3" w:themeShade="BF"/>
          <w:sz w:val="22"/>
          <w:szCs w:val="22"/>
          <w:lang w:val="en-GB"/>
        </w:rPr>
        <w:t xml:space="preserve">possible with foreign courts or foreign representatives, either directly or through the insolvency office-holder of State A; and </w:t>
      </w:r>
    </w:p>
    <w:p w14:paraId="5D8DCFE2" w14:textId="77777777" w:rsidR="006F5A67" w:rsidRPr="006F5A67" w:rsidRDefault="006F5A67" w:rsidP="006F5A67">
      <w:pPr>
        <w:pStyle w:val="ListParagraph"/>
        <w:rPr>
          <w:rFonts w:ascii="Arial" w:hAnsi="Arial" w:cs="Arial"/>
          <w:color w:val="7B7B7B" w:themeColor="accent3" w:themeShade="BF"/>
          <w:sz w:val="22"/>
          <w:szCs w:val="22"/>
          <w:lang w:val="en-GB"/>
        </w:rPr>
      </w:pPr>
    </w:p>
    <w:p w14:paraId="5FDF996D" w14:textId="72B3EB59" w:rsidR="009D3E7B" w:rsidRPr="007F7C2A" w:rsidRDefault="006F5A67" w:rsidP="005E1923">
      <w:pPr>
        <w:pStyle w:val="ListParagraph"/>
        <w:numPr>
          <w:ilvl w:val="0"/>
          <w:numId w:val="17"/>
        </w:numPr>
        <w:ind w:hanging="720"/>
        <w:jc w:val="both"/>
        <w:rPr>
          <w:rFonts w:ascii="Arial" w:hAnsi="Arial" w:cs="Arial"/>
          <w:color w:val="7B7B7B" w:themeColor="accent3" w:themeShade="BF"/>
          <w:sz w:val="22"/>
          <w:szCs w:val="22"/>
          <w:lang w:val="en-GB"/>
        </w:rPr>
      </w:pPr>
      <w:r w:rsidRPr="007F7C2A">
        <w:rPr>
          <w:rFonts w:ascii="Arial" w:hAnsi="Arial" w:cs="Arial"/>
          <w:color w:val="7B7B7B" w:themeColor="accent3" w:themeShade="BF"/>
          <w:sz w:val="22"/>
          <w:szCs w:val="22"/>
          <w:lang w:val="en-GB"/>
        </w:rPr>
        <w:t>Article 26 of the MLCBI which requires the insolvency office-holder of State A, in the exercise of its functions and subject to the supervision of the courts of State A, to cooperate to the maximum extent possible with foreign co</w:t>
      </w:r>
      <w:r w:rsidR="007F7C2A" w:rsidRPr="007F7C2A">
        <w:rPr>
          <w:rFonts w:ascii="Arial" w:hAnsi="Arial" w:cs="Arial"/>
          <w:color w:val="7B7B7B" w:themeColor="accent3" w:themeShade="BF"/>
          <w:sz w:val="22"/>
          <w:szCs w:val="22"/>
          <w:lang w:val="en-GB"/>
        </w:rPr>
        <w:t>urts or foreign representatives.</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w:t>
      </w:r>
      <w:r w:rsidRPr="009B5832">
        <w:rPr>
          <w:rFonts w:ascii="Arial" w:hAnsi="Arial" w:cs="Arial"/>
          <w:sz w:val="22"/>
          <w:szCs w:val="22"/>
          <w:lang w:val="en-GB"/>
        </w:rPr>
        <w:lastRenderedPageBreak/>
        <w:t xml:space="preserve">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3D679370" w:rsidR="00DF75F8" w:rsidRDefault="00A46D0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State A is satisfied that the foreign proceeding opened in State B qualifies as a “foreign proceeding” and the foreign representative qualifies as a “foreign representative” within the meaning of Article 2 MLCBI, the following must be considered for the recognition application to be successful –</w:t>
      </w:r>
    </w:p>
    <w:p w14:paraId="2ACA764B" w14:textId="1579ADEC" w:rsidR="00A46D0E" w:rsidRDefault="00A46D0E" w:rsidP="00707FC8">
      <w:pPr>
        <w:jc w:val="both"/>
        <w:rPr>
          <w:rFonts w:ascii="Arial" w:hAnsi="Arial" w:cs="Arial"/>
          <w:color w:val="7B7B7B" w:themeColor="accent3" w:themeShade="BF"/>
          <w:sz w:val="22"/>
          <w:szCs w:val="22"/>
          <w:lang w:val="en-GB"/>
        </w:rPr>
      </w:pPr>
    </w:p>
    <w:p w14:paraId="34DD6924" w14:textId="694ECE71" w:rsidR="00EC2D19" w:rsidRPr="00EC2D19" w:rsidRDefault="00EC2D19" w:rsidP="005E1923">
      <w:pPr>
        <w:pStyle w:val="ListParagraph"/>
        <w:numPr>
          <w:ilvl w:val="0"/>
          <w:numId w:val="18"/>
        </w:numPr>
        <w:ind w:hanging="720"/>
        <w:jc w:val="both"/>
        <w:rPr>
          <w:rFonts w:ascii="Arial" w:hAnsi="Arial" w:cs="Arial"/>
          <w:sz w:val="22"/>
          <w:szCs w:val="22"/>
          <w:lang w:val="en-GB"/>
        </w:rPr>
      </w:pPr>
      <w:r>
        <w:rPr>
          <w:rFonts w:ascii="Arial" w:hAnsi="Arial" w:cs="Arial"/>
          <w:color w:val="7B7B7B" w:themeColor="accent3" w:themeShade="BF"/>
          <w:sz w:val="22"/>
          <w:szCs w:val="22"/>
          <w:lang w:val="en-GB"/>
        </w:rPr>
        <w:t>the recognition application must meet the requirements in Article 15(2) MLCBI</w:t>
      </w:r>
      <w:r w:rsidR="001509E2">
        <w:rPr>
          <w:rFonts w:ascii="Arial" w:hAnsi="Arial" w:cs="Arial"/>
          <w:color w:val="7B7B7B" w:themeColor="accent3" w:themeShade="BF"/>
          <w:sz w:val="22"/>
          <w:szCs w:val="22"/>
          <w:lang w:val="en-GB"/>
        </w:rPr>
        <w:t xml:space="preserve"> (Article 17(1)(c) MLCBI)</w:t>
      </w:r>
      <w:r>
        <w:rPr>
          <w:rFonts w:ascii="Arial" w:hAnsi="Arial" w:cs="Arial"/>
          <w:color w:val="7B7B7B" w:themeColor="accent3" w:themeShade="BF"/>
          <w:sz w:val="22"/>
          <w:szCs w:val="22"/>
          <w:lang w:val="en-GB"/>
        </w:rPr>
        <w:t>.</w:t>
      </w:r>
    </w:p>
    <w:p w14:paraId="0B08689A" w14:textId="0F2E81B1" w:rsidR="00EC2D19" w:rsidRDefault="00EC2D19" w:rsidP="00EC2D19">
      <w:pPr>
        <w:pStyle w:val="ListParagraph"/>
        <w:jc w:val="both"/>
        <w:rPr>
          <w:rFonts w:ascii="Arial" w:hAnsi="Arial" w:cs="Arial"/>
          <w:color w:val="7B7B7B" w:themeColor="accent3" w:themeShade="BF"/>
          <w:sz w:val="22"/>
          <w:szCs w:val="22"/>
          <w:lang w:val="en-GB"/>
        </w:rPr>
      </w:pPr>
    </w:p>
    <w:p w14:paraId="0632205F" w14:textId="6055D6D7" w:rsidR="00EC2D19" w:rsidRDefault="00EC2D19" w:rsidP="00EC2D1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must ensure the application for recognition is accompanied by –</w:t>
      </w:r>
    </w:p>
    <w:p w14:paraId="0E284ACC" w14:textId="2C540299" w:rsidR="00EC2D19" w:rsidRPr="00EC2D19" w:rsidRDefault="00EC2D19" w:rsidP="00EC2D19">
      <w:pPr>
        <w:pStyle w:val="ListParagraph"/>
        <w:numPr>
          <w:ilvl w:val="0"/>
          <w:numId w:val="32"/>
        </w:numPr>
        <w:ind w:hanging="720"/>
        <w:jc w:val="both"/>
        <w:rPr>
          <w:rFonts w:ascii="Arial" w:hAnsi="Arial" w:cs="Arial"/>
          <w:sz w:val="22"/>
          <w:szCs w:val="22"/>
          <w:lang w:val="en-GB"/>
        </w:rPr>
      </w:pPr>
      <w:r>
        <w:rPr>
          <w:rFonts w:ascii="Arial" w:hAnsi="Arial" w:cs="Arial"/>
          <w:color w:val="7B7B7B" w:themeColor="accent3" w:themeShade="BF"/>
          <w:sz w:val="22"/>
          <w:szCs w:val="22"/>
          <w:lang w:val="en-GB"/>
        </w:rPr>
        <w:t>a certified copy of the decision commencing the foreign proceeding and appointing the foreign representative; or</w:t>
      </w:r>
    </w:p>
    <w:p w14:paraId="57EB8C37" w14:textId="2F72FF2C" w:rsidR="00EC2D19" w:rsidRPr="00EC2D19" w:rsidRDefault="00EC2D19" w:rsidP="00EC2D19">
      <w:pPr>
        <w:pStyle w:val="ListParagraph"/>
        <w:numPr>
          <w:ilvl w:val="0"/>
          <w:numId w:val="32"/>
        </w:numPr>
        <w:ind w:hanging="720"/>
        <w:jc w:val="both"/>
        <w:rPr>
          <w:rFonts w:ascii="Arial" w:hAnsi="Arial" w:cs="Arial"/>
          <w:sz w:val="22"/>
          <w:szCs w:val="22"/>
          <w:lang w:val="en-GB"/>
        </w:rPr>
      </w:pPr>
      <w:r>
        <w:rPr>
          <w:rFonts w:ascii="Arial" w:hAnsi="Arial" w:cs="Arial"/>
          <w:color w:val="7B7B7B" w:themeColor="accent3" w:themeShade="BF"/>
          <w:sz w:val="22"/>
          <w:szCs w:val="22"/>
          <w:lang w:val="en-GB"/>
        </w:rPr>
        <w:t>a certificate from the court of State B affirming the existence of the foreign proceeding and of the appointment of the foreign representative; or</w:t>
      </w:r>
    </w:p>
    <w:p w14:paraId="4B42E5E0" w14:textId="73E0552F" w:rsidR="00EC2D19" w:rsidRPr="00EC2D19" w:rsidRDefault="00EC2D19" w:rsidP="00EC2D19">
      <w:pPr>
        <w:pStyle w:val="ListParagraph"/>
        <w:numPr>
          <w:ilvl w:val="0"/>
          <w:numId w:val="32"/>
        </w:numPr>
        <w:ind w:hanging="720"/>
        <w:jc w:val="both"/>
        <w:rPr>
          <w:rFonts w:ascii="Arial" w:hAnsi="Arial" w:cs="Arial"/>
          <w:sz w:val="22"/>
          <w:szCs w:val="22"/>
          <w:lang w:val="en-GB"/>
        </w:rPr>
      </w:pPr>
      <w:r>
        <w:rPr>
          <w:rFonts w:ascii="Arial" w:hAnsi="Arial" w:cs="Arial"/>
          <w:color w:val="7B7B7B" w:themeColor="accent3" w:themeShade="BF"/>
          <w:sz w:val="22"/>
          <w:szCs w:val="22"/>
          <w:lang w:val="en-GB"/>
        </w:rPr>
        <w:t>in the absence of evidence referred to in subparagraphs (i) and (ii) above, any other evidence acceptable to the court of the existence of the foreign proceeding and of the appointment of the foreign representative.</w:t>
      </w:r>
    </w:p>
    <w:p w14:paraId="0030F0ED" w14:textId="77777777" w:rsidR="00EC2D19" w:rsidRPr="00EC2D19" w:rsidRDefault="00EC2D19" w:rsidP="00EC2D19">
      <w:pPr>
        <w:pStyle w:val="ListParagraph"/>
        <w:ind w:left="1440"/>
        <w:jc w:val="both"/>
        <w:rPr>
          <w:rFonts w:ascii="Arial" w:hAnsi="Arial" w:cs="Arial"/>
          <w:sz w:val="22"/>
          <w:szCs w:val="22"/>
          <w:lang w:val="en-GB"/>
        </w:rPr>
      </w:pPr>
    </w:p>
    <w:p w14:paraId="3D0DB7E6" w14:textId="79BF2DB1" w:rsidR="001509E2" w:rsidRPr="001509E2" w:rsidRDefault="001509E2" w:rsidP="005E1923">
      <w:pPr>
        <w:pStyle w:val="ListParagraph"/>
        <w:numPr>
          <w:ilvl w:val="0"/>
          <w:numId w:val="18"/>
        </w:numPr>
        <w:ind w:hanging="720"/>
        <w:jc w:val="both"/>
        <w:rPr>
          <w:rFonts w:ascii="Arial" w:hAnsi="Arial" w:cs="Arial"/>
          <w:sz w:val="22"/>
          <w:szCs w:val="22"/>
          <w:lang w:val="en-GB"/>
        </w:rPr>
      </w:pPr>
      <w:r>
        <w:rPr>
          <w:rFonts w:ascii="Arial" w:hAnsi="Arial" w:cs="Arial"/>
          <w:color w:val="7B7B7B" w:themeColor="accent3" w:themeShade="BF"/>
          <w:sz w:val="22"/>
          <w:szCs w:val="22"/>
          <w:lang w:val="en-GB"/>
        </w:rPr>
        <w:t>the application for recognition must be submitted to the court in State A as set out in Article 4 MLCBI (Article 17(1)(d) MLCBI</w:t>
      </w:r>
      <w:r w:rsidR="003B22B8">
        <w:rPr>
          <w:rFonts w:ascii="Arial" w:hAnsi="Arial" w:cs="Arial"/>
          <w:color w:val="7B7B7B" w:themeColor="accent3" w:themeShade="BF"/>
          <w:sz w:val="22"/>
          <w:szCs w:val="22"/>
          <w:lang w:val="en-GB"/>
        </w:rPr>
        <w:t>).</w:t>
      </w:r>
    </w:p>
    <w:p w14:paraId="0E00CA6A" w14:textId="77777777" w:rsidR="001509E2" w:rsidRPr="001509E2" w:rsidRDefault="001509E2" w:rsidP="001509E2">
      <w:pPr>
        <w:pStyle w:val="ListParagraph"/>
        <w:jc w:val="both"/>
        <w:rPr>
          <w:rFonts w:ascii="Arial" w:hAnsi="Arial" w:cs="Arial"/>
          <w:sz w:val="22"/>
          <w:szCs w:val="22"/>
          <w:lang w:val="en-GB"/>
        </w:rPr>
      </w:pPr>
    </w:p>
    <w:p w14:paraId="3CCECA9C" w14:textId="4B635702" w:rsidR="00A46D0E" w:rsidRPr="00A46D0E" w:rsidRDefault="00A46D0E" w:rsidP="005E1923">
      <w:pPr>
        <w:pStyle w:val="ListParagraph"/>
        <w:numPr>
          <w:ilvl w:val="0"/>
          <w:numId w:val="18"/>
        </w:numPr>
        <w:ind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whether the Debtor has its centre of main interests (“COMI”) or an establishment in State B. </w:t>
      </w:r>
    </w:p>
    <w:p w14:paraId="6B595C59" w14:textId="77777777" w:rsidR="00A46D0E" w:rsidRDefault="00A46D0E" w:rsidP="00A46D0E">
      <w:pPr>
        <w:pStyle w:val="ListParagraph"/>
        <w:jc w:val="both"/>
        <w:rPr>
          <w:rFonts w:ascii="Arial" w:hAnsi="Arial" w:cs="Arial"/>
          <w:color w:val="7B7B7B" w:themeColor="accent3" w:themeShade="BF"/>
          <w:sz w:val="22"/>
          <w:szCs w:val="22"/>
          <w:lang w:val="en-GB"/>
        </w:rPr>
      </w:pPr>
    </w:p>
    <w:p w14:paraId="781206C1" w14:textId="6603D748" w:rsidR="00A46D0E" w:rsidRDefault="00A46D0E" w:rsidP="00A46D0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facts of the case state that the Debtor is a corporate debtor. Though there is no definition of COMI in the MLCBI, </w:t>
      </w:r>
      <w:r w:rsidRPr="00A46D0E">
        <w:rPr>
          <w:rFonts w:ascii="Arial" w:hAnsi="Arial" w:cs="Arial"/>
          <w:color w:val="7B7B7B" w:themeColor="accent3" w:themeShade="BF"/>
          <w:sz w:val="22"/>
          <w:szCs w:val="22"/>
          <w:lang w:val="en-GB"/>
        </w:rPr>
        <w:t xml:space="preserve">Article 16(3) MLCBI provides for a rebuttable presumption </w:t>
      </w:r>
      <w:r>
        <w:rPr>
          <w:rFonts w:ascii="Arial" w:hAnsi="Arial" w:cs="Arial"/>
          <w:color w:val="7B7B7B" w:themeColor="accent3" w:themeShade="BF"/>
          <w:sz w:val="22"/>
          <w:szCs w:val="22"/>
          <w:lang w:val="en-GB"/>
        </w:rPr>
        <w:t xml:space="preserve">that </w:t>
      </w:r>
      <w:r w:rsidRPr="00A46D0E">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Debtor’s registered office </w:t>
      </w:r>
      <w:r w:rsidRPr="00A46D0E">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 xml:space="preserve">its COMI. If the Debtor has its registered office in State B, in the absence of proof to the contrary, it will be presumed that the Debtor has its COMI in State B. If the court in State A finds that the Debtor has its COMI in State B, the </w:t>
      </w:r>
      <w:r w:rsidR="007A0169">
        <w:rPr>
          <w:rFonts w:ascii="Arial" w:hAnsi="Arial" w:cs="Arial"/>
          <w:color w:val="7B7B7B" w:themeColor="accent3" w:themeShade="BF"/>
          <w:sz w:val="22"/>
          <w:szCs w:val="22"/>
          <w:lang w:val="en-GB"/>
        </w:rPr>
        <w:t xml:space="preserve">foreign proceeding opened in State B will be recognised as a foreign main proceeding (Article </w:t>
      </w:r>
      <w:r w:rsidR="00E24C95">
        <w:rPr>
          <w:rFonts w:ascii="Arial" w:hAnsi="Arial" w:cs="Arial"/>
          <w:color w:val="7B7B7B" w:themeColor="accent3" w:themeShade="BF"/>
          <w:sz w:val="22"/>
          <w:szCs w:val="22"/>
          <w:lang w:val="en-GB"/>
        </w:rPr>
        <w:t>17(2)(a)</w:t>
      </w:r>
      <w:r w:rsidR="007A0169">
        <w:rPr>
          <w:rFonts w:ascii="Arial" w:hAnsi="Arial" w:cs="Arial"/>
          <w:color w:val="7B7B7B" w:themeColor="accent3" w:themeShade="BF"/>
          <w:sz w:val="22"/>
          <w:szCs w:val="22"/>
          <w:lang w:val="en-GB"/>
        </w:rPr>
        <w:t xml:space="preserve"> MLCBI).</w:t>
      </w:r>
    </w:p>
    <w:p w14:paraId="289D609D" w14:textId="4637B5A3" w:rsidR="007A0169" w:rsidRDefault="007A0169" w:rsidP="00A46D0E">
      <w:pPr>
        <w:pStyle w:val="ListParagraph"/>
        <w:jc w:val="both"/>
        <w:rPr>
          <w:rFonts w:ascii="Arial" w:hAnsi="Arial" w:cs="Arial"/>
          <w:color w:val="7B7B7B" w:themeColor="accent3" w:themeShade="BF"/>
          <w:sz w:val="22"/>
          <w:szCs w:val="22"/>
          <w:lang w:val="en-GB"/>
        </w:rPr>
      </w:pPr>
    </w:p>
    <w:p w14:paraId="62401577" w14:textId="5667FDB8" w:rsidR="007A0169" w:rsidRDefault="007A0169" w:rsidP="00A46D0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court in State A finds that the Debtor does not have its COMI in State B, it has to be determined if the Debtor has an establishment in State B. Article 2(f) MLCBI defines “establishment” as any place of operations where the debtor carries out a non-transitory economic activity with human means and goods or services. If the court in State A finds that the Debtor has an “establishment” in State B, the foreign proceeding opened in State B will be recognised as a foreign non-main proceeding (Article </w:t>
      </w:r>
      <w:r w:rsidR="00E24C95">
        <w:rPr>
          <w:rFonts w:ascii="Arial" w:hAnsi="Arial" w:cs="Arial"/>
          <w:color w:val="7B7B7B" w:themeColor="accent3" w:themeShade="BF"/>
          <w:sz w:val="22"/>
          <w:szCs w:val="22"/>
          <w:lang w:val="en-GB"/>
        </w:rPr>
        <w:t>17(2)(b)</w:t>
      </w:r>
      <w:r>
        <w:rPr>
          <w:rFonts w:ascii="Arial" w:hAnsi="Arial" w:cs="Arial"/>
          <w:color w:val="7B7B7B" w:themeColor="accent3" w:themeShade="BF"/>
          <w:sz w:val="22"/>
          <w:szCs w:val="22"/>
          <w:lang w:val="en-GB"/>
        </w:rPr>
        <w:t xml:space="preserve"> MLCBI).</w:t>
      </w:r>
    </w:p>
    <w:p w14:paraId="38787D4E" w14:textId="515D3354" w:rsidR="007A0169" w:rsidRDefault="007A0169" w:rsidP="00A46D0E">
      <w:pPr>
        <w:pStyle w:val="ListParagraph"/>
        <w:jc w:val="both"/>
        <w:rPr>
          <w:rFonts w:ascii="Arial" w:hAnsi="Arial" w:cs="Arial"/>
          <w:color w:val="7B7B7B" w:themeColor="accent3" w:themeShade="BF"/>
          <w:sz w:val="22"/>
          <w:szCs w:val="22"/>
          <w:lang w:val="en-GB"/>
        </w:rPr>
      </w:pPr>
    </w:p>
    <w:p w14:paraId="7F86FF5E" w14:textId="6212A988" w:rsidR="007A0169" w:rsidRDefault="007A0169" w:rsidP="00A46D0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Debtor has neither its COMI in State B nor an establishment in State B, the foreign proceeding opened in State B will not be recognised in State A under the MLCBI.</w:t>
      </w:r>
    </w:p>
    <w:p w14:paraId="00FEB574" w14:textId="77777777" w:rsidR="007A0169" w:rsidRPr="00A46D0E" w:rsidRDefault="007A0169" w:rsidP="00A46D0E">
      <w:pPr>
        <w:pStyle w:val="ListParagraph"/>
        <w:jc w:val="both"/>
        <w:rPr>
          <w:rFonts w:ascii="Arial" w:hAnsi="Arial" w:cs="Arial"/>
          <w:sz w:val="22"/>
          <w:szCs w:val="22"/>
          <w:lang w:val="en-GB"/>
        </w:rPr>
      </w:pPr>
    </w:p>
    <w:p w14:paraId="1177F4F3" w14:textId="4A955565" w:rsidR="00A46D0E" w:rsidRPr="00E24C95" w:rsidRDefault="00E24C95" w:rsidP="005E1923">
      <w:pPr>
        <w:pStyle w:val="ListParagraph"/>
        <w:numPr>
          <w:ilvl w:val="0"/>
          <w:numId w:val="18"/>
        </w:numPr>
        <w:ind w:hanging="720"/>
        <w:jc w:val="both"/>
        <w:rPr>
          <w:rFonts w:ascii="Arial" w:hAnsi="Arial" w:cs="Arial"/>
          <w:sz w:val="22"/>
          <w:szCs w:val="22"/>
          <w:lang w:val="en-GB"/>
        </w:rPr>
      </w:pPr>
      <w:r>
        <w:rPr>
          <w:rFonts w:ascii="Arial" w:hAnsi="Arial" w:cs="Arial"/>
          <w:color w:val="7B7B7B" w:themeColor="accent3" w:themeShade="BF"/>
          <w:sz w:val="22"/>
          <w:szCs w:val="22"/>
          <w:lang w:val="en-GB"/>
        </w:rPr>
        <w:t>whether recognition of the foreign proceeding opened in State B would be manifestly contrary to the public policy of State B.</w:t>
      </w:r>
    </w:p>
    <w:p w14:paraId="5DF9E027" w14:textId="03A7727E" w:rsidR="00E24C95" w:rsidRDefault="00E24C95" w:rsidP="00E24C95">
      <w:pPr>
        <w:pStyle w:val="ListParagraph"/>
        <w:jc w:val="both"/>
        <w:rPr>
          <w:rFonts w:ascii="Arial" w:hAnsi="Arial" w:cs="Arial"/>
          <w:color w:val="7B7B7B" w:themeColor="accent3" w:themeShade="BF"/>
          <w:sz w:val="22"/>
          <w:szCs w:val="22"/>
          <w:lang w:val="en-GB"/>
        </w:rPr>
      </w:pPr>
    </w:p>
    <w:p w14:paraId="49E00492" w14:textId="3632CAAD" w:rsidR="00E24C95" w:rsidRDefault="00E24C95" w:rsidP="00E24C95">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17(1) MLCBI provides that subject to Article 6 MLCBI, a foreign proceeding shall be recognised if it satisfies the requirements in Article 17(1) MLCBI. Thus, even if the foreign proceeding satisfies the requirements in Article 17(1) MLCBI, before granting recognition, the court in State A must consider </w:t>
      </w:r>
      <w:r w:rsidRPr="00E24C95">
        <w:rPr>
          <w:rFonts w:ascii="Arial" w:hAnsi="Arial" w:cs="Arial"/>
          <w:color w:val="7B7B7B" w:themeColor="accent3" w:themeShade="BF"/>
          <w:sz w:val="22"/>
          <w:szCs w:val="22"/>
          <w:lang w:val="en-GB"/>
        </w:rPr>
        <w:t xml:space="preserve">whether recognition of the foreign </w:t>
      </w:r>
      <w:r w:rsidRPr="00E24C95">
        <w:rPr>
          <w:rFonts w:ascii="Arial" w:hAnsi="Arial" w:cs="Arial"/>
          <w:color w:val="7B7B7B" w:themeColor="accent3" w:themeShade="BF"/>
          <w:sz w:val="22"/>
          <w:szCs w:val="22"/>
          <w:lang w:val="en-GB"/>
        </w:rPr>
        <w:lastRenderedPageBreak/>
        <w:t xml:space="preserve">proceeding opened in State B would be manifestly contrary to the public policy of State </w:t>
      </w:r>
      <w:r w:rsidR="00593720">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as provided for in Article 6 MLCBI.</w:t>
      </w:r>
    </w:p>
    <w:p w14:paraId="40775A88" w14:textId="1D671901" w:rsidR="00E24C95" w:rsidRDefault="00E24C95" w:rsidP="00E24C95">
      <w:pPr>
        <w:pStyle w:val="ListParagraph"/>
        <w:jc w:val="both"/>
        <w:rPr>
          <w:rFonts w:ascii="Arial" w:hAnsi="Arial" w:cs="Arial"/>
          <w:color w:val="7B7B7B" w:themeColor="accent3" w:themeShade="BF"/>
          <w:sz w:val="22"/>
          <w:szCs w:val="22"/>
          <w:lang w:val="en-GB"/>
        </w:rPr>
      </w:pPr>
    </w:p>
    <w:p w14:paraId="1737065F" w14:textId="07A6AFE9" w:rsidR="00E24C95" w:rsidRDefault="00E24C95" w:rsidP="00E24C95">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MLCBI does not provide for a uniform definition of what amounts to public policy since the concept of public policy is grounded in national law and may differ from state to state.</w:t>
      </w:r>
      <w:r>
        <w:rPr>
          <w:rStyle w:val="FootnoteReference"/>
          <w:rFonts w:ascii="Arial" w:hAnsi="Arial" w:cs="Arial"/>
          <w:color w:val="7B7B7B" w:themeColor="accent3" w:themeShade="BF"/>
          <w:sz w:val="22"/>
          <w:szCs w:val="22"/>
          <w:lang w:val="en-GB"/>
        </w:rPr>
        <w:footnoteReference w:id="12"/>
      </w:r>
      <w:r w:rsidR="00AE430B">
        <w:rPr>
          <w:rFonts w:ascii="Arial" w:hAnsi="Arial" w:cs="Arial"/>
          <w:color w:val="7B7B7B" w:themeColor="accent3" w:themeShade="BF"/>
          <w:sz w:val="22"/>
          <w:szCs w:val="22"/>
          <w:lang w:val="en-GB"/>
        </w:rPr>
        <w:t xml:space="preserve"> However, by the use of the word “manifestly” in Article 6, the MLCBI emphasises that the public policy exception should be interpreted restrictively and that Article 6 MLCBI is only intended to be invoked under exceptional circumstances concerning matters of fundamental importance for the enacting State.</w:t>
      </w:r>
      <w:r w:rsidR="00AE430B">
        <w:rPr>
          <w:rStyle w:val="FootnoteReference"/>
          <w:rFonts w:ascii="Arial" w:hAnsi="Arial" w:cs="Arial"/>
          <w:color w:val="7B7B7B" w:themeColor="accent3" w:themeShade="BF"/>
          <w:sz w:val="22"/>
          <w:szCs w:val="22"/>
          <w:lang w:val="en-GB"/>
        </w:rPr>
        <w:footnoteReference w:id="13"/>
      </w:r>
      <w:r w:rsidR="00141EA6">
        <w:rPr>
          <w:rFonts w:ascii="Arial" w:hAnsi="Arial" w:cs="Arial"/>
          <w:color w:val="7B7B7B" w:themeColor="accent3" w:themeShade="BF"/>
          <w:sz w:val="22"/>
          <w:szCs w:val="22"/>
          <w:lang w:val="en-GB"/>
        </w:rPr>
        <w:t xml:space="preserve"> The GEI </w:t>
      </w:r>
      <w:r w:rsidR="001D7491">
        <w:rPr>
          <w:rFonts w:ascii="Arial" w:hAnsi="Arial" w:cs="Arial"/>
          <w:color w:val="7B7B7B" w:themeColor="accent3" w:themeShade="BF"/>
          <w:sz w:val="22"/>
          <w:szCs w:val="22"/>
          <w:lang w:val="en-GB"/>
        </w:rPr>
        <w:t>further</w:t>
      </w:r>
      <w:r w:rsidR="00141EA6">
        <w:rPr>
          <w:rFonts w:ascii="Arial" w:hAnsi="Arial" w:cs="Arial"/>
          <w:color w:val="7B7B7B" w:themeColor="accent3" w:themeShade="BF"/>
          <w:sz w:val="22"/>
          <w:szCs w:val="22"/>
          <w:lang w:val="en-GB"/>
        </w:rPr>
        <w:t xml:space="preserve"> goes on to state that </w:t>
      </w:r>
      <w:r w:rsidR="001D7491">
        <w:rPr>
          <w:rFonts w:ascii="Arial" w:hAnsi="Arial" w:cs="Arial"/>
          <w:color w:val="7B7B7B" w:themeColor="accent3" w:themeShade="BF"/>
          <w:sz w:val="22"/>
          <w:szCs w:val="22"/>
          <w:lang w:val="en-GB"/>
        </w:rPr>
        <w:t xml:space="preserve">as a general rule, </w:t>
      </w:r>
      <w:r w:rsidR="00141EA6">
        <w:rPr>
          <w:rFonts w:ascii="Arial" w:hAnsi="Arial" w:cs="Arial"/>
          <w:color w:val="7B7B7B" w:themeColor="accent3" w:themeShade="BF"/>
          <w:sz w:val="22"/>
          <w:szCs w:val="22"/>
          <w:lang w:val="en-GB"/>
        </w:rPr>
        <w:t>Article 6 MLCBI should rarely be the basis for refusing an application for recognition, even though it might be a basis for limiting the nature of relief accorded.</w:t>
      </w:r>
      <w:r w:rsidR="001D7491">
        <w:rPr>
          <w:rStyle w:val="FootnoteReference"/>
          <w:rFonts w:ascii="Arial" w:hAnsi="Arial" w:cs="Arial"/>
          <w:color w:val="7B7B7B" w:themeColor="accent3" w:themeShade="BF"/>
          <w:sz w:val="22"/>
          <w:szCs w:val="22"/>
          <w:lang w:val="en-GB"/>
        </w:rPr>
        <w:footnoteReference w:id="14"/>
      </w:r>
    </w:p>
    <w:p w14:paraId="4548CCD5" w14:textId="77777777" w:rsidR="00E24C95" w:rsidRPr="00E24C95" w:rsidRDefault="00E24C95" w:rsidP="00E24C95">
      <w:pPr>
        <w:pStyle w:val="ListParagraph"/>
        <w:jc w:val="both"/>
        <w:rPr>
          <w:rFonts w:ascii="Arial" w:hAnsi="Arial" w:cs="Arial"/>
          <w:sz w:val="22"/>
          <w:szCs w:val="22"/>
          <w:lang w:val="en-GB"/>
        </w:rPr>
      </w:pPr>
    </w:p>
    <w:p w14:paraId="1408FE61" w14:textId="7C591124" w:rsidR="00E24C95" w:rsidRPr="00AE430B" w:rsidRDefault="00AE430B" w:rsidP="005E1923">
      <w:pPr>
        <w:pStyle w:val="ListParagraph"/>
        <w:numPr>
          <w:ilvl w:val="0"/>
          <w:numId w:val="18"/>
        </w:numPr>
        <w:ind w:hanging="720"/>
        <w:jc w:val="both"/>
        <w:rPr>
          <w:rFonts w:ascii="Arial" w:hAnsi="Arial" w:cs="Arial"/>
          <w:sz w:val="22"/>
          <w:szCs w:val="22"/>
          <w:lang w:val="en-GB"/>
        </w:rPr>
      </w:pPr>
      <w:r>
        <w:rPr>
          <w:rFonts w:ascii="Arial" w:hAnsi="Arial" w:cs="Arial"/>
          <w:color w:val="7B7B7B" w:themeColor="accent3" w:themeShade="BF"/>
          <w:sz w:val="22"/>
          <w:szCs w:val="22"/>
          <w:lang w:val="en-GB"/>
        </w:rPr>
        <w:t>whether there has been an abuse of p</w:t>
      </w:r>
      <w:r w:rsidR="001D7491">
        <w:rPr>
          <w:rFonts w:ascii="Arial" w:hAnsi="Arial" w:cs="Arial"/>
          <w:color w:val="7B7B7B" w:themeColor="accent3" w:themeShade="BF"/>
          <w:sz w:val="22"/>
          <w:szCs w:val="22"/>
          <w:lang w:val="en-GB"/>
        </w:rPr>
        <w:t xml:space="preserve">rocess, bad faith, fraud </w:t>
      </w:r>
      <w:r w:rsidR="00593720">
        <w:rPr>
          <w:rFonts w:ascii="Arial" w:hAnsi="Arial" w:cs="Arial"/>
          <w:color w:val="7B7B7B" w:themeColor="accent3" w:themeShade="BF"/>
          <w:sz w:val="22"/>
          <w:szCs w:val="22"/>
          <w:lang w:val="en-GB"/>
        </w:rPr>
        <w:t>or</w:t>
      </w:r>
      <w:r w:rsidR="001D7491">
        <w:rPr>
          <w:rFonts w:ascii="Arial" w:hAnsi="Arial" w:cs="Arial"/>
          <w:color w:val="7B7B7B" w:themeColor="accent3" w:themeShade="BF"/>
          <w:sz w:val="22"/>
          <w:szCs w:val="22"/>
          <w:lang w:val="en-GB"/>
        </w:rPr>
        <w:t xml:space="preserve"> improper purpose in the application for recognition.</w:t>
      </w:r>
    </w:p>
    <w:p w14:paraId="155BD8C8" w14:textId="18C1A514" w:rsidR="00AE430B" w:rsidRDefault="00AE430B" w:rsidP="00AE430B">
      <w:pPr>
        <w:pStyle w:val="ListParagraph"/>
        <w:jc w:val="both"/>
        <w:rPr>
          <w:rFonts w:ascii="Arial" w:hAnsi="Arial" w:cs="Arial"/>
          <w:color w:val="7B7B7B" w:themeColor="accent3" w:themeShade="BF"/>
          <w:sz w:val="22"/>
          <w:szCs w:val="22"/>
          <w:lang w:val="en-GB"/>
        </w:rPr>
      </w:pPr>
    </w:p>
    <w:p w14:paraId="63DB3CCA" w14:textId="61663A5B" w:rsidR="001D7491" w:rsidRDefault="00AE430B" w:rsidP="001D7491">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the MLCBI itself does not contain any express provision on abuse of process, the MLCBI also does not explicitly prevent the courts of State A from applying domestic law or procedural rules to address a perceived abuse of process.</w:t>
      </w:r>
      <w:r>
        <w:rPr>
          <w:rStyle w:val="FootnoteReference"/>
          <w:rFonts w:ascii="Arial" w:hAnsi="Arial" w:cs="Arial"/>
          <w:color w:val="7B7B7B" w:themeColor="accent3" w:themeShade="BF"/>
          <w:sz w:val="22"/>
          <w:szCs w:val="22"/>
          <w:lang w:val="en-GB"/>
        </w:rPr>
        <w:footnoteReference w:id="15"/>
      </w:r>
      <w:r w:rsidR="001D7491">
        <w:rPr>
          <w:rFonts w:ascii="Arial" w:hAnsi="Arial" w:cs="Arial"/>
          <w:color w:val="7B7B7B" w:themeColor="accent3" w:themeShade="BF"/>
          <w:sz w:val="22"/>
          <w:szCs w:val="22"/>
          <w:lang w:val="en-GB"/>
        </w:rPr>
        <w:t xml:space="preserve"> </w:t>
      </w:r>
      <w:r w:rsidR="001D7491" w:rsidRPr="001D7491">
        <w:rPr>
          <w:rFonts w:ascii="Arial" w:hAnsi="Arial" w:cs="Arial"/>
          <w:color w:val="7B7B7B" w:themeColor="accent3" w:themeShade="BF"/>
          <w:sz w:val="22"/>
          <w:szCs w:val="22"/>
          <w:lang w:val="en-GB"/>
        </w:rPr>
        <w:t>The GEI gives an applicant’s false claim that the debtor’s centre of main interests is in a particular State as an example of an abuse of process that may entitle the courts of State A to apply domestic law or procedural law in response to such an abuse of process.</w:t>
      </w:r>
      <w:r w:rsidR="001D7491">
        <w:rPr>
          <w:rStyle w:val="FootnoteReference"/>
          <w:rFonts w:ascii="Arial" w:hAnsi="Arial" w:cs="Arial"/>
          <w:color w:val="7B7B7B" w:themeColor="accent3" w:themeShade="BF"/>
          <w:sz w:val="22"/>
          <w:szCs w:val="22"/>
          <w:lang w:val="en-GB"/>
        </w:rPr>
        <w:footnoteReference w:id="16"/>
      </w:r>
    </w:p>
    <w:p w14:paraId="29D9AED2" w14:textId="049475C5" w:rsidR="001D7491" w:rsidRDefault="001D7491" w:rsidP="001D7491">
      <w:pPr>
        <w:pStyle w:val="ListParagraph"/>
        <w:jc w:val="both"/>
        <w:rPr>
          <w:rFonts w:ascii="Arial" w:hAnsi="Arial" w:cs="Arial"/>
          <w:color w:val="7B7B7B" w:themeColor="accent3" w:themeShade="BF"/>
          <w:sz w:val="22"/>
          <w:szCs w:val="22"/>
          <w:lang w:val="en-GB"/>
        </w:rPr>
      </w:pPr>
    </w:p>
    <w:p w14:paraId="05B77C1F" w14:textId="79235CF7" w:rsidR="00513BD2" w:rsidRDefault="00513BD2" w:rsidP="00513BD2">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may also be grounds</w:t>
      </w:r>
      <w:r w:rsidRPr="00513BD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for the courts in State A to </w:t>
      </w:r>
      <w:r w:rsidRPr="00513BD2">
        <w:rPr>
          <w:rFonts w:ascii="Arial" w:hAnsi="Arial" w:cs="Arial"/>
          <w:color w:val="7B7B7B" w:themeColor="accent3" w:themeShade="BF"/>
          <w:sz w:val="22"/>
          <w:szCs w:val="22"/>
          <w:lang w:val="en-GB"/>
        </w:rPr>
        <w:t xml:space="preserve">refuse to grant recognition </w:t>
      </w:r>
      <w:r>
        <w:rPr>
          <w:rFonts w:ascii="Arial" w:hAnsi="Arial" w:cs="Arial"/>
          <w:color w:val="7B7B7B" w:themeColor="accent3" w:themeShade="BF"/>
          <w:sz w:val="22"/>
          <w:szCs w:val="22"/>
          <w:lang w:val="en-GB"/>
        </w:rPr>
        <w:t>to the insolvency proceeding commenced in State B –</w:t>
      </w:r>
    </w:p>
    <w:p w14:paraId="262BB198" w14:textId="0EA21813" w:rsidR="00513BD2" w:rsidRDefault="00513BD2" w:rsidP="005E1923">
      <w:pPr>
        <w:pStyle w:val="ListParagraph"/>
        <w:numPr>
          <w:ilvl w:val="0"/>
          <w:numId w:val="19"/>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decision was the result of corruption;</w:t>
      </w:r>
      <w:r>
        <w:rPr>
          <w:rStyle w:val="FootnoteReference"/>
          <w:rFonts w:ascii="Arial" w:hAnsi="Arial" w:cs="Arial"/>
          <w:color w:val="7B7B7B" w:themeColor="accent3" w:themeShade="BF"/>
          <w:sz w:val="22"/>
          <w:szCs w:val="22"/>
          <w:lang w:val="en-GB"/>
        </w:rPr>
        <w:footnoteReference w:id="17"/>
      </w:r>
    </w:p>
    <w:p w14:paraId="7B823EAE" w14:textId="69548574" w:rsidR="00513BD2" w:rsidRDefault="00513BD2" w:rsidP="005E1923">
      <w:pPr>
        <w:pStyle w:val="ListParagraph"/>
        <w:numPr>
          <w:ilvl w:val="0"/>
          <w:numId w:val="19"/>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is attempting to evade its legitimate foreign creditors;</w:t>
      </w:r>
      <w:r>
        <w:rPr>
          <w:rStyle w:val="FootnoteReference"/>
          <w:rFonts w:ascii="Arial" w:hAnsi="Arial" w:cs="Arial"/>
          <w:color w:val="7B7B7B" w:themeColor="accent3" w:themeShade="BF"/>
          <w:sz w:val="22"/>
          <w:szCs w:val="22"/>
          <w:lang w:val="en-GB"/>
        </w:rPr>
        <w:footnoteReference w:id="18"/>
      </w:r>
      <w:r w:rsidR="000C005C">
        <w:rPr>
          <w:rFonts w:ascii="Arial" w:hAnsi="Arial" w:cs="Arial"/>
          <w:color w:val="7B7B7B" w:themeColor="accent3" w:themeShade="BF"/>
          <w:sz w:val="22"/>
          <w:szCs w:val="22"/>
          <w:lang w:val="en-GB"/>
        </w:rPr>
        <w:t xml:space="preserve"> and</w:t>
      </w:r>
    </w:p>
    <w:p w14:paraId="02B47E7A" w14:textId="6AB0D84B" w:rsidR="001D7491" w:rsidRPr="000C005C" w:rsidRDefault="00513BD2" w:rsidP="005E1923">
      <w:pPr>
        <w:pStyle w:val="ListParagraph"/>
        <w:numPr>
          <w:ilvl w:val="0"/>
          <w:numId w:val="19"/>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improper forum shopping and frustration of an existing judgment were the only apparent reasons for the recognition application and hence, the recognition was being sought for an improper purpose</w:t>
      </w:r>
      <w:r w:rsidR="000C005C">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19"/>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442D944E" w:rsidR="00DF75F8" w:rsidRDefault="00EA3C3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foreign representative of the insolvency proceeding opened in State B may seek for the following reliefs under the MLCBI in State A –</w:t>
      </w:r>
    </w:p>
    <w:p w14:paraId="517A652B" w14:textId="0CC248B9" w:rsidR="00EA3C3B" w:rsidRDefault="00EA3C3B" w:rsidP="00707FC8">
      <w:pPr>
        <w:jc w:val="both"/>
        <w:rPr>
          <w:rFonts w:ascii="Arial" w:hAnsi="Arial" w:cs="Arial"/>
          <w:color w:val="7B7B7B" w:themeColor="accent3" w:themeShade="BF"/>
          <w:sz w:val="22"/>
          <w:szCs w:val="22"/>
          <w:lang w:val="en-GB"/>
        </w:rPr>
      </w:pPr>
    </w:p>
    <w:p w14:paraId="476F884D" w14:textId="34BD8DB4" w:rsidR="0063397D" w:rsidRPr="0063397D" w:rsidRDefault="00EA3C3B" w:rsidP="005E1923">
      <w:pPr>
        <w:pStyle w:val="ListParagraph"/>
        <w:numPr>
          <w:ilvl w:val="0"/>
          <w:numId w:val="20"/>
        </w:numPr>
        <w:ind w:hanging="720"/>
        <w:jc w:val="both"/>
        <w:rPr>
          <w:rFonts w:ascii="Arial" w:hAnsi="Arial" w:cs="Arial"/>
          <w:sz w:val="22"/>
          <w:szCs w:val="22"/>
          <w:lang w:val="en-GB"/>
        </w:rPr>
      </w:pPr>
      <w:r>
        <w:rPr>
          <w:rFonts w:ascii="Arial" w:hAnsi="Arial" w:cs="Arial"/>
          <w:color w:val="7B7B7B" w:themeColor="accent3" w:themeShade="BF"/>
          <w:sz w:val="22"/>
          <w:szCs w:val="22"/>
          <w:lang w:val="en-GB"/>
        </w:rPr>
        <w:t>upon filing the application for recognition but prior to the decision on the recognition application, the courts in State A may grant the foreign representative urgently needed interim relief under Article 19 MLCBI.</w:t>
      </w:r>
    </w:p>
    <w:p w14:paraId="66F214D8" w14:textId="3119ED28" w:rsidR="0063397D" w:rsidRDefault="0063397D" w:rsidP="0063397D">
      <w:pPr>
        <w:pStyle w:val="ListParagraph"/>
        <w:jc w:val="both"/>
        <w:rPr>
          <w:rFonts w:ascii="Arial" w:hAnsi="Arial" w:cs="Arial"/>
          <w:color w:val="7B7B7B" w:themeColor="accent3" w:themeShade="BF"/>
          <w:sz w:val="22"/>
          <w:szCs w:val="22"/>
          <w:lang w:val="en-GB"/>
        </w:rPr>
      </w:pPr>
    </w:p>
    <w:p w14:paraId="4AABE3F5" w14:textId="3F4E3AF1" w:rsidR="0063397D" w:rsidRDefault="0063397D" w:rsidP="0063397D">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relief is urgently needed to protect the assets of the Debtor or the interest of the creditors, pursuant to Article 19(1) MLCBI, the courts in State A may grant the following reliefs of a provisional nature –</w:t>
      </w:r>
    </w:p>
    <w:p w14:paraId="63370873" w14:textId="1E93486E" w:rsidR="0063397D" w:rsidRPr="0063397D" w:rsidRDefault="0063397D" w:rsidP="005E1923">
      <w:pPr>
        <w:pStyle w:val="ListParagraph"/>
        <w:numPr>
          <w:ilvl w:val="0"/>
          <w:numId w:val="21"/>
        </w:numPr>
        <w:ind w:hanging="720"/>
        <w:jc w:val="both"/>
        <w:rPr>
          <w:rFonts w:ascii="Arial" w:hAnsi="Arial" w:cs="Arial"/>
          <w:color w:val="7B7B7B" w:themeColor="accent3" w:themeShade="BF"/>
          <w:sz w:val="22"/>
          <w:szCs w:val="22"/>
          <w:lang w:val="en-GB"/>
        </w:rPr>
      </w:pPr>
      <w:r w:rsidRPr="0063397D">
        <w:rPr>
          <w:rFonts w:ascii="Arial" w:hAnsi="Arial" w:cs="Arial"/>
          <w:color w:val="7B7B7B" w:themeColor="accent3" w:themeShade="BF"/>
          <w:sz w:val="22"/>
          <w:szCs w:val="22"/>
          <w:lang w:val="en-GB"/>
        </w:rPr>
        <w:t>staying execution against the Debtor’s assets;</w:t>
      </w:r>
    </w:p>
    <w:p w14:paraId="134E6740" w14:textId="2335B551" w:rsidR="0063397D" w:rsidRDefault="0063397D" w:rsidP="005E1923">
      <w:pPr>
        <w:pStyle w:val="ListParagraph"/>
        <w:numPr>
          <w:ilvl w:val="0"/>
          <w:numId w:val="2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entrusting the administration or realisation of all or part of the Debtor’s assets located in State A to the foreign representative or another person designated by the court, in order to protect and preserve the value of assets that, by their nature or because of other circumstances, are perishable, susceptible to devaluation or otherwise in jeopardy; </w:t>
      </w:r>
    </w:p>
    <w:p w14:paraId="5E799D12" w14:textId="524CDDF5" w:rsidR="0063397D" w:rsidRDefault="0063397D" w:rsidP="005E1923">
      <w:pPr>
        <w:pStyle w:val="ListParagraph"/>
        <w:numPr>
          <w:ilvl w:val="0"/>
          <w:numId w:val="2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the right to transfer, encumber or otherwise dispose of any assets of the Debtor;</w:t>
      </w:r>
    </w:p>
    <w:p w14:paraId="69EBDEC9" w14:textId="363E9173" w:rsidR="0063397D" w:rsidRDefault="0063397D" w:rsidP="005E1923">
      <w:pPr>
        <w:pStyle w:val="ListParagraph"/>
        <w:numPr>
          <w:ilvl w:val="0"/>
          <w:numId w:val="2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providing for the examination of witnesses, the taking of evidence or the delivery of information concerning the debtor’s assets, affairs, rights, obligations or liabilities; and </w:t>
      </w:r>
    </w:p>
    <w:p w14:paraId="195EBDAC" w14:textId="20955A69" w:rsidR="0063397D" w:rsidRDefault="0063397D" w:rsidP="005E1923">
      <w:pPr>
        <w:pStyle w:val="ListParagraph"/>
        <w:numPr>
          <w:ilvl w:val="0"/>
          <w:numId w:val="2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relief that may be available to an insolvency office-holder under the laws of State A.</w:t>
      </w:r>
    </w:p>
    <w:p w14:paraId="1CBA31F5" w14:textId="0E6C615B" w:rsidR="0063397D" w:rsidRDefault="0063397D" w:rsidP="0063397D">
      <w:pPr>
        <w:ind w:left="720"/>
        <w:jc w:val="both"/>
        <w:rPr>
          <w:rFonts w:ascii="Arial" w:hAnsi="Arial" w:cs="Arial"/>
          <w:color w:val="7B7B7B" w:themeColor="accent3" w:themeShade="BF"/>
          <w:sz w:val="22"/>
          <w:szCs w:val="22"/>
          <w:lang w:val="en-GB"/>
        </w:rPr>
      </w:pPr>
    </w:p>
    <w:p w14:paraId="6EDF879E" w14:textId="4F90638A" w:rsidR="0063397D" w:rsidRDefault="0063397D" w:rsidP="0063397D">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must be noted that unless extended under the post-recognition relief provision in Article 21(1)(f) MLCBI, the reliefs granted under Article 19 MLCBI will terminate once the recognition application has been decided upon.</w:t>
      </w:r>
    </w:p>
    <w:p w14:paraId="714774A1" w14:textId="41AF63B3" w:rsidR="0063397D" w:rsidRDefault="0063397D" w:rsidP="0063397D">
      <w:pPr>
        <w:ind w:left="720"/>
        <w:jc w:val="both"/>
        <w:rPr>
          <w:rFonts w:ascii="Arial" w:hAnsi="Arial" w:cs="Arial"/>
          <w:color w:val="7B7B7B" w:themeColor="accent3" w:themeShade="BF"/>
          <w:sz w:val="22"/>
          <w:szCs w:val="22"/>
          <w:lang w:val="en-GB"/>
        </w:rPr>
      </w:pPr>
    </w:p>
    <w:p w14:paraId="0090AA9D" w14:textId="0C18A411" w:rsidR="0063397D" w:rsidRDefault="0063397D" w:rsidP="0063397D">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373AAB">
        <w:rPr>
          <w:rFonts w:ascii="Arial" w:hAnsi="Arial" w:cs="Arial"/>
          <w:color w:val="7B7B7B" w:themeColor="accent3" w:themeShade="BF"/>
          <w:sz w:val="22"/>
          <w:szCs w:val="22"/>
          <w:lang w:val="en-GB"/>
        </w:rPr>
        <w:t>considering</w:t>
      </w:r>
      <w:r>
        <w:rPr>
          <w:rFonts w:ascii="Arial" w:hAnsi="Arial" w:cs="Arial"/>
          <w:color w:val="7B7B7B" w:themeColor="accent3" w:themeShade="BF"/>
          <w:sz w:val="22"/>
          <w:szCs w:val="22"/>
          <w:lang w:val="en-GB"/>
        </w:rPr>
        <w:t xml:space="preserve"> any relief under Article 19 MLCBI, the courts of State A –</w:t>
      </w:r>
    </w:p>
    <w:p w14:paraId="51ACBBF4" w14:textId="50D05B37" w:rsidR="0063397D" w:rsidRDefault="00373AAB" w:rsidP="005E1923">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may refuse to grant a relief if such a relief would interfere with the administration of a foreign main proceeding (Article 19(4) MLCBI); and</w:t>
      </w:r>
    </w:p>
    <w:p w14:paraId="6448368D" w14:textId="15A4ADFA" w:rsidR="00373AAB" w:rsidRDefault="00373AAB" w:rsidP="005E1923">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must be satisfied that the interests of the creditors and other interested persons, including the Debtor, are adequately protected (Article 22(1) MLCBI).</w:t>
      </w:r>
    </w:p>
    <w:p w14:paraId="69B309BD" w14:textId="77777777" w:rsidR="00373AAB" w:rsidRPr="0063397D" w:rsidRDefault="00373AAB" w:rsidP="00373AAB">
      <w:pPr>
        <w:pStyle w:val="ListParagraph"/>
        <w:ind w:left="1440"/>
        <w:jc w:val="both"/>
        <w:rPr>
          <w:rFonts w:ascii="Arial" w:hAnsi="Arial" w:cs="Arial"/>
          <w:color w:val="7B7B7B" w:themeColor="accent3" w:themeShade="BF"/>
          <w:sz w:val="22"/>
          <w:szCs w:val="22"/>
          <w:lang w:val="en-GB"/>
        </w:rPr>
      </w:pPr>
    </w:p>
    <w:p w14:paraId="146C8DDE" w14:textId="2E583112" w:rsidR="00EA3C3B" w:rsidRPr="00373AAB" w:rsidRDefault="007B5059" w:rsidP="005E1923">
      <w:pPr>
        <w:pStyle w:val="ListParagraph"/>
        <w:numPr>
          <w:ilvl w:val="0"/>
          <w:numId w:val="20"/>
        </w:numPr>
        <w:ind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upon recognition, </w:t>
      </w:r>
      <w:r w:rsidR="00373AAB">
        <w:rPr>
          <w:rFonts w:ascii="Arial" w:hAnsi="Arial" w:cs="Arial"/>
          <w:color w:val="7B7B7B" w:themeColor="accent3" w:themeShade="BF"/>
          <w:sz w:val="22"/>
          <w:szCs w:val="22"/>
          <w:lang w:val="en-GB"/>
        </w:rPr>
        <w:t xml:space="preserve">if </w:t>
      </w:r>
      <w:r w:rsidR="00593720">
        <w:rPr>
          <w:rFonts w:ascii="Arial" w:hAnsi="Arial" w:cs="Arial"/>
          <w:color w:val="7B7B7B" w:themeColor="accent3" w:themeShade="BF"/>
          <w:sz w:val="22"/>
          <w:szCs w:val="22"/>
          <w:lang w:val="en-GB"/>
        </w:rPr>
        <w:t xml:space="preserve">the </w:t>
      </w:r>
      <w:r w:rsidR="00373AAB">
        <w:rPr>
          <w:rFonts w:ascii="Arial" w:hAnsi="Arial" w:cs="Arial"/>
          <w:color w:val="7B7B7B" w:themeColor="accent3" w:themeShade="BF"/>
          <w:sz w:val="22"/>
          <w:szCs w:val="22"/>
          <w:lang w:val="en-GB"/>
        </w:rPr>
        <w:t>insolvency proceeding in State B is recognised in State A as a foreign main proceeding, pursuant to Article 20 MLCBI, an automatic stay will be imposed on –</w:t>
      </w:r>
    </w:p>
    <w:p w14:paraId="33440DAB" w14:textId="7CAD40A2" w:rsidR="00373AAB" w:rsidRPr="00373AAB" w:rsidRDefault="00373AAB" w:rsidP="005E192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the commencement or continuation of individual actions or individual proceedings concerning the Debtor’s assets, rights, obligations or liabilities;</w:t>
      </w:r>
    </w:p>
    <w:p w14:paraId="1D95839C" w14:textId="1ADA930C" w:rsidR="00373AAB" w:rsidRPr="00373AAB" w:rsidRDefault="00373AAB" w:rsidP="005E192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execution against the Debtor’s assets; and</w:t>
      </w:r>
    </w:p>
    <w:p w14:paraId="4E47F60C" w14:textId="0E93657C" w:rsidR="00373AAB" w:rsidRPr="00373AAB" w:rsidRDefault="00373AAB" w:rsidP="005E192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the right to transfer, encumber or otherwise dispose of any assets of the Debtor.</w:t>
      </w:r>
    </w:p>
    <w:p w14:paraId="47A9030A" w14:textId="009570C1" w:rsidR="00373AAB" w:rsidRDefault="00373AAB" w:rsidP="00373AAB">
      <w:pPr>
        <w:ind w:left="720"/>
        <w:jc w:val="both"/>
        <w:rPr>
          <w:rFonts w:ascii="Arial" w:hAnsi="Arial" w:cs="Arial"/>
          <w:sz w:val="22"/>
          <w:szCs w:val="22"/>
          <w:lang w:val="en-GB"/>
        </w:rPr>
      </w:pPr>
    </w:p>
    <w:p w14:paraId="00135450" w14:textId="576CEFB8" w:rsidR="00373AAB" w:rsidRDefault="00373AAB" w:rsidP="00373AAB">
      <w:pPr>
        <w:ind w:left="720"/>
        <w:jc w:val="both"/>
        <w:rPr>
          <w:rFonts w:ascii="Arial" w:hAnsi="Arial" w:cs="Arial"/>
          <w:color w:val="7B7B7B" w:themeColor="accent3" w:themeShade="BF"/>
          <w:sz w:val="22"/>
          <w:szCs w:val="22"/>
          <w:lang w:val="en-GB"/>
        </w:rPr>
      </w:pPr>
      <w:r w:rsidRPr="00373AAB">
        <w:rPr>
          <w:rFonts w:ascii="Arial" w:hAnsi="Arial" w:cs="Arial"/>
          <w:color w:val="7B7B7B" w:themeColor="accent3" w:themeShade="BF"/>
          <w:sz w:val="22"/>
          <w:szCs w:val="22"/>
          <w:lang w:val="en-GB"/>
        </w:rPr>
        <w:t xml:space="preserve">However, </w:t>
      </w:r>
      <w:r>
        <w:rPr>
          <w:rFonts w:ascii="Arial" w:hAnsi="Arial" w:cs="Arial"/>
          <w:color w:val="7B7B7B" w:themeColor="accent3" w:themeShade="BF"/>
          <w:sz w:val="22"/>
          <w:szCs w:val="22"/>
          <w:lang w:val="en-GB"/>
        </w:rPr>
        <w:t xml:space="preserve">the stay </w:t>
      </w:r>
      <w:r w:rsidR="007B5059">
        <w:rPr>
          <w:rFonts w:ascii="Arial" w:hAnsi="Arial" w:cs="Arial"/>
          <w:color w:val="7B7B7B" w:themeColor="accent3" w:themeShade="BF"/>
          <w:sz w:val="22"/>
          <w:szCs w:val="22"/>
          <w:lang w:val="en-GB"/>
        </w:rPr>
        <w:t>–</w:t>
      </w:r>
    </w:p>
    <w:p w14:paraId="06FDB977" w14:textId="6008C47B" w:rsidR="007B5059" w:rsidRDefault="007B5059" w:rsidP="005E192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will be subject to the insolvency laws of State A that apply to exceptions, limitation, modifications or termination in respect of the stay (Article 20(2) MLCBI);</w:t>
      </w:r>
    </w:p>
    <w:p w14:paraId="4B6687B0" w14:textId="311E7CEB" w:rsidR="007B5059" w:rsidRDefault="007B5059" w:rsidP="005E192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will not affect the right to commence individual actions or proceedings to the extent necessary to preserve a claim against the Debtor (Article 20(3) MLCBI); and</w:t>
      </w:r>
    </w:p>
    <w:p w14:paraId="79AB0947" w14:textId="4E4E8C9A" w:rsidR="007B5059" w:rsidRDefault="007B5059" w:rsidP="005E192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will not affect the right to request the commencement of a proceeding under the insolvency laws of State A or the right to file claims in such a proceeding (Article 20(4) MLCBI).</w:t>
      </w:r>
    </w:p>
    <w:p w14:paraId="3674BF4C" w14:textId="77777777" w:rsidR="007B5059" w:rsidRPr="007B5059" w:rsidRDefault="007B5059" w:rsidP="007B5059">
      <w:pPr>
        <w:pStyle w:val="ListParagraph"/>
        <w:ind w:left="1440"/>
        <w:jc w:val="both"/>
        <w:rPr>
          <w:rFonts w:ascii="Arial" w:hAnsi="Arial" w:cs="Arial"/>
          <w:color w:val="7B7B7B" w:themeColor="accent3" w:themeShade="BF"/>
          <w:sz w:val="22"/>
          <w:szCs w:val="22"/>
          <w:lang w:val="en-GB"/>
        </w:rPr>
      </w:pPr>
    </w:p>
    <w:p w14:paraId="4BB7108A" w14:textId="77777777" w:rsidR="00D57B0A" w:rsidRPr="00D57B0A" w:rsidRDefault="007B5059" w:rsidP="005E1923">
      <w:pPr>
        <w:pStyle w:val="ListParagraph"/>
        <w:numPr>
          <w:ilvl w:val="0"/>
          <w:numId w:val="20"/>
        </w:numPr>
        <w:ind w:hanging="720"/>
        <w:jc w:val="both"/>
        <w:rPr>
          <w:rFonts w:ascii="Arial" w:hAnsi="Arial" w:cs="Arial"/>
          <w:sz w:val="22"/>
          <w:szCs w:val="22"/>
          <w:lang w:val="en-GB"/>
        </w:rPr>
      </w:pPr>
      <w:r w:rsidRPr="007B5059">
        <w:rPr>
          <w:rFonts w:ascii="Arial" w:hAnsi="Arial" w:cs="Arial"/>
          <w:color w:val="7B7B7B" w:themeColor="accent3" w:themeShade="BF"/>
          <w:sz w:val="22"/>
          <w:szCs w:val="22"/>
          <w:lang w:val="en-GB"/>
        </w:rPr>
        <w:lastRenderedPageBreak/>
        <w:t xml:space="preserve">upon </w:t>
      </w:r>
      <w:r>
        <w:rPr>
          <w:rFonts w:ascii="Arial" w:hAnsi="Arial" w:cs="Arial"/>
          <w:color w:val="7B7B7B" w:themeColor="accent3" w:themeShade="BF"/>
          <w:sz w:val="22"/>
          <w:szCs w:val="22"/>
          <w:lang w:val="en-GB"/>
        </w:rPr>
        <w:t xml:space="preserve">State A’s </w:t>
      </w:r>
      <w:r w:rsidRPr="007B5059">
        <w:rPr>
          <w:rFonts w:ascii="Arial" w:hAnsi="Arial" w:cs="Arial"/>
          <w:color w:val="7B7B7B" w:themeColor="accent3" w:themeShade="BF"/>
          <w:sz w:val="22"/>
          <w:szCs w:val="22"/>
          <w:lang w:val="en-GB"/>
        </w:rPr>
        <w:t xml:space="preserve">recognition of the insolvency proceeding in State B </w:t>
      </w:r>
      <w:r>
        <w:rPr>
          <w:rFonts w:ascii="Arial" w:hAnsi="Arial" w:cs="Arial"/>
          <w:color w:val="7B7B7B" w:themeColor="accent3" w:themeShade="BF"/>
          <w:sz w:val="22"/>
          <w:szCs w:val="22"/>
          <w:lang w:val="en-GB"/>
        </w:rPr>
        <w:t>whether</w:t>
      </w:r>
      <w:r w:rsidRPr="007B5059">
        <w:rPr>
          <w:rFonts w:ascii="Arial" w:hAnsi="Arial" w:cs="Arial"/>
          <w:color w:val="7B7B7B" w:themeColor="accent3" w:themeShade="BF"/>
          <w:sz w:val="22"/>
          <w:szCs w:val="22"/>
          <w:lang w:val="en-GB"/>
        </w:rPr>
        <w:t xml:space="preserve"> as a foreign main proceeding</w:t>
      </w:r>
      <w:r>
        <w:rPr>
          <w:rFonts w:ascii="Arial" w:hAnsi="Arial" w:cs="Arial"/>
          <w:color w:val="7B7B7B" w:themeColor="accent3" w:themeShade="BF"/>
          <w:sz w:val="22"/>
          <w:szCs w:val="22"/>
          <w:lang w:val="en-GB"/>
        </w:rPr>
        <w:t xml:space="preserve"> or foreign non-main proceeding, the foreign representative may seek for the post-recognition reliefs under Article 21</w:t>
      </w:r>
      <w:r w:rsidR="00D57B0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MLCBI. </w:t>
      </w:r>
    </w:p>
    <w:p w14:paraId="00469740" w14:textId="77777777" w:rsidR="00D57B0A" w:rsidRDefault="00D57B0A" w:rsidP="00D57B0A">
      <w:pPr>
        <w:pStyle w:val="ListParagraph"/>
        <w:jc w:val="both"/>
        <w:rPr>
          <w:rFonts w:ascii="Arial" w:hAnsi="Arial" w:cs="Arial"/>
          <w:color w:val="7B7B7B" w:themeColor="accent3" w:themeShade="BF"/>
          <w:sz w:val="22"/>
          <w:szCs w:val="22"/>
          <w:lang w:val="en-GB"/>
        </w:rPr>
      </w:pPr>
    </w:p>
    <w:p w14:paraId="7F7EBF71" w14:textId="4EC22316" w:rsidR="00373AAB" w:rsidRPr="00D57B0A" w:rsidRDefault="00D57B0A" w:rsidP="00D57B0A">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If the reliefs are necessary to protect the assets of the Debtor or the interests of the creditors, t</w:t>
      </w:r>
      <w:r w:rsidR="007B5059">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 xml:space="preserve">discretionary </w:t>
      </w:r>
      <w:r w:rsidR="007B5059">
        <w:rPr>
          <w:rFonts w:ascii="Arial" w:hAnsi="Arial" w:cs="Arial"/>
          <w:color w:val="7B7B7B" w:themeColor="accent3" w:themeShade="BF"/>
          <w:sz w:val="22"/>
          <w:szCs w:val="22"/>
          <w:lang w:val="en-GB"/>
        </w:rPr>
        <w:t>post-recognition reliefs that may be granted under Article 21</w:t>
      </w:r>
      <w:r>
        <w:rPr>
          <w:rFonts w:ascii="Arial" w:hAnsi="Arial" w:cs="Arial"/>
          <w:color w:val="7B7B7B" w:themeColor="accent3" w:themeShade="BF"/>
          <w:sz w:val="22"/>
          <w:szCs w:val="22"/>
          <w:lang w:val="en-GB"/>
        </w:rPr>
        <w:t>(1)</w:t>
      </w:r>
      <w:r w:rsidR="007B5059">
        <w:rPr>
          <w:rFonts w:ascii="Arial" w:hAnsi="Arial" w:cs="Arial"/>
          <w:color w:val="7B7B7B" w:themeColor="accent3" w:themeShade="BF"/>
          <w:sz w:val="22"/>
          <w:szCs w:val="22"/>
          <w:lang w:val="en-GB"/>
        </w:rPr>
        <w:t xml:space="preserve"> include –</w:t>
      </w:r>
    </w:p>
    <w:p w14:paraId="533DBBB2" w14:textId="465A029D" w:rsidR="00D57B0A" w:rsidRPr="00D57B0A" w:rsidRDefault="00D57B0A" w:rsidP="005E1923">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staying the commencement or continuation of individual actions or individual proceedings concerning the Debtor’s assets, rights, obligations or liabilities;</w:t>
      </w:r>
    </w:p>
    <w:p w14:paraId="46734A91" w14:textId="01D7EA22" w:rsidR="00D57B0A" w:rsidRPr="00D57B0A" w:rsidRDefault="00D57B0A" w:rsidP="005E1923">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staying execution against the Debtor’s assets; </w:t>
      </w:r>
    </w:p>
    <w:p w14:paraId="20BFFB88" w14:textId="4AA61580" w:rsidR="00D57B0A" w:rsidRPr="00D57B0A" w:rsidRDefault="00D57B0A" w:rsidP="005E1923">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suspending the right to transfer, encumber or otherwise dispose of any assets of the Debtor;</w:t>
      </w:r>
    </w:p>
    <w:p w14:paraId="6093BB8C" w14:textId="343D0972" w:rsidR="00D57B0A" w:rsidRDefault="00D57B0A" w:rsidP="005E1923">
      <w:pPr>
        <w:pStyle w:val="ListParagraph"/>
        <w:numPr>
          <w:ilvl w:val="0"/>
          <w:numId w:val="25"/>
        </w:numPr>
        <w:jc w:val="both"/>
        <w:rPr>
          <w:rFonts w:ascii="Arial" w:hAnsi="Arial" w:cs="Arial"/>
          <w:color w:val="7B7B7B" w:themeColor="accent3" w:themeShade="BF"/>
          <w:sz w:val="22"/>
          <w:szCs w:val="22"/>
          <w:lang w:val="en-GB"/>
        </w:rPr>
      </w:pPr>
      <w:r w:rsidRPr="00D57B0A">
        <w:rPr>
          <w:rFonts w:ascii="Arial" w:hAnsi="Arial" w:cs="Arial"/>
          <w:color w:val="7B7B7B" w:themeColor="accent3" w:themeShade="BF"/>
          <w:sz w:val="22"/>
          <w:szCs w:val="22"/>
          <w:lang w:val="en-GB"/>
        </w:rPr>
        <w:t>providing for the examination of witnesses, the taking of evidence or the delivery of information concerning the debtor’s assets, affairs, rights, obligations or liabilities</w:t>
      </w:r>
      <w:r>
        <w:rPr>
          <w:rFonts w:ascii="Arial" w:hAnsi="Arial" w:cs="Arial"/>
          <w:color w:val="7B7B7B" w:themeColor="accent3" w:themeShade="BF"/>
          <w:sz w:val="22"/>
          <w:szCs w:val="22"/>
          <w:lang w:val="en-GB"/>
        </w:rPr>
        <w:t>;</w:t>
      </w:r>
    </w:p>
    <w:p w14:paraId="24A02B0A" w14:textId="7EFC0126" w:rsidR="00D57B0A" w:rsidRDefault="00D57B0A" w:rsidP="005E192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realisation of all or part of the Debtor’s assets located in State A to the foreign representative or another person designated by the court;</w:t>
      </w:r>
    </w:p>
    <w:p w14:paraId="24C50EA2" w14:textId="15D52DEA" w:rsidR="00D57B0A" w:rsidRDefault="00D57B0A" w:rsidP="005E192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extending the interim relief granted under Article 19; and</w:t>
      </w:r>
    </w:p>
    <w:p w14:paraId="0C161B5B" w14:textId="5D908A96" w:rsidR="00D57B0A" w:rsidRDefault="00D57B0A" w:rsidP="005E1923">
      <w:pPr>
        <w:pStyle w:val="ListParagraph"/>
        <w:numPr>
          <w:ilvl w:val="0"/>
          <w:numId w:val="25"/>
        </w:numPr>
        <w:jc w:val="both"/>
        <w:rPr>
          <w:rFonts w:ascii="Arial" w:hAnsi="Arial" w:cs="Arial"/>
          <w:color w:val="7B7B7B" w:themeColor="accent3" w:themeShade="BF"/>
          <w:sz w:val="22"/>
          <w:szCs w:val="22"/>
          <w:lang w:val="en-GB"/>
        </w:rPr>
      </w:pPr>
      <w:r w:rsidRPr="00D57B0A">
        <w:rPr>
          <w:rFonts w:ascii="Arial" w:hAnsi="Arial" w:cs="Arial"/>
          <w:color w:val="7B7B7B" w:themeColor="accent3" w:themeShade="BF"/>
          <w:sz w:val="22"/>
          <w:szCs w:val="22"/>
          <w:lang w:val="en-GB"/>
        </w:rPr>
        <w:t>granting any additional relief that may be available to an insolvency office-holder under the laws of State A</w:t>
      </w:r>
      <w:r>
        <w:rPr>
          <w:rFonts w:ascii="Arial" w:hAnsi="Arial" w:cs="Arial"/>
          <w:color w:val="7B7B7B" w:themeColor="accent3" w:themeShade="BF"/>
          <w:sz w:val="22"/>
          <w:szCs w:val="22"/>
          <w:lang w:val="en-GB"/>
        </w:rPr>
        <w:t>.</w:t>
      </w:r>
    </w:p>
    <w:p w14:paraId="19EBADEB" w14:textId="15A4D35C" w:rsidR="00D57B0A" w:rsidRDefault="00D57B0A" w:rsidP="00D57B0A">
      <w:pPr>
        <w:ind w:left="720"/>
        <w:jc w:val="both"/>
        <w:rPr>
          <w:rFonts w:ascii="Arial" w:hAnsi="Arial" w:cs="Arial"/>
          <w:color w:val="7B7B7B" w:themeColor="accent3" w:themeShade="BF"/>
          <w:sz w:val="22"/>
          <w:szCs w:val="22"/>
          <w:lang w:val="en-GB"/>
        </w:rPr>
      </w:pPr>
    </w:p>
    <w:p w14:paraId="6F4D31E8" w14:textId="59BD8DEC" w:rsidR="00D57B0A" w:rsidRDefault="00D57B0A" w:rsidP="00D57B0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recognition, the court of State A may also, at the request of the foreign representative, entrust the distribution of all or part of the Debtor’s assets located in State A to the foreign representative or another person designated by the court, provided the court in State A is satisfied that the interests of creditors in State A are adequately protected.</w:t>
      </w:r>
    </w:p>
    <w:p w14:paraId="57FA7DD6" w14:textId="2AF0BA5D" w:rsidR="005E1923" w:rsidRDefault="005E1923" w:rsidP="00D57B0A">
      <w:pPr>
        <w:ind w:left="720"/>
        <w:jc w:val="both"/>
        <w:rPr>
          <w:rFonts w:ascii="Arial" w:hAnsi="Arial" w:cs="Arial"/>
          <w:color w:val="7B7B7B" w:themeColor="accent3" w:themeShade="BF"/>
          <w:sz w:val="22"/>
          <w:szCs w:val="22"/>
          <w:lang w:val="en-GB"/>
        </w:rPr>
      </w:pPr>
    </w:p>
    <w:p w14:paraId="45B90B6C" w14:textId="77777777" w:rsidR="005E1923" w:rsidRDefault="005E1923" w:rsidP="005E192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granting any relief under Article 21 MLCBI, the courts of State A must take into account the following –</w:t>
      </w:r>
    </w:p>
    <w:p w14:paraId="702A4405" w14:textId="6035EFF3" w:rsidR="005E1923" w:rsidRDefault="005E1923" w:rsidP="005E1923">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5E1923">
        <w:rPr>
          <w:rFonts w:ascii="Arial" w:hAnsi="Arial" w:cs="Arial"/>
          <w:color w:val="7B7B7B" w:themeColor="accent3" w:themeShade="BF"/>
          <w:sz w:val="22"/>
          <w:szCs w:val="22"/>
          <w:lang w:val="en-GB"/>
        </w:rPr>
        <w:t xml:space="preserve">f the foreign proceeding in State B is recognised as a foreign non-main proceeding in State A, the court in State A must be satisfied that the relief relates to assets that, under the law of State A, should be administered in the foreign </w:t>
      </w:r>
      <w:r>
        <w:rPr>
          <w:rFonts w:ascii="Arial" w:hAnsi="Arial" w:cs="Arial"/>
          <w:color w:val="7B7B7B" w:themeColor="accent3" w:themeShade="BF"/>
          <w:sz w:val="22"/>
          <w:szCs w:val="22"/>
          <w:lang w:val="en-GB"/>
        </w:rPr>
        <w:t>proceeding in State B or concerns information required in the proceeding (Article 21(3) MLCBI); and</w:t>
      </w:r>
    </w:p>
    <w:p w14:paraId="756AAF0E" w14:textId="3509DE67" w:rsidR="007B5059" w:rsidRPr="005E1923" w:rsidRDefault="005E1923" w:rsidP="005E1923">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in State A </w:t>
      </w:r>
      <w:r w:rsidRPr="005E1923">
        <w:rPr>
          <w:rFonts w:ascii="Arial" w:hAnsi="Arial" w:cs="Arial"/>
          <w:color w:val="7B7B7B" w:themeColor="accent3" w:themeShade="BF"/>
          <w:sz w:val="22"/>
          <w:szCs w:val="22"/>
          <w:lang w:val="en-GB"/>
        </w:rPr>
        <w:t>must be satisfied that the interests of the creditors and other interested persons, including the Debtor, are adequately protected (Article 22(1) MLCBI)</w:t>
      </w:r>
      <w:r>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2AC6AC6F" w:rsidR="00980314" w:rsidRPr="009B5832" w:rsidRDefault="00733573"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A worldwide freezing order granted as a pre-recognition interim relief under Article 19 MLCBI will terminate </w:t>
      </w:r>
      <w:r w:rsidRPr="00733573">
        <w:rPr>
          <w:rFonts w:ascii="Arial" w:hAnsi="Arial" w:cs="Arial"/>
          <w:color w:val="7B7B7B" w:themeColor="accent3" w:themeShade="BF"/>
          <w:sz w:val="22"/>
          <w:szCs w:val="22"/>
          <w:lang w:val="en-GB"/>
        </w:rPr>
        <w:t>once the recognition application has been decided upon</w:t>
      </w:r>
      <w:r>
        <w:rPr>
          <w:rFonts w:ascii="Arial" w:hAnsi="Arial" w:cs="Arial"/>
          <w:color w:val="7B7B7B" w:themeColor="accent3" w:themeShade="BF"/>
          <w:sz w:val="22"/>
          <w:szCs w:val="22"/>
          <w:lang w:val="en-GB"/>
        </w:rPr>
        <w:t xml:space="preserve">, </w:t>
      </w:r>
      <w:r w:rsidRPr="00733573">
        <w:rPr>
          <w:rFonts w:ascii="Arial" w:hAnsi="Arial" w:cs="Arial"/>
          <w:color w:val="7B7B7B" w:themeColor="accent3" w:themeShade="BF"/>
          <w:sz w:val="22"/>
          <w:szCs w:val="22"/>
          <w:lang w:val="en-GB"/>
        </w:rPr>
        <w:t>unless extended under Article 21(1)(f) MLCBI</w:t>
      </w:r>
      <w:r>
        <w:rPr>
          <w:rFonts w:ascii="Arial" w:hAnsi="Arial" w:cs="Arial"/>
          <w:color w:val="7B7B7B" w:themeColor="accent3" w:themeShade="BF"/>
          <w:sz w:val="22"/>
          <w:szCs w:val="22"/>
          <w:lang w:val="en-GB"/>
        </w:rPr>
        <w:t xml:space="preserve"> (Article 19(3) MLCBI). Further</w:t>
      </w:r>
      <w:r w:rsidRPr="00733573">
        <w:rPr>
          <w:rFonts w:ascii="Arial" w:hAnsi="Arial" w:cs="Arial"/>
          <w:color w:val="7B7B7B" w:themeColor="accent3" w:themeShade="BF"/>
          <w:sz w:val="22"/>
          <w:szCs w:val="22"/>
          <w:lang w:val="en-GB"/>
        </w:rPr>
        <w:t xml:space="preserve">, the reliefs granted under Article 19 MLCBI </w:t>
      </w:r>
      <w:r>
        <w:rPr>
          <w:rFonts w:ascii="Arial" w:hAnsi="Arial" w:cs="Arial"/>
          <w:color w:val="7B7B7B" w:themeColor="accent3" w:themeShade="BF"/>
          <w:sz w:val="22"/>
          <w:szCs w:val="22"/>
          <w:lang w:val="en-GB"/>
        </w:rPr>
        <w:t xml:space="preserve">is unlikely to continue post-recognition under Article 21 MLCBI due to the fact that if the foreign proceeding is recognised as a foreign main proceeding, the automatic stay under Article 20 MLCBI will apply rendering a freezing order under Article 21 MLCBI unnecessary. </w:t>
      </w:r>
    </w:p>
    <w:p w14:paraId="5962A9BC" w14:textId="51ABF411" w:rsidR="00980314" w:rsidRDefault="00980314" w:rsidP="000077DD">
      <w:pPr>
        <w:jc w:val="both"/>
        <w:rPr>
          <w:rFonts w:ascii="Arial" w:hAnsi="Arial" w:cs="Arial"/>
          <w:sz w:val="22"/>
          <w:szCs w:val="22"/>
          <w:lang w:val="en-GB"/>
        </w:rPr>
      </w:pPr>
    </w:p>
    <w:p w14:paraId="4CBEFEED" w14:textId="159E7796" w:rsidR="003B22B8" w:rsidRDefault="003B22B8" w:rsidP="000077DD">
      <w:pPr>
        <w:jc w:val="both"/>
        <w:rPr>
          <w:rFonts w:ascii="Arial" w:hAnsi="Arial" w:cs="Arial"/>
          <w:sz w:val="22"/>
          <w:szCs w:val="22"/>
          <w:lang w:val="en-GB"/>
        </w:rPr>
      </w:pPr>
    </w:p>
    <w:p w14:paraId="7B5E85AA" w14:textId="77777777" w:rsidR="003B22B8" w:rsidRPr="009B5832" w:rsidRDefault="003B22B8"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lastRenderedPageBreak/>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3CA57103" w14:textId="6F084563" w:rsidR="00860E61"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5E1923">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5E1923">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5E1923">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lastRenderedPageBreak/>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5E1923">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5E1923">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5E1923">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5E1923">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5E1923">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5E1923">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5E1923">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5E1923">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211007CF" w14:textId="7F0859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4472A6A0" w:rsidR="0040710D" w:rsidRPr="009B5832" w:rsidRDefault="0040710D" w:rsidP="00336359">
      <w:pPr>
        <w:jc w:val="both"/>
        <w:rPr>
          <w:rFonts w:ascii="Arial" w:hAnsi="Arial" w:cs="Arial"/>
          <w:color w:val="000000"/>
          <w:sz w:val="22"/>
          <w:szCs w:val="22"/>
          <w:lang w:val="en-GB" w:eastAsia="en-GB"/>
        </w:rPr>
      </w:pPr>
    </w:p>
    <w:p w14:paraId="2644FB5E" w14:textId="2816677E" w:rsidR="008A7470" w:rsidRPr="009B5832" w:rsidRDefault="008A7470" w:rsidP="005E1923">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5E1923">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5E1923">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5E1923">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5E1923">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lastRenderedPageBreak/>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D1DAD94" w14:textId="77777777" w:rsidR="007C4D89" w:rsidRDefault="007C4D89" w:rsidP="008A7470">
      <w:pPr>
        <w:jc w:val="both"/>
        <w:rPr>
          <w:rFonts w:ascii="Arial" w:hAnsi="Arial" w:cs="Arial"/>
          <w:b/>
          <w:bCs/>
          <w:sz w:val="22"/>
          <w:szCs w:val="22"/>
          <w:lang w:val="en-GB"/>
        </w:rPr>
      </w:pPr>
    </w:p>
    <w:p w14:paraId="5199ECB1" w14:textId="35CB8E45"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lastRenderedPageBreak/>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6A8F3E90" w:rsidR="00387106" w:rsidRDefault="007C4D89" w:rsidP="007C4D8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4.1.1 </w:t>
      </w:r>
      <w:r>
        <w:rPr>
          <w:rFonts w:ascii="Arial" w:hAnsi="Arial" w:cs="Arial"/>
          <w:color w:val="7B7B7B" w:themeColor="accent3" w:themeShade="BF"/>
          <w:sz w:val="22"/>
          <w:szCs w:val="22"/>
          <w:lang w:val="en-GB"/>
        </w:rPr>
        <w:tab/>
        <w:t>whether the Bank’s liquidation comprises a “foreign proceeding” within the meaning of Article 2(a) of the MLCBI.</w:t>
      </w:r>
    </w:p>
    <w:p w14:paraId="145FFF52" w14:textId="010B415E" w:rsidR="007C4D89" w:rsidRDefault="007C4D89" w:rsidP="007C4D89">
      <w:pPr>
        <w:ind w:left="720" w:hanging="720"/>
        <w:jc w:val="both"/>
        <w:rPr>
          <w:rFonts w:ascii="Arial" w:hAnsi="Arial" w:cs="Arial"/>
          <w:color w:val="7B7B7B" w:themeColor="accent3" w:themeShade="BF"/>
          <w:sz w:val="22"/>
          <w:szCs w:val="22"/>
          <w:lang w:val="en-GB"/>
        </w:rPr>
      </w:pPr>
    </w:p>
    <w:p w14:paraId="27D76594" w14:textId="7F15A0B4" w:rsidR="007C4D89" w:rsidRDefault="007C4D89" w:rsidP="007C4D8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We will first determine whether the Bank’s liquidation comprises a “foreign proceeding” within the meaning of Article 2(a) of the MLCBI.</w:t>
      </w:r>
    </w:p>
    <w:p w14:paraId="7BC31C36" w14:textId="0A3FD168" w:rsidR="007C4D89" w:rsidRDefault="007C4D89" w:rsidP="007C4D89">
      <w:pPr>
        <w:ind w:left="720" w:hanging="720"/>
        <w:jc w:val="both"/>
        <w:rPr>
          <w:rFonts w:ascii="Arial" w:hAnsi="Arial" w:cs="Arial"/>
          <w:color w:val="7B7B7B" w:themeColor="accent3" w:themeShade="BF"/>
          <w:sz w:val="22"/>
          <w:szCs w:val="22"/>
          <w:lang w:val="en-GB"/>
        </w:rPr>
      </w:pPr>
    </w:p>
    <w:p w14:paraId="4D51495D" w14:textId="6C3713EF" w:rsidR="007C4D89" w:rsidRDefault="007C4D89" w:rsidP="007C4D8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Article 2(a) of the MLCBI defines “foreign proceeding”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r w:rsidR="00372818">
        <w:rPr>
          <w:rFonts w:ascii="Arial" w:hAnsi="Arial" w:cs="Arial"/>
          <w:color w:val="7B7B7B" w:themeColor="accent3" w:themeShade="BF"/>
          <w:sz w:val="22"/>
          <w:szCs w:val="22"/>
          <w:lang w:val="en-GB"/>
        </w:rPr>
        <w:t xml:space="preserve"> </w:t>
      </w:r>
    </w:p>
    <w:p w14:paraId="7AD5DDB7" w14:textId="49974C16" w:rsidR="00372818" w:rsidRDefault="00372818" w:rsidP="007C4D89">
      <w:pPr>
        <w:ind w:left="720" w:hanging="720"/>
        <w:jc w:val="both"/>
        <w:rPr>
          <w:rFonts w:ascii="Arial" w:hAnsi="Arial" w:cs="Arial"/>
          <w:color w:val="7B7B7B" w:themeColor="accent3" w:themeShade="BF"/>
          <w:sz w:val="22"/>
          <w:szCs w:val="22"/>
          <w:lang w:val="en-GB"/>
        </w:rPr>
      </w:pPr>
    </w:p>
    <w:p w14:paraId="4C4EBF0F" w14:textId="7FA4CDD1" w:rsidR="00372818" w:rsidRDefault="00372818" w:rsidP="007C4D8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Paragraph 63 of the GEI stipulates that by specifying the required characteristics of a “foreign proceeding”, the MLCBI limits the scope of its application. For a proceeding to be subject to recognition under the MLCBI, the foreign proceeding must have the attributes specified in Article 2(a) MLCBI. Paragraph 64 of the GEI goes on to state that proceedings that do not have the attributes stipulated in Article 2(a) would not be eligible for recognition under MLCBI.</w:t>
      </w:r>
    </w:p>
    <w:p w14:paraId="7078C522" w14:textId="2A9496D4" w:rsidR="00372818" w:rsidRDefault="00372818" w:rsidP="007C4D89">
      <w:pPr>
        <w:ind w:left="720" w:hanging="720"/>
        <w:jc w:val="both"/>
        <w:rPr>
          <w:rFonts w:ascii="Arial" w:hAnsi="Arial" w:cs="Arial"/>
          <w:color w:val="7B7B7B" w:themeColor="accent3" w:themeShade="BF"/>
          <w:sz w:val="22"/>
          <w:szCs w:val="22"/>
          <w:lang w:val="en-GB"/>
        </w:rPr>
      </w:pPr>
    </w:p>
    <w:p w14:paraId="216B1CA2" w14:textId="1FBD6888" w:rsidR="00372818" w:rsidRDefault="00372818" w:rsidP="007C4D8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Pursuant to Article 2(a), the </w:t>
      </w:r>
      <w:r w:rsidR="0053104E">
        <w:rPr>
          <w:rFonts w:ascii="Arial" w:hAnsi="Arial" w:cs="Arial"/>
          <w:color w:val="7B7B7B" w:themeColor="accent3" w:themeShade="BF"/>
          <w:sz w:val="22"/>
          <w:szCs w:val="22"/>
          <w:lang w:val="en-GB"/>
        </w:rPr>
        <w:t xml:space="preserve">following </w:t>
      </w:r>
      <w:r>
        <w:rPr>
          <w:rFonts w:ascii="Arial" w:hAnsi="Arial" w:cs="Arial"/>
          <w:color w:val="7B7B7B" w:themeColor="accent3" w:themeShade="BF"/>
          <w:sz w:val="22"/>
          <w:szCs w:val="22"/>
          <w:lang w:val="en-GB"/>
        </w:rPr>
        <w:t xml:space="preserve">attributes </w:t>
      </w:r>
      <w:r w:rsidR="0053104E">
        <w:rPr>
          <w:rFonts w:ascii="Arial" w:hAnsi="Arial" w:cs="Arial"/>
          <w:color w:val="7B7B7B" w:themeColor="accent3" w:themeShade="BF"/>
          <w:sz w:val="22"/>
          <w:szCs w:val="22"/>
          <w:lang w:val="en-GB"/>
        </w:rPr>
        <w:t xml:space="preserve">must be satisfied in order for a foreign proceeding to </w:t>
      </w:r>
      <w:r>
        <w:rPr>
          <w:rFonts w:ascii="Arial" w:hAnsi="Arial" w:cs="Arial"/>
          <w:color w:val="7B7B7B" w:themeColor="accent3" w:themeShade="BF"/>
          <w:sz w:val="22"/>
          <w:szCs w:val="22"/>
          <w:lang w:val="en-GB"/>
        </w:rPr>
        <w:t xml:space="preserve">fall within the scope of </w:t>
      </w:r>
      <w:r w:rsidR="0053104E">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MLCBI</w:t>
      </w:r>
      <w:r>
        <w:rPr>
          <w:rStyle w:val="FootnoteReference"/>
          <w:rFonts w:ascii="Arial" w:hAnsi="Arial" w:cs="Arial"/>
          <w:color w:val="7B7B7B" w:themeColor="accent3" w:themeShade="BF"/>
          <w:sz w:val="22"/>
          <w:szCs w:val="22"/>
          <w:lang w:val="en-GB"/>
        </w:rPr>
        <w:footnoteReference w:id="20"/>
      </w:r>
      <w:r>
        <w:rPr>
          <w:rFonts w:ascii="Arial" w:hAnsi="Arial" w:cs="Arial"/>
          <w:color w:val="7B7B7B" w:themeColor="accent3" w:themeShade="BF"/>
          <w:sz w:val="22"/>
          <w:szCs w:val="22"/>
          <w:lang w:val="en-GB"/>
        </w:rPr>
        <w:t xml:space="preserve"> -</w:t>
      </w:r>
    </w:p>
    <w:p w14:paraId="1E74DD27" w14:textId="77777777" w:rsidR="00372818" w:rsidRDefault="00372818" w:rsidP="007C4D89">
      <w:pPr>
        <w:ind w:left="720" w:hanging="720"/>
        <w:jc w:val="both"/>
        <w:rPr>
          <w:rFonts w:ascii="Arial" w:hAnsi="Arial" w:cs="Arial"/>
          <w:color w:val="7B7B7B" w:themeColor="accent3" w:themeShade="BF"/>
          <w:sz w:val="22"/>
          <w:szCs w:val="22"/>
          <w:lang w:val="en-GB"/>
        </w:rPr>
      </w:pPr>
    </w:p>
    <w:p w14:paraId="2071BC7A" w14:textId="4EB6BEE2" w:rsidR="0053104E" w:rsidRDefault="0053104E" w:rsidP="00372818">
      <w:pPr>
        <w:pStyle w:val="ListParagraph"/>
        <w:numPr>
          <w:ilvl w:val="0"/>
          <w:numId w:val="27"/>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collective proceeding</w:t>
      </w:r>
    </w:p>
    <w:p w14:paraId="53C5C0B6" w14:textId="04C9F8B1" w:rsidR="0053104E" w:rsidRDefault="0053104E" w:rsidP="0053104E">
      <w:pPr>
        <w:pStyle w:val="ListParagraph"/>
        <w:ind w:left="1440"/>
        <w:jc w:val="both"/>
        <w:rPr>
          <w:rFonts w:ascii="Arial" w:hAnsi="Arial" w:cs="Arial"/>
          <w:color w:val="7B7B7B" w:themeColor="accent3" w:themeShade="BF"/>
          <w:sz w:val="22"/>
          <w:szCs w:val="22"/>
          <w:lang w:val="en-GB"/>
        </w:rPr>
      </w:pPr>
    </w:p>
    <w:p w14:paraId="344CEA9C" w14:textId="77777777" w:rsidR="00FF6D70" w:rsidRDefault="0053104E" w:rsidP="0053104E">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Bank’s liquidation must be a collective </w:t>
      </w:r>
      <w:r w:rsidR="00FF6D70">
        <w:rPr>
          <w:rFonts w:ascii="Arial" w:hAnsi="Arial" w:cs="Arial"/>
          <w:color w:val="7B7B7B" w:themeColor="accent3" w:themeShade="BF"/>
          <w:sz w:val="22"/>
          <w:szCs w:val="22"/>
          <w:lang w:val="en-GB"/>
        </w:rPr>
        <w:t>proceeding</w:t>
      </w:r>
      <w:r>
        <w:rPr>
          <w:rFonts w:ascii="Arial" w:hAnsi="Arial" w:cs="Arial"/>
          <w:color w:val="7B7B7B" w:themeColor="accent3" w:themeShade="BF"/>
          <w:sz w:val="22"/>
          <w:szCs w:val="22"/>
          <w:lang w:val="en-GB"/>
        </w:rPr>
        <w:t xml:space="preserve">. </w:t>
      </w:r>
      <w:r w:rsidR="00FF6D70">
        <w:rPr>
          <w:rFonts w:ascii="Arial" w:hAnsi="Arial" w:cs="Arial"/>
          <w:color w:val="7B7B7B" w:themeColor="accent3" w:themeShade="BF"/>
          <w:sz w:val="22"/>
          <w:szCs w:val="22"/>
          <w:lang w:val="en-GB"/>
        </w:rPr>
        <w:t xml:space="preserve">The GEI in paragraph 69 states that for a proceeding to qualify for relief under the MLCBI, it must be a collective proceeding because the MLCBI is intended to provide a tool for achieving a coordinated, global solution for all stakeholders of an insolvency proceeding. It is not intended that the MLCBI be used merely as a collection device for a particular creditor or group of creditors who might have initiated a collection proceeding in another State. </w:t>
      </w:r>
    </w:p>
    <w:p w14:paraId="10A0DD91" w14:textId="77777777" w:rsidR="00FF6D70" w:rsidRDefault="00FF6D70" w:rsidP="0053104E">
      <w:pPr>
        <w:pStyle w:val="ListParagraph"/>
        <w:ind w:left="1440"/>
        <w:jc w:val="both"/>
        <w:rPr>
          <w:rFonts w:ascii="Arial" w:hAnsi="Arial" w:cs="Arial"/>
          <w:color w:val="7B7B7B" w:themeColor="accent3" w:themeShade="BF"/>
          <w:sz w:val="22"/>
          <w:szCs w:val="22"/>
          <w:lang w:val="en-GB"/>
        </w:rPr>
      </w:pPr>
    </w:p>
    <w:p w14:paraId="5356524D" w14:textId="7D32602F" w:rsidR="0053104E" w:rsidRDefault="0053104E" w:rsidP="0053104E">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Paragraph 70 of the GEI states that in evaluating whether a given proceeding is collective for the purpose of t</w:t>
      </w:r>
      <w:r w:rsidR="003931A6">
        <w:rPr>
          <w:rFonts w:ascii="Arial" w:hAnsi="Arial" w:cs="Arial"/>
          <w:color w:val="7B7B7B" w:themeColor="accent3" w:themeShade="BF"/>
          <w:sz w:val="22"/>
          <w:szCs w:val="22"/>
          <w:lang w:val="en-GB"/>
        </w:rPr>
        <w:t>he MLCBI, a key consideration is</w:t>
      </w:r>
      <w:r>
        <w:rPr>
          <w:rFonts w:ascii="Arial" w:hAnsi="Arial" w:cs="Arial"/>
          <w:color w:val="7B7B7B" w:themeColor="accent3" w:themeShade="BF"/>
          <w:sz w:val="22"/>
          <w:szCs w:val="22"/>
          <w:lang w:val="en-GB"/>
        </w:rPr>
        <w:t xml:space="preserve"> whether substantially all of the assets and liabilities of the debtor are dealt with in the proceeding, subject to local priorities and statutory exceptions, and to local exclusions relating to the rights of secured creditors.</w:t>
      </w:r>
    </w:p>
    <w:p w14:paraId="0B30AF3F" w14:textId="6FC8BE12" w:rsidR="003931A6" w:rsidRDefault="003931A6" w:rsidP="0053104E">
      <w:pPr>
        <w:pStyle w:val="ListParagraph"/>
        <w:ind w:left="1440"/>
        <w:jc w:val="both"/>
        <w:rPr>
          <w:rFonts w:ascii="Arial" w:hAnsi="Arial" w:cs="Arial"/>
          <w:color w:val="7B7B7B" w:themeColor="accent3" w:themeShade="BF"/>
          <w:sz w:val="22"/>
          <w:szCs w:val="22"/>
          <w:lang w:val="en-GB"/>
        </w:rPr>
      </w:pPr>
    </w:p>
    <w:p w14:paraId="548FA151" w14:textId="0089F103" w:rsidR="0053104E" w:rsidRDefault="00FF6D70" w:rsidP="00680B7F">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of the case state that w</w:t>
      </w:r>
      <w:r w:rsidRPr="00FF6D70">
        <w:rPr>
          <w:rFonts w:ascii="Arial" w:hAnsi="Arial" w:cs="Arial"/>
          <w:color w:val="7B7B7B" w:themeColor="accent3" w:themeShade="BF"/>
          <w:sz w:val="22"/>
          <w:szCs w:val="22"/>
          <w:lang w:val="en-GB"/>
        </w:rPr>
        <w:t xml:space="preserve">hen the </w:t>
      </w:r>
      <w:r>
        <w:rPr>
          <w:rFonts w:ascii="Arial" w:hAnsi="Arial" w:cs="Arial"/>
          <w:color w:val="7B7B7B" w:themeColor="accent3" w:themeShade="BF"/>
          <w:sz w:val="22"/>
          <w:szCs w:val="22"/>
          <w:lang w:val="en-GB"/>
        </w:rPr>
        <w:t>B</w:t>
      </w:r>
      <w:r w:rsidRPr="00FF6D70">
        <w:rPr>
          <w:rFonts w:ascii="Arial" w:hAnsi="Arial" w:cs="Arial"/>
          <w:color w:val="7B7B7B" w:themeColor="accent3" w:themeShade="BF"/>
          <w:sz w:val="22"/>
          <w:szCs w:val="22"/>
          <w:lang w:val="en-GB"/>
        </w:rPr>
        <w:t>ank enters liquidation</w:t>
      </w:r>
      <w:r>
        <w:rPr>
          <w:rFonts w:ascii="Arial" w:hAnsi="Arial" w:cs="Arial"/>
          <w:color w:val="7B7B7B" w:themeColor="accent3" w:themeShade="BF"/>
          <w:sz w:val="22"/>
          <w:szCs w:val="22"/>
          <w:lang w:val="en-GB"/>
        </w:rPr>
        <w:t xml:space="preserve"> in Country A</w:t>
      </w:r>
      <w:r w:rsidRPr="00FF6D70">
        <w:rPr>
          <w:rFonts w:ascii="Arial" w:hAnsi="Arial" w:cs="Arial"/>
          <w:color w:val="7B7B7B" w:themeColor="accent3" w:themeShade="BF"/>
          <w:sz w:val="22"/>
          <w:szCs w:val="22"/>
          <w:lang w:val="en-GB"/>
        </w:rPr>
        <w:t>, all banking activities are terminated</w:t>
      </w:r>
      <w:r>
        <w:rPr>
          <w:rFonts w:ascii="Arial" w:hAnsi="Arial" w:cs="Arial"/>
          <w:color w:val="7B7B7B" w:themeColor="accent3" w:themeShade="BF"/>
          <w:sz w:val="22"/>
          <w:szCs w:val="22"/>
          <w:lang w:val="en-GB"/>
        </w:rPr>
        <w:t>,</w:t>
      </w:r>
      <w:r w:rsidRPr="00FF6D70">
        <w:rPr>
          <w:rFonts w:ascii="Arial" w:hAnsi="Arial" w:cs="Arial"/>
          <w:color w:val="7B7B7B" w:themeColor="accent3" w:themeShade="BF"/>
          <w:sz w:val="22"/>
          <w:szCs w:val="22"/>
          <w:lang w:val="en-GB"/>
        </w:rPr>
        <w:t xml:space="preserve"> all money liabilities due to the </w:t>
      </w:r>
      <w:r>
        <w:rPr>
          <w:rFonts w:ascii="Arial" w:hAnsi="Arial" w:cs="Arial"/>
          <w:color w:val="7B7B7B" w:themeColor="accent3" w:themeShade="BF"/>
          <w:sz w:val="22"/>
          <w:szCs w:val="22"/>
          <w:lang w:val="en-GB"/>
        </w:rPr>
        <w:t>B</w:t>
      </w:r>
      <w:r w:rsidRPr="00FF6D70">
        <w:rPr>
          <w:rFonts w:ascii="Arial" w:hAnsi="Arial" w:cs="Arial"/>
          <w:color w:val="7B7B7B" w:themeColor="accent3" w:themeShade="BF"/>
          <w:sz w:val="22"/>
          <w:szCs w:val="22"/>
          <w:lang w:val="en-GB"/>
        </w:rPr>
        <w:t>ank are deemed to become due</w:t>
      </w:r>
      <w:r>
        <w:rPr>
          <w:rFonts w:ascii="Arial" w:hAnsi="Arial" w:cs="Arial"/>
          <w:color w:val="7B7B7B" w:themeColor="accent3" w:themeShade="BF"/>
          <w:sz w:val="22"/>
          <w:szCs w:val="22"/>
          <w:lang w:val="en-GB"/>
        </w:rPr>
        <w:t>,</w:t>
      </w:r>
      <w:r w:rsidRPr="00FF6D70">
        <w:rPr>
          <w:rFonts w:ascii="Arial" w:hAnsi="Arial" w:cs="Arial"/>
          <w:color w:val="7B7B7B" w:themeColor="accent3" w:themeShade="BF"/>
          <w:sz w:val="22"/>
          <w:szCs w:val="22"/>
          <w:lang w:val="en-GB"/>
        </w:rPr>
        <w:t xml:space="preserve"> the DGF alienates the </w:t>
      </w:r>
      <w:r>
        <w:rPr>
          <w:rFonts w:ascii="Arial" w:hAnsi="Arial" w:cs="Arial"/>
          <w:color w:val="7B7B7B" w:themeColor="accent3" w:themeShade="BF"/>
          <w:sz w:val="22"/>
          <w:szCs w:val="22"/>
          <w:lang w:val="en-GB"/>
        </w:rPr>
        <w:t>B</w:t>
      </w:r>
      <w:r w:rsidRPr="00FF6D70">
        <w:rPr>
          <w:rFonts w:ascii="Arial" w:hAnsi="Arial" w:cs="Arial"/>
          <w:color w:val="7B7B7B" w:themeColor="accent3" w:themeShade="BF"/>
          <w:sz w:val="22"/>
          <w:szCs w:val="22"/>
          <w:lang w:val="en-GB"/>
        </w:rPr>
        <w:t>ank’</w:t>
      </w:r>
      <w:r>
        <w:rPr>
          <w:rFonts w:ascii="Arial" w:hAnsi="Arial" w:cs="Arial"/>
          <w:color w:val="7B7B7B" w:themeColor="accent3" w:themeShade="BF"/>
          <w:sz w:val="22"/>
          <w:szCs w:val="22"/>
          <w:lang w:val="en-GB"/>
        </w:rPr>
        <w:t>s property and funds and p</w:t>
      </w:r>
      <w:r w:rsidRPr="00FF6D70">
        <w:rPr>
          <w:rFonts w:ascii="Arial" w:hAnsi="Arial" w:cs="Arial"/>
          <w:color w:val="7B7B7B" w:themeColor="accent3" w:themeShade="BF"/>
          <w:sz w:val="22"/>
          <w:szCs w:val="22"/>
          <w:lang w:val="en-GB"/>
        </w:rPr>
        <w:t xml:space="preserve">ublic encumbrances and restrictions on disposal of </w:t>
      </w:r>
      <w:r>
        <w:rPr>
          <w:rFonts w:ascii="Arial" w:hAnsi="Arial" w:cs="Arial"/>
          <w:color w:val="7B7B7B" w:themeColor="accent3" w:themeShade="BF"/>
          <w:sz w:val="22"/>
          <w:szCs w:val="22"/>
          <w:lang w:val="en-GB"/>
        </w:rPr>
        <w:t>the Bank’s</w:t>
      </w:r>
      <w:r w:rsidRPr="00FF6D70">
        <w:rPr>
          <w:rFonts w:ascii="Arial" w:hAnsi="Arial" w:cs="Arial"/>
          <w:color w:val="7B7B7B" w:themeColor="accent3" w:themeShade="BF"/>
          <w:sz w:val="22"/>
          <w:szCs w:val="22"/>
          <w:lang w:val="en-GB"/>
        </w:rPr>
        <w:t xml:space="preserve"> property are terminated and offsetting of counter-claims is prohibited.</w:t>
      </w:r>
      <w:r>
        <w:rPr>
          <w:rFonts w:ascii="Arial" w:hAnsi="Arial" w:cs="Arial"/>
          <w:color w:val="7B7B7B" w:themeColor="accent3" w:themeShade="BF"/>
          <w:sz w:val="22"/>
          <w:szCs w:val="22"/>
          <w:lang w:val="en-GB"/>
        </w:rPr>
        <w:t xml:space="preserve"> Further, a</w:t>
      </w:r>
      <w:r w:rsidRPr="00FF6D70">
        <w:rPr>
          <w:rFonts w:ascii="Arial" w:hAnsi="Arial" w:cs="Arial"/>
          <w:color w:val="7B7B7B" w:themeColor="accent3" w:themeShade="BF"/>
          <w:sz w:val="22"/>
          <w:szCs w:val="22"/>
          <w:lang w:val="en-GB"/>
        </w:rPr>
        <w:t xml:space="preserve">s liquidator, the DGF has extensive powers, including </w:t>
      </w:r>
      <w:r>
        <w:rPr>
          <w:rFonts w:ascii="Arial" w:hAnsi="Arial" w:cs="Arial"/>
          <w:color w:val="7B7B7B" w:themeColor="accent3" w:themeShade="BF"/>
          <w:sz w:val="22"/>
          <w:szCs w:val="22"/>
          <w:lang w:val="en-GB"/>
        </w:rPr>
        <w:t>the</w:t>
      </w:r>
      <w:r w:rsidRPr="00FF6D70">
        <w:rPr>
          <w:rFonts w:ascii="Arial" w:hAnsi="Arial" w:cs="Arial"/>
          <w:color w:val="7B7B7B" w:themeColor="accent3" w:themeShade="BF"/>
          <w:sz w:val="22"/>
          <w:szCs w:val="22"/>
          <w:lang w:val="en-GB"/>
        </w:rPr>
        <w:t xml:space="preserve"> power to exercise management powers and take over management of the property (including the money) of the </w:t>
      </w:r>
      <w:r>
        <w:rPr>
          <w:rFonts w:ascii="Arial" w:hAnsi="Arial" w:cs="Arial"/>
          <w:color w:val="7B7B7B" w:themeColor="accent3" w:themeShade="BF"/>
          <w:sz w:val="22"/>
          <w:szCs w:val="22"/>
          <w:lang w:val="en-GB"/>
        </w:rPr>
        <w:t xml:space="preserve">Bank, </w:t>
      </w:r>
      <w:r w:rsidRPr="00FF6D70">
        <w:rPr>
          <w:rFonts w:ascii="Arial" w:hAnsi="Arial" w:cs="Arial"/>
          <w:color w:val="7B7B7B" w:themeColor="accent3" w:themeShade="BF"/>
          <w:sz w:val="22"/>
          <w:szCs w:val="22"/>
          <w:lang w:val="en-GB"/>
        </w:rPr>
        <w:t xml:space="preserve">the power to compile a register of creditor claims and </w:t>
      </w:r>
      <w:r w:rsidR="00680B7F">
        <w:rPr>
          <w:rFonts w:ascii="Arial" w:hAnsi="Arial" w:cs="Arial"/>
          <w:color w:val="7B7B7B" w:themeColor="accent3" w:themeShade="BF"/>
          <w:sz w:val="22"/>
          <w:szCs w:val="22"/>
          <w:lang w:val="en-GB"/>
        </w:rPr>
        <w:t xml:space="preserve">to seek to satisfy those claims, the </w:t>
      </w:r>
      <w:r w:rsidRPr="00680B7F">
        <w:rPr>
          <w:rFonts w:ascii="Arial" w:hAnsi="Arial" w:cs="Arial"/>
          <w:color w:val="7B7B7B" w:themeColor="accent3" w:themeShade="BF"/>
          <w:sz w:val="22"/>
          <w:szCs w:val="22"/>
          <w:lang w:val="en-GB"/>
        </w:rPr>
        <w:t>power to d</w:t>
      </w:r>
      <w:r w:rsidR="00680B7F">
        <w:rPr>
          <w:rFonts w:ascii="Arial" w:hAnsi="Arial" w:cs="Arial"/>
          <w:color w:val="7B7B7B" w:themeColor="accent3" w:themeShade="BF"/>
          <w:sz w:val="22"/>
          <w:szCs w:val="22"/>
          <w:lang w:val="en-GB"/>
        </w:rPr>
        <w:t>ispose of the bank’s assets and distr</w:t>
      </w:r>
      <w:r w:rsidR="001E75CA">
        <w:rPr>
          <w:rFonts w:ascii="Arial" w:hAnsi="Arial" w:cs="Arial"/>
          <w:color w:val="7B7B7B" w:themeColor="accent3" w:themeShade="BF"/>
          <w:sz w:val="22"/>
          <w:szCs w:val="22"/>
          <w:lang w:val="en-GB"/>
        </w:rPr>
        <w:t xml:space="preserve">ibute its properties and </w:t>
      </w:r>
      <w:r w:rsidR="001E75CA" w:rsidRPr="001E75CA">
        <w:rPr>
          <w:rFonts w:ascii="Arial" w:hAnsi="Arial" w:cs="Arial"/>
          <w:color w:val="7B7B7B" w:themeColor="accent3" w:themeShade="BF"/>
          <w:sz w:val="22"/>
          <w:szCs w:val="22"/>
          <w:lang w:val="en-GB"/>
        </w:rPr>
        <w:t xml:space="preserve">the power to exercise such other powers as are necessary to complete the liquidation of </w:t>
      </w:r>
      <w:r w:rsidR="001E75CA">
        <w:rPr>
          <w:rFonts w:ascii="Arial" w:hAnsi="Arial" w:cs="Arial"/>
          <w:color w:val="7B7B7B" w:themeColor="accent3" w:themeShade="BF"/>
          <w:sz w:val="22"/>
          <w:szCs w:val="22"/>
          <w:lang w:val="en-GB"/>
        </w:rPr>
        <w:t>the B</w:t>
      </w:r>
      <w:r w:rsidR="001E75CA" w:rsidRPr="001E75CA">
        <w:rPr>
          <w:rFonts w:ascii="Arial" w:hAnsi="Arial" w:cs="Arial"/>
          <w:color w:val="7B7B7B" w:themeColor="accent3" w:themeShade="BF"/>
          <w:sz w:val="22"/>
          <w:szCs w:val="22"/>
          <w:lang w:val="en-GB"/>
        </w:rPr>
        <w:t>ank</w:t>
      </w:r>
      <w:r w:rsidR="001E75CA">
        <w:rPr>
          <w:rFonts w:ascii="Arial" w:hAnsi="Arial" w:cs="Arial"/>
          <w:color w:val="7B7B7B" w:themeColor="accent3" w:themeShade="BF"/>
          <w:sz w:val="22"/>
          <w:szCs w:val="22"/>
          <w:lang w:val="en-GB"/>
        </w:rPr>
        <w:t>.</w:t>
      </w:r>
    </w:p>
    <w:p w14:paraId="596ABED3" w14:textId="31E86065" w:rsidR="00680B7F" w:rsidRDefault="00680B7F" w:rsidP="00680B7F">
      <w:pPr>
        <w:pStyle w:val="ListParagraph"/>
        <w:ind w:left="1440"/>
        <w:jc w:val="both"/>
        <w:rPr>
          <w:rFonts w:ascii="Arial" w:hAnsi="Arial" w:cs="Arial"/>
          <w:color w:val="7B7B7B" w:themeColor="accent3" w:themeShade="BF"/>
          <w:sz w:val="22"/>
          <w:szCs w:val="22"/>
          <w:lang w:val="en-GB"/>
        </w:rPr>
      </w:pPr>
    </w:p>
    <w:p w14:paraId="3AC6CF45" w14:textId="285F9A4D" w:rsidR="00680B7F" w:rsidRPr="00680B7F" w:rsidRDefault="00680B7F" w:rsidP="00680B7F">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above facts, the liquidation of the Bank in Country A would be deemed a collective proceeding for purposes of the MLCBI. It must be noted that in a recent case with similar facts, </w:t>
      </w:r>
      <w:r w:rsidRPr="00680B7F">
        <w:rPr>
          <w:rFonts w:ascii="Arial" w:hAnsi="Arial" w:cs="Arial"/>
          <w:i/>
          <w:color w:val="7B7B7B" w:themeColor="accent3" w:themeShade="BF"/>
          <w:sz w:val="22"/>
          <w:szCs w:val="22"/>
          <w:lang w:val="en-GB"/>
        </w:rPr>
        <w:t>PJSC Bank Finance and Credit, Re (Cross-Border Insolvency Regulations 2006)</w:t>
      </w:r>
      <w:r w:rsidRPr="003B22B8">
        <w:rPr>
          <w:rStyle w:val="FootnoteReference"/>
          <w:rFonts w:ascii="Arial" w:hAnsi="Arial" w:cs="Arial"/>
          <w:color w:val="7B7B7B" w:themeColor="accent3" w:themeShade="BF"/>
          <w:sz w:val="22"/>
          <w:szCs w:val="22"/>
          <w:lang w:val="en-GB"/>
        </w:rPr>
        <w:footnoteReference w:id="21"/>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for recognition of foreign proceedings in the United Kingdom in respect of a liquidation proceeding in a State whose laws are similar to Country A, the High Court of England &amp; Wales found that the liquidation was a collective proceeding for purposes of the MLCBI.</w:t>
      </w:r>
    </w:p>
    <w:p w14:paraId="7133C1EB" w14:textId="639A2856" w:rsidR="00FF6D70" w:rsidRDefault="00FF6D70" w:rsidP="00FF6D70">
      <w:pPr>
        <w:pStyle w:val="ListParagraph"/>
        <w:ind w:left="1440"/>
        <w:jc w:val="both"/>
        <w:rPr>
          <w:rFonts w:ascii="Arial" w:hAnsi="Arial" w:cs="Arial"/>
          <w:color w:val="7B7B7B" w:themeColor="accent3" w:themeShade="BF"/>
          <w:sz w:val="22"/>
          <w:szCs w:val="22"/>
          <w:lang w:val="en-GB"/>
        </w:rPr>
      </w:pPr>
    </w:p>
    <w:p w14:paraId="37815B82" w14:textId="6D31CBBF" w:rsidR="000A52A9" w:rsidRDefault="000A52A9" w:rsidP="000A52A9">
      <w:pPr>
        <w:pStyle w:val="ListParagraph"/>
        <w:numPr>
          <w:ilvl w:val="0"/>
          <w:numId w:val="27"/>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w:t>
      </w:r>
      <w:r w:rsidR="001E75CA">
        <w:rPr>
          <w:rFonts w:ascii="Arial" w:hAnsi="Arial" w:cs="Arial"/>
          <w:color w:val="7B7B7B" w:themeColor="accent3" w:themeShade="BF"/>
          <w:sz w:val="22"/>
          <w:szCs w:val="22"/>
          <w:lang w:val="en-GB"/>
        </w:rPr>
        <w:t>to a law relating to insolvency</w:t>
      </w:r>
    </w:p>
    <w:p w14:paraId="78A04EC8" w14:textId="77777777" w:rsidR="000A52A9" w:rsidRDefault="000A52A9" w:rsidP="000A52A9">
      <w:pPr>
        <w:pStyle w:val="ListParagraph"/>
        <w:ind w:left="1440"/>
        <w:jc w:val="both"/>
        <w:rPr>
          <w:rFonts w:ascii="Arial" w:hAnsi="Arial" w:cs="Arial"/>
          <w:color w:val="7B7B7B" w:themeColor="accent3" w:themeShade="BF"/>
          <w:sz w:val="22"/>
          <w:szCs w:val="22"/>
          <w:lang w:val="en-GB"/>
        </w:rPr>
      </w:pPr>
    </w:p>
    <w:p w14:paraId="38FB5694" w14:textId="03E2558D" w:rsidR="000A52A9" w:rsidRDefault="000A52A9" w:rsidP="000A52A9">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liquidation proceeding against the Bank in Country A must be pursuant to a law relating to insolvency. Acknowledging the fact that different jurisdictions might have different notions of what falls with the term “insolvency proceeding”, the MLCBI does not define the term “insolvency”. However, as used in the MLCBI, the word “insolvency” refers to various types of collective proceedings commenced with respect to debtors that are in severe financial distress or insolvent.</w:t>
      </w:r>
      <w:r>
        <w:rPr>
          <w:rStyle w:val="FootnoteReference"/>
          <w:rFonts w:ascii="Arial" w:hAnsi="Arial" w:cs="Arial"/>
          <w:color w:val="7B7B7B" w:themeColor="accent3" w:themeShade="BF"/>
          <w:sz w:val="22"/>
          <w:szCs w:val="22"/>
          <w:lang w:val="en-GB"/>
        </w:rPr>
        <w:footnoteReference w:id="22"/>
      </w:r>
      <w:r>
        <w:rPr>
          <w:rFonts w:ascii="Arial" w:hAnsi="Arial" w:cs="Arial"/>
          <w:color w:val="7B7B7B" w:themeColor="accent3" w:themeShade="BF"/>
          <w:sz w:val="22"/>
          <w:szCs w:val="22"/>
          <w:lang w:val="en-GB"/>
        </w:rPr>
        <w:t xml:space="preserve"> Further, paragraph 73 of the GEI states that this formulation is used in the MLCBI to recognise the fact that liquidation and reorganisation might be conducted under law that is not labelled as insolvency law, but which nevertheless deals with or addresse</w:t>
      </w:r>
      <w:r w:rsidR="003B22B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insolvency or severe financial distress. </w:t>
      </w:r>
    </w:p>
    <w:p w14:paraId="1D35326D" w14:textId="77777777" w:rsidR="000A52A9" w:rsidRDefault="000A52A9" w:rsidP="000A52A9">
      <w:pPr>
        <w:pStyle w:val="ListParagraph"/>
        <w:ind w:left="1440"/>
        <w:jc w:val="both"/>
        <w:rPr>
          <w:rFonts w:ascii="Arial" w:hAnsi="Arial" w:cs="Arial"/>
          <w:color w:val="7B7B7B" w:themeColor="accent3" w:themeShade="BF"/>
          <w:sz w:val="22"/>
          <w:szCs w:val="22"/>
          <w:lang w:val="en-GB"/>
        </w:rPr>
      </w:pPr>
    </w:p>
    <w:p w14:paraId="1CDC3E17" w14:textId="77777777" w:rsidR="000A52A9" w:rsidRDefault="000A52A9" w:rsidP="000A52A9">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of the case state that that t</w:t>
      </w:r>
      <w:r w:rsidRPr="003938E5">
        <w:rPr>
          <w:rFonts w:ascii="Arial" w:hAnsi="Arial" w:cs="Arial"/>
          <w:color w:val="7B7B7B" w:themeColor="accent3" w:themeShade="BF"/>
          <w:sz w:val="22"/>
          <w:szCs w:val="22"/>
          <w:lang w:val="en-GB"/>
        </w:rPr>
        <w:t>he DGF is obliged to commence liquidation proceedings against a bank on or before the next working day after the NB’s decision to revoke the bank’s licence.</w:t>
      </w:r>
      <w:r>
        <w:rPr>
          <w:rFonts w:ascii="Arial" w:hAnsi="Arial" w:cs="Arial"/>
          <w:color w:val="7B7B7B" w:themeColor="accent3" w:themeShade="BF"/>
          <w:sz w:val="22"/>
          <w:szCs w:val="22"/>
          <w:lang w:val="en-GB"/>
        </w:rPr>
        <w:t xml:space="preserve"> Further, </w:t>
      </w:r>
      <w:r w:rsidRPr="003938E5">
        <w:rPr>
          <w:rFonts w:ascii="Arial" w:hAnsi="Arial" w:cs="Arial"/>
          <w:color w:val="7B7B7B" w:themeColor="accent3" w:themeShade="BF"/>
          <w:sz w:val="22"/>
          <w:szCs w:val="22"/>
          <w:lang w:val="en-GB"/>
        </w:rPr>
        <w:t>Article 77 of the LBBA provides that the DGF automatically becomes liquidator of a bank on the date it receives confirmation of the NB’s decision to revoke the bank’s licence. At that point, the DGF acquires the full powers of a liquidator under the law of Country A</w:t>
      </w:r>
      <w:r>
        <w:rPr>
          <w:rFonts w:ascii="Arial" w:hAnsi="Arial" w:cs="Arial"/>
          <w:color w:val="7B7B7B" w:themeColor="accent3" w:themeShade="BF"/>
          <w:sz w:val="22"/>
          <w:szCs w:val="22"/>
          <w:lang w:val="en-GB"/>
        </w:rPr>
        <w:t>.</w:t>
      </w:r>
    </w:p>
    <w:p w14:paraId="4846BE90" w14:textId="77777777" w:rsidR="000A52A9" w:rsidRDefault="000A52A9" w:rsidP="000A52A9">
      <w:pPr>
        <w:pStyle w:val="ListParagraph"/>
        <w:ind w:left="1440"/>
        <w:jc w:val="both"/>
        <w:rPr>
          <w:rFonts w:ascii="Arial" w:hAnsi="Arial" w:cs="Arial"/>
          <w:color w:val="7B7B7B" w:themeColor="accent3" w:themeShade="BF"/>
          <w:sz w:val="22"/>
          <w:szCs w:val="22"/>
          <w:lang w:val="en-GB"/>
        </w:rPr>
      </w:pPr>
    </w:p>
    <w:p w14:paraId="5D097BB8" w14:textId="77777777" w:rsidR="000A52A9" w:rsidRPr="003938E5" w:rsidRDefault="000A52A9" w:rsidP="000A52A9">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above, the liquidation of the Bank in Country A would satisfy the requirements of being done pursuant to a law relating to insolvency as required under the MLCBI.</w:t>
      </w:r>
    </w:p>
    <w:p w14:paraId="2C0A4CCD" w14:textId="77777777" w:rsidR="000A52A9" w:rsidRPr="00FF6D70" w:rsidRDefault="000A52A9" w:rsidP="00FF6D70">
      <w:pPr>
        <w:pStyle w:val="ListParagraph"/>
        <w:ind w:left="1440"/>
        <w:jc w:val="both"/>
        <w:rPr>
          <w:rFonts w:ascii="Arial" w:hAnsi="Arial" w:cs="Arial"/>
          <w:color w:val="7B7B7B" w:themeColor="accent3" w:themeShade="BF"/>
          <w:sz w:val="22"/>
          <w:szCs w:val="22"/>
          <w:lang w:val="en-GB"/>
        </w:rPr>
      </w:pPr>
    </w:p>
    <w:p w14:paraId="640EDC9B" w14:textId="6DD99BA7" w:rsidR="004B338C" w:rsidRDefault="004B338C" w:rsidP="00372818">
      <w:pPr>
        <w:pStyle w:val="ListParagraph"/>
        <w:numPr>
          <w:ilvl w:val="0"/>
          <w:numId w:val="27"/>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control or</w:t>
      </w:r>
      <w:r w:rsidR="009F7E21">
        <w:rPr>
          <w:rFonts w:ascii="Arial" w:hAnsi="Arial" w:cs="Arial"/>
          <w:color w:val="7B7B7B" w:themeColor="accent3" w:themeShade="BF"/>
          <w:sz w:val="22"/>
          <w:szCs w:val="22"/>
          <w:lang w:val="en-GB"/>
        </w:rPr>
        <w:t xml:space="preserve"> supervision by a foreign court</w:t>
      </w:r>
    </w:p>
    <w:p w14:paraId="6E11BCE4" w14:textId="5788C8B6" w:rsidR="004B338C" w:rsidRDefault="004B338C" w:rsidP="004B338C">
      <w:pPr>
        <w:pStyle w:val="ListParagraph"/>
        <w:ind w:left="1440"/>
        <w:jc w:val="both"/>
        <w:rPr>
          <w:rFonts w:ascii="Arial" w:hAnsi="Arial" w:cs="Arial"/>
          <w:color w:val="7B7B7B" w:themeColor="accent3" w:themeShade="BF"/>
          <w:sz w:val="22"/>
          <w:szCs w:val="22"/>
          <w:lang w:val="en-GB"/>
        </w:rPr>
      </w:pPr>
    </w:p>
    <w:p w14:paraId="003E973A" w14:textId="149EEFA3" w:rsidR="004B338C" w:rsidRDefault="004B338C" w:rsidP="004B338C">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liquidation of the Bank in Country A must be either a judicial or administrative proceeding </w:t>
      </w:r>
      <w:r w:rsidR="000A52A9">
        <w:rPr>
          <w:rFonts w:ascii="Arial" w:hAnsi="Arial" w:cs="Arial"/>
          <w:color w:val="7B7B7B" w:themeColor="accent3" w:themeShade="BF"/>
          <w:sz w:val="22"/>
          <w:szCs w:val="22"/>
          <w:lang w:val="en-GB"/>
        </w:rPr>
        <w:t>that is</w:t>
      </w:r>
      <w:r>
        <w:rPr>
          <w:rFonts w:ascii="Arial" w:hAnsi="Arial" w:cs="Arial"/>
          <w:color w:val="7B7B7B" w:themeColor="accent3" w:themeShade="BF"/>
          <w:sz w:val="22"/>
          <w:szCs w:val="22"/>
          <w:lang w:val="en-GB"/>
        </w:rPr>
        <w:t xml:space="preserve"> subject to the control or supervision by a foreign court. In this regard, it must be noted that </w:t>
      </w:r>
      <w:r w:rsidRPr="004B338C">
        <w:rPr>
          <w:rFonts w:ascii="Arial" w:hAnsi="Arial" w:cs="Arial"/>
          <w:color w:val="7B7B7B" w:themeColor="accent3" w:themeShade="BF"/>
          <w:sz w:val="22"/>
          <w:szCs w:val="22"/>
          <w:lang w:val="en-GB"/>
        </w:rPr>
        <w:t>Article 2(</w:t>
      </w:r>
      <w:r>
        <w:rPr>
          <w:rFonts w:ascii="Arial" w:hAnsi="Arial" w:cs="Arial"/>
          <w:color w:val="7B7B7B" w:themeColor="accent3" w:themeShade="BF"/>
          <w:sz w:val="22"/>
          <w:szCs w:val="22"/>
          <w:lang w:val="en-GB"/>
        </w:rPr>
        <w:t>e</w:t>
      </w:r>
      <w:r w:rsidRPr="004B338C">
        <w:rPr>
          <w:rFonts w:ascii="Arial" w:hAnsi="Arial" w:cs="Arial"/>
          <w:color w:val="7B7B7B" w:themeColor="accent3" w:themeShade="BF"/>
          <w:sz w:val="22"/>
          <w:szCs w:val="22"/>
          <w:lang w:val="en-GB"/>
        </w:rPr>
        <w:t>) of the MLCBI defines “foreign court” as a judicial or other authority competent to control or supervise a foreign proceeding.</w:t>
      </w:r>
      <w:r>
        <w:rPr>
          <w:rFonts w:ascii="Arial" w:hAnsi="Arial" w:cs="Arial"/>
          <w:color w:val="7B7B7B" w:themeColor="accent3" w:themeShade="BF"/>
          <w:sz w:val="22"/>
          <w:szCs w:val="22"/>
          <w:lang w:val="en-GB"/>
        </w:rPr>
        <w:t xml:space="preserve"> Paragraph 87 of the GEI states the basis for the definition of “foreign court” in Article 2(e) MLCBI in that a foreign proceeding that meets the requisites of Article 2(a) MLCBI should receive the same treatment irrespective of whether it has been commenced and supervised by a judicial body or an administrative body. </w:t>
      </w:r>
      <w:r w:rsidR="005346BD">
        <w:rPr>
          <w:rFonts w:ascii="Arial" w:hAnsi="Arial" w:cs="Arial"/>
          <w:color w:val="7B7B7B" w:themeColor="accent3" w:themeShade="BF"/>
          <w:sz w:val="22"/>
          <w:szCs w:val="22"/>
          <w:lang w:val="en-GB"/>
        </w:rPr>
        <w:t>Hence, the definition of “foreign court” includes also non-judicial authorities.</w:t>
      </w:r>
    </w:p>
    <w:p w14:paraId="73814DF6" w14:textId="5EF1A778" w:rsidR="005346BD" w:rsidRDefault="005346BD" w:rsidP="004B338C">
      <w:pPr>
        <w:pStyle w:val="ListParagraph"/>
        <w:ind w:left="1440"/>
        <w:jc w:val="both"/>
        <w:rPr>
          <w:rFonts w:ascii="Arial" w:hAnsi="Arial" w:cs="Arial"/>
          <w:color w:val="7B7B7B" w:themeColor="accent3" w:themeShade="BF"/>
          <w:sz w:val="22"/>
          <w:szCs w:val="22"/>
          <w:lang w:val="en-GB"/>
        </w:rPr>
      </w:pPr>
    </w:p>
    <w:p w14:paraId="3588CA0E" w14:textId="54D2DDE1" w:rsidR="004B338C" w:rsidRDefault="005346BD" w:rsidP="004B338C">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facts of the case state that the DGF has control of the assets and liabilities of the Bank and has the power to realise the assets to satisfy claims of debtors. Further, </w:t>
      </w:r>
      <w:r w:rsidRPr="005346BD">
        <w:rPr>
          <w:rFonts w:ascii="Arial" w:hAnsi="Arial" w:cs="Arial"/>
          <w:color w:val="7B7B7B" w:themeColor="accent3" w:themeShade="BF"/>
          <w:sz w:val="22"/>
          <w:szCs w:val="22"/>
          <w:lang w:val="en-GB"/>
        </w:rPr>
        <w:t xml:space="preserve">Article 37 </w:t>
      </w:r>
      <w:r>
        <w:rPr>
          <w:rFonts w:ascii="Arial" w:hAnsi="Arial" w:cs="Arial"/>
          <w:color w:val="7B7B7B" w:themeColor="accent3" w:themeShade="BF"/>
          <w:sz w:val="22"/>
          <w:szCs w:val="22"/>
          <w:lang w:val="en-GB"/>
        </w:rPr>
        <w:t>of the DGF Law states</w:t>
      </w:r>
      <w:r w:rsidRPr="005346BD">
        <w:rPr>
          <w:rFonts w:ascii="Arial" w:hAnsi="Arial" w:cs="Arial"/>
          <w:color w:val="7B7B7B" w:themeColor="accent3" w:themeShade="BF"/>
          <w:sz w:val="22"/>
          <w:szCs w:val="22"/>
          <w:lang w:val="en-GB"/>
        </w:rPr>
        <w:t xml:space="preserve"> that the DGF (or its authorised person, insofar as such powers are delegated) has extensive powers, including powers to exercise managerial and supervisory powers, to enter into contracts, </w:t>
      </w:r>
      <w:r w:rsidRPr="005346BD">
        <w:rPr>
          <w:rFonts w:ascii="Arial" w:hAnsi="Arial" w:cs="Arial"/>
          <w:color w:val="7B7B7B" w:themeColor="accent3" w:themeShade="BF"/>
          <w:sz w:val="22"/>
          <w:szCs w:val="22"/>
          <w:lang w:val="en-GB"/>
        </w:rPr>
        <w:lastRenderedPageBreak/>
        <w:t>to restrict or terminate the bank’s transactions, and to file property and non-property claims with a court</w:t>
      </w:r>
      <w:r>
        <w:rPr>
          <w:rFonts w:ascii="Arial" w:hAnsi="Arial" w:cs="Arial"/>
          <w:color w:val="7B7B7B" w:themeColor="accent3" w:themeShade="BF"/>
          <w:sz w:val="22"/>
          <w:szCs w:val="22"/>
          <w:lang w:val="en-GB"/>
        </w:rPr>
        <w:t xml:space="preserve">. Being an official body which exercises its power in liquidation free from intervention by government or the NB, </w:t>
      </w:r>
      <w:r w:rsidR="003938E5">
        <w:rPr>
          <w:rFonts w:ascii="Arial" w:hAnsi="Arial" w:cs="Arial"/>
          <w:color w:val="7B7B7B" w:themeColor="accent3" w:themeShade="BF"/>
          <w:sz w:val="22"/>
          <w:szCs w:val="22"/>
          <w:lang w:val="en-GB"/>
        </w:rPr>
        <w:t>it is highly likely that pursuant to the definition of “foreign court” in Article 2(e) MLCBI, the DGF would be considered a foreign court under Article 2(a) MLCBI.</w:t>
      </w:r>
      <w:r w:rsidR="003938E5">
        <w:rPr>
          <w:rStyle w:val="FootnoteReference"/>
          <w:rFonts w:ascii="Arial" w:hAnsi="Arial" w:cs="Arial"/>
          <w:color w:val="7B7B7B" w:themeColor="accent3" w:themeShade="BF"/>
          <w:sz w:val="22"/>
          <w:szCs w:val="22"/>
          <w:lang w:val="en-GB"/>
        </w:rPr>
        <w:footnoteReference w:id="23"/>
      </w:r>
    </w:p>
    <w:p w14:paraId="3896E525" w14:textId="616605B4" w:rsidR="000A52A9" w:rsidRDefault="000A52A9" w:rsidP="004B338C">
      <w:pPr>
        <w:pStyle w:val="ListParagraph"/>
        <w:ind w:left="1440"/>
        <w:jc w:val="both"/>
        <w:rPr>
          <w:rFonts w:ascii="Arial" w:hAnsi="Arial" w:cs="Arial"/>
          <w:color w:val="7B7B7B" w:themeColor="accent3" w:themeShade="BF"/>
          <w:sz w:val="22"/>
          <w:szCs w:val="22"/>
          <w:lang w:val="en-GB"/>
        </w:rPr>
      </w:pPr>
    </w:p>
    <w:p w14:paraId="21F5AD00" w14:textId="003C30AD" w:rsidR="000A52A9" w:rsidRDefault="000A52A9" w:rsidP="004B338C">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the liquidation of the Bank in Country A would satisfy the requirement of being an administrative proceeding</w:t>
      </w:r>
      <w:r w:rsidRPr="000A52A9">
        <w:rPr>
          <w:rFonts w:ascii="Arial" w:hAnsi="Arial" w:cs="Arial"/>
          <w:color w:val="7B7B7B" w:themeColor="accent3" w:themeShade="BF"/>
          <w:sz w:val="22"/>
          <w:szCs w:val="22"/>
          <w:lang w:val="en-GB"/>
        </w:rPr>
        <w:t xml:space="preserve"> in which proceeding the assets and affairs of the debtor are subject to control or supervision by a foreign court</w:t>
      </w:r>
      <w:r>
        <w:rPr>
          <w:rFonts w:ascii="Arial" w:hAnsi="Arial" w:cs="Arial"/>
          <w:color w:val="7B7B7B" w:themeColor="accent3" w:themeShade="BF"/>
          <w:sz w:val="22"/>
          <w:szCs w:val="22"/>
          <w:lang w:val="en-GB"/>
        </w:rPr>
        <w:t>.</w:t>
      </w:r>
    </w:p>
    <w:p w14:paraId="24B3EC98" w14:textId="77777777" w:rsidR="00372818" w:rsidRDefault="00372818" w:rsidP="00372818">
      <w:pPr>
        <w:pStyle w:val="ListParagraph"/>
        <w:ind w:left="1440"/>
        <w:jc w:val="both"/>
        <w:rPr>
          <w:rFonts w:ascii="Arial" w:hAnsi="Arial" w:cs="Arial"/>
          <w:color w:val="7B7B7B" w:themeColor="accent3" w:themeShade="BF"/>
          <w:sz w:val="22"/>
          <w:szCs w:val="22"/>
          <w:lang w:val="en-GB"/>
        </w:rPr>
      </w:pPr>
    </w:p>
    <w:p w14:paraId="27BBEB4F" w14:textId="502D536A" w:rsidR="00372818" w:rsidRDefault="000A52A9" w:rsidP="00372818">
      <w:pPr>
        <w:pStyle w:val="ListParagraph"/>
        <w:numPr>
          <w:ilvl w:val="0"/>
          <w:numId w:val="27"/>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purpose of </w:t>
      </w:r>
      <w:r w:rsidR="009F7E21">
        <w:rPr>
          <w:rFonts w:ascii="Arial" w:hAnsi="Arial" w:cs="Arial"/>
          <w:color w:val="7B7B7B" w:themeColor="accent3" w:themeShade="BF"/>
          <w:sz w:val="22"/>
          <w:szCs w:val="22"/>
          <w:lang w:val="en-GB"/>
        </w:rPr>
        <w:t>reorganisation or liquidation</w:t>
      </w:r>
    </w:p>
    <w:p w14:paraId="269A0396" w14:textId="58B41F22" w:rsidR="000A52A9" w:rsidRDefault="000A52A9" w:rsidP="000A52A9">
      <w:pPr>
        <w:pStyle w:val="ListParagraph"/>
        <w:ind w:left="1440"/>
        <w:jc w:val="both"/>
        <w:rPr>
          <w:rFonts w:ascii="Arial" w:hAnsi="Arial" w:cs="Arial"/>
          <w:color w:val="7B7B7B" w:themeColor="accent3" w:themeShade="BF"/>
          <w:sz w:val="22"/>
          <w:szCs w:val="22"/>
          <w:lang w:val="en-GB"/>
        </w:rPr>
      </w:pPr>
    </w:p>
    <w:p w14:paraId="111B49E0" w14:textId="74392585" w:rsidR="000A52A9" w:rsidRDefault="000A52A9" w:rsidP="000A52A9">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satisfy the requirement of a foreign proceeding under Article 2(a) MLCBI, the liquidation of the Bank in Country A must be for the purpose of reorganisation or liquidation. The GEI at paragraph 77 states that some types of proceedings that may satisfy certain elements of the definition of foreign proceeding in Article 2(a) MLCBI may nevertheless be ineligible for recognition because they are not for the purpose of reorganisation or liquidation.</w:t>
      </w:r>
    </w:p>
    <w:p w14:paraId="4F614644" w14:textId="19399001" w:rsidR="000A52A9" w:rsidRDefault="000A52A9" w:rsidP="000A52A9">
      <w:pPr>
        <w:pStyle w:val="ListParagraph"/>
        <w:ind w:left="1440"/>
        <w:jc w:val="both"/>
        <w:rPr>
          <w:rFonts w:ascii="Arial" w:hAnsi="Arial" w:cs="Arial"/>
          <w:color w:val="7B7B7B" w:themeColor="accent3" w:themeShade="BF"/>
          <w:sz w:val="22"/>
          <w:szCs w:val="22"/>
          <w:lang w:val="en-GB"/>
        </w:rPr>
      </w:pPr>
    </w:p>
    <w:p w14:paraId="4A6A6DA4" w14:textId="15011205" w:rsidR="00F419CB" w:rsidRDefault="00F419CB" w:rsidP="00F419CB">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of the case clearly state the proceedings against the Bank in Country A is a liquidation proceeding in which –</w:t>
      </w:r>
    </w:p>
    <w:p w14:paraId="4F83C824" w14:textId="7D3175DF" w:rsidR="00F419CB" w:rsidRDefault="00F419CB" w:rsidP="00F419CB">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F419CB">
        <w:rPr>
          <w:rFonts w:ascii="Arial" w:hAnsi="Arial" w:cs="Arial"/>
          <w:color w:val="7B7B7B" w:themeColor="accent3" w:themeShade="BF"/>
          <w:sz w:val="22"/>
          <w:szCs w:val="22"/>
          <w:lang w:val="en-GB"/>
        </w:rPr>
        <w:t xml:space="preserve">he DGF is obliged to commence liquidation proceedings against </w:t>
      </w:r>
      <w:r>
        <w:rPr>
          <w:rFonts w:ascii="Arial" w:hAnsi="Arial" w:cs="Arial"/>
          <w:color w:val="7B7B7B" w:themeColor="accent3" w:themeShade="BF"/>
          <w:sz w:val="22"/>
          <w:szCs w:val="22"/>
          <w:lang w:val="en-GB"/>
        </w:rPr>
        <w:t>the Bank</w:t>
      </w:r>
      <w:r w:rsidRPr="00F419CB">
        <w:rPr>
          <w:rFonts w:ascii="Arial" w:hAnsi="Arial" w:cs="Arial"/>
          <w:color w:val="7B7B7B" w:themeColor="accent3" w:themeShade="BF"/>
          <w:sz w:val="22"/>
          <w:szCs w:val="22"/>
          <w:lang w:val="en-GB"/>
        </w:rPr>
        <w:t xml:space="preserve"> on or before the next working day after the NB’s decisi</w:t>
      </w:r>
      <w:r>
        <w:rPr>
          <w:rFonts w:ascii="Arial" w:hAnsi="Arial" w:cs="Arial"/>
          <w:color w:val="7B7B7B" w:themeColor="accent3" w:themeShade="BF"/>
          <w:sz w:val="22"/>
          <w:szCs w:val="22"/>
          <w:lang w:val="en-GB"/>
        </w:rPr>
        <w:t xml:space="preserve">on to revoke the bank’s licence; </w:t>
      </w:r>
    </w:p>
    <w:p w14:paraId="68839BC8" w14:textId="77777777" w:rsidR="00F419CB" w:rsidRDefault="00F419CB" w:rsidP="00F419CB">
      <w:pPr>
        <w:pStyle w:val="ListParagraph"/>
        <w:numPr>
          <w:ilvl w:val="0"/>
          <w:numId w:val="28"/>
        </w:numPr>
        <w:jc w:val="both"/>
        <w:rPr>
          <w:rFonts w:ascii="Arial" w:hAnsi="Arial" w:cs="Arial"/>
          <w:color w:val="7B7B7B" w:themeColor="accent3" w:themeShade="BF"/>
          <w:sz w:val="22"/>
          <w:szCs w:val="22"/>
          <w:lang w:val="en-GB"/>
        </w:rPr>
      </w:pPr>
      <w:r w:rsidRPr="00F419CB">
        <w:rPr>
          <w:rFonts w:ascii="Arial" w:hAnsi="Arial" w:cs="Arial"/>
          <w:color w:val="7B7B7B" w:themeColor="accent3" w:themeShade="BF"/>
          <w:sz w:val="22"/>
          <w:szCs w:val="22"/>
          <w:lang w:val="en-GB"/>
        </w:rPr>
        <w:t xml:space="preserve">the DGF automatically becomes liquidator of </w:t>
      </w:r>
      <w:r>
        <w:rPr>
          <w:rFonts w:ascii="Arial" w:hAnsi="Arial" w:cs="Arial"/>
          <w:color w:val="7B7B7B" w:themeColor="accent3" w:themeShade="BF"/>
          <w:sz w:val="22"/>
          <w:szCs w:val="22"/>
          <w:lang w:val="en-GB"/>
        </w:rPr>
        <w:t>the Bank</w:t>
      </w:r>
      <w:r w:rsidRPr="00F419CB">
        <w:rPr>
          <w:rFonts w:ascii="Arial" w:hAnsi="Arial" w:cs="Arial"/>
          <w:color w:val="7B7B7B" w:themeColor="accent3" w:themeShade="BF"/>
          <w:sz w:val="22"/>
          <w:szCs w:val="22"/>
          <w:lang w:val="en-GB"/>
        </w:rPr>
        <w:t xml:space="preserve"> on the date it receives confirmation of the NB’s decision to revoke the bank’s licence. At that point, the DGF acquires the full powers of a liquid</w:t>
      </w:r>
      <w:r>
        <w:rPr>
          <w:rFonts w:ascii="Arial" w:hAnsi="Arial" w:cs="Arial"/>
          <w:color w:val="7B7B7B" w:themeColor="accent3" w:themeShade="BF"/>
          <w:sz w:val="22"/>
          <w:szCs w:val="22"/>
          <w:lang w:val="en-GB"/>
        </w:rPr>
        <w:t>ator under the law of Country A;</w:t>
      </w:r>
    </w:p>
    <w:p w14:paraId="5D0FC6FA" w14:textId="77777777" w:rsidR="00F419CB" w:rsidRDefault="00F419CB" w:rsidP="00F419CB">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 powers of the B</w:t>
      </w:r>
      <w:r w:rsidRPr="00F419CB">
        <w:rPr>
          <w:rFonts w:ascii="Arial" w:hAnsi="Arial" w:cs="Arial"/>
          <w:color w:val="7B7B7B" w:themeColor="accent3" w:themeShade="BF"/>
          <w:sz w:val="22"/>
          <w:szCs w:val="22"/>
          <w:lang w:val="en-GB"/>
        </w:rPr>
        <w:t>ank’s management and control bodies are terminated</w:t>
      </w:r>
      <w:r>
        <w:rPr>
          <w:rFonts w:ascii="Arial" w:hAnsi="Arial" w:cs="Arial"/>
          <w:color w:val="7B7B7B" w:themeColor="accent3" w:themeShade="BF"/>
          <w:sz w:val="22"/>
          <w:szCs w:val="22"/>
          <w:lang w:val="en-GB"/>
        </w:rPr>
        <w:t>,</w:t>
      </w:r>
      <w:r w:rsidRPr="00F419CB">
        <w:rPr>
          <w:rFonts w:ascii="Arial" w:hAnsi="Arial" w:cs="Arial"/>
          <w:color w:val="7B7B7B" w:themeColor="accent3" w:themeShade="BF"/>
          <w:sz w:val="22"/>
          <w:szCs w:val="22"/>
          <w:lang w:val="en-GB"/>
        </w:rPr>
        <w:t xml:space="preserve"> all ban</w:t>
      </w:r>
      <w:r>
        <w:rPr>
          <w:rFonts w:ascii="Arial" w:hAnsi="Arial" w:cs="Arial"/>
          <w:color w:val="7B7B7B" w:themeColor="accent3" w:themeShade="BF"/>
          <w:sz w:val="22"/>
          <w:szCs w:val="22"/>
          <w:lang w:val="en-GB"/>
        </w:rPr>
        <w:t xml:space="preserve">king activities are terminated, </w:t>
      </w:r>
      <w:r w:rsidRPr="00F419CB">
        <w:rPr>
          <w:rFonts w:ascii="Arial" w:hAnsi="Arial" w:cs="Arial"/>
          <w:color w:val="7B7B7B" w:themeColor="accent3" w:themeShade="BF"/>
          <w:sz w:val="22"/>
          <w:szCs w:val="22"/>
          <w:lang w:val="en-GB"/>
        </w:rPr>
        <w:t>all money liabilities due to the</w:t>
      </w:r>
      <w:r>
        <w:rPr>
          <w:rFonts w:ascii="Arial" w:hAnsi="Arial" w:cs="Arial"/>
          <w:color w:val="7B7B7B" w:themeColor="accent3" w:themeShade="BF"/>
          <w:sz w:val="22"/>
          <w:szCs w:val="22"/>
          <w:lang w:val="en-GB"/>
        </w:rPr>
        <w:t xml:space="preserve"> Bank are deemed to become due and </w:t>
      </w:r>
      <w:r w:rsidRPr="00F419CB">
        <w:rPr>
          <w:rFonts w:ascii="Arial" w:hAnsi="Arial" w:cs="Arial"/>
          <w:color w:val="7B7B7B" w:themeColor="accent3" w:themeShade="BF"/>
          <w:sz w:val="22"/>
          <w:szCs w:val="22"/>
          <w:lang w:val="en-GB"/>
        </w:rPr>
        <w:t>the DGF alienates</w:t>
      </w:r>
      <w:r>
        <w:rPr>
          <w:rFonts w:ascii="Arial" w:hAnsi="Arial" w:cs="Arial"/>
          <w:color w:val="7B7B7B" w:themeColor="accent3" w:themeShade="BF"/>
          <w:sz w:val="22"/>
          <w:szCs w:val="22"/>
          <w:lang w:val="en-GB"/>
        </w:rPr>
        <w:t xml:space="preserve"> the Bank’s property and funds;</w:t>
      </w:r>
    </w:p>
    <w:p w14:paraId="50562545" w14:textId="77C97467" w:rsidR="000A52A9" w:rsidRDefault="00F419CB" w:rsidP="00F419CB">
      <w:pPr>
        <w:pStyle w:val="ListParagraph"/>
        <w:numPr>
          <w:ilvl w:val="0"/>
          <w:numId w:val="28"/>
        </w:numPr>
        <w:jc w:val="both"/>
        <w:rPr>
          <w:rFonts w:ascii="Arial" w:hAnsi="Arial" w:cs="Arial"/>
          <w:color w:val="7B7B7B" w:themeColor="accent3" w:themeShade="BF"/>
          <w:sz w:val="22"/>
          <w:szCs w:val="22"/>
          <w:lang w:val="en-GB"/>
        </w:rPr>
      </w:pPr>
      <w:r w:rsidRPr="00F419CB">
        <w:rPr>
          <w:rFonts w:ascii="Arial" w:hAnsi="Arial" w:cs="Arial"/>
          <w:color w:val="7B7B7B" w:themeColor="accent3" w:themeShade="BF"/>
          <w:sz w:val="22"/>
          <w:szCs w:val="22"/>
          <w:lang w:val="en-GB"/>
        </w:rPr>
        <w:t xml:space="preserve">the DGF has the power to take over management of the property (including the money) of the </w:t>
      </w:r>
      <w:r>
        <w:rPr>
          <w:rFonts w:ascii="Arial" w:hAnsi="Arial" w:cs="Arial"/>
          <w:color w:val="7B7B7B" w:themeColor="accent3" w:themeShade="BF"/>
          <w:sz w:val="22"/>
          <w:szCs w:val="22"/>
          <w:lang w:val="en-GB"/>
        </w:rPr>
        <w:t xml:space="preserve">Bank, </w:t>
      </w:r>
      <w:r w:rsidRPr="00F419CB">
        <w:rPr>
          <w:rFonts w:ascii="Arial" w:hAnsi="Arial" w:cs="Arial"/>
          <w:color w:val="7B7B7B" w:themeColor="accent3" w:themeShade="BF"/>
          <w:sz w:val="22"/>
          <w:szCs w:val="22"/>
          <w:lang w:val="en-GB"/>
        </w:rPr>
        <w:t xml:space="preserve">the power to compile a register of creditor claims and </w:t>
      </w:r>
      <w:r>
        <w:rPr>
          <w:rFonts w:ascii="Arial" w:hAnsi="Arial" w:cs="Arial"/>
          <w:color w:val="7B7B7B" w:themeColor="accent3" w:themeShade="BF"/>
          <w:sz w:val="22"/>
          <w:szCs w:val="22"/>
          <w:lang w:val="en-GB"/>
        </w:rPr>
        <w:t xml:space="preserve">to seek to satisfy those claims, </w:t>
      </w:r>
      <w:r w:rsidRPr="00F419CB">
        <w:rPr>
          <w:rFonts w:ascii="Arial" w:hAnsi="Arial" w:cs="Arial"/>
          <w:color w:val="7B7B7B" w:themeColor="accent3" w:themeShade="BF"/>
          <w:sz w:val="22"/>
          <w:szCs w:val="22"/>
          <w:lang w:val="en-GB"/>
        </w:rPr>
        <w:t>the power to take steps to find, identify and recover</w:t>
      </w:r>
      <w:r>
        <w:rPr>
          <w:rFonts w:ascii="Arial" w:hAnsi="Arial" w:cs="Arial"/>
          <w:color w:val="7B7B7B" w:themeColor="accent3" w:themeShade="BF"/>
          <w:sz w:val="22"/>
          <w:szCs w:val="22"/>
          <w:lang w:val="en-GB"/>
        </w:rPr>
        <w:t xml:space="preserve"> property belonging to the </w:t>
      </w:r>
      <w:r w:rsidR="009F7E21">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ank</w:t>
      </w:r>
      <w:r w:rsidR="009F7E2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F419CB">
        <w:rPr>
          <w:rFonts w:ascii="Arial" w:hAnsi="Arial" w:cs="Arial"/>
          <w:color w:val="7B7B7B" w:themeColor="accent3" w:themeShade="BF"/>
          <w:sz w:val="22"/>
          <w:szCs w:val="22"/>
          <w:lang w:val="en-GB"/>
        </w:rPr>
        <w:t xml:space="preserve">the power to dispose of the </w:t>
      </w:r>
      <w:r>
        <w:rPr>
          <w:rFonts w:ascii="Arial" w:hAnsi="Arial" w:cs="Arial"/>
          <w:color w:val="7B7B7B" w:themeColor="accent3" w:themeShade="BF"/>
          <w:sz w:val="22"/>
          <w:szCs w:val="22"/>
          <w:lang w:val="en-GB"/>
        </w:rPr>
        <w:t>B</w:t>
      </w:r>
      <w:r w:rsidRPr="00F419CB">
        <w:rPr>
          <w:rFonts w:ascii="Arial" w:hAnsi="Arial" w:cs="Arial"/>
          <w:color w:val="7B7B7B" w:themeColor="accent3" w:themeShade="BF"/>
          <w:sz w:val="22"/>
          <w:szCs w:val="22"/>
          <w:lang w:val="en-GB"/>
        </w:rPr>
        <w:t>ank’s assets</w:t>
      </w:r>
      <w:r w:rsidR="009F7E21">
        <w:rPr>
          <w:rFonts w:ascii="Arial" w:hAnsi="Arial" w:cs="Arial"/>
          <w:color w:val="7B7B7B" w:themeColor="accent3" w:themeShade="BF"/>
          <w:sz w:val="22"/>
          <w:szCs w:val="22"/>
          <w:lang w:val="en-GB"/>
        </w:rPr>
        <w:t xml:space="preserve"> and </w:t>
      </w:r>
      <w:r w:rsidR="009F7E21" w:rsidRPr="009F7E21">
        <w:rPr>
          <w:rFonts w:ascii="Arial" w:hAnsi="Arial" w:cs="Arial"/>
          <w:color w:val="7B7B7B" w:themeColor="accent3" w:themeShade="BF"/>
          <w:sz w:val="22"/>
          <w:szCs w:val="22"/>
          <w:lang w:val="en-GB"/>
        </w:rPr>
        <w:t xml:space="preserve">the power to exercise such other powers as are necessary to complete the liquidation of </w:t>
      </w:r>
      <w:r w:rsidR="009F7E21">
        <w:rPr>
          <w:rFonts w:ascii="Arial" w:hAnsi="Arial" w:cs="Arial"/>
          <w:color w:val="7B7B7B" w:themeColor="accent3" w:themeShade="BF"/>
          <w:sz w:val="22"/>
          <w:szCs w:val="22"/>
          <w:lang w:val="en-GB"/>
        </w:rPr>
        <w:t>the Bank.</w:t>
      </w:r>
    </w:p>
    <w:p w14:paraId="15220634" w14:textId="4DAB9EF6" w:rsidR="00F419CB" w:rsidRDefault="00F419CB" w:rsidP="00F419CB">
      <w:pPr>
        <w:ind w:left="1440"/>
        <w:jc w:val="both"/>
        <w:rPr>
          <w:rFonts w:ascii="Arial" w:hAnsi="Arial" w:cs="Arial"/>
          <w:color w:val="7B7B7B" w:themeColor="accent3" w:themeShade="BF"/>
          <w:sz w:val="22"/>
          <w:szCs w:val="22"/>
          <w:lang w:val="en-GB"/>
        </w:rPr>
      </w:pPr>
    </w:p>
    <w:p w14:paraId="4BFE29A5" w14:textId="2ED2E5DF" w:rsidR="00F419CB" w:rsidRDefault="00F419CB" w:rsidP="00F419CB">
      <w:pPr>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the liquidation proceedings against the Bank in Country A would satisfy the requirement of being for the purpose of liquidation.</w:t>
      </w:r>
    </w:p>
    <w:p w14:paraId="6BC97207" w14:textId="679C497B" w:rsidR="00F419CB" w:rsidRDefault="00F419CB" w:rsidP="00F419CB">
      <w:pPr>
        <w:jc w:val="both"/>
        <w:rPr>
          <w:rFonts w:ascii="Arial" w:hAnsi="Arial" w:cs="Arial"/>
          <w:color w:val="7B7B7B" w:themeColor="accent3" w:themeShade="BF"/>
          <w:sz w:val="22"/>
          <w:szCs w:val="22"/>
          <w:lang w:val="en-GB"/>
        </w:rPr>
      </w:pPr>
    </w:p>
    <w:p w14:paraId="71BBD922" w14:textId="741E1FC0" w:rsidR="00F419CB" w:rsidRDefault="00F419CB" w:rsidP="00F419C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conclusion, having satisfied all</w:t>
      </w:r>
      <w:r w:rsidR="00A775BB">
        <w:rPr>
          <w:rFonts w:ascii="Arial" w:hAnsi="Arial" w:cs="Arial"/>
          <w:color w:val="7B7B7B" w:themeColor="accent3" w:themeShade="BF"/>
          <w:sz w:val="22"/>
          <w:szCs w:val="22"/>
          <w:lang w:val="en-GB"/>
        </w:rPr>
        <w:t xml:space="preserve"> of</w:t>
      </w:r>
      <w:r>
        <w:rPr>
          <w:rFonts w:ascii="Arial" w:hAnsi="Arial" w:cs="Arial"/>
          <w:color w:val="7B7B7B" w:themeColor="accent3" w:themeShade="BF"/>
          <w:sz w:val="22"/>
          <w:szCs w:val="22"/>
          <w:lang w:val="en-GB"/>
        </w:rPr>
        <w:t xml:space="preserve"> the requirements in Article 2(a) MLCBI, the Bank’s liquidation in Country A would comprise</w:t>
      </w:r>
      <w:r w:rsidRPr="00F419CB">
        <w:rPr>
          <w:rFonts w:ascii="Arial" w:hAnsi="Arial" w:cs="Arial"/>
          <w:color w:val="7B7B7B" w:themeColor="accent3" w:themeShade="BF"/>
          <w:sz w:val="22"/>
          <w:szCs w:val="22"/>
          <w:lang w:val="en-GB"/>
        </w:rPr>
        <w:t xml:space="preserve"> a “foreign proceeding” within the meaning of Article 2(a) of the MLCBI</w:t>
      </w:r>
      <w:r>
        <w:rPr>
          <w:rFonts w:ascii="Arial" w:hAnsi="Arial" w:cs="Arial"/>
          <w:color w:val="7B7B7B" w:themeColor="accent3" w:themeShade="BF"/>
          <w:sz w:val="22"/>
          <w:szCs w:val="22"/>
          <w:lang w:val="en-GB"/>
        </w:rPr>
        <w:t>.</w:t>
      </w:r>
      <w:r w:rsidR="0009667C">
        <w:rPr>
          <w:rFonts w:ascii="Arial" w:hAnsi="Arial" w:cs="Arial"/>
          <w:color w:val="7B7B7B" w:themeColor="accent3" w:themeShade="BF"/>
          <w:sz w:val="22"/>
          <w:szCs w:val="22"/>
          <w:lang w:val="en-GB"/>
        </w:rPr>
        <w:t xml:space="preserve"> Since the Bank has its registered office in Country A, there would be a rebuttable presumption that the Bank’s centre of main interests is in Country A (Article 16(3) MLCBI) and consequentially, the liquidation in Country A would be recognised as a foreign main-proceeding (Article</w:t>
      </w:r>
      <w:r w:rsidR="00D733E6">
        <w:rPr>
          <w:rFonts w:ascii="Arial" w:hAnsi="Arial" w:cs="Arial"/>
          <w:color w:val="7B7B7B" w:themeColor="accent3" w:themeShade="BF"/>
          <w:sz w:val="22"/>
          <w:szCs w:val="22"/>
          <w:lang w:val="en-GB"/>
        </w:rPr>
        <w:t>s</w:t>
      </w:r>
      <w:r w:rsidR="0009667C">
        <w:rPr>
          <w:rFonts w:ascii="Arial" w:hAnsi="Arial" w:cs="Arial"/>
          <w:color w:val="7B7B7B" w:themeColor="accent3" w:themeShade="BF"/>
          <w:sz w:val="22"/>
          <w:szCs w:val="22"/>
          <w:lang w:val="en-GB"/>
        </w:rPr>
        <w:t xml:space="preserve"> 2(b) </w:t>
      </w:r>
      <w:r w:rsidR="00D733E6">
        <w:rPr>
          <w:rFonts w:ascii="Arial" w:hAnsi="Arial" w:cs="Arial"/>
          <w:color w:val="7B7B7B" w:themeColor="accent3" w:themeShade="BF"/>
          <w:sz w:val="22"/>
          <w:szCs w:val="22"/>
          <w:lang w:val="en-GB"/>
        </w:rPr>
        <w:t xml:space="preserve">and 17(2)(a) </w:t>
      </w:r>
      <w:r w:rsidR="0009667C">
        <w:rPr>
          <w:rFonts w:ascii="Arial" w:hAnsi="Arial" w:cs="Arial"/>
          <w:color w:val="7B7B7B" w:themeColor="accent3" w:themeShade="BF"/>
          <w:sz w:val="22"/>
          <w:szCs w:val="22"/>
          <w:lang w:val="en-GB"/>
        </w:rPr>
        <w:t>MLCBI).</w:t>
      </w:r>
    </w:p>
    <w:p w14:paraId="279DA7F4" w14:textId="37827007" w:rsidR="0009667C" w:rsidRDefault="0009667C" w:rsidP="0009667C">
      <w:pPr>
        <w:jc w:val="both"/>
        <w:rPr>
          <w:rFonts w:ascii="Arial" w:hAnsi="Arial" w:cs="Arial"/>
          <w:color w:val="7B7B7B" w:themeColor="accent3" w:themeShade="BF"/>
          <w:sz w:val="22"/>
          <w:szCs w:val="22"/>
          <w:lang w:val="en-GB"/>
        </w:rPr>
      </w:pPr>
    </w:p>
    <w:p w14:paraId="22107E08" w14:textId="3389B21D" w:rsidR="0059199D" w:rsidRDefault="0059199D" w:rsidP="0009667C">
      <w:pPr>
        <w:jc w:val="both"/>
        <w:rPr>
          <w:rFonts w:ascii="Arial" w:hAnsi="Arial" w:cs="Arial"/>
          <w:color w:val="7B7B7B" w:themeColor="accent3" w:themeShade="BF"/>
          <w:sz w:val="22"/>
          <w:szCs w:val="22"/>
          <w:lang w:val="en-GB"/>
        </w:rPr>
      </w:pPr>
    </w:p>
    <w:p w14:paraId="4482D5B5" w14:textId="77777777" w:rsidR="0059199D" w:rsidRDefault="0059199D" w:rsidP="0009667C">
      <w:pPr>
        <w:jc w:val="both"/>
        <w:rPr>
          <w:rFonts w:ascii="Arial" w:hAnsi="Arial" w:cs="Arial"/>
          <w:color w:val="7B7B7B" w:themeColor="accent3" w:themeShade="BF"/>
          <w:sz w:val="22"/>
          <w:szCs w:val="22"/>
          <w:lang w:val="en-GB"/>
        </w:rPr>
      </w:pPr>
      <w:bookmarkStart w:id="30" w:name="_GoBack"/>
      <w:bookmarkEnd w:id="30"/>
    </w:p>
    <w:p w14:paraId="0E0F2D06" w14:textId="5316E76E" w:rsidR="0009667C" w:rsidRDefault="0009667C" w:rsidP="0009667C">
      <w:pPr>
        <w:ind w:left="720" w:hanging="720"/>
        <w:jc w:val="both"/>
        <w:rPr>
          <w:rFonts w:ascii="Arial" w:hAnsi="Arial" w:cs="Arial"/>
          <w:color w:val="7B7B7B" w:themeColor="accent3" w:themeShade="BF"/>
          <w:sz w:val="22"/>
          <w:szCs w:val="22"/>
          <w:lang w:val="en-GB"/>
        </w:rPr>
      </w:pPr>
      <w:r w:rsidRPr="0009667C">
        <w:rPr>
          <w:rFonts w:ascii="Arial" w:hAnsi="Arial" w:cs="Arial"/>
          <w:color w:val="7B7B7B" w:themeColor="accent3" w:themeShade="BF"/>
          <w:sz w:val="22"/>
          <w:szCs w:val="22"/>
          <w:lang w:val="en-GB"/>
        </w:rPr>
        <w:lastRenderedPageBreak/>
        <w:t>4.1.2</w:t>
      </w:r>
      <w:r w:rsidRPr="0009667C">
        <w:rPr>
          <w:rFonts w:ascii="Arial" w:hAnsi="Arial" w:cs="Arial"/>
          <w:color w:val="7B7B7B" w:themeColor="accent3" w:themeShade="BF"/>
          <w:sz w:val="22"/>
          <w:szCs w:val="22"/>
          <w:lang w:val="en-GB"/>
        </w:rPr>
        <w:tab/>
        <w:t xml:space="preserve">whether the Applicants fall within the description of “foreign representatives” as defined by </w:t>
      </w:r>
      <w:r>
        <w:rPr>
          <w:rFonts w:ascii="Arial" w:hAnsi="Arial" w:cs="Arial"/>
          <w:color w:val="7B7B7B" w:themeColor="accent3" w:themeShade="BF"/>
          <w:sz w:val="22"/>
          <w:szCs w:val="22"/>
          <w:lang w:val="en-GB"/>
        </w:rPr>
        <w:t>A</w:t>
      </w:r>
      <w:r w:rsidRPr="0009667C">
        <w:rPr>
          <w:rFonts w:ascii="Arial" w:hAnsi="Arial" w:cs="Arial"/>
          <w:color w:val="7B7B7B" w:themeColor="accent3" w:themeShade="BF"/>
          <w:sz w:val="22"/>
          <w:szCs w:val="22"/>
          <w:lang w:val="en-GB"/>
        </w:rPr>
        <w:t>rticle 2(d) of the MLCBI</w:t>
      </w:r>
      <w:r>
        <w:rPr>
          <w:rFonts w:ascii="Arial" w:hAnsi="Arial" w:cs="Arial"/>
          <w:color w:val="7B7B7B" w:themeColor="accent3" w:themeShade="BF"/>
          <w:sz w:val="22"/>
          <w:szCs w:val="22"/>
          <w:lang w:val="en-GB"/>
        </w:rPr>
        <w:t>.</w:t>
      </w:r>
    </w:p>
    <w:p w14:paraId="30B95315" w14:textId="2ABFEFB1" w:rsidR="0009667C" w:rsidRDefault="0009667C" w:rsidP="0009667C">
      <w:pPr>
        <w:ind w:left="720" w:hanging="720"/>
        <w:jc w:val="both"/>
        <w:rPr>
          <w:rFonts w:ascii="Arial" w:hAnsi="Arial" w:cs="Arial"/>
          <w:color w:val="7B7B7B" w:themeColor="accent3" w:themeShade="BF"/>
          <w:sz w:val="22"/>
          <w:szCs w:val="22"/>
          <w:lang w:val="en-GB"/>
        </w:rPr>
      </w:pPr>
    </w:p>
    <w:p w14:paraId="205B201C" w14:textId="25E743BD" w:rsidR="0009667C" w:rsidRDefault="0009667C" w:rsidP="0009667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Article 2(d) of the MLCBI defines “foreign representative” as a person or body, including one appointed on an interim basis, authorised in a foreign proceeding to administer the reorganisation or the liquidation of the debtor’s assets or affairs or to act as a representative of the foreign proceeding.</w:t>
      </w:r>
    </w:p>
    <w:p w14:paraId="341E5DA9" w14:textId="6F514794" w:rsidR="009730B7" w:rsidRDefault="009730B7" w:rsidP="0009667C">
      <w:pPr>
        <w:ind w:left="720" w:hanging="720"/>
        <w:jc w:val="both"/>
        <w:rPr>
          <w:rFonts w:ascii="Arial" w:hAnsi="Arial" w:cs="Arial"/>
          <w:color w:val="7B7B7B" w:themeColor="accent3" w:themeShade="BF"/>
          <w:sz w:val="22"/>
          <w:szCs w:val="22"/>
          <w:lang w:val="en-GB"/>
        </w:rPr>
      </w:pPr>
    </w:p>
    <w:p w14:paraId="1C33F560" w14:textId="17E14E76" w:rsidR="009730B7" w:rsidRDefault="009730B7" w:rsidP="0009667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Paragraph 86 of the GEI states that Article 2(d) MLCBI recognises that the foreign representative may be a person authorised in the foreign proceedings to administer those proceedings which would include seeking recognition, relief and cooperation in another jurisdiction, or they may simply be a person authorised specifically for the purposes of representing those proceedings.</w:t>
      </w:r>
    </w:p>
    <w:p w14:paraId="398BBF2A" w14:textId="10CE53A2" w:rsidR="009730B7" w:rsidRDefault="009730B7" w:rsidP="0009667C">
      <w:pPr>
        <w:ind w:left="720" w:hanging="720"/>
        <w:jc w:val="both"/>
        <w:rPr>
          <w:rFonts w:ascii="Arial" w:hAnsi="Arial" w:cs="Arial"/>
          <w:color w:val="7B7B7B" w:themeColor="accent3" w:themeShade="BF"/>
          <w:sz w:val="22"/>
          <w:szCs w:val="22"/>
          <w:lang w:val="en-GB"/>
        </w:rPr>
      </w:pPr>
    </w:p>
    <w:p w14:paraId="566B150A" w14:textId="12583CEB" w:rsidR="009730B7" w:rsidRDefault="009730B7" w:rsidP="0009667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The Applicants in this case are the DGF and </w:t>
      </w:r>
      <w:r w:rsidRPr="009730B7">
        <w:rPr>
          <w:rFonts w:ascii="Arial" w:hAnsi="Arial" w:cs="Arial"/>
          <w:color w:val="7B7B7B" w:themeColor="accent3" w:themeShade="BF"/>
          <w:sz w:val="22"/>
          <w:szCs w:val="22"/>
          <w:lang w:val="en-GB"/>
        </w:rPr>
        <w:t xml:space="preserve">Ms G, in her capacity as authorised officer of the </w:t>
      </w:r>
      <w:r>
        <w:rPr>
          <w:rFonts w:ascii="Arial" w:hAnsi="Arial" w:cs="Arial"/>
          <w:color w:val="7B7B7B" w:themeColor="accent3" w:themeShade="BF"/>
          <w:sz w:val="22"/>
          <w:szCs w:val="22"/>
          <w:lang w:val="en-GB"/>
        </w:rPr>
        <w:t>DGF. The issue is whether the DGF and Ms G, in her capacity as authorised officer of the DGF</w:t>
      </w:r>
      <w:r w:rsidR="009F7E2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fall within the definition of “foreign representative” in Article 2(d) of the MLCBI.</w:t>
      </w:r>
    </w:p>
    <w:p w14:paraId="7FD76830" w14:textId="5A0A796B" w:rsidR="009730B7" w:rsidRDefault="009730B7" w:rsidP="0009667C">
      <w:pPr>
        <w:ind w:left="720" w:hanging="720"/>
        <w:jc w:val="both"/>
        <w:rPr>
          <w:rFonts w:ascii="Arial" w:hAnsi="Arial" w:cs="Arial"/>
          <w:color w:val="7B7B7B" w:themeColor="accent3" w:themeShade="BF"/>
          <w:sz w:val="22"/>
          <w:szCs w:val="22"/>
          <w:lang w:val="en-GB"/>
        </w:rPr>
      </w:pPr>
    </w:p>
    <w:p w14:paraId="74D4BC33" w14:textId="73DA7BB4" w:rsidR="0082725A" w:rsidRDefault="009730B7" w:rsidP="0082725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0082725A">
        <w:rPr>
          <w:rFonts w:ascii="Arial" w:hAnsi="Arial" w:cs="Arial"/>
          <w:color w:val="7B7B7B" w:themeColor="accent3" w:themeShade="BF"/>
          <w:sz w:val="22"/>
          <w:szCs w:val="22"/>
          <w:lang w:val="en-GB"/>
        </w:rPr>
        <w:t>In respect of the DGF, t</w:t>
      </w:r>
      <w:r>
        <w:rPr>
          <w:rFonts w:ascii="Arial" w:hAnsi="Arial" w:cs="Arial"/>
          <w:color w:val="7B7B7B" w:themeColor="accent3" w:themeShade="BF"/>
          <w:sz w:val="22"/>
          <w:szCs w:val="22"/>
          <w:lang w:val="en-GB"/>
        </w:rPr>
        <w:t>he facts of the case state</w:t>
      </w:r>
      <w:r w:rsidR="0082725A">
        <w:rPr>
          <w:rFonts w:ascii="Arial" w:hAnsi="Arial" w:cs="Arial"/>
          <w:color w:val="7B7B7B" w:themeColor="accent3" w:themeShade="BF"/>
          <w:sz w:val="22"/>
          <w:szCs w:val="22"/>
          <w:lang w:val="en-GB"/>
        </w:rPr>
        <w:t xml:space="preserve"> that –</w:t>
      </w:r>
    </w:p>
    <w:p w14:paraId="083DC718" w14:textId="4103F3D8" w:rsidR="0082725A" w:rsidRDefault="0082725A" w:rsidP="0082725A">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82725A">
        <w:rPr>
          <w:rFonts w:ascii="Arial" w:hAnsi="Arial" w:cs="Arial"/>
          <w:color w:val="7B7B7B" w:themeColor="accent3" w:themeShade="BF"/>
          <w:sz w:val="22"/>
          <w:szCs w:val="22"/>
          <w:lang w:val="en-GB"/>
        </w:rPr>
        <w:t xml:space="preserve">he DGF is obliged to commence liquidation proceedings against </w:t>
      </w:r>
      <w:r>
        <w:rPr>
          <w:rFonts w:ascii="Arial" w:hAnsi="Arial" w:cs="Arial"/>
          <w:color w:val="7B7B7B" w:themeColor="accent3" w:themeShade="BF"/>
          <w:sz w:val="22"/>
          <w:szCs w:val="22"/>
          <w:lang w:val="en-GB"/>
        </w:rPr>
        <w:t>the Bank</w:t>
      </w:r>
      <w:r w:rsidRPr="0082725A">
        <w:rPr>
          <w:rFonts w:ascii="Arial" w:hAnsi="Arial" w:cs="Arial"/>
          <w:color w:val="7B7B7B" w:themeColor="accent3" w:themeShade="BF"/>
          <w:sz w:val="22"/>
          <w:szCs w:val="22"/>
          <w:lang w:val="en-GB"/>
        </w:rPr>
        <w:t xml:space="preserve"> on or before the next working day after the NB’s decision to revoke the </w:t>
      </w:r>
      <w:r>
        <w:rPr>
          <w:rFonts w:ascii="Arial" w:hAnsi="Arial" w:cs="Arial"/>
          <w:color w:val="7B7B7B" w:themeColor="accent3" w:themeShade="BF"/>
          <w:sz w:val="22"/>
          <w:szCs w:val="22"/>
          <w:lang w:val="en-GB"/>
        </w:rPr>
        <w:t>B</w:t>
      </w:r>
      <w:r w:rsidRPr="0082725A">
        <w:rPr>
          <w:rFonts w:ascii="Arial" w:hAnsi="Arial" w:cs="Arial"/>
          <w:color w:val="7B7B7B" w:themeColor="accent3" w:themeShade="BF"/>
          <w:sz w:val="22"/>
          <w:szCs w:val="22"/>
          <w:lang w:val="en-GB"/>
        </w:rPr>
        <w:t>ank’</w:t>
      </w:r>
      <w:r>
        <w:rPr>
          <w:rFonts w:ascii="Arial" w:hAnsi="Arial" w:cs="Arial"/>
          <w:color w:val="7B7B7B" w:themeColor="accent3" w:themeShade="BF"/>
          <w:sz w:val="22"/>
          <w:szCs w:val="22"/>
          <w:lang w:val="en-GB"/>
        </w:rPr>
        <w:t xml:space="preserve">s licence; </w:t>
      </w:r>
    </w:p>
    <w:p w14:paraId="6442CCBF" w14:textId="6404AA54" w:rsidR="0082725A" w:rsidRDefault="0082725A" w:rsidP="0082725A">
      <w:pPr>
        <w:pStyle w:val="ListParagraph"/>
        <w:numPr>
          <w:ilvl w:val="0"/>
          <w:numId w:val="29"/>
        </w:numPr>
        <w:jc w:val="both"/>
        <w:rPr>
          <w:rFonts w:ascii="Arial" w:hAnsi="Arial" w:cs="Arial"/>
          <w:color w:val="7B7B7B" w:themeColor="accent3" w:themeShade="BF"/>
          <w:sz w:val="22"/>
          <w:szCs w:val="22"/>
          <w:lang w:val="en-GB"/>
        </w:rPr>
      </w:pPr>
      <w:r w:rsidRPr="0082725A">
        <w:rPr>
          <w:rFonts w:ascii="Arial" w:hAnsi="Arial" w:cs="Arial"/>
          <w:color w:val="7B7B7B" w:themeColor="accent3" w:themeShade="BF"/>
          <w:sz w:val="22"/>
          <w:szCs w:val="22"/>
          <w:lang w:val="en-GB"/>
        </w:rPr>
        <w:t xml:space="preserve">Article 77 of the LBBA provides that the DGF automatically becomes liquidator of </w:t>
      </w:r>
      <w:r>
        <w:rPr>
          <w:rFonts w:ascii="Arial" w:hAnsi="Arial" w:cs="Arial"/>
          <w:color w:val="7B7B7B" w:themeColor="accent3" w:themeShade="BF"/>
          <w:sz w:val="22"/>
          <w:szCs w:val="22"/>
          <w:lang w:val="en-GB"/>
        </w:rPr>
        <w:t>the</w:t>
      </w:r>
      <w:r w:rsidRPr="0082725A">
        <w:rPr>
          <w:rFonts w:ascii="Arial" w:hAnsi="Arial" w:cs="Arial"/>
          <w:color w:val="7B7B7B" w:themeColor="accent3" w:themeShade="BF"/>
          <w:sz w:val="22"/>
          <w:szCs w:val="22"/>
          <w:lang w:val="en-GB"/>
        </w:rPr>
        <w:t xml:space="preserve"> bank on the date it receives confirmation of the NB’s decision to revoke </w:t>
      </w:r>
      <w:r>
        <w:rPr>
          <w:rFonts w:ascii="Arial" w:hAnsi="Arial" w:cs="Arial"/>
          <w:color w:val="7B7B7B" w:themeColor="accent3" w:themeShade="BF"/>
          <w:sz w:val="22"/>
          <w:szCs w:val="22"/>
          <w:lang w:val="en-GB"/>
        </w:rPr>
        <w:t>the B</w:t>
      </w:r>
      <w:r w:rsidRPr="0082725A">
        <w:rPr>
          <w:rFonts w:ascii="Arial" w:hAnsi="Arial" w:cs="Arial"/>
          <w:color w:val="7B7B7B" w:themeColor="accent3" w:themeShade="BF"/>
          <w:sz w:val="22"/>
          <w:szCs w:val="22"/>
          <w:lang w:val="en-GB"/>
        </w:rPr>
        <w:t xml:space="preserve">ank’s licence. At that point, the DGF acquires the full powers of a liquidator under the law </w:t>
      </w:r>
      <w:r>
        <w:rPr>
          <w:rFonts w:ascii="Arial" w:hAnsi="Arial" w:cs="Arial"/>
          <w:color w:val="7B7B7B" w:themeColor="accent3" w:themeShade="BF"/>
          <w:sz w:val="22"/>
          <w:szCs w:val="22"/>
          <w:lang w:val="en-GB"/>
        </w:rPr>
        <w:t xml:space="preserve">of Country A; </w:t>
      </w:r>
    </w:p>
    <w:p w14:paraId="5F814F9C" w14:textId="12D3AEED" w:rsidR="0082725A" w:rsidRDefault="0082725A" w:rsidP="0082725A">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appointed, the DGF has the necessary powers to administer the liquidation of the assets and affairs of the B</w:t>
      </w:r>
      <w:r w:rsidR="006B1C54">
        <w:rPr>
          <w:rFonts w:ascii="Arial" w:hAnsi="Arial" w:cs="Arial"/>
          <w:color w:val="7B7B7B" w:themeColor="accent3" w:themeShade="BF"/>
          <w:sz w:val="22"/>
          <w:szCs w:val="22"/>
          <w:lang w:val="en-GB"/>
        </w:rPr>
        <w:t xml:space="preserve">ank; </w:t>
      </w:r>
    </w:p>
    <w:p w14:paraId="2E52B8C8" w14:textId="133B7B52" w:rsidR="006B1C54" w:rsidRDefault="006B1C54" w:rsidP="0082725A">
      <w:pPr>
        <w:pStyle w:val="ListParagraph"/>
        <w:numPr>
          <w:ilvl w:val="0"/>
          <w:numId w:val="29"/>
        </w:numPr>
        <w:jc w:val="both"/>
        <w:rPr>
          <w:rFonts w:ascii="Arial" w:hAnsi="Arial" w:cs="Arial"/>
          <w:color w:val="7B7B7B" w:themeColor="accent3" w:themeShade="BF"/>
          <w:sz w:val="22"/>
          <w:szCs w:val="22"/>
          <w:lang w:val="en-GB"/>
        </w:rPr>
      </w:pPr>
      <w:r w:rsidRPr="006B1C54">
        <w:rPr>
          <w:rFonts w:ascii="Arial" w:hAnsi="Arial" w:cs="Arial"/>
          <w:color w:val="7B7B7B" w:themeColor="accent3" w:themeShade="BF"/>
          <w:sz w:val="22"/>
          <w:szCs w:val="22"/>
          <w:lang w:val="en-GB"/>
        </w:rPr>
        <w:t xml:space="preserve">on 17 December 2015, the NB formally revoked the Bank’s banking licence and </w:t>
      </w:r>
      <w:r>
        <w:rPr>
          <w:rFonts w:ascii="Arial" w:hAnsi="Arial" w:cs="Arial"/>
          <w:color w:val="7B7B7B" w:themeColor="accent3" w:themeShade="BF"/>
          <w:sz w:val="22"/>
          <w:szCs w:val="22"/>
          <w:lang w:val="en-GB"/>
        </w:rPr>
        <w:t>resolved that it be liquidated; and</w:t>
      </w:r>
    </w:p>
    <w:p w14:paraId="5DEA877F" w14:textId="5DBBC716" w:rsidR="006B1C54" w:rsidRDefault="006B1C54" w:rsidP="0082725A">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18 December 2015,</w:t>
      </w:r>
      <w:r w:rsidRPr="006B1C54">
        <w:rPr>
          <w:rFonts w:ascii="Arial" w:hAnsi="Arial" w:cs="Arial"/>
          <w:color w:val="7B7B7B" w:themeColor="accent3" w:themeShade="BF"/>
          <w:sz w:val="22"/>
          <w:szCs w:val="22"/>
          <w:lang w:val="en-GB"/>
        </w:rPr>
        <w:t xml:space="preserve"> the DGF initiated the liquidation procedure</w:t>
      </w:r>
      <w:r>
        <w:rPr>
          <w:rFonts w:ascii="Arial" w:hAnsi="Arial" w:cs="Arial"/>
          <w:color w:val="7B7B7B" w:themeColor="accent3" w:themeShade="BF"/>
          <w:sz w:val="22"/>
          <w:szCs w:val="22"/>
          <w:lang w:val="en-GB"/>
        </w:rPr>
        <w:t>.</w:t>
      </w:r>
    </w:p>
    <w:p w14:paraId="51C50757" w14:textId="219AA367" w:rsidR="0082725A" w:rsidRDefault="0082725A" w:rsidP="0082725A">
      <w:pPr>
        <w:ind w:left="720"/>
        <w:jc w:val="both"/>
        <w:rPr>
          <w:rFonts w:ascii="Arial" w:hAnsi="Arial" w:cs="Arial"/>
          <w:color w:val="7B7B7B" w:themeColor="accent3" w:themeShade="BF"/>
          <w:sz w:val="22"/>
          <w:szCs w:val="22"/>
          <w:lang w:val="en-GB"/>
        </w:rPr>
      </w:pPr>
    </w:p>
    <w:p w14:paraId="447B6369" w14:textId="28C12C3E" w:rsidR="0082725A" w:rsidRDefault="0082725A" w:rsidP="0082725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Being a body </w:t>
      </w:r>
      <w:r w:rsidRPr="0082725A">
        <w:rPr>
          <w:rFonts w:ascii="Arial" w:hAnsi="Arial" w:cs="Arial"/>
          <w:color w:val="7B7B7B" w:themeColor="accent3" w:themeShade="BF"/>
          <w:sz w:val="22"/>
          <w:szCs w:val="22"/>
          <w:lang w:val="en-GB"/>
        </w:rPr>
        <w:t xml:space="preserve">authorised in </w:t>
      </w:r>
      <w:r>
        <w:rPr>
          <w:rFonts w:ascii="Arial" w:hAnsi="Arial" w:cs="Arial"/>
          <w:color w:val="7B7B7B" w:themeColor="accent3" w:themeShade="BF"/>
          <w:sz w:val="22"/>
          <w:szCs w:val="22"/>
          <w:lang w:val="en-GB"/>
        </w:rPr>
        <w:t>the liquidation of the Bank in Country A</w:t>
      </w:r>
      <w:r w:rsidRPr="0082725A">
        <w:rPr>
          <w:rFonts w:ascii="Arial" w:hAnsi="Arial" w:cs="Arial"/>
          <w:color w:val="7B7B7B" w:themeColor="accent3" w:themeShade="BF"/>
          <w:sz w:val="22"/>
          <w:szCs w:val="22"/>
          <w:lang w:val="en-GB"/>
        </w:rPr>
        <w:t xml:space="preserve"> to administer the liquidation of the </w:t>
      </w:r>
      <w:r>
        <w:rPr>
          <w:rFonts w:ascii="Arial" w:hAnsi="Arial" w:cs="Arial"/>
          <w:color w:val="7B7B7B" w:themeColor="accent3" w:themeShade="BF"/>
          <w:sz w:val="22"/>
          <w:szCs w:val="22"/>
          <w:lang w:val="en-GB"/>
        </w:rPr>
        <w:t>Bank’s</w:t>
      </w:r>
      <w:r w:rsidRPr="0082725A">
        <w:rPr>
          <w:rFonts w:ascii="Arial" w:hAnsi="Arial" w:cs="Arial"/>
          <w:color w:val="7B7B7B" w:themeColor="accent3" w:themeShade="BF"/>
          <w:sz w:val="22"/>
          <w:szCs w:val="22"/>
          <w:lang w:val="en-GB"/>
        </w:rPr>
        <w:t xml:space="preserve"> assets </w:t>
      </w:r>
      <w:r>
        <w:rPr>
          <w:rFonts w:ascii="Arial" w:hAnsi="Arial" w:cs="Arial"/>
          <w:color w:val="7B7B7B" w:themeColor="accent3" w:themeShade="BF"/>
          <w:sz w:val="22"/>
          <w:szCs w:val="22"/>
          <w:lang w:val="en-GB"/>
        </w:rPr>
        <w:t>and</w:t>
      </w:r>
      <w:r w:rsidRPr="0082725A">
        <w:rPr>
          <w:rFonts w:ascii="Arial" w:hAnsi="Arial" w:cs="Arial"/>
          <w:color w:val="7B7B7B" w:themeColor="accent3" w:themeShade="BF"/>
          <w:sz w:val="22"/>
          <w:szCs w:val="22"/>
          <w:lang w:val="en-GB"/>
        </w:rPr>
        <w:t xml:space="preserve"> affairs</w:t>
      </w:r>
      <w:r>
        <w:rPr>
          <w:rFonts w:ascii="Arial" w:hAnsi="Arial" w:cs="Arial"/>
          <w:color w:val="7B7B7B" w:themeColor="accent3" w:themeShade="BF"/>
          <w:sz w:val="22"/>
          <w:szCs w:val="22"/>
          <w:lang w:val="en-GB"/>
        </w:rPr>
        <w:t>, the DGF would fall within the definition of a “foreign representative” under Article 2(d) MLCBI.</w:t>
      </w:r>
    </w:p>
    <w:p w14:paraId="15CB0EFB" w14:textId="4E283BC4" w:rsidR="0082725A" w:rsidRDefault="0082725A" w:rsidP="0082725A">
      <w:pPr>
        <w:jc w:val="both"/>
        <w:rPr>
          <w:rFonts w:ascii="Arial" w:hAnsi="Arial" w:cs="Arial"/>
          <w:color w:val="7B7B7B" w:themeColor="accent3" w:themeShade="BF"/>
          <w:sz w:val="22"/>
          <w:szCs w:val="22"/>
          <w:lang w:val="en-GB"/>
        </w:rPr>
      </w:pPr>
    </w:p>
    <w:p w14:paraId="7889A604" w14:textId="09F74418" w:rsidR="0082725A" w:rsidRDefault="0082725A" w:rsidP="0082725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next question is whether </w:t>
      </w:r>
      <w:r w:rsidRPr="0082725A">
        <w:rPr>
          <w:rFonts w:ascii="Arial" w:hAnsi="Arial" w:cs="Arial"/>
          <w:color w:val="7B7B7B" w:themeColor="accent3" w:themeShade="BF"/>
          <w:sz w:val="22"/>
          <w:szCs w:val="22"/>
          <w:lang w:val="en-GB"/>
        </w:rPr>
        <w:t>Ms G, in her capacity as authorised officer of the DGF</w:t>
      </w:r>
      <w:r w:rsidR="009F7E21">
        <w:rPr>
          <w:rFonts w:ascii="Arial" w:hAnsi="Arial" w:cs="Arial"/>
          <w:color w:val="7B7B7B" w:themeColor="accent3" w:themeShade="BF"/>
          <w:sz w:val="22"/>
          <w:szCs w:val="22"/>
          <w:lang w:val="en-GB"/>
        </w:rPr>
        <w:t>,</w:t>
      </w:r>
      <w:r w:rsidRPr="0082725A">
        <w:rPr>
          <w:rFonts w:ascii="Arial" w:hAnsi="Arial" w:cs="Arial"/>
          <w:color w:val="7B7B7B" w:themeColor="accent3" w:themeShade="BF"/>
          <w:sz w:val="22"/>
          <w:szCs w:val="22"/>
          <w:lang w:val="en-GB"/>
        </w:rPr>
        <w:t xml:space="preserve"> fall</w:t>
      </w:r>
      <w:r w:rsidR="009F7E21">
        <w:rPr>
          <w:rFonts w:ascii="Arial" w:hAnsi="Arial" w:cs="Arial"/>
          <w:color w:val="7B7B7B" w:themeColor="accent3" w:themeShade="BF"/>
          <w:sz w:val="22"/>
          <w:szCs w:val="22"/>
          <w:lang w:val="en-GB"/>
        </w:rPr>
        <w:t>s</w:t>
      </w:r>
      <w:r w:rsidRPr="0082725A">
        <w:rPr>
          <w:rFonts w:ascii="Arial" w:hAnsi="Arial" w:cs="Arial"/>
          <w:color w:val="7B7B7B" w:themeColor="accent3" w:themeShade="BF"/>
          <w:sz w:val="22"/>
          <w:szCs w:val="22"/>
          <w:lang w:val="en-GB"/>
        </w:rPr>
        <w:t xml:space="preserve"> within the definition of “foreign representative” in Article 2(d) of the MLCBI</w:t>
      </w:r>
      <w:r>
        <w:rPr>
          <w:rFonts w:ascii="Arial" w:hAnsi="Arial" w:cs="Arial"/>
          <w:color w:val="7B7B7B" w:themeColor="accent3" w:themeShade="BF"/>
          <w:sz w:val="22"/>
          <w:szCs w:val="22"/>
          <w:lang w:val="en-GB"/>
        </w:rPr>
        <w:t>. The facts of the case state that –</w:t>
      </w:r>
    </w:p>
    <w:p w14:paraId="5EE0F049" w14:textId="46705B83" w:rsidR="009730B7" w:rsidRDefault="006B1C54" w:rsidP="006B1C54">
      <w:pPr>
        <w:pStyle w:val="ListParagraph"/>
        <w:numPr>
          <w:ilvl w:val="0"/>
          <w:numId w:val="30"/>
        </w:numPr>
        <w:jc w:val="both"/>
        <w:rPr>
          <w:rFonts w:ascii="Arial" w:hAnsi="Arial" w:cs="Arial"/>
          <w:color w:val="7B7B7B" w:themeColor="accent3" w:themeShade="BF"/>
          <w:sz w:val="22"/>
          <w:szCs w:val="22"/>
          <w:lang w:val="en-GB"/>
        </w:rPr>
      </w:pPr>
      <w:r w:rsidRPr="006B1C54">
        <w:rPr>
          <w:rFonts w:ascii="Arial" w:hAnsi="Arial" w:cs="Arial"/>
          <w:color w:val="7B7B7B" w:themeColor="accent3" w:themeShade="BF"/>
          <w:sz w:val="22"/>
          <w:szCs w:val="22"/>
          <w:lang w:val="en-GB"/>
        </w:rPr>
        <w:t>the DGF is empowered, by article 48(3) of the DGF Law, to delegate its powers to an “authorised o</w:t>
      </w:r>
      <w:r>
        <w:rPr>
          <w:rFonts w:ascii="Arial" w:hAnsi="Arial" w:cs="Arial"/>
          <w:color w:val="7B7B7B" w:themeColor="accent3" w:themeShade="BF"/>
          <w:sz w:val="22"/>
          <w:szCs w:val="22"/>
          <w:lang w:val="en-GB"/>
        </w:rPr>
        <w:t xml:space="preserve">fficer” or “authorised person”; </w:t>
      </w:r>
    </w:p>
    <w:p w14:paraId="40514569" w14:textId="77777777" w:rsidR="006B1C54" w:rsidRDefault="006B1C54" w:rsidP="006B1C54">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w:t>
      </w:r>
      <w:r w:rsidRPr="006B1C54">
        <w:rPr>
          <w:rFonts w:ascii="Arial" w:hAnsi="Arial" w:cs="Arial"/>
          <w:color w:val="7B7B7B" w:themeColor="accent3" w:themeShade="BF"/>
          <w:sz w:val="22"/>
          <w:szCs w:val="22"/>
          <w:lang w:val="en-GB"/>
        </w:rPr>
        <w:t xml:space="preserve">n 17 December 2015, the NB formally revoked the Bank’s banking licence and </w:t>
      </w:r>
      <w:r>
        <w:rPr>
          <w:rFonts w:ascii="Arial" w:hAnsi="Arial" w:cs="Arial"/>
          <w:color w:val="7B7B7B" w:themeColor="accent3" w:themeShade="BF"/>
          <w:sz w:val="22"/>
          <w:szCs w:val="22"/>
          <w:lang w:val="en-GB"/>
        </w:rPr>
        <w:t>resolved that it be liquidated;</w:t>
      </w:r>
    </w:p>
    <w:p w14:paraId="4BAC7737" w14:textId="278B7E2E" w:rsidR="006B1C54" w:rsidRPr="006B1C54" w:rsidRDefault="006B1C54" w:rsidP="006B1C54">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18 December 2015</w:t>
      </w:r>
      <w:r w:rsidRPr="006B1C54">
        <w:rPr>
          <w:rFonts w:ascii="Arial" w:hAnsi="Arial" w:cs="Arial"/>
          <w:color w:val="7B7B7B" w:themeColor="accent3" w:themeShade="BF"/>
          <w:sz w:val="22"/>
          <w:szCs w:val="22"/>
          <w:lang w:val="en-GB"/>
        </w:rPr>
        <w:t>, the DGF initiated the liquidation procedure and appointed Ms C as the first of the DGF’s authorised persons to whom powers of the liquidator were delegated. Ms C was replaced as authorised officer with eff</w:t>
      </w:r>
      <w:r w:rsidR="009F7E21">
        <w:rPr>
          <w:rFonts w:ascii="Arial" w:hAnsi="Arial" w:cs="Arial"/>
          <w:color w:val="7B7B7B" w:themeColor="accent3" w:themeShade="BF"/>
          <w:sz w:val="22"/>
          <w:szCs w:val="22"/>
          <w:lang w:val="en-GB"/>
        </w:rPr>
        <w:t>ect from 17 August 2020 by Ms G; and</w:t>
      </w:r>
    </w:p>
    <w:p w14:paraId="11740A3E" w14:textId="1E2BBE9A" w:rsidR="006B1C54" w:rsidRDefault="006B1C54" w:rsidP="006B1C54">
      <w:pPr>
        <w:pStyle w:val="ListParagraph"/>
        <w:numPr>
          <w:ilvl w:val="0"/>
          <w:numId w:val="30"/>
        </w:numPr>
        <w:jc w:val="both"/>
        <w:rPr>
          <w:rFonts w:ascii="Arial" w:hAnsi="Arial" w:cs="Arial"/>
          <w:color w:val="7B7B7B" w:themeColor="accent3" w:themeShade="BF"/>
          <w:sz w:val="22"/>
          <w:szCs w:val="22"/>
          <w:lang w:val="en-GB"/>
        </w:rPr>
      </w:pPr>
      <w:r w:rsidRPr="006B1C54">
        <w:rPr>
          <w:rFonts w:ascii="Arial" w:hAnsi="Arial" w:cs="Arial"/>
          <w:color w:val="7B7B7B" w:themeColor="accent3" w:themeShade="BF"/>
          <w:sz w:val="22"/>
          <w:szCs w:val="22"/>
          <w:lang w:val="en-GB"/>
        </w:rPr>
        <w:t xml:space="preserve">Ms G’s appointment was pursuant to a Decision of the Executive Board of the Directors of the DGF, No 1513 (Resolution 1513). </w:t>
      </w:r>
      <w:r>
        <w:rPr>
          <w:rFonts w:ascii="Arial" w:hAnsi="Arial" w:cs="Arial"/>
          <w:color w:val="7B7B7B" w:themeColor="accent3" w:themeShade="BF"/>
          <w:sz w:val="22"/>
          <w:szCs w:val="22"/>
          <w:lang w:val="en-GB"/>
        </w:rPr>
        <w:t>Resolution 1513</w:t>
      </w:r>
      <w:r w:rsidRPr="006B1C54">
        <w:rPr>
          <w:rFonts w:ascii="Arial" w:hAnsi="Arial" w:cs="Arial"/>
          <w:color w:val="7B7B7B" w:themeColor="accent3" w:themeShade="BF"/>
          <w:sz w:val="22"/>
          <w:szCs w:val="22"/>
          <w:lang w:val="en-GB"/>
        </w:rPr>
        <w:t xml:space="preserve"> delegates to </w:t>
      </w:r>
      <w:r>
        <w:rPr>
          <w:rFonts w:ascii="Arial" w:hAnsi="Arial" w:cs="Arial"/>
          <w:color w:val="7B7B7B" w:themeColor="accent3" w:themeShade="BF"/>
          <w:sz w:val="22"/>
          <w:szCs w:val="22"/>
          <w:lang w:val="en-GB"/>
        </w:rPr>
        <w:t xml:space="preserve">Ms G </w:t>
      </w:r>
      <w:r w:rsidRPr="006B1C54">
        <w:rPr>
          <w:rFonts w:ascii="Arial" w:hAnsi="Arial" w:cs="Arial"/>
          <w:color w:val="7B7B7B" w:themeColor="accent3" w:themeShade="BF"/>
          <w:sz w:val="22"/>
          <w:szCs w:val="22"/>
          <w:lang w:val="en-GB"/>
        </w:rPr>
        <w:t xml:space="preserve">all liquidation powers in respect of the Bank set out in the DGF Law including the authority to sign all agreements related to the sale of the </w:t>
      </w:r>
      <w:r>
        <w:rPr>
          <w:rFonts w:ascii="Arial" w:hAnsi="Arial" w:cs="Arial"/>
          <w:color w:val="7B7B7B" w:themeColor="accent3" w:themeShade="BF"/>
          <w:sz w:val="22"/>
          <w:szCs w:val="22"/>
          <w:lang w:val="en-GB"/>
        </w:rPr>
        <w:t>B</w:t>
      </w:r>
      <w:r w:rsidRPr="006B1C54">
        <w:rPr>
          <w:rFonts w:ascii="Arial" w:hAnsi="Arial" w:cs="Arial"/>
          <w:color w:val="7B7B7B" w:themeColor="accent3" w:themeShade="BF"/>
          <w:sz w:val="22"/>
          <w:szCs w:val="22"/>
          <w:lang w:val="en-GB"/>
        </w:rPr>
        <w:t xml:space="preserve">ank’s assets in the manner prescribed by the DGF Law. Resolution 1513 expressly excludes from Ms G’s authority the power to claim damages from a related party of the Bank, the power to make a claim against a non-banking financial </w:t>
      </w:r>
      <w:r w:rsidRPr="006B1C54">
        <w:rPr>
          <w:rFonts w:ascii="Arial" w:hAnsi="Arial" w:cs="Arial"/>
          <w:color w:val="7B7B7B" w:themeColor="accent3" w:themeShade="BF"/>
          <w:sz w:val="22"/>
          <w:szCs w:val="22"/>
          <w:lang w:val="en-GB"/>
        </w:rPr>
        <w:lastRenderedPageBreak/>
        <w:t>institution that raised money as loans or deposits from individuals, and the power to arrange for the sale of the Bank’s assets. Each of the excluded powers remains vested in the DGF as the Bank’s formally appointed liquidator</w:t>
      </w:r>
      <w:r w:rsidR="00C24EC9">
        <w:rPr>
          <w:rFonts w:ascii="Arial" w:hAnsi="Arial" w:cs="Arial"/>
          <w:color w:val="7B7B7B" w:themeColor="accent3" w:themeShade="BF"/>
          <w:sz w:val="22"/>
          <w:szCs w:val="22"/>
          <w:lang w:val="en-GB"/>
        </w:rPr>
        <w:t>.</w:t>
      </w:r>
    </w:p>
    <w:p w14:paraId="0F3BDAD6" w14:textId="4A2C823E" w:rsidR="00C24EC9" w:rsidRDefault="00C24EC9" w:rsidP="00C24EC9">
      <w:pPr>
        <w:ind w:left="720"/>
        <w:jc w:val="both"/>
        <w:rPr>
          <w:rFonts w:ascii="Arial" w:hAnsi="Arial" w:cs="Arial"/>
          <w:color w:val="7B7B7B" w:themeColor="accent3" w:themeShade="BF"/>
          <w:sz w:val="22"/>
          <w:szCs w:val="22"/>
          <w:lang w:val="en-GB"/>
        </w:rPr>
      </w:pPr>
    </w:p>
    <w:p w14:paraId="288D59DE" w14:textId="35A254EE" w:rsidR="00C24EC9" w:rsidRDefault="00C24EC9" w:rsidP="00C24EC9">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G is appointed and authorised by the DGF to carry out all liquidation powers of the DGF save for certain excluded powers as stated in Resolution 1513. In this regard, the GEI in paragraph 86 states that the MLCBI does not specify that the foreign representative must be authorised by the court (as defined in Article 2(e) MLCBI) and the definition is thus sufficiently broad to include appointments that might be made by a special agency other than the court. </w:t>
      </w:r>
    </w:p>
    <w:p w14:paraId="2FA10441" w14:textId="234D1358" w:rsidR="00C24EC9" w:rsidRDefault="00C24EC9" w:rsidP="00C24EC9">
      <w:pPr>
        <w:ind w:left="720"/>
        <w:jc w:val="both"/>
        <w:rPr>
          <w:rFonts w:ascii="Arial" w:hAnsi="Arial" w:cs="Arial"/>
          <w:color w:val="7B7B7B" w:themeColor="accent3" w:themeShade="BF"/>
          <w:sz w:val="22"/>
          <w:szCs w:val="22"/>
          <w:lang w:val="en-GB"/>
        </w:rPr>
      </w:pPr>
    </w:p>
    <w:p w14:paraId="5EEBDF6C" w14:textId="51835198" w:rsidR="00C24EC9" w:rsidRDefault="00C24EC9" w:rsidP="00C24EC9">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 long as Ms G exercises the specific powers that are delegated to her by Resolution 1513, Ms G would be a person</w:t>
      </w:r>
      <w:r w:rsidRPr="00C24EC9">
        <w:rPr>
          <w:rFonts w:ascii="Arial" w:hAnsi="Arial" w:cs="Arial"/>
          <w:color w:val="7B7B7B" w:themeColor="accent3" w:themeShade="BF"/>
          <w:sz w:val="22"/>
          <w:szCs w:val="22"/>
          <w:lang w:val="en-GB"/>
        </w:rPr>
        <w:t xml:space="preserve"> authorised in the liquidation of the Bank in Country A to administer the liquidation of the Bank’s assets and affairs</w:t>
      </w:r>
      <w:r>
        <w:rPr>
          <w:rFonts w:ascii="Arial" w:hAnsi="Arial" w:cs="Arial"/>
          <w:color w:val="7B7B7B" w:themeColor="accent3" w:themeShade="BF"/>
          <w:sz w:val="22"/>
          <w:szCs w:val="22"/>
          <w:lang w:val="en-GB"/>
        </w:rPr>
        <w:t xml:space="preserve">. Hence, Ms G </w:t>
      </w:r>
      <w:r w:rsidRPr="00C24EC9">
        <w:rPr>
          <w:rFonts w:ascii="Arial" w:hAnsi="Arial" w:cs="Arial"/>
          <w:color w:val="7B7B7B" w:themeColor="accent3" w:themeShade="BF"/>
          <w:sz w:val="22"/>
          <w:szCs w:val="22"/>
          <w:lang w:val="en-GB"/>
        </w:rPr>
        <w:t>would fall within the definition of a “foreign representative” under Article 2(d) MLCBI</w:t>
      </w:r>
      <w:r>
        <w:rPr>
          <w:rFonts w:ascii="Arial" w:hAnsi="Arial" w:cs="Arial"/>
          <w:color w:val="7B7B7B" w:themeColor="accent3" w:themeShade="BF"/>
          <w:sz w:val="22"/>
          <w:szCs w:val="22"/>
          <w:lang w:val="en-GB"/>
        </w:rPr>
        <w:t>.</w:t>
      </w:r>
    </w:p>
    <w:p w14:paraId="35DE2510" w14:textId="54EA87E3" w:rsidR="00464E73" w:rsidRDefault="00464E73" w:rsidP="00C24EC9">
      <w:pPr>
        <w:ind w:left="720"/>
        <w:jc w:val="both"/>
        <w:rPr>
          <w:rFonts w:ascii="Arial" w:hAnsi="Arial" w:cs="Arial"/>
          <w:color w:val="7B7B7B" w:themeColor="accent3" w:themeShade="BF"/>
          <w:sz w:val="22"/>
          <w:szCs w:val="22"/>
          <w:lang w:val="en-GB"/>
        </w:rPr>
      </w:pPr>
    </w:p>
    <w:p w14:paraId="446BFEBC" w14:textId="15F803DE" w:rsidR="00464E73" w:rsidRDefault="00464E73" w:rsidP="00C24EC9">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conclusion, subject to the express limitations on Ms G’s powers, both the DGF and Ms G are authorised to administer the liquidation of the Bank and as such both meet the definition of “foreign representative” in Article 2(d). Hence, both Applicants (the DGF and Ms G) have the necessary standing to apply in that capacity, for recognition in the English courts, of the Bank’s liquidation in Country A.</w:t>
      </w:r>
      <w:r>
        <w:rPr>
          <w:rStyle w:val="FootnoteReference"/>
          <w:rFonts w:ascii="Arial" w:hAnsi="Arial" w:cs="Arial"/>
          <w:color w:val="7B7B7B" w:themeColor="accent3" w:themeShade="BF"/>
          <w:sz w:val="22"/>
          <w:szCs w:val="22"/>
          <w:lang w:val="en-GB"/>
        </w:rPr>
        <w:footnoteReference w:id="24"/>
      </w:r>
      <w:r>
        <w:rPr>
          <w:rFonts w:ascii="Arial" w:hAnsi="Arial" w:cs="Arial"/>
          <w:color w:val="7B7B7B" w:themeColor="accent3" w:themeShade="BF"/>
          <w:sz w:val="22"/>
          <w:szCs w:val="22"/>
          <w:lang w:val="en-GB"/>
        </w:rPr>
        <w:t xml:space="preserve"> </w:t>
      </w:r>
    </w:p>
    <w:p w14:paraId="59CC350D" w14:textId="0115E4C8" w:rsidR="00C24EC9" w:rsidRDefault="00C24EC9" w:rsidP="00C24EC9">
      <w:pPr>
        <w:ind w:left="720"/>
        <w:jc w:val="both"/>
        <w:rPr>
          <w:rFonts w:ascii="Arial" w:hAnsi="Arial" w:cs="Arial"/>
          <w:color w:val="7B7B7B" w:themeColor="accent3" w:themeShade="BF"/>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9494" w14:textId="77777777" w:rsidR="00EC2D19" w:rsidRDefault="00EC2D19" w:rsidP="00241B44">
      <w:r>
        <w:separator/>
      </w:r>
    </w:p>
  </w:endnote>
  <w:endnote w:type="continuationSeparator" w:id="0">
    <w:p w14:paraId="53C7A7B1" w14:textId="77777777" w:rsidR="00EC2D19" w:rsidRDefault="00EC2D1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C2D19" w:rsidRPr="00FC7B47" w:rsidRDefault="00EC2D19"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C2D19" w:rsidRPr="00FC7B47" w:rsidRDefault="00EC2D19"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Content>
      <w:p w14:paraId="79F9D49A" w14:textId="1E2A386A" w:rsidR="00EC2D19" w:rsidRPr="00784B4B" w:rsidRDefault="00EC2D19"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59199D">
          <w:rPr>
            <w:rStyle w:val="PageNumber"/>
            <w:rFonts w:ascii="Arial" w:hAnsi="Arial" w:cs="Arial"/>
            <w:noProof/>
            <w:sz w:val="18"/>
            <w:szCs w:val="18"/>
          </w:rPr>
          <w:t>23</w:t>
        </w:r>
        <w:r w:rsidRPr="00784B4B">
          <w:rPr>
            <w:rStyle w:val="PageNumber"/>
            <w:rFonts w:ascii="Arial" w:hAnsi="Arial" w:cs="Arial"/>
            <w:sz w:val="18"/>
            <w:szCs w:val="18"/>
          </w:rPr>
          <w:fldChar w:fldCharType="end"/>
        </w:r>
      </w:p>
    </w:sdtContent>
  </w:sdt>
  <w:p w14:paraId="7E7C1A9B" w14:textId="124D99DE" w:rsidR="00EC2D19" w:rsidRPr="00784B4B" w:rsidRDefault="00EC2D19" w:rsidP="0036760B">
    <w:pPr>
      <w:pStyle w:val="Footer"/>
      <w:ind w:right="360" w:firstLine="360"/>
      <w:rPr>
        <w:rFonts w:ascii="Arial" w:hAnsi="Arial" w:cs="Arial"/>
        <w:sz w:val="18"/>
        <w:szCs w:val="18"/>
      </w:rPr>
    </w:pPr>
    <w:r w:rsidRPr="00087031">
      <w:rPr>
        <w:rFonts w:ascii="Arial" w:hAnsi="Arial" w:cs="Arial"/>
        <w:sz w:val="18"/>
        <w:szCs w:val="18"/>
      </w:rPr>
      <w:t>202122-443</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F21C" w14:textId="77777777" w:rsidR="001509E2" w:rsidRDefault="001509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EC2D19" w:rsidRPr="00784B4B" w:rsidRDefault="00EC2D19"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D3B2" w14:textId="77777777" w:rsidR="00EC2D19" w:rsidRDefault="00EC2D19" w:rsidP="00241B44">
      <w:r>
        <w:separator/>
      </w:r>
    </w:p>
  </w:footnote>
  <w:footnote w:type="continuationSeparator" w:id="0">
    <w:p w14:paraId="2FE98E22" w14:textId="77777777" w:rsidR="00EC2D19" w:rsidRDefault="00EC2D19" w:rsidP="00241B44">
      <w:r>
        <w:continuationSeparator/>
      </w:r>
    </w:p>
  </w:footnote>
  <w:footnote w:id="1">
    <w:p w14:paraId="46A5E040" w14:textId="10B149F6" w:rsidR="00EC2D19" w:rsidRPr="00471BAE" w:rsidRDefault="00EC2D19" w:rsidP="00471BAE">
      <w:pPr>
        <w:pStyle w:val="FootnoteText"/>
        <w:jc w:val="both"/>
        <w:rPr>
          <w:lang w:val="en-MY"/>
        </w:rPr>
      </w:pPr>
      <w:r>
        <w:rPr>
          <w:rStyle w:val="FootnoteReference"/>
        </w:rPr>
        <w:footnoteRef/>
      </w:r>
      <w:r>
        <w:t xml:space="preserve"> </w:t>
      </w:r>
      <w:r>
        <w:rPr>
          <w:lang w:val="en-MY"/>
        </w:rPr>
        <w:t>Paragraph 157, Guide to Enactment and Interpretation of the UNCITRAL Model Law on Cross-Border Insolvency.</w:t>
      </w:r>
    </w:p>
  </w:footnote>
  <w:footnote w:id="2">
    <w:p w14:paraId="7809D74F" w14:textId="74958C05" w:rsidR="00EC2D19" w:rsidRPr="00471BAE" w:rsidRDefault="00EC2D19" w:rsidP="00471BAE">
      <w:pPr>
        <w:pStyle w:val="FootnoteText"/>
        <w:jc w:val="both"/>
        <w:rPr>
          <w:lang w:val="en-MY"/>
        </w:rPr>
      </w:pPr>
      <w:r>
        <w:rPr>
          <w:rStyle w:val="FootnoteReference"/>
        </w:rPr>
        <w:footnoteRef/>
      </w:r>
      <w:r>
        <w:t xml:space="preserve"> </w:t>
      </w:r>
      <w:r>
        <w:rPr>
          <w:lang w:val="en-MY"/>
        </w:rPr>
        <w:t>Paragraphs 159 and 160, Guide to Enactment and Interpretation of the UNCITRAL Model Law on Cross-Border Insolvency.</w:t>
      </w:r>
    </w:p>
  </w:footnote>
  <w:footnote w:id="3">
    <w:p w14:paraId="5FC61DAE" w14:textId="680B795F" w:rsidR="00EC2D19" w:rsidRPr="00E40844" w:rsidRDefault="00EC2D19" w:rsidP="00E40844">
      <w:pPr>
        <w:pStyle w:val="FootnoteText"/>
        <w:jc w:val="both"/>
        <w:rPr>
          <w:lang w:val="en-MY"/>
        </w:rPr>
      </w:pPr>
      <w:r>
        <w:rPr>
          <w:rStyle w:val="FootnoteReference"/>
        </w:rPr>
        <w:footnoteRef/>
      </w:r>
      <w:r>
        <w:t xml:space="preserve"> </w:t>
      </w:r>
      <w:r>
        <w:rPr>
          <w:lang w:val="en-MY"/>
        </w:rPr>
        <w:t>Paragraphs 159 and 160, Guide to Enactment and Interpretation of the UNCITRAL Model Law on Cross-Border Insolvency.</w:t>
      </w:r>
    </w:p>
  </w:footnote>
  <w:footnote w:id="4">
    <w:p w14:paraId="29BFA14D" w14:textId="6D569E71" w:rsidR="00EC2D19" w:rsidRPr="008E4D33" w:rsidRDefault="00EC2D19" w:rsidP="008E4D33">
      <w:pPr>
        <w:pStyle w:val="FootnoteText"/>
        <w:jc w:val="both"/>
        <w:rPr>
          <w:lang w:val="en-MY"/>
        </w:rPr>
      </w:pPr>
      <w:r>
        <w:rPr>
          <w:rStyle w:val="FootnoteReference"/>
        </w:rPr>
        <w:footnoteRef/>
      </w:r>
      <w:r>
        <w:t xml:space="preserve"> </w:t>
      </w:r>
      <w:r>
        <w:rPr>
          <w:lang w:val="en-MY"/>
        </w:rPr>
        <w:t>Paragraph 234, Guide to Enactment and Interpretation of the UNCITRAL Model Law on Cross-Border Insolvency.</w:t>
      </w:r>
    </w:p>
  </w:footnote>
  <w:footnote w:id="5">
    <w:p w14:paraId="73829616" w14:textId="59D8C2F1" w:rsidR="00EC2D19" w:rsidRPr="001B5BA4" w:rsidRDefault="00EC2D19" w:rsidP="001B5BA4">
      <w:pPr>
        <w:pStyle w:val="FootnoteText"/>
        <w:jc w:val="both"/>
        <w:rPr>
          <w:lang w:val="en-MY"/>
        </w:rPr>
      </w:pPr>
      <w:r>
        <w:rPr>
          <w:rStyle w:val="FootnoteReference"/>
        </w:rPr>
        <w:footnoteRef/>
      </w:r>
      <w:r>
        <w:t xml:space="preserve"> </w:t>
      </w:r>
      <w:r>
        <w:rPr>
          <w:lang w:val="en-MY"/>
        </w:rPr>
        <w:t>Paragraph 239, Guide to Enactment and Interpretation of the UNCITRAL Model Law on Cross-Border Insolvency.</w:t>
      </w:r>
    </w:p>
  </w:footnote>
  <w:footnote w:id="6">
    <w:p w14:paraId="5033BBC8" w14:textId="3B95E56B" w:rsidR="00EC2D19" w:rsidRPr="0097679A" w:rsidRDefault="00EC2D19">
      <w:pPr>
        <w:pStyle w:val="FootnoteText"/>
        <w:rPr>
          <w:lang w:val="en-MY"/>
        </w:rPr>
      </w:pPr>
      <w:r>
        <w:rPr>
          <w:rStyle w:val="FootnoteReference"/>
        </w:rPr>
        <w:footnoteRef/>
      </w:r>
      <w:r>
        <w:t xml:space="preserve"> </w:t>
      </w:r>
      <w:r>
        <w:rPr>
          <w:lang w:val="en-MY"/>
        </w:rPr>
        <w:t>(1890) LR 25 QBD 399</w:t>
      </w:r>
    </w:p>
  </w:footnote>
  <w:footnote w:id="7">
    <w:p w14:paraId="2F0CB535" w14:textId="35F52834" w:rsidR="00EC2D19" w:rsidRPr="002172D8" w:rsidRDefault="00EC2D19">
      <w:pPr>
        <w:pStyle w:val="FootnoteText"/>
        <w:rPr>
          <w:lang w:val="en-MY"/>
        </w:rPr>
      </w:pPr>
      <w:r>
        <w:rPr>
          <w:rStyle w:val="FootnoteReference"/>
        </w:rPr>
        <w:footnoteRef/>
      </w:r>
      <w:r>
        <w:t xml:space="preserve"> </w:t>
      </w:r>
      <w:r>
        <w:rPr>
          <w:i/>
          <w:lang w:val="en-MY"/>
        </w:rPr>
        <w:t xml:space="preserve">Bakskiyeva (Foreign Representative of the OJSC International Bank of Azerbaijan) v Sberbank of Russia &amp; Ors </w:t>
      </w:r>
      <w:r>
        <w:rPr>
          <w:lang w:val="en-MY"/>
        </w:rPr>
        <w:t>[2018] EWCA Civ 2802 at paragraph 83.</w:t>
      </w:r>
    </w:p>
  </w:footnote>
  <w:footnote w:id="8">
    <w:p w14:paraId="41068B44" w14:textId="77777777" w:rsidR="00EC2D19" w:rsidRPr="00413B5E" w:rsidRDefault="00EC2D19" w:rsidP="00413B5E">
      <w:pPr>
        <w:pStyle w:val="FootnoteText"/>
        <w:rPr>
          <w:lang w:val="en-MY"/>
        </w:rPr>
      </w:pPr>
      <w:r>
        <w:rPr>
          <w:rStyle w:val="FootnoteReference"/>
        </w:rPr>
        <w:footnoteRef/>
      </w:r>
      <w:r>
        <w:t xml:space="preserve"> </w:t>
      </w:r>
      <w:r>
        <w:rPr>
          <w:i/>
          <w:lang w:val="en-MY"/>
        </w:rPr>
        <w:t xml:space="preserve">Bakskiyeva (Foreign Representative of the OJSC International Bank of Azerbaijan) v Sberbank of Russia &amp; Ors </w:t>
      </w:r>
      <w:r>
        <w:rPr>
          <w:lang w:val="en-MY"/>
        </w:rPr>
        <w:t>[2018] EWCA Civ 2802 at paragraph 85.</w:t>
      </w:r>
    </w:p>
  </w:footnote>
  <w:footnote w:id="9">
    <w:p w14:paraId="044C875C" w14:textId="0AAA5FB9" w:rsidR="00EC2D19" w:rsidRPr="000406A8" w:rsidRDefault="00EC2D19">
      <w:pPr>
        <w:pStyle w:val="FootnoteText"/>
        <w:rPr>
          <w:lang w:val="en-MY"/>
        </w:rPr>
      </w:pPr>
      <w:r>
        <w:rPr>
          <w:rStyle w:val="FootnoteReference"/>
        </w:rPr>
        <w:footnoteRef/>
      </w:r>
      <w:r>
        <w:t xml:space="preserve"> </w:t>
      </w:r>
      <w:r>
        <w:rPr>
          <w:i/>
          <w:lang w:val="en-MY"/>
        </w:rPr>
        <w:t xml:space="preserve">Bakskiyeva (Foreign Representative of the OJSC International Bank of Azerbaijan) v Sberbank of Russia &amp; Ors </w:t>
      </w:r>
      <w:r>
        <w:rPr>
          <w:lang w:val="en-MY"/>
        </w:rPr>
        <w:t>[2018] EWCA Civ 2802 at paragraph 89.</w:t>
      </w:r>
    </w:p>
  </w:footnote>
  <w:footnote w:id="10">
    <w:p w14:paraId="047D6D27" w14:textId="64D52D2A" w:rsidR="00EC2D19" w:rsidRPr="009D3E7B" w:rsidRDefault="00EC2D19" w:rsidP="009D3E7B">
      <w:pPr>
        <w:pStyle w:val="FootnoteText"/>
        <w:jc w:val="both"/>
        <w:rPr>
          <w:lang w:val="en-GB"/>
        </w:rPr>
      </w:pPr>
      <w:r>
        <w:rPr>
          <w:rStyle w:val="FootnoteReference"/>
        </w:rPr>
        <w:footnoteRef/>
      </w:r>
      <w:r>
        <w:t xml:space="preserve"> </w:t>
      </w:r>
      <w:r>
        <w:rPr>
          <w:lang w:val="en-MY"/>
        </w:rPr>
        <w:t>Paragraph 108, Guide to Enactment and Interpretation of the UNCITRAL Model Law on Cross-Border Insolvency.</w:t>
      </w:r>
    </w:p>
  </w:footnote>
  <w:footnote w:id="11">
    <w:p w14:paraId="3ED392AD" w14:textId="589A23B5" w:rsidR="00EC2D19" w:rsidRPr="00650706" w:rsidRDefault="00EC2D19" w:rsidP="008A33C7">
      <w:pPr>
        <w:pStyle w:val="FootnoteText"/>
        <w:jc w:val="both"/>
        <w:rPr>
          <w:lang w:val="en-GB"/>
        </w:rPr>
      </w:pPr>
      <w:r>
        <w:rPr>
          <w:rStyle w:val="FootnoteReference"/>
        </w:rPr>
        <w:footnoteRef/>
      </w:r>
      <w:r>
        <w:t xml:space="preserve"> </w:t>
      </w:r>
      <w:r>
        <w:rPr>
          <w:lang w:val="en-MY"/>
        </w:rPr>
        <w:t>Paragraphs 112 and 113, Guide to Enactment and Interpretation of the UNCITRAL Model Law on Cross-Border Insolvency.</w:t>
      </w:r>
    </w:p>
  </w:footnote>
  <w:footnote w:id="12">
    <w:p w14:paraId="49F524D1" w14:textId="476F8C1B" w:rsidR="00EC2D19" w:rsidRPr="00E24C95" w:rsidRDefault="00EC2D19" w:rsidP="00E24C95">
      <w:pPr>
        <w:pStyle w:val="FootnoteText"/>
        <w:jc w:val="both"/>
        <w:rPr>
          <w:lang w:val="en-MY"/>
        </w:rPr>
      </w:pPr>
      <w:r>
        <w:rPr>
          <w:rStyle w:val="FootnoteReference"/>
        </w:rPr>
        <w:footnoteRef/>
      </w:r>
      <w:r>
        <w:t xml:space="preserve"> </w:t>
      </w:r>
      <w:r>
        <w:rPr>
          <w:lang w:val="en-MY"/>
        </w:rPr>
        <w:t>Paragraph 101, Guide to Enactment and Interpretation of the UNCITRAL Model Law on Cross-Border Insolvency.</w:t>
      </w:r>
    </w:p>
  </w:footnote>
  <w:footnote w:id="13">
    <w:p w14:paraId="0219578E" w14:textId="5090E654" w:rsidR="00EC2D19" w:rsidRPr="00AE430B" w:rsidRDefault="00EC2D19" w:rsidP="00AE430B">
      <w:pPr>
        <w:pStyle w:val="FootnoteText"/>
        <w:jc w:val="both"/>
        <w:rPr>
          <w:lang w:val="en-MY"/>
        </w:rPr>
      </w:pPr>
      <w:r>
        <w:rPr>
          <w:rStyle w:val="FootnoteReference"/>
        </w:rPr>
        <w:footnoteRef/>
      </w:r>
      <w:r>
        <w:t xml:space="preserve"> </w:t>
      </w:r>
      <w:r>
        <w:rPr>
          <w:lang w:val="en-MY"/>
        </w:rPr>
        <w:t>Paragraph 104, Guide to Enactment and Interpretation of the UNCITRAL Model Law on Cross-Border Insolvency.</w:t>
      </w:r>
    </w:p>
  </w:footnote>
  <w:footnote w:id="14">
    <w:p w14:paraId="20B743C8" w14:textId="5D6578A4" w:rsidR="00EC2D19" w:rsidRPr="001D7491" w:rsidRDefault="00EC2D19" w:rsidP="001D7491">
      <w:pPr>
        <w:pStyle w:val="FootnoteText"/>
        <w:jc w:val="both"/>
        <w:rPr>
          <w:lang w:val="en-MY"/>
        </w:rPr>
      </w:pPr>
      <w:r>
        <w:rPr>
          <w:rStyle w:val="FootnoteReference"/>
        </w:rPr>
        <w:footnoteRef/>
      </w:r>
      <w:r>
        <w:t xml:space="preserve"> </w:t>
      </w:r>
      <w:r>
        <w:rPr>
          <w:lang w:val="en-MY"/>
        </w:rPr>
        <w:t>Paragraph 161, Guide to Enactment and Interpretation of the UNCITRAL Model Law on Cross-Border Insolvency.</w:t>
      </w:r>
    </w:p>
  </w:footnote>
  <w:footnote w:id="15">
    <w:p w14:paraId="2B316C82" w14:textId="39128934" w:rsidR="00EC2D19" w:rsidRPr="00AE430B" w:rsidRDefault="00EC2D19" w:rsidP="00AE430B">
      <w:pPr>
        <w:pStyle w:val="FootnoteText"/>
        <w:jc w:val="both"/>
        <w:rPr>
          <w:lang w:val="en-MY"/>
        </w:rPr>
      </w:pPr>
      <w:r>
        <w:rPr>
          <w:rStyle w:val="FootnoteReference"/>
        </w:rPr>
        <w:footnoteRef/>
      </w:r>
      <w:r>
        <w:t xml:space="preserve"> </w:t>
      </w:r>
      <w:r>
        <w:rPr>
          <w:lang w:val="en-MY"/>
        </w:rPr>
        <w:t>Paragraph 161, Guide to Enactment and Interpretation of the UNCITRAL Model Law on Cross-Border Insolvency.</w:t>
      </w:r>
    </w:p>
  </w:footnote>
  <w:footnote w:id="16">
    <w:p w14:paraId="0E822687" w14:textId="5F533678" w:rsidR="00EC2D19" w:rsidRPr="001D7491" w:rsidRDefault="00EC2D19" w:rsidP="001D7491">
      <w:pPr>
        <w:pStyle w:val="FootnoteText"/>
        <w:jc w:val="both"/>
        <w:rPr>
          <w:lang w:val="en-MY"/>
        </w:rPr>
      </w:pPr>
      <w:r>
        <w:rPr>
          <w:rStyle w:val="FootnoteReference"/>
        </w:rPr>
        <w:footnoteRef/>
      </w:r>
      <w:r>
        <w:t xml:space="preserve"> </w:t>
      </w:r>
      <w:r>
        <w:rPr>
          <w:lang w:val="en-MY"/>
        </w:rPr>
        <w:t>Paragraph 162, Guide to Enactment and Interpretation of the UNCITRAL Model Law on Cross-Border Insolvency.</w:t>
      </w:r>
    </w:p>
  </w:footnote>
  <w:footnote w:id="17">
    <w:p w14:paraId="71F1049B" w14:textId="57E04635" w:rsidR="00EC2D19" w:rsidRPr="00513BD2" w:rsidRDefault="00EC2D19">
      <w:pPr>
        <w:pStyle w:val="FootnoteText"/>
        <w:rPr>
          <w:lang w:val="en-MY"/>
        </w:rPr>
      </w:pPr>
      <w:r>
        <w:rPr>
          <w:rStyle w:val="FootnoteReference"/>
        </w:rPr>
        <w:footnoteRef/>
      </w:r>
      <w:r>
        <w:t xml:space="preserve"> </w:t>
      </w:r>
      <w:r>
        <w:rPr>
          <w:i/>
          <w:lang w:val="en-MY"/>
        </w:rPr>
        <w:t>United States</w:t>
      </w:r>
      <w:r>
        <w:rPr>
          <w:lang w:val="en-MY"/>
        </w:rPr>
        <w:t>: Gerova Financial Group, Ltd., 482 B.R. 86, 94 (Bankr. S.D.N.Y. 2013), CLOUT 1275; JP [para. 57]</w:t>
      </w:r>
    </w:p>
  </w:footnote>
  <w:footnote w:id="18">
    <w:p w14:paraId="638F98DB" w14:textId="75B97BC6" w:rsidR="00EC2D19" w:rsidRPr="00513BD2" w:rsidRDefault="00EC2D19">
      <w:pPr>
        <w:pStyle w:val="FootnoteText"/>
        <w:rPr>
          <w:lang w:val="en-MY"/>
        </w:rPr>
      </w:pPr>
      <w:r>
        <w:rPr>
          <w:rStyle w:val="FootnoteReference"/>
        </w:rPr>
        <w:footnoteRef/>
      </w:r>
      <w:r>
        <w:t xml:space="preserve"> </w:t>
      </w:r>
      <w:r>
        <w:rPr>
          <w:i/>
          <w:lang w:val="en-MY"/>
        </w:rPr>
        <w:t xml:space="preserve">United States: </w:t>
      </w:r>
      <w:r>
        <w:rPr>
          <w:lang w:val="en-MY"/>
        </w:rPr>
        <w:t>Perry H. Koplik &amp; Sons, Inc, 357 BR 213 (Bankr. S.D.N.Y. 2006)</w:t>
      </w:r>
    </w:p>
  </w:footnote>
  <w:footnote w:id="19">
    <w:p w14:paraId="664769C1" w14:textId="462F18EE" w:rsidR="00EC2D19" w:rsidRPr="00513BD2" w:rsidRDefault="00EC2D19">
      <w:pPr>
        <w:pStyle w:val="FootnoteText"/>
        <w:rPr>
          <w:lang w:val="en-MY"/>
        </w:rPr>
      </w:pPr>
      <w:r>
        <w:rPr>
          <w:rStyle w:val="FootnoteReference"/>
        </w:rPr>
        <w:footnoteRef/>
      </w:r>
      <w:r>
        <w:t xml:space="preserve"> </w:t>
      </w:r>
      <w:r>
        <w:rPr>
          <w:i/>
        </w:rPr>
        <w:t xml:space="preserve">United States: </w:t>
      </w:r>
      <w:r>
        <w:t xml:space="preserve">Octaviar Administration Pty Ltd, 511 B.R. 361, 374 </w:t>
      </w:r>
      <w:r>
        <w:rPr>
          <w:lang w:val="en-MY"/>
        </w:rPr>
        <w:t xml:space="preserve">(Bankr. S.D.N.Y. 2014), CLOUT 1483 – </w:t>
      </w:r>
      <w:r>
        <w:rPr>
          <w:i/>
          <w:lang w:val="en-MY"/>
        </w:rPr>
        <w:t xml:space="preserve">citing </w:t>
      </w:r>
      <w:r>
        <w:rPr>
          <w:lang w:val="en-MY"/>
        </w:rPr>
        <w:t>Morning Mist Holdings Ltd. V Krys (</w:t>
      </w:r>
      <w:r>
        <w:rPr>
          <w:i/>
          <w:lang w:val="en-MY"/>
        </w:rPr>
        <w:t xml:space="preserve">In re </w:t>
      </w:r>
      <w:r>
        <w:rPr>
          <w:lang w:val="en-MY"/>
        </w:rPr>
        <w:t>Fairfield Sentry Ltd.), 714 F.3d 127, 132 (2d Cir. Apr. 16, 2013), CLOUT 1339.</w:t>
      </w:r>
    </w:p>
  </w:footnote>
  <w:footnote w:id="20">
    <w:p w14:paraId="749F4C96" w14:textId="4E3322B4" w:rsidR="00EC2D19" w:rsidRPr="00372818" w:rsidRDefault="00EC2D19" w:rsidP="00372818">
      <w:pPr>
        <w:pStyle w:val="FootnoteText"/>
        <w:jc w:val="both"/>
        <w:rPr>
          <w:lang w:val="en-MY"/>
        </w:rPr>
      </w:pPr>
      <w:r>
        <w:rPr>
          <w:rStyle w:val="FootnoteReference"/>
        </w:rPr>
        <w:footnoteRef/>
      </w:r>
      <w:r>
        <w:t xml:space="preserve"> </w:t>
      </w:r>
      <w:r w:rsidRPr="00372818">
        <w:rPr>
          <w:lang w:val="en-MY"/>
        </w:rPr>
        <w:t>Paragraph</w:t>
      </w:r>
      <w:r>
        <w:rPr>
          <w:lang w:val="en-MY"/>
        </w:rPr>
        <w:t>s 66 to 78</w:t>
      </w:r>
      <w:r w:rsidRPr="00372818">
        <w:rPr>
          <w:lang w:val="en-MY"/>
        </w:rPr>
        <w:t>, Guide to Enactment and Interpretation of the UNCITRAL Model Law on Cross-Border Insolvency</w:t>
      </w:r>
      <w:r>
        <w:rPr>
          <w:lang w:val="en-MY"/>
        </w:rPr>
        <w:t>.</w:t>
      </w:r>
    </w:p>
  </w:footnote>
  <w:footnote w:id="21">
    <w:p w14:paraId="74769F92" w14:textId="5D61FB51" w:rsidR="00EC2D19" w:rsidRPr="00680B7F" w:rsidRDefault="00EC2D19">
      <w:pPr>
        <w:pStyle w:val="FootnoteText"/>
        <w:rPr>
          <w:lang w:val="en-MY"/>
        </w:rPr>
      </w:pPr>
      <w:r>
        <w:rPr>
          <w:rStyle w:val="FootnoteReference"/>
        </w:rPr>
        <w:footnoteRef/>
      </w:r>
      <w:r>
        <w:t xml:space="preserve"> </w:t>
      </w:r>
      <w:r>
        <w:rPr>
          <w:lang w:val="en-MY"/>
        </w:rPr>
        <w:t>[2021] EWHC 1100 (Ch)</w:t>
      </w:r>
    </w:p>
  </w:footnote>
  <w:footnote w:id="22">
    <w:p w14:paraId="4FDC20C7" w14:textId="77777777" w:rsidR="00EC2D19" w:rsidRPr="003938E5" w:rsidRDefault="00EC2D19" w:rsidP="000A52A9">
      <w:pPr>
        <w:pStyle w:val="FootnoteText"/>
        <w:jc w:val="both"/>
        <w:rPr>
          <w:lang w:val="en-MY"/>
        </w:rPr>
      </w:pPr>
      <w:r>
        <w:rPr>
          <w:rStyle w:val="FootnoteReference"/>
        </w:rPr>
        <w:footnoteRef/>
      </w:r>
      <w:r>
        <w:t xml:space="preserve"> </w:t>
      </w:r>
      <w:r w:rsidRPr="00372818">
        <w:rPr>
          <w:lang w:val="en-MY"/>
        </w:rPr>
        <w:t>Paragraph</w:t>
      </w:r>
      <w:r>
        <w:rPr>
          <w:lang w:val="en-MY"/>
        </w:rPr>
        <w:t xml:space="preserve"> 48</w:t>
      </w:r>
      <w:r w:rsidRPr="00372818">
        <w:rPr>
          <w:lang w:val="en-MY"/>
        </w:rPr>
        <w:t>, Guide to Enactment and Interpretation of the UNCITRAL Model Law on Cross-Border Insolvency</w:t>
      </w:r>
      <w:r>
        <w:rPr>
          <w:lang w:val="en-MY"/>
        </w:rPr>
        <w:t>.</w:t>
      </w:r>
    </w:p>
  </w:footnote>
  <w:footnote w:id="23">
    <w:p w14:paraId="52620D71" w14:textId="5ABAFA80" w:rsidR="00EC2D19" w:rsidRPr="003938E5" w:rsidRDefault="00EC2D19" w:rsidP="000A52A9">
      <w:pPr>
        <w:pStyle w:val="FootnoteText"/>
        <w:jc w:val="both"/>
        <w:rPr>
          <w:lang w:val="en-MY"/>
        </w:rPr>
      </w:pPr>
      <w:r>
        <w:rPr>
          <w:rStyle w:val="FootnoteReference"/>
        </w:rPr>
        <w:footnoteRef/>
      </w:r>
      <w:r>
        <w:t xml:space="preserve"> </w:t>
      </w:r>
      <w:r>
        <w:rPr>
          <w:lang w:val="en-MY"/>
        </w:rPr>
        <w:t xml:space="preserve">There was also a similar finding in the case of </w:t>
      </w:r>
      <w:r w:rsidRPr="005346BD">
        <w:rPr>
          <w:i/>
          <w:lang w:val="en-GB"/>
        </w:rPr>
        <w:t>PJSC Bank Finance and Credit, Re (Cross-Border Insolvency Regulations 2006)</w:t>
      </w:r>
      <w:r>
        <w:rPr>
          <w:i/>
          <w:lang w:val="en-GB"/>
        </w:rPr>
        <w:t xml:space="preserve"> </w:t>
      </w:r>
      <w:r>
        <w:rPr>
          <w:lang w:val="en-MY"/>
        </w:rPr>
        <w:t>[2021] EWHC 1100 (Ch) at paragraphs 47 to 55.</w:t>
      </w:r>
    </w:p>
  </w:footnote>
  <w:footnote w:id="24">
    <w:p w14:paraId="66B90AA0" w14:textId="596E880A" w:rsidR="00EC2D19" w:rsidRPr="00464E73" w:rsidRDefault="00EC2D19" w:rsidP="00464E73">
      <w:pPr>
        <w:pStyle w:val="FootnoteText"/>
        <w:jc w:val="both"/>
        <w:rPr>
          <w:lang w:val="en-MY"/>
        </w:rPr>
      </w:pPr>
      <w:r>
        <w:rPr>
          <w:rStyle w:val="FootnoteReference"/>
        </w:rPr>
        <w:footnoteRef/>
      </w:r>
      <w:r>
        <w:t xml:space="preserve"> </w:t>
      </w:r>
      <w:r w:rsidRPr="00464E73">
        <w:rPr>
          <w:i/>
          <w:lang w:val="en-GB"/>
        </w:rPr>
        <w:t>PJSC Bank Finance and Credit, Re (Cross-Border Insolvency Regulations 2006)</w:t>
      </w:r>
      <w:r>
        <w:rPr>
          <w:i/>
          <w:lang w:val="en-GB"/>
        </w:rPr>
        <w:t xml:space="preserve"> </w:t>
      </w:r>
      <w:r>
        <w:rPr>
          <w:lang w:val="en-MY"/>
        </w:rPr>
        <w:t>[2021] EWHC 1100 (Ch) at paragraph 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B399" w14:textId="77777777" w:rsidR="001509E2" w:rsidRDefault="00150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FA41" w14:textId="77777777" w:rsidR="001509E2" w:rsidRDefault="00150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92CF" w14:textId="77777777" w:rsidR="001509E2" w:rsidRDefault="00150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EC0F99"/>
    <w:multiLevelType w:val="hybridMultilevel"/>
    <w:tmpl w:val="39D2947E"/>
    <w:lvl w:ilvl="0" w:tplc="4C6AD72C">
      <w:start w:val="1"/>
      <w:numFmt w:val="lowerLetter"/>
      <w:lvlText w:val="(%1)"/>
      <w:lvlJc w:val="left"/>
      <w:pPr>
        <w:ind w:left="720" w:hanging="360"/>
      </w:pPr>
      <w:rPr>
        <w:rFonts w:hint="default"/>
        <w:b w:val="0"/>
        <w:i/>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D510C3B"/>
    <w:multiLevelType w:val="hybridMultilevel"/>
    <w:tmpl w:val="BA20D73A"/>
    <w:lvl w:ilvl="0" w:tplc="8C4A7818">
      <w:start w:val="1"/>
      <w:numFmt w:val="lowerRoman"/>
      <w:lvlText w:val="(%1)"/>
      <w:lvlJc w:val="left"/>
      <w:pPr>
        <w:ind w:left="1440" w:hanging="360"/>
      </w:pPr>
      <w:rPr>
        <w:rFonts w:hint="default"/>
        <w:color w:val="7B7B7B" w:themeColor="accent3" w:themeShade="BF"/>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 w15:restartNumberingAfterBreak="0">
    <w:nsid w:val="13752AB0"/>
    <w:multiLevelType w:val="hybridMultilevel"/>
    <w:tmpl w:val="C8B8EFD4"/>
    <w:lvl w:ilvl="0" w:tplc="66A405B2">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B563AD"/>
    <w:multiLevelType w:val="hybridMultilevel"/>
    <w:tmpl w:val="876260F6"/>
    <w:lvl w:ilvl="0" w:tplc="DDEA0F7C">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E56B8E"/>
    <w:multiLevelType w:val="hybridMultilevel"/>
    <w:tmpl w:val="59628ECA"/>
    <w:lvl w:ilvl="0" w:tplc="5A82BFF6">
      <w:start w:val="1"/>
      <w:numFmt w:val="lowerRoman"/>
      <w:lvlText w:val="(%1)"/>
      <w:lvlJc w:val="left"/>
      <w:pPr>
        <w:ind w:left="1440" w:hanging="360"/>
      </w:pPr>
      <w:rPr>
        <w:rFonts w:hint="default"/>
        <w:color w:val="7B7B7B" w:themeColor="accent3" w:themeShade="BF"/>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1" w15:restartNumberingAfterBreak="0">
    <w:nsid w:val="2989174D"/>
    <w:multiLevelType w:val="hybridMultilevel"/>
    <w:tmpl w:val="BBEA8D8C"/>
    <w:lvl w:ilvl="0" w:tplc="24A099A4">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B6446AF"/>
    <w:multiLevelType w:val="hybridMultilevel"/>
    <w:tmpl w:val="208627B6"/>
    <w:lvl w:ilvl="0" w:tplc="FB7458D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8235761"/>
    <w:multiLevelType w:val="hybridMultilevel"/>
    <w:tmpl w:val="CD5CDA9E"/>
    <w:lvl w:ilvl="0" w:tplc="57001526">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15:restartNumberingAfterBreak="0">
    <w:nsid w:val="39E3774B"/>
    <w:multiLevelType w:val="hybridMultilevel"/>
    <w:tmpl w:val="9BC2061C"/>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15:restartNumberingAfterBreak="0">
    <w:nsid w:val="44C915FB"/>
    <w:multiLevelType w:val="hybridMultilevel"/>
    <w:tmpl w:val="821CE0BA"/>
    <w:lvl w:ilvl="0" w:tplc="1336703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5528A1"/>
    <w:multiLevelType w:val="hybridMultilevel"/>
    <w:tmpl w:val="14DA699A"/>
    <w:lvl w:ilvl="0" w:tplc="1BBC6676">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A8C2212"/>
    <w:multiLevelType w:val="hybridMultilevel"/>
    <w:tmpl w:val="5EAED21A"/>
    <w:lvl w:ilvl="0" w:tplc="63366DB6">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15:restartNumberingAfterBreak="0">
    <w:nsid w:val="4AAF6CFA"/>
    <w:multiLevelType w:val="hybridMultilevel"/>
    <w:tmpl w:val="6950AC1C"/>
    <w:lvl w:ilvl="0" w:tplc="FF6EE2E8">
      <w:start w:val="1"/>
      <w:numFmt w:val="lowerRoman"/>
      <w:lvlText w:val="(%1)"/>
      <w:lvlJc w:val="left"/>
      <w:pPr>
        <w:ind w:left="2160" w:hanging="72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2" w15:restartNumberingAfterBreak="0">
    <w:nsid w:val="52A26398"/>
    <w:multiLevelType w:val="hybridMultilevel"/>
    <w:tmpl w:val="A948D8B2"/>
    <w:lvl w:ilvl="0" w:tplc="00D66CFE">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94164C6"/>
    <w:multiLevelType w:val="hybridMultilevel"/>
    <w:tmpl w:val="E5D48C3C"/>
    <w:lvl w:ilvl="0" w:tplc="7B3ABE80">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5" w15:restartNumberingAfterBreak="0">
    <w:nsid w:val="697F7030"/>
    <w:multiLevelType w:val="hybridMultilevel"/>
    <w:tmpl w:val="EDA6AD08"/>
    <w:lvl w:ilvl="0" w:tplc="68ECBFC8">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6" w15:restartNumberingAfterBreak="0">
    <w:nsid w:val="6ACB38C9"/>
    <w:multiLevelType w:val="hybridMultilevel"/>
    <w:tmpl w:val="2AF2EC56"/>
    <w:lvl w:ilvl="0" w:tplc="5412CB12">
      <w:start w:val="1"/>
      <w:numFmt w:val="lowerRoman"/>
      <w:lvlText w:val="(%1)"/>
      <w:lvlJc w:val="left"/>
      <w:pPr>
        <w:ind w:left="1440" w:hanging="720"/>
      </w:pPr>
      <w:rPr>
        <w:rFonts w:hint="default"/>
        <w:color w:val="7B7B7B" w:themeColor="accent3" w:themeShade="BF"/>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B12934"/>
    <w:multiLevelType w:val="hybridMultilevel"/>
    <w:tmpl w:val="9F306980"/>
    <w:lvl w:ilvl="0" w:tplc="21A63ADE">
      <w:start w:val="1"/>
      <w:numFmt w:val="lowerRoman"/>
      <w:lvlText w:val="(%1)"/>
      <w:lvlJc w:val="left"/>
      <w:pPr>
        <w:ind w:left="1440" w:hanging="720"/>
      </w:pPr>
      <w:rPr>
        <w:rFonts w:hint="default"/>
        <w:color w:val="7B7B7B" w:themeColor="accent3" w:themeShade="BF"/>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23"/>
  </w:num>
  <w:num w:numId="3">
    <w:abstractNumId w:val="9"/>
  </w:num>
  <w:num w:numId="4">
    <w:abstractNumId w:val="5"/>
  </w:num>
  <w:num w:numId="5">
    <w:abstractNumId w:val="31"/>
  </w:num>
  <w:num w:numId="6">
    <w:abstractNumId w:val="30"/>
  </w:num>
  <w:num w:numId="7">
    <w:abstractNumId w:val="28"/>
  </w:num>
  <w:num w:numId="8">
    <w:abstractNumId w:val="6"/>
  </w:num>
  <w:num w:numId="9">
    <w:abstractNumId w:val="7"/>
  </w:num>
  <w:num w:numId="10">
    <w:abstractNumId w:val="18"/>
  </w:num>
  <w:num w:numId="11">
    <w:abstractNumId w:val="0"/>
  </w:num>
  <w:num w:numId="12">
    <w:abstractNumId w:val="13"/>
  </w:num>
  <w:num w:numId="13">
    <w:abstractNumId w:val="14"/>
  </w:num>
  <w:num w:numId="14">
    <w:abstractNumId w:val="4"/>
  </w:num>
  <w:num w:numId="15">
    <w:abstractNumId w:val="8"/>
  </w:num>
  <w:num w:numId="16">
    <w:abstractNumId w:val="22"/>
  </w:num>
  <w:num w:numId="17">
    <w:abstractNumId w:val="12"/>
  </w:num>
  <w:num w:numId="18">
    <w:abstractNumId w:val="19"/>
  </w:num>
  <w:num w:numId="19">
    <w:abstractNumId w:val="16"/>
  </w:num>
  <w:num w:numId="20">
    <w:abstractNumId w:val="11"/>
  </w:num>
  <w:num w:numId="21">
    <w:abstractNumId w:val="10"/>
  </w:num>
  <w:num w:numId="22">
    <w:abstractNumId w:val="24"/>
  </w:num>
  <w:num w:numId="23">
    <w:abstractNumId w:val="29"/>
  </w:num>
  <w:num w:numId="24">
    <w:abstractNumId w:val="20"/>
  </w:num>
  <w:num w:numId="25">
    <w:abstractNumId w:val="26"/>
  </w:num>
  <w:num w:numId="26">
    <w:abstractNumId w:val="25"/>
  </w:num>
  <w:num w:numId="27">
    <w:abstractNumId w:val="17"/>
  </w:num>
  <w:num w:numId="28">
    <w:abstractNumId w:val="21"/>
  </w:num>
  <w:num w:numId="29">
    <w:abstractNumId w:val="3"/>
  </w:num>
  <w:num w:numId="30">
    <w:abstractNumId w:val="15"/>
  </w:num>
  <w:num w:numId="31">
    <w:abstractNumId w:val="1"/>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07E31"/>
    <w:rsid w:val="00010BA0"/>
    <w:rsid w:val="00011778"/>
    <w:rsid w:val="00020557"/>
    <w:rsid w:val="000232A1"/>
    <w:rsid w:val="000250C7"/>
    <w:rsid w:val="00025CCF"/>
    <w:rsid w:val="0003114A"/>
    <w:rsid w:val="0003619C"/>
    <w:rsid w:val="00037621"/>
    <w:rsid w:val="000406A8"/>
    <w:rsid w:val="00044D46"/>
    <w:rsid w:val="00045088"/>
    <w:rsid w:val="00045904"/>
    <w:rsid w:val="000464F7"/>
    <w:rsid w:val="0005141D"/>
    <w:rsid w:val="00065166"/>
    <w:rsid w:val="00067A88"/>
    <w:rsid w:val="00073474"/>
    <w:rsid w:val="00077D49"/>
    <w:rsid w:val="00082609"/>
    <w:rsid w:val="000851CC"/>
    <w:rsid w:val="00087031"/>
    <w:rsid w:val="00093BE8"/>
    <w:rsid w:val="0009667C"/>
    <w:rsid w:val="000A52A9"/>
    <w:rsid w:val="000A68ED"/>
    <w:rsid w:val="000B4FEB"/>
    <w:rsid w:val="000B5FF1"/>
    <w:rsid w:val="000B609F"/>
    <w:rsid w:val="000C005C"/>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1EA6"/>
    <w:rsid w:val="0014622C"/>
    <w:rsid w:val="001509E2"/>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B5BA4"/>
    <w:rsid w:val="001C45FC"/>
    <w:rsid w:val="001C645C"/>
    <w:rsid w:val="001D02C5"/>
    <w:rsid w:val="001D4862"/>
    <w:rsid w:val="001D7491"/>
    <w:rsid w:val="001E25B9"/>
    <w:rsid w:val="001E49E0"/>
    <w:rsid w:val="001E75CA"/>
    <w:rsid w:val="001E7B5A"/>
    <w:rsid w:val="001F5842"/>
    <w:rsid w:val="001F7412"/>
    <w:rsid w:val="00201874"/>
    <w:rsid w:val="00202133"/>
    <w:rsid w:val="0020264E"/>
    <w:rsid w:val="0020725B"/>
    <w:rsid w:val="002172D8"/>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02B7"/>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E4585"/>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6359"/>
    <w:rsid w:val="0033768C"/>
    <w:rsid w:val="00337938"/>
    <w:rsid w:val="00340769"/>
    <w:rsid w:val="00341AA6"/>
    <w:rsid w:val="00342459"/>
    <w:rsid w:val="003427B9"/>
    <w:rsid w:val="00346B16"/>
    <w:rsid w:val="00361A0A"/>
    <w:rsid w:val="0036565C"/>
    <w:rsid w:val="0036625E"/>
    <w:rsid w:val="0036760B"/>
    <w:rsid w:val="00372818"/>
    <w:rsid w:val="00373AAB"/>
    <w:rsid w:val="0037465A"/>
    <w:rsid w:val="00380BAB"/>
    <w:rsid w:val="00382C98"/>
    <w:rsid w:val="0038533C"/>
    <w:rsid w:val="00386568"/>
    <w:rsid w:val="00387106"/>
    <w:rsid w:val="00391F3E"/>
    <w:rsid w:val="003931A6"/>
    <w:rsid w:val="003938E5"/>
    <w:rsid w:val="003948D5"/>
    <w:rsid w:val="00396821"/>
    <w:rsid w:val="00397D3A"/>
    <w:rsid w:val="003A051E"/>
    <w:rsid w:val="003A2FEE"/>
    <w:rsid w:val="003B1310"/>
    <w:rsid w:val="003B170F"/>
    <w:rsid w:val="003B22B8"/>
    <w:rsid w:val="003B3C5F"/>
    <w:rsid w:val="003C1B43"/>
    <w:rsid w:val="003C4471"/>
    <w:rsid w:val="003C66B1"/>
    <w:rsid w:val="003D0A6D"/>
    <w:rsid w:val="003E0B16"/>
    <w:rsid w:val="003E362F"/>
    <w:rsid w:val="003E67D1"/>
    <w:rsid w:val="00405DC1"/>
    <w:rsid w:val="0040710D"/>
    <w:rsid w:val="0041139B"/>
    <w:rsid w:val="00413B5E"/>
    <w:rsid w:val="00413D3A"/>
    <w:rsid w:val="00415F1F"/>
    <w:rsid w:val="0042108F"/>
    <w:rsid w:val="00422242"/>
    <w:rsid w:val="00424D07"/>
    <w:rsid w:val="00430FED"/>
    <w:rsid w:val="00434A8C"/>
    <w:rsid w:val="00435583"/>
    <w:rsid w:val="00437297"/>
    <w:rsid w:val="00443403"/>
    <w:rsid w:val="00444151"/>
    <w:rsid w:val="00444284"/>
    <w:rsid w:val="00445CE6"/>
    <w:rsid w:val="004534C2"/>
    <w:rsid w:val="0045446F"/>
    <w:rsid w:val="00455D60"/>
    <w:rsid w:val="0045683E"/>
    <w:rsid w:val="00464E73"/>
    <w:rsid w:val="0047025B"/>
    <w:rsid w:val="00471BAE"/>
    <w:rsid w:val="00491675"/>
    <w:rsid w:val="00493855"/>
    <w:rsid w:val="0049508F"/>
    <w:rsid w:val="004A171E"/>
    <w:rsid w:val="004A57DD"/>
    <w:rsid w:val="004A7B51"/>
    <w:rsid w:val="004A7D71"/>
    <w:rsid w:val="004A7EF3"/>
    <w:rsid w:val="004B11FD"/>
    <w:rsid w:val="004B23A2"/>
    <w:rsid w:val="004B338C"/>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3BD2"/>
    <w:rsid w:val="005177FE"/>
    <w:rsid w:val="0052263B"/>
    <w:rsid w:val="00524728"/>
    <w:rsid w:val="00530003"/>
    <w:rsid w:val="0053104E"/>
    <w:rsid w:val="005331CA"/>
    <w:rsid w:val="0053353F"/>
    <w:rsid w:val="005346BD"/>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199D"/>
    <w:rsid w:val="00592F82"/>
    <w:rsid w:val="00593720"/>
    <w:rsid w:val="005A0CCA"/>
    <w:rsid w:val="005A726D"/>
    <w:rsid w:val="005B67AC"/>
    <w:rsid w:val="005C2C94"/>
    <w:rsid w:val="005C4865"/>
    <w:rsid w:val="005D43E0"/>
    <w:rsid w:val="005D58A3"/>
    <w:rsid w:val="005E192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397D"/>
    <w:rsid w:val="00634622"/>
    <w:rsid w:val="00636808"/>
    <w:rsid w:val="00641002"/>
    <w:rsid w:val="00641515"/>
    <w:rsid w:val="00650706"/>
    <w:rsid w:val="00651AE3"/>
    <w:rsid w:val="00652B9B"/>
    <w:rsid w:val="00654C2F"/>
    <w:rsid w:val="00657087"/>
    <w:rsid w:val="0066252C"/>
    <w:rsid w:val="006661EF"/>
    <w:rsid w:val="0067294B"/>
    <w:rsid w:val="00677736"/>
    <w:rsid w:val="0067785F"/>
    <w:rsid w:val="00677AEB"/>
    <w:rsid w:val="00680B7F"/>
    <w:rsid w:val="00680EF2"/>
    <w:rsid w:val="006839C2"/>
    <w:rsid w:val="00687A1D"/>
    <w:rsid w:val="006920CC"/>
    <w:rsid w:val="00697EA1"/>
    <w:rsid w:val="006A1850"/>
    <w:rsid w:val="006A2646"/>
    <w:rsid w:val="006A28BB"/>
    <w:rsid w:val="006A3DF0"/>
    <w:rsid w:val="006A6530"/>
    <w:rsid w:val="006B1C54"/>
    <w:rsid w:val="006B435A"/>
    <w:rsid w:val="006B4C64"/>
    <w:rsid w:val="006B4FFC"/>
    <w:rsid w:val="006D6BD5"/>
    <w:rsid w:val="006E303F"/>
    <w:rsid w:val="006E481A"/>
    <w:rsid w:val="006E5298"/>
    <w:rsid w:val="006F2CE3"/>
    <w:rsid w:val="006F5A67"/>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573"/>
    <w:rsid w:val="0073399A"/>
    <w:rsid w:val="007603F5"/>
    <w:rsid w:val="00764DB0"/>
    <w:rsid w:val="0076764D"/>
    <w:rsid w:val="0077498C"/>
    <w:rsid w:val="00776031"/>
    <w:rsid w:val="00784128"/>
    <w:rsid w:val="00784B4B"/>
    <w:rsid w:val="007854ED"/>
    <w:rsid w:val="00793173"/>
    <w:rsid w:val="007A0169"/>
    <w:rsid w:val="007A7166"/>
    <w:rsid w:val="007B3AC7"/>
    <w:rsid w:val="007B5059"/>
    <w:rsid w:val="007C1FCC"/>
    <w:rsid w:val="007C32A8"/>
    <w:rsid w:val="007C3FE5"/>
    <w:rsid w:val="007C4D89"/>
    <w:rsid w:val="007C6201"/>
    <w:rsid w:val="007C6988"/>
    <w:rsid w:val="007D28A1"/>
    <w:rsid w:val="007D7C92"/>
    <w:rsid w:val="007E1154"/>
    <w:rsid w:val="007E6BA4"/>
    <w:rsid w:val="007E7678"/>
    <w:rsid w:val="007F41F8"/>
    <w:rsid w:val="007F60D0"/>
    <w:rsid w:val="007F7C2A"/>
    <w:rsid w:val="0080454E"/>
    <w:rsid w:val="00804C32"/>
    <w:rsid w:val="00806302"/>
    <w:rsid w:val="00807119"/>
    <w:rsid w:val="00817D57"/>
    <w:rsid w:val="00822764"/>
    <w:rsid w:val="0082483F"/>
    <w:rsid w:val="008264CB"/>
    <w:rsid w:val="0082725A"/>
    <w:rsid w:val="008279C0"/>
    <w:rsid w:val="00835FD1"/>
    <w:rsid w:val="0084683C"/>
    <w:rsid w:val="00852D5D"/>
    <w:rsid w:val="00853A74"/>
    <w:rsid w:val="00860E61"/>
    <w:rsid w:val="008723F3"/>
    <w:rsid w:val="00881DE6"/>
    <w:rsid w:val="008837A6"/>
    <w:rsid w:val="0089145D"/>
    <w:rsid w:val="00897D0F"/>
    <w:rsid w:val="008A0C6E"/>
    <w:rsid w:val="008A33C7"/>
    <w:rsid w:val="008A4DF2"/>
    <w:rsid w:val="008A6CFE"/>
    <w:rsid w:val="008A7470"/>
    <w:rsid w:val="008A77DB"/>
    <w:rsid w:val="008B1A08"/>
    <w:rsid w:val="008B2DE3"/>
    <w:rsid w:val="008B5333"/>
    <w:rsid w:val="008B6223"/>
    <w:rsid w:val="008C4884"/>
    <w:rsid w:val="008C66E0"/>
    <w:rsid w:val="008E1224"/>
    <w:rsid w:val="008E2DFA"/>
    <w:rsid w:val="008E3339"/>
    <w:rsid w:val="008E4D33"/>
    <w:rsid w:val="008E549B"/>
    <w:rsid w:val="008F18EF"/>
    <w:rsid w:val="008F20FC"/>
    <w:rsid w:val="008F2B24"/>
    <w:rsid w:val="008F5FFE"/>
    <w:rsid w:val="0090421A"/>
    <w:rsid w:val="00905A43"/>
    <w:rsid w:val="00912C79"/>
    <w:rsid w:val="009260A2"/>
    <w:rsid w:val="00942123"/>
    <w:rsid w:val="00951031"/>
    <w:rsid w:val="00951118"/>
    <w:rsid w:val="0095207B"/>
    <w:rsid w:val="00956085"/>
    <w:rsid w:val="00957951"/>
    <w:rsid w:val="00962045"/>
    <w:rsid w:val="009634F7"/>
    <w:rsid w:val="00967EDA"/>
    <w:rsid w:val="00970897"/>
    <w:rsid w:val="009730B7"/>
    <w:rsid w:val="0097679A"/>
    <w:rsid w:val="00980314"/>
    <w:rsid w:val="009816D0"/>
    <w:rsid w:val="009865DF"/>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DAF"/>
    <w:rsid w:val="009D0EE1"/>
    <w:rsid w:val="009D30BB"/>
    <w:rsid w:val="009D3E7B"/>
    <w:rsid w:val="009E2AEB"/>
    <w:rsid w:val="009E2E27"/>
    <w:rsid w:val="009E4DE3"/>
    <w:rsid w:val="009F7E21"/>
    <w:rsid w:val="00A047EE"/>
    <w:rsid w:val="00A114EA"/>
    <w:rsid w:val="00A13C31"/>
    <w:rsid w:val="00A153F7"/>
    <w:rsid w:val="00A2274A"/>
    <w:rsid w:val="00A235B7"/>
    <w:rsid w:val="00A27A7A"/>
    <w:rsid w:val="00A37054"/>
    <w:rsid w:val="00A407EF"/>
    <w:rsid w:val="00A44932"/>
    <w:rsid w:val="00A46B4C"/>
    <w:rsid w:val="00A46D0E"/>
    <w:rsid w:val="00A5117B"/>
    <w:rsid w:val="00A54689"/>
    <w:rsid w:val="00A60074"/>
    <w:rsid w:val="00A6627C"/>
    <w:rsid w:val="00A71019"/>
    <w:rsid w:val="00A775BB"/>
    <w:rsid w:val="00A81029"/>
    <w:rsid w:val="00A83CB5"/>
    <w:rsid w:val="00A96489"/>
    <w:rsid w:val="00AA3A42"/>
    <w:rsid w:val="00AA5311"/>
    <w:rsid w:val="00AB685C"/>
    <w:rsid w:val="00AB6C2D"/>
    <w:rsid w:val="00AC08F7"/>
    <w:rsid w:val="00AC3839"/>
    <w:rsid w:val="00AC7082"/>
    <w:rsid w:val="00AD3FEA"/>
    <w:rsid w:val="00AD7BBD"/>
    <w:rsid w:val="00AE430B"/>
    <w:rsid w:val="00AF228E"/>
    <w:rsid w:val="00B04137"/>
    <w:rsid w:val="00B11D19"/>
    <w:rsid w:val="00B12936"/>
    <w:rsid w:val="00B14819"/>
    <w:rsid w:val="00B17AA9"/>
    <w:rsid w:val="00B273BF"/>
    <w:rsid w:val="00B32DE4"/>
    <w:rsid w:val="00B33578"/>
    <w:rsid w:val="00B370C3"/>
    <w:rsid w:val="00B411AE"/>
    <w:rsid w:val="00B47B2F"/>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24EC9"/>
    <w:rsid w:val="00C33D50"/>
    <w:rsid w:val="00C35671"/>
    <w:rsid w:val="00C35B77"/>
    <w:rsid w:val="00C370D3"/>
    <w:rsid w:val="00C376EB"/>
    <w:rsid w:val="00C4003A"/>
    <w:rsid w:val="00C46805"/>
    <w:rsid w:val="00C46EC1"/>
    <w:rsid w:val="00C504E5"/>
    <w:rsid w:val="00C5131F"/>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488B"/>
    <w:rsid w:val="00CC5335"/>
    <w:rsid w:val="00CC5BA4"/>
    <w:rsid w:val="00CC70BB"/>
    <w:rsid w:val="00CD4998"/>
    <w:rsid w:val="00CE1035"/>
    <w:rsid w:val="00CF2819"/>
    <w:rsid w:val="00CF4F9D"/>
    <w:rsid w:val="00CF70DC"/>
    <w:rsid w:val="00D148DC"/>
    <w:rsid w:val="00D17FDC"/>
    <w:rsid w:val="00D43EF9"/>
    <w:rsid w:val="00D444C5"/>
    <w:rsid w:val="00D45AEA"/>
    <w:rsid w:val="00D56A37"/>
    <w:rsid w:val="00D57202"/>
    <w:rsid w:val="00D57B0A"/>
    <w:rsid w:val="00D63EFD"/>
    <w:rsid w:val="00D64826"/>
    <w:rsid w:val="00D733E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205A"/>
    <w:rsid w:val="00E04A7C"/>
    <w:rsid w:val="00E059FB"/>
    <w:rsid w:val="00E069C4"/>
    <w:rsid w:val="00E07275"/>
    <w:rsid w:val="00E07866"/>
    <w:rsid w:val="00E07C5A"/>
    <w:rsid w:val="00E15BA9"/>
    <w:rsid w:val="00E24C95"/>
    <w:rsid w:val="00E26E19"/>
    <w:rsid w:val="00E31DF3"/>
    <w:rsid w:val="00E32814"/>
    <w:rsid w:val="00E33486"/>
    <w:rsid w:val="00E40844"/>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A3C3B"/>
    <w:rsid w:val="00EB146B"/>
    <w:rsid w:val="00EB45AC"/>
    <w:rsid w:val="00EC2AEA"/>
    <w:rsid w:val="00EC2D19"/>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2C41"/>
    <w:rsid w:val="00F3323E"/>
    <w:rsid w:val="00F341F4"/>
    <w:rsid w:val="00F34F9D"/>
    <w:rsid w:val="00F35CCE"/>
    <w:rsid w:val="00F419CB"/>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6D70"/>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53D6-3E5B-4690-A3C7-54C485E519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443529-393F-49BC-B4AE-2E202090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23</Pages>
  <Words>9209</Words>
  <Characters>52496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Meerasree Ganasan</cp:lastModifiedBy>
  <cp:revision>53</cp:revision>
  <cp:lastPrinted>2019-08-27T05:42:00Z</cp:lastPrinted>
  <dcterms:created xsi:type="dcterms:W3CDTF">2021-08-31T13:05:00Z</dcterms:created>
  <dcterms:modified xsi:type="dcterms:W3CDTF">2022-07-30T11:56:00Z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f61da8c1-c32c-471c-9f37-a208cd56070d</vt:lpwstr>
  </property>
  <property fmtid="{D5CDD505-2E9C-101B-9397-08002B2CF9AE}" pid="3"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4" name="bjDocumentLabelXML-0">
    <vt:lpwstr>ames.com/2008/01/sie/internal/label"&gt;&lt;element uid="0396dc7d-9d2f-459d-9e03-6e8dc85fa202" value="" /&gt;&lt;element uid="bc9373da-fcfa-4469-a78f-e552654443e3" value="" /&gt;&lt;/sisl&gt;</vt:lpwstr>
  </property>
  <property fmtid="{D5CDD505-2E9C-101B-9397-08002B2CF9AE}" pid="5" name="bjDocumentSecurityLabel">
    <vt:lpwstr>Personal</vt:lpwstr>
  </property>
  <property fmtid="{D5CDD505-2E9C-101B-9397-08002B2CF9AE}" pid="6" name="DLP">
    <vt:lpwstr>{[*Others Personal*]}</vt:lpwstr>
  </property>
  <property fmtid="{D5CDD505-2E9C-101B-9397-08002B2CF9AE}" pid="7" name="bjFooterBothDocProperty">
    <vt:lpwstr>This information/document has been classified: Personal</vt:lpwstr>
  </property>
  <property fmtid="{D5CDD505-2E9C-101B-9397-08002B2CF9AE}" pid="8" name="bjFooterFirstPageDocProperty">
    <vt:lpwstr>This information/document has been classified: Personal</vt:lpwstr>
  </property>
  <property fmtid="{D5CDD505-2E9C-101B-9397-08002B2CF9AE}" pid="9" name="bjFooterEvenPageDocProperty">
    <vt:lpwstr>This information/document has been classified: Personal</vt:lpwstr>
  </property>
  <property fmtid="{D5CDD505-2E9C-101B-9397-08002B2CF9AE}" pid="10" name="bjClsUserRVM">
    <vt:lpwstr>[{"VisualMarkingType":2,"ShapeName":"","ApplyMarking":false}]</vt:lpwstr>
  </property>
  <property fmtid="{D5CDD505-2E9C-101B-9397-08002B2CF9AE}" pid="11" name="bjSaver">
    <vt:lpwstr>xvOTEhjoycUI5QxlX8vagBRkmH1tYmQ+</vt:lpwstr>
  </property>
</Properties>
</file>