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664F" w14:textId="75570BB2" w:rsidR="004B23A2" w:rsidRDefault="001600E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78BC325" wp14:editId="67CA0DF9">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3BFACE9" w14:textId="77777777" w:rsidR="0011473D"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0B3F38E2" w14:textId="77777777" w:rsidR="002638B0" w:rsidRPr="00F83F59" w:rsidRDefault="0007291B"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1600E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7626F9ED" w14:textId="77777777" w:rsidR="001600E5" w:rsidRPr="00592F82" w:rsidRDefault="001600E5" w:rsidP="001600E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04EFF25" w14:textId="77777777" w:rsidR="001600E5" w:rsidRPr="00592F82" w:rsidRDefault="001600E5" w:rsidP="001600E5">
      <w:pPr>
        <w:jc w:val="both"/>
        <w:rPr>
          <w:rFonts w:ascii="Arial" w:hAnsi="Arial" w:cs="Arial"/>
          <w:sz w:val="22"/>
          <w:szCs w:val="22"/>
          <w:lang w:val="en-GB"/>
        </w:rPr>
      </w:pPr>
    </w:p>
    <w:p w14:paraId="019F06A3" w14:textId="77777777" w:rsidR="001600E5" w:rsidRDefault="001600E5" w:rsidP="001600E5">
      <w:pPr>
        <w:jc w:val="both"/>
        <w:rPr>
          <w:rFonts w:ascii="Arial" w:hAnsi="Arial" w:cs="Arial"/>
          <w:b/>
          <w:sz w:val="22"/>
          <w:szCs w:val="22"/>
          <w:lang w:val="en-GB"/>
        </w:rPr>
      </w:pPr>
    </w:p>
    <w:p w14:paraId="4CCE46AC" w14:textId="77777777" w:rsidR="001600E5" w:rsidRPr="001E23FD" w:rsidRDefault="001600E5" w:rsidP="001600E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07A1BD0" w14:textId="77777777" w:rsidR="001600E5" w:rsidRPr="001E23FD" w:rsidRDefault="001600E5" w:rsidP="001600E5">
      <w:pPr>
        <w:jc w:val="both"/>
        <w:rPr>
          <w:rFonts w:ascii="Arial" w:hAnsi="Arial" w:cs="Arial"/>
          <w:b/>
          <w:sz w:val="22"/>
          <w:szCs w:val="22"/>
          <w:lang w:val="en-GB"/>
        </w:rPr>
      </w:pPr>
    </w:p>
    <w:p w14:paraId="0789CC03" w14:textId="77777777" w:rsidR="001600E5" w:rsidRPr="001E23FD" w:rsidRDefault="001600E5" w:rsidP="001600E5">
      <w:pPr>
        <w:jc w:val="both"/>
        <w:rPr>
          <w:rFonts w:ascii="Arial" w:hAnsi="Arial" w:cs="Arial"/>
          <w:sz w:val="22"/>
          <w:szCs w:val="22"/>
          <w:lang w:val="en-GB"/>
        </w:rPr>
      </w:pPr>
    </w:p>
    <w:p w14:paraId="4C645393"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FE708FE" w14:textId="77777777" w:rsidR="001600E5" w:rsidRPr="001E23FD" w:rsidRDefault="001600E5" w:rsidP="001600E5">
      <w:pPr>
        <w:ind w:left="720" w:hanging="720"/>
        <w:jc w:val="both"/>
        <w:rPr>
          <w:rFonts w:ascii="Arial" w:hAnsi="Arial" w:cs="Arial"/>
          <w:sz w:val="22"/>
          <w:szCs w:val="22"/>
          <w:lang w:val="en-GB"/>
        </w:rPr>
      </w:pPr>
    </w:p>
    <w:p w14:paraId="1D50C2E8"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E51EE76" w14:textId="77777777" w:rsidR="001600E5" w:rsidRPr="001E23FD" w:rsidRDefault="001600E5" w:rsidP="001600E5">
      <w:pPr>
        <w:ind w:left="720" w:hanging="720"/>
        <w:jc w:val="both"/>
        <w:rPr>
          <w:rFonts w:ascii="Arial" w:hAnsi="Arial" w:cs="Arial"/>
          <w:sz w:val="22"/>
          <w:szCs w:val="22"/>
          <w:lang w:val="en-GB"/>
        </w:rPr>
      </w:pPr>
    </w:p>
    <w:p w14:paraId="6835F6D6"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94B6500" w14:textId="77777777" w:rsidR="001600E5" w:rsidRPr="001E23FD" w:rsidRDefault="001600E5" w:rsidP="001600E5">
      <w:pPr>
        <w:ind w:left="720" w:hanging="720"/>
        <w:jc w:val="both"/>
        <w:rPr>
          <w:rFonts w:ascii="Arial" w:hAnsi="Arial" w:cs="Arial"/>
          <w:sz w:val="22"/>
          <w:szCs w:val="22"/>
          <w:lang w:val="en-GB"/>
        </w:rPr>
      </w:pPr>
    </w:p>
    <w:p w14:paraId="5C6EBB77" w14:textId="5C67669E"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F1AB7D9" w14:textId="77777777" w:rsidR="001600E5" w:rsidRPr="001E23FD" w:rsidRDefault="001600E5" w:rsidP="001600E5">
      <w:pPr>
        <w:ind w:left="720" w:hanging="720"/>
        <w:jc w:val="both"/>
        <w:rPr>
          <w:rFonts w:ascii="Arial" w:hAnsi="Arial" w:cs="Arial"/>
          <w:sz w:val="22"/>
          <w:szCs w:val="22"/>
          <w:lang w:val="en-GB"/>
        </w:rPr>
      </w:pPr>
    </w:p>
    <w:p w14:paraId="5F0BBDB9"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07A3D65" w14:textId="77777777" w:rsidR="001600E5" w:rsidRPr="001E23FD" w:rsidRDefault="001600E5" w:rsidP="001600E5">
      <w:pPr>
        <w:ind w:left="720" w:hanging="720"/>
        <w:jc w:val="both"/>
        <w:rPr>
          <w:rFonts w:ascii="Arial" w:hAnsi="Arial" w:cs="Arial"/>
          <w:sz w:val="22"/>
          <w:szCs w:val="22"/>
          <w:lang w:val="en-GB"/>
        </w:rPr>
      </w:pPr>
    </w:p>
    <w:p w14:paraId="4C9227B4" w14:textId="77777777" w:rsidR="001600E5" w:rsidRPr="001E23FD" w:rsidRDefault="001600E5" w:rsidP="001600E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1E0A0054" w14:textId="77777777" w:rsidR="001600E5" w:rsidRPr="001E23FD" w:rsidRDefault="001600E5" w:rsidP="001600E5">
      <w:pPr>
        <w:ind w:left="720" w:hanging="720"/>
        <w:jc w:val="both"/>
        <w:rPr>
          <w:rFonts w:ascii="Arial" w:hAnsi="Arial" w:cs="Arial"/>
          <w:sz w:val="22"/>
          <w:szCs w:val="22"/>
          <w:lang w:val="en-GB"/>
        </w:rPr>
      </w:pPr>
    </w:p>
    <w:p w14:paraId="00BB6B7D" w14:textId="22C35217" w:rsidR="001600E5" w:rsidRPr="00592F82" w:rsidRDefault="001600E5" w:rsidP="001600E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384F62">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31174D23" w14:textId="77777777" w:rsidR="001600E5" w:rsidRPr="00592F82" w:rsidRDefault="001600E5" w:rsidP="001600E5">
      <w:pPr>
        <w:ind w:left="720" w:hanging="720"/>
        <w:jc w:val="both"/>
        <w:rPr>
          <w:rFonts w:ascii="Arial" w:hAnsi="Arial" w:cs="Arial"/>
          <w:sz w:val="22"/>
          <w:szCs w:val="22"/>
          <w:lang w:val="en-GB"/>
        </w:rPr>
      </w:pPr>
    </w:p>
    <w:p w14:paraId="65F7106E" w14:textId="77777777" w:rsidR="001600E5" w:rsidRPr="00592F82" w:rsidRDefault="001600E5" w:rsidP="001600E5">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3A30EE7C" w:rsidR="00AF228E"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05D8A760"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384F62">
        <w:rPr>
          <w:rFonts w:ascii="Arial" w:hAnsi="Arial" w:cs="Arial"/>
          <w:b/>
          <w:bCs/>
          <w:sz w:val="22"/>
          <w:szCs w:val="22"/>
          <w:u w:val="single"/>
          <w:lang w:val="en-GB"/>
        </w:rPr>
        <w:t>is not</w:t>
      </w:r>
      <w:r>
        <w:rPr>
          <w:rFonts w:ascii="Arial" w:hAnsi="Arial" w:cs="Arial"/>
          <w:sz w:val="22"/>
          <w:szCs w:val="22"/>
          <w:lang w:val="en-GB"/>
        </w:rPr>
        <w:t xml:space="preserve"> one of the </w:t>
      </w:r>
      <w:r w:rsidR="00EE030D">
        <w:rPr>
          <w:rFonts w:ascii="Arial" w:hAnsi="Arial" w:cs="Arial"/>
          <w:sz w:val="22"/>
          <w:szCs w:val="22"/>
          <w:lang w:val="en-GB"/>
        </w:rPr>
        <w:t xml:space="preserve">roles of a </w:t>
      </w:r>
      <w:r w:rsidR="005E32B3">
        <w:rPr>
          <w:rFonts w:ascii="Arial" w:hAnsi="Arial" w:cs="Arial"/>
          <w:sz w:val="22"/>
          <w:szCs w:val="22"/>
          <w:lang w:val="en-GB"/>
        </w:rPr>
        <w:t>scheme manager</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236A9EDD"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5E32B3" w:rsidRPr="005E32B3">
        <w:rPr>
          <w:rFonts w:ascii="Arial" w:hAnsi="Arial" w:cs="Arial"/>
          <w:sz w:val="22"/>
          <w:szCs w:val="22"/>
          <w:lang w:val="en-GB"/>
        </w:rPr>
        <w:t xml:space="preserve">administer the scheme after it has been approved by the creditors. </w:t>
      </w:r>
    </w:p>
    <w:p w14:paraId="2BE5792A" w14:textId="77777777" w:rsidR="00831582" w:rsidRPr="00831582" w:rsidRDefault="00831582" w:rsidP="00831582">
      <w:pPr>
        <w:jc w:val="both"/>
        <w:rPr>
          <w:rFonts w:ascii="Arial" w:hAnsi="Arial" w:cs="Arial"/>
          <w:sz w:val="22"/>
          <w:szCs w:val="22"/>
          <w:lang w:val="en-GB"/>
        </w:rPr>
      </w:pPr>
    </w:p>
    <w:p w14:paraId="22190121" w14:textId="0313B5CE" w:rsidR="00867701" w:rsidRPr="00E12B7E" w:rsidRDefault="00831582" w:rsidP="00BE65AA">
      <w:pPr>
        <w:pStyle w:val="ListParagraph"/>
        <w:numPr>
          <w:ilvl w:val="0"/>
          <w:numId w:val="4"/>
        </w:numPr>
        <w:ind w:left="426"/>
        <w:jc w:val="both"/>
        <w:rPr>
          <w:rFonts w:ascii="Arial" w:hAnsi="Arial" w:cs="Arial"/>
          <w:sz w:val="22"/>
          <w:szCs w:val="22"/>
          <w:highlight w:val="yellow"/>
          <w:lang w:val="en-GB"/>
        </w:rPr>
      </w:pPr>
      <w:r w:rsidRPr="00E12B7E">
        <w:rPr>
          <w:rFonts w:ascii="Arial" w:hAnsi="Arial" w:cs="Arial"/>
          <w:sz w:val="22"/>
          <w:szCs w:val="22"/>
          <w:highlight w:val="yellow"/>
          <w:lang w:val="en-GB"/>
        </w:rPr>
        <w:t>To</w:t>
      </w:r>
      <w:r w:rsidR="005E32B3" w:rsidRPr="00E12B7E">
        <w:rPr>
          <w:rFonts w:ascii="Arial" w:hAnsi="Arial" w:cs="Arial"/>
          <w:sz w:val="22"/>
          <w:szCs w:val="22"/>
          <w:highlight w:val="yellow"/>
          <w:lang w:val="en-GB"/>
        </w:rPr>
        <w:t xml:space="preserve"> run the business of the </w:t>
      </w:r>
      <w:r w:rsidR="00787521" w:rsidRPr="00E12B7E">
        <w:rPr>
          <w:rFonts w:ascii="Arial" w:hAnsi="Arial" w:cs="Arial"/>
          <w:sz w:val="22"/>
          <w:szCs w:val="22"/>
          <w:highlight w:val="yellow"/>
          <w:lang w:val="en-GB"/>
        </w:rPr>
        <w:t xml:space="preserve">debtor </w:t>
      </w:r>
      <w:r w:rsidR="005E32B3" w:rsidRPr="00E12B7E">
        <w:rPr>
          <w:rFonts w:ascii="Arial" w:hAnsi="Arial" w:cs="Arial"/>
          <w:sz w:val="22"/>
          <w:szCs w:val="22"/>
          <w:highlight w:val="yellow"/>
          <w:lang w:val="en-GB"/>
        </w:rPr>
        <w:t>company.</w:t>
      </w:r>
    </w:p>
    <w:p w14:paraId="5A16C038" w14:textId="77777777" w:rsidR="00831582" w:rsidRPr="00831582" w:rsidRDefault="00831582" w:rsidP="00831582">
      <w:pPr>
        <w:jc w:val="both"/>
        <w:rPr>
          <w:rFonts w:ascii="Arial" w:hAnsi="Arial" w:cs="Arial"/>
          <w:sz w:val="22"/>
          <w:szCs w:val="22"/>
          <w:lang w:val="en-GB"/>
        </w:rPr>
      </w:pPr>
    </w:p>
    <w:p w14:paraId="344D1E30" w14:textId="73A1B683" w:rsidR="00867701" w:rsidRDefault="005E32B3"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prepare the scheme of arrangement proposal.</w:t>
      </w:r>
    </w:p>
    <w:p w14:paraId="223227E0" w14:textId="77777777" w:rsidR="00831582" w:rsidRPr="00831582" w:rsidRDefault="00831582" w:rsidP="00831582">
      <w:pPr>
        <w:jc w:val="both"/>
        <w:rPr>
          <w:rFonts w:ascii="Arial" w:hAnsi="Arial" w:cs="Arial"/>
          <w:sz w:val="22"/>
          <w:szCs w:val="22"/>
          <w:lang w:val="en-GB"/>
        </w:rPr>
      </w:pPr>
    </w:p>
    <w:p w14:paraId="4CAB62DA" w14:textId="37A132F9"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 xml:space="preserve">To </w:t>
      </w:r>
      <w:r w:rsidR="005E32B3">
        <w:rPr>
          <w:rFonts w:ascii="Arial" w:hAnsi="Arial" w:cs="Arial"/>
          <w:sz w:val="22"/>
          <w:szCs w:val="22"/>
          <w:lang w:val="en-GB"/>
        </w:rPr>
        <w:t xml:space="preserve">adjudicate on the proofs of debt filed by the creditors. </w:t>
      </w:r>
    </w:p>
    <w:p w14:paraId="580E634B" w14:textId="7F48AA14"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3A53FF01"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w:t>
      </w:r>
      <w:r w:rsidR="00DE0963">
        <w:rPr>
          <w:rFonts w:ascii="Arial" w:hAnsi="Arial" w:cs="Arial"/>
          <w:sz w:val="22"/>
          <w:szCs w:val="22"/>
          <w:lang w:val="en-GB"/>
        </w:rPr>
        <w:t xml:space="preserve">ich of the following forms of security </w:t>
      </w:r>
      <w:r w:rsidR="00DE0963" w:rsidRPr="00384F62">
        <w:rPr>
          <w:rFonts w:ascii="Arial" w:hAnsi="Arial" w:cs="Arial"/>
          <w:b/>
          <w:bCs/>
          <w:sz w:val="22"/>
          <w:szCs w:val="22"/>
          <w:u w:val="single"/>
          <w:lang w:val="en-GB"/>
        </w:rPr>
        <w:t>need not</w:t>
      </w:r>
      <w:r w:rsidR="00DE0963">
        <w:rPr>
          <w:rFonts w:ascii="Arial" w:hAnsi="Arial" w:cs="Arial"/>
          <w:sz w:val="22"/>
          <w:szCs w:val="22"/>
          <w:lang w:val="en-GB"/>
        </w:rPr>
        <w:t xml:space="preserve"> be registered</w:t>
      </w:r>
      <w:r w:rsidR="00C041E8">
        <w:rPr>
          <w:rFonts w:ascii="Arial" w:hAnsi="Arial" w:cs="Arial"/>
          <w:sz w:val="22"/>
          <w:szCs w:val="22"/>
          <w:lang w:val="en-GB"/>
        </w:rPr>
        <w:t>?</w:t>
      </w:r>
    </w:p>
    <w:p w14:paraId="5929AF04" w14:textId="77777777" w:rsidR="00876F56" w:rsidRPr="006D2BBF" w:rsidRDefault="00876F56" w:rsidP="00C55824">
      <w:pPr>
        <w:jc w:val="both"/>
        <w:rPr>
          <w:rFonts w:ascii="Arial" w:hAnsi="Arial" w:cs="Arial"/>
          <w:sz w:val="22"/>
          <w:szCs w:val="22"/>
          <w:lang w:val="en-GB"/>
        </w:rPr>
      </w:pPr>
    </w:p>
    <w:p w14:paraId="2F2C07B8" w14:textId="436A8ED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DE0963">
        <w:rPr>
          <w:rFonts w:ascii="Arial" w:hAnsi="Arial" w:cs="Arial"/>
          <w:sz w:val="22"/>
          <w:szCs w:val="22"/>
          <w:lang w:val="en-GB"/>
        </w:rPr>
        <w:t>fixed charge</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C079272"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 xml:space="preserve">A </w:t>
      </w:r>
      <w:r w:rsidR="00DE0963">
        <w:rPr>
          <w:rFonts w:ascii="Arial" w:hAnsi="Arial" w:cs="Arial"/>
          <w:sz w:val="22"/>
          <w:szCs w:val="22"/>
          <w:lang w:val="en-GB"/>
        </w:rPr>
        <w:t>mortgage</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742F1F1D" w:rsidR="00867701" w:rsidRPr="004613AB" w:rsidRDefault="004C294D" w:rsidP="00BE65AA">
      <w:pPr>
        <w:pStyle w:val="ListParagraph"/>
        <w:numPr>
          <w:ilvl w:val="0"/>
          <w:numId w:val="5"/>
        </w:numPr>
        <w:ind w:left="426"/>
        <w:jc w:val="both"/>
        <w:rPr>
          <w:rFonts w:ascii="Arial" w:hAnsi="Arial" w:cs="Arial"/>
          <w:sz w:val="22"/>
          <w:szCs w:val="22"/>
          <w:highlight w:val="yellow"/>
          <w:lang w:val="en-GB"/>
        </w:rPr>
      </w:pPr>
      <w:r w:rsidRPr="004613AB">
        <w:rPr>
          <w:rFonts w:ascii="Arial" w:hAnsi="Arial" w:cs="Arial"/>
          <w:sz w:val="22"/>
          <w:szCs w:val="22"/>
          <w:highlight w:val="yellow"/>
          <w:lang w:val="en-GB"/>
        </w:rPr>
        <w:t>A</w:t>
      </w:r>
      <w:r w:rsidR="00C041E8" w:rsidRPr="004613AB">
        <w:rPr>
          <w:rFonts w:ascii="Arial" w:hAnsi="Arial" w:cs="Arial"/>
          <w:sz w:val="22"/>
          <w:szCs w:val="22"/>
          <w:highlight w:val="yellow"/>
          <w:lang w:val="en-GB"/>
        </w:rPr>
        <w:t xml:space="preserve"> </w:t>
      </w:r>
      <w:r w:rsidR="00DE0963" w:rsidRPr="004613AB">
        <w:rPr>
          <w:rFonts w:ascii="Arial" w:hAnsi="Arial" w:cs="Arial"/>
          <w:sz w:val="22"/>
          <w:szCs w:val="22"/>
          <w:highlight w:val="yellow"/>
          <w:lang w:val="en-GB"/>
        </w:rPr>
        <w:t>pledge</w:t>
      </w:r>
      <w:r w:rsidR="0007291B" w:rsidRPr="004613AB">
        <w:rPr>
          <w:rFonts w:ascii="Arial" w:hAnsi="Arial" w:cs="Arial"/>
          <w:sz w:val="22"/>
          <w:szCs w:val="22"/>
          <w:highlight w:val="yellow"/>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67A8A3C8" w:rsidR="00867701" w:rsidRPr="000F0B79"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DE0963">
        <w:rPr>
          <w:rFonts w:ascii="Arial" w:hAnsi="Arial" w:cs="Arial"/>
          <w:sz w:val="22"/>
          <w:szCs w:val="22"/>
          <w:lang w:val="en-GB"/>
        </w:rPr>
        <w:t xml:space="preserve"> floating charge</w:t>
      </w:r>
      <w:r w:rsidRPr="000F0B79">
        <w:rPr>
          <w:rFonts w:ascii="Arial" w:hAnsi="Arial" w:cs="Arial"/>
          <w:sz w:val="22"/>
          <w:szCs w:val="22"/>
          <w:lang w:val="en-GB"/>
        </w:rPr>
        <w:t>.</w:t>
      </w:r>
    </w:p>
    <w:p w14:paraId="4E9D9AF0" w14:textId="3897C10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4EC9A3D4"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w:t>
      </w:r>
      <w:r w:rsidR="006452E6">
        <w:rPr>
          <w:rFonts w:ascii="Arial" w:hAnsi="Arial" w:cs="Arial"/>
          <w:sz w:val="22"/>
          <w:szCs w:val="22"/>
          <w:lang w:val="en-GB"/>
        </w:rPr>
        <w:t xml:space="preserve">debtor is registered as a foreign company </w:t>
      </w:r>
      <w:r w:rsidR="00FC32B6" w:rsidRPr="00FC32B6">
        <w:rPr>
          <w:rFonts w:ascii="Arial" w:hAnsi="Arial" w:cs="Arial"/>
          <w:sz w:val="22"/>
          <w:szCs w:val="22"/>
          <w:lang w:val="en-GB"/>
        </w:rPr>
        <w:t>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289EE571"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 xml:space="preserve">he debtor </w:t>
      </w:r>
      <w:r w:rsidR="006452E6">
        <w:rPr>
          <w:rFonts w:ascii="Arial" w:hAnsi="Arial" w:cs="Arial"/>
          <w:sz w:val="22"/>
          <w:szCs w:val="22"/>
          <w:lang w:val="en-GB"/>
        </w:rPr>
        <w:t>is carrying on business in</w:t>
      </w:r>
      <w:r w:rsidR="00FC32B6" w:rsidRPr="00FC32B6">
        <w:rPr>
          <w:rFonts w:ascii="Arial" w:hAnsi="Arial" w:cs="Arial"/>
          <w:sz w:val="22"/>
          <w:szCs w:val="22"/>
          <w:lang w:val="en-GB"/>
        </w:rPr>
        <w:t xml:space="preserve">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7F7CFA" w:rsidRDefault="00FC32B6" w:rsidP="00BE65AA">
      <w:pPr>
        <w:pStyle w:val="ListParagraph"/>
        <w:numPr>
          <w:ilvl w:val="0"/>
          <w:numId w:val="6"/>
        </w:numPr>
        <w:ind w:left="426"/>
        <w:jc w:val="both"/>
        <w:rPr>
          <w:rFonts w:ascii="Arial" w:hAnsi="Arial" w:cs="Arial"/>
          <w:sz w:val="22"/>
          <w:szCs w:val="22"/>
          <w:highlight w:val="yellow"/>
          <w:lang w:val="en-GB"/>
        </w:rPr>
      </w:pPr>
      <w:r w:rsidRPr="007F7CFA">
        <w:rPr>
          <w:rFonts w:ascii="Arial" w:hAnsi="Arial" w:cs="Arial"/>
          <w:sz w:val="22"/>
          <w:szCs w:val="22"/>
          <w:highlight w:val="yellow"/>
          <w:lang w:val="en-GB"/>
        </w:rPr>
        <w:t>Any of the above</w:t>
      </w:r>
      <w:r w:rsidR="00EA6F96" w:rsidRPr="007F7CFA">
        <w:rPr>
          <w:rFonts w:ascii="Arial" w:hAnsi="Arial" w:cs="Arial"/>
          <w:sz w:val="22"/>
          <w:szCs w:val="22"/>
          <w:highlight w:val="yellow"/>
          <w:lang w:val="en-GB"/>
        </w:rPr>
        <w:t>.</w:t>
      </w:r>
    </w:p>
    <w:p w14:paraId="4C4D2BBE" w14:textId="06BCA9D0" w:rsidR="00EA6F96" w:rsidRDefault="00EA6F96" w:rsidP="00C55824">
      <w:pPr>
        <w:jc w:val="both"/>
        <w:rPr>
          <w:rFonts w:ascii="Arial" w:hAnsi="Arial" w:cs="Arial"/>
          <w:sz w:val="22"/>
          <w:szCs w:val="22"/>
        </w:rPr>
      </w:pPr>
    </w:p>
    <w:p w14:paraId="0ECB3B6D" w14:textId="25B3742E" w:rsidR="00384F62" w:rsidRDefault="00384F62" w:rsidP="00C55824">
      <w:pPr>
        <w:jc w:val="both"/>
        <w:rPr>
          <w:rFonts w:ascii="Arial" w:hAnsi="Arial" w:cs="Arial"/>
          <w:sz w:val="22"/>
          <w:szCs w:val="22"/>
        </w:rPr>
      </w:pPr>
    </w:p>
    <w:p w14:paraId="707CC94C" w14:textId="7E435879" w:rsidR="00384F62" w:rsidRDefault="00384F62" w:rsidP="00C55824">
      <w:pPr>
        <w:jc w:val="both"/>
        <w:rPr>
          <w:rFonts w:ascii="Arial" w:hAnsi="Arial" w:cs="Arial"/>
          <w:sz w:val="22"/>
          <w:szCs w:val="22"/>
        </w:rPr>
      </w:pPr>
    </w:p>
    <w:p w14:paraId="78A62180" w14:textId="1A1FAAD4" w:rsidR="00384F62" w:rsidRDefault="00384F62" w:rsidP="00C55824">
      <w:pPr>
        <w:jc w:val="both"/>
        <w:rPr>
          <w:rFonts w:ascii="Arial" w:hAnsi="Arial" w:cs="Arial"/>
          <w:sz w:val="22"/>
          <w:szCs w:val="22"/>
        </w:rPr>
      </w:pPr>
    </w:p>
    <w:p w14:paraId="4BE94821" w14:textId="4F80EDE8" w:rsidR="00384F62" w:rsidRDefault="00384F62" w:rsidP="00C55824">
      <w:pPr>
        <w:jc w:val="both"/>
        <w:rPr>
          <w:rFonts w:ascii="Arial" w:hAnsi="Arial" w:cs="Arial"/>
          <w:sz w:val="22"/>
          <w:szCs w:val="22"/>
        </w:rPr>
      </w:pPr>
    </w:p>
    <w:p w14:paraId="2033C7E8" w14:textId="7D88D4F6" w:rsidR="00384F62" w:rsidRDefault="00384F62" w:rsidP="00C55824">
      <w:pPr>
        <w:jc w:val="both"/>
        <w:rPr>
          <w:rFonts w:ascii="Arial" w:hAnsi="Arial" w:cs="Arial"/>
          <w:sz w:val="22"/>
          <w:szCs w:val="22"/>
        </w:rPr>
      </w:pPr>
    </w:p>
    <w:p w14:paraId="055EDEBA" w14:textId="77777777" w:rsidR="00384F62" w:rsidRDefault="00384F62"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7A00F345"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Over 50% in</w:t>
      </w:r>
      <w:r w:rsidR="00483BC6">
        <w:rPr>
          <w:rFonts w:ascii="Arial" w:hAnsi="Arial" w:cs="Arial"/>
          <w:sz w:val="22"/>
          <w:szCs w:val="22"/>
          <w:lang w:val="en-GB"/>
        </w:rPr>
        <w:t xml:space="preserve"> value</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1181A8B0"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83BC6">
        <w:rPr>
          <w:rFonts w:ascii="Arial" w:hAnsi="Arial" w:cs="Arial"/>
          <w:sz w:val="22"/>
          <w:szCs w:val="22"/>
          <w:lang w:val="en-GB"/>
        </w:rPr>
        <w:t>value</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189E9906"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83BC6">
        <w:rPr>
          <w:rFonts w:ascii="Arial" w:hAnsi="Arial" w:cs="Arial"/>
          <w:sz w:val="22"/>
          <w:szCs w:val="22"/>
          <w:lang w:val="en-GB"/>
        </w:rPr>
        <w:t xml:space="preserve">value. </w:t>
      </w:r>
    </w:p>
    <w:p w14:paraId="3805824F" w14:textId="77777777" w:rsidR="001957E8" w:rsidRPr="001957E8" w:rsidRDefault="001957E8" w:rsidP="001957E8">
      <w:pPr>
        <w:ind w:left="66"/>
        <w:jc w:val="both"/>
        <w:rPr>
          <w:rFonts w:ascii="Arial" w:hAnsi="Arial" w:cs="Arial"/>
          <w:sz w:val="22"/>
          <w:szCs w:val="22"/>
          <w:lang w:val="en-GB"/>
        </w:rPr>
      </w:pPr>
    </w:p>
    <w:p w14:paraId="66070E23" w14:textId="17612D76" w:rsidR="00867701" w:rsidRPr="004313D2" w:rsidRDefault="0007291B" w:rsidP="00BE65AA">
      <w:pPr>
        <w:pStyle w:val="ListParagraph"/>
        <w:numPr>
          <w:ilvl w:val="0"/>
          <w:numId w:val="7"/>
        </w:numPr>
        <w:ind w:left="426"/>
        <w:jc w:val="both"/>
        <w:rPr>
          <w:rFonts w:ascii="Arial" w:hAnsi="Arial" w:cs="Arial"/>
          <w:sz w:val="22"/>
          <w:szCs w:val="22"/>
          <w:highlight w:val="yellow"/>
          <w:lang w:val="en-GB"/>
        </w:rPr>
      </w:pPr>
      <w:r w:rsidRPr="004313D2">
        <w:rPr>
          <w:rFonts w:ascii="Arial" w:hAnsi="Arial" w:cs="Arial"/>
          <w:sz w:val="22"/>
          <w:szCs w:val="22"/>
          <w:highlight w:val="yellow"/>
          <w:lang w:val="en-GB"/>
        </w:rPr>
        <w:t xml:space="preserve">75% or more in </w:t>
      </w:r>
      <w:r w:rsidR="00483BC6" w:rsidRPr="004313D2">
        <w:rPr>
          <w:rFonts w:ascii="Arial" w:hAnsi="Arial" w:cs="Arial"/>
          <w:sz w:val="22"/>
          <w:szCs w:val="22"/>
          <w:highlight w:val="yellow"/>
          <w:lang w:val="en-GB"/>
        </w:rPr>
        <w:t>value</w:t>
      </w:r>
      <w:r w:rsidR="00F50041" w:rsidRPr="004313D2">
        <w:rPr>
          <w:rFonts w:ascii="Arial" w:hAnsi="Arial" w:cs="Arial"/>
          <w:sz w:val="22"/>
          <w:szCs w:val="22"/>
          <w:highlight w:val="yellow"/>
          <w:lang w:val="en-GB"/>
        </w:rPr>
        <w:t>.</w:t>
      </w:r>
    </w:p>
    <w:p w14:paraId="37B64868" w14:textId="5DE8D4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170974A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following</w:t>
      </w:r>
      <w:r w:rsidR="00DE2CD9">
        <w:rPr>
          <w:rFonts w:ascii="Arial" w:hAnsi="Arial" w:cs="Arial"/>
          <w:sz w:val="22"/>
          <w:szCs w:val="22"/>
          <w:lang w:val="en-GB"/>
        </w:rPr>
        <w:t xml:space="preserve"> is </w:t>
      </w:r>
      <w:r w:rsidR="00DE2CD9" w:rsidRPr="00384F62">
        <w:rPr>
          <w:rFonts w:ascii="Arial" w:hAnsi="Arial" w:cs="Arial"/>
          <w:b/>
          <w:bCs/>
          <w:sz w:val="22"/>
          <w:szCs w:val="22"/>
          <w:u w:val="single"/>
          <w:lang w:val="en-GB"/>
        </w:rPr>
        <w:t>not</w:t>
      </w:r>
      <w:r w:rsidR="00DE2CD9">
        <w:rPr>
          <w:rFonts w:ascii="Arial" w:hAnsi="Arial" w:cs="Arial"/>
          <w:sz w:val="22"/>
          <w:szCs w:val="22"/>
          <w:lang w:val="en-GB"/>
        </w:rPr>
        <w:t xml:space="preserve"> one of the statutory duties of a bankrupt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1D8C1559" w:rsidR="00867701" w:rsidRDefault="003E22E2"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E2CD9">
        <w:rPr>
          <w:rFonts w:ascii="Arial" w:hAnsi="Arial" w:cs="Arial"/>
          <w:sz w:val="22"/>
          <w:szCs w:val="22"/>
          <w:lang w:val="en-GB"/>
        </w:rPr>
        <w:t xml:space="preserve">o </w:t>
      </w:r>
      <w:r w:rsidR="00DE2CD9" w:rsidRPr="00DE2CD9">
        <w:rPr>
          <w:rFonts w:ascii="Arial" w:hAnsi="Arial" w:cs="Arial"/>
          <w:sz w:val="22"/>
          <w:szCs w:val="22"/>
          <w:lang w:val="en-GB"/>
        </w:rPr>
        <w:t>make discovery of and deliver all his property to the Official Assignee</w:t>
      </w:r>
      <w:r w:rsidR="00384F6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1C1E05BC" w:rsidR="00867701" w:rsidRDefault="00C041E8" w:rsidP="00384F62">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7C6CC7">
        <w:rPr>
          <w:rFonts w:ascii="Arial" w:hAnsi="Arial" w:cs="Arial"/>
          <w:sz w:val="22"/>
          <w:szCs w:val="22"/>
          <w:lang w:val="en-GB"/>
        </w:rPr>
        <w:t xml:space="preserve">o </w:t>
      </w:r>
      <w:r w:rsidR="007C6CC7" w:rsidRPr="007C6CC7">
        <w:rPr>
          <w:rFonts w:ascii="Arial" w:hAnsi="Arial" w:cs="Arial"/>
          <w:sz w:val="22"/>
          <w:szCs w:val="22"/>
          <w:lang w:val="en-GB"/>
        </w:rPr>
        <w:t>attend any meeting of his creditors as may be convened by the Official Assignee</w:t>
      </w:r>
      <w:r w:rsidR="00384F6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02E4A7A8"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w:t>
      </w:r>
      <w:r w:rsidR="00DB6EEB" w:rsidRPr="00384F62">
        <w:rPr>
          <w:rFonts w:ascii="Arial" w:hAnsi="Arial" w:cs="Arial"/>
          <w:sz w:val="22"/>
          <w:szCs w:val="22"/>
          <w:lang w:val="en-GB"/>
        </w:rPr>
        <w:t>o execute such powers of attorney, conveyances, deeds and instruments as may be required</w:t>
      </w:r>
      <w:r w:rsidR="00384F62">
        <w:rPr>
          <w:rFonts w:ascii="Arial" w:hAnsi="Arial" w:cs="Arial"/>
          <w:sz w:val="22"/>
          <w:szCs w:val="22"/>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19008D4F" w:rsidR="00867701" w:rsidRPr="00934FE7" w:rsidRDefault="00FC32B6" w:rsidP="00BE65AA">
      <w:pPr>
        <w:pStyle w:val="ListParagraph"/>
        <w:numPr>
          <w:ilvl w:val="0"/>
          <w:numId w:val="8"/>
        </w:numPr>
        <w:ind w:left="426"/>
        <w:jc w:val="both"/>
        <w:rPr>
          <w:rFonts w:ascii="Arial" w:hAnsi="Arial" w:cs="Arial"/>
          <w:sz w:val="22"/>
          <w:szCs w:val="22"/>
          <w:highlight w:val="yellow"/>
          <w:lang w:val="en-GB"/>
        </w:rPr>
      </w:pPr>
      <w:r w:rsidRPr="00934FE7">
        <w:rPr>
          <w:rFonts w:ascii="Arial" w:hAnsi="Arial" w:cs="Arial"/>
          <w:sz w:val="22"/>
          <w:szCs w:val="22"/>
          <w:highlight w:val="yellow"/>
          <w:lang w:val="en-GB"/>
        </w:rPr>
        <w:t>T</w:t>
      </w:r>
      <w:r w:rsidR="00DE2CD9" w:rsidRPr="00934FE7">
        <w:rPr>
          <w:rFonts w:ascii="Arial" w:hAnsi="Arial" w:cs="Arial"/>
          <w:sz w:val="22"/>
          <w:szCs w:val="22"/>
          <w:highlight w:val="yellow"/>
          <w:lang w:val="en-GB"/>
        </w:rPr>
        <w:t>o not travel overseas under any circumstances whatsoever</w:t>
      </w:r>
      <w:r w:rsidR="00384F62" w:rsidRPr="00934FE7">
        <w:rPr>
          <w:rFonts w:ascii="Arial" w:hAnsi="Arial" w:cs="Arial"/>
          <w:sz w:val="22"/>
          <w:szCs w:val="22"/>
          <w:highlight w:val="yellow"/>
          <w:lang w:val="en-GB"/>
        </w:rPr>
        <w:t>.</w:t>
      </w:r>
    </w:p>
    <w:p w14:paraId="4614C3CF" w14:textId="512AF812"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01233B0B"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7C7036" w:rsidRPr="00384F62">
        <w:rPr>
          <w:rFonts w:ascii="Arial" w:hAnsi="Arial" w:cs="Arial"/>
          <w:b/>
          <w:bCs/>
          <w:sz w:val="22"/>
          <w:szCs w:val="22"/>
          <w:u w:val="single"/>
          <w:lang w:val="en-GB"/>
        </w:rPr>
        <w:t>is not true</w:t>
      </w:r>
      <w:r w:rsidR="007C7036">
        <w:rPr>
          <w:rFonts w:ascii="Arial" w:hAnsi="Arial" w:cs="Arial"/>
          <w:b/>
          <w:bCs/>
          <w:sz w:val="22"/>
          <w:szCs w:val="22"/>
          <w:lang w:val="en-GB"/>
        </w:rPr>
        <w:t xml:space="preserve"> </w:t>
      </w:r>
      <w:r w:rsidR="00384F62">
        <w:rPr>
          <w:rFonts w:ascii="Arial" w:hAnsi="Arial" w:cs="Arial"/>
          <w:sz w:val="22"/>
          <w:szCs w:val="22"/>
          <w:lang w:val="en-GB"/>
        </w:rPr>
        <w:t>of</w:t>
      </w:r>
      <w:r w:rsidR="007C7036">
        <w:rPr>
          <w:rFonts w:ascii="Arial" w:hAnsi="Arial" w:cs="Arial"/>
          <w:sz w:val="22"/>
          <w:szCs w:val="22"/>
          <w:lang w:val="en-GB"/>
        </w:rPr>
        <w:t xml:space="preserve"> the </w:t>
      </w:r>
      <w:r w:rsidR="00EB7B75">
        <w:rPr>
          <w:rFonts w:ascii="Arial" w:hAnsi="Arial" w:cs="Arial"/>
          <w:sz w:val="22"/>
          <w:szCs w:val="22"/>
          <w:lang w:val="en-GB"/>
        </w:rPr>
        <w:t>Model Law</w:t>
      </w:r>
      <w:r w:rsidR="00FA4DD1">
        <w:rPr>
          <w:rFonts w:ascii="Arial" w:hAnsi="Arial" w:cs="Arial"/>
          <w:sz w:val="22"/>
          <w:szCs w:val="22"/>
          <w:lang w:val="en-GB"/>
        </w:rPr>
        <w:t xml:space="preserve"> as enacted in Singapore</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600763B8" w14:textId="19F1D417" w:rsidR="00E45264" w:rsidRDefault="00E40797" w:rsidP="00BE65AA">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0797">
        <w:rPr>
          <w:rFonts w:ascii="Arial" w:hAnsi="Arial" w:cs="Arial"/>
          <w:sz w:val="22"/>
          <w:szCs w:val="22"/>
          <w:lang w:val="en-GB"/>
        </w:rPr>
        <w:t>allows foreign representatives to apply to</w:t>
      </w:r>
      <w:r>
        <w:rPr>
          <w:rFonts w:ascii="Arial" w:hAnsi="Arial" w:cs="Arial"/>
          <w:sz w:val="22"/>
          <w:szCs w:val="22"/>
          <w:lang w:val="en-GB"/>
        </w:rPr>
        <w:t xml:space="preserve"> </w:t>
      </w:r>
      <w:r w:rsidR="00384F62">
        <w:rPr>
          <w:rFonts w:ascii="Arial" w:hAnsi="Arial" w:cs="Arial"/>
          <w:sz w:val="22"/>
          <w:szCs w:val="22"/>
          <w:lang w:val="en-GB"/>
        </w:rPr>
        <w:t>c</w:t>
      </w:r>
      <w:r>
        <w:rPr>
          <w:rFonts w:ascii="Arial" w:hAnsi="Arial" w:cs="Arial"/>
          <w:sz w:val="22"/>
          <w:szCs w:val="22"/>
          <w:lang w:val="en-GB"/>
        </w:rPr>
        <w:t>ourt</w:t>
      </w:r>
      <w:r w:rsidRPr="00E40797">
        <w:rPr>
          <w:rFonts w:ascii="Arial" w:hAnsi="Arial" w:cs="Arial"/>
          <w:sz w:val="22"/>
          <w:szCs w:val="22"/>
          <w:lang w:val="en-GB"/>
        </w:rPr>
        <w:t xml:space="preserve"> for the recognition of foreign proceedings.</w:t>
      </w:r>
    </w:p>
    <w:p w14:paraId="6664268D" w14:textId="77777777" w:rsidR="006302A0" w:rsidRDefault="006302A0" w:rsidP="00384F62">
      <w:pPr>
        <w:pStyle w:val="ListParagraph"/>
        <w:ind w:left="426"/>
        <w:jc w:val="both"/>
        <w:rPr>
          <w:rFonts w:ascii="Arial" w:hAnsi="Arial" w:cs="Arial"/>
          <w:sz w:val="22"/>
          <w:szCs w:val="22"/>
          <w:lang w:val="en-GB"/>
        </w:rPr>
      </w:pPr>
    </w:p>
    <w:p w14:paraId="488B0709" w14:textId="45DE445B" w:rsidR="00E45264" w:rsidRPr="004313D2" w:rsidRDefault="00FA4DD1" w:rsidP="00501A24">
      <w:pPr>
        <w:pStyle w:val="ListParagraph"/>
        <w:numPr>
          <w:ilvl w:val="0"/>
          <w:numId w:val="9"/>
        </w:numPr>
        <w:ind w:left="426"/>
        <w:jc w:val="both"/>
        <w:rPr>
          <w:rFonts w:ascii="Arial" w:hAnsi="Arial" w:cs="Arial"/>
          <w:sz w:val="22"/>
          <w:szCs w:val="22"/>
          <w:highlight w:val="yellow"/>
          <w:lang w:val="en-GB"/>
        </w:rPr>
      </w:pPr>
      <w:r w:rsidRPr="004313D2">
        <w:rPr>
          <w:rFonts w:ascii="Arial" w:hAnsi="Arial" w:cs="Arial"/>
          <w:sz w:val="22"/>
          <w:szCs w:val="22"/>
          <w:highlight w:val="yellow"/>
          <w:lang w:val="en-GB"/>
        </w:rPr>
        <w:t>The court can deny recognition only if recognition is “manifestly contrary” to public policy</w:t>
      </w:r>
      <w:r w:rsidR="00EB7B75" w:rsidRPr="004313D2">
        <w:rPr>
          <w:rFonts w:ascii="Arial" w:hAnsi="Arial" w:cs="Arial"/>
          <w:sz w:val="22"/>
          <w:szCs w:val="22"/>
          <w:highlight w:val="yellow"/>
          <w:lang w:val="en-GB"/>
        </w:rPr>
        <w:t>.</w:t>
      </w:r>
    </w:p>
    <w:p w14:paraId="3FEA754C" w14:textId="77777777" w:rsidR="006302A0" w:rsidRPr="00C2645B" w:rsidRDefault="006302A0" w:rsidP="00384F62">
      <w:pPr>
        <w:pStyle w:val="ListParagraph"/>
        <w:ind w:left="426"/>
        <w:jc w:val="both"/>
        <w:rPr>
          <w:lang w:val="en-GB"/>
        </w:rPr>
      </w:pPr>
    </w:p>
    <w:p w14:paraId="529C5696" w14:textId="5D02C1D0" w:rsidR="00E45264" w:rsidRDefault="006302A0"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provides for </w:t>
      </w:r>
      <w:r w:rsidRPr="00384F62">
        <w:rPr>
          <w:rFonts w:ascii="Arial" w:hAnsi="Arial" w:cs="Arial"/>
          <w:sz w:val="22"/>
          <w:szCs w:val="22"/>
          <w:lang w:val="en-GB"/>
        </w:rPr>
        <w:t xml:space="preserve">concurrent insolvency proceedings. </w:t>
      </w:r>
    </w:p>
    <w:p w14:paraId="6DBCC1DC" w14:textId="77777777" w:rsidR="00E45264" w:rsidRDefault="00E45264" w:rsidP="00384F62">
      <w:pPr>
        <w:pStyle w:val="ListParagraph"/>
        <w:ind w:left="426"/>
        <w:jc w:val="both"/>
        <w:rPr>
          <w:rFonts w:ascii="Arial" w:hAnsi="Arial" w:cs="Arial"/>
          <w:sz w:val="22"/>
          <w:szCs w:val="22"/>
          <w:lang w:val="en-GB"/>
        </w:rPr>
      </w:pPr>
    </w:p>
    <w:p w14:paraId="70188075" w14:textId="45991FED" w:rsidR="00B50EA0" w:rsidRPr="00384F62" w:rsidRDefault="00E45264" w:rsidP="00384F62">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It </w:t>
      </w:r>
      <w:r w:rsidRPr="00E45264">
        <w:rPr>
          <w:rFonts w:ascii="Arial" w:hAnsi="Arial" w:cs="Arial"/>
          <w:sz w:val="22"/>
          <w:szCs w:val="22"/>
          <w:lang w:val="en-GB"/>
        </w:rPr>
        <w:t>provides for international co-operation and communication between courts and representatives</w:t>
      </w:r>
      <w:r w:rsidR="00384F62">
        <w:rPr>
          <w:rFonts w:ascii="Arial" w:hAnsi="Arial" w:cs="Arial"/>
          <w:sz w:val="22"/>
          <w:szCs w:val="22"/>
          <w:lang w:val="en-GB"/>
        </w:rPr>
        <w:t>.</w:t>
      </w:r>
    </w:p>
    <w:p w14:paraId="77967061" w14:textId="49EF89E7" w:rsidR="00876F56" w:rsidRPr="00B50EA0" w:rsidRDefault="00876F56" w:rsidP="00384F62">
      <w:pPr>
        <w:pStyle w:val="ListParagraph"/>
        <w:ind w:left="426"/>
        <w:jc w:val="both"/>
        <w:rPr>
          <w:rFonts w:ascii="Arial" w:hAnsi="Arial" w:cs="Arial"/>
          <w:sz w:val="22"/>
          <w:szCs w:val="22"/>
          <w:lang w:val="en-GB"/>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6F3CD136"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00C87FF9" w:rsidRPr="00384F62">
        <w:rPr>
          <w:rFonts w:ascii="Arial" w:hAnsi="Arial" w:cs="Arial"/>
          <w:bCs/>
          <w:sz w:val="22"/>
          <w:szCs w:val="22"/>
          <w:lang w:val="en-GB"/>
        </w:rPr>
        <w:t xml:space="preserve">new reforms </w:t>
      </w:r>
      <w:r w:rsidR="00C87FF9" w:rsidRPr="00384F62">
        <w:rPr>
          <w:rFonts w:ascii="Arial" w:hAnsi="Arial" w:cs="Arial"/>
          <w:b/>
          <w:sz w:val="22"/>
          <w:szCs w:val="22"/>
          <w:u w:val="single"/>
          <w:lang w:val="en-GB"/>
        </w:rPr>
        <w:t xml:space="preserve">were </w:t>
      </w:r>
      <w:r w:rsidR="00BC2272" w:rsidRPr="00384F62">
        <w:rPr>
          <w:rFonts w:ascii="Arial" w:hAnsi="Arial" w:cs="Arial"/>
          <w:b/>
          <w:sz w:val="22"/>
          <w:szCs w:val="22"/>
          <w:u w:val="single"/>
          <w:lang w:val="en-GB"/>
        </w:rPr>
        <w:t>not</w:t>
      </w:r>
      <w:r w:rsidR="00BC2272">
        <w:rPr>
          <w:rFonts w:ascii="Arial" w:hAnsi="Arial" w:cs="Arial"/>
          <w:bCs/>
          <w:sz w:val="22"/>
          <w:szCs w:val="22"/>
          <w:lang w:val="en-GB"/>
        </w:rPr>
        <w:t xml:space="preserve"> </w:t>
      </w:r>
      <w:r w:rsidR="00C87FF9" w:rsidRPr="00384F62">
        <w:rPr>
          <w:rFonts w:ascii="Arial" w:hAnsi="Arial" w:cs="Arial"/>
          <w:bCs/>
          <w:sz w:val="22"/>
          <w:szCs w:val="22"/>
          <w:lang w:val="en-GB"/>
        </w:rPr>
        <w:t>introduced by way of the</w:t>
      </w:r>
      <w:r w:rsidR="00C87FF9">
        <w:rPr>
          <w:rFonts w:ascii="Arial" w:hAnsi="Arial" w:cs="Arial"/>
          <w:b/>
          <w:bCs/>
          <w:sz w:val="22"/>
          <w:szCs w:val="22"/>
          <w:lang w:val="en-GB"/>
        </w:rPr>
        <w:t xml:space="preserve"> </w:t>
      </w:r>
      <w:r w:rsidR="00BC2272" w:rsidRPr="00C2645B">
        <w:rPr>
          <w:rFonts w:ascii="Arial" w:hAnsi="Arial" w:cs="Arial"/>
          <w:bCs/>
          <w:sz w:val="22"/>
          <w:szCs w:val="22"/>
          <w:lang w:val="en-GB"/>
        </w:rPr>
        <w:t>2017 amendments to the C</w:t>
      </w:r>
      <w:r w:rsidR="00BC2272">
        <w:rPr>
          <w:rFonts w:ascii="Arial" w:hAnsi="Arial" w:cs="Arial"/>
          <w:bCs/>
          <w:sz w:val="22"/>
          <w:szCs w:val="22"/>
          <w:lang w:val="en-GB"/>
        </w:rPr>
        <w:t>ompanies Act</w:t>
      </w:r>
      <w:r>
        <w:rPr>
          <w:rFonts w:ascii="Arial" w:hAnsi="Arial" w:cs="Arial"/>
          <w:sz w:val="22"/>
          <w:szCs w:val="22"/>
          <w:lang w:val="en-GB"/>
        </w:rPr>
        <w:t xml:space="preserve">? </w:t>
      </w:r>
    </w:p>
    <w:p w14:paraId="2CC41920" w14:textId="77777777" w:rsidR="00C55824" w:rsidRPr="006D2BBF" w:rsidRDefault="00C55824" w:rsidP="00C55824">
      <w:pPr>
        <w:jc w:val="both"/>
        <w:rPr>
          <w:rFonts w:ascii="Arial" w:hAnsi="Arial" w:cs="Arial"/>
          <w:sz w:val="22"/>
          <w:szCs w:val="22"/>
          <w:lang w:val="en-GB"/>
        </w:rPr>
      </w:pPr>
    </w:p>
    <w:p w14:paraId="7A04B2AB" w14:textId="1E6AB3D2"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automatic moratorium</w:t>
      </w:r>
      <w:r w:rsidR="00384F62">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7E814844" w:rsidR="00876F56"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The cross-class cram down</w:t>
      </w:r>
      <w:r w:rsidR="00384F62">
        <w:rPr>
          <w:rFonts w:ascii="Arial" w:hAnsi="Arial" w:cs="Arial"/>
          <w:sz w:val="22"/>
          <w:szCs w:val="22"/>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40BE55C2" w:rsidR="00876F56" w:rsidRPr="004313D2" w:rsidRDefault="00C87FF9" w:rsidP="00BE65AA">
      <w:pPr>
        <w:pStyle w:val="ListParagraph"/>
        <w:numPr>
          <w:ilvl w:val="0"/>
          <w:numId w:val="10"/>
        </w:numPr>
        <w:ind w:left="426"/>
        <w:jc w:val="both"/>
        <w:rPr>
          <w:rFonts w:ascii="Arial" w:hAnsi="Arial" w:cs="Arial"/>
          <w:sz w:val="22"/>
          <w:szCs w:val="22"/>
          <w:highlight w:val="yellow"/>
          <w:lang w:val="en-GB"/>
        </w:rPr>
      </w:pPr>
      <w:r w:rsidRPr="004313D2">
        <w:rPr>
          <w:rFonts w:ascii="Arial" w:hAnsi="Arial" w:cs="Arial"/>
          <w:sz w:val="22"/>
          <w:szCs w:val="22"/>
          <w:highlight w:val="yellow"/>
          <w:lang w:val="en-GB"/>
        </w:rPr>
        <w:t xml:space="preserve">Restrictions on </w:t>
      </w:r>
      <w:r w:rsidR="00BC2272" w:rsidRPr="004313D2">
        <w:rPr>
          <w:rFonts w:ascii="Arial" w:hAnsi="Arial" w:cs="Arial"/>
          <w:i/>
          <w:iCs/>
          <w:sz w:val="22"/>
          <w:szCs w:val="22"/>
          <w:highlight w:val="yellow"/>
          <w:lang w:val="en-GB"/>
        </w:rPr>
        <w:t>ipso facto</w:t>
      </w:r>
      <w:r w:rsidR="00BC2272" w:rsidRPr="004313D2">
        <w:rPr>
          <w:rFonts w:ascii="Arial" w:hAnsi="Arial" w:cs="Arial"/>
          <w:sz w:val="22"/>
          <w:szCs w:val="22"/>
          <w:highlight w:val="yellow"/>
          <w:lang w:val="en-GB"/>
        </w:rPr>
        <w:t xml:space="preserve"> clauses</w:t>
      </w:r>
      <w:r w:rsidR="00384F62" w:rsidRPr="004313D2">
        <w:rPr>
          <w:rFonts w:ascii="Arial" w:hAnsi="Arial" w:cs="Arial"/>
          <w:sz w:val="22"/>
          <w:szCs w:val="22"/>
          <w:highlight w:val="yellow"/>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60ECD375" w:rsidR="00876F56" w:rsidRPr="003541EB" w:rsidRDefault="00BC2272" w:rsidP="00BE65AA">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Pre-packaged scheme of arrangement</w:t>
      </w:r>
      <w:r w:rsidR="00384F62">
        <w:rPr>
          <w:rFonts w:ascii="Arial" w:hAnsi="Arial" w:cs="Arial"/>
          <w:sz w:val="22"/>
          <w:szCs w:val="22"/>
          <w:lang w:val="en-GB"/>
        </w:rPr>
        <w:t>.</w:t>
      </w:r>
    </w:p>
    <w:p w14:paraId="02CBC043" w14:textId="1415D176" w:rsidR="005B79F4" w:rsidRDefault="005B79F4" w:rsidP="00C55824">
      <w:pPr>
        <w:jc w:val="both"/>
        <w:rPr>
          <w:rFonts w:ascii="Arial" w:eastAsiaTheme="minorHAnsi" w:hAnsi="Arial" w:cs="Arial"/>
          <w:sz w:val="22"/>
          <w:szCs w:val="22"/>
          <w:lang w:val="en-GB"/>
        </w:rPr>
      </w:pPr>
    </w:p>
    <w:p w14:paraId="241161DA" w14:textId="77777777" w:rsidR="00384F62" w:rsidRDefault="00384F62"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259713FD" w:rsidR="00A01DDA" w:rsidRDefault="00170EF8" w:rsidP="00C55824">
      <w:pPr>
        <w:jc w:val="both"/>
        <w:rPr>
          <w:rFonts w:ascii="Arial" w:hAnsi="Arial" w:cs="Arial"/>
          <w:sz w:val="22"/>
          <w:szCs w:val="22"/>
          <w:lang w:val="en-GB"/>
        </w:rPr>
      </w:pPr>
      <w:r>
        <w:rPr>
          <w:rFonts w:ascii="Arial" w:hAnsi="Arial" w:cs="Arial"/>
          <w:sz w:val="22"/>
          <w:szCs w:val="22"/>
          <w:lang w:val="en-GB"/>
        </w:rPr>
        <w:t>Who amongst</w:t>
      </w:r>
      <w:r w:rsidR="006F2457">
        <w:rPr>
          <w:rFonts w:ascii="Arial" w:hAnsi="Arial" w:cs="Arial"/>
          <w:sz w:val="22"/>
          <w:szCs w:val="22"/>
          <w:lang w:val="en-GB"/>
        </w:rPr>
        <w:t xml:space="preserve"> the following </w:t>
      </w:r>
      <w:r w:rsidRPr="00384F62">
        <w:rPr>
          <w:rFonts w:ascii="Arial" w:hAnsi="Arial" w:cs="Arial"/>
          <w:b/>
          <w:bCs/>
          <w:sz w:val="22"/>
          <w:szCs w:val="22"/>
          <w:u w:val="single"/>
          <w:lang w:val="en-GB"/>
        </w:rPr>
        <w:t xml:space="preserve">may not </w:t>
      </w:r>
      <w:r w:rsidRPr="00384F62">
        <w:rPr>
          <w:rFonts w:ascii="Arial" w:hAnsi="Arial" w:cs="Arial"/>
          <w:sz w:val="22"/>
          <w:szCs w:val="22"/>
          <w:lang w:val="en-GB"/>
        </w:rPr>
        <w:t>bring</w:t>
      </w:r>
      <w:r>
        <w:rPr>
          <w:rFonts w:ascii="Arial" w:hAnsi="Arial" w:cs="Arial"/>
          <w:sz w:val="22"/>
          <w:szCs w:val="22"/>
          <w:lang w:val="en-GB"/>
        </w:rPr>
        <w:t xml:space="preserve"> a judicial management application? </w:t>
      </w:r>
    </w:p>
    <w:p w14:paraId="78960EE5" w14:textId="77777777" w:rsidR="00C55824" w:rsidRPr="006D2BBF" w:rsidRDefault="00C55824" w:rsidP="00F674C7">
      <w:pPr>
        <w:jc w:val="both"/>
        <w:rPr>
          <w:rFonts w:ascii="Arial" w:hAnsi="Arial" w:cs="Arial"/>
          <w:sz w:val="22"/>
          <w:szCs w:val="22"/>
          <w:lang w:val="en-GB"/>
        </w:rPr>
      </w:pPr>
    </w:p>
    <w:p w14:paraId="2FC64D9F" w14:textId="5FA59EAF" w:rsidR="00876F56" w:rsidRDefault="00C21EB5"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ompany by way of a members’ resolution</w:t>
      </w:r>
      <w:r w:rsidR="00384F62">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6C7264F3" w:rsidR="00876F56" w:rsidRPr="00E12B7E" w:rsidRDefault="00C21EB5" w:rsidP="00BE65AA">
      <w:pPr>
        <w:pStyle w:val="ListParagraph"/>
        <w:numPr>
          <w:ilvl w:val="0"/>
          <w:numId w:val="11"/>
        </w:numPr>
        <w:ind w:left="426"/>
        <w:jc w:val="both"/>
        <w:rPr>
          <w:rFonts w:ascii="Arial" w:hAnsi="Arial" w:cs="Arial"/>
          <w:sz w:val="22"/>
          <w:szCs w:val="22"/>
          <w:highlight w:val="yellow"/>
          <w:lang w:val="en-GB"/>
        </w:rPr>
      </w:pPr>
      <w:r w:rsidRPr="00E12B7E">
        <w:rPr>
          <w:rFonts w:ascii="Arial" w:hAnsi="Arial" w:cs="Arial"/>
          <w:sz w:val="22"/>
          <w:szCs w:val="22"/>
          <w:highlight w:val="yellow"/>
          <w:lang w:val="en-GB"/>
        </w:rPr>
        <w:t xml:space="preserve">The </w:t>
      </w:r>
      <w:r w:rsidR="00384F62" w:rsidRPr="00E12B7E">
        <w:rPr>
          <w:rFonts w:ascii="Arial" w:hAnsi="Arial" w:cs="Arial"/>
          <w:sz w:val="22"/>
          <w:szCs w:val="22"/>
          <w:highlight w:val="yellow"/>
          <w:lang w:val="en-GB"/>
        </w:rPr>
        <w:t>l</w:t>
      </w:r>
      <w:r w:rsidRPr="00E12B7E">
        <w:rPr>
          <w:rFonts w:ascii="Arial" w:hAnsi="Arial" w:cs="Arial"/>
          <w:sz w:val="22"/>
          <w:szCs w:val="22"/>
          <w:highlight w:val="yellow"/>
          <w:lang w:val="en-GB"/>
        </w:rPr>
        <w:t xml:space="preserve">iquidator by way of an application to </w:t>
      </w:r>
      <w:r w:rsidR="00384F62" w:rsidRPr="00E12B7E">
        <w:rPr>
          <w:rFonts w:ascii="Arial" w:hAnsi="Arial" w:cs="Arial"/>
          <w:sz w:val="22"/>
          <w:szCs w:val="22"/>
          <w:highlight w:val="yellow"/>
          <w:lang w:val="en-GB"/>
        </w:rPr>
        <w:t>c</w:t>
      </w:r>
      <w:r w:rsidRPr="00E12B7E">
        <w:rPr>
          <w:rFonts w:ascii="Arial" w:hAnsi="Arial" w:cs="Arial"/>
          <w:sz w:val="22"/>
          <w:szCs w:val="22"/>
          <w:highlight w:val="yellow"/>
          <w:lang w:val="en-GB"/>
        </w:rPr>
        <w:t>ourt</w:t>
      </w:r>
      <w:r w:rsidR="00384F62" w:rsidRPr="00E12B7E">
        <w:rPr>
          <w:rFonts w:ascii="Arial" w:hAnsi="Arial" w:cs="Arial"/>
          <w:sz w:val="22"/>
          <w:szCs w:val="22"/>
          <w:highlight w:val="yellow"/>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59656214" w:rsidR="00876F56" w:rsidRDefault="000E0D36"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d</w:t>
      </w:r>
      <w:r>
        <w:rPr>
          <w:rFonts w:ascii="Arial" w:hAnsi="Arial" w:cs="Arial"/>
          <w:sz w:val="22"/>
          <w:szCs w:val="22"/>
          <w:lang w:val="en-GB"/>
        </w:rPr>
        <w:t>irectors pursuant to a board resolution</w:t>
      </w:r>
      <w:r w:rsidR="00384F62">
        <w:rPr>
          <w:rFonts w:ascii="Arial" w:hAnsi="Arial" w:cs="Arial"/>
          <w:sz w:val="22"/>
          <w:szCs w:val="22"/>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75947B18" w:rsidR="006F2457" w:rsidRPr="005B5514" w:rsidRDefault="000E0D36">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 xml:space="preserve">The </w:t>
      </w:r>
      <w:r w:rsidR="00384F62">
        <w:rPr>
          <w:rFonts w:ascii="Arial" w:hAnsi="Arial" w:cs="Arial"/>
          <w:sz w:val="22"/>
          <w:szCs w:val="22"/>
          <w:lang w:val="en-GB"/>
        </w:rPr>
        <w:t>c</w:t>
      </w:r>
      <w:r>
        <w:rPr>
          <w:rFonts w:ascii="Arial" w:hAnsi="Arial" w:cs="Arial"/>
          <w:sz w:val="22"/>
          <w:szCs w:val="22"/>
          <w:lang w:val="en-GB"/>
        </w:rPr>
        <w:t>reditors either together or separately</w:t>
      </w:r>
      <w:r w:rsidR="00384F62">
        <w:rPr>
          <w:rFonts w:ascii="Arial" w:hAnsi="Arial" w:cs="Arial"/>
          <w:sz w:val="22"/>
          <w:szCs w:val="22"/>
          <w:lang w:val="en-GB"/>
        </w:rPr>
        <w:t>.</w:t>
      </w:r>
    </w:p>
    <w:p w14:paraId="2733446D" w14:textId="77777777" w:rsidR="005B79F4" w:rsidRPr="006F2457" w:rsidRDefault="005B79F4" w:rsidP="00384F62">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04A7D311"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w:t>
      </w:r>
      <w:r w:rsidR="00A57528" w:rsidRPr="00384F62">
        <w:rPr>
          <w:rFonts w:ascii="Arial" w:hAnsi="Arial" w:cs="Arial"/>
          <w:b/>
          <w:bCs/>
          <w:sz w:val="22"/>
          <w:szCs w:val="22"/>
          <w:u w:val="single"/>
          <w:lang w:val="en-GB"/>
        </w:rPr>
        <w:t>is not</w:t>
      </w:r>
      <w:r w:rsidR="00A57528">
        <w:rPr>
          <w:rFonts w:ascii="Arial" w:hAnsi="Arial" w:cs="Arial"/>
          <w:sz w:val="22"/>
          <w:szCs w:val="22"/>
          <w:lang w:val="en-GB"/>
        </w:rPr>
        <w:t xml:space="preserve"> one of the statutory duties that a bankrupt is subject to?</w:t>
      </w:r>
    </w:p>
    <w:p w14:paraId="1C6CA528" w14:textId="77777777" w:rsidR="00C55824" w:rsidRPr="00C55824" w:rsidRDefault="00C55824" w:rsidP="00C55824">
      <w:pPr>
        <w:jc w:val="both"/>
        <w:rPr>
          <w:rFonts w:ascii="Arial" w:hAnsi="Arial" w:cs="Arial"/>
          <w:sz w:val="22"/>
          <w:szCs w:val="22"/>
          <w:lang w:val="en-GB"/>
        </w:rPr>
      </w:pPr>
    </w:p>
    <w:p w14:paraId="0F08BF2F" w14:textId="066AD255"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M</w:t>
      </w:r>
      <w:r w:rsidRPr="00A57528">
        <w:rPr>
          <w:rFonts w:ascii="Arial" w:hAnsi="Arial" w:cs="Arial"/>
          <w:sz w:val="22"/>
          <w:szCs w:val="22"/>
          <w:lang w:val="en-GB"/>
        </w:rPr>
        <w:t>ake discovery of and deliver all his property to the Official Assignee</w:t>
      </w:r>
      <w:r w:rsidR="00384F62">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31831C" w:rsidR="00876F56" w:rsidRDefault="00A57528" w:rsidP="00BE65AA">
      <w:pPr>
        <w:pStyle w:val="ListParagraph"/>
        <w:numPr>
          <w:ilvl w:val="0"/>
          <w:numId w:val="12"/>
        </w:numPr>
        <w:ind w:left="426"/>
        <w:jc w:val="both"/>
        <w:rPr>
          <w:rFonts w:ascii="Arial" w:hAnsi="Arial" w:cs="Arial"/>
          <w:sz w:val="22"/>
          <w:szCs w:val="22"/>
          <w:lang w:val="en-GB"/>
        </w:rPr>
      </w:pPr>
      <w:r>
        <w:rPr>
          <w:rFonts w:ascii="Arial" w:hAnsi="Arial" w:cs="Arial"/>
          <w:sz w:val="22"/>
          <w:szCs w:val="22"/>
          <w:lang w:val="en-GB"/>
        </w:rPr>
        <w:t>D</w:t>
      </w:r>
      <w:r w:rsidRPr="00A57528">
        <w:rPr>
          <w:rFonts w:ascii="Arial" w:hAnsi="Arial" w:cs="Arial"/>
          <w:sz w:val="22"/>
          <w:szCs w:val="22"/>
          <w:lang w:val="en-GB"/>
        </w:rPr>
        <w:t>isclose all property disposed of by gift or settlement without adequate valuable consideration within the five years immediately preceding his bankruptcy</w:t>
      </w:r>
      <w:r w:rsidR="00384F62">
        <w:rPr>
          <w:rFonts w:ascii="Arial" w:hAnsi="Arial" w:cs="Arial"/>
          <w:sz w:val="22"/>
          <w:szCs w:val="22"/>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397FA243" w:rsidR="00876F56" w:rsidRPr="003C064E" w:rsidRDefault="00391426" w:rsidP="00BE65AA">
      <w:pPr>
        <w:pStyle w:val="ListParagraph"/>
        <w:numPr>
          <w:ilvl w:val="0"/>
          <w:numId w:val="12"/>
        </w:numPr>
        <w:ind w:left="426"/>
        <w:jc w:val="both"/>
        <w:rPr>
          <w:rFonts w:ascii="Arial" w:hAnsi="Arial" w:cs="Arial"/>
          <w:sz w:val="22"/>
          <w:szCs w:val="22"/>
          <w:highlight w:val="yellow"/>
          <w:lang w:val="en-GB"/>
        </w:rPr>
      </w:pPr>
      <w:r w:rsidRPr="003C064E">
        <w:rPr>
          <w:rFonts w:ascii="Arial" w:hAnsi="Arial" w:cs="Arial"/>
          <w:sz w:val="22"/>
          <w:szCs w:val="22"/>
          <w:highlight w:val="yellow"/>
          <w:lang w:val="en-GB"/>
        </w:rPr>
        <w:t>Not being able to travel overseas at all</w:t>
      </w:r>
      <w:r w:rsidR="00384F62" w:rsidRPr="003C064E">
        <w:rPr>
          <w:rFonts w:ascii="Arial" w:hAnsi="Arial" w:cs="Arial"/>
          <w:sz w:val="22"/>
          <w:szCs w:val="22"/>
          <w:highlight w:val="yellow"/>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15E19E53" w:rsidR="00876F56" w:rsidRPr="00853901" w:rsidRDefault="00A57528" w:rsidP="00BE65AA">
      <w:pPr>
        <w:pStyle w:val="ListParagraph"/>
        <w:widowControl w:val="0"/>
        <w:numPr>
          <w:ilvl w:val="0"/>
          <w:numId w:val="12"/>
        </w:numPr>
        <w:ind w:left="426"/>
        <w:jc w:val="both"/>
        <w:rPr>
          <w:rFonts w:ascii="Arial" w:hAnsi="Arial" w:cs="Arial"/>
          <w:sz w:val="22"/>
          <w:szCs w:val="22"/>
          <w:lang w:val="en-GB"/>
        </w:rPr>
      </w:pPr>
      <w:r>
        <w:rPr>
          <w:rFonts w:ascii="Arial" w:hAnsi="Arial" w:cs="Arial"/>
          <w:sz w:val="22"/>
          <w:szCs w:val="22"/>
          <w:lang w:val="en-GB"/>
        </w:rPr>
        <w:t>A</w:t>
      </w:r>
      <w:r w:rsidRPr="00A57528">
        <w:rPr>
          <w:rFonts w:ascii="Arial" w:hAnsi="Arial" w:cs="Arial"/>
          <w:sz w:val="22"/>
          <w:szCs w:val="22"/>
          <w:lang w:val="en-GB"/>
        </w:rPr>
        <w:t>ttend meetings with the Official Assignee and answer all relevant questions</w:t>
      </w:r>
      <w:r w:rsidR="00384F62">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387F3E58"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Which of the</w:t>
      </w:r>
      <w:r w:rsidR="00726B93">
        <w:rPr>
          <w:rFonts w:ascii="Arial" w:hAnsi="Arial" w:cs="Arial"/>
          <w:sz w:val="22"/>
          <w:szCs w:val="22"/>
          <w:lang w:val="en-GB"/>
        </w:rPr>
        <w:t xml:space="preserve"> following</w:t>
      </w:r>
      <w:r>
        <w:rPr>
          <w:rFonts w:ascii="Arial" w:hAnsi="Arial" w:cs="Arial"/>
          <w:sz w:val="22"/>
          <w:szCs w:val="22"/>
          <w:lang w:val="en-GB"/>
        </w:rPr>
        <w:t xml:space="preserve"> </w:t>
      </w:r>
      <w:r w:rsidR="008569B9" w:rsidRPr="00384F62">
        <w:rPr>
          <w:rFonts w:ascii="Arial" w:hAnsi="Arial" w:cs="Arial"/>
          <w:b/>
          <w:bCs/>
          <w:sz w:val="22"/>
          <w:szCs w:val="22"/>
          <w:u w:val="single"/>
          <w:lang w:val="en-GB"/>
        </w:rPr>
        <w:t>is not</w:t>
      </w:r>
      <w:r w:rsidR="008569B9">
        <w:rPr>
          <w:rFonts w:ascii="Arial" w:hAnsi="Arial" w:cs="Arial"/>
          <w:sz w:val="22"/>
          <w:szCs w:val="22"/>
          <w:lang w:val="en-GB"/>
        </w:rPr>
        <w:t xml:space="preserve"> one of reasons for which the Court will appoint an interim judicial </w:t>
      </w:r>
      <w:proofErr w:type="gramStart"/>
      <w:r w:rsidR="008569B9">
        <w:rPr>
          <w:rFonts w:ascii="Arial" w:hAnsi="Arial" w:cs="Arial"/>
          <w:sz w:val="22"/>
          <w:szCs w:val="22"/>
          <w:lang w:val="en-GB"/>
        </w:rPr>
        <w:t>manager:</w:t>
      </w:r>
      <w:proofErr w:type="gramEnd"/>
    </w:p>
    <w:p w14:paraId="5F04F70E" w14:textId="77777777" w:rsidR="00C55824" w:rsidRPr="00C55824" w:rsidRDefault="00C55824" w:rsidP="0020090A">
      <w:pPr>
        <w:keepNext/>
        <w:jc w:val="both"/>
        <w:rPr>
          <w:rFonts w:ascii="Arial" w:hAnsi="Arial" w:cs="Arial"/>
          <w:sz w:val="22"/>
          <w:szCs w:val="22"/>
          <w:lang w:val="en-GB"/>
        </w:rPr>
      </w:pPr>
    </w:p>
    <w:p w14:paraId="6267F999" w14:textId="2635C853" w:rsidR="008B16E7" w:rsidRDefault="0007291B" w:rsidP="00384F62">
      <w:pPr>
        <w:pStyle w:val="ListParagraph"/>
        <w:numPr>
          <w:ilvl w:val="0"/>
          <w:numId w:val="16"/>
        </w:numPr>
        <w:ind w:left="426"/>
        <w:jc w:val="both"/>
        <w:rPr>
          <w:rFonts w:ascii="Arial" w:hAnsi="Arial" w:cs="Arial"/>
          <w:sz w:val="22"/>
          <w:szCs w:val="22"/>
          <w:lang w:val="en-GB"/>
        </w:rPr>
      </w:pPr>
      <w:r w:rsidRPr="00C2645B">
        <w:rPr>
          <w:rFonts w:ascii="Arial" w:hAnsi="Arial" w:cs="Arial"/>
          <w:sz w:val="22"/>
          <w:szCs w:val="22"/>
          <w:lang w:val="en-GB"/>
        </w:rPr>
        <w:t>The</w:t>
      </w:r>
      <w:r w:rsidR="008569B9" w:rsidRPr="00C2645B">
        <w:rPr>
          <w:rFonts w:ascii="Arial" w:hAnsi="Arial" w:cs="Arial"/>
          <w:sz w:val="22"/>
          <w:szCs w:val="22"/>
          <w:lang w:val="en-GB"/>
        </w:rPr>
        <w:t xml:space="preserve"> preservation of the </w:t>
      </w:r>
      <w:r w:rsidR="008569B9" w:rsidRPr="00384F62">
        <w:rPr>
          <w:rFonts w:ascii="Arial" w:hAnsi="Arial" w:cs="Arial"/>
          <w:sz w:val="22"/>
          <w:szCs w:val="22"/>
          <w:lang w:val="en-GB"/>
        </w:rPr>
        <w:t>company’s</w:t>
      </w:r>
      <w:r w:rsidR="008569B9" w:rsidRPr="00C2645B">
        <w:rPr>
          <w:rFonts w:ascii="Arial" w:hAnsi="Arial" w:cs="Arial"/>
          <w:sz w:val="22"/>
          <w:szCs w:val="22"/>
          <w:lang w:val="en-GB"/>
        </w:rPr>
        <w:t xml:space="preserve"> property</w:t>
      </w:r>
      <w:r w:rsidR="008569B9" w:rsidRPr="00384F62">
        <w:rPr>
          <w:rFonts w:ascii="Arial" w:hAnsi="Arial" w:cs="Arial"/>
          <w:sz w:val="22"/>
          <w:szCs w:val="22"/>
          <w:lang w:val="en-GB"/>
        </w:rPr>
        <w:t xml:space="preserve"> or business from dissipation or deterioration</w:t>
      </w:r>
      <w:r w:rsidR="00384F62">
        <w:rPr>
          <w:rFonts w:ascii="Arial" w:hAnsi="Arial" w:cs="Arial"/>
          <w:sz w:val="22"/>
          <w:szCs w:val="22"/>
          <w:lang w:val="en-GB"/>
        </w:rPr>
        <w:t>.</w:t>
      </w:r>
    </w:p>
    <w:p w14:paraId="5C86CE98" w14:textId="7FE8CA86" w:rsidR="00876F56" w:rsidRPr="00C2645B" w:rsidRDefault="00876F56" w:rsidP="00384F62">
      <w:pPr>
        <w:pStyle w:val="ListParagraph"/>
        <w:ind w:left="426"/>
        <w:jc w:val="both"/>
        <w:rPr>
          <w:rFonts w:ascii="Arial" w:hAnsi="Arial" w:cs="Arial"/>
          <w:sz w:val="22"/>
          <w:szCs w:val="22"/>
          <w:lang w:val="en-GB"/>
        </w:rPr>
      </w:pPr>
    </w:p>
    <w:p w14:paraId="7512816B" w14:textId="1C57A5C8" w:rsidR="008B16E7" w:rsidRPr="00E12B7E" w:rsidRDefault="0007291B" w:rsidP="00384F62">
      <w:pPr>
        <w:pStyle w:val="ListParagraph"/>
        <w:numPr>
          <w:ilvl w:val="0"/>
          <w:numId w:val="16"/>
        </w:numPr>
        <w:ind w:left="426"/>
        <w:jc w:val="both"/>
        <w:rPr>
          <w:rFonts w:ascii="Arial" w:hAnsi="Arial" w:cs="Arial"/>
          <w:sz w:val="22"/>
          <w:szCs w:val="22"/>
          <w:highlight w:val="yellow"/>
          <w:lang w:val="en-GB"/>
        </w:rPr>
      </w:pPr>
      <w:r w:rsidRPr="00E12B7E">
        <w:rPr>
          <w:rFonts w:ascii="Arial" w:hAnsi="Arial" w:cs="Arial"/>
          <w:sz w:val="22"/>
          <w:szCs w:val="22"/>
          <w:highlight w:val="yellow"/>
          <w:lang w:val="en-GB"/>
        </w:rPr>
        <w:t xml:space="preserve">The </w:t>
      </w:r>
      <w:r w:rsidR="008569B9" w:rsidRPr="00E12B7E">
        <w:rPr>
          <w:rFonts w:ascii="Arial" w:hAnsi="Arial" w:cs="Arial"/>
          <w:sz w:val="22"/>
          <w:szCs w:val="22"/>
          <w:highlight w:val="yellow"/>
          <w:lang w:val="en-GB"/>
        </w:rPr>
        <w:t>more advantageous realisation of the property than in a liquidation</w:t>
      </w:r>
      <w:r w:rsidR="00384F62" w:rsidRPr="00E12B7E">
        <w:rPr>
          <w:rFonts w:ascii="Arial" w:hAnsi="Arial" w:cs="Arial"/>
          <w:sz w:val="22"/>
          <w:szCs w:val="22"/>
          <w:highlight w:val="yellow"/>
          <w:lang w:val="en-GB"/>
        </w:rPr>
        <w:t>.</w:t>
      </w:r>
    </w:p>
    <w:p w14:paraId="6BAC1FA2" w14:textId="77777777" w:rsidR="008569B9" w:rsidRPr="00C2645B" w:rsidRDefault="008569B9" w:rsidP="00384F62">
      <w:pPr>
        <w:pStyle w:val="ListParagraph"/>
        <w:ind w:left="426"/>
        <w:jc w:val="both"/>
        <w:rPr>
          <w:lang w:val="en-GB"/>
        </w:rPr>
      </w:pPr>
    </w:p>
    <w:p w14:paraId="436FAE60" w14:textId="62D54F54" w:rsidR="008569B9" w:rsidRPr="00384F62" w:rsidRDefault="008B16E7" w:rsidP="00384F62">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 xml:space="preserve">To </w:t>
      </w:r>
      <w:r w:rsidRPr="00C2645B">
        <w:rPr>
          <w:rFonts w:ascii="Arial" w:hAnsi="Arial" w:cs="Arial"/>
          <w:sz w:val="22"/>
          <w:szCs w:val="22"/>
          <w:lang w:val="en-GB"/>
        </w:rPr>
        <w:t>bridge the gap</w:t>
      </w:r>
      <w:r w:rsidR="008569B9" w:rsidRPr="00384F62">
        <w:rPr>
          <w:rFonts w:ascii="Arial" w:hAnsi="Arial" w:cs="Arial"/>
          <w:sz w:val="22"/>
          <w:szCs w:val="22"/>
          <w:lang w:val="en-GB"/>
        </w:rPr>
        <w:t xml:space="preserve"> between the application for judicial management and the hearing of the judicial management application</w:t>
      </w:r>
      <w:r w:rsidR="00384F62">
        <w:rPr>
          <w:rFonts w:ascii="Arial" w:hAnsi="Arial" w:cs="Arial"/>
          <w:sz w:val="22"/>
          <w:szCs w:val="22"/>
          <w:lang w:val="en-GB"/>
        </w:rPr>
        <w:t>.</w:t>
      </w:r>
    </w:p>
    <w:p w14:paraId="12871E09" w14:textId="77777777" w:rsidR="00C66D43" w:rsidRPr="00C2645B" w:rsidRDefault="00C66D43" w:rsidP="00384F62">
      <w:pPr>
        <w:pStyle w:val="ListParagraph"/>
        <w:ind w:left="426"/>
        <w:jc w:val="both"/>
        <w:rPr>
          <w:rFonts w:ascii="Arial" w:hAnsi="Arial" w:cs="Arial"/>
          <w:sz w:val="22"/>
          <w:szCs w:val="22"/>
          <w:lang w:val="en-GB"/>
        </w:rPr>
      </w:pPr>
    </w:p>
    <w:p w14:paraId="70FF61A2" w14:textId="2C513065" w:rsidR="00876F56" w:rsidRPr="00C66D43" w:rsidRDefault="0007291B" w:rsidP="00384F62">
      <w:pPr>
        <w:pStyle w:val="ListParagraph"/>
        <w:numPr>
          <w:ilvl w:val="0"/>
          <w:numId w:val="16"/>
        </w:numPr>
        <w:ind w:left="426"/>
        <w:jc w:val="both"/>
        <w:rPr>
          <w:rFonts w:ascii="Arial" w:hAnsi="Arial" w:cs="Arial"/>
          <w:sz w:val="22"/>
          <w:szCs w:val="22"/>
          <w:lang w:val="en-GB"/>
        </w:rPr>
      </w:pPr>
      <w:r w:rsidRPr="00C66D43">
        <w:rPr>
          <w:rFonts w:ascii="Arial" w:hAnsi="Arial" w:cs="Arial"/>
          <w:sz w:val="22"/>
          <w:szCs w:val="22"/>
          <w:lang w:val="en-GB"/>
        </w:rPr>
        <w:t>T</w:t>
      </w:r>
      <w:r w:rsidR="008B16E7" w:rsidRPr="008B16E7">
        <w:rPr>
          <w:rFonts w:ascii="Arial" w:hAnsi="Arial" w:cs="Arial"/>
          <w:sz w:val="22"/>
          <w:szCs w:val="22"/>
          <w:lang w:val="en-GB"/>
        </w:rPr>
        <w:t>o safeguard the interests of the company as well as its creditors</w:t>
      </w:r>
      <w:r w:rsidR="00384F62">
        <w:rPr>
          <w:rFonts w:ascii="Arial" w:hAnsi="Arial" w:cs="Arial"/>
          <w:sz w:val="22"/>
          <w:szCs w:val="22"/>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6D2C9136" w14:textId="77777777" w:rsidR="000214ED" w:rsidRDefault="000214ED" w:rsidP="000214ED">
      <w:pPr>
        <w:jc w:val="both"/>
        <w:rPr>
          <w:rFonts w:ascii="Arial" w:hAnsi="Arial" w:cs="Arial"/>
          <w:sz w:val="22"/>
          <w:szCs w:val="22"/>
          <w:lang w:val="en-GB"/>
        </w:rPr>
      </w:pPr>
    </w:p>
    <w:p w14:paraId="217DE743" w14:textId="298E978E" w:rsidR="000214ED" w:rsidRDefault="000214ED" w:rsidP="000214ED">
      <w:pPr>
        <w:jc w:val="both"/>
        <w:rPr>
          <w:rFonts w:ascii="Arial" w:hAnsi="Arial" w:cs="Arial"/>
          <w:sz w:val="22"/>
          <w:szCs w:val="22"/>
          <w:lang w:val="en-GB"/>
        </w:rPr>
      </w:pPr>
      <w:r>
        <w:rPr>
          <w:rFonts w:ascii="Arial" w:hAnsi="Arial" w:cs="Arial"/>
          <w:sz w:val="22"/>
          <w:szCs w:val="22"/>
          <w:lang w:val="en-GB"/>
        </w:rPr>
        <w:t xml:space="preserve">What is the significance </w:t>
      </w:r>
      <w:r w:rsidRPr="00670CB1">
        <w:rPr>
          <w:rFonts w:ascii="Arial" w:hAnsi="Arial" w:cs="Arial"/>
          <w:sz w:val="22"/>
          <w:szCs w:val="22"/>
          <w:lang w:val="en-GB"/>
        </w:rPr>
        <w:t>of</w:t>
      </w:r>
      <w:r w:rsidR="00384F62">
        <w:rPr>
          <w:rFonts w:ascii="Arial" w:hAnsi="Arial" w:cs="Arial"/>
          <w:sz w:val="22"/>
          <w:szCs w:val="22"/>
          <w:lang w:val="en-GB"/>
        </w:rPr>
        <w:t xml:space="preserve"> the decision in </w:t>
      </w:r>
      <w:r w:rsidRPr="00264F7D">
        <w:rPr>
          <w:rFonts w:ascii="Arial" w:hAnsi="Arial" w:cs="Arial"/>
          <w:i/>
          <w:iCs/>
          <w:sz w:val="22"/>
          <w:szCs w:val="22"/>
          <w:lang w:val="en-GB"/>
        </w:rPr>
        <w:t>Sun Electric Power Pte Ltd v RCMA Asia Pte Ltd</w:t>
      </w:r>
      <w:r w:rsidRPr="00A915E4">
        <w:rPr>
          <w:rFonts w:ascii="Arial" w:hAnsi="Arial" w:cs="Arial"/>
          <w:sz w:val="22"/>
          <w:szCs w:val="22"/>
          <w:lang w:val="en-GB"/>
        </w:rPr>
        <w:t xml:space="preserve"> [2021] SGCA 60</w:t>
      </w:r>
      <w:r>
        <w:rPr>
          <w:rFonts w:ascii="Arial" w:hAnsi="Arial" w:cs="Arial"/>
          <w:sz w:val="22"/>
          <w:szCs w:val="22"/>
          <w:lang w:val="en-GB"/>
        </w:rPr>
        <w:t xml:space="preserve"> and what did the Court of Appeal decide?</w:t>
      </w:r>
    </w:p>
    <w:p w14:paraId="1C10EFEB" w14:textId="2464774D" w:rsidR="002C13C8" w:rsidRDefault="002C13C8" w:rsidP="002A37BB">
      <w:pPr>
        <w:ind w:left="720" w:hanging="720"/>
        <w:jc w:val="both"/>
        <w:rPr>
          <w:rFonts w:ascii="Arial" w:hAnsi="Arial" w:cs="Arial"/>
          <w:sz w:val="22"/>
          <w:szCs w:val="22"/>
          <w:lang w:val="en-GB"/>
        </w:rPr>
      </w:pPr>
    </w:p>
    <w:p w14:paraId="1FBA957D" w14:textId="75E37852" w:rsidR="006538DC" w:rsidRDefault="00FB4BB3" w:rsidP="00FB4B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case of </w:t>
      </w:r>
      <w:r w:rsidRPr="00FB4BB3">
        <w:rPr>
          <w:rFonts w:ascii="Arial" w:hAnsi="Arial" w:cs="Arial"/>
          <w:i/>
          <w:color w:val="7B7B7B" w:themeColor="accent3" w:themeShade="BF"/>
          <w:sz w:val="22"/>
          <w:szCs w:val="22"/>
        </w:rPr>
        <w:t>Sun Electric Power Pte Ltd v RCMA Asia Pte Ltd</w:t>
      </w:r>
      <w:r>
        <w:rPr>
          <w:rFonts w:ascii="Arial" w:hAnsi="Arial" w:cs="Arial"/>
          <w:color w:val="7B7B7B" w:themeColor="accent3" w:themeShade="BF"/>
          <w:sz w:val="22"/>
          <w:szCs w:val="22"/>
        </w:rPr>
        <w:t xml:space="preserve"> [2021] SGCA 60, the Singapore Court of Appeal held that the cash flow test is the sole and determinative test under section 254(2)(c) of the Companies Act (now section 125(2)(c) of the Insolvency, Restructuring and Dissolution Act (“IRDA”)), to determine whether a company is unable to pay its debts and therefore could be wound up.</w:t>
      </w:r>
      <w:r w:rsidR="006538DC">
        <w:rPr>
          <w:rFonts w:ascii="Arial" w:hAnsi="Arial" w:cs="Arial"/>
          <w:color w:val="7B7B7B" w:themeColor="accent3" w:themeShade="BF"/>
          <w:sz w:val="22"/>
          <w:szCs w:val="22"/>
        </w:rPr>
        <w:t xml:space="preserve"> </w:t>
      </w:r>
    </w:p>
    <w:p w14:paraId="328BE2E4" w14:textId="3B8C1D78" w:rsidR="006538DC" w:rsidRDefault="006538DC" w:rsidP="00FB4BB3">
      <w:pPr>
        <w:jc w:val="both"/>
        <w:rPr>
          <w:rFonts w:ascii="Arial" w:hAnsi="Arial" w:cs="Arial"/>
          <w:color w:val="7B7B7B" w:themeColor="accent3" w:themeShade="BF"/>
          <w:sz w:val="22"/>
          <w:szCs w:val="22"/>
        </w:rPr>
      </w:pPr>
    </w:p>
    <w:p w14:paraId="78D41F25" w14:textId="4E4608BD" w:rsidR="00D43050" w:rsidRDefault="006538DC" w:rsidP="00FB4B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decision is significant as </w:t>
      </w:r>
      <w:r w:rsidR="00D43050">
        <w:rPr>
          <w:rFonts w:ascii="Arial" w:hAnsi="Arial" w:cs="Arial"/>
          <w:color w:val="7B7B7B" w:themeColor="accent3" w:themeShade="BF"/>
          <w:sz w:val="22"/>
          <w:szCs w:val="22"/>
        </w:rPr>
        <w:t>it departed from the prior position where several different tests had been used for winding-up under such provision, i.e. the cash flow test and the balance sheet test</w:t>
      </w:r>
      <w:r>
        <w:rPr>
          <w:rFonts w:ascii="Arial" w:hAnsi="Arial" w:cs="Arial"/>
          <w:color w:val="7B7B7B" w:themeColor="accent3" w:themeShade="BF"/>
          <w:sz w:val="22"/>
          <w:szCs w:val="22"/>
        </w:rPr>
        <w:t xml:space="preserve">. </w:t>
      </w:r>
      <w:r w:rsidR="00D43050">
        <w:rPr>
          <w:rFonts w:ascii="Arial" w:hAnsi="Arial" w:cs="Arial"/>
          <w:color w:val="7B7B7B" w:themeColor="accent3" w:themeShade="BF"/>
          <w:sz w:val="22"/>
          <w:szCs w:val="22"/>
        </w:rPr>
        <w:t xml:space="preserve">In determining that there is only a single test and that test is the cash flow test, the </w:t>
      </w:r>
      <w:r w:rsidR="00D43050">
        <w:rPr>
          <w:rFonts w:ascii="Arial" w:hAnsi="Arial" w:cs="Arial"/>
          <w:color w:val="7B7B7B" w:themeColor="accent3" w:themeShade="BF"/>
          <w:sz w:val="22"/>
          <w:szCs w:val="22"/>
        </w:rPr>
        <w:lastRenderedPageBreak/>
        <w:t>Court of Appeal rejected the balance sheet test</w:t>
      </w:r>
      <w:r w:rsidR="001208D5">
        <w:rPr>
          <w:rFonts w:ascii="Arial" w:hAnsi="Arial" w:cs="Arial"/>
          <w:color w:val="7B7B7B" w:themeColor="accent3" w:themeShade="BF"/>
          <w:sz w:val="22"/>
          <w:szCs w:val="22"/>
        </w:rPr>
        <w:t xml:space="preserve"> (which compares </w:t>
      </w:r>
      <w:r w:rsidR="00D43050">
        <w:rPr>
          <w:rFonts w:ascii="Arial" w:hAnsi="Arial" w:cs="Arial"/>
          <w:color w:val="7B7B7B" w:themeColor="accent3" w:themeShade="BF"/>
          <w:sz w:val="22"/>
          <w:szCs w:val="22"/>
        </w:rPr>
        <w:t>a company’s total assets with its total liabilities</w:t>
      </w:r>
      <w:r w:rsidR="001208D5">
        <w:rPr>
          <w:rFonts w:ascii="Arial" w:hAnsi="Arial" w:cs="Arial"/>
          <w:color w:val="7B7B7B" w:themeColor="accent3" w:themeShade="BF"/>
          <w:sz w:val="22"/>
          <w:szCs w:val="22"/>
        </w:rPr>
        <w:t xml:space="preserve">, regardless whether the assets are illiquid or when the liabilities </w:t>
      </w:r>
      <w:proofErr w:type="spellStart"/>
      <w:r w:rsidR="001208D5">
        <w:rPr>
          <w:rFonts w:ascii="Arial" w:hAnsi="Arial" w:cs="Arial"/>
          <w:color w:val="7B7B7B" w:themeColor="accent3" w:themeShade="BF"/>
          <w:sz w:val="22"/>
          <w:szCs w:val="22"/>
        </w:rPr>
        <w:t>materialise</w:t>
      </w:r>
      <w:proofErr w:type="spellEnd"/>
      <w:r w:rsidR="001208D5">
        <w:rPr>
          <w:rFonts w:ascii="Arial" w:hAnsi="Arial" w:cs="Arial"/>
          <w:color w:val="7B7B7B" w:themeColor="accent3" w:themeShade="BF"/>
          <w:sz w:val="22"/>
          <w:szCs w:val="22"/>
        </w:rPr>
        <w:t>).</w:t>
      </w:r>
      <w:r w:rsidR="00D43050">
        <w:rPr>
          <w:rFonts w:ascii="Arial" w:hAnsi="Arial" w:cs="Arial"/>
          <w:color w:val="7B7B7B" w:themeColor="accent3" w:themeShade="BF"/>
          <w:sz w:val="22"/>
          <w:szCs w:val="22"/>
        </w:rPr>
        <w:t xml:space="preserve"> The Court of Appeal therefore found that Parliament could not intend for the balance sheet test to be the applicable test as it is not a good indicator of the company’s present ability to pay its debts.</w:t>
      </w:r>
      <w:r w:rsidR="00D43050">
        <w:rPr>
          <w:rStyle w:val="FootnoteReference"/>
          <w:rFonts w:ascii="Arial" w:hAnsi="Arial" w:cs="Arial"/>
          <w:color w:val="7B7B7B" w:themeColor="accent3" w:themeShade="BF"/>
          <w:sz w:val="22"/>
          <w:szCs w:val="22"/>
        </w:rPr>
        <w:footnoteReference w:id="1"/>
      </w:r>
      <w:r w:rsidR="00D43050">
        <w:rPr>
          <w:rFonts w:ascii="Arial" w:hAnsi="Arial" w:cs="Arial"/>
          <w:color w:val="7B7B7B" w:themeColor="accent3" w:themeShade="BF"/>
          <w:sz w:val="22"/>
          <w:szCs w:val="22"/>
        </w:rPr>
        <w:t xml:space="preserve"> </w:t>
      </w:r>
    </w:p>
    <w:p w14:paraId="4D5D9165" w14:textId="77777777" w:rsidR="00D43050" w:rsidRDefault="00D43050" w:rsidP="00FB4BB3">
      <w:pPr>
        <w:jc w:val="both"/>
        <w:rPr>
          <w:rFonts w:ascii="Arial" w:hAnsi="Arial" w:cs="Arial"/>
          <w:color w:val="7B7B7B" w:themeColor="accent3" w:themeShade="BF"/>
          <w:sz w:val="22"/>
          <w:szCs w:val="22"/>
        </w:rPr>
      </w:pPr>
    </w:p>
    <w:p w14:paraId="095359DE" w14:textId="77DB2DDF" w:rsidR="006538DC" w:rsidRDefault="001208D5" w:rsidP="00FB4B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of Appeal held that the cash flow test assesses whether a company’s current assets exceed its current liabilities such that it is able to meet all debts as and when they fall due. “Current assets” and “current liabilities” refer to assets which would be </w:t>
      </w:r>
      <w:proofErr w:type="spellStart"/>
      <w:r>
        <w:rPr>
          <w:rFonts w:ascii="Arial" w:hAnsi="Arial" w:cs="Arial"/>
          <w:color w:val="7B7B7B" w:themeColor="accent3" w:themeShade="BF"/>
          <w:sz w:val="22"/>
          <w:szCs w:val="22"/>
        </w:rPr>
        <w:t>realisable</w:t>
      </w:r>
      <w:proofErr w:type="spellEnd"/>
      <w:r>
        <w:rPr>
          <w:rFonts w:ascii="Arial" w:hAnsi="Arial" w:cs="Arial"/>
          <w:color w:val="7B7B7B" w:themeColor="accent3" w:themeShade="BF"/>
          <w:sz w:val="22"/>
          <w:szCs w:val="22"/>
        </w:rPr>
        <w:t xml:space="preserve"> and debts which would fall due within a 12-month timeframe. </w:t>
      </w:r>
    </w:p>
    <w:p w14:paraId="526E1189" w14:textId="77777777" w:rsidR="006538DC" w:rsidRDefault="006538DC" w:rsidP="00FB4BB3">
      <w:pPr>
        <w:jc w:val="both"/>
        <w:rPr>
          <w:rFonts w:ascii="Arial" w:hAnsi="Arial" w:cs="Arial"/>
          <w:color w:val="7B7B7B" w:themeColor="accent3" w:themeShade="BF"/>
          <w:sz w:val="22"/>
          <w:szCs w:val="22"/>
        </w:rPr>
      </w:pPr>
    </w:p>
    <w:p w14:paraId="15FE2B33" w14:textId="2DDF879C" w:rsidR="00384F62" w:rsidRDefault="006538DC" w:rsidP="00FB4BB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of Appeal set out a non-exhaustive list of factors that should be considered under the cash flow test</w:t>
      </w:r>
      <w:r w:rsidR="001208D5">
        <w:rPr>
          <w:rFonts w:ascii="Arial" w:hAnsi="Arial" w:cs="Arial"/>
          <w:color w:val="7B7B7B" w:themeColor="accent3" w:themeShade="BF"/>
          <w:sz w:val="22"/>
          <w:szCs w:val="22"/>
        </w:rPr>
        <w:t>:</w:t>
      </w:r>
    </w:p>
    <w:p w14:paraId="73622870" w14:textId="17B63671" w:rsidR="001208D5" w:rsidRDefault="001208D5" w:rsidP="00FB4BB3">
      <w:pPr>
        <w:jc w:val="both"/>
        <w:rPr>
          <w:rFonts w:ascii="Arial" w:hAnsi="Arial" w:cs="Arial"/>
          <w:color w:val="7B7B7B" w:themeColor="accent3" w:themeShade="BF"/>
          <w:sz w:val="22"/>
          <w:szCs w:val="22"/>
        </w:rPr>
      </w:pPr>
    </w:p>
    <w:p w14:paraId="44535A4D" w14:textId="1381435F" w:rsidR="001208D5" w:rsidRDefault="001208D5" w:rsidP="001208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quantum of all debts which were due or would be due in the reasonable near future;</w:t>
      </w:r>
    </w:p>
    <w:p w14:paraId="2AA01AB0" w14:textId="325587F5" w:rsidR="001208D5" w:rsidRDefault="001208D5" w:rsidP="001208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payment was being demanded or was likely to be demanded for those debts;</w:t>
      </w:r>
    </w:p>
    <w:p w14:paraId="4252AB37" w14:textId="3AB6BB43" w:rsidR="001208D5" w:rsidRDefault="001208D5" w:rsidP="001208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whether the company had failed to pay any of its debts, the quantum of such debt, and for how long the company had failed to pay it;</w:t>
      </w:r>
    </w:p>
    <w:p w14:paraId="44E1F118" w14:textId="5D6B6CE7" w:rsidR="001208D5" w:rsidRDefault="001208D5" w:rsidP="001208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length of time which had passed since the commencement of the winding-up proceedings;</w:t>
      </w:r>
    </w:p>
    <w:p w14:paraId="37C0ADF0" w14:textId="4273B32B" w:rsidR="001208D5" w:rsidRDefault="001208D5" w:rsidP="001208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value of the company’s current assets and assets which would be realizable in the reasonably near future;</w:t>
      </w:r>
    </w:p>
    <w:p w14:paraId="5228201D" w14:textId="713BE1D1" w:rsidR="001208D5" w:rsidRDefault="001208D5" w:rsidP="001208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state of the company’s business, in order to determine its expected net cash flow from the business by deducting from projected future sales the cash expenses which would be necessary to generate those sales;</w:t>
      </w:r>
    </w:p>
    <w:p w14:paraId="0227EC67" w14:textId="08DD7193" w:rsidR="001208D5" w:rsidRDefault="004E540C" w:rsidP="001208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1208D5">
        <w:rPr>
          <w:rFonts w:ascii="Arial" w:hAnsi="Arial" w:cs="Arial"/>
          <w:color w:val="7B7B7B" w:themeColor="accent3" w:themeShade="BF"/>
          <w:sz w:val="22"/>
          <w:szCs w:val="22"/>
        </w:rPr>
        <w:t>ny other income or payment which the company might receive in the reasonable near future; and</w:t>
      </w:r>
    </w:p>
    <w:p w14:paraId="70C3A052" w14:textId="613F8290" w:rsidR="001208D5" w:rsidRPr="001208D5" w:rsidRDefault="004E540C" w:rsidP="001208D5">
      <w:pPr>
        <w:pStyle w:val="ListParagraph"/>
        <w:numPr>
          <w:ilvl w:val="0"/>
          <w:numId w:val="1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sidR="001208D5">
        <w:rPr>
          <w:rFonts w:ascii="Arial" w:hAnsi="Arial" w:cs="Arial"/>
          <w:color w:val="7B7B7B" w:themeColor="accent3" w:themeShade="BF"/>
          <w:sz w:val="22"/>
          <w:szCs w:val="22"/>
        </w:rPr>
        <w:t>rrangements between the company and prospective lenders, such as its bankers and shareholders, in order to determine whether any shortfall in liquid and realizable assets and cash flow could be made up by borrowings which would be repayable at a time later than the debts.</w:t>
      </w:r>
    </w:p>
    <w:p w14:paraId="1AF57F03" w14:textId="5B29ADF7" w:rsidR="00384F62" w:rsidRDefault="00384F62" w:rsidP="004E540C">
      <w:pPr>
        <w:jc w:val="both"/>
        <w:rPr>
          <w:rFonts w:ascii="Arial" w:hAnsi="Arial" w:cs="Arial"/>
          <w:sz w:val="22"/>
          <w:szCs w:val="22"/>
          <w:lang w:val="en-GB"/>
        </w:rPr>
      </w:pPr>
    </w:p>
    <w:p w14:paraId="11584014" w14:textId="77777777" w:rsidR="00384F62" w:rsidRPr="002A37BB" w:rsidRDefault="00384F62" w:rsidP="00384F62">
      <w:pPr>
        <w:jc w:val="both"/>
        <w:rPr>
          <w:rFonts w:ascii="Arial" w:hAnsi="Arial" w:cs="Arial"/>
          <w:sz w:val="22"/>
          <w:szCs w:val="22"/>
          <w:lang w:val="en-GB"/>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0CE1EC19" w14:textId="6CC42B0F" w:rsidR="000214ED" w:rsidRPr="002A37BB" w:rsidRDefault="000214ED" w:rsidP="002A37BB">
      <w:pPr>
        <w:jc w:val="both"/>
        <w:rPr>
          <w:rFonts w:ascii="Arial" w:hAnsi="Arial" w:cs="Arial"/>
          <w:sz w:val="22"/>
          <w:szCs w:val="22"/>
        </w:rPr>
      </w:pPr>
      <w:r w:rsidRPr="00264F7D">
        <w:rPr>
          <w:rFonts w:ascii="Arial" w:hAnsi="Arial" w:cs="Arial"/>
          <w:sz w:val="22"/>
          <w:szCs w:val="22"/>
          <w:lang w:val="en-GB"/>
        </w:rPr>
        <w:t xml:space="preserve">State </w:t>
      </w:r>
      <w:r w:rsidRPr="00384F62">
        <w:rPr>
          <w:rFonts w:ascii="Arial" w:hAnsi="Arial" w:cs="Arial"/>
          <w:b/>
          <w:bCs/>
          <w:sz w:val="22"/>
          <w:szCs w:val="22"/>
          <w:lang w:val="en-GB"/>
        </w:rPr>
        <w:t xml:space="preserve">four </w:t>
      </w:r>
      <w:r w:rsidR="00384F62" w:rsidRPr="00384F62">
        <w:rPr>
          <w:rFonts w:ascii="Arial" w:hAnsi="Arial" w:cs="Arial"/>
          <w:b/>
          <w:bCs/>
          <w:sz w:val="22"/>
          <w:szCs w:val="22"/>
          <w:lang w:val="en-GB"/>
        </w:rPr>
        <w:t>(4)</w:t>
      </w:r>
      <w:r w:rsidR="00384F62">
        <w:rPr>
          <w:rFonts w:ascii="Arial" w:hAnsi="Arial" w:cs="Arial"/>
          <w:sz w:val="22"/>
          <w:szCs w:val="22"/>
          <w:lang w:val="en-GB"/>
        </w:rPr>
        <w:t xml:space="preserve"> </w:t>
      </w:r>
      <w:r w:rsidRPr="00264F7D">
        <w:rPr>
          <w:rFonts w:ascii="Arial" w:hAnsi="Arial" w:cs="Arial"/>
          <w:sz w:val="22"/>
          <w:szCs w:val="22"/>
          <w:lang w:val="en-GB"/>
        </w:rPr>
        <w:t xml:space="preserve">new features that were only introduced in the IRDA </w:t>
      </w:r>
      <w:r w:rsidRPr="00384F62">
        <w:rPr>
          <w:rFonts w:ascii="Arial" w:hAnsi="Arial" w:cs="Arial"/>
          <w:b/>
          <w:bCs/>
          <w:sz w:val="22"/>
          <w:szCs w:val="22"/>
          <w:lang w:val="en-GB"/>
        </w:rPr>
        <w:t>and were not in force</w:t>
      </w:r>
      <w:r w:rsidRPr="00264F7D">
        <w:rPr>
          <w:rFonts w:ascii="Arial" w:hAnsi="Arial" w:cs="Arial"/>
          <w:sz w:val="22"/>
          <w:szCs w:val="22"/>
          <w:lang w:val="en-GB"/>
        </w:rPr>
        <w:t xml:space="preserve"> at the time of the 2017 amendments to the Companies Act.</w:t>
      </w:r>
    </w:p>
    <w:p w14:paraId="210BFCBF" w14:textId="77777777" w:rsidR="009B07AD" w:rsidRPr="002A37BB" w:rsidRDefault="009B07AD" w:rsidP="00384F62">
      <w:pPr>
        <w:jc w:val="both"/>
        <w:rPr>
          <w:rFonts w:ascii="Arial" w:hAnsi="Arial" w:cs="Arial"/>
          <w:sz w:val="22"/>
          <w:szCs w:val="22"/>
        </w:rPr>
      </w:pPr>
    </w:p>
    <w:p w14:paraId="63EBEC0C" w14:textId="2ECE7E22" w:rsidR="009B07AD" w:rsidRDefault="003B6EEC" w:rsidP="003B6EE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Four (4) new features that were introduced in the IRDA and were </w:t>
      </w:r>
      <w:r w:rsidRPr="003B6EEC">
        <w:rPr>
          <w:rFonts w:ascii="Arial" w:hAnsi="Arial" w:cs="Arial"/>
          <w:color w:val="7B7B7B" w:themeColor="accent3" w:themeShade="BF"/>
          <w:sz w:val="22"/>
          <w:szCs w:val="22"/>
          <w:u w:val="single"/>
        </w:rPr>
        <w:t>not</w:t>
      </w:r>
      <w:r>
        <w:rPr>
          <w:rFonts w:ascii="Arial" w:hAnsi="Arial" w:cs="Arial"/>
          <w:color w:val="7B7B7B" w:themeColor="accent3" w:themeShade="BF"/>
          <w:sz w:val="22"/>
          <w:szCs w:val="22"/>
        </w:rPr>
        <w:t xml:space="preserve"> in force at the time of the 2017 amendments to the Companies Act include:</w:t>
      </w:r>
    </w:p>
    <w:p w14:paraId="42C9B378" w14:textId="4EF6E99F" w:rsidR="003B6EEC" w:rsidRDefault="003B6EEC" w:rsidP="003B6EEC">
      <w:pPr>
        <w:jc w:val="both"/>
        <w:rPr>
          <w:rFonts w:ascii="Arial" w:hAnsi="Arial" w:cs="Arial"/>
          <w:color w:val="7B7B7B" w:themeColor="accent3" w:themeShade="BF"/>
          <w:sz w:val="22"/>
          <w:szCs w:val="22"/>
        </w:rPr>
      </w:pPr>
    </w:p>
    <w:p w14:paraId="716D493B" w14:textId="0BD13E57" w:rsidR="003B6EEC" w:rsidRDefault="003B6EEC" w:rsidP="003B6EEC">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new voluntary process was introduced for initiating judicial management without having to first apply to Court if the company is unable to pay its debts; there is a reasonable probability of achieving one or more of the purposes of judicial management; and a resolution of its creditors is obtained.</w:t>
      </w:r>
      <w:r>
        <w:rPr>
          <w:rStyle w:val="FootnoteReference"/>
          <w:rFonts w:ascii="Arial" w:hAnsi="Arial" w:cs="Arial"/>
          <w:color w:val="7B7B7B" w:themeColor="accent3" w:themeShade="BF"/>
          <w:sz w:val="22"/>
          <w:szCs w:val="22"/>
        </w:rPr>
        <w:footnoteReference w:id="2"/>
      </w:r>
    </w:p>
    <w:p w14:paraId="4CDA6ECE" w14:textId="77777777" w:rsidR="003B6EEC" w:rsidRDefault="003B6EEC" w:rsidP="003B6EEC">
      <w:pPr>
        <w:pStyle w:val="ListParagraph"/>
        <w:jc w:val="both"/>
        <w:rPr>
          <w:rFonts w:ascii="Arial" w:hAnsi="Arial" w:cs="Arial"/>
          <w:color w:val="7B7B7B" w:themeColor="accent3" w:themeShade="BF"/>
          <w:sz w:val="22"/>
          <w:szCs w:val="22"/>
        </w:rPr>
      </w:pPr>
    </w:p>
    <w:p w14:paraId="260BEB6B" w14:textId="427E6791" w:rsidR="003B6EEC" w:rsidRDefault="003B6EEC" w:rsidP="003B6EEC">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new provision restricting the operation of ipso facto clauses </w:t>
      </w:r>
      <w:r w:rsidR="00BD1C30">
        <w:rPr>
          <w:rFonts w:ascii="Arial" w:hAnsi="Arial" w:cs="Arial"/>
          <w:color w:val="7B7B7B" w:themeColor="accent3" w:themeShade="BF"/>
          <w:sz w:val="22"/>
          <w:szCs w:val="22"/>
        </w:rPr>
        <w:t>by reason that</w:t>
      </w:r>
      <w:r>
        <w:rPr>
          <w:rFonts w:ascii="Arial" w:hAnsi="Arial" w:cs="Arial"/>
          <w:color w:val="7B7B7B" w:themeColor="accent3" w:themeShade="BF"/>
          <w:sz w:val="22"/>
          <w:szCs w:val="22"/>
        </w:rPr>
        <w:t xml:space="preserve"> any proceedings relating to any applications under judicial management or a scheme of arrangement process are commenced by a company</w:t>
      </w:r>
      <w:r w:rsidR="00BD1C30">
        <w:rPr>
          <w:rFonts w:ascii="Arial" w:hAnsi="Arial" w:cs="Arial"/>
          <w:color w:val="7B7B7B" w:themeColor="accent3" w:themeShade="BF"/>
          <w:sz w:val="22"/>
          <w:szCs w:val="22"/>
        </w:rPr>
        <w:t>, or that the company is insolvent</w:t>
      </w:r>
      <w:r>
        <w:rPr>
          <w:rFonts w:ascii="Arial" w:hAnsi="Arial" w:cs="Arial"/>
          <w:color w:val="7B7B7B" w:themeColor="accent3" w:themeShade="BF"/>
          <w:sz w:val="22"/>
          <w:szCs w:val="22"/>
        </w:rPr>
        <w:t>.</w:t>
      </w:r>
      <w:r>
        <w:rPr>
          <w:rStyle w:val="FootnoteReference"/>
          <w:rFonts w:ascii="Arial" w:hAnsi="Arial" w:cs="Arial"/>
          <w:color w:val="7B7B7B" w:themeColor="accent3" w:themeShade="BF"/>
          <w:sz w:val="22"/>
          <w:szCs w:val="22"/>
        </w:rPr>
        <w:footnoteReference w:id="3"/>
      </w:r>
      <w:r w:rsidR="00BD1C30">
        <w:rPr>
          <w:rFonts w:ascii="Arial" w:hAnsi="Arial" w:cs="Arial"/>
          <w:color w:val="7B7B7B" w:themeColor="accent3" w:themeShade="BF"/>
          <w:sz w:val="22"/>
          <w:szCs w:val="22"/>
        </w:rPr>
        <w:t xml:space="preserve"> Certain contacts are expressly excluded from the restrictions.</w:t>
      </w:r>
    </w:p>
    <w:p w14:paraId="1A786344" w14:textId="77777777" w:rsidR="00BD1C30" w:rsidRPr="00BD1C30" w:rsidRDefault="00BD1C30" w:rsidP="00BD1C30">
      <w:pPr>
        <w:pStyle w:val="ListParagraph"/>
        <w:rPr>
          <w:rFonts w:ascii="Arial" w:hAnsi="Arial" w:cs="Arial"/>
          <w:color w:val="7B7B7B" w:themeColor="accent3" w:themeShade="BF"/>
          <w:sz w:val="22"/>
          <w:szCs w:val="22"/>
        </w:rPr>
      </w:pPr>
    </w:p>
    <w:p w14:paraId="42ED08D3" w14:textId="524D45D4" w:rsidR="00BD1C30" w:rsidRDefault="00BD1C30" w:rsidP="003B6EEC">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A new concept of wrongful trading was introduced, which imposes personal liability for the company’s debts on a person if such person (a) knew that the company was trading wrongfully; or (b) as an officer of the company, ought to have known that the company was trading wrongfully.</w:t>
      </w:r>
      <w:r>
        <w:rPr>
          <w:rStyle w:val="FootnoteReference"/>
          <w:rFonts w:ascii="Arial" w:hAnsi="Arial" w:cs="Arial"/>
          <w:color w:val="7B7B7B" w:themeColor="accent3" w:themeShade="BF"/>
          <w:sz w:val="22"/>
          <w:szCs w:val="22"/>
        </w:rPr>
        <w:footnoteReference w:id="4"/>
      </w:r>
      <w:r>
        <w:rPr>
          <w:rFonts w:ascii="Arial" w:hAnsi="Arial" w:cs="Arial"/>
          <w:color w:val="7B7B7B" w:themeColor="accent3" w:themeShade="BF"/>
          <w:sz w:val="22"/>
          <w:szCs w:val="22"/>
        </w:rPr>
        <w:t xml:space="preserve"> </w:t>
      </w:r>
    </w:p>
    <w:p w14:paraId="416FFF57" w14:textId="77777777" w:rsidR="00BD1C30" w:rsidRPr="00BD1C30" w:rsidRDefault="00BD1C30" w:rsidP="00BD1C30">
      <w:pPr>
        <w:pStyle w:val="ListParagraph"/>
        <w:rPr>
          <w:rFonts w:ascii="Arial" w:hAnsi="Arial" w:cs="Arial"/>
          <w:color w:val="7B7B7B" w:themeColor="accent3" w:themeShade="BF"/>
          <w:sz w:val="22"/>
          <w:szCs w:val="22"/>
        </w:rPr>
      </w:pPr>
    </w:p>
    <w:p w14:paraId="797CBD1D" w14:textId="41AAC91E" w:rsidR="00BD1C30" w:rsidRPr="003B6EEC" w:rsidRDefault="00BD1C30" w:rsidP="003B6EEC">
      <w:pPr>
        <w:pStyle w:val="ListParagraph"/>
        <w:numPr>
          <w:ilvl w:val="0"/>
          <w:numId w:val="1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new summary procedure was introduced for early dissolution of a company in liquidation.</w:t>
      </w:r>
      <w:r>
        <w:rPr>
          <w:rStyle w:val="FootnoteReference"/>
          <w:rFonts w:ascii="Arial" w:hAnsi="Arial" w:cs="Arial"/>
          <w:color w:val="7B7B7B" w:themeColor="accent3" w:themeShade="BF"/>
          <w:sz w:val="22"/>
          <w:szCs w:val="22"/>
        </w:rPr>
        <w:footnoteReference w:id="5"/>
      </w:r>
    </w:p>
    <w:p w14:paraId="6CCB7F31" w14:textId="77777777" w:rsidR="00E90991" w:rsidRPr="002A37BB" w:rsidRDefault="00E90991" w:rsidP="00BD1C30">
      <w:pPr>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622DFD06" w14:textId="08F57261" w:rsidR="00C82D87" w:rsidRPr="002A37BB" w:rsidRDefault="00170EF8" w:rsidP="002A37BB">
      <w:pPr>
        <w:jc w:val="both"/>
        <w:rPr>
          <w:rFonts w:ascii="Arial" w:hAnsi="Arial" w:cs="Arial"/>
          <w:sz w:val="22"/>
          <w:szCs w:val="22"/>
          <w:lang w:val="en-GB"/>
        </w:rPr>
      </w:pPr>
      <w:r>
        <w:rPr>
          <w:rFonts w:ascii="Arial" w:hAnsi="Arial" w:cs="Arial"/>
          <w:sz w:val="22"/>
          <w:szCs w:val="22"/>
          <w:lang w:val="en-GB"/>
        </w:rPr>
        <w:t>D</w:t>
      </w:r>
      <w:r w:rsidR="00384F62">
        <w:rPr>
          <w:rFonts w:ascii="Arial" w:hAnsi="Arial" w:cs="Arial"/>
          <w:sz w:val="22"/>
          <w:szCs w:val="22"/>
          <w:lang w:val="en-GB"/>
        </w:rPr>
        <w:t>escribe</w:t>
      </w:r>
      <w:r>
        <w:rPr>
          <w:rFonts w:ascii="Arial" w:hAnsi="Arial" w:cs="Arial"/>
          <w:sz w:val="22"/>
          <w:szCs w:val="22"/>
          <w:lang w:val="en-GB"/>
        </w:rPr>
        <w:t xml:space="preserve"> the process involved in one of the</w:t>
      </w:r>
      <w:r w:rsidDel="00170EF8">
        <w:rPr>
          <w:rFonts w:ascii="Arial" w:hAnsi="Arial" w:cs="Arial"/>
          <w:sz w:val="22"/>
          <w:szCs w:val="22"/>
          <w:lang w:val="en-GB"/>
        </w:rPr>
        <w:t xml:space="preserve"> </w:t>
      </w:r>
      <w:r>
        <w:rPr>
          <w:rFonts w:ascii="Arial" w:hAnsi="Arial" w:cs="Arial"/>
          <w:sz w:val="22"/>
          <w:szCs w:val="22"/>
          <w:lang w:val="en-GB"/>
        </w:rPr>
        <w:t>alternatives to formal bankruptcy.</w:t>
      </w:r>
    </w:p>
    <w:p w14:paraId="1950C738" w14:textId="77777777" w:rsidR="00962045" w:rsidRPr="002A37BB" w:rsidRDefault="00962045" w:rsidP="00384F62">
      <w:pPr>
        <w:jc w:val="both"/>
        <w:rPr>
          <w:rFonts w:ascii="Arial" w:hAnsi="Arial" w:cs="Arial"/>
          <w:sz w:val="22"/>
          <w:szCs w:val="22"/>
          <w:lang w:val="en-GB"/>
        </w:rPr>
      </w:pPr>
    </w:p>
    <w:p w14:paraId="4AF7625F" w14:textId="7CB836D0" w:rsidR="00C72848" w:rsidRDefault="00100C5D" w:rsidP="00191F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alternative to formal bankruptcy is the Debt Repayment Scheme (“DRS”), which a pre-bankruptcy scheme administered by the Official Assignee.</w:t>
      </w:r>
      <w:r w:rsidR="00CB12BD">
        <w:rPr>
          <w:rFonts w:ascii="Arial" w:hAnsi="Arial" w:cs="Arial"/>
          <w:color w:val="7B7B7B" w:themeColor="accent3" w:themeShade="BF"/>
          <w:sz w:val="22"/>
          <w:szCs w:val="22"/>
          <w:lang w:val="en-GB"/>
        </w:rPr>
        <w:t xml:space="preserve"> The DRS enables debtors which meet the criteria to enter into a debt repayment plan with their creditors </w:t>
      </w:r>
      <w:r w:rsidR="00113033">
        <w:rPr>
          <w:rFonts w:ascii="Arial" w:hAnsi="Arial" w:cs="Arial"/>
          <w:color w:val="7B7B7B" w:themeColor="accent3" w:themeShade="BF"/>
          <w:sz w:val="22"/>
          <w:szCs w:val="22"/>
          <w:lang w:val="en-GB"/>
        </w:rPr>
        <w:t>and avoid bankruptcy.</w:t>
      </w:r>
    </w:p>
    <w:p w14:paraId="421BB4A3" w14:textId="3BED9A6C" w:rsidR="00113033" w:rsidRDefault="00113033" w:rsidP="00191F0F">
      <w:pPr>
        <w:jc w:val="both"/>
        <w:rPr>
          <w:rFonts w:ascii="Arial" w:hAnsi="Arial" w:cs="Arial"/>
          <w:color w:val="7B7B7B" w:themeColor="accent3" w:themeShade="BF"/>
          <w:sz w:val="22"/>
          <w:szCs w:val="22"/>
          <w:lang w:val="en-GB"/>
        </w:rPr>
      </w:pPr>
    </w:p>
    <w:p w14:paraId="2549E678" w14:textId="5F8C50FE" w:rsidR="00113033" w:rsidRDefault="00113033" w:rsidP="00191F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bankruptcy application has been made, the Court may adjourn the bankruptcy application and refer the matter to the Official Assignee to determine whether the debtor is suitable for the DRS if the following qualifying criteria are satisfied:</w:t>
      </w:r>
      <w:r w:rsidR="001F34EA">
        <w:rPr>
          <w:rStyle w:val="FootnoteReference"/>
          <w:rFonts w:ascii="Arial" w:hAnsi="Arial" w:cs="Arial"/>
          <w:color w:val="7B7B7B" w:themeColor="accent3" w:themeShade="BF"/>
          <w:sz w:val="22"/>
          <w:szCs w:val="22"/>
          <w:lang w:val="en-GB"/>
        </w:rPr>
        <w:footnoteReference w:id="6"/>
      </w:r>
    </w:p>
    <w:p w14:paraId="379D72A7" w14:textId="2E444138" w:rsidR="00113033" w:rsidRDefault="00113033" w:rsidP="00191F0F">
      <w:pPr>
        <w:jc w:val="both"/>
        <w:rPr>
          <w:rFonts w:ascii="Arial" w:hAnsi="Arial" w:cs="Arial"/>
          <w:color w:val="7B7B7B" w:themeColor="accent3" w:themeShade="BF"/>
          <w:sz w:val="22"/>
          <w:szCs w:val="22"/>
          <w:lang w:val="en-GB"/>
        </w:rPr>
      </w:pPr>
    </w:p>
    <w:p w14:paraId="0B86BEF0" w14:textId="18000F5E" w:rsidR="00113033" w:rsidRDefault="00113033" w:rsidP="0011303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 or the aggregate of the debts in respect of which the bankruptcy application is made does not exceed the prescribed amount i.e. $150,000;</w:t>
      </w:r>
    </w:p>
    <w:p w14:paraId="555A51D4" w14:textId="0D379518" w:rsidR="00113033" w:rsidRDefault="00113033" w:rsidP="0011303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is not an </w:t>
      </w:r>
      <w:proofErr w:type="gramStart"/>
      <w:r>
        <w:rPr>
          <w:rFonts w:ascii="Arial" w:hAnsi="Arial" w:cs="Arial"/>
          <w:color w:val="7B7B7B" w:themeColor="accent3" w:themeShade="BF"/>
          <w:sz w:val="22"/>
          <w:szCs w:val="22"/>
          <w:lang w:val="en-GB"/>
        </w:rPr>
        <w:t>undischarged bankrupts</w:t>
      </w:r>
      <w:proofErr w:type="gramEnd"/>
      <w:r>
        <w:rPr>
          <w:rFonts w:ascii="Arial" w:hAnsi="Arial" w:cs="Arial"/>
          <w:color w:val="7B7B7B" w:themeColor="accent3" w:themeShade="BF"/>
          <w:sz w:val="22"/>
          <w:szCs w:val="22"/>
          <w:lang w:val="en-GB"/>
        </w:rPr>
        <w:t>, and has not been a bankrupt at any time within the period of 5 years immediately preceding the date on which the bankruptcy application is made;</w:t>
      </w:r>
    </w:p>
    <w:p w14:paraId="285F6A0D" w14:textId="4CABD48E" w:rsidR="00113033" w:rsidRDefault="00113033" w:rsidP="0011303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arrangement or DRS is not in effect and </w:t>
      </w:r>
      <w:r w:rsidR="001F34EA">
        <w:rPr>
          <w:rFonts w:ascii="Arial" w:hAnsi="Arial" w:cs="Arial"/>
          <w:color w:val="7B7B7B" w:themeColor="accent3" w:themeShade="BF"/>
          <w:sz w:val="22"/>
          <w:szCs w:val="22"/>
          <w:lang w:val="en-GB"/>
        </w:rPr>
        <w:t>has not been in effect at any time within the period of 5 years immediately preceding the date on which the bankruptcy application is made;</w:t>
      </w:r>
    </w:p>
    <w:p w14:paraId="77062546" w14:textId="38900305" w:rsidR="001F34EA" w:rsidRDefault="001F34EA" w:rsidP="00113033">
      <w:pPr>
        <w:pStyle w:val="ListParagraph"/>
        <w:numPr>
          <w:ilvl w:val="0"/>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debtor is not a sole proprietor, a partner of a firm within the meaning of the Partnership Act, or a partner in a limited liability partnership.</w:t>
      </w:r>
    </w:p>
    <w:p w14:paraId="07D09755" w14:textId="249F1473" w:rsidR="001F34EA" w:rsidRDefault="001F34EA" w:rsidP="001F34EA">
      <w:pPr>
        <w:jc w:val="both"/>
        <w:rPr>
          <w:rFonts w:ascii="Arial" w:hAnsi="Arial" w:cs="Arial"/>
          <w:color w:val="7B7B7B" w:themeColor="accent3" w:themeShade="BF"/>
          <w:sz w:val="22"/>
          <w:szCs w:val="22"/>
          <w:lang w:val="en-GB"/>
        </w:rPr>
      </w:pPr>
    </w:p>
    <w:p w14:paraId="64E2A3FC" w14:textId="64C02B44" w:rsidR="001F34EA" w:rsidRDefault="001F34EA" w:rsidP="001F34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a case is referred to the Official Assignee by the court, then the debtor will be required to submit a statement of the debtor’s affairs and a debt repayment plan for a repayment period </w:t>
      </w:r>
      <w:r w:rsidR="00384123">
        <w:rPr>
          <w:rFonts w:ascii="Arial" w:hAnsi="Arial" w:cs="Arial"/>
          <w:color w:val="7B7B7B" w:themeColor="accent3" w:themeShade="BF"/>
          <w:sz w:val="22"/>
          <w:szCs w:val="22"/>
          <w:lang w:val="en-GB"/>
        </w:rPr>
        <w:t>not exceeding 5 years.</w:t>
      </w:r>
      <w:r w:rsidR="00384123">
        <w:rPr>
          <w:rStyle w:val="FootnoteReference"/>
          <w:rFonts w:ascii="Arial" w:hAnsi="Arial" w:cs="Arial"/>
          <w:color w:val="7B7B7B" w:themeColor="accent3" w:themeShade="BF"/>
          <w:sz w:val="22"/>
          <w:szCs w:val="22"/>
          <w:lang w:val="en-GB"/>
        </w:rPr>
        <w:footnoteReference w:id="7"/>
      </w:r>
      <w:r w:rsidR="00384123">
        <w:rPr>
          <w:rFonts w:ascii="Arial" w:hAnsi="Arial" w:cs="Arial"/>
          <w:color w:val="7B7B7B" w:themeColor="accent3" w:themeShade="BF"/>
          <w:sz w:val="22"/>
          <w:szCs w:val="22"/>
          <w:lang w:val="en-GB"/>
        </w:rPr>
        <w:t xml:space="preserve"> After receiving the debtor’s statement of affairs, the Official Assignee will give notice to every creditor disclosed in the statement to require the creditor to file a proof of debt.</w:t>
      </w:r>
      <w:r w:rsidR="00384123">
        <w:rPr>
          <w:rStyle w:val="FootnoteReference"/>
          <w:rFonts w:ascii="Arial" w:hAnsi="Arial" w:cs="Arial"/>
          <w:color w:val="7B7B7B" w:themeColor="accent3" w:themeShade="BF"/>
          <w:sz w:val="22"/>
          <w:szCs w:val="22"/>
          <w:lang w:val="en-GB"/>
        </w:rPr>
        <w:footnoteReference w:id="8"/>
      </w:r>
    </w:p>
    <w:p w14:paraId="3B48C8DD" w14:textId="724E951B" w:rsidR="00384123" w:rsidRDefault="00384123" w:rsidP="001F34EA">
      <w:pPr>
        <w:jc w:val="both"/>
        <w:rPr>
          <w:rFonts w:ascii="Arial" w:hAnsi="Arial" w:cs="Arial"/>
          <w:color w:val="7B7B7B" w:themeColor="accent3" w:themeShade="BF"/>
          <w:sz w:val="22"/>
          <w:szCs w:val="22"/>
          <w:lang w:val="en-GB"/>
        </w:rPr>
      </w:pPr>
    </w:p>
    <w:p w14:paraId="4BBB304F" w14:textId="7086B183" w:rsidR="00384123" w:rsidRDefault="00384123" w:rsidP="001F34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Assignee will examine the state of affairs and debt repayment plan and proof of debts, and may make modifications to the plan as the Official Assignee considers appropriate. The Official Assignee must convene and preside at a meeting of creditors to review the debt repayment plan. The Official Assignee may, at or after the meeting of creditors, approve the debt repayment plan.</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 xml:space="preserve"> The debt repayment plan as approved by the Official Assignee will be binding on the debtor and every creditor who has proved a debt against the debtor and whose debt is included in the plan, and a moratorium will be in effect throughout the period of the debt repayment scheme.</w:t>
      </w:r>
    </w:p>
    <w:p w14:paraId="7A54EA71" w14:textId="26B2FAFF" w:rsidR="00384123" w:rsidRDefault="00384123" w:rsidP="001F34EA">
      <w:pPr>
        <w:jc w:val="both"/>
        <w:rPr>
          <w:rFonts w:ascii="Arial" w:hAnsi="Arial" w:cs="Arial"/>
          <w:color w:val="7B7B7B" w:themeColor="accent3" w:themeShade="BF"/>
          <w:sz w:val="22"/>
          <w:szCs w:val="22"/>
          <w:lang w:val="en-GB"/>
        </w:rPr>
      </w:pPr>
    </w:p>
    <w:p w14:paraId="156491BA" w14:textId="77777777" w:rsidR="001F42B6" w:rsidRDefault="001F42B6" w:rsidP="001F34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Official Assignee administers the DRS. If the debtor fails to comply with any conditions of the DRS, then the Official Assignee may issue a certificate of failure of a debt repayment scheme whereby the DRS will cease to be applicable.</w:t>
      </w:r>
    </w:p>
    <w:p w14:paraId="3A950787" w14:textId="77777777" w:rsidR="001F42B6" w:rsidRDefault="001F42B6" w:rsidP="001F34EA">
      <w:pPr>
        <w:jc w:val="both"/>
        <w:rPr>
          <w:rFonts w:ascii="Arial" w:hAnsi="Arial" w:cs="Arial"/>
          <w:color w:val="7B7B7B" w:themeColor="accent3" w:themeShade="BF"/>
          <w:sz w:val="22"/>
          <w:szCs w:val="22"/>
          <w:lang w:val="en-GB"/>
        </w:rPr>
      </w:pPr>
    </w:p>
    <w:p w14:paraId="3B53CB8C" w14:textId="0F6B5B7D" w:rsidR="00384123" w:rsidRDefault="001F42B6" w:rsidP="001F34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DRS ceases, creditors may bring a bankruptcy application against the debtor. </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205C0919" w14:textId="5E6B307B" w:rsidR="00C550C8" w:rsidRPr="002A37BB" w:rsidRDefault="0007291B" w:rsidP="002A37BB">
      <w:pPr>
        <w:jc w:val="both"/>
        <w:rPr>
          <w:rFonts w:ascii="Arial" w:hAnsi="Arial" w:cs="Arial"/>
          <w:sz w:val="22"/>
          <w:szCs w:val="22"/>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 xml:space="preserve">essay </w:t>
      </w:r>
      <w:r w:rsidR="0055251A">
        <w:rPr>
          <w:rFonts w:ascii="Arial" w:hAnsi="Arial" w:cs="Arial"/>
          <w:sz w:val="22"/>
          <w:szCs w:val="22"/>
          <w:lang w:val="en-GB"/>
        </w:rPr>
        <w:t>in which you discuss some of the claims that a liquidator or judicial manager can bring and how the IRDA has enhanced their ability to do so</w:t>
      </w:r>
      <w:r w:rsidR="00170EF8">
        <w:rPr>
          <w:rFonts w:ascii="Arial" w:hAnsi="Arial" w:cs="Arial"/>
          <w:sz w:val="22"/>
          <w:szCs w:val="22"/>
          <w:lang w:val="en-GB"/>
        </w:rPr>
        <w:t>.</w:t>
      </w:r>
    </w:p>
    <w:p w14:paraId="05D5B7B6" w14:textId="77777777" w:rsidR="00241FA3" w:rsidRPr="002A37BB" w:rsidRDefault="00241FA3" w:rsidP="002A37BB">
      <w:pPr>
        <w:jc w:val="both"/>
        <w:rPr>
          <w:rFonts w:ascii="Arial" w:hAnsi="Arial" w:cs="Arial"/>
          <w:sz w:val="22"/>
          <w:szCs w:val="22"/>
        </w:rPr>
      </w:pPr>
    </w:p>
    <w:p w14:paraId="72F57A5C" w14:textId="1574DDAE" w:rsidR="00544127" w:rsidRDefault="00CD6B56"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w:t>
      </w:r>
      <w:r w:rsidR="002178A5">
        <w:rPr>
          <w:rFonts w:ascii="Arial" w:hAnsi="Arial" w:cs="Arial"/>
          <w:color w:val="7B7B7B" w:themeColor="accent3" w:themeShade="BF"/>
          <w:sz w:val="22"/>
          <w:szCs w:val="22"/>
          <w:lang w:val="en-MY"/>
        </w:rPr>
        <w:t xml:space="preserve"> liquidator</w:t>
      </w:r>
      <w:r>
        <w:rPr>
          <w:rFonts w:ascii="Arial" w:hAnsi="Arial" w:cs="Arial"/>
          <w:color w:val="7B7B7B" w:themeColor="accent3" w:themeShade="BF"/>
          <w:sz w:val="22"/>
          <w:szCs w:val="22"/>
          <w:lang w:val="en-MY"/>
        </w:rPr>
        <w:t xml:space="preserve"> or judicial manager, as the case may be, may bring certain claims to achieve the purposes of liquidation or the judicial management respectively.</w:t>
      </w:r>
      <w:r w:rsidR="00AE724A">
        <w:rPr>
          <w:rFonts w:ascii="Arial" w:hAnsi="Arial" w:cs="Arial"/>
          <w:color w:val="7B7B7B" w:themeColor="accent3" w:themeShade="BF"/>
          <w:sz w:val="22"/>
          <w:szCs w:val="22"/>
          <w:lang w:val="en-MY"/>
        </w:rPr>
        <w:t xml:space="preserve"> </w:t>
      </w:r>
    </w:p>
    <w:p w14:paraId="3F69287D" w14:textId="404319CE" w:rsidR="00CD6B56" w:rsidRDefault="00CD6B56" w:rsidP="00474D30">
      <w:pPr>
        <w:jc w:val="both"/>
        <w:rPr>
          <w:rFonts w:ascii="Arial" w:hAnsi="Arial" w:cs="Arial"/>
          <w:color w:val="7B7B7B" w:themeColor="accent3" w:themeShade="BF"/>
          <w:sz w:val="22"/>
          <w:szCs w:val="22"/>
          <w:lang w:val="en-MY"/>
        </w:rPr>
      </w:pPr>
    </w:p>
    <w:p w14:paraId="6941B7DE" w14:textId="768FD07F" w:rsidR="00CD6B56" w:rsidRDefault="00CD6B56"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One of the claims that can be brought is against impeachable transactions undertaken by the company prior to the liquidation or judicial management, in order to claw back such assets. </w:t>
      </w:r>
      <w:r w:rsidR="00621DE4">
        <w:rPr>
          <w:rFonts w:ascii="Arial" w:hAnsi="Arial" w:cs="Arial"/>
          <w:color w:val="7B7B7B" w:themeColor="accent3" w:themeShade="BF"/>
          <w:sz w:val="22"/>
          <w:szCs w:val="22"/>
          <w:lang w:val="en-MY"/>
        </w:rPr>
        <w:t>Claims can be brought where (1) there is an unfair or undue preference given; or (2) the transaction was undertaken at an undervalue.</w:t>
      </w:r>
    </w:p>
    <w:p w14:paraId="7D5731DD" w14:textId="1520F0A9" w:rsidR="00621DE4" w:rsidRDefault="00621DE4" w:rsidP="00474D30">
      <w:pPr>
        <w:jc w:val="both"/>
        <w:rPr>
          <w:rFonts w:ascii="Arial" w:hAnsi="Arial" w:cs="Arial"/>
          <w:color w:val="7B7B7B" w:themeColor="accent3" w:themeShade="BF"/>
          <w:sz w:val="22"/>
          <w:szCs w:val="22"/>
          <w:lang w:val="en-MY"/>
        </w:rPr>
      </w:pPr>
    </w:p>
    <w:p w14:paraId="2BBD4329" w14:textId="2DB7BBF3" w:rsidR="00621DE4" w:rsidRDefault="00621DE4"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In order for a claim of undue preference to succeed, the judicial manager must show </w:t>
      </w:r>
      <w:r w:rsidR="00C77863">
        <w:rPr>
          <w:rFonts w:ascii="Arial" w:hAnsi="Arial" w:cs="Arial"/>
          <w:color w:val="7B7B7B" w:themeColor="accent3" w:themeShade="BF"/>
          <w:sz w:val="22"/>
          <w:szCs w:val="22"/>
          <w:lang w:val="en-MY"/>
        </w:rPr>
        <w:t xml:space="preserve">four (4) elements: </w:t>
      </w:r>
      <w:r>
        <w:rPr>
          <w:rFonts w:ascii="Arial" w:hAnsi="Arial" w:cs="Arial"/>
          <w:color w:val="7B7B7B" w:themeColor="accent3" w:themeShade="BF"/>
          <w:sz w:val="22"/>
          <w:szCs w:val="22"/>
          <w:lang w:val="en-MY"/>
        </w:rPr>
        <w:t>that the party given the preference is a creditor o</w:t>
      </w:r>
      <w:r w:rsidR="00C77863">
        <w:rPr>
          <w:rFonts w:ascii="Arial" w:hAnsi="Arial" w:cs="Arial"/>
          <w:color w:val="7B7B7B" w:themeColor="accent3" w:themeShade="BF"/>
          <w:sz w:val="22"/>
          <w:szCs w:val="22"/>
          <w:lang w:val="en-MY"/>
        </w:rPr>
        <w:t>r</w:t>
      </w:r>
      <w:r>
        <w:rPr>
          <w:rFonts w:ascii="Arial" w:hAnsi="Arial" w:cs="Arial"/>
          <w:color w:val="7B7B7B" w:themeColor="accent3" w:themeShade="BF"/>
          <w:sz w:val="22"/>
          <w:szCs w:val="22"/>
          <w:lang w:val="en-MY"/>
        </w:rPr>
        <w:t xml:space="preserve"> guarantor of the company’s debts or liabilities, the company was insolvent at the time the preference was given, the act/transaction by the company has put the preferred party in a better position than it otherwise would be if the transaction had not been entered and th</w:t>
      </w:r>
      <w:r w:rsidR="00C77863">
        <w:rPr>
          <w:rFonts w:ascii="Arial" w:hAnsi="Arial" w:cs="Arial"/>
          <w:color w:val="7B7B7B" w:themeColor="accent3" w:themeShade="BF"/>
          <w:sz w:val="22"/>
          <w:szCs w:val="22"/>
          <w:lang w:val="en-MY"/>
        </w:rPr>
        <w:t>e company is in liquidation or judicial management, and the company had been influenced to undertake the transaction by a desire to prefer the preferred party.</w:t>
      </w:r>
      <w:r w:rsidR="00C77863">
        <w:rPr>
          <w:rStyle w:val="FootnoteReference"/>
          <w:rFonts w:ascii="Arial" w:hAnsi="Arial" w:cs="Arial"/>
          <w:color w:val="7B7B7B" w:themeColor="accent3" w:themeShade="BF"/>
          <w:sz w:val="22"/>
          <w:szCs w:val="22"/>
          <w:lang w:val="en-MY"/>
        </w:rPr>
        <w:footnoteReference w:id="10"/>
      </w:r>
      <w:r w:rsidR="00C77863">
        <w:rPr>
          <w:rFonts w:ascii="Arial" w:hAnsi="Arial" w:cs="Arial"/>
          <w:color w:val="7B7B7B" w:themeColor="accent3" w:themeShade="BF"/>
          <w:sz w:val="22"/>
          <w:szCs w:val="22"/>
          <w:lang w:val="en-MY"/>
        </w:rPr>
        <w:t xml:space="preserve"> For the last element, there is a rebuttable presumption that such element is met if the preferred party is an associate of the company.</w:t>
      </w:r>
    </w:p>
    <w:p w14:paraId="7CB21212" w14:textId="35C73DA1" w:rsidR="00C77863" w:rsidRDefault="00C77863" w:rsidP="00474D30">
      <w:pPr>
        <w:jc w:val="both"/>
        <w:rPr>
          <w:rFonts w:ascii="Arial" w:hAnsi="Arial" w:cs="Arial"/>
          <w:color w:val="7B7B7B" w:themeColor="accent3" w:themeShade="BF"/>
          <w:sz w:val="22"/>
          <w:szCs w:val="22"/>
          <w:lang w:val="en-MY"/>
        </w:rPr>
      </w:pPr>
    </w:p>
    <w:p w14:paraId="37941398" w14:textId="1BBE843A" w:rsidR="00C77863" w:rsidRDefault="00C77863"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The </w:t>
      </w:r>
      <w:r w:rsidR="00AA65ED">
        <w:rPr>
          <w:rFonts w:ascii="Arial" w:hAnsi="Arial" w:cs="Arial"/>
          <w:color w:val="7B7B7B" w:themeColor="accent3" w:themeShade="BF"/>
          <w:sz w:val="22"/>
          <w:szCs w:val="22"/>
          <w:lang w:val="en-MY"/>
        </w:rPr>
        <w:t>period</w:t>
      </w:r>
      <w:r>
        <w:rPr>
          <w:rFonts w:ascii="Arial" w:hAnsi="Arial" w:cs="Arial"/>
          <w:color w:val="7B7B7B" w:themeColor="accent3" w:themeShade="BF"/>
          <w:sz w:val="22"/>
          <w:szCs w:val="22"/>
          <w:lang w:val="en-MY"/>
        </w:rPr>
        <w:t xml:space="preserve"> to claw</w:t>
      </w:r>
      <w:r w:rsidR="00AA65ED">
        <w:rPr>
          <w:rFonts w:ascii="Arial" w:hAnsi="Arial" w:cs="Arial"/>
          <w:color w:val="7B7B7B" w:themeColor="accent3" w:themeShade="BF"/>
          <w:sz w:val="22"/>
          <w:szCs w:val="22"/>
          <w:lang w:val="en-MY"/>
        </w:rPr>
        <w:t xml:space="preserve"> </w:t>
      </w:r>
      <w:r>
        <w:rPr>
          <w:rFonts w:ascii="Arial" w:hAnsi="Arial" w:cs="Arial"/>
          <w:color w:val="7B7B7B" w:themeColor="accent3" w:themeShade="BF"/>
          <w:sz w:val="22"/>
          <w:szCs w:val="22"/>
          <w:lang w:val="en-MY"/>
        </w:rPr>
        <w:t xml:space="preserve">back assets for unfair preference </w:t>
      </w:r>
      <w:r w:rsidR="00AA65ED">
        <w:rPr>
          <w:rFonts w:ascii="Arial" w:hAnsi="Arial" w:cs="Arial"/>
          <w:color w:val="7B7B7B" w:themeColor="accent3" w:themeShade="BF"/>
          <w:sz w:val="22"/>
          <w:szCs w:val="22"/>
          <w:lang w:val="en-MY"/>
        </w:rPr>
        <w:t xml:space="preserve">is </w:t>
      </w:r>
      <w:r>
        <w:rPr>
          <w:rFonts w:ascii="Arial" w:hAnsi="Arial" w:cs="Arial"/>
          <w:color w:val="7B7B7B" w:themeColor="accent3" w:themeShade="BF"/>
          <w:sz w:val="22"/>
          <w:szCs w:val="22"/>
          <w:lang w:val="en-MY"/>
        </w:rPr>
        <w:t xml:space="preserve">two years </w:t>
      </w:r>
      <w:r w:rsidR="00AA65ED">
        <w:rPr>
          <w:rFonts w:ascii="Arial" w:hAnsi="Arial" w:cs="Arial"/>
          <w:color w:val="7B7B7B" w:themeColor="accent3" w:themeShade="BF"/>
          <w:sz w:val="22"/>
          <w:szCs w:val="22"/>
          <w:lang w:val="en-MY"/>
        </w:rPr>
        <w:t>from</w:t>
      </w:r>
      <w:r>
        <w:rPr>
          <w:rFonts w:ascii="Arial" w:hAnsi="Arial" w:cs="Arial"/>
          <w:color w:val="7B7B7B" w:themeColor="accent3" w:themeShade="BF"/>
          <w:sz w:val="22"/>
          <w:szCs w:val="22"/>
          <w:lang w:val="en-MY"/>
        </w:rPr>
        <w:t xml:space="preserve"> the date of winding-up application or date of judicial management application, or one year if the preferred party is an associate of the company.</w:t>
      </w:r>
    </w:p>
    <w:p w14:paraId="43FA8F92" w14:textId="7E629AC5" w:rsidR="00C77863" w:rsidRDefault="00C77863" w:rsidP="00474D30">
      <w:pPr>
        <w:jc w:val="both"/>
        <w:rPr>
          <w:rFonts w:ascii="Arial" w:hAnsi="Arial" w:cs="Arial"/>
          <w:color w:val="7B7B7B" w:themeColor="accent3" w:themeShade="BF"/>
          <w:sz w:val="22"/>
          <w:szCs w:val="22"/>
          <w:lang w:val="en-MY"/>
        </w:rPr>
      </w:pPr>
    </w:p>
    <w:p w14:paraId="27D86364" w14:textId="0A7B25EF" w:rsidR="00C77863" w:rsidRDefault="00AA65ED"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For a claim in respect of transaction at an undervalue, the liquidator or judicial manager must show that the company had made a gift to the recipient or the value of consideration received by the company for the transaction is significantly less than the value of consideration provided by it, and the company was or became insolvent as a result of the transaction. There is a rebuttable presumption that the transaction is at an undervalue if the preferred party is an associate of the company.</w:t>
      </w:r>
    </w:p>
    <w:p w14:paraId="316AF66D" w14:textId="6F7C7AB4" w:rsidR="00AA65ED" w:rsidRDefault="00AA65ED" w:rsidP="00474D30">
      <w:pPr>
        <w:jc w:val="both"/>
        <w:rPr>
          <w:rFonts w:ascii="Arial" w:hAnsi="Arial" w:cs="Arial"/>
          <w:color w:val="7B7B7B" w:themeColor="accent3" w:themeShade="BF"/>
          <w:sz w:val="22"/>
          <w:szCs w:val="22"/>
          <w:lang w:val="en-MY"/>
        </w:rPr>
      </w:pPr>
    </w:p>
    <w:p w14:paraId="157C33B2" w14:textId="0DC16BB8" w:rsidR="00AA65ED" w:rsidRDefault="00AA65ED"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The period to claw back assets for undervalue transactions is three from the date of winding-up application or the judicial management application.</w:t>
      </w:r>
    </w:p>
    <w:p w14:paraId="504E1B5A" w14:textId="5F7C3DA9" w:rsidR="00AA65ED" w:rsidRDefault="00AA65ED" w:rsidP="00474D30">
      <w:pPr>
        <w:jc w:val="both"/>
        <w:rPr>
          <w:rFonts w:ascii="Arial" w:hAnsi="Arial" w:cs="Arial"/>
          <w:color w:val="7B7B7B" w:themeColor="accent3" w:themeShade="BF"/>
          <w:sz w:val="22"/>
          <w:szCs w:val="22"/>
          <w:lang w:val="en-MY"/>
        </w:rPr>
      </w:pPr>
    </w:p>
    <w:p w14:paraId="3C5660CD" w14:textId="27F8B806" w:rsidR="00AA65ED" w:rsidRDefault="00AA65ED"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 xml:space="preserve">Another </w:t>
      </w:r>
      <w:r w:rsidR="00C7416C">
        <w:rPr>
          <w:rFonts w:ascii="Arial" w:hAnsi="Arial" w:cs="Arial"/>
          <w:color w:val="7B7B7B" w:themeColor="accent3" w:themeShade="BF"/>
          <w:sz w:val="22"/>
          <w:szCs w:val="22"/>
          <w:lang w:val="en-MY"/>
        </w:rPr>
        <w:t>claim that can be brought by the liquidator or judicial manager is to apply to court for declaration that any person who was a knowing party to the company trading wrongfully, is personally liable for the debts or liabilities of the company. This is a new provision introduced by section 239 IRDA and imposes personal liability for the company’s debts on the person that can be shown knew the company was trading wrongfully or, as an officer of the company, ought to have known that the company was trading wrongfully.</w:t>
      </w:r>
    </w:p>
    <w:p w14:paraId="0BB89074" w14:textId="428A768D" w:rsidR="00C7416C" w:rsidRDefault="00C7416C" w:rsidP="00474D30">
      <w:pPr>
        <w:jc w:val="both"/>
        <w:rPr>
          <w:rFonts w:ascii="Arial" w:hAnsi="Arial" w:cs="Arial"/>
          <w:color w:val="7B7B7B" w:themeColor="accent3" w:themeShade="BF"/>
          <w:sz w:val="22"/>
          <w:szCs w:val="22"/>
          <w:lang w:val="en-MY"/>
        </w:rPr>
      </w:pPr>
    </w:p>
    <w:p w14:paraId="54F2D2D7" w14:textId="50EF11E2" w:rsidR="00C7416C" w:rsidRDefault="00C7416C"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lastRenderedPageBreak/>
        <w:t xml:space="preserve">As such, with such new provision, IRDA has enhanced the liquidator’s or judicial manager’s ability to impose personal liability for the company’s debts in order to recover the same, without </w:t>
      </w:r>
      <w:r w:rsidR="009007F5">
        <w:rPr>
          <w:rFonts w:ascii="Arial" w:hAnsi="Arial" w:cs="Arial"/>
          <w:color w:val="7B7B7B" w:themeColor="accent3" w:themeShade="BF"/>
          <w:sz w:val="22"/>
          <w:szCs w:val="22"/>
          <w:lang w:val="en-MY"/>
        </w:rPr>
        <w:t xml:space="preserve">first </w:t>
      </w:r>
      <w:r>
        <w:rPr>
          <w:rFonts w:ascii="Arial" w:hAnsi="Arial" w:cs="Arial"/>
          <w:color w:val="7B7B7B" w:themeColor="accent3" w:themeShade="BF"/>
          <w:sz w:val="22"/>
          <w:szCs w:val="22"/>
          <w:lang w:val="en-MY"/>
        </w:rPr>
        <w:t>requiring criminal liability</w:t>
      </w:r>
      <w:r w:rsidR="009007F5">
        <w:rPr>
          <w:rFonts w:ascii="Arial" w:hAnsi="Arial" w:cs="Arial"/>
          <w:color w:val="7B7B7B" w:themeColor="accent3" w:themeShade="BF"/>
          <w:sz w:val="22"/>
          <w:szCs w:val="22"/>
          <w:lang w:val="en-MY"/>
        </w:rPr>
        <w:t xml:space="preserve"> </w:t>
      </w:r>
      <w:r>
        <w:rPr>
          <w:rFonts w:ascii="Arial" w:hAnsi="Arial" w:cs="Arial"/>
          <w:color w:val="7B7B7B" w:themeColor="accent3" w:themeShade="BF"/>
          <w:sz w:val="22"/>
          <w:szCs w:val="22"/>
          <w:lang w:val="en-MY"/>
        </w:rPr>
        <w:t>for such conduct.</w:t>
      </w:r>
    </w:p>
    <w:p w14:paraId="2916CB59" w14:textId="6A83E966" w:rsidR="00C7416C" w:rsidRDefault="00C7416C" w:rsidP="00474D30">
      <w:pPr>
        <w:jc w:val="both"/>
        <w:rPr>
          <w:rFonts w:ascii="Arial" w:hAnsi="Arial" w:cs="Arial"/>
          <w:color w:val="7B7B7B" w:themeColor="accent3" w:themeShade="BF"/>
          <w:sz w:val="22"/>
          <w:szCs w:val="22"/>
          <w:lang w:val="en-MY"/>
        </w:rPr>
      </w:pPr>
    </w:p>
    <w:p w14:paraId="619DE69D" w14:textId="05F5C882" w:rsidR="00C7416C" w:rsidRDefault="009007F5"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Further, IRDA has facilitated the ability of liquidators and judicial managers to pursue the above claims by easing availability of third-party funding. Generally, costs will be incurred in order to pursue such claims and financially distressed companies often do not have sufficient funds to do so. Prior to IDRA, proceeds of the company’s claims could be assigned to third parties but not the right to pursue such claims.</w:t>
      </w:r>
    </w:p>
    <w:p w14:paraId="4119E444" w14:textId="1956D1A8" w:rsidR="009007F5" w:rsidRDefault="009007F5" w:rsidP="00474D30">
      <w:pPr>
        <w:jc w:val="both"/>
        <w:rPr>
          <w:rFonts w:ascii="Arial" w:hAnsi="Arial" w:cs="Arial"/>
          <w:color w:val="7B7B7B" w:themeColor="accent3" w:themeShade="BF"/>
          <w:sz w:val="22"/>
          <w:szCs w:val="22"/>
          <w:lang w:val="en-MY"/>
        </w:rPr>
      </w:pPr>
    </w:p>
    <w:p w14:paraId="32B5E26A" w14:textId="7E8DE370" w:rsidR="009007F5" w:rsidRDefault="009007F5" w:rsidP="00474D30">
      <w:pPr>
        <w:jc w:val="both"/>
        <w:rPr>
          <w:rFonts w:ascii="Arial" w:hAnsi="Arial" w:cs="Arial"/>
          <w:color w:val="7B7B7B" w:themeColor="accent3" w:themeShade="BF"/>
          <w:sz w:val="22"/>
          <w:szCs w:val="22"/>
          <w:lang w:val="en-MY"/>
        </w:rPr>
      </w:pPr>
      <w:r>
        <w:rPr>
          <w:rFonts w:ascii="Arial" w:hAnsi="Arial" w:cs="Arial"/>
          <w:color w:val="7B7B7B" w:themeColor="accent3" w:themeShade="BF"/>
          <w:sz w:val="22"/>
          <w:szCs w:val="22"/>
          <w:lang w:val="en-MY"/>
        </w:rPr>
        <w:t>Pursuant to IDRA, liquidators and judicial managers can seek third party funding for claims relating to unfair preference transactions, undervalue transactions, extortionate credit transactions, fraudulent trading, wrongful trading and assessment of damages against delinquent officers of the company. However, authorisation by the Court or the committee of inspection is needed.</w:t>
      </w:r>
      <w:r>
        <w:rPr>
          <w:rStyle w:val="FootnoteReference"/>
          <w:rFonts w:ascii="Arial" w:hAnsi="Arial" w:cs="Arial"/>
          <w:color w:val="7B7B7B" w:themeColor="accent3" w:themeShade="BF"/>
          <w:sz w:val="22"/>
          <w:szCs w:val="22"/>
          <w:lang w:val="en-MY"/>
        </w:rPr>
        <w:footnoteReference w:id="11"/>
      </w:r>
    </w:p>
    <w:p w14:paraId="4E6412EF" w14:textId="77777777" w:rsidR="00544127" w:rsidRPr="00323BF3" w:rsidRDefault="00544127" w:rsidP="009007F5">
      <w:pPr>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1B98C70D"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w:t>
      </w:r>
      <w:r w:rsidR="00170EF8">
        <w:rPr>
          <w:rFonts w:ascii="Arial" w:hAnsi="Arial" w:cs="Arial"/>
          <w:sz w:val="22"/>
          <w:szCs w:val="22"/>
          <w:lang w:val="en-GB"/>
        </w:rPr>
        <w:t xml:space="preserve">s </w:t>
      </w:r>
      <w:r w:rsidR="00170EF8" w:rsidRPr="00170EF8">
        <w:rPr>
          <w:rFonts w:ascii="Arial" w:hAnsi="Arial" w:cs="Arial"/>
          <w:sz w:val="22"/>
          <w:szCs w:val="22"/>
          <w:lang w:val="en-GB"/>
        </w:rPr>
        <w:t>the process of commencing a voluntary judicial management application</w:t>
      </w:r>
      <w:r w:rsidR="00384F62">
        <w:rPr>
          <w:rFonts w:ascii="Arial" w:hAnsi="Arial" w:cs="Arial"/>
          <w:sz w:val="22"/>
          <w:szCs w:val="22"/>
          <w:lang w:val="en-GB"/>
        </w:rPr>
        <w:t xml:space="preserve">. In your answer you should also discuss </w:t>
      </w:r>
      <w:r w:rsidR="00170EF8" w:rsidRPr="00170EF8">
        <w:rPr>
          <w:rFonts w:ascii="Arial" w:hAnsi="Arial" w:cs="Arial"/>
          <w:sz w:val="22"/>
          <w:szCs w:val="22"/>
          <w:lang w:val="en-GB"/>
        </w:rPr>
        <w:t>how this differ</w:t>
      </w:r>
      <w:r w:rsidR="00384F62">
        <w:rPr>
          <w:rFonts w:ascii="Arial" w:hAnsi="Arial" w:cs="Arial"/>
          <w:sz w:val="22"/>
          <w:szCs w:val="22"/>
          <w:lang w:val="en-GB"/>
        </w:rPr>
        <w:t>s</w:t>
      </w:r>
      <w:r w:rsidR="00170EF8" w:rsidRPr="00170EF8">
        <w:rPr>
          <w:rFonts w:ascii="Arial" w:hAnsi="Arial" w:cs="Arial"/>
          <w:sz w:val="22"/>
          <w:szCs w:val="22"/>
          <w:lang w:val="en-GB"/>
        </w:rPr>
        <w:t xml:space="preserve"> from </w:t>
      </w:r>
      <w:r w:rsidR="00170EF8">
        <w:rPr>
          <w:rFonts w:ascii="Arial" w:hAnsi="Arial" w:cs="Arial"/>
          <w:sz w:val="22"/>
          <w:szCs w:val="22"/>
          <w:lang w:val="en-GB"/>
        </w:rPr>
        <w:t xml:space="preserve">a judicial management application that is filed in </w:t>
      </w:r>
      <w:r w:rsidR="00384F62">
        <w:rPr>
          <w:rFonts w:ascii="Arial" w:hAnsi="Arial" w:cs="Arial"/>
          <w:sz w:val="22"/>
          <w:szCs w:val="22"/>
          <w:lang w:val="en-GB"/>
        </w:rPr>
        <w:t>c</w:t>
      </w:r>
      <w:r w:rsidR="00170EF8">
        <w:rPr>
          <w:rFonts w:ascii="Arial" w:hAnsi="Arial" w:cs="Arial"/>
          <w:sz w:val="22"/>
          <w:szCs w:val="22"/>
          <w:lang w:val="en-GB"/>
        </w:rPr>
        <w:t xml:space="preserve">ourt. </w:t>
      </w:r>
    </w:p>
    <w:p w14:paraId="47A25125" w14:textId="77777777" w:rsidR="00DF75F8" w:rsidRPr="002A37BB" w:rsidRDefault="00DF75F8" w:rsidP="002A37BB">
      <w:pPr>
        <w:jc w:val="both"/>
        <w:rPr>
          <w:rFonts w:ascii="Arial" w:hAnsi="Arial" w:cs="Arial"/>
          <w:sz w:val="22"/>
          <w:szCs w:val="22"/>
        </w:rPr>
      </w:pPr>
    </w:p>
    <w:p w14:paraId="390FDD25" w14:textId="148E852B" w:rsidR="00DF75F8" w:rsidRDefault="00890D6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Prior to IRDA</w:t>
      </w:r>
      <w:r w:rsidR="0020725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 company could only be placed into judicial management</w:t>
      </w:r>
      <w:r w:rsidR="00207256">
        <w:rPr>
          <w:rFonts w:ascii="Arial" w:hAnsi="Arial" w:cs="Arial"/>
          <w:color w:val="7B7B7B" w:themeColor="accent3" w:themeShade="BF"/>
          <w:sz w:val="22"/>
          <w:szCs w:val="22"/>
          <w:lang w:val="en-GB"/>
        </w:rPr>
        <w:t xml:space="preserve"> by way of an order of the Court.</w:t>
      </w:r>
      <w:r w:rsidRPr="00890D6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Section 94(1) of IRDA 2018 introduced a new voluntary process for initiating judicial management without first having to apply to Court, where (a) the company is, or is likely to become, unable to pay its debts; and (b) there is reasonable probability of achieving one or more purposes of judicial management mentioned in section 89(1), and resolution of the company’s creditors to do so is obtained.</w:t>
      </w:r>
    </w:p>
    <w:p w14:paraId="3A978466" w14:textId="61BF1A14" w:rsidR="00890D6E" w:rsidRDefault="00890D6E" w:rsidP="002A37BB">
      <w:pPr>
        <w:jc w:val="both"/>
        <w:rPr>
          <w:rFonts w:ascii="Arial" w:hAnsi="Arial" w:cs="Arial"/>
          <w:color w:val="7B7B7B" w:themeColor="accent3" w:themeShade="BF"/>
          <w:sz w:val="22"/>
          <w:szCs w:val="22"/>
          <w:lang w:val="en-GB"/>
        </w:rPr>
      </w:pPr>
    </w:p>
    <w:p w14:paraId="7B584B53" w14:textId="660E1BF1" w:rsidR="00890D6E" w:rsidRDefault="00890D6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a company proposes to obtain a creditors’ resolution to place the company in judicial management, the company must give notice in prescribed form to appoint an interim judicial manager and lodge a corresponding statutory declaration with the Registrar of Companies. The statutory declaration must state that the company is or is likely to become unable to pay its debts, the company will summon the creditors’ meeting no later than 30 days from date of lodgement of the statutory declaration, and the directors believe one of the purposes of judicial management is likely to be achieved.</w:t>
      </w:r>
      <w:r>
        <w:rPr>
          <w:rStyle w:val="FootnoteReference"/>
          <w:rFonts w:ascii="Arial" w:hAnsi="Arial" w:cs="Arial"/>
          <w:color w:val="7B7B7B" w:themeColor="accent3" w:themeShade="BF"/>
          <w:sz w:val="22"/>
          <w:szCs w:val="22"/>
          <w:lang w:val="en-GB"/>
        </w:rPr>
        <w:footnoteReference w:id="12"/>
      </w:r>
    </w:p>
    <w:p w14:paraId="4652D633" w14:textId="26EC3B27" w:rsidR="00890D6E" w:rsidRDefault="00890D6E" w:rsidP="002A37BB">
      <w:pPr>
        <w:jc w:val="both"/>
        <w:rPr>
          <w:rFonts w:ascii="Arial" w:hAnsi="Arial" w:cs="Arial"/>
          <w:color w:val="7B7B7B" w:themeColor="accent3" w:themeShade="BF"/>
          <w:sz w:val="22"/>
          <w:szCs w:val="22"/>
          <w:lang w:val="en-GB"/>
        </w:rPr>
      </w:pPr>
    </w:p>
    <w:p w14:paraId="4FA605CF" w14:textId="63279906" w:rsidR="00740A39" w:rsidRDefault="00740A3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interim judicial manager will be appointed following the filing of a shareholders’ resolution or board of directors’ resolution for the appointment together with the lodgement of the statutory declaration. This differs from the court-ordered judicial management as an interim judicial manager is appointed under the voluntary process before even the creditors meeting is called to vote on the resolution to place the company in judicial management and appoint a formal judicial manager.</w:t>
      </w:r>
    </w:p>
    <w:p w14:paraId="5248CB22" w14:textId="77777777" w:rsidR="00740A39" w:rsidRDefault="00740A39" w:rsidP="002A37BB">
      <w:pPr>
        <w:jc w:val="both"/>
        <w:rPr>
          <w:rFonts w:ascii="Arial" w:hAnsi="Arial" w:cs="Arial"/>
          <w:color w:val="7B7B7B" w:themeColor="accent3" w:themeShade="BF"/>
          <w:sz w:val="22"/>
          <w:szCs w:val="22"/>
          <w:lang w:val="en-GB"/>
        </w:rPr>
      </w:pPr>
    </w:p>
    <w:p w14:paraId="05EF6C53" w14:textId="239A0ECF" w:rsidR="00890D6E" w:rsidRDefault="00890D6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Thereafter, the company must convene a meeting of the company’s creditors not later than 30 days after lodgement of the statutory declaration to consider a resolution for the company to be placed under judicial management. The manner of conducting the creditor meeting, notice requirements as well as timelines are set out in detail in s.94 of IRDA.</w:t>
      </w:r>
    </w:p>
    <w:p w14:paraId="01A149CC" w14:textId="2398B59B" w:rsidR="00890D6E" w:rsidRDefault="00890D6E" w:rsidP="002A37BB">
      <w:pPr>
        <w:jc w:val="both"/>
        <w:rPr>
          <w:rFonts w:ascii="Arial" w:hAnsi="Arial" w:cs="Arial"/>
          <w:color w:val="7B7B7B" w:themeColor="accent3" w:themeShade="BF"/>
          <w:sz w:val="22"/>
          <w:szCs w:val="22"/>
          <w:lang w:val="en-GB"/>
        </w:rPr>
      </w:pPr>
    </w:p>
    <w:p w14:paraId="02CCAD47" w14:textId="477D2473" w:rsidR="00740A39" w:rsidRDefault="00890D6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is placed under judicial management if a majority in number and value of the company’s creditors present and voting resolve to do so.</w:t>
      </w:r>
      <w:r w:rsidR="00B06240">
        <w:rPr>
          <w:rFonts w:ascii="Arial" w:hAnsi="Arial" w:cs="Arial"/>
          <w:color w:val="7B7B7B" w:themeColor="accent3" w:themeShade="BF"/>
          <w:sz w:val="22"/>
          <w:szCs w:val="22"/>
          <w:lang w:val="en-GB"/>
        </w:rPr>
        <w:t xml:space="preserve"> </w:t>
      </w:r>
      <w:r w:rsidR="00740A39">
        <w:rPr>
          <w:rFonts w:ascii="Arial" w:hAnsi="Arial" w:cs="Arial"/>
          <w:color w:val="7B7B7B" w:themeColor="accent3" w:themeShade="BF"/>
          <w:sz w:val="22"/>
          <w:szCs w:val="22"/>
          <w:lang w:val="en-GB"/>
        </w:rPr>
        <w:t xml:space="preserve">This differs from a court-order judicial </w:t>
      </w:r>
      <w:r w:rsidR="00740A39">
        <w:rPr>
          <w:rFonts w:ascii="Arial" w:hAnsi="Arial" w:cs="Arial"/>
          <w:color w:val="7B7B7B" w:themeColor="accent3" w:themeShade="BF"/>
          <w:sz w:val="22"/>
          <w:szCs w:val="22"/>
          <w:lang w:val="en-GB"/>
        </w:rPr>
        <w:lastRenderedPageBreak/>
        <w:t>management, where the court can do so even if the application is supported by just a single creditor (if all other requirements are met).</w:t>
      </w:r>
    </w:p>
    <w:p w14:paraId="4D49FD53" w14:textId="77777777" w:rsidR="00740A39" w:rsidRDefault="00740A39" w:rsidP="002A37BB">
      <w:pPr>
        <w:jc w:val="both"/>
        <w:rPr>
          <w:rFonts w:ascii="Arial" w:hAnsi="Arial" w:cs="Arial"/>
          <w:color w:val="7B7B7B" w:themeColor="accent3" w:themeShade="BF"/>
          <w:sz w:val="22"/>
          <w:szCs w:val="22"/>
          <w:lang w:val="en-GB"/>
        </w:rPr>
      </w:pPr>
    </w:p>
    <w:p w14:paraId="4A55DB76" w14:textId="7FF77B8C" w:rsidR="00207256" w:rsidRPr="00740A39" w:rsidRDefault="00B06240" w:rsidP="00740A3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company is placed into judicial management pursuant to s.94 IRDA, it is then under the supervision of the Court in the same manner as a court-ordered judicial management.</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5438C829" w14:textId="77777777" w:rsidR="00384F62" w:rsidRDefault="00384F62" w:rsidP="00384F62">
      <w:pPr>
        <w:jc w:val="both"/>
        <w:rPr>
          <w:rFonts w:ascii="Arial" w:hAnsi="Arial" w:cs="Arial"/>
          <w:sz w:val="22"/>
          <w:szCs w:val="22"/>
          <w:lang w:val="en-GB"/>
        </w:rPr>
      </w:pPr>
      <w:bookmarkStart w:id="0" w:name="_Hlk17745211"/>
      <w:r>
        <w:rPr>
          <w:rFonts w:ascii="Arial" w:hAnsi="Arial" w:cs="Arial"/>
          <w:sz w:val="22"/>
          <w:szCs w:val="22"/>
          <w:lang w:val="en-GB"/>
        </w:rPr>
        <w:t xml:space="preserve">PT Angostura Textiles </w:t>
      </w:r>
      <w:proofErr w:type="spellStart"/>
      <w:r>
        <w:rPr>
          <w:rFonts w:ascii="Arial" w:hAnsi="Arial" w:cs="Arial"/>
          <w:sz w:val="22"/>
          <w:szCs w:val="22"/>
          <w:lang w:val="en-GB"/>
        </w:rPr>
        <w:t>Tbk</w:t>
      </w:r>
      <w:proofErr w:type="spellEnd"/>
      <w:r>
        <w:rPr>
          <w:rFonts w:ascii="Arial" w:hAnsi="Arial" w:cs="Arial"/>
          <w:sz w:val="22"/>
          <w:szCs w:val="22"/>
          <w:lang w:val="en-GB"/>
        </w:rPr>
        <w:t xml:space="preserve"> (Angostura, and together with its subsidiaries, the Angostura Group) is an Indonesia-incorporated company listed on the Indonesia stock exchange. Angostura is a substantial market player in textile production in South East Asia and China. Its primary lines of business are:</w:t>
      </w:r>
    </w:p>
    <w:p w14:paraId="2163A324" w14:textId="77777777" w:rsidR="00384F62" w:rsidRDefault="00384F62" w:rsidP="00384F62">
      <w:pPr>
        <w:jc w:val="both"/>
        <w:rPr>
          <w:rFonts w:ascii="Arial" w:hAnsi="Arial" w:cs="Arial"/>
          <w:sz w:val="22"/>
          <w:szCs w:val="22"/>
          <w:lang w:val="en-GB"/>
        </w:rPr>
      </w:pPr>
    </w:p>
    <w:p w14:paraId="0676522E"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fibre production with assets and factories in Malaysia, Thailand and Cambodia;</w:t>
      </w:r>
    </w:p>
    <w:p w14:paraId="043B67BC" w14:textId="77777777" w:rsidR="00384F62" w:rsidRPr="005A6ED5" w:rsidRDefault="00384F62" w:rsidP="00384F62">
      <w:pPr>
        <w:jc w:val="both"/>
        <w:rPr>
          <w:rFonts w:ascii="Arial" w:hAnsi="Arial" w:cs="Arial"/>
          <w:sz w:val="22"/>
          <w:szCs w:val="22"/>
          <w:lang w:val="en-GB"/>
        </w:rPr>
      </w:pPr>
    </w:p>
    <w:p w14:paraId="76075389" w14:textId="77777777" w:rsidR="00384F62"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textile manufacturing with assets and factories in Indonesia, Vietnam and China; and</w:t>
      </w:r>
    </w:p>
    <w:p w14:paraId="121CB079" w14:textId="77777777" w:rsidR="00384F62" w:rsidRPr="005A6ED5" w:rsidRDefault="00384F62" w:rsidP="00384F62">
      <w:pPr>
        <w:jc w:val="both"/>
        <w:rPr>
          <w:rFonts w:ascii="Arial" w:hAnsi="Arial" w:cs="Arial"/>
          <w:sz w:val="22"/>
          <w:szCs w:val="22"/>
          <w:lang w:val="en-GB"/>
        </w:rPr>
      </w:pPr>
    </w:p>
    <w:p w14:paraId="71AAD59D" w14:textId="77777777" w:rsidR="00384F62" w:rsidRPr="003D70A7" w:rsidRDefault="00384F62" w:rsidP="00384F62">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garment manufacturing and distribution facilities with assets and factories in Indonesia, Vietnam and the United States.</w:t>
      </w:r>
    </w:p>
    <w:p w14:paraId="41D1E910" w14:textId="77777777" w:rsidR="00384F62" w:rsidRDefault="00384F62" w:rsidP="00384F62">
      <w:pPr>
        <w:jc w:val="both"/>
        <w:rPr>
          <w:rFonts w:ascii="Arial" w:hAnsi="Arial" w:cs="Arial"/>
          <w:sz w:val="22"/>
          <w:szCs w:val="22"/>
          <w:lang w:val="en-GB"/>
        </w:rPr>
      </w:pPr>
    </w:p>
    <w:p w14:paraId="2CE6DC90" w14:textId="77777777" w:rsidR="00384F62" w:rsidRDefault="00384F62" w:rsidP="00384F62">
      <w:pPr>
        <w:jc w:val="both"/>
        <w:rPr>
          <w:rFonts w:ascii="Arial" w:hAnsi="Arial" w:cs="Arial"/>
          <w:sz w:val="22"/>
          <w:szCs w:val="22"/>
          <w:lang w:val="en-GB"/>
        </w:rPr>
      </w:pPr>
      <w:r>
        <w:rPr>
          <w:rFonts w:ascii="Arial" w:hAnsi="Arial" w:cs="Arial"/>
          <w:sz w:val="22"/>
          <w:szCs w:val="22"/>
          <w:lang w:val="en-GB"/>
        </w:rPr>
        <w:t>The Angostura Group has two key Singapore incorporated subsidiaries:</w:t>
      </w:r>
    </w:p>
    <w:p w14:paraId="2FA83A4F" w14:textId="77777777" w:rsidR="00384F62" w:rsidRDefault="00384F62" w:rsidP="00384F62">
      <w:pPr>
        <w:jc w:val="both"/>
        <w:rPr>
          <w:rFonts w:ascii="Arial" w:hAnsi="Arial" w:cs="Arial"/>
          <w:sz w:val="22"/>
          <w:szCs w:val="22"/>
          <w:lang w:val="en-GB"/>
        </w:rPr>
      </w:pPr>
    </w:p>
    <w:p w14:paraId="63D1B2CD" w14:textId="08C2FB34" w:rsidR="00384F62" w:rsidRDefault="00384F62" w:rsidP="00384F62">
      <w:pPr>
        <w:pStyle w:val="ListParagraph"/>
        <w:numPr>
          <w:ilvl w:val="0"/>
          <w:numId w:val="2"/>
        </w:numPr>
        <w:ind w:left="426" w:hanging="426"/>
        <w:jc w:val="both"/>
        <w:rPr>
          <w:rFonts w:ascii="Arial" w:hAnsi="Arial" w:cs="Arial"/>
          <w:sz w:val="22"/>
          <w:szCs w:val="22"/>
          <w:lang w:val="en-GB"/>
        </w:rPr>
      </w:pPr>
      <w:proofErr w:type="spellStart"/>
      <w:r>
        <w:rPr>
          <w:rFonts w:ascii="Arial" w:hAnsi="Arial" w:cs="Arial"/>
          <w:sz w:val="22"/>
          <w:szCs w:val="22"/>
          <w:lang w:val="en-GB"/>
        </w:rPr>
        <w:t>Juniperus</w:t>
      </w:r>
      <w:proofErr w:type="spellEnd"/>
      <w:r>
        <w:rPr>
          <w:rFonts w:ascii="Arial" w:hAnsi="Arial" w:cs="Arial"/>
          <w:sz w:val="22"/>
          <w:szCs w:val="22"/>
          <w:lang w:val="en-GB"/>
        </w:rPr>
        <w:t xml:space="preserve"> Textiles Pte Ltd.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which is wholly owned by Angostura; and </w:t>
      </w:r>
    </w:p>
    <w:p w14:paraId="7EC554F6" w14:textId="77777777" w:rsidR="00384F62" w:rsidRPr="005A6ED5" w:rsidRDefault="00384F62" w:rsidP="00384F62">
      <w:pPr>
        <w:jc w:val="both"/>
        <w:rPr>
          <w:rFonts w:ascii="Arial" w:hAnsi="Arial" w:cs="Arial"/>
          <w:sz w:val="22"/>
          <w:szCs w:val="22"/>
          <w:lang w:val="en-GB"/>
        </w:rPr>
      </w:pPr>
    </w:p>
    <w:p w14:paraId="7359502F" w14:textId="3B2BB17D" w:rsidR="00384F62" w:rsidRDefault="00384F62" w:rsidP="00384F62">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 xml:space="preserve">Casuarina Garments Pte Ltd (Casuarina) which is wholly owned by </w:t>
      </w:r>
      <w:proofErr w:type="spellStart"/>
      <w:r>
        <w:rPr>
          <w:rFonts w:ascii="Arial" w:hAnsi="Arial" w:cs="Arial"/>
          <w:sz w:val="22"/>
          <w:szCs w:val="22"/>
          <w:lang w:val="en-GB"/>
        </w:rPr>
        <w:t>Juniperus</w:t>
      </w:r>
      <w:proofErr w:type="spellEnd"/>
      <w:r>
        <w:rPr>
          <w:rFonts w:ascii="Arial" w:hAnsi="Arial" w:cs="Arial"/>
          <w:sz w:val="22"/>
          <w:szCs w:val="22"/>
          <w:lang w:val="en-GB"/>
        </w:rPr>
        <w:t>.</w:t>
      </w:r>
    </w:p>
    <w:p w14:paraId="44660DCA" w14:textId="77777777" w:rsidR="00384F62" w:rsidRPr="005A6ED5" w:rsidRDefault="00384F62" w:rsidP="00384F62">
      <w:pPr>
        <w:pStyle w:val="ListParagraph"/>
        <w:rPr>
          <w:rFonts w:ascii="Arial" w:hAnsi="Arial" w:cs="Arial"/>
          <w:sz w:val="22"/>
          <w:szCs w:val="22"/>
          <w:lang w:val="en-GB"/>
        </w:rPr>
      </w:pPr>
    </w:p>
    <w:p w14:paraId="1F9CCE2C" w14:textId="77777777" w:rsidR="00384F62" w:rsidRPr="00B81AE8" w:rsidRDefault="00384F62" w:rsidP="00384F62">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5D9E4161" w14:textId="77777777" w:rsidR="00384F62" w:rsidRDefault="00384F62" w:rsidP="00384F62">
      <w:pPr>
        <w:jc w:val="both"/>
        <w:rPr>
          <w:rFonts w:ascii="Arial" w:hAnsi="Arial" w:cs="Arial"/>
          <w:sz w:val="22"/>
          <w:szCs w:val="22"/>
          <w:lang w:val="en-GB"/>
        </w:rPr>
      </w:pPr>
    </w:p>
    <w:p w14:paraId="1B3F0673" w14:textId="77777777"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Angostura Group had traditionally </w:t>
      </w:r>
      <w:r w:rsidRPr="004076F1">
        <w:rPr>
          <w:rFonts w:ascii="Arial" w:hAnsi="Arial" w:cs="Arial"/>
          <w:sz w:val="22"/>
          <w:szCs w:val="22"/>
          <w:lang w:val="en-GB"/>
        </w:rPr>
        <w:t>funded its business via bank lending,</w:t>
      </w:r>
      <w:r>
        <w:rPr>
          <w:rFonts w:ascii="Arial" w:hAnsi="Arial" w:cs="Arial"/>
          <w:sz w:val="22"/>
          <w:szCs w:val="22"/>
          <w:lang w:val="en-GB"/>
        </w:rPr>
        <w:t xml:space="preserve"> with a combination of bilateral and syndicated loan facilities advanced directly to Angostura. As at 2019, the group had raised SGD 2 billion in bank lending, all of which was guaranteed by Angostura Indonesian subsidiaries. </w:t>
      </w:r>
    </w:p>
    <w:p w14:paraId="5BE725F2" w14:textId="77777777" w:rsidR="00384F62" w:rsidRDefault="00384F62" w:rsidP="00384F62">
      <w:pPr>
        <w:jc w:val="both"/>
        <w:rPr>
          <w:rFonts w:ascii="Arial" w:hAnsi="Arial" w:cs="Arial"/>
          <w:sz w:val="22"/>
          <w:szCs w:val="22"/>
          <w:lang w:val="en-GB"/>
        </w:rPr>
      </w:pPr>
    </w:p>
    <w:p w14:paraId="4DA78948" w14:textId="4D4AC89F"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2019, as COVID-19 started to spread around the world, the Angostura Group sought to take advantage of the situation by expanding its garment manufacturing business into personal protective equipment. To fund this expansion,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issued SGD 200 million in retail bonds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SG Bonds) on the Singapore Stock Exchange (SGX) which were guaranteed by Angostura. The proceeds of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Bonds were on-lent to Casuarina who lent them via an offshore intercompany loan to Angostura (the Casuarina Intra-Group Loan). To ensure bondholders had rights in connection with the Casuarina Intra-Group Loan, holders of the Angostura Bonds are given security over the shares of each of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and Casuarina.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Bonds are governed by a New York law. </w:t>
      </w:r>
    </w:p>
    <w:p w14:paraId="2F4A7D3A" w14:textId="77777777" w:rsidR="00384F62" w:rsidRDefault="00384F62" w:rsidP="00384F62">
      <w:pPr>
        <w:jc w:val="both"/>
        <w:rPr>
          <w:rFonts w:ascii="Arial" w:hAnsi="Arial" w:cs="Arial"/>
          <w:sz w:val="22"/>
          <w:szCs w:val="22"/>
          <w:lang w:val="en-GB"/>
        </w:rPr>
      </w:pPr>
    </w:p>
    <w:p w14:paraId="57B2ED64" w14:textId="626D7B6C" w:rsidR="00384F62" w:rsidRDefault="00384F62" w:rsidP="00384F62">
      <w:pPr>
        <w:jc w:val="both"/>
        <w:rPr>
          <w:rFonts w:ascii="Arial" w:hAnsi="Arial" w:cs="Arial"/>
          <w:sz w:val="22"/>
          <w:szCs w:val="22"/>
          <w:lang w:val="en-GB"/>
        </w:rPr>
      </w:pPr>
      <w:r>
        <w:rPr>
          <w:rFonts w:ascii="Arial" w:hAnsi="Arial" w:cs="Arial"/>
          <w:sz w:val="22"/>
          <w:szCs w:val="22"/>
          <w:lang w:val="en-GB"/>
        </w:rPr>
        <w:t xml:space="preserve">In late 2020, Angostura's business experienced significant supply-chain disruptions as a result of the COVID-19 pandemic. During this time, Angostura started informing some of its bank lenders that they may require waivers on certain terms in their loans and potentially further time to repay certain amounts owing. In early 2021, Angostura appointed legal and financial advisors to provide it with advice as to the best steps to take. Shortly thereafter, a trade creditor filed a PKPU petition in Indonesia against Angostura and its Indonesian subsidiaries. Further to this,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and Casuarina filed for protection, under sections 64(1) and 65(1) respectively, of the Insolvency Restructuring and Dissolution Act (Act No 40 of 2018) (the IRDA). Angostura then announced that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will launch a separate Singapore Scheme </w:t>
      </w:r>
      <w:r>
        <w:rPr>
          <w:rFonts w:ascii="Arial" w:hAnsi="Arial" w:cs="Arial"/>
          <w:sz w:val="22"/>
          <w:szCs w:val="22"/>
          <w:lang w:val="en-GB"/>
        </w:rPr>
        <w:lastRenderedPageBreak/>
        <w:t xml:space="preserve">of Arrangement under section 210 of the </w:t>
      </w:r>
      <w:r w:rsidRPr="00F15BB8">
        <w:rPr>
          <w:rFonts w:ascii="Arial" w:hAnsi="Arial" w:cs="Arial"/>
          <w:sz w:val="22"/>
          <w:szCs w:val="22"/>
          <w:lang w:val="en-GB"/>
        </w:rPr>
        <w:t xml:space="preserve">Companies Act (Cap 50) </w:t>
      </w:r>
      <w:r>
        <w:rPr>
          <w:rFonts w:ascii="Arial" w:hAnsi="Arial" w:cs="Arial"/>
          <w:sz w:val="22"/>
          <w:szCs w:val="22"/>
          <w:lang w:val="en-GB"/>
        </w:rPr>
        <w:t xml:space="preserve">to restructure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Bonds after the conclusion of the Indonesian PKPU, which will largely mirror the terms in the PKPU.</w:t>
      </w:r>
    </w:p>
    <w:p w14:paraId="0649EE92" w14:textId="77777777" w:rsidR="00384F62" w:rsidRDefault="00384F62" w:rsidP="00384F62">
      <w:pPr>
        <w:jc w:val="both"/>
        <w:rPr>
          <w:rFonts w:ascii="Arial" w:hAnsi="Arial" w:cs="Arial"/>
          <w:sz w:val="22"/>
          <w:szCs w:val="22"/>
          <w:lang w:val="en-GB"/>
        </w:rPr>
      </w:pPr>
    </w:p>
    <w:p w14:paraId="5D521753" w14:textId="4C794FF1"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bondholders of the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Bonds are concerned the moratoria being sought will prevent them from participating in the PKPU proceedings in Indonesia and enforcing their security over the shares in </w:t>
      </w:r>
      <w:proofErr w:type="spellStart"/>
      <w:r>
        <w:rPr>
          <w:rFonts w:ascii="Arial" w:hAnsi="Arial" w:cs="Arial"/>
          <w:sz w:val="22"/>
          <w:szCs w:val="22"/>
          <w:lang w:val="en-GB"/>
        </w:rPr>
        <w:t>Juniperus</w:t>
      </w:r>
      <w:proofErr w:type="spellEnd"/>
      <w:r>
        <w:rPr>
          <w:rFonts w:ascii="Arial" w:hAnsi="Arial" w:cs="Arial"/>
          <w:sz w:val="22"/>
          <w:szCs w:val="22"/>
          <w:lang w:val="en-GB"/>
        </w:rPr>
        <w:t xml:space="preserve"> and Casuarina, respectively. They have therefore decided to object to the Singapore moratorium applications. </w:t>
      </w:r>
    </w:p>
    <w:p w14:paraId="3155C583" w14:textId="77777777" w:rsidR="00384F62" w:rsidRDefault="00384F62" w:rsidP="00384F62">
      <w:pPr>
        <w:jc w:val="both"/>
        <w:rPr>
          <w:rFonts w:ascii="Arial" w:hAnsi="Arial" w:cs="Arial"/>
          <w:sz w:val="22"/>
          <w:szCs w:val="22"/>
          <w:lang w:val="en-GB"/>
        </w:rPr>
      </w:pPr>
    </w:p>
    <w:p w14:paraId="4286FDD1" w14:textId="77777777" w:rsidR="00384F62" w:rsidRDefault="00384F62" w:rsidP="00384F62">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4FC422DA" w14:textId="77777777" w:rsidR="00384F62" w:rsidRPr="00F130CF" w:rsidRDefault="00384F62" w:rsidP="00384F62">
      <w:pPr>
        <w:jc w:val="both"/>
        <w:rPr>
          <w:rFonts w:ascii="Arial" w:hAnsi="Arial" w:cs="Arial"/>
          <w:sz w:val="22"/>
          <w:szCs w:val="22"/>
          <w:lang w:val="en-GB"/>
        </w:rPr>
      </w:pPr>
    </w:p>
    <w:p w14:paraId="3279DC90" w14:textId="77777777" w:rsidR="00384F62" w:rsidRPr="002A37BB" w:rsidRDefault="00384F62" w:rsidP="00384F62">
      <w:pPr>
        <w:jc w:val="both"/>
        <w:rPr>
          <w:rFonts w:ascii="Arial" w:hAnsi="Arial" w:cs="Arial"/>
          <w:b/>
          <w:bCs/>
          <w:sz w:val="22"/>
          <w:szCs w:val="22"/>
          <w:lang w:val="en-GB"/>
        </w:rPr>
      </w:pPr>
      <w:r w:rsidRPr="002A37BB">
        <w:rPr>
          <w:rFonts w:ascii="Arial" w:hAnsi="Arial" w:cs="Arial"/>
          <w:b/>
          <w:bCs/>
          <w:sz w:val="22"/>
          <w:szCs w:val="22"/>
          <w:lang w:val="en-GB"/>
        </w:rPr>
        <w:t>Question 4.</w:t>
      </w:r>
      <w:r>
        <w:rPr>
          <w:rFonts w:ascii="Arial" w:hAnsi="Arial" w:cs="Arial"/>
          <w:b/>
          <w:bCs/>
          <w:sz w:val="22"/>
          <w:szCs w:val="22"/>
          <w:lang w:val="en-GB"/>
        </w:rPr>
        <w:t>1 [maximum 6 marks]</w:t>
      </w:r>
    </w:p>
    <w:p w14:paraId="080F5236" w14:textId="77777777" w:rsidR="00384F62" w:rsidRPr="002A37BB" w:rsidRDefault="00384F62" w:rsidP="00384F62">
      <w:pPr>
        <w:jc w:val="both"/>
        <w:rPr>
          <w:rFonts w:ascii="Arial" w:hAnsi="Arial" w:cs="Arial"/>
          <w:b/>
          <w:bCs/>
          <w:sz w:val="22"/>
          <w:szCs w:val="22"/>
          <w:lang w:val="en-GB"/>
        </w:rPr>
      </w:pPr>
    </w:p>
    <w:p w14:paraId="4ED1A98C" w14:textId="5BB8ADFD" w:rsidR="00384F62" w:rsidRDefault="00384F62" w:rsidP="00384F62">
      <w:pPr>
        <w:jc w:val="both"/>
        <w:rPr>
          <w:rFonts w:ascii="Arial" w:hAnsi="Arial" w:cs="Arial"/>
          <w:sz w:val="22"/>
          <w:szCs w:val="22"/>
          <w:lang w:val="en-GB"/>
        </w:rPr>
      </w:pPr>
      <w:r>
        <w:rPr>
          <w:rFonts w:ascii="Arial" w:hAnsi="Arial" w:cs="Arial"/>
          <w:sz w:val="22"/>
          <w:szCs w:val="22"/>
          <w:lang w:val="en-GB"/>
        </w:rPr>
        <w:t xml:space="preserve">The working group of the </w:t>
      </w:r>
      <w:r w:rsidR="00A94591">
        <w:rPr>
          <w:rFonts w:ascii="Arial" w:hAnsi="Arial" w:cs="Arial"/>
          <w:sz w:val="22"/>
          <w:szCs w:val="22"/>
          <w:lang w:val="en-GB"/>
        </w:rPr>
        <w:t>b</w:t>
      </w:r>
      <w:r>
        <w:rPr>
          <w:rFonts w:ascii="Arial" w:hAnsi="Arial" w:cs="Arial"/>
          <w:sz w:val="22"/>
          <w:szCs w:val="22"/>
          <w:lang w:val="en-GB"/>
        </w:rPr>
        <w:t xml:space="preserve">ondholders has asked its advisors to provide it with a written analysis covering the following critical </w:t>
      </w:r>
      <w:r w:rsidRPr="004076F1">
        <w:rPr>
          <w:rFonts w:ascii="Arial" w:hAnsi="Arial" w:cs="Arial"/>
          <w:sz w:val="22"/>
          <w:szCs w:val="22"/>
          <w:lang w:val="en-GB"/>
        </w:rPr>
        <w:t>issues for the Angostura Group. Please provide analysis on the following issues:</w:t>
      </w:r>
    </w:p>
    <w:p w14:paraId="149E1536" w14:textId="0FA069B3" w:rsidR="00384F62" w:rsidRDefault="00384F62" w:rsidP="00384F62">
      <w:pPr>
        <w:jc w:val="both"/>
        <w:rPr>
          <w:rFonts w:ascii="Arial" w:hAnsi="Arial" w:cs="Arial"/>
          <w:sz w:val="22"/>
          <w:szCs w:val="22"/>
          <w:lang w:val="en-GB"/>
        </w:rPr>
      </w:pPr>
    </w:p>
    <w:p w14:paraId="0CBB85AA" w14:textId="1C27955F"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4.1.1 (2 marks)</w:t>
      </w:r>
    </w:p>
    <w:p w14:paraId="4FB24296" w14:textId="77777777" w:rsidR="00384F62" w:rsidRDefault="00384F62" w:rsidP="00384F62">
      <w:pPr>
        <w:jc w:val="both"/>
        <w:rPr>
          <w:rFonts w:ascii="Arial" w:hAnsi="Arial" w:cs="Arial"/>
          <w:sz w:val="22"/>
          <w:szCs w:val="22"/>
          <w:lang w:val="en-GB"/>
        </w:rPr>
      </w:pPr>
    </w:p>
    <w:p w14:paraId="417440DE" w14:textId="06CAF4BC" w:rsidR="00384F62" w:rsidRDefault="00384F62" w:rsidP="00384F62">
      <w:pPr>
        <w:jc w:val="both"/>
        <w:rPr>
          <w:rFonts w:ascii="Arial" w:hAnsi="Arial" w:cs="Arial"/>
          <w:sz w:val="22"/>
          <w:szCs w:val="22"/>
          <w:lang w:val="en-GB"/>
        </w:rPr>
      </w:pPr>
      <w:r>
        <w:rPr>
          <w:rFonts w:ascii="Arial" w:hAnsi="Arial" w:cs="Arial"/>
          <w:sz w:val="22"/>
          <w:szCs w:val="22"/>
          <w:lang w:val="en-GB"/>
        </w:rPr>
        <w:t>W</w:t>
      </w:r>
      <w:r w:rsidRPr="004076F1">
        <w:rPr>
          <w:rFonts w:ascii="Arial" w:hAnsi="Arial" w:cs="Arial"/>
          <w:sz w:val="22"/>
          <w:szCs w:val="22"/>
          <w:lang w:val="en-GB"/>
        </w:rPr>
        <w:t>hat must be presented to the court in order to obtain moratorium protection order</w:t>
      </w:r>
      <w:r>
        <w:rPr>
          <w:rFonts w:ascii="Arial" w:hAnsi="Arial" w:cs="Arial"/>
          <w:sz w:val="22"/>
          <w:szCs w:val="22"/>
          <w:lang w:val="en-GB"/>
        </w:rPr>
        <w:t xml:space="preserve"> under section 64(1) IRDA?</w:t>
      </w:r>
    </w:p>
    <w:p w14:paraId="331B7D68" w14:textId="67361D90" w:rsidR="00384F62" w:rsidRDefault="00384F62" w:rsidP="00384F62">
      <w:pPr>
        <w:jc w:val="both"/>
        <w:rPr>
          <w:rFonts w:ascii="Arial" w:hAnsi="Arial" w:cs="Arial"/>
          <w:sz w:val="22"/>
          <w:szCs w:val="22"/>
          <w:lang w:val="en-GB"/>
        </w:rPr>
      </w:pPr>
    </w:p>
    <w:p w14:paraId="2038B12F" w14:textId="699B4B11" w:rsidR="00D768C0" w:rsidRDefault="00D768C0" w:rsidP="00D768C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company can </w:t>
      </w:r>
      <w:r w:rsidR="002A250F">
        <w:rPr>
          <w:rFonts w:ascii="Arial" w:hAnsi="Arial" w:cs="Arial"/>
          <w:color w:val="7B7B7B" w:themeColor="accent3" w:themeShade="BF"/>
          <w:sz w:val="22"/>
          <w:szCs w:val="22"/>
        </w:rPr>
        <w:t>apply for</w:t>
      </w:r>
      <w:r>
        <w:rPr>
          <w:rFonts w:ascii="Arial" w:hAnsi="Arial" w:cs="Arial"/>
          <w:color w:val="7B7B7B" w:themeColor="accent3" w:themeShade="BF"/>
          <w:sz w:val="22"/>
          <w:szCs w:val="22"/>
        </w:rPr>
        <w:t xml:space="preserve"> moratorium protection pursuant to section 64(1) IRDA while it proposes the restructuring plan to be implemented via a scheme of arrangement. The application to court must be accompanied by:</w:t>
      </w:r>
      <w:r>
        <w:rPr>
          <w:rStyle w:val="FootnoteReference"/>
          <w:rFonts w:ascii="Arial" w:hAnsi="Arial" w:cs="Arial"/>
          <w:color w:val="7B7B7B" w:themeColor="accent3" w:themeShade="BF"/>
          <w:sz w:val="22"/>
          <w:szCs w:val="22"/>
        </w:rPr>
        <w:footnoteReference w:id="13"/>
      </w:r>
    </w:p>
    <w:p w14:paraId="2100EE5D" w14:textId="3BC5172A" w:rsidR="00D768C0" w:rsidRDefault="00D768C0" w:rsidP="00D768C0">
      <w:pPr>
        <w:jc w:val="both"/>
        <w:rPr>
          <w:rFonts w:ascii="Arial" w:hAnsi="Arial" w:cs="Arial"/>
          <w:color w:val="7B7B7B" w:themeColor="accent3" w:themeShade="BF"/>
          <w:sz w:val="22"/>
          <w:szCs w:val="22"/>
        </w:rPr>
      </w:pPr>
    </w:p>
    <w:p w14:paraId="131674A3" w14:textId="79F04B60" w:rsidR="00D768C0" w:rsidRDefault="00D768C0" w:rsidP="00D768C0">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evidence of support from the company’s creditors for the intended or proposed scheme;</w:t>
      </w:r>
    </w:p>
    <w:p w14:paraId="6C1E1115" w14:textId="0BDF7C51" w:rsidR="00D768C0" w:rsidRDefault="00D768C0" w:rsidP="00D768C0">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 a case where the company has not proposed the scheme to creditors, a brief description of the intended scheme, with sufficient particulars to enable the Court to assess whether the intended scheme is feasible and merits consideration by the company’s creditors;</w:t>
      </w:r>
    </w:p>
    <w:p w14:paraId="17B0E082" w14:textId="3D621173" w:rsidR="00D768C0" w:rsidRDefault="00D768C0" w:rsidP="00D768C0">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list of every secured creditor of the company; and</w:t>
      </w:r>
    </w:p>
    <w:p w14:paraId="76442D8F" w14:textId="52895794" w:rsidR="00D768C0" w:rsidRPr="00D768C0" w:rsidRDefault="00D768C0" w:rsidP="00D768C0">
      <w:pPr>
        <w:pStyle w:val="ListParagraph"/>
        <w:numPr>
          <w:ilvl w:val="0"/>
          <w:numId w:val="2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list of all unsecured creditors who are not related to the company or, if there are more than 20 such unsecured creditors, a list of the 20 unsecured creditors whose claims against the company are the largest among the unsecured creditors.</w:t>
      </w:r>
    </w:p>
    <w:p w14:paraId="60D55860" w14:textId="4D6D549E" w:rsidR="00384F62" w:rsidRDefault="00384F62" w:rsidP="00384F62">
      <w:pPr>
        <w:jc w:val="both"/>
        <w:rPr>
          <w:rFonts w:ascii="Arial" w:hAnsi="Arial" w:cs="Arial"/>
          <w:sz w:val="22"/>
          <w:szCs w:val="22"/>
          <w:lang w:val="en-GB"/>
        </w:rPr>
      </w:pPr>
    </w:p>
    <w:p w14:paraId="01814E31" w14:textId="77777777" w:rsidR="00384F62" w:rsidRDefault="00384F62" w:rsidP="00384F62">
      <w:pPr>
        <w:jc w:val="both"/>
        <w:rPr>
          <w:rFonts w:ascii="Arial" w:hAnsi="Arial" w:cs="Arial"/>
          <w:sz w:val="22"/>
          <w:szCs w:val="22"/>
          <w:lang w:val="en-GB"/>
        </w:rPr>
      </w:pPr>
    </w:p>
    <w:p w14:paraId="581108A1" w14:textId="0F140BD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4.1.2 (2 marks)</w:t>
      </w:r>
    </w:p>
    <w:p w14:paraId="1889B5D4" w14:textId="76114F84" w:rsidR="00384F62" w:rsidRDefault="00384F62" w:rsidP="00384F62">
      <w:pPr>
        <w:jc w:val="both"/>
        <w:rPr>
          <w:rFonts w:ascii="Arial" w:hAnsi="Arial" w:cs="Arial"/>
          <w:sz w:val="22"/>
          <w:szCs w:val="22"/>
          <w:lang w:val="en-GB"/>
        </w:rPr>
      </w:pPr>
    </w:p>
    <w:p w14:paraId="4CF15B07" w14:textId="73AC5109" w:rsidR="00384F62" w:rsidRDefault="00384F62" w:rsidP="00384F62">
      <w:pPr>
        <w:jc w:val="both"/>
        <w:rPr>
          <w:rFonts w:ascii="Arial" w:hAnsi="Arial" w:cs="Arial"/>
          <w:sz w:val="22"/>
          <w:szCs w:val="22"/>
          <w:lang w:val="en-GB"/>
        </w:rPr>
      </w:pPr>
      <w:r w:rsidRPr="00384F62">
        <w:rPr>
          <w:rFonts w:ascii="Arial" w:hAnsi="Arial" w:cs="Arial"/>
          <w:sz w:val="22"/>
          <w:szCs w:val="22"/>
          <w:lang w:val="en-GB"/>
        </w:rPr>
        <w:t>What must be presented to the court in order to obtain moratorium protection order under section 65(1) IRDA?</w:t>
      </w:r>
    </w:p>
    <w:p w14:paraId="34ADB145" w14:textId="0676663B" w:rsidR="00384F62" w:rsidRDefault="00384F62" w:rsidP="00384F62">
      <w:pPr>
        <w:jc w:val="both"/>
        <w:rPr>
          <w:rFonts w:ascii="Arial" w:hAnsi="Arial" w:cs="Arial"/>
          <w:sz w:val="22"/>
          <w:szCs w:val="22"/>
          <w:lang w:val="en-GB"/>
        </w:rPr>
      </w:pPr>
    </w:p>
    <w:p w14:paraId="4B38391C" w14:textId="77777777" w:rsidR="002A250F" w:rsidRDefault="002A250F" w:rsidP="002A250F">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Where the court has made a moratorium protection under section 64(1) against a company (“subject company”), a company that is a subsidiary, holding company or ultimate holding company (collectively, “related company”) of the subject company may apply for moratorium protection order under section 65(1) IRDA. </w:t>
      </w:r>
    </w:p>
    <w:p w14:paraId="0F68CB77" w14:textId="77777777" w:rsidR="002A250F" w:rsidRDefault="002A250F" w:rsidP="002A250F">
      <w:pPr>
        <w:jc w:val="both"/>
        <w:rPr>
          <w:rFonts w:ascii="Arial" w:hAnsi="Arial" w:cs="Arial"/>
          <w:color w:val="7B7B7B" w:themeColor="accent3" w:themeShade="BF"/>
          <w:sz w:val="22"/>
          <w:szCs w:val="22"/>
        </w:rPr>
      </w:pPr>
    </w:p>
    <w:p w14:paraId="3CFEFA95" w14:textId="1239855F" w:rsidR="00384F62" w:rsidRPr="002A37BB" w:rsidRDefault="002A250F" w:rsidP="002A250F">
      <w:pPr>
        <w:jc w:val="both"/>
        <w:rPr>
          <w:rFonts w:ascii="Arial" w:hAnsi="Arial" w:cs="Arial"/>
          <w:sz w:val="22"/>
          <w:szCs w:val="22"/>
        </w:rPr>
      </w:pPr>
      <w:r>
        <w:rPr>
          <w:rFonts w:ascii="Arial" w:hAnsi="Arial" w:cs="Arial"/>
          <w:color w:val="7B7B7B" w:themeColor="accent3" w:themeShade="BF"/>
          <w:sz w:val="22"/>
          <w:szCs w:val="22"/>
        </w:rPr>
        <w:t xml:space="preserve">The application can only be made if shown that no order or resolution for winding-up has been made in respect of the related company, the section 64(1) order against the subject company is in force, the related company plays a necessary and integral role in the scheme of the subject company, the said scheme will be frustrated if the protection order is not granted for </w:t>
      </w:r>
      <w:r>
        <w:rPr>
          <w:rFonts w:ascii="Arial" w:hAnsi="Arial" w:cs="Arial"/>
          <w:color w:val="7B7B7B" w:themeColor="accent3" w:themeShade="BF"/>
          <w:sz w:val="22"/>
          <w:szCs w:val="22"/>
        </w:rPr>
        <w:lastRenderedPageBreak/>
        <w:t>the related company, and the court is satisfied the creditors of the related company will not be unfairly prejudiced by such order.</w:t>
      </w:r>
    </w:p>
    <w:p w14:paraId="073CA7D3" w14:textId="77777777" w:rsidR="00384F62" w:rsidRDefault="00384F62" w:rsidP="00384F62">
      <w:pPr>
        <w:jc w:val="both"/>
        <w:rPr>
          <w:rFonts w:ascii="Arial" w:hAnsi="Arial" w:cs="Arial"/>
          <w:sz w:val="22"/>
          <w:szCs w:val="22"/>
          <w:lang w:val="en-GB"/>
        </w:rPr>
      </w:pPr>
    </w:p>
    <w:p w14:paraId="7B6370B2" w14:textId="30E7609D" w:rsidR="00384F62" w:rsidRDefault="00384F62" w:rsidP="00384F62">
      <w:pPr>
        <w:jc w:val="both"/>
        <w:rPr>
          <w:rFonts w:ascii="Arial" w:hAnsi="Arial" w:cs="Arial"/>
          <w:sz w:val="22"/>
          <w:szCs w:val="22"/>
          <w:lang w:val="en-GB"/>
        </w:rPr>
      </w:pPr>
    </w:p>
    <w:p w14:paraId="37723BEE" w14:textId="70B52F50" w:rsidR="00384F62" w:rsidRPr="00384F62" w:rsidRDefault="00384F62" w:rsidP="00384F62">
      <w:pPr>
        <w:jc w:val="both"/>
        <w:rPr>
          <w:rFonts w:ascii="Arial" w:hAnsi="Arial" w:cs="Arial"/>
          <w:b/>
          <w:bCs/>
          <w:sz w:val="22"/>
          <w:szCs w:val="22"/>
          <w:lang w:val="en-GB"/>
        </w:rPr>
      </w:pPr>
      <w:r w:rsidRPr="00384F62">
        <w:rPr>
          <w:rFonts w:ascii="Arial" w:hAnsi="Arial" w:cs="Arial"/>
          <w:b/>
          <w:bCs/>
          <w:sz w:val="22"/>
          <w:szCs w:val="22"/>
          <w:lang w:val="en-GB"/>
        </w:rPr>
        <w:t>Question 4.1.3 (2 marks)</w:t>
      </w:r>
    </w:p>
    <w:p w14:paraId="623DF5AE" w14:textId="77777777" w:rsidR="00384F62" w:rsidRDefault="00384F62" w:rsidP="00384F62">
      <w:pPr>
        <w:pStyle w:val="ListParagraph"/>
        <w:ind w:left="426"/>
        <w:jc w:val="both"/>
        <w:rPr>
          <w:rFonts w:ascii="Arial" w:hAnsi="Arial" w:cs="Arial"/>
          <w:sz w:val="22"/>
          <w:szCs w:val="22"/>
          <w:lang w:val="en-GB"/>
        </w:rPr>
      </w:pPr>
    </w:p>
    <w:p w14:paraId="7E0701C1" w14:textId="096BB2CD" w:rsidR="00384F62" w:rsidRDefault="00384F62" w:rsidP="00384F62">
      <w:pPr>
        <w:jc w:val="both"/>
        <w:rPr>
          <w:rFonts w:ascii="Arial" w:hAnsi="Arial" w:cs="Arial"/>
          <w:sz w:val="22"/>
          <w:szCs w:val="22"/>
          <w:lang w:val="en-GB"/>
        </w:rPr>
      </w:pPr>
      <w:r w:rsidRPr="00384F62">
        <w:rPr>
          <w:rFonts w:ascii="Arial" w:hAnsi="Arial" w:cs="Arial"/>
          <w:sz w:val="22"/>
          <w:szCs w:val="22"/>
          <w:lang w:val="en-GB"/>
        </w:rPr>
        <w:t xml:space="preserve">Can the moratoria sought by </w:t>
      </w:r>
      <w:proofErr w:type="spellStart"/>
      <w:r w:rsidRPr="00384F62">
        <w:rPr>
          <w:rFonts w:ascii="Arial" w:hAnsi="Arial" w:cs="Arial"/>
          <w:sz w:val="22"/>
          <w:szCs w:val="22"/>
          <w:lang w:val="en-GB"/>
        </w:rPr>
        <w:t>Juniperus</w:t>
      </w:r>
      <w:proofErr w:type="spellEnd"/>
      <w:r w:rsidRPr="00384F62">
        <w:rPr>
          <w:rFonts w:ascii="Arial" w:hAnsi="Arial" w:cs="Arial"/>
          <w:sz w:val="22"/>
          <w:szCs w:val="22"/>
          <w:lang w:val="en-GB"/>
        </w:rPr>
        <w:t xml:space="preserve"> and Casuarina be ordered to have extra-territorial effect? If so, what acts and / or creditors will the moratori</w:t>
      </w:r>
      <w:r>
        <w:rPr>
          <w:rFonts w:ascii="Arial" w:hAnsi="Arial" w:cs="Arial"/>
          <w:sz w:val="22"/>
          <w:szCs w:val="22"/>
          <w:lang w:val="en-GB"/>
        </w:rPr>
        <w:t>a</w:t>
      </w:r>
      <w:r w:rsidRPr="00384F62">
        <w:rPr>
          <w:rFonts w:ascii="Arial" w:hAnsi="Arial" w:cs="Arial"/>
          <w:sz w:val="22"/>
          <w:szCs w:val="22"/>
          <w:lang w:val="en-GB"/>
        </w:rPr>
        <w:t xml:space="preserve"> apply to?</w:t>
      </w:r>
    </w:p>
    <w:p w14:paraId="562F9880" w14:textId="7AFA4E59" w:rsidR="00384F62" w:rsidRDefault="00384F62" w:rsidP="00384F62">
      <w:pPr>
        <w:jc w:val="both"/>
        <w:rPr>
          <w:rFonts w:ascii="Arial" w:hAnsi="Arial" w:cs="Arial"/>
          <w:sz w:val="22"/>
          <w:szCs w:val="22"/>
          <w:lang w:val="en-GB"/>
        </w:rPr>
      </w:pPr>
    </w:p>
    <w:p w14:paraId="5F8CDD94" w14:textId="3FABED18" w:rsidR="00534744" w:rsidRPr="00CA4754" w:rsidRDefault="00534744" w:rsidP="00CA475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moratoria sought by </w:t>
      </w:r>
      <w:proofErr w:type="spellStart"/>
      <w:r>
        <w:rPr>
          <w:rFonts w:ascii="Arial" w:hAnsi="Arial" w:cs="Arial"/>
          <w:color w:val="7B7B7B" w:themeColor="accent3" w:themeShade="BF"/>
          <w:sz w:val="22"/>
          <w:szCs w:val="22"/>
        </w:rPr>
        <w:t>Juniperus</w:t>
      </w:r>
      <w:proofErr w:type="spellEnd"/>
      <w:r>
        <w:rPr>
          <w:rFonts w:ascii="Arial" w:hAnsi="Arial" w:cs="Arial"/>
          <w:color w:val="7B7B7B" w:themeColor="accent3" w:themeShade="BF"/>
          <w:sz w:val="22"/>
          <w:szCs w:val="22"/>
        </w:rPr>
        <w:t xml:space="preserve"> and Casuarina may be ordered to apply to extra-territorial acts (i.e. that takes place outside Singapore)</w:t>
      </w:r>
      <w:r w:rsidR="00CA4754">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so long as the creditor was in Singapore or within the jurisdiction of the Court (see section 64(5) and 65(4), IRDA).</w:t>
      </w:r>
    </w:p>
    <w:p w14:paraId="6F9CA317" w14:textId="77777777" w:rsidR="00384F62" w:rsidRPr="00384F62" w:rsidRDefault="00384F62" w:rsidP="00384F62">
      <w:pPr>
        <w:jc w:val="both"/>
        <w:rPr>
          <w:rFonts w:ascii="Arial" w:hAnsi="Arial" w:cs="Arial"/>
          <w:sz w:val="22"/>
          <w:szCs w:val="22"/>
          <w:lang w:val="en-GB"/>
        </w:rPr>
      </w:pPr>
    </w:p>
    <w:p w14:paraId="6DDB3861" w14:textId="77777777" w:rsidR="00384F62" w:rsidRPr="004076F1" w:rsidRDefault="00384F62" w:rsidP="00384F62">
      <w:pPr>
        <w:pStyle w:val="ListParagraph"/>
        <w:ind w:left="426"/>
        <w:jc w:val="both"/>
        <w:rPr>
          <w:rFonts w:ascii="Arial" w:hAnsi="Arial" w:cs="Arial"/>
          <w:sz w:val="22"/>
          <w:szCs w:val="22"/>
          <w:lang w:val="en-GB"/>
        </w:rPr>
      </w:pPr>
    </w:p>
    <w:p w14:paraId="0E0ED767"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lang w:val="en-GB"/>
        </w:rPr>
        <w:t xml:space="preserve">Question 4.2 [maximum </w:t>
      </w:r>
      <w:r>
        <w:rPr>
          <w:rFonts w:ascii="Arial" w:hAnsi="Arial" w:cs="Arial"/>
          <w:b/>
          <w:bCs/>
          <w:sz w:val="22"/>
          <w:szCs w:val="22"/>
          <w:lang w:val="en-GB"/>
        </w:rPr>
        <w:t>9</w:t>
      </w:r>
      <w:r w:rsidRPr="004076F1">
        <w:rPr>
          <w:rFonts w:ascii="Arial" w:hAnsi="Arial" w:cs="Arial"/>
          <w:b/>
          <w:bCs/>
          <w:sz w:val="22"/>
          <w:szCs w:val="22"/>
          <w:lang w:val="en-GB"/>
        </w:rPr>
        <w:t xml:space="preserve"> marks in total]</w:t>
      </w:r>
    </w:p>
    <w:p w14:paraId="6A6A4F20" w14:textId="77777777" w:rsidR="00384F62" w:rsidRPr="004076F1" w:rsidRDefault="00384F62" w:rsidP="00384F62">
      <w:pPr>
        <w:jc w:val="both"/>
        <w:rPr>
          <w:rFonts w:ascii="Arial" w:hAnsi="Arial" w:cs="Arial"/>
          <w:sz w:val="22"/>
          <w:szCs w:val="22"/>
          <w:lang w:val="en-GB"/>
        </w:rPr>
      </w:pPr>
    </w:p>
    <w:p w14:paraId="0B6A6E1F" w14:textId="6CD99A66"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As things transpired, </w:t>
      </w:r>
      <w:proofErr w:type="spellStart"/>
      <w:r w:rsidRPr="004076F1">
        <w:rPr>
          <w:rFonts w:ascii="Arial" w:hAnsi="Arial" w:cs="Arial"/>
          <w:sz w:val="22"/>
          <w:szCs w:val="22"/>
          <w:lang w:val="en-GB"/>
        </w:rPr>
        <w:t>Juniperus</w:t>
      </w:r>
      <w:proofErr w:type="spellEnd"/>
      <w:r w:rsidRPr="004076F1">
        <w:rPr>
          <w:rFonts w:ascii="Arial" w:hAnsi="Arial" w:cs="Arial"/>
          <w:sz w:val="22"/>
          <w:szCs w:val="22"/>
          <w:lang w:val="en-GB"/>
        </w:rPr>
        <w:t xml:space="preserve"> and Casuarina were granted moratorium protection for a period of three (3) months and are expected to apply for an extension to this moratorium period for an additional six (6) months upon expiry of the original three</w:t>
      </w:r>
      <w:r>
        <w:rPr>
          <w:rFonts w:ascii="Arial" w:hAnsi="Arial" w:cs="Arial"/>
          <w:sz w:val="22"/>
          <w:szCs w:val="22"/>
          <w:lang w:val="en-GB"/>
        </w:rPr>
        <w:t>-</w:t>
      </w:r>
      <w:r w:rsidRPr="004076F1">
        <w:rPr>
          <w:rFonts w:ascii="Arial" w:hAnsi="Arial" w:cs="Arial"/>
          <w:sz w:val="22"/>
          <w:szCs w:val="22"/>
          <w:lang w:val="en-GB"/>
        </w:rPr>
        <w:t xml:space="preserve"> (3) month period. The working group of </w:t>
      </w:r>
      <w:r>
        <w:rPr>
          <w:rFonts w:ascii="Arial" w:hAnsi="Arial" w:cs="Arial"/>
          <w:sz w:val="22"/>
          <w:szCs w:val="22"/>
          <w:lang w:val="en-GB"/>
        </w:rPr>
        <w:t>b</w:t>
      </w:r>
      <w:r w:rsidRPr="004076F1">
        <w:rPr>
          <w:rFonts w:ascii="Arial" w:hAnsi="Arial" w:cs="Arial"/>
          <w:sz w:val="22"/>
          <w:szCs w:val="22"/>
          <w:lang w:val="en-GB"/>
        </w:rPr>
        <w:t>ondholders intends to oppose any extension application.</w:t>
      </w:r>
    </w:p>
    <w:p w14:paraId="0D0F5988" w14:textId="77777777" w:rsidR="00384F62" w:rsidRPr="004076F1" w:rsidRDefault="00384F62" w:rsidP="00384F62">
      <w:pPr>
        <w:jc w:val="both"/>
        <w:rPr>
          <w:rFonts w:ascii="Arial" w:hAnsi="Arial" w:cs="Arial"/>
          <w:sz w:val="22"/>
          <w:szCs w:val="22"/>
          <w:lang w:val="en-GB"/>
        </w:rPr>
      </w:pPr>
    </w:p>
    <w:p w14:paraId="20EA67B6"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The </w:t>
      </w:r>
      <w:r>
        <w:rPr>
          <w:rFonts w:ascii="Arial" w:hAnsi="Arial" w:cs="Arial"/>
          <w:sz w:val="22"/>
          <w:szCs w:val="22"/>
          <w:lang w:val="en-GB"/>
        </w:rPr>
        <w:t>b</w:t>
      </w:r>
      <w:r w:rsidRPr="004076F1">
        <w:rPr>
          <w:rFonts w:ascii="Arial" w:hAnsi="Arial" w:cs="Arial"/>
          <w:sz w:val="22"/>
          <w:szCs w:val="22"/>
          <w:lang w:val="en-GB"/>
        </w:rPr>
        <w:t xml:space="preserve">ondholders have instructed the </w:t>
      </w:r>
      <w:proofErr w:type="spellStart"/>
      <w:r w:rsidRPr="000E38B9">
        <w:rPr>
          <w:rFonts w:ascii="Arial" w:hAnsi="Arial" w:cs="Arial"/>
          <w:sz w:val="22"/>
          <w:szCs w:val="22"/>
          <w:lang w:val="en-GB"/>
        </w:rPr>
        <w:t>Juniperus</w:t>
      </w:r>
      <w:proofErr w:type="spellEnd"/>
      <w:r w:rsidRPr="000E38B9">
        <w:rPr>
          <w:rFonts w:ascii="Arial" w:hAnsi="Arial" w:cs="Arial"/>
          <w:sz w:val="22"/>
          <w:szCs w:val="22"/>
          <w:lang w:val="en-GB"/>
        </w:rPr>
        <w:t xml:space="preserve"> </w:t>
      </w:r>
      <w:r w:rsidRPr="004076F1">
        <w:rPr>
          <w:rFonts w:ascii="Arial" w:hAnsi="Arial" w:cs="Arial"/>
          <w:sz w:val="22"/>
          <w:szCs w:val="22"/>
          <w:lang w:val="en-GB"/>
        </w:rPr>
        <w:t xml:space="preserve">Bonds' trustee under the relevant indenture to be ready to enforce their security over the shares in Casuarina as soon as practicable. The </w:t>
      </w:r>
      <w:proofErr w:type="spellStart"/>
      <w:r w:rsidRPr="00F15BB8">
        <w:rPr>
          <w:rFonts w:ascii="Arial" w:hAnsi="Arial" w:cs="Arial"/>
          <w:sz w:val="22"/>
          <w:szCs w:val="22"/>
          <w:lang w:val="en-GB"/>
        </w:rPr>
        <w:t>Juniperus</w:t>
      </w:r>
      <w:proofErr w:type="spellEnd"/>
      <w:r w:rsidRPr="00F15BB8">
        <w:rPr>
          <w:rFonts w:ascii="Arial" w:hAnsi="Arial" w:cs="Arial"/>
          <w:sz w:val="22"/>
          <w:szCs w:val="22"/>
          <w:lang w:val="en-GB"/>
        </w:rPr>
        <w:t xml:space="preserve"> </w:t>
      </w:r>
      <w:r w:rsidRPr="004076F1">
        <w:rPr>
          <w:rFonts w:ascii="Arial" w:hAnsi="Arial" w:cs="Arial"/>
          <w:sz w:val="22"/>
          <w:szCs w:val="22"/>
          <w:lang w:val="en-GB"/>
        </w:rPr>
        <w:t xml:space="preserve">Bonds appear to be traded heavily in the market, with private equity funds looking to buy up significant stakes in order to enforce the security over shares in Casuarina.  </w:t>
      </w:r>
    </w:p>
    <w:p w14:paraId="5B997886" w14:textId="77777777" w:rsidR="00384F62" w:rsidRPr="004076F1" w:rsidRDefault="00384F62" w:rsidP="00384F62">
      <w:pPr>
        <w:jc w:val="both"/>
        <w:rPr>
          <w:rFonts w:ascii="Arial" w:hAnsi="Arial" w:cs="Arial"/>
          <w:sz w:val="22"/>
          <w:szCs w:val="22"/>
          <w:lang w:val="en-GB"/>
        </w:rPr>
      </w:pPr>
    </w:p>
    <w:p w14:paraId="29B18A7E" w14:textId="77777777" w:rsidR="00384F62" w:rsidRPr="004076F1" w:rsidRDefault="00384F62" w:rsidP="00384F62">
      <w:pPr>
        <w:jc w:val="both"/>
        <w:rPr>
          <w:rFonts w:ascii="Arial" w:hAnsi="Arial" w:cs="Arial"/>
          <w:sz w:val="22"/>
          <w:szCs w:val="22"/>
          <w:lang w:val="en-GB"/>
        </w:rPr>
      </w:pPr>
      <w:r w:rsidRPr="004076F1">
        <w:rPr>
          <w:rFonts w:ascii="Arial" w:hAnsi="Arial" w:cs="Arial"/>
          <w:sz w:val="22"/>
          <w:szCs w:val="22"/>
          <w:lang w:val="en-GB"/>
        </w:rPr>
        <w:t xml:space="preserve">To try and protect against this risk, Angostura </w:t>
      </w:r>
      <w:r>
        <w:rPr>
          <w:rFonts w:ascii="Arial" w:hAnsi="Arial" w:cs="Arial"/>
          <w:sz w:val="22"/>
          <w:szCs w:val="22"/>
          <w:lang w:val="en-GB"/>
        </w:rPr>
        <w:t>also</w:t>
      </w:r>
      <w:r w:rsidRPr="004076F1">
        <w:rPr>
          <w:rFonts w:ascii="Arial" w:hAnsi="Arial" w:cs="Arial"/>
          <w:sz w:val="22"/>
          <w:szCs w:val="22"/>
          <w:lang w:val="en-GB"/>
        </w:rPr>
        <w:t xml:space="preserve"> commenced local insolvency proceedings and emergency recognition proceedings in the United States. </w:t>
      </w:r>
    </w:p>
    <w:p w14:paraId="1B1AC723" w14:textId="77777777" w:rsidR="00384F62" w:rsidRPr="004076F1" w:rsidRDefault="00384F62" w:rsidP="00384F62">
      <w:pPr>
        <w:jc w:val="both"/>
        <w:rPr>
          <w:rFonts w:ascii="Arial" w:hAnsi="Arial" w:cs="Arial"/>
          <w:sz w:val="22"/>
          <w:szCs w:val="22"/>
          <w:lang w:val="en-GB"/>
        </w:rPr>
      </w:pPr>
    </w:p>
    <w:p w14:paraId="6D564881" w14:textId="77777777" w:rsidR="00384F62" w:rsidRPr="004076F1" w:rsidRDefault="00384F62" w:rsidP="00384F62">
      <w:pPr>
        <w:jc w:val="both"/>
        <w:rPr>
          <w:rFonts w:ascii="Arial" w:hAnsi="Arial" w:cs="Arial"/>
          <w:b/>
          <w:bCs/>
          <w:sz w:val="22"/>
          <w:szCs w:val="22"/>
          <w:lang w:val="en-GB"/>
        </w:rPr>
      </w:pPr>
      <w:r w:rsidRPr="004076F1">
        <w:rPr>
          <w:rFonts w:ascii="Arial" w:hAnsi="Arial" w:cs="Arial"/>
          <w:b/>
          <w:bCs/>
          <w:sz w:val="22"/>
          <w:szCs w:val="22"/>
          <w:u w:val="single"/>
          <w:lang w:val="en-GB"/>
        </w:rPr>
        <w:t>Taking these additional facts above into consideration, answer the questions below</w:t>
      </w:r>
      <w:r w:rsidRPr="004076F1">
        <w:rPr>
          <w:rFonts w:ascii="Arial" w:hAnsi="Arial" w:cs="Arial"/>
          <w:b/>
          <w:bCs/>
          <w:sz w:val="22"/>
          <w:szCs w:val="22"/>
          <w:lang w:val="en-GB"/>
        </w:rPr>
        <w:t>.</w:t>
      </w:r>
    </w:p>
    <w:p w14:paraId="22285EF2" w14:textId="77777777" w:rsidR="00384F62" w:rsidRDefault="00384F62" w:rsidP="00384F62">
      <w:pPr>
        <w:jc w:val="both"/>
        <w:rPr>
          <w:rFonts w:ascii="Arial" w:hAnsi="Arial" w:cs="Arial"/>
          <w:sz w:val="22"/>
          <w:szCs w:val="22"/>
          <w:lang w:val="en-GB"/>
        </w:rPr>
      </w:pPr>
    </w:p>
    <w:p w14:paraId="01CF3AEA"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1</w:t>
      </w:r>
      <w:r w:rsidRPr="004076F1">
        <w:rPr>
          <w:rFonts w:ascii="Arial" w:hAnsi="Arial" w:cs="Arial"/>
          <w:b/>
          <w:bCs/>
          <w:sz w:val="22"/>
          <w:szCs w:val="22"/>
          <w:lang w:val="en-GB"/>
        </w:rPr>
        <w:t xml:space="preserve"> [maximum</w:t>
      </w:r>
      <w:r>
        <w:rPr>
          <w:rFonts w:ascii="Arial" w:hAnsi="Arial" w:cs="Arial"/>
          <w:b/>
          <w:bCs/>
          <w:sz w:val="22"/>
          <w:szCs w:val="22"/>
          <w:lang w:val="en-GB"/>
        </w:rPr>
        <w:t xml:space="preserve"> 5</w:t>
      </w:r>
      <w:r w:rsidRPr="004076F1">
        <w:rPr>
          <w:rFonts w:ascii="Arial" w:hAnsi="Arial" w:cs="Arial"/>
          <w:b/>
          <w:bCs/>
          <w:sz w:val="22"/>
          <w:szCs w:val="22"/>
          <w:lang w:val="en-GB"/>
        </w:rPr>
        <w:t xml:space="preserve"> marks]</w:t>
      </w:r>
    </w:p>
    <w:p w14:paraId="0613E40D" w14:textId="77777777" w:rsidR="00384F62" w:rsidRDefault="00384F62" w:rsidP="00384F62">
      <w:pPr>
        <w:jc w:val="both"/>
        <w:rPr>
          <w:rFonts w:ascii="Arial" w:hAnsi="Arial" w:cs="Arial"/>
          <w:sz w:val="22"/>
          <w:szCs w:val="22"/>
          <w:lang w:val="en-GB"/>
        </w:rPr>
      </w:pPr>
    </w:p>
    <w:p w14:paraId="44206D50" w14:textId="2CB6B82D" w:rsidR="00384F62" w:rsidRPr="00732B9F" w:rsidRDefault="00384F62" w:rsidP="00384F62">
      <w:pPr>
        <w:jc w:val="both"/>
        <w:rPr>
          <w:lang w:val="en-GB"/>
        </w:rPr>
      </w:pPr>
      <w:r w:rsidRPr="00621D8F">
        <w:rPr>
          <w:rFonts w:ascii="Arial" w:hAnsi="Arial" w:cs="Arial"/>
          <w:sz w:val="22"/>
          <w:szCs w:val="22"/>
          <w:lang w:val="en-GB"/>
        </w:rPr>
        <w:t>What are the steps that need to be taken in order to launch a subsequent scheme of arrangement</w:t>
      </w:r>
      <w:r>
        <w:rPr>
          <w:rFonts w:ascii="Arial" w:hAnsi="Arial" w:cs="Arial"/>
          <w:sz w:val="22"/>
          <w:szCs w:val="22"/>
          <w:lang w:val="en-GB"/>
        </w:rPr>
        <w:t xml:space="preserve"> under section 210 of the Companies Act? How does the process for a scheme proposed under section 210 of the Companies Act differ from a prepack scheme proposed under section 71(1) of the IRDA</w:t>
      </w:r>
      <w:r w:rsidRPr="00621D8F">
        <w:rPr>
          <w:rFonts w:ascii="Arial" w:hAnsi="Arial" w:cs="Arial"/>
          <w:sz w:val="22"/>
          <w:szCs w:val="22"/>
          <w:lang w:val="en-GB"/>
        </w:rPr>
        <w:t xml:space="preserve">? </w:t>
      </w:r>
    </w:p>
    <w:p w14:paraId="2B0E7570" w14:textId="78C46E29" w:rsidR="00384F62" w:rsidRDefault="00384F62" w:rsidP="00384F62">
      <w:pPr>
        <w:jc w:val="both"/>
        <w:rPr>
          <w:rFonts w:ascii="Arial" w:hAnsi="Arial" w:cs="Arial"/>
          <w:b/>
          <w:bCs/>
          <w:sz w:val="22"/>
          <w:szCs w:val="22"/>
          <w:lang w:val="en-GB"/>
        </w:rPr>
      </w:pPr>
    </w:p>
    <w:p w14:paraId="3146E797" w14:textId="1AF7D2ED" w:rsidR="00384F62" w:rsidRDefault="00F54438" w:rsidP="00F54438">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applies to Court for leave to convene a creditors’ meeting for the purpose to consider approving the scheme proposed by the company. At the creditor’s meeting(s) convened by the Court, the scheme must be approved by a majority in number (representing three quarters in value) of each class of creditors present and voting. Thereafter, the company will need to apply to obtain sanction of the court for the scheme. Once the court sanctions the scheme and the order is lodged with the Registrar of Companies, it is binding on all creditors.</w:t>
      </w:r>
    </w:p>
    <w:p w14:paraId="30639774" w14:textId="77B6104F" w:rsidR="00F54438" w:rsidRDefault="00F54438" w:rsidP="00F54438">
      <w:pPr>
        <w:jc w:val="both"/>
        <w:rPr>
          <w:rFonts w:ascii="Arial" w:hAnsi="Arial" w:cs="Arial"/>
          <w:color w:val="7B7B7B" w:themeColor="accent3" w:themeShade="BF"/>
          <w:sz w:val="22"/>
          <w:szCs w:val="22"/>
        </w:rPr>
      </w:pPr>
    </w:p>
    <w:p w14:paraId="22C3169A" w14:textId="44A3A7D4" w:rsidR="00384F62" w:rsidRPr="00EC4A00" w:rsidRDefault="00F54438" w:rsidP="00384F6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 prepack scheme proposed under section 71(1) of IRDA, </w:t>
      </w:r>
      <w:r w:rsidR="00EC4A00">
        <w:rPr>
          <w:rFonts w:ascii="Arial" w:hAnsi="Arial" w:cs="Arial"/>
          <w:color w:val="7B7B7B" w:themeColor="accent3" w:themeShade="BF"/>
          <w:sz w:val="22"/>
          <w:szCs w:val="22"/>
        </w:rPr>
        <w:t>the Court may approve a proposed scheme even though no meeting of creditors have been ordered. In order to succeed in such application, the company must satisfy the Court that had a creditors’ meeting been convened, the proposed scheme would be approved by the required majority. Aside from that, such scheme cannot be approved by the Court unless the company have provided each creditor with sufficient information on the proposed scheme (as set out in paragraph 71(3)(a) IRDA), the company has published notice of application in the gazette and one English local daily newspaper, and given notice and copy of the application to each creditor.</w:t>
      </w:r>
      <w:r w:rsidR="00EC4A00">
        <w:rPr>
          <w:rStyle w:val="FootnoteReference"/>
          <w:rFonts w:ascii="Arial" w:hAnsi="Arial" w:cs="Arial"/>
          <w:color w:val="7B7B7B" w:themeColor="accent3" w:themeShade="BF"/>
          <w:sz w:val="22"/>
          <w:szCs w:val="22"/>
        </w:rPr>
        <w:footnoteReference w:id="14"/>
      </w:r>
    </w:p>
    <w:p w14:paraId="64BC1D01" w14:textId="77777777" w:rsidR="00384F62" w:rsidRPr="004076F1" w:rsidRDefault="00384F62" w:rsidP="00384F62">
      <w:pPr>
        <w:jc w:val="both"/>
        <w:rPr>
          <w:rFonts w:ascii="Arial" w:hAnsi="Arial" w:cs="Arial"/>
          <w:sz w:val="22"/>
          <w:szCs w:val="22"/>
          <w:lang w:val="en-GB"/>
        </w:rPr>
      </w:pPr>
    </w:p>
    <w:p w14:paraId="1FB1AEF8" w14:textId="77777777" w:rsidR="00384F62" w:rsidRDefault="00384F62" w:rsidP="00384F62">
      <w:pPr>
        <w:jc w:val="both"/>
        <w:rPr>
          <w:rFonts w:ascii="Arial" w:hAnsi="Arial" w:cs="Arial"/>
          <w:b/>
          <w:bCs/>
          <w:sz w:val="22"/>
          <w:szCs w:val="22"/>
          <w:lang w:val="en-GB"/>
        </w:rPr>
      </w:pPr>
      <w:r w:rsidRPr="004076F1">
        <w:rPr>
          <w:rFonts w:ascii="Arial" w:hAnsi="Arial" w:cs="Arial"/>
          <w:b/>
          <w:bCs/>
          <w:sz w:val="22"/>
          <w:szCs w:val="22"/>
          <w:lang w:val="en-GB"/>
        </w:rPr>
        <w:t>Question 4.2.</w:t>
      </w:r>
      <w:r>
        <w:rPr>
          <w:rFonts w:ascii="Arial" w:hAnsi="Arial" w:cs="Arial"/>
          <w:b/>
          <w:bCs/>
          <w:sz w:val="22"/>
          <w:szCs w:val="22"/>
          <w:lang w:val="en-GB"/>
        </w:rPr>
        <w:t>2</w:t>
      </w:r>
      <w:r w:rsidRPr="004076F1">
        <w:rPr>
          <w:rFonts w:ascii="Arial" w:hAnsi="Arial" w:cs="Arial"/>
          <w:b/>
          <w:bCs/>
          <w:sz w:val="22"/>
          <w:szCs w:val="22"/>
          <w:lang w:val="en-GB"/>
        </w:rPr>
        <w:t xml:space="preserve"> [maximum </w:t>
      </w:r>
      <w:r>
        <w:rPr>
          <w:rFonts w:ascii="Arial" w:hAnsi="Arial" w:cs="Arial"/>
          <w:b/>
          <w:bCs/>
          <w:sz w:val="22"/>
          <w:szCs w:val="22"/>
          <w:lang w:val="en-GB"/>
        </w:rPr>
        <w:t>2</w:t>
      </w:r>
      <w:r w:rsidRPr="004076F1">
        <w:rPr>
          <w:rFonts w:ascii="Arial" w:hAnsi="Arial" w:cs="Arial"/>
          <w:b/>
          <w:bCs/>
          <w:sz w:val="22"/>
          <w:szCs w:val="22"/>
          <w:lang w:val="en-GB"/>
        </w:rPr>
        <w:t xml:space="preserve"> marks]</w:t>
      </w:r>
    </w:p>
    <w:p w14:paraId="7E922061" w14:textId="77777777" w:rsidR="00384F62" w:rsidRDefault="00384F62" w:rsidP="00384F62">
      <w:pPr>
        <w:jc w:val="both"/>
        <w:rPr>
          <w:rFonts w:ascii="Arial" w:hAnsi="Arial" w:cs="Arial"/>
          <w:sz w:val="22"/>
          <w:szCs w:val="22"/>
          <w:lang w:val="en-GB"/>
        </w:rPr>
      </w:pPr>
    </w:p>
    <w:p w14:paraId="46F12399" w14:textId="082F56F0" w:rsidR="00384F62" w:rsidRDefault="00384F62" w:rsidP="00384F62">
      <w:pPr>
        <w:jc w:val="both"/>
        <w:rPr>
          <w:rFonts w:ascii="Arial" w:hAnsi="Arial" w:cs="Arial"/>
          <w:sz w:val="22"/>
          <w:szCs w:val="22"/>
          <w:lang w:val="en-GB"/>
        </w:rPr>
      </w:pPr>
      <w:r w:rsidRPr="006A1313">
        <w:rPr>
          <w:rFonts w:ascii="Arial" w:hAnsi="Arial" w:cs="Arial"/>
          <w:sz w:val="22"/>
          <w:szCs w:val="22"/>
          <w:lang w:val="en-GB"/>
        </w:rPr>
        <w:t>What requirements must be satisfied in order for the Angostura Group to be able to access rescue financing under the IRDA</w:t>
      </w:r>
      <w:r w:rsidRPr="00621D8F">
        <w:rPr>
          <w:rFonts w:ascii="Arial" w:hAnsi="Arial" w:cs="Arial"/>
          <w:sz w:val="22"/>
          <w:szCs w:val="22"/>
          <w:lang w:val="en-GB"/>
        </w:rPr>
        <w:t>?</w:t>
      </w:r>
    </w:p>
    <w:p w14:paraId="1B26E8D1" w14:textId="3EBE532C" w:rsidR="00384F62" w:rsidRDefault="00384F62" w:rsidP="00384F62">
      <w:pPr>
        <w:jc w:val="both"/>
        <w:rPr>
          <w:rFonts w:ascii="Arial" w:hAnsi="Arial" w:cs="Arial"/>
          <w:sz w:val="22"/>
          <w:szCs w:val="22"/>
          <w:lang w:val="en-GB"/>
        </w:rPr>
      </w:pPr>
    </w:p>
    <w:p w14:paraId="1E6F00D5" w14:textId="2FFCEFED" w:rsidR="00EC4A00" w:rsidRDefault="00EC4A00" w:rsidP="00EC4A0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For Angostura Group to be able to access rescue financing under IRDA, it must apply to court and show that:</w:t>
      </w:r>
    </w:p>
    <w:p w14:paraId="720F4874" w14:textId="77777777" w:rsidR="00EC4A00" w:rsidRDefault="00EC4A00" w:rsidP="00EC4A00">
      <w:pPr>
        <w:jc w:val="both"/>
        <w:rPr>
          <w:rFonts w:ascii="Arial" w:hAnsi="Arial" w:cs="Arial"/>
          <w:color w:val="7B7B7B" w:themeColor="accent3" w:themeShade="BF"/>
          <w:sz w:val="22"/>
          <w:szCs w:val="22"/>
        </w:rPr>
      </w:pPr>
    </w:p>
    <w:p w14:paraId="066B3754" w14:textId="02A03C5B" w:rsidR="00384F62" w:rsidRPr="00EC4A00" w:rsidRDefault="00EC4A00" w:rsidP="00EC4A00">
      <w:pPr>
        <w:pStyle w:val="ListParagraph"/>
        <w:numPr>
          <w:ilvl w:val="0"/>
          <w:numId w:val="22"/>
        </w:numPr>
        <w:jc w:val="both"/>
        <w:rPr>
          <w:rFonts w:ascii="Arial" w:hAnsi="Arial" w:cs="Arial"/>
          <w:sz w:val="22"/>
          <w:szCs w:val="22"/>
        </w:rPr>
      </w:pPr>
      <w:r w:rsidRPr="00EC4A00">
        <w:rPr>
          <w:rFonts w:ascii="Arial" w:hAnsi="Arial" w:cs="Arial"/>
          <w:color w:val="7B7B7B" w:themeColor="accent3" w:themeShade="BF"/>
          <w:sz w:val="22"/>
          <w:szCs w:val="22"/>
        </w:rPr>
        <w:t>the funds provided are necessary for the company’s survival</w:t>
      </w:r>
      <w:r w:rsidR="00AC6AF0">
        <w:rPr>
          <w:rFonts w:ascii="Arial" w:hAnsi="Arial" w:cs="Arial"/>
          <w:color w:val="7B7B7B" w:themeColor="accent3" w:themeShade="BF"/>
          <w:sz w:val="22"/>
          <w:szCs w:val="22"/>
        </w:rPr>
        <w:t>,</w:t>
      </w:r>
      <w:r w:rsidRPr="00EC4A00">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or for the whole or any part of the undertaking of that company to remain as a going concern; or</w:t>
      </w:r>
    </w:p>
    <w:p w14:paraId="190EE287" w14:textId="295843D4" w:rsidR="00384F62" w:rsidRPr="00AC6AF0" w:rsidRDefault="00EC4A00" w:rsidP="00384F62">
      <w:pPr>
        <w:pStyle w:val="ListParagraph"/>
        <w:numPr>
          <w:ilvl w:val="0"/>
          <w:numId w:val="22"/>
        </w:numPr>
        <w:jc w:val="both"/>
        <w:rPr>
          <w:rFonts w:ascii="Arial" w:hAnsi="Arial" w:cs="Arial"/>
          <w:color w:val="808080" w:themeColor="background1" w:themeShade="80"/>
          <w:sz w:val="22"/>
          <w:szCs w:val="22"/>
        </w:rPr>
      </w:pPr>
      <w:r w:rsidRPr="00EC4A00">
        <w:rPr>
          <w:rFonts w:ascii="Arial" w:hAnsi="Arial" w:cs="Arial"/>
          <w:color w:val="808080" w:themeColor="background1" w:themeShade="80"/>
          <w:sz w:val="22"/>
          <w:szCs w:val="22"/>
        </w:rPr>
        <w:t xml:space="preserve">the </w:t>
      </w:r>
      <w:r>
        <w:rPr>
          <w:rFonts w:ascii="Arial" w:hAnsi="Arial" w:cs="Arial"/>
          <w:color w:val="808080" w:themeColor="background1" w:themeShade="80"/>
          <w:sz w:val="22"/>
          <w:szCs w:val="22"/>
        </w:rPr>
        <w:t xml:space="preserve">funds provided are necessary to achieve a more advantageous realization of the company’s assets </w:t>
      </w:r>
      <w:r w:rsidR="00AC6AF0">
        <w:rPr>
          <w:rFonts w:ascii="Arial" w:hAnsi="Arial" w:cs="Arial"/>
          <w:color w:val="808080" w:themeColor="background1" w:themeShade="80"/>
          <w:sz w:val="22"/>
          <w:szCs w:val="22"/>
        </w:rPr>
        <w:t>than in winding-up.</w:t>
      </w:r>
    </w:p>
    <w:p w14:paraId="23674BCC" w14:textId="77777777" w:rsidR="00384F62" w:rsidRPr="00621D8F" w:rsidRDefault="00384F62" w:rsidP="00384F62">
      <w:pPr>
        <w:jc w:val="both"/>
        <w:rPr>
          <w:rFonts w:ascii="Arial" w:hAnsi="Arial" w:cs="Arial"/>
          <w:sz w:val="22"/>
          <w:szCs w:val="22"/>
          <w:lang w:val="en-GB"/>
        </w:rPr>
      </w:pPr>
    </w:p>
    <w:p w14:paraId="2BEF6FE3" w14:textId="77777777" w:rsidR="00384F62" w:rsidRDefault="00384F62" w:rsidP="00384F62">
      <w:pPr>
        <w:jc w:val="both"/>
        <w:rPr>
          <w:rFonts w:ascii="Arial" w:hAnsi="Arial" w:cs="Arial"/>
          <w:b/>
          <w:bCs/>
          <w:sz w:val="22"/>
          <w:szCs w:val="22"/>
          <w:lang w:val="en-GB"/>
        </w:rPr>
      </w:pPr>
    </w:p>
    <w:p w14:paraId="1BA41FFF" w14:textId="77777777" w:rsidR="00384F62" w:rsidRPr="005C529D" w:rsidRDefault="00384F62" w:rsidP="00384F62">
      <w:pPr>
        <w:jc w:val="both"/>
        <w:rPr>
          <w:rFonts w:ascii="Arial" w:hAnsi="Arial" w:cs="Arial"/>
          <w:b/>
          <w:bCs/>
          <w:sz w:val="22"/>
          <w:szCs w:val="22"/>
          <w:lang w:val="en-GB"/>
        </w:rPr>
      </w:pPr>
      <w:r w:rsidRPr="007C23F2">
        <w:rPr>
          <w:rFonts w:ascii="Arial" w:hAnsi="Arial" w:cs="Arial"/>
          <w:b/>
          <w:bCs/>
          <w:sz w:val="22"/>
          <w:szCs w:val="22"/>
          <w:lang w:val="en-GB"/>
        </w:rPr>
        <w:t>Question 4.2.</w:t>
      </w:r>
      <w:r>
        <w:rPr>
          <w:rFonts w:ascii="Arial" w:hAnsi="Arial" w:cs="Arial"/>
          <w:b/>
          <w:bCs/>
          <w:sz w:val="22"/>
          <w:szCs w:val="22"/>
          <w:lang w:val="en-GB"/>
        </w:rPr>
        <w:t>3</w:t>
      </w:r>
      <w:r w:rsidRPr="007C23F2">
        <w:rPr>
          <w:rFonts w:ascii="Arial" w:hAnsi="Arial" w:cs="Arial"/>
          <w:b/>
          <w:bCs/>
          <w:sz w:val="22"/>
          <w:szCs w:val="22"/>
          <w:lang w:val="en-GB"/>
        </w:rPr>
        <w:t xml:space="preserve"> [maximum </w:t>
      </w:r>
      <w:r>
        <w:rPr>
          <w:rFonts w:ascii="Arial" w:hAnsi="Arial" w:cs="Arial"/>
          <w:b/>
          <w:bCs/>
          <w:sz w:val="22"/>
          <w:szCs w:val="22"/>
          <w:lang w:val="en-GB"/>
        </w:rPr>
        <w:t xml:space="preserve">2 </w:t>
      </w:r>
      <w:r w:rsidRPr="007C23F2">
        <w:rPr>
          <w:rFonts w:ascii="Arial" w:hAnsi="Arial" w:cs="Arial"/>
          <w:b/>
          <w:bCs/>
          <w:sz w:val="22"/>
          <w:szCs w:val="22"/>
          <w:lang w:val="en-GB"/>
        </w:rPr>
        <w:t>marks]</w:t>
      </w:r>
    </w:p>
    <w:p w14:paraId="026C4CE3" w14:textId="77777777" w:rsidR="00384F62" w:rsidRDefault="00384F62" w:rsidP="00384F62">
      <w:pPr>
        <w:jc w:val="both"/>
        <w:rPr>
          <w:rFonts w:ascii="Arial" w:hAnsi="Arial" w:cs="Arial"/>
          <w:sz w:val="22"/>
          <w:szCs w:val="22"/>
          <w:lang w:val="en-GB"/>
        </w:rPr>
      </w:pPr>
    </w:p>
    <w:p w14:paraId="0FCE4C60" w14:textId="77777777" w:rsidR="00384F62" w:rsidRPr="00DC5178" w:rsidRDefault="00384F62" w:rsidP="00384F62">
      <w:pPr>
        <w:jc w:val="both"/>
        <w:rPr>
          <w:rFonts w:ascii="Arial" w:hAnsi="Arial" w:cs="Arial"/>
          <w:sz w:val="22"/>
          <w:szCs w:val="22"/>
          <w:lang w:val="en-GB"/>
        </w:rPr>
      </w:pPr>
      <w:r w:rsidRPr="00621D8F">
        <w:rPr>
          <w:rFonts w:ascii="Arial" w:hAnsi="Arial" w:cs="Arial"/>
          <w:sz w:val="22"/>
          <w:szCs w:val="22"/>
          <w:lang w:val="en-GB"/>
        </w:rPr>
        <w:t>Explain the key</w:t>
      </w:r>
      <w:r w:rsidRPr="00DC5178">
        <w:rPr>
          <w:rFonts w:ascii="Arial" w:hAnsi="Arial" w:cs="Arial"/>
          <w:sz w:val="22"/>
          <w:szCs w:val="22"/>
          <w:lang w:val="en-GB"/>
        </w:rPr>
        <w:t xml:space="preserve"> requirements in order for a Singapore court to recognise a foreign insolvency proceeding and what the effect will be if the court were to do so.</w:t>
      </w:r>
    </w:p>
    <w:p w14:paraId="7854C349" w14:textId="77777777" w:rsidR="00384F62" w:rsidRDefault="00384F62" w:rsidP="00384F62">
      <w:pPr>
        <w:pStyle w:val="BodyText"/>
        <w:rPr>
          <w:lang w:val="en-GB"/>
        </w:rPr>
      </w:pPr>
    </w:p>
    <w:p w14:paraId="358265A5" w14:textId="77777777" w:rsidR="00B21567" w:rsidRDefault="00F24F22" w:rsidP="00F24F2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Singapore has adopted the UNCITRAL Model Law on Cross-Border Insolvency in the third schedule to IRDA. Foreign representatives may therefore apply to the Singapore High Court for recognition of foreign proceedings. There is no requirement that there must be reciprocity of recognition by the foreign jurisdiction seeking recognition. </w:t>
      </w:r>
    </w:p>
    <w:p w14:paraId="2C3CB95C" w14:textId="77777777" w:rsidR="00B21567" w:rsidRDefault="00B21567" w:rsidP="00F24F22">
      <w:pPr>
        <w:jc w:val="both"/>
        <w:rPr>
          <w:rFonts w:ascii="Arial" w:hAnsi="Arial" w:cs="Arial"/>
          <w:color w:val="7B7B7B" w:themeColor="accent3" w:themeShade="BF"/>
          <w:sz w:val="22"/>
          <w:szCs w:val="22"/>
        </w:rPr>
      </w:pPr>
    </w:p>
    <w:p w14:paraId="4CD39A77" w14:textId="69F570A9" w:rsidR="00384F62" w:rsidRDefault="00B21567" w:rsidP="00F24F2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However, the court can deny the application for recognition if such recognition is contrary to public policy. </w:t>
      </w:r>
      <w:r w:rsidR="009D3D28">
        <w:rPr>
          <w:rFonts w:ascii="Arial" w:hAnsi="Arial" w:cs="Arial"/>
          <w:color w:val="7B7B7B" w:themeColor="accent3" w:themeShade="BF"/>
          <w:sz w:val="22"/>
          <w:szCs w:val="22"/>
        </w:rPr>
        <w:t xml:space="preserve">This departs from the Model Law, which provides that recognition can be denied if contrary to “manifestly” contrary to public policy. </w:t>
      </w:r>
      <w:r w:rsidR="000C5D0E">
        <w:rPr>
          <w:rFonts w:ascii="Arial" w:hAnsi="Arial" w:cs="Arial"/>
          <w:color w:val="7B7B7B" w:themeColor="accent3" w:themeShade="BF"/>
          <w:sz w:val="22"/>
          <w:szCs w:val="22"/>
        </w:rPr>
        <w:t>In the case of Re Zetta Jet Pte Ltd,</w:t>
      </w:r>
      <w:r w:rsidR="000C5D0E">
        <w:rPr>
          <w:rStyle w:val="FootnoteReference"/>
          <w:rFonts w:ascii="Arial" w:hAnsi="Arial" w:cs="Arial"/>
          <w:color w:val="7B7B7B" w:themeColor="accent3" w:themeShade="BF"/>
          <w:sz w:val="22"/>
          <w:szCs w:val="22"/>
        </w:rPr>
        <w:footnoteReference w:id="15"/>
      </w:r>
      <w:r w:rsidR="000C5D0E">
        <w:rPr>
          <w:rFonts w:ascii="Arial" w:hAnsi="Arial" w:cs="Arial"/>
          <w:color w:val="7B7B7B" w:themeColor="accent3" w:themeShade="BF"/>
          <w:sz w:val="22"/>
          <w:szCs w:val="22"/>
        </w:rPr>
        <w:t xml:space="preserve"> </w:t>
      </w:r>
      <w:r w:rsidR="00F24F22">
        <w:rPr>
          <w:rFonts w:ascii="Arial" w:hAnsi="Arial" w:cs="Arial"/>
          <w:color w:val="7B7B7B" w:themeColor="accent3" w:themeShade="BF"/>
          <w:sz w:val="22"/>
          <w:szCs w:val="22"/>
        </w:rPr>
        <w:t xml:space="preserve"> </w:t>
      </w:r>
      <w:r w:rsidR="009D3D28">
        <w:rPr>
          <w:rFonts w:ascii="Arial" w:hAnsi="Arial" w:cs="Arial"/>
          <w:color w:val="7B7B7B" w:themeColor="accent3" w:themeShade="BF"/>
          <w:sz w:val="22"/>
          <w:szCs w:val="22"/>
        </w:rPr>
        <w:t>the Court found that omission of the word “manifestly” means that the standard of exclusion on public policy reasons would be lower than jurisdictions which provided for “manifestly contrary”. The court held that the standard would at least require the denial of an application for recognition by a foreign insolvency representative appointed by foreign proceedings restrained by the Singapore court.</w:t>
      </w:r>
      <w:bookmarkStart w:id="1" w:name="_GoBack"/>
      <w:bookmarkEnd w:id="1"/>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6FC09" w14:textId="77777777" w:rsidR="00615BFD" w:rsidRDefault="00615BFD">
      <w:r>
        <w:separator/>
      </w:r>
    </w:p>
  </w:endnote>
  <w:endnote w:type="continuationSeparator" w:id="0">
    <w:p w14:paraId="3C24C72D" w14:textId="77777777" w:rsidR="00615BFD" w:rsidRDefault="0061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F54438" w:rsidRPr="00FC7B47" w:rsidRDefault="00F54438"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4AFFDD37" w:rsidR="00F54438" w:rsidRDefault="00F54438" w:rsidP="00FC7B47">
    <w:pPr>
      <w:pStyle w:val="Footer"/>
      <w:ind w:right="360"/>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07899691" w:rsidR="00F54438" w:rsidRPr="009B4976" w:rsidRDefault="00F54438"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09CBBDDF" w14:textId="718E8B76" w:rsidR="00F54438" w:rsidRDefault="00F54438" w:rsidP="009B4976">
    <w:pPr>
      <w:pStyle w:val="Footer"/>
      <w:ind w:right="360"/>
      <w:rPr>
        <w:rFonts w:ascii="Arial" w:hAnsi="Arial" w:cs="Arial"/>
        <w:sz w:val="18"/>
        <w:szCs w:val="18"/>
        <w:lang w:val="en-GB"/>
      </w:rPr>
    </w:pPr>
    <w:r>
      <w:rPr>
        <w:rFonts w:ascii="Arial" w:hAnsi="Arial" w:cs="Arial"/>
        <w:sz w:val="18"/>
        <w:szCs w:val="18"/>
        <w:lang w:val="en-GB"/>
      </w:rPr>
      <w:t>202122-527</w:t>
    </w:r>
    <w:r w:rsidRPr="009B4976">
      <w:rPr>
        <w:rFonts w:ascii="Arial" w:hAnsi="Arial" w:cs="Arial"/>
        <w:sz w:val="18"/>
        <w:szCs w:val="18"/>
        <w:lang w:val="en-GB"/>
      </w:rPr>
      <w:t>.assessment</w:t>
    </w:r>
    <w:r>
      <w:rPr>
        <w:rFonts w:ascii="Arial" w:hAnsi="Arial" w:cs="Arial"/>
        <w:sz w:val="18"/>
        <w:szCs w:val="18"/>
        <w:lang w:val="en-GB"/>
      </w:rPr>
      <w:t>8E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D77E" w14:textId="77777777" w:rsidR="00AC6AF0" w:rsidRDefault="00AC6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783B" w14:textId="77777777" w:rsidR="00615BFD" w:rsidRDefault="00615BFD">
      <w:r>
        <w:separator/>
      </w:r>
    </w:p>
  </w:footnote>
  <w:footnote w:type="continuationSeparator" w:id="0">
    <w:p w14:paraId="0145BE61" w14:textId="77777777" w:rsidR="00615BFD" w:rsidRDefault="00615BFD">
      <w:r>
        <w:continuationSeparator/>
      </w:r>
    </w:p>
  </w:footnote>
  <w:footnote w:id="1">
    <w:p w14:paraId="412FBD82" w14:textId="6949B022" w:rsidR="00F54438" w:rsidRPr="00D43050" w:rsidRDefault="00F54438">
      <w:pPr>
        <w:pStyle w:val="FootnoteText"/>
        <w:rPr>
          <w:lang w:val="en-MY"/>
        </w:rPr>
      </w:pPr>
      <w:r>
        <w:rPr>
          <w:rStyle w:val="FootnoteReference"/>
        </w:rPr>
        <w:footnoteRef/>
      </w:r>
      <w:r>
        <w:t xml:space="preserve"> </w:t>
      </w:r>
      <w:hyperlink r:id="rId1" w:history="1">
        <w:r w:rsidRPr="00B73D13">
          <w:rPr>
            <w:rStyle w:val="Hyperlink"/>
          </w:rPr>
          <w:t>https://www.judiciary.gov.sg/judgments/case-briefs-by-smu/sun-electric-power-pte-ltd-v-rcma-asia-pte-ltd</w:t>
        </w:r>
      </w:hyperlink>
      <w:r>
        <w:t xml:space="preserve"> </w:t>
      </w:r>
    </w:p>
  </w:footnote>
  <w:footnote w:id="2">
    <w:p w14:paraId="5E62E034" w14:textId="30A4C56A" w:rsidR="00F54438" w:rsidRPr="003B6EEC" w:rsidRDefault="00F54438">
      <w:pPr>
        <w:pStyle w:val="FootnoteText"/>
        <w:rPr>
          <w:lang w:val="en-MY"/>
        </w:rPr>
      </w:pPr>
      <w:r>
        <w:rPr>
          <w:rStyle w:val="FootnoteReference"/>
        </w:rPr>
        <w:footnoteRef/>
      </w:r>
      <w:r>
        <w:t xml:space="preserve"> </w:t>
      </w:r>
      <w:r>
        <w:rPr>
          <w:lang w:val="en-MY"/>
        </w:rPr>
        <w:t>Section 94(1) of IRDA.</w:t>
      </w:r>
    </w:p>
  </w:footnote>
  <w:footnote w:id="3">
    <w:p w14:paraId="769D8532" w14:textId="635CE0DE" w:rsidR="00F54438" w:rsidRPr="003B6EEC" w:rsidRDefault="00F54438">
      <w:pPr>
        <w:pStyle w:val="FootnoteText"/>
        <w:rPr>
          <w:lang w:val="en-MY"/>
        </w:rPr>
      </w:pPr>
      <w:r>
        <w:rPr>
          <w:rStyle w:val="FootnoteReference"/>
        </w:rPr>
        <w:footnoteRef/>
      </w:r>
      <w:r>
        <w:t xml:space="preserve"> </w:t>
      </w:r>
      <w:r>
        <w:rPr>
          <w:lang w:val="en-MY"/>
        </w:rPr>
        <w:t>Section 440 of IRDA.</w:t>
      </w:r>
    </w:p>
  </w:footnote>
  <w:footnote w:id="4">
    <w:p w14:paraId="7BB28B5B" w14:textId="2CC51F1A" w:rsidR="00F54438" w:rsidRPr="00BD1C30" w:rsidRDefault="00F54438">
      <w:pPr>
        <w:pStyle w:val="FootnoteText"/>
        <w:rPr>
          <w:lang w:val="en-MY"/>
        </w:rPr>
      </w:pPr>
      <w:r>
        <w:rPr>
          <w:rStyle w:val="FootnoteReference"/>
        </w:rPr>
        <w:footnoteRef/>
      </w:r>
      <w:r>
        <w:t xml:space="preserve"> </w:t>
      </w:r>
      <w:r>
        <w:rPr>
          <w:lang w:val="en-MY"/>
        </w:rPr>
        <w:t>Section 239 of IRDA.</w:t>
      </w:r>
    </w:p>
  </w:footnote>
  <w:footnote w:id="5">
    <w:p w14:paraId="1BC649A2" w14:textId="37420407" w:rsidR="00F54438" w:rsidRPr="00BD1C30" w:rsidRDefault="00F54438">
      <w:pPr>
        <w:pStyle w:val="FootnoteText"/>
        <w:rPr>
          <w:lang w:val="en-MY"/>
        </w:rPr>
      </w:pPr>
      <w:r>
        <w:rPr>
          <w:rStyle w:val="FootnoteReference"/>
        </w:rPr>
        <w:footnoteRef/>
      </w:r>
      <w:r>
        <w:t xml:space="preserve"> </w:t>
      </w:r>
      <w:r>
        <w:rPr>
          <w:lang w:val="en-MY"/>
        </w:rPr>
        <w:t>Sections 209 to 211 of IRDA.</w:t>
      </w:r>
    </w:p>
  </w:footnote>
  <w:footnote w:id="6">
    <w:p w14:paraId="250C0E45" w14:textId="1FFC9941" w:rsidR="00F54438" w:rsidRPr="001F34EA" w:rsidRDefault="00F54438">
      <w:pPr>
        <w:pStyle w:val="FootnoteText"/>
        <w:rPr>
          <w:lang w:val="en-MY"/>
        </w:rPr>
      </w:pPr>
      <w:r>
        <w:rPr>
          <w:rStyle w:val="FootnoteReference"/>
        </w:rPr>
        <w:footnoteRef/>
      </w:r>
      <w:r>
        <w:t xml:space="preserve"> </w:t>
      </w:r>
      <w:r>
        <w:rPr>
          <w:lang w:val="en-MY"/>
        </w:rPr>
        <w:t>Sections 316(9) or 318(3) of IRDA.</w:t>
      </w:r>
    </w:p>
  </w:footnote>
  <w:footnote w:id="7">
    <w:p w14:paraId="1BD3B54F" w14:textId="4C1C2691" w:rsidR="00F54438" w:rsidRPr="00384123" w:rsidRDefault="00F54438">
      <w:pPr>
        <w:pStyle w:val="FootnoteText"/>
        <w:rPr>
          <w:lang w:val="en-MY"/>
        </w:rPr>
      </w:pPr>
      <w:r>
        <w:rPr>
          <w:rStyle w:val="FootnoteReference"/>
        </w:rPr>
        <w:footnoteRef/>
      </w:r>
      <w:r>
        <w:t xml:space="preserve"> </w:t>
      </w:r>
      <w:r>
        <w:rPr>
          <w:lang w:val="en-MY"/>
        </w:rPr>
        <w:t>Section 290(1) of IRDA.</w:t>
      </w:r>
    </w:p>
  </w:footnote>
  <w:footnote w:id="8">
    <w:p w14:paraId="32AB3506" w14:textId="210C0247" w:rsidR="00F54438" w:rsidRPr="00384123" w:rsidRDefault="00F54438">
      <w:pPr>
        <w:pStyle w:val="FootnoteText"/>
        <w:rPr>
          <w:lang w:val="en-MY"/>
        </w:rPr>
      </w:pPr>
      <w:r>
        <w:rPr>
          <w:rStyle w:val="FootnoteReference"/>
        </w:rPr>
        <w:footnoteRef/>
      </w:r>
      <w:r>
        <w:t xml:space="preserve"> </w:t>
      </w:r>
      <w:r>
        <w:rPr>
          <w:lang w:val="en-MY"/>
        </w:rPr>
        <w:t>Section 290(2) of IRDA.</w:t>
      </w:r>
    </w:p>
  </w:footnote>
  <w:footnote w:id="9">
    <w:p w14:paraId="6D49EDE8" w14:textId="585C4A55" w:rsidR="00F54438" w:rsidRPr="00384123" w:rsidRDefault="00F54438">
      <w:pPr>
        <w:pStyle w:val="FootnoteText"/>
        <w:rPr>
          <w:lang w:val="en-MY"/>
        </w:rPr>
      </w:pPr>
      <w:r>
        <w:rPr>
          <w:rStyle w:val="FootnoteReference"/>
        </w:rPr>
        <w:footnoteRef/>
      </w:r>
      <w:r>
        <w:t xml:space="preserve"> </w:t>
      </w:r>
      <w:r>
        <w:rPr>
          <w:lang w:val="en-MY"/>
        </w:rPr>
        <w:t>Section 291 of IRDA.</w:t>
      </w:r>
    </w:p>
  </w:footnote>
  <w:footnote w:id="10">
    <w:p w14:paraId="5230E366" w14:textId="715D5617" w:rsidR="00F54438" w:rsidRPr="00C77863" w:rsidRDefault="00F54438">
      <w:pPr>
        <w:pStyle w:val="FootnoteText"/>
        <w:rPr>
          <w:lang w:val="en-MY"/>
        </w:rPr>
      </w:pPr>
      <w:r>
        <w:rPr>
          <w:rStyle w:val="FootnoteReference"/>
        </w:rPr>
        <w:footnoteRef/>
      </w:r>
      <w:r>
        <w:t xml:space="preserve"> </w:t>
      </w:r>
      <w:r>
        <w:rPr>
          <w:lang w:val="en-MY"/>
        </w:rPr>
        <w:t>Paragraph 6.13.15 of Guidance Notes for Module 8E.</w:t>
      </w:r>
    </w:p>
  </w:footnote>
  <w:footnote w:id="11">
    <w:p w14:paraId="245B45D0" w14:textId="04044601" w:rsidR="00F54438" w:rsidRPr="009007F5" w:rsidRDefault="00F54438">
      <w:pPr>
        <w:pStyle w:val="FootnoteText"/>
        <w:rPr>
          <w:lang w:val="en-MY"/>
        </w:rPr>
      </w:pPr>
      <w:r>
        <w:rPr>
          <w:rStyle w:val="FootnoteReference"/>
        </w:rPr>
        <w:footnoteRef/>
      </w:r>
      <w:r>
        <w:t xml:space="preserve"> </w:t>
      </w:r>
      <w:r>
        <w:rPr>
          <w:lang w:val="en-MY"/>
        </w:rPr>
        <w:t>Section 144(1)(g) and paragraph (f) of First Schedule, IRDA.</w:t>
      </w:r>
    </w:p>
  </w:footnote>
  <w:footnote w:id="12">
    <w:p w14:paraId="76CD8CF9" w14:textId="58E252CF" w:rsidR="00F54438" w:rsidRPr="00890D6E" w:rsidRDefault="00F54438">
      <w:pPr>
        <w:pStyle w:val="FootnoteText"/>
        <w:rPr>
          <w:lang w:val="en-MY"/>
        </w:rPr>
      </w:pPr>
      <w:r>
        <w:rPr>
          <w:rStyle w:val="FootnoteReference"/>
        </w:rPr>
        <w:footnoteRef/>
      </w:r>
      <w:r>
        <w:t xml:space="preserve"> </w:t>
      </w:r>
      <w:r>
        <w:rPr>
          <w:lang w:val="en-MY"/>
        </w:rPr>
        <w:t>Section 94(3)(e) of IRDA.</w:t>
      </w:r>
    </w:p>
  </w:footnote>
  <w:footnote w:id="13">
    <w:p w14:paraId="488188C1" w14:textId="3C88FC0D" w:rsidR="00F54438" w:rsidRPr="00D768C0" w:rsidRDefault="00F54438">
      <w:pPr>
        <w:pStyle w:val="FootnoteText"/>
        <w:rPr>
          <w:lang w:val="en-MY"/>
        </w:rPr>
      </w:pPr>
      <w:r>
        <w:rPr>
          <w:rStyle w:val="FootnoteReference"/>
        </w:rPr>
        <w:footnoteRef/>
      </w:r>
      <w:r>
        <w:t xml:space="preserve"> </w:t>
      </w:r>
      <w:r>
        <w:rPr>
          <w:lang w:val="en-MY"/>
        </w:rPr>
        <w:t>Section 64(4) IRDA.</w:t>
      </w:r>
    </w:p>
  </w:footnote>
  <w:footnote w:id="14">
    <w:p w14:paraId="63C7496B" w14:textId="5BD9912F" w:rsidR="00EC4A00" w:rsidRPr="00EC4A00" w:rsidRDefault="00EC4A00">
      <w:pPr>
        <w:pStyle w:val="FootnoteText"/>
        <w:rPr>
          <w:lang w:val="en-MY"/>
        </w:rPr>
      </w:pPr>
      <w:r>
        <w:rPr>
          <w:rStyle w:val="FootnoteReference"/>
        </w:rPr>
        <w:footnoteRef/>
      </w:r>
      <w:r>
        <w:t xml:space="preserve"> </w:t>
      </w:r>
      <w:r>
        <w:rPr>
          <w:lang w:val="en-MY"/>
        </w:rPr>
        <w:t>Section 71(3) IRDA.</w:t>
      </w:r>
    </w:p>
  </w:footnote>
  <w:footnote w:id="15">
    <w:p w14:paraId="79A2A997" w14:textId="3A060202" w:rsidR="000C5D0E" w:rsidRPr="000C5D0E" w:rsidRDefault="000C5D0E">
      <w:pPr>
        <w:pStyle w:val="FootnoteText"/>
        <w:rPr>
          <w:lang w:val="en-MY"/>
        </w:rPr>
      </w:pPr>
      <w:r>
        <w:rPr>
          <w:rStyle w:val="FootnoteReference"/>
        </w:rPr>
        <w:footnoteRef/>
      </w:r>
      <w:r>
        <w:t xml:space="preserve"> </w:t>
      </w:r>
      <w:r w:rsidR="009D3D28">
        <w:rPr>
          <w:lang w:val="en-MY"/>
        </w:rPr>
        <w:t>[2018] SGHC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E1D1" w14:textId="77777777" w:rsidR="00AC6AF0" w:rsidRDefault="00AC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95D9" w14:textId="77777777" w:rsidR="00AC6AF0" w:rsidRDefault="00AC6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BA01" w14:textId="77777777" w:rsidR="00AC6AF0" w:rsidRDefault="00AC6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EB1"/>
    <w:multiLevelType w:val="hybridMultilevel"/>
    <w:tmpl w:val="FA7E3E48"/>
    <w:lvl w:ilvl="0" w:tplc="4F9EEF6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21D7D29"/>
    <w:multiLevelType w:val="hybridMultilevel"/>
    <w:tmpl w:val="A9E2CFBC"/>
    <w:lvl w:ilvl="0" w:tplc="95C0842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6" w15:restartNumberingAfterBreak="0">
    <w:nsid w:val="2D4B5170"/>
    <w:multiLevelType w:val="hybridMultilevel"/>
    <w:tmpl w:val="EEFCF6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E3408"/>
    <w:multiLevelType w:val="hybridMultilevel"/>
    <w:tmpl w:val="96E66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0"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F0D71"/>
    <w:multiLevelType w:val="hybridMultilevel"/>
    <w:tmpl w:val="B650A608"/>
    <w:lvl w:ilvl="0" w:tplc="193A186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96FA2"/>
    <w:multiLevelType w:val="hybridMultilevel"/>
    <w:tmpl w:val="3A80CA38"/>
    <w:lvl w:ilvl="0" w:tplc="CAD03380">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E477D"/>
    <w:multiLevelType w:val="hybridMultilevel"/>
    <w:tmpl w:val="714271CC"/>
    <w:lvl w:ilvl="0" w:tplc="397A5508">
      <w:start w:val="1"/>
      <w:numFmt w:val="lowerLetter"/>
      <w:lvlText w:val="(%1)"/>
      <w:lvlJc w:val="left"/>
      <w:pPr>
        <w:ind w:left="720" w:hanging="360"/>
      </w:pPr>
      <w:rPr>
        <w:rFonts w:hint="default"/>
        <w:color w:val="808080" w:themeColor="background1" w:themeShade="8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F3428"/>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66653D"/>
    <w:multiLevelType w:val="hybridMultilevel"/>
    <w:tmpl w:val="83B09230"/>
    <w:lvl w:ilvl="0" w:tplc="CE5E95B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10"/>
  </w:num>
  <w:num w:numId="6">
    <w:abstractNumId w:val="21"/>
  </w:num>
  <w:num w:numId="7">
    <w:abstractNumId w:val="2"/>
  </w:num>
  <w:num w:numId="8">
    <w:abstractNumId w:val="16"/>
  </w:num>
  <w:num w:numId="9">
    <w:abstractNumId w:val="18"/>
  </w:num>
  <w:num w:numId="10">
    <w:abstractNumId w:val="8"/>
  </w:num>
  <w:num w:numId="11">
    <w:abstractNumId w:val="15"/>
  </w:num>
  <w:num w:numId="12">
    <w:abstractNumId w:val="11"/>
  </w:num>
  <w:num w:numId="13">
    <w:abstractNumId w:val="13"/>
  </w:num>
  <w:num w:numId="14">
    <w:abstractNumId w:val="19"/>
  </w:num>
  <w:num w:numId="15">
    <w:abstractNumId w:val="7"/>
  </w:num>
  <w:num w:numId="16">
    <w:abstractNumId w:val="6"/>
  </w:num>
  <w:num w:numId="17">
    <w:abstractNumId w:val="20"/>
  </w:num>
  <w:num w:numId="18">
    <w:abstractNumId w:val="0"/>
  </w:num>
  <w:num w:numId="19">
    <w:abstractNumId w:val="4"/>
  </w:num>
  <w:num w:numId="20">
    <w:abstractNumId w:val="14"/>
  </w:num>
  <w:num w:numId="21">
    <w:abstractNumId w:val="12"/>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4ED"/>
    <w:rsid w:val="00021FC2"/>
    <w:rsid w:val="000232A1"/>
    <w:rsid w:val="000250C7"/>
    <w:rsid w:val="00026F16"/>
    <w:rsid w:val="00031B71"/>
    <w:rsid w:val="00033C8E"/>
    <w:rsid w:val="00037621"/>
    <w:rsid w:val="00044D46"/>
    <w:rsid w:val="00045088"/>
    <w:rsid w:val="00045904"/>
    <w:rsid w:val="00046211"/>
    <w:rsid w:val="000502FD"/>
    <w:rsid w:val="00051719"/>
    <w:rsid w:val="00052B3C"/>
    <w:rsid w:val="0005645F"/>
    <w:rsid w:val="00062F53"/>
    <w:rsid w:val="00065166"/>
    <w:rsid w:val="00067A22"/>
    <w:rsid w:val="0007291B"/>
    <w:rsid w:val="00082609"/>
    <w:rsid w:val="000851CC"/>
    <w:rsid w:val="00087F21"/>
    <w:rsid w:val="00093BE8"/>
    <w:rsid w:val="000A407B"/>
    <w:rsid w:val="000A68ED"/>
    <w:rsid w:val="000B4074"/>
    <w:rsid w:val="000B5FF1"/>
    <w:rsid w:val="000B609F"/>
    <w:rsid w:val="000C5D0E"/>
    <w:rsid w:val="000D2BEC"/>
    <w:rsid w:val="000D55A8"/>
    <w:rsid w:val="000E0D36"/>
    <w:rsid w:val="000E1246"/>
    <w:rsid w:val="000E4841"/>
    <w:rsid w:val="000F0B79"/>
    <w:rsid w:val="000F0CF2"/>
    <w:rsid w:val="000F1677"/>
    <w:rsid w:val="000F3D6C"/>
    <w:rsid w:val="00100C5D"/>
    <w:rsid w:val="00101707"/>
    <w:rsid w:val="00102CC9"/>
    <w:rsid w:val="0010593A"/>
    <w:rsid w:val="00113033"/>
    <w:rsid w:val="0011473D"/>
    <w:rsid w:val="00115C85"/>
    <w:rsid w:val="001208D5"/>
    <w:rsid w:val="00123855"/>
    <w:rsid w:val="00124A1B"/>
    <w:rsid w:val="00126A4D"/>
    <w:rsid w:val="0013379E"/>
    <w:rsid w:val="0014171F"/>
    <w:rsid w:val="0014622C"/>
    <w:rsid w:val="00151F58"/>
    <w:rsid w:val="00152348"/>
    <w:rsid w:val="00152FD4"/>
    <w:rsid w:val="0015456D"/>
    <w:rsid w:val="00155FA2"/>
    <w:rsid w:val="001600E5"/>
    <w:rsid w:val="00161F1B"/>
    <w:rsid w:val="00162829"/>
    <w:rsid w:val="0016368E"/>
    <w:rsid w:val="00166A82"/>
    <w:rsid w:val="00170EF8"/>
    <w:rsid w:val="00180548"/>
    <w:rsid w:val="00180AC4"/>
    <w:rsid w:val="00180CCE"/>
    <w:rsid w:val="00181A91"/>
    <w:rsid w:val="0018267A"/>
    <w:rsid w:val="00182779"/>
    <w:rsid w:val="001830DF"/>
    <w:rsid w:val="00191F0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34EA"/>
    <w:rsid w:val="001F42B6"/>
    <w:rsid w:val="001F7412"/>
    <w:rsid w:val="0020090A"/>
    <w:rsid w:val="00202DFE"/>
    <w:rsid w:val="00207256"/>
    <w:rsid w:val="0020725B"/>
    <w:rsid w:val="002110F1"/>
    <w:rsid w:val="002178A5"/>
    <w:rsid w:val="002208D9"/>
    <w:rsid w:val="00223CAE"/>
    <w:rsid w:val="002311E3"/>
    <w:rsid w:val="002356EA"/>
    <w:rsid w:val="00235D7D"/>
    <w:rsid w:val="00240B0E"/>
    <w:rsid w:val="0024116D"/>
    <w:rsid w:val="00241B44"/>
    <w:rsid w:val="00241FA3"/>
    <w:rsid w:val="00245EFB"/>
    <w:rsid w:val="0024716F"/>
    <w:rsid w:val="00252DCF"/>
    <w:rsid w:val="0025386E"/>
    <w:rsid w:val="00255890"/>
    <w:rsid w:val="00262940"/>
    <w:rsid w:val="002638B0"/>
    <w:rsid w:val="0026647A"/>
    <w:rsid w:val="002668D3"/>
    <w:rsid w:val="0027299F"/>
    <w:rsid w:val="00284EBE"/>
    <w:rsid w:val="002903A7"/>
    <w:rsid w:val="0029433F"/>
    <w:rsid w:val="00294829"/>
    <w:rsid w:val="00295708"/>
    <w:rsid w:val="0029690F"/>
    <w:rsid w:val="00297C8A"/>
    <w:rsid w:val="002A250F"/>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3468"/>
    <w:rsid w:val="00364836"/>
    <w:rsid w:val="0036565C"/>
    <w:rsid w:val="0036625E"/>
    <w:rsid w:val="0037465A"/>
    <w:rsid w:val="00376303"/>
    <w:rsid w:val="00380BAB"/>
    <w:rsid w:val="00382C98"/>
    <w:rsid w:val="00384123"/>
    <w:rsid w:val="00384F62"/>
    <w:rsid w:val="0038533C"/>
    <w:rsid w:val="00386568"/>
    <w:rsid w:val="00390B57"/>
    <w:rsid w:val="00391426"/>
    <w:rsid w:val="003948D5"/>
    <w:rsid w:val="00396821"/>
    <w:rsid w:val="00397D3A"/>
    <w:rsid w:val="003A051E"/>
    <w:rsid w:val="003B170F"/>
    <w:rsid w:val="003B3C5F"/>
    <w:rsid w:val="003B6014"/>
    <w:rsid w:val="003B6EEC"/>
    <w:rsid w:val="003C064E"/>
    <w:rsid w:val="003C4471"/>
    <w:rsid w:val="003D0A6D"/>
    <w:rsid w:val="003D1EF3"/>
    <w:rsid w:val="003D5273"/>
    <w:rsid w:val="003D70A7"/>
    <w:rsid w:val="003E0B16"/>
    <w:rsid w:val="003E22E2"/>
    <w:rsid w:val="003E67D1"/>
    <w:rsid w:val="003F6783"/>
    <w:rsid w:val="00404329"/>
    <w:rsid w:val="00405DC1"/>
    <w:rsid w:val="00406AE7"/>
    <w:rsid w:val="00415F1F"/>
    <w:rsid w:val="00416B96"/>
    <w:rsid w:val="0042108F"/>
    <w:rsid w:val="00430C5C"/>
    <w:rsid w:val="00430FED"/>
    <w:rsid w:val="004313D2"/>
    <w:rsid w:val="00434A8C"/>
    <w:rsid w:val="00437297"/>
    <w:rsid w:val="00444284"/>
    <w:rsid w:val="00445CE6"/>
    <w:rsid w:val="004534C2"/>
    <w:rsid w:val="0045446F"/>
    <w:rsid w:val="0045683E"/>
    <w:rsid w:val="004569A4"/>
    <w:rsid w:val="004613AB"/>
    <w:rsid w:val="00465497"/>
    <w:rsid w:val="0046555A"/>
    <w:rsid w:val="00474D30"/>
    <w:rsid w:val="00477C72"/>
    <w:rsid w:val="00483BC6"/>
    <w:rsid w:val="00491675"/>
    <w:rsid w:val="00493855"/>
    <w:rsid w:val="00494E28"/>
    <w:rsid w:val="00495E79"/>
    <w:rsid w:val="004A2D83"/>
    <w:rsid w:val="004A57DD"/>
    <w:rsid w:val="004A7B51"/>
    <w:rsid w:val="004A7D71"/>
    <w:rsid w:val="004A7EF3"/>
    <w:rsid w:val="004B11FD"/>
    <w:rsid w:val="004B23A2"/>
    <w:rsid w:val="004C294D"/>
    <w:rsid w:val="004D1A5A"/>
    <w:rsid w:val="004D1CA9"/>
    <w:rsid w:val="004D2FFF"/>
    <w:rsid w:val="004D363D"/>
    <w:rsid w:val="004D3721"/>
    <w:rsid w:val="004D64F9"/>
    <w:rsid w:val="004D7749"/>
    <w:rsid w:val="004E30B0"/>
    <w:rsid w:val="004E3A6B"/>
    <w:rsid w:val="004E540C"/>
    <w:rsid w:val="004E622C"/>
    <w:rsid w:val="004E6D1C"/>
    <w:rsid w:val="004E7D70"/>
    <w:rsid w:val="004F5DE9"/>
    <w:rsid w:val="004F5FDF"/>
    <w:rsid w:val="004F716A"/>
    <w:rsid w:val="00501A24"/>
    <w:rsid w:val="00510B34"/>
    <w:rsid w:val="00513A41"/>
    <w:rsid w:val="005177FE"/>
    <w:rsid w:val="0052263B"/>
    <w:rsid w:val="00524728"/>
    <w:rsid w:val="0053078E"/>
    <w:rsid w:val="005312B3"/>
    <w:rsid w:val="00531721"/>
    <w:rsid w:val="005331CA"/>
    <w:rsid w:val="00534744"/>
    <w:rsid w:val="00537970"/>
    <w:rsid w:val="00540E3A"/>
    <w:rsid w:val="00544127"/>
    <w:rsid w:val="005463A9"/>
    <w:rsid w:val="00546D65"/>
    <w:rsid w:val="0055251A"/>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16DD"/>
    <w:rsid w:val="005D43E0"/>
    <w:rsid w:val="005D58A3"/>
    <w:rsid w:val="005E0D68"/>
    <w:rsid w:val="005E1B79"/>
    <w:rsid w:val="005E32B3"/>
    <w:rsid w:val="005E6076"/>
    <w:rsid w:val="005E7008"/>
    <w:rsid w:val="005E7EC1"/>
    <w:rsid w:val="005F026D"/>
    <w:rsid w:val="005F2AEA"/>
    <w:rsid w:val="005F2D0B"/>
    <w:rsid w:val="005F4B31"/>
    <w:rsid w:val="00610388"/>
    <w:rsid w:val="00610AC7"/>
    <w:rsid w:val="00612CA5"/>
    <w:rsid w:val="006153EC"/>
    <w:rsid w:val="006155A9"/>
    <w:rsid w:val="00615BFD"/>
    <w:rsid w:val="00621A17"/>
    <w:rsid w:val="00621DE4"/>
    <w:rsid w:val="00622586"/>
    <w:rsid w:val="00627CC9"/>
    <w:rsid w:val="00627E7B"/>
    <w:rsid w:val="006302A0"/>
    <w:rsid w:val="00630542"/>
    <w:rsid w:val="00631DDB"/>
    <w:rsid w:val="00632E44"/>
    <w:rsid w:val="00634622"/>
    <w:rsid w:val="006358BA"/>
    <w:rsid w:val="00636808"/>
    <w:rsid w:val="00641515"/>
    <w:rsid w:val="006452E6"/>
    <w:rsid w:val="00645F3A"/>
    <w:rsid w:val="006532AA"/>
    <w:rsid w:val="006538DC"/>
    <w:rsid w:val="00654AF0"/>
    <w:rsid w:val="00654C2F"/>
    <w:rsid w:val="00654C95"/>
    <w:rsid w:val="00657087"/>
    <w:rsid w:val="00661BA6"/>
    <w:rsid w:val="00661D51"/>
    <w:rsid w:val="006639DB"/>
    <w:rsid w:val="006661EF"/>
    <w:rsid w:val="00670CB1"/>
    <w:rsid w:val="00677AEB"/>
    <w:rsid w:val="00680EF2"/>
    <w:rsid w:val="00683A9E"/>
    <w:rsid w:val="00684441"/>
    <w:rsid w:val="00687A1D"/>
    <w:rsid w:val="00697EA1"/>
    <w:rsid w:val="006A2646"/>
    <w:rsid w:val="006A6530"/>
    <w:rsid w:val="006B435A"/>
    <w:rsid w:val="006B4C64"/>
    <w:rsid w:val="006C03D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A39"/>
    <w:rsid w:val="00740DAD"/>
    <w:rsid w:val="007603F5"/>
    <w:rsid w:val="00764DB0"/>
    <w:rsid w:val="0076764D"/>
    <w:rsid w:val="0077498C"/>
    <w:rsid w:val="007809BC"/>
    <w:rsid w:val="00781734"/>
    <w:rsid w:val="007818AF"/>
    <w:rsid w:val="00784128"/>
    <w:rsid w:val="00784A74"/>
    <w:rsid w:val="00784E9B"/>
    <w:rsid w:val="00787521"/>
    <w:rsid w:val="00787BCC"/>
    <w:rsid w:val="00793173"/>
    <w:rsid w:val="00796810"/>
    <w:rsid w:val="007A0F86"/>
    <w:rsid w:val="007A2A33"/>
    <w:rsid w:val="007A50B0"/>
    <w:rsid w:val="007B5C89"/>
    <w:rsid w:val="007C1FCC"/>
    <w:rsid w:val="007C23F2"/>
    <w:rsid w:val="007C6201"/>
    <w:rsid w:val="007C6CC7"/>
    <w:rsid w:val="007C7036"/>
    <w:rsid w:val="007D3C92"/>
    <w:rsid w:val="007D7C92"/>
    <w:rsid w:val="007E1154"/>
    <w:rsid w:val="007E40F0"/>
    <w:rsid w:val="007E6BA4"/>
    <w:rsid w:val="007E7678"/>
    <w:rsid w:val="007F41F8"/>
    <w:rsid w:val="007F659B"/>
    <w:rsid w:val="007F7CFA"/>
    <w:rsid w:val="0080231C"/>
    <w:rsid w:val="0080454E"/>
    <w:rsid w:val="00804C32"/>
    <w:rsid w:val="00806302"/>
    <w:rsid w:val="00807119"/>
    <w:rsid w:val="0082483F"/>
    <w:rsid w:val="0082694D"/>
    <w:rsid w:val="008277A3"/>
    <w:rsid w:val="008279C0"/>
    <w:rsid w:val="00831582"/>
    <w:rsid w:val="0083577E"/>
    <w:rsid w:val="0084683C"/>
    <w:rsid w:val="00851178"/>
    <w:rsid w:val="00853901"/>
    <w:rsid w:val="008569B9"/>
    <w:rsid w:val="00856BD4"/>
    <w:rsid w:val="00867701"/>
    <w:rsid w:val="008723F3"/>
    <w:rsid w:val="00876F56"/>
    <w:rsid w:val="00881DE6"/>
    <w:rsid w:val="008837A6"/>
    <w:rsid w:val="00887910"/>
    <w:rsid w:val="00890D6E"/>
    <w:rsid w:val="0089145D"/>
    <w:rsid w:val="008A4DF2"/>
    <w:rsid w:val="008A6CFE"/>
    <w:rsid w:val="008B0F78"/>
    <w:rsid w:val="008B155E"/>
    <w:rsid w:val="008B16E7"/>
    <w:rsid w:val="008B5333"/>
    <w:rsid w:val="008B6223"/>
    <w:rsid w:val="008B779D"/>
    <w:rsid w:val="008C66E0"/>
    <w:rsid w:val="008E3339"/>
    <w:rsid w:val="008F20FC"/>
    <w:rsid w:val="008F5FFE"/>
    <w:rsid w:val="009007F5"/>
    <w:rsid w:val="00905A43"/>
    <w:rsid w:val="00912C79"/>
    <w:rsid w:val="00921B8C"/>
    <w:rsid w:val="00934FE7"/>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86"/>
    <w:rsid w:val="009C616E"/>
    <w:rsid w:val="009D0811"/>
    <w:rsid w:val="009D0EE1"/>
    <w:rsid w:val="009D23C6"/>
    <w:rsid w:val="009D3D28"/>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8A0"/>
    <w:rsid w:val="00A56D34"/>
    <w:rsid w:val="00A57528"/>
    <w:rsid w:val="00A60074"/>
    <w:rsid w:val="00A64900"/>
    <w:rsid w:val="00A6627C"/>
    <w:rsid w:val="00A71019"/>
    <w:rsid w:val="00A81029"/>
    <w:rsid w:val="00A83871"/>
    <w:rsid w:val="00A845F5"/>
    <w:rsid w:val="00A915E4"/>
    <w:rsid w:val="00A92054"/>
    <w:rsid w:val="00A94591"/>
    <w:rsid w:val="00A94F39"/>
    <w:rsid w:val="00A96489"/>
    <w:rsid w:val="00AA65ED"/>
    <w:rsid w:val="00AB124F"/>
    <w:rsid w:val="00AB2425"/>
    <w:rsid w:val="00AB4451"/>
    <w:rsid w:val="00AB6201"/>
    <w:rsid w:val="00AB685C"/>
    <w:rsid w:val="00AB6C2D"/>
    <w:rsid w:val="00AC08F7"/>
    <w:rsid w:val="00AC3839"/>
    <w:rsid w:val="00AC6AF0"/>
    <w:rsid w:val="00AC7082"/>
    <w:rsid w:val="00AD4BE8"/>
    <w:rsid w:val="00AE2020"/>
    <w:rsid w:val="00AE43E0"/>
    <w:rsid w:val="00AE724A"/>
    <w:rsid w:val="00AF228E"/>
    <w:rsid w:val="00AF44E3"/>
    <w:rsid w:val="00AF5D9C"/>
    <w:rsid w:val="00B016A8"/>
    <w:rsid w:val="00B06240"/>
    <w:rsid w:val="00B14819"/>
    <w:rsid w:val="00B14E77"/>
    <w:rsid w:val="00B15E2F"/>
    <w:rsid w:val="00B17582"/>
    <w:rsid w:val="00B17AA9"/>
    <w:rsid w:val="00B21567"/>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B0F2B"/>
    <w:rsid w:val="00BC2272"/>
    <w:rsid w:val="00BD1C30"/>
    <w:rsid w:val="00BE4FF3"/>
    <w:rsid w:val="00BE5B8E"/>
    <w:rsid w:val="00BE65AA"/>
    <w:rsid w:val="00BF42A8"/>
    <w:rsid w:val="00BF50F7"/>
    <w:rsid w:val="00C02F29"/>
    <w:rsid w:val="00C041E8"/>
    <w:rsid w:val="00C0731E"/>
    <w:rsid w:val="00C17718"/>
    <w:rsid w:val="00C20AFE"/>
    <w:rsid w:val="00C21EB5"/>
    <w:rsid w:val="00C22A25"/>
    <w:rsid w:val="00C2645B"/>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416C"/>
    <w:rsid w:val="00C7736C"/>
    <w:rsid w:val="00C77863"/>
    <w:rsid w:val="00C82D87"/>
    <w:rsid w:val="00C8712A"/>
    <w:rsid w:val="00C87FF9"/>
    <w:rsid w:val="00C902C8"/>
    <w:rsid w:val="00C919D1"/>
    <w:rsid w:val="00C960CA"/>
    <w:rsid w:val="00C963D3"/>
    <w:rsid w:val="00CA4754"/>
    <w:rsid w:val="00CB12BD"/>
    <w:rsid w:val="00CB1983"/>
    <w:rsid w:val="00CB2480"/>
    <w:rsid w:val="00CB2CBB"/>
    <w:rsid w:val="00CB5FD0"/>
    <w:rsid w:val="00CB7CAC"/>
    <w:rsid w:val="00CC158E"/>
    <w:rsid w:val="00CC5335"/>
    <w:rsid w:val="00CC5BA4"/>
    <w:rsid w:val="00CD4998"/>
    <w:rsid w:val="00CD6B56"/>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43050"/>
    <w:rsid w:val="00D53719"/>
    <w:rsid w:val="00D63EFD"/>
    <w:rsid w:val="00D65741"/>
    <w:rsid w:val="00D768C0"/>
    <w:rsid w:val="00D77884"/>
    <w:rsid w:val="00D80DC2"/>
    <w:rsid w:val="00D84752"/>
    <w:rsid w:val="00D86B3B"/>
    <w:rsid w:val="00D8748A"/>
    <w:rsid w:val="00D93196"/>
    <w:rsid w:val="00DA0DC0"/>
    <w:rsid w:val="00DA124D"/>
    <w:rsid w:val="00DB243C"/>
    <w:rsid w:val="00DB482A"/>
    <w:rsid w:val="00DB50FB"/>
    <w:rsid w:val="00DB56F2"/>
    <w:rsid w:val="00DB6EEB"/>
    <w:rsid w:val="00DB6EF5"/>
    <w:rsid w:val="00DC3089"/>
    <w:rsid w:val="00DC4420"/>
    <w:rsid w:val="00DC7761"/>
    <w:rsid w:val="00DD0802"/>
    <w:rsid w:val="00DD1355"/>
    <w:rsid w:val="00DD2E11"/>
    <w:rsid w:val="00DD7F33"/>
    <w:rsid w:val="00DE03AF"/>
    <w:rsid w:val="00DE0963"/>
    <w:rsid w:val="00DE121C"/>
    <w:rsid w:val="00DE28CA"/>
    <w:rsid w:val="00DE2CD9"/>
    <w:rsid w:val="00DE6633"/>
    <w:rsid w:val="00DF75F8"/>
    <w:rsid w:val="00DF7A3A"/>
    <w:rsid w:val="00E00C00"/>
    <w:rsid w:val="00E07C5A"/>
    <w:rsid w:val="00E12B7E"/>
    <w:rsid w:val="00E15BA9"/>
    <w:rsid w:val="00E23A7A"/>
    <w:rsid w:val="00E26E19"/>
    <w:rsid w:val="00E3041B"/>
    <w:rsid w:val="00E30CC7"/>
    <w:rsid w:val="00E31DF3"/>
    <w:rsid w:val="00E40797"/>
    <w:rsid w:val="00E450A4"/>
    <w:rsid w:val="00E4526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B7B75"/>
    <w:rsid w:val="00EC1A1D"/>
    <w:rsid w:val="00EC441F"/>
    <w:rsid w:val="00EC4755"/>
    <w:rsid w:val="00EC4A00"/>
    <w:rsid w:val="00EC6A65"/>
    <w:rsid w:val="00ED0BC4"/>
    <w:rsid w:val="00ED21C1"/>
    <w:rsid w:val="00ED29B3"/>
    <w:rsid w:val="00ED447D"/>
    <w:rsid w:val="00EE030D"/>
    <w:rsid w:val="00EE4971"/>
    <w:rsid w:val="00EE6CB0"/>
    <w:rsid w:val="00EF090E"/>
    <w:rsid w:val="00EF4D30"/>
    <w:rsid w:val="00EF4EE8"/>
    <w:rsid w:val="00EF5572"/>
    <w:rsid w:val="00F033DA"/>
    <w:rsid w:val="00F0392F"/>
    <w:rsid w:val="00F130CF"/>
    <w:rsid w:val="00F13691"/>
    <w:rsid w:val="00F138C9"/>
    <w:rsid w:val="00F13FB1"/>
    <w:rsid w:val="00F22C53"/>
    <w:rsid w:val="00F24F22"/>
    <w:rsid w:val="00F27CD8"/>
    <w:rsid w:val="00F30351"/>
    <w:rsid w:val="00F3323E"/>
    <w:rsid w:val="00F341F4"/>
    <w:rsid w:val="00F34F9D"/>
    <w:rsid w:val="00F35CCE"/>
    <w:rsid w:val="00F50041"/>
    <w:rsid w:val="00F54438"/>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4DD1"/>
    <w:rsid w:val="00FA5C9A"/>
    <w:rsid w:val="00FA721C"/>
    <w:rsid w:val="00FB4BB3"/>
    <w:rsid w:val="00FB7FBD"/>
    <w:rsid w:val="00FC32B6"/>
    <w:rsid w:val="00FC374A"/>
    <w:rsid w:val="00FC74C8"/>
    <w:rsid w:val="00FC7B47"/>
    <w:rsid w:val="00FD035C"/>
    <w:rsid w:val="00FD1A35"/>
    <w:rsid w:val="00FD2EA4"/>
    <w:rsid w:val="00FD36C5"/>
    <w:rsid w:val="00FD6310"/>
    <w:rsid w:val="00FD7C7B"/>
    <w:rsid w:val="00FE0C8F"/>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BodyText">
    <w:name w:val="Body Text"/>
    <w:basedOn w:val="Normal"/>
    <w:link w:val="BodyTextChar"/>
    <w:rsid w:val="00384F62"/>
    <w:rPr>
      <w:lang w:eastAsia="en-GB"/>
    </w:rPr>
  </w:style>
  <w:style w:type="character" w:customStyle="1" w:styleId="BodyTextChar">
    <w:name w:val="Body Text Char"/>
    <w:basedOn w:val="DefaultParagraphFont"/>
    <w:link w:val="BodyText"/>
    <w:rsid w:val="00384F62"/>
    <w:rPr>
      <w:rFonts w:eastAsia="Times New Roman"/>
      <w:sz w:val="20"/>
      <w:lang w:eastAsia="en-GB"/>
    </w:rPr>
  </w:style>
  <w:style w:type="character" w:styleId="UnresolvedMention">
    <w:name w:val="Unresolved Mention"/>
    <w:basedOn w:val="DefaultParagraphFont"/>
    <w:uiPriority w:val="99"/>
    <w:semiHidden/>
    <w:unhideWhenUsed/>
    <w:rsid w:val="00D43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judiciary.gov.sg/judgments/case-briefs-by-smu/sun-electric-power-pte-ltd-v-rcma-asia-pte-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sisl xmlns:xsd="http://www.w3.org/2001/XMLSchema" xmlns:xsi="http://www.w3.org/2001/XMLSchema-instance" xmlns="http://www.boldonjames.com/2008/01/sie/internal/label" sislVersion="0" policy="0006265a-9853-4628-92f9-d03b5c38fad7" origin="userSelected">
  <element uid="0396dc7d-9d2f-459d-9e03-6e8dc85fa202" value=""/>
  <element uid="bc9373da-fcfa-4469-a78f-e552654443e3"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2ED23278-2E8F-4F9B-82EC-673124F7117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28FCB9C-668E-4665-82BB-58A18536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Chia Yee</dc:creator>
  <cp:keywords>Personal</cp:keywords>
  <cp:lastModifiedBy>Kong Chia Yee</cp:lastModifiedBy>
  <cp:revision>5</cp:revision>
  <dcterms:created xsi:type="dcterms:W3CDTF">2022-07-30T04:06:00Z</dcterms:created>
  <dcterms:modified xsi:type="dcterms:W3CDTF">2022-07-30T07:09:00Z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y fmtid="{D5CDD505-2E9C-101B-9397-08002B2CF9AE}" pid="3" name="docIndexRef">
    <vt:lpwstr>51f065a0-25f9-4342-8c07-2f9000135c70</vt:lpwstr>
  </property>
  <property fmtid="{D5CDD505-2E9C-101B-9397-08002B2CF9AE}" pid="4" name="bjSaver">
    <vt:lpwstr>bPYtoja+fdUaftfDsgW25U8k69Bzsisy</vt:lpwstr>
  </property>
  <property fmtid="{D5CDD505-2E9C-101B-9397-08002B2CF9AE}" pid="5" name="bjDocumentLabelXML">
    <vt:lpwstr>&lt;?xml version="1.0" encoding="us-ascii"?&gt;&lt;sisl xmlns:xsd="http://www.w3.org/2001/XMLSchema" xmlns:xsi="http://www.w3.org/2001/XMLSchema-instance" sislVersion="0" policy="0006265a-9853-4628-92f9-d03b5c38fad7" origin="userSelected" xmlns="http://www.boldonj</vt:lpwstr>
  </property>
  <property fmtid="{D5CDD505-2E9C-101B-9397-08002B2CF9AE}" pid="6" name="bjDocumentLabelXML-0">
    <vt:lpwstr>ames.com/2008/01/sie/internal/label"&gt;&lt;element uid="0396dc7d-9d2f-459d-9e03-6e8dc85fa202" value="" /&gt;&lt;element uid="bc9373da-fcfa-4469-a78f-e552654443e3" value="" /&gt;&lt;/sisl&gt;</vt:lpwstr>
  </property>
  <property fmtid="{D5CDD505-2E9C-101B-9397-08002B2CF9AE}" pid="7" name="bjDocumentSecurityLabel">
    <vt:lpwstr>Personal</vt:lpwstr>
  </property>
  <property fmtid="{D5CDD505-2E9C-101B-9397-08002B2CF9AE}" pid="8" name="DLP">
    <vt:lpwstr>{[*Others Personal*]}</vt:lpwstr>
  </property>
  <property fmtid="{D5CDD505-2E9C-101B-9397-08002B2CF9AE}" pid="9" name="bjFooterBothDocProperty">
    <vt:lpwstr>This information/document has been classified: Personal</vt:lpwstr>
  </property>
  <property fmtid="{D5CDD505-2E9C-101B-9397-08002B2CF9AE}" pid="10" name="bjFooterFirstPageDocProperty">
    <vt:lpwstr>This information/document has been classified: Personal</vt:lpwstr>
  </property>
  <property fmtid="{D5CDD505-2E9C-101B-9397-08002B2CF9AE}" pid="11" name="bjFooterEvenPageDocProperty">
    <vt:lpwstr>This information/document has been classified: Personal</vt:lpwstr>
  </property>
  <property fmtid="{D5CDD505-2E9C-101B-9397-08002B2CF9AE}" pid="12" name="bjClsUserRVM">
    <vt:lpwstr>[{"VisualMarkingType":2,"ShapeName":"","ApplyMarking":false}]</vt:lpwstr>
  </property>
</Properties>
</file>