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bookmarkStart w:id="0" w:name="_GoBack"/>
      <w:bookmarkEnd w:id="0"/>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795C25" w:rsidRDefault="00A6325B" w:rsidP="006F4751">
      <w:pPr>
        <w:pStyle w:val="ListParagraph"/>
        <w:numPr>
          <w:ilvl w:val="1"/>
          <w:numId w:val="5"/>
        </w:numPr>
        <w:ind w:left="426"/>
        <w:jc w:val="both"/>
        <w:rPr>
          <w:rFonts w:ascii="Arial" w:hAnsi="Arial" w:cs="Arial"/>
          <w:sz w:val="22"/>
          <w:szCs w:val="22"/>
          <w:highlight w:val="yellow"/>
          <w:lang w:val="en-GB"/>
        </w:rPr>
      </w:pPr>
      <w:r w:rsidRPr="00795C25">
        <w:rPr>
          <w:rFonts w:ascii="Arial" w:hAnsi="Arial" w:cs="Arial"/>
          <w:sz w:val="22"/>
          <w:szCs w:val="22"/>
          <w:highlight w:val="yellow"/>
          <w:lang w:val="en-GB"/>
        </w:rPr>
        <w:t>a</w:t>
      </w:r>
      <w:r w:rsidR="00286642" w:rsidRPr="00795C25">
        <w:rPr>
          <w:rFonts w:ascii="Arial" w:hAnsi="Arial" w:cs="Arial"/>
          <w:sz w:val="22"/>
          <w:szCs w:val="22"/>
          <w:highlight w:val="yellow"/>
          <w:lang w:val="en-GB"/>
        </w:rPr>
        <w:t>ny of the above</w:t>
      </w:r>
      <w:r w:rsidRPr="00795C25">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BE70CF" w:rsidRDefault="005D093D" w:rsidP="009578F6">
      <w:pPr>
        <w:pStyle w:val="ListParagraph"/>
        <w:numPr>
          <w:ilvl w:val="0"/>
          <w:numId w:val="6"/>
        </w:numPr>
        <w:ind w:left="426"/>
        <w:jc w:val="both"/>
        <w:rPr>
          <w:rFonts w:ascii="Arial" w:hAnsi="Arial" w:cs="Arial"/>
          <w:sz w:val="22"/>
          <w:szCs w:val="22"/>
          <w:highlight w:val="yellow"/>
          <w:lang w:val="en-GB"/>
        </w:rPr>
      </w:pPr>
      <w:r w:rsidRPr="00BE70CF">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F558E7" w:rsidRDefault="00B81F6E" w:rsidP="006F4751">
      <w:pPr>
        <w:pStyle w:val="ListParagraph"/>
        <w:numPr>
          <w:ilvl w:val="1"/>
          <w:numId w:val="7"/>
        </w:numPr>
        <w:ind w:left="426"/>
        <w:jc w:val="both"/>
        <w:rPr>
          <w:rFonts w:ascii="Arial" w:hAnsi="Arial" w:cs="Arial"/>
          <w:sz w:val="22"/>
          <w:szCs w:val="22"/>
          <w:highlight w:val="yellow"/>
          <w:lang w:val="en-GB"/>
        </w:rPr>
      </w:pPr>
      <w:r w:rsidRPr="00F558E7">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D37174" w:rsidRDefault="00FE53A3" w:rsidP="009578F6">
      <w:pPr>
        <w:pStyle w:val="ListParagraph"/>
        <w:numPr>
          <w:ilvl w:val="0"/>
          <w:numId w:val="8"/>
        </w:numPr>
        <w:ind w:left="426"/>
        <w:jc w:val="both"/>
        <w:rPr>
          <w:rFonts w:ascii="Arial" w:hAnsi="Arial" w:cs="Arial"/>
          <w:sz w:val="22"/>
          <w:szCs w:val="22"/>
          <w:highlight w:val="yellow"/>
          <w:lang w:val="en-GB"/>
        </w:rPr>
      </w:pPr>
      <w:r w:rsidRPr="00D37174">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863B25" w:rsidRDefault="0041438F" w:rsidP="009578F6">
      <w:pPr>
        <w:pStyle w:val="ListParagraph"/>
        <w:numPr>
          <w:ilvl w:val="0"/>
          <w:numId w:val="9"/>
        </w:numPr>
        <w:ind w:left="426"/>
        <w:jc w:val="both"/>
        <w:rPr>
          <w:rFonts w:ascii="Arial" w:hAnsi="Arial" w:cs="Arial"/>
          <w:sz w:val="22"/>
          <w:szCs w:val="22"/>
          <w:highlight w:val="yellow"/>
          <w:lang w:val="en-GB"/>
        </w:rPr>
      </w:pPr>
      <w:r w:rsidRPr="00863B25">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12D4549C" w:rsidR="006F4751" w:rsidRPr="00495F4B" w:rsidRDefault="006F4751" w:rsidP="009578F6">
      <w:pPr>
        <w:pStyle w:val="ListParagraph"/>
        <w:numPr>
          <w:ilvl w:val="0"/>
          <w:numId w:val="10"/>
        </w:numPr>
        <w:ind w:left="426"/>
        <w:jc w:val="both"/>
        <w:rPr>
          <w:rFonts w:ascii="Arial" w:hAnsi="Arial" w:cs="Arial"/>
          <w:sz w:val="22"/>
          <w:szCs w:val="22"/>
          <w:highlight w:val="yellow"/>
          <w:lang w:val="en-GB"/>
        </w:rPr>
      </w:pPr>
      <w:r w:rsidRPr="00495F4B">
        <w:rPr>
          <w:rFonts w:ascii="Arial" w:hAnsi="Arial" w:cs="Arial"/>
          <w:sz w:val="22"/>
          <w:szCs w:val="22"/>
          <w:highlight w:val="yellow"/>
          <w:lang w:val="en-GB"/>
        </w:rPr>
        <w:t>none of above.</w:t>
      </w:r>
    </w:p>
    <w:p w14:paraId="0BB41AE4" w14:textId="77777777" w:rsidR="00495F4B" w:rsidRPr="00495F4B" w:rsidRDefault="00495F4B" w:rsidP="00495F4B">
      <w:pPr>
        <w:pStyle w:val="ListParagraph"/>
        <w:rPr>
          <w:rFonts w:ascii="Arial" w:hAnsi="Arial" w:cs="Arial"/>
          <w:sz w:val="22"/>
          <w:szCs w:val="22"/>
          <w:lang w:val="en-GB"/>
        </w:rPr>
      </w:pPr>
    </w:p>
    <w:p w14:paraId="76BEAB07" w14:textId="77777777" w:rsidR="00495F4B" w:rsidRPr="00E76657" w:rsidRDefault="00495F4B" w:rsidP="00495F4B">
      <w:pPr>
        <w:pStyle w:val="ListParagraph"/>
        <w:ind w:left="426"/>
        <w:jc w:val="both"/>
        <w:rPr>
          <w:rFonts w:ascii="Arial" w:hAnsi="Arial" w:cs="Arial"/>
          <w:sz w:val="22"/>
          <w:szCs w:val="22"/>
          <w:lang w:val="en-GB"/>
        </w:rPr>
      </w:pP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1" w:name="_Hlk83037526"/>
      <w:r w:rsidRPr="009578F6">
        <w:rPr>
          <w:rFonts w:ascii="Arial" w:hAnsi="Arial" w:cs="Arial"/>
          <w:sz w:val="22"/>
          <w:szCs w:val="22"/>
          <w:lang w:val="en-GB"/>
        </w:rPr>
        <w:t>from t</w:t>
      </w:r>
      <w:bookmarkEnd w:id="1"/>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810CC7"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810CC7">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AE5FC1" w:rsidRDefault="00B22016" w:rsidP="00B22016">
      <w:pPr>
        <w:pStyle w:val="ListParagraph"/>
        <w:numPr>
          <w:ilvl w:val="1"/>
          <w:numId w:val="14"/>
        </w:numPr>
        <w:ind w:left="426"/>
        <w:jc w:val="both"/>
        <w:rPr>
          <w:rFonts w:ascii="Arial" w:hAnsi="Arial" w:cs="Arial"/>
          <w:sz w:val="22"/>
          <w:szCs w:val="22"/>
          <w:highlight w:val="yellow"/>
          <w:lang w:val="en-GB"/>
        </w:rPr>
      </w:pPr>
      <w:r w:rsidRPr="00AE5FC1">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1B2F4E" w:rsidRDefault="005D54B3" w:rsidP="005D54B3">
      <w:pPr>
        <w:pStyle w:val="ListParagraph"/>
        <w:numPr>
          <w:ilvl w:val="0"/>
          <w:numId w:val="15"/>
        </w:numPr>
        <w:ind w:left="426"/>
        <w:jc w:val="both"/>
        <w:rPr>
          <w:rFonts w:ascii="Arial" w:hAnsi="Arial" w:cs="Arial"/>
          <w:sz w:val="22"/>
          <w:szCs w:val="22"/>
          <w:highlight w:val="yellow"/>
          <w:lang w:val="en-GB"/>
        </w:rPr>
      </w:pPr>
      <w:r w:rsidRPr="001B2F4E">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5883B122" w:rsid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47F4696" w14:textId="77777777" w:rsidR="00681FFD" w:rsidRPr="00681FFD" w:rsidRDefault="00681FFD" w:rsidP="00681FFD">
      <w:pPr>
        <w:pStyle w:val="ListParagraph"/>
        <w:rPr>
          <w:rFonts w:ascii="Arial" w:hAnsi="Arial" w:cs="Arial"/>
          <w:sz w:val="22"/>
          <w:szCs w:val="22"/>
          <w:lang w:val="en-GB"/>
        </w:rPr>
      </w:pPr>
    </w:p>
    <w:p w14:paraId="4F2F4BE4" w14:textId="77777777" w:rsidR="00681FFD" w:rsidRPr="009578F6" w:rsidRDefault="00681FFD" w:rsidP="00681FFD">
      <w:pPr>
        <w:pStyle w:val="ListParagraph"/>
        <w:ind w:left="426"/>
        <w:jc w:val="both"/>
        <w:rPr>
          <w:rFonts w:ascii="Arial" w:hAnsi="Arial" w:cs="Arial"/>
          <w:sz w:val="22"/>
          <w:szCs w:val="22"/>
          <w:lang w:val="en-GB"/>
        </w:rPr>
      </w:pP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681FFD" w:rsidRDefault="009578F6" w:rsidP="009578F6">
      <w:pPr>
        <w:pStyle w:val="ListParagraph"/>
        <w:numPr>
          <w:ilvl w:val="0"/>
          <w:numId w:val="18"/>
        </w:numPr>
        <w:ind w:left="426"/>
        <w:jc w:val="both"/>
        <w:rPr>
          <w:rFonts w:ascii="Arial" w:hAnsi="Arial" w:cs="Arial"/>
          <w:sz w:val="22"/>
          <w:szCs w:val="22"/>
          <w:highlight w:val="yellow"/>
          <w:lang w:val="en-GB"/>
        </w:rPr>
      </w:pPr>
      <w:r w:rsidRPr="00681FFD">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68E8653D" w14:textId="2279ECC0" w:rsidR="002A4609" w:rsidRDefault="00235ED0" w:rsidP="002A460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a Hong Kong court to exercise its bankruptcy jurisdiction</w:t>
      </w:r>
      <w:r w:rsidR="002A4609">
        <w:rPr>
          <w:rFonts w:ascii="Arial" w:hAnsi="Arial" w:cs="Arial"/>
          <w:color w:val="7B7B7B" w:themeColor="accent3" w:themeShade="BF"/>
          <w:sz w:val="22"/>
          <w:szCs w:val="22"/>
        </w:rPr>
        <w:t xml:space="preserve">, the debtor must be an individual and section 4(1) of the Bankruptcy Ordinance provides that the debtor must – </w:t>
      </w:r>
    </w:p>
    <w:p w14:paraId="3459784E" w14:textId="67691450" w:rsidR="002A4609" w:rsidRDefault="002A4609" w:rsidP="002A4609">
      <w:pPr>
        <w:jc w:val="both"/>
        <w:rPr>
          <w:rFonts w:ascii="Arial" w:hAnsi="Arial" w:cs="Arial"/>
          <w:color w:val="7B7B7B" w:themeColor="accent3" w:themeShade="BF"/>
          <w:sz w:val="22"/>
          <w:szCs w:val="22"/>
        </w:rPr>
      </w:pPr>
    </w:p>
    <w:p w14:paraId="453D21F2" w14:textId="5E2DD154" w:rsidR="002A4609" w:rsidRDefault="002A4609" w:rsidP="002A4609">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domiciled in Hong Kong;</w:t>
      </w:r>
    </w:p>
    <w:p w14:paraId="22DF3CDB" w14:textId="155836C7" w:rsidR="002A4609" w:rsidRDefault="002A4609" w:rsidP="002A4609">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personally present in Hong Kong on the day on which the petition is presented; or</w:t>
      </w:r>
    </w:p>
    <w:p w14:paraId="40EAD55B" w14:textId="423B3E70" w:rsidR="002A4609" w:rsidRDefault="002A4609" w:rsidP="002A4609">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any time in the period of 3 years ending with that day – </w:t>
      </w:r>
    </w:p>
    <w:p w14:paraId="75D713D8" w14:textId="77777777" w:rsidR="00B92183" w:rsidRDefault="00B92183" w:rsidP="00B92183">
      <w:pPr>
        <w:pStyle w:val="ListParagraph"/>
        <w:jc w:val="both"/>
        <w:rPr>
          <w:rFonts w:ascii="Arial" w:hAnsi="Arial" w:cs="Arial"/>
          <w:color w:val="7B7B7B" w:themeColor="accent3" w:themeShade="BF"/>
          <w:sz w:val="22"/>
          <w:szCs w:val="22"/>
        </w:rPr>
      </w:pPr>
    </w:p>
    <w:p w14:paraId="6732A05D" w14:textId="325C97D2" w:rsidR="002A4609" w:rsidRDefault="002A4609" w:rsidP="002A4609">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been ordinarily resident, or has had a place of residence, in Hong Kong; or</w:t>
      </w:r>
    </w:p>
    <w:p w14:paraId="06B5E14D" w14:textId="4B299645" w:rsidR="002A4609" w:rsidRDefault="002A4609" w:rsidP="002A4609">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carried on business in Hong Kong.</w:t>
      </w:r>
    </w:p>
    <w:p w14:paraId="11BECB45" w14:textId="1E630CC9" w:rsidR="002A4609" w:rsidRDefault="002A4609" w:rsidP="002A4609">
      <w:pPr>
        <w:jc w:val="both"/>
        <w:rPr>
          <w:rFonts w:ascii="Arial" w:hAnsi="Arial" w:cs="Arial"/>
          <w:color w:val="7B7B7B" w:themeColor="accent3" w:themeShade="BF"/>
          <w:sz w:val="22"/>
          <w:szCs w:val="22"/>
        </w:rPr>
      </w:pPr>
    </w:p>
    <w:p w14:paraId="58EE4114" w14:textId="542655E3" w:rsidR="002A4609" w:rsidRDefault="002A4609" w:rsidP="002A460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4(2) of the Bankruptcy Ordinance further elaborates that a debtor carrying on business </w:t>
      </w:r>
      <w:r w:rsidR="00861C30">
        <w:rPr>
          <w:rFonts w:ascii="Arial" w:hAnsi="Arial" w:cs="Arial"/>
          <w:color w:val="7B7B7B" w:themeColor="accent3" w:themeShade="BF"/>
          <w:sz w:val="22"/>
          <w:szCs w:val="22"/>
        </w:rPr>
        <w:t xml:space="preserve">in this regard </w:t>
      </w:r>
      <w:r>
        <w:rPr>
          <w:rFonts w:ascii="Arial" w:hAnsi="Arial" w:cs="Arial"/>
          <w:color w:val="7B7B7B" w:themeColor="accent3" w:themeShade="BF"/>
          <w:sz w:val="22"/>
          <w:szCs w:val="22"/>
        </w:rPr>
        <w:t>includes</w:t>
      </w:r>
      <w:r w:rsidR="00861C30">
        <w:rPr>
          <w:rFonts w:ascii="Arial" w:hAnsi="Arial" w:cs="Arial"/>
          <w:color w:val="7B7B7B" w:themeColor="accent3" w:themeShade="BF"/>
          <w:sz w:val="22"/>
          <w:szCs w:val="22"/>
        </w:rPr>
        <w:t xml:space="preserve"> the carrying on of business – </w:t>
      </w:r>
    </w:p>
    <w:p w14:paraId="45114170" w14:textId="65B9B27D" w:rsidR="00861C30" w:rsidRDefault="00861C30" w:rsidP="002A4609">
      <w:pPr>
        <w:jc w:val="both"/>
        <w:rPr>
          <w:rFonts w:ascii="Arial" w:hAnsi="Arial" w:cs="Arial"/>
          <w:color w:val="7B7B7B" w:themeColor="accent3" w:themeShade="BF"/>
          <w:sz w:val="22"/>
          <w:szCs w:val="22"/>
        </w:rPr>
      </w:pPr>
    </w:p>
    <w:p w14:paraId="20015F65" w14:textId="54B71EA8" w:rsidR="00861C30" w:rsidRDefault="00861C30" w:rsidP="00861C30">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by a firm or partnership of which the debtor is a member; and</w:t>
      </w:r>
    </w:p>
    <w:p w14:paraId="7EC44EC0" w14:textId="4FF77A18" w:rsidR="00861C30" w:rsidRPr="00861C30" w:rsidRDefault="00861C30" w:rsidP="00861C30">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by an agent or manager for the debtor or for such firm or partnership.</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36C0E842" w14:textId="541BE32F" w:rsidR="00193428" w:rsidRDefault="00861C30" w:rsidP="00861C30">
      <w:pPr>
        <w:jc w:val="both"/>
        <w:rPr>
          <w:rFonts w:ascii="Arial" w:hAnsi="Arial" w:cs="Arial"/>
          <w:color w:val="7B7B7B" w:themeColor="accent3" w:themeShade="BF"/>
          <w:sz w:val="22"/>
          <w:szCs w:val="22"/>
        </w:rPr>
      </w:pPr>
      <w:r w:rsidRPr="00861C30">
        <w:rPr>
          <w:rFonts w:ascii="Arial" w:hAnsi="Arial" w:cs="Arial"/>
          <w:color w:val="7B7B7B" w:themeColor="accent3" w:themeShade="BF"/>
          <w:sz w:val="22"/>
          <w:szCs w:val="22"/>
        </w:rPr>
        <w:t xml:space="preserve">For the Hong Kong court to exercise its jurisdiction to </w:t>
      </w:r>
      <w:r>
        <w:rPr>
          <w:rFonts w:ascii="Arial" w:hAnsi="Arial" w:cs="Arial"/>
          <w:color w:val="7B7B7B" w:themeColor="accent3" w:themeShade="BF"/>
          <w:sz w:val="22"/>
          <w:szCs w:val="22"/>
        </w:rPr>
        <w:t xml:space="preserve">wind up a non-Hong Kong company, the petitioner has to </w:t>
      </w:r>
      <w:r w:rsidR="00DF3DFD">
        <w:rPr>
          <w:rFonts w:ascii="Arial" w:hAnsi="Arial" w:cs="Arial"/>
          <w:color w:val="7B7B7B" w:themeColor="accent3" w:themeShade="BF"/>
          <w:sz w:val="22"/>
          <w:szCs w:val="22"/>
        </w:rPr>
        <w:t>satisfy</w:t>
      </w:r>
      <w:r>
        <w:rPr>
          <w:rFonts w:ascii="Arial" w:hAnsi="Arial" w:cs="Arial"/>
          <w:color w:val="7B7B7B" w:themeColor="accent3" w:themeShade="BF"/>
          <w:sz w:val="22"/>
          <w:szCs w:val="22"/>
        </w:rPr>
        <w:t xml:space="preserve"> three “core requirements”</w:t>
      </w:r>
      <w:r w:rsidR="00DF3DFD">
        <w:rPr>
          <w:rFonts w:ascii="Arial" w:hAnsi="Arial" w:cs="Arial"/>
          <w:color w:val="7B7B7B" w:themeColor="accent3" w:themeShade="BF"/>
          <w:sz w:val="22"/>
          <w:szCs w:val="22"/>
        </w:rPr>
        <w:t>, as set out by the Court of Final Appeals in the Yung Kee case,</w:t>
      </w:r>
      <w:r w:rsidR="00DF3DFD">
        <w:rPr>
          <w:rStyle w:val="FootnoteReference"/>
          <w:rFonts w:ascii="Arial" w:hAnsi="Arial" w:cs="Arial"/>
          <w:color w:val="7B7B7B" w:themeColor="accent3" w:themeShade="BF"/>
          <w:sz w:val="22"/>
          <w:szCs w:val="22"/>
        </w:rPr>
        <w:footnoteReference w:id="1"/>
      </w:r>
      <w:r>
        <w:rPr>
          <w:rFonts w:ascii="Arial" w:hAnsi="Arial" w:cs="Arial"/>
          <w:color w:val="7B7B7B" w:themeColor="accent3" w:themeShade="BF"/>
          <w:sz w:val="22"/>
          <w:szCs w:val="22"/>
        </w:rPr>
        <w:t xml:space="preserve"> as </w:t>
      </w:r>
      <w:r w:rsidR="00DF3DFD">
        <w:rPr>
          <w:rFonts w:ascii="Arial" w:hAnsi="Arial" w:cs="Arial"/>
          <w:color w:val="7B7B7B" w:themeColor="accent3" w:themeShade="BF"/>
          <w:sz w:val="22"/>
          <w:szCs w:val="22"/>
        </w:rPr>
        <w:t>follows:</w:t>
      </w:r>
    </w:p>
    <w:p w14:paraId="250A71D4" w14:textId="1CBD8FE9" w:rsidR="00DF3DFD" w:rsidRPr="00DF3DFD" w:rsidRDefault="00DF3DFD" w:rsidP="00861C30">
      <w:pPr>
        <w:jc w:val="both"/>
        <w:rPr>
          <w:rFonts w:ascii="Arial" w:hAnsi="Arial" w:cs="Arial"/>
          <w:color w:val="7B7B7B" w:themeColor="accent3" w:themeShade="BF"/>
          <w:sz w:val="22"/>
          <w:szCs w:val="22"/>
        </w:rPr>
      </w:pPr>
    </w:p>
    <w:p w14:paraId="37422451" w14:textId="4D7986B5" w:rsidR="00DF3DFD" w:rsidRPr="00DF3DFD" w:rsidRDefault="00DF3DFD" w:rsidP="00DF3DFD">
      <w:pPr>
        <w:pStyle w:val="ListParagraph"/>
        <w:numPr>
          <w:ilvl w:val="0"/>
          <w:numId w:val="32"/>
        </w:numPr>
        <w:jc w:val="both"/>
        <w:rPr>
          <w:rFonts w:ascii="Arial" w:hAnsi="Arial" w:cs="Arial"/>
          <w:color w:val="7B7B7B" w:themeColor="accent3" w:themeShade="BF"/>
          <w:sz w:val="22"/>
          <w:szCs w:val="22"/>
          <w:lang w:val="en-GB"/>
        </w:rPr>
      </w:pPr>
      <w:r w:rsidRPr="00DF3DFD">
        <w:rPr>
          <w:rFonts w:ascii="Arial" w:hAnsi="Arial" w:cs="Arial"/>
          <w:color w:val="7B7B7B" w:themeColor="accent3" w:themeShade="BF"/>
          <w:sz w:val="22"/>
          <w:szCs w:val="22"/>
        </w:rPr>
        <w:t xml:space="preserve">there had to be a sufficient connection with Hong Kong, but this did not necessarily have to </w:t>
      </w:r>
      <w:r w:rsidR="00B92183">
        <w:rPr>
          <w:rFonts w:ascii="Arial" w:hAnsi="Arial" w:cs="Arial"/>
          <w:color w:val="7B7B7B" w:themeColor="accent3" w:themeShade="BF"/>
          <w:sz w:val="22"/>
          <w:szCs w:val="22"/>
        </w:rPr>
        <w:t>consist in</w:t>
      </w:r>
      <w:r w:rsidRPr="00DF3DFD">
        <w:rPr>
          <w:rFonts w:ascii="Arial" w:hAnsi="Arial" w:cs="Arial"/>
          <w:color w:val="7B7B7B" w:themeColor="accent3" w:themeShade="BF"/>
          <w:sz w:val="22"/>
          <w:szCs w:val="22"/>
        </w:rPr>
        <w:t xml:space="preserve"> the presence of assets within the jurisdiction;</w:t>
      </w:r>
    </w:p>
    <w:p w14:paraId="792D51D6" w14:textId="6C06CA82" w:rsidR="00DF3DFD" w:rsidRDefault="00DF3DFD" w:rsidP="00DF3DFD">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must be a reasonable possibility that the winding-up order would benefit those applying for it; and</w:t>
      </w:r>
    </w:p>
    <w:p w14:paraId="1D2F3655" w14:textId="7E313E98" w:rsidR="00DF3DFD" w:rsidRDefault="00DF3DFD" w:rsidP="00DF3DFD">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must be able to exercise jurisdiction over one or more persons</w:t>
      </w:r>
      <w:r w:rsidR="00B92183">
        <w:rPr>
          <w:rFonts w:ascii="Arial" w:hAnsi="Arial" w:cs="Arial"/>
          <w:color w:val="7B7B7B" w:themeColor="accent3" w:themeShade="BF"/>
          <w:sz w:val="22"/>
          <w:szCs w:val="22"/>
          <w:lang w:val="en-GB"/>
        </w:rPr>
        <w:t xml:space="preserve"> interested</w:t>
      </w:r>
      <w:r>
        <w:rPr>
          <w:rFonts w:ascii="Arial" w:hAnsi="Arial" w:cs="Arial"/>
          <w:color w:val="7B7B7B" w:themeColor="accent3" w:themeShade="BF"/>
          <w:sz w:val="22"/>
          <w:szCs w:val="22"/>
          <w:lang w:val="en-GB"/>
        </w:rPr>
        <w:t xml:space="preserve"> in the distribution of the company’s assets.</w:t>
      </w:r>
    </w:p>
    <w:p w14:paraId="6E0194B5" w14:textId="2F5310AB" w:rsidR="00DF3DFD" w:rsidRDefault="00DF3DFD" w:rsidP="00DF3DFD">
      <w:pPr>
        <w:jc w:val="both"/>
        <w:rPr>
          <w:rFonts w:ascii="Arial" w:hAnsi="Arial" w:cs="Arial"/>
          <w:color w:val="7B7B7B" w:themeColor="accent3" w:themeShade="BF"/>
          <w:sz w:val="22"/>
          <w:szCs w:val="22"/>
          <w:lang w:val="en-GB"/>
        </w:rPr>
      </w:pPr>
    </w:p>
    <w:p w14:paraId="20B32AB8" w14:textId="11D28B4C" w:rsidR="00DF3DFD" w:rsidRPr="00DF3DFD" w:rsidRDefault="00B92183" w:rsidP="00DF3D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of Final Appeals also held that o</w:t>
      </w:r>
      <w:r w:rsidR="00DF3DFD">
        <w:rPr>
          <w:rFonts w:ascii="Arial" w:hAnsi="Arial" w:cs="Arial"/>
          <w:color w:val="7B7B7B" w:themeColor="accent3" w:themeShade="BF"/>
          <w:sz w:val="22"/>
          <w:szCs w:val="22"/>
          <w:lang w:val="en-GB"/>
        </w:rPr>
        <w:t xml:space="preserve">nce </w:t>
      </w:r>
      <w:r>
        <w:rPr>
          <w:rFonts w:ascii="Arial" w:hAnsi="Arial" w:cs="Arial"/>
          <w:color w:val="7B7B7B" w:themeColor="accent3" w:themeShade="BF"/>
          <w:sz w:val="22"/>
          <w:szCs w:val="22"/>
          <w:lang w:val="en-GB"/>
        </w:rPr>
        <w:t>a sufficient connection to Hong Kong is established, the jurisdiction is established even after the “original” connecting factors cease to exist.</w:t>
      </w:r>
    </w:p>
    <w:p w14:paraId="51832862" w14:textId="55369F13" w:rsidR="00193428" w:rsidRDefault="00193428" w:rsidP="002A37BB">
      <w:pPr>
        <w:ind w:left="720" w:hanging="720"/>
        <w:jc w:val="both"/>
        <w:rPr>
          <w:rFonts w:ascii="Arial" w:hAnsi="Arial" w:cs="Arial"/>
          <w:sz w:val="22"/>
          <w:szCs w:val="22"/>
          <w:lang w:val="en-GB"/>
        </w:rPr>
      </w:pPr>
    </w:p>
    <w:p w14:paraId="2B818C26" w14:textId="23EA4507" w:rsidR="00B92183" w:rsidRDefault="00B92183" w:rsidP="002A37BB">
      <w:pPr>
        <w:ind w:left="720" w:hanging="720"/>
        <w:jc w:val="both"/>
        <w:rPr>
          <w:rFonts w:ascii="Arial" w:hAnsi="Arial" w:cs="Arial"/>
          <w:sz w:val="22"/>
          <w:szCs w:val="22"/>
          <w:lang w:val="en-GB"/>
        </w:rPr>
      </w:pPr>
    </w:p>
    <w:p w14:paraId="60006C38" w14:textId="77777777" w:rsidR="00B92183" w:rsidRPr="00893B7C" w:rsidRDefault="00B92183" w:rsidP="00B92183">
      <w:pPr>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lastRenderedPageBreak/>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0840C344" w:rsidR="003C10EB" w:rsidRDefault="00E42F18" w:rsidP="00C4173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 may be appointed </w:t>
      </w:r>
      <w:r w:rsidR="00C41732">
        <w:rPr>
          <w:rFonts w:ascii="Arial" w:hAnsi="Arial" w:cs="Arial"/>
          <w:color w:val="7B7B7B" w:themeColor="accent3" w:themeShade="BF"/>
          <w:sz w:val="22"/>
          <w:szCs w:val="22"/>
        </w:rPr>
        <w:t xml:space="preserve">after a winding-up petition has been presented and before a winding-up order is made (s.193 of the Companies (Winding Up and Miscellaneous Provisions) Ordinance (“CWUMPO”)). Where urgent, the application for appointment of provisional liquidator can be made concurrently with presentation of the petition. </w:t>
      </w:r>
    </w:p>
    <w:p w14:paraId="378FAF91" w14:textId="1E4F196E" w:rsidR="00C41732" w:rsidRDefault="00C41732" w:rsidP="00C41732">
      <w:pPr>
        <w:jc w:val="both"/>
        <w:rPr>
          <w:rFonts w:ascii="Arial" w:hAnsi="Arial" w:cs="Arial"/>
          <w:color w:val="7B7B7B" w:themeColor="accent3" w:themeShade="BF"/>
          <w:sz w:val="22"/>
          <w:szCs w:val="22"/>
        </w:rPr>
      </w:pPr>
    </w:p>
    <w:p w14:paraId="5B8F5CF0" w14:textId="2A1703EF" w:rsidR="00C41732" w:rsidRDefault="00C41732" w:rsidP="00C4173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 may be appointed in the circumstances where there is jeopardy to the company’s assets</w:t>
      </w:r>
      <w:r w:rsidR="0075785D">
        <w:rPr>
          <w:rFonts w:ascii="Arial" w:hAnsi="Arial" w:cs="Arial"/>
          <w:color w:val="7B7B7B" w:themeColor="accent3" w:themeShade="BF"/>
          <w:sz w:val="22"/>
          <w:szCs w:val="22"/>
        </w:rPr>
        <w:t>. The provisional liquidator will therefore be appointed for the purposes of preserving the company’s assets.</w:t>
      </w:r>
      <w:r>
        <w:rPr>
          <w:rFonts w:ascii="Arial" w:hAnsi="Arial" w:cs="Arial"/>
          <w:color w:val="7B7B7B" w:themeColor="accent3" w:themeShade="BF"/>
          <w:sz w:val="22"/>
          <w:szCs w:val="22"/>
        </w:rPr>
        <w:t xml:space="preserve"> </w:t>
      </w:r>
      <w:r w:rsidR="0075785D">
        <w:rPr>
          <w:rFonts w:ascii="Arial" w:hAnsi="Arial" w:cs="Arial"/>
          <w:color w:val="7B7B7B" w:themeColor="accent3" w:themeShade="BF"/>
          <w:sz w:val="22"/>
          <w:szCs w:val="22"/>
        </w:rPr>
        <w:t xml:space="preserve">In addition, provided the ground that there is jeopardy to the assets has been satisfied, the provisional liquidator could also be empowered to consider and promulgate a restructuring of the company’s debts. </w:t>
      </w:r>
    </w:p>
    <w:p w14:paraId="4FFEC1D0" w14:textId="7B5E282B" w:rsidR="00E31FB0" w:rsidRDefault="00E31FB0" w:rsidP="00C41732">
      <w:pPr>
        <w:jc w:val="both"/>
        <w:rPr>
          <w:rFonts w:ascii="Arial" w:hAnsi="Arial" w:cs="Arial"/>
          <w:color w:val="7B7B7B" w:themeColor="accent3" w:themeShade="BF"/>
          <w:sz w:val="22"/>
          <w:szCs w:val="22"/>
        </w:rPr>
      </w:pPr>
    </w:p>
    <w:p w14:paraId="0BA244B7" w14:textId="6C138E76" w:rsidR="001869E8" w:rsidRDefault="00E31FB0" w:rsidP="00C4173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Aside from the above, a provisional liquidator can also be appointed</w:t>
      </w:r>
      <w:r w:rsidR="0067135A">
        <w:rPr>
          <w:rFonts w:ascii="Arial" w:hAnsi="Arial" w:cs="Arial"/>
          <w:color w:val="7B7B7B" w:themeColor="accent3" w:themeShade="BF"/>
          <w:sz w:val="22"/>
          <w:szCs w:val="22"/>
        </w:rPr>
        <w:t xml:space="preserve"> as follows</w:t>
      </w:r>
      <w:r>
        <w:rPr>
          <w:rFonts w:ascii="Arial" w:hAnsi="Arial" w:cs="Arial"/>
          <w:color w:val="7B7B7B" w:themeColor="accent3" w:themeShade="BF"/>
          <w:sz w:val="22"/>
          <w:szCs w:val="22"/>
        </w:rPr>
        <w:t xml:space="preserve"> – </w:t>
      </w:r>
    </w:p>
    <w:p w14:paraId="6B632FFD" w14:textId="09DE1FF3" w:rsidR="00E31FB0" w:rsidRDefault="00E31FB0" w:rsidP="00C41732">
      <w:pPr>
        <w:jc w:val="both"/>
        <w:rPr>
          <w:rFonts w:ascii="Arial" w:hAnsi="Arial" w:cs="Arial"/>
          <w:color w:val="7B7B7B" w:themeColor="accent3" w:themeShade="BF"/>
          <w:sz w:val="22"/>
          <w:szCs w:val="22"/>
        </w:rPr>
      </w:pPr>
    </w:p>
    <w:p w14:paraId="297C74FC" w14:textId="190BAAB6" w:rsidR="00E31FB0" w:rsidRDefault="0067135A" w:rsidP="00E31FB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Official Receiver will be appointed as the provisional liquidator following the winding-up order in a compulsory liquidation, pending the meetings of creditors and contributories to pass a resolution for appointment of a liquidator (s.194 of CWUMPO); and</w:t>
      </w:r>
    </w:p>
    <w:p w14:paraId="14D11A38" w14:textId="4115D1D2" w:rsidR="0067135A" w:rsidRPr="00E31FB0" w:rsidRDefault="0067135A" w:rsidP="00E31FB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 will be appointed</w:t>
      </w:r>
      <w:r w:rsidR="008877A5">
        <w:rPr>
          <w:rFonts w:ascii="Arial" w:hAnsi="Arial" w:cs="Arial"/>
          <w:color w:val="7B7B7B" w:themeColor="accent3" w:themeShade="BF"/>
          <w:sz w:val="22"/>
          <w:szCs w:val="22"/>
        </w:rPr>
        <w:t xml:space="preserve"> in an urgent creditors’ voluntary winding-up under s.228A of CWUMPO. This is usually where there is an immediate need for a provisional liquidator, such as when there are perishable goods and other goods that are likely to diminish in value if not immediately disposed </w:t>
      </w:r>
      <w:proofErr w:type="spellStart"/>
      <w:r w:rsidR="008877A5">
        <w:rPr>
          <w:rFonts w:ascii="Arial" w:hAnsi="Arial" w:cs="Arial"/>
          <w:color w:val="7B7B7B" w:themeColor="accent3" w:themeShade="BF"/>
          <w:sz w:val="22"/>
          <w:szCs w:val="22"/>
        </w:rPr>
        <w:t>off</w:t>
      </w:r>
      <w:proofErr w:type="spellEnd"/>
      <w:r w:rsidR="008877A5">
        <w:rPr>
          <w:rFonts w:ascii="Arial" w:hAnsi="Arial" w:cs="Arial"/>
          <w:color w:val="7B7B7B" w:themeColor="accent3" w:themeShade="BF"/>
          <w:sz w:val="22"/>
          <w:szCs w:val="22"/>
        </w:rPr>
        <w:t>.</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 xml:space="preserve">Describe why you think a liquidator is able </w:t>
      </w:r>
      <w:proofErr w:type="gramStart"/>
      <w:r w:rsidRPr="005D446E">
        <w:rPr>
          <w:rFonts w:ascii="Arial" w:hAnsi="Arial" w:cs="Arial"/>
          <w:sz w:val="22"/>
          <w:szCs w:val="22"/>
        </w:rPr>
        <w:t>take action</w:t>
      </w:r>
      <w:proofErr w:type="gramEnd"/>
      <w:r w:rsidRPr="005D446E">
        <w:rPr>
          <w:rFonts w:ascii="Arial" w:hAnsi="Arial" w:cs="Arial"/>
          <w:sz w:val="22"/>
          <w:szCs w:val="22"/>
        </w:rPr>
        <w:t xml:space="preserve">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0555407C" w:rsidR="003C10EB" w:rsidRDefault="00DC6915" w:rsidP="00DC691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liquidator is able to </w:t>
      </w:r>
      <w:proofErr w:type="gramStart"/>
      <w:r>
        <w:rPr>
          <w:rFonts w:ascii="Arial" w:hAnsi="Arial" w:cs="Arial"/>
          <w:color w:val="7B7B7B" w:themeColor="accent3" w:themeShade="BF"/>
          <w:sz w:val="22"/>
          <w:szCs w:val="22"/>
        </w:rPr>
        <w:t>take action</w:t>
      </w:r>
      <w:proofErr w:type="gramEnd"/>
      <w:r>
        <w:rPr>
          <w:rFonts w:ascii="Arial" w:hAnsi="Arial" w:cs="Arial"/>
          <w:color w:val="7B7B7B" w:themeColor="accent3" w:themeShade="BF"/>
          <w:sz w:val="22"/>
          <w:szCs w:val="22"/>
        </w:rPr>
        <w:t xml:space="preserve"> to challenge an unfair preference to ensure that transactions which puts a creditor</w:t>
      </w:r>
      <w:r w:rsidR="00F05291">
        <w:rPr>
          <w:rFonts w:ascii="Arial" w:hAnsi="Arial" w:cs="Arial"/>
          <w:color w:val="7B7B7B" w:themeColor="accent3" w:themeShade="BF"/>
          <w:sz w:val="22"/>
          <w:szCs w:val="22"/>
        </w:rPr>
        <w:t xml:space="preserve"> or a surety/guarantor</w:t>
      </w:r>
      <w:r>
        <w:rPr>
          <w:rFonts w:ascii="Arial" w:hAnsi="Arial" w:cs="Arial"/>
          <w:color w:val="7B7B7B" w:themeColor="accent3" w:themeShade="BF"/>
          <w:sz w:val="22"/>
          <w:szCs w:val="22"/>
        </w:rPr>
        <w:t xml:space="preserve"> in a better position in insolvency tha</w:t>
      </w:r>
      <w:r w:rsidR="00F05291">
        <w:rPr>
          <w:rFonts w:ascii="Arial" w:hAnsi="Arial" w:cs="Arial"/>
          <w:color w:val="7B7B7B" w:themeColor="accent3" w:themeShade="BF"/>
          <w:sz w:val="22"/>
          <w:szCs w:val="22"/>
        </w:rPr>
        <w:t>n</w:t>
      </w:r>
      <w:r>
        <w:rPr>
          <w:rFonts w:ascii="Arial" w:hAnsi="Arial" w:cs="Arial"/>
          <w:color w:val="7B7B7B" w:themeColor="accent3" w:themeShade="BF"/>
          <w:sz w:val="22"/>
          <w:szCs w:val="22"/>
        </w:rPr>
        <w:t xml:space="preserve"> it would</w:t>
      </w:r>
      <w:r w:rsidR="00F05291">
        <w:rPr>
          <w:rFonts w:ascii="Arial" w:hAnsi="Arial" w:cs="Arial"/>
          <w:color w:val="7B7B7B" w:themeColor="accent3" w:themeShade="BF"/>
          <w:sz w:val="22"/>
          <w:szCs w:val="22"/>
        </w:rPr>
        <w:t xml:space="preserve"> otherwise have been, may be voided. If voided, this will increase the pool of assets available for distribution to creditors of the company.</w:t>
      </w:r>
    </w:p>
    <w:p w14:paraId="6C520336" w14:textId="21521472" w:rsidR="00F05291" w:rsidRDefault="00F05291" w:rsidP="00DC6915">
      <w:pPr>
        <w:jc w:val="both"/>
        <w:rPr>
          <w:rFonts w:ascii="Arial" w:hAnsi="Arial" w:cs="Arial"/>
          <w:color w:val="7B7B7B" w:themeColor="accent3" w:themeShade="BF"/>
          <w:sz w:val="22"/>
          <w:szCs w:val="22"/>
        </w:rPr>
      </w:pPr>
    </w:p>
    <w:p w14:paraId="64E72D8E" w14:textId="568FC089" w:rsidR="00F05291" w:rsidRDefault="00F05291" w:rsidP="00DC691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succeed in an application to set aside a transaction for unfair preference, the liquidator has to show that the transaction (which is not at an undervalue) was entered into within the 6 months period prior to commencement of winding-up </w:t>
      </w:r>
      <w:r w:rsidR="0012397B">
        <w:rPr>
          <w:rFonts w:ascii="Arial" w:hAnsi="Arial" w:cs="Arial"/>
          <w:color w:val="7B7B7B" w:themeColor="accent3" w:themeShade="BF"/>
          <w:sz w:val="22"/>
          <w:szCs w:val="22"/>
        </w:rPr>
        <w:t>or, if the undue preference is given to a person connected with the company, within the 2 years’ period prior to commencement of winding-up (s.266B of CWUMPO). S.265</w:t>
      </w:r>
      <w:proofErr w:type="gramStart"/>
      <w:r w:rsidR="0012397B">
        <w:rPr>
          <w:rFonts w:ascii="Arial" w:hAnsi="Arial" w:cs="Arial"/>
          <w:color w:val="7B7B7B" w:themeColor="accent3" w:themeShade="BF"/>
          <w:sz w:val="22"/>
          <w:szCs w:val="22"/>
        </w:rPr>
        <w:t>A(</w:t>
      </w:r>
      <w:proofErr w:type="gramEnd"/>
      <w:r w:rsidR="0012397B">
        <w:rPr>
          <w:rFonts w:ascii="Arial" w:hAnsi="Arial" w:cs="Arial"/>
          <w:color w:val="7B7B7B" w:themeColor="accent3" w:themeShade="BF"/>
          <w:sz w:val="22"/>
          <w:szCs w:val="22"/>
        </w:rPr>
        <w:t>3) CWUMPO provides that a person is connected with a company if that person is –</w:t>
      </w:r>
    </w:p>
    <w:p w14:paraId="4952A645" w14:textId="63DA29DA" w:rsidR="0012397B" w:rsidRDefault="0012397B" w:rsidP="00DC6915">
      <w:pPr>
        <w:jc w:val="both"/>
        <w:rPr>
          <w:rFonts w:ascii="Arial" w:hAnsi="Arial" w:cs="Arial"/>
          <w:color w:val="7B7B7B" w:themeColor="accent3" w:themeShade="BF"/>
          <w:sz w:val="22"/>
          <w:szCs w:val="22"/>
        </w:rPr>
      </w:pPr>
    </w:p>
    <w:p w14:paraId="4384781F" w14:textId="71904E7F" w:rsidR="0012397B" w:rsidRDefault="0012397B" w:rsidP="0012397B">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associate of a director or shadow director of the company; or</w:t>
      </w:r>
    </w:p>
    <w:p w14:paraId="4820435D" w14:textId="0CD51A77" w:rsidR="0012397B" w:rsidRDefault="0012397B" w:rsidP="0012397B">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associate of the company.</w:t>
      </w:r>
    </w:p>
    <w:p w14:paraId="6664FC5A" w14:textId="47341752" w:rsidR="0012397B" w:rsidRDefault="0012397B" w:rsidP="0012397B">
      <w:pPr>
        <w:jc w:val="both"/>
        <w:rPr>
          <w:rFonts w:ascii="Arial" w:hAnsi="Arial" w:cs="Arial"/>
          <w:color w:val="7B7B7B" w:themeColor="accent3" w:themeShade="BF"/>
          <w:sz w:val="22"/>
          <w:szCs w:val="22"/>
        </w:rPr>
      </w:pPr>
    </w:p>
    <w:p w14:paraId="346F7590" w14:textId="05C40C32" w:rsidR="0012397B" w:rsidRDefault="0012397B" w:rsidP="0012397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“Associate” is further elaborated to include a spouse or cohabitant, a relative of the person or the person’s spouse/cohabitant or a spouse of such relative.</w:t>
      </w:r>
    </w:p>
    <w:p w14:paraId="4D149B20" w14:textId="2A9006F9" w:rsidR="0012397B" w:rsidRDefault="0012397B" w:rsidP="0012397B">
      <w:pPr>
        <w:jc w:val="both"/>
        <w:rPr>
          <w:rFonts w:ascii="Arial" w:hAnsi="Arial" w:cs="Arial"/>
          <w:color w:val="7B7B7B" w:themeColor="accent3" w:themeShade="BF"/>
          <w:sz w:val="22"/>
          <w:szCs w:val="22"/>
        </w:rPr>
      </w:pPr>
    </w:p>
    <w:p w14:paraId="4A75ED16" w14:textId="77777777" w:rsidR="0012397B" w:rsidRDefault="0012397B" w:rsidP="0012397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the liquidator will also have to show that, at the time the undue preference was given, the company was unable to pay its debts or became unable to pay its debts as a result of the </w:t>
      </w:r>
      <w:r>
        <w:rPr>
          <w:rFonts w:ascii="Arial" w:hAnsi="Arial" w:cs="Arial"/>
          <w:color w:val="7B7B7B" w:themeColor="accent3" w:themeShade="BF"/>
          <w:sz w:val="22"/>
          <w:szCs w:val="22"/>
        </w:rPr>
        <w:lastRenderedPageBreak/>
        <w:t xml:space="preserve">relevant transaction. The criteria </w:t>
      </w:r>
      <w:proofErr w:type="gramStart"/>
      <w:r>
        <w:rPr>
          <w:rFonts w:ascii="Arial" w:hAnsi="Arial" w:cs="Arial"/>
          <w:color w:val="7B7B7B" w:themeColor="accent3" w:themeShade="BF"/>
          <w:sz w:val="22"/>
          <w:szCs w:val="22"/>
        </w:rPr>
        <w:t>is</w:t>
      </w:r>
      <w:proofErr w:type="gramEnd"/>
      <w:r>
        <w:rPr>
          <w:rFonts w:ascii="Arial" w:hAnsi="Arial" w:cs="Arial"/>
          <w:color w:val="7B7B7B" w:themeColor="accent3" w:themeShade="BF"/>
          <w:sz w:val="22"/>
          <w:szCs w:val="22"/>
        </w:rPr>
        <w:t xml:space="preserve"> presumed to be fulfilled if the undue preference is given to a person connected with the company. Such presumption may be rebutted by the recipient by producing evidence otherwise.</w:t>
      </w:r>
    </w:p>
    <w:p w14:paraId="2D4C57BF" w14:textId="77777777" w:rsidR="0012397B" w:rsidRDefault="0012397B" w:rsidP="0012397B">
      <w:pPr>
        <w:jc w:val="both"/>
        <w:rPr>
          <w:rFonts w:ascii="Arial" w:hAnsi="Arial" w:cs="Arial"/>
          <w:color w:val="7B7B7B" w:themeColor="accent3" w:themeShade="BF"/>
          <w:sz w:val="22"/>
          <w:szCs w:val="22"/>
        </w:rPr>
      </w:pPr>
    </w:p>
    <w:p w14:paraId="72684AF5" w14:textId="1AA0FBFB" w:rsidR="0012397B" w:rsidRDefault="00D41851" w:rsidP="0012397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Finally, the liquidator also has to show that the undue preference was given because the company was influenced by a desire to improve the recipient’s position in the event of insolvency.</w:t>
      </w:r>
      <w:r w:rsidR="0012397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Again, there is a rebuttable presumption that the company was “influenced by desire to prefer” if the undue preference is given to a person connected with the company (s.266(5) CWUMPO). </w:t>
      </w:r>
    </w:p>
    <w:p w14:paraId="2CEF9996" w14:textId="7EE3DB51" w:rsidR="00D41851" w:rsidRDefault="00D41851" w:rsidP="0012397B">
      <w:pPr>
        <w:jc w:val="both"/>
        <w:rPr>
          <w:rFonts w:ascii="Arial" w:hAnsi="Arial" w:cs="Arial"/>
          <w:color w:val="7B7B7B" w:themeColor="accent3" w:themeShade="BF"/>
          <w:sz w:val="22"/>
          <w:szCs w:val="22"/>
        </w:rPr>
      </w:pPr>
    </w:p>
    <w:p w14:paraId="35BCD418" w14:textId="5A8491F0" w:rsidR="00F05291" w:rsidRPr="002B3D54" w:rsidRDefault="00D41851" w:rsidP="00DC691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criteria of “influenced by a desire to prefer” is difficult to demonstrate as</w:t>
      </w:r>
      <w:r w:rsidR="002B3D54">
        <w:rPr>
          <w:rFonts w:ascii="Arial" w:hAnsi="Arial" w:cs="Arial"/>
          <w:color w:val="7B7B7B" w:themeColor="accent3" w:themeShade="BF"/>
          <w:sz w:val="22"/>
          <w:szCs w:val="22"/>
        </w:rPr>
        <w:t xml:space="preserve"> it is not sufficient if</w:t>
      </w:r>
      <w:r>
        <w:rPr>
          <w:rFonts w:ascii="Arial" w:hAnsi="Arial" w:cs="Arial"/>
          <w:color w:val="7B7B7B" w:themeColor="accent3" w:themeShade="BF"/>
          <w:sz w:val="22"/>
          <w:szCs w:val="22"/>
        </w:rPr>
        <w:t xml:space="preserve"> the company </w:t>
      </w:r>
      <w:r w:rsidR="002B3D54">
        <w:rPr>
          <w:rFonts w:ascii="Arial" w:hAnsi="Arial" w:cs="Arial"/>
          <w:color w:val="7B7B7B" w:themeColor="accent3" w:themeShade="BF"/>
          <w:sz w:val="22"/>
          <w:szCs w:val="22"/>
        </w:rPr>
        <w:t xml:space="preserve">had given the undue preference due to genuine pressure exerted over the debts of the company. However, </w:t>
      </w:r>
      <w:proofErr w:type="gramStart"/>
      <w:r w:rsidR="002B3D54">
        <w:rPr>
          <w:rFonts w:ascii="Arial" w:hAnsi="Arial" w:cs="Arial"/>
          <w:color w:val="7B7B7B" w:themeColor="accent3" w:themeShade="BF"/>
          <w:sz w:val="22"/>
          <w:szCs w:val="22"/>
        </w:rPr>
        <w:t>this criteria</w:t>
      </w:r>
      <w:proofErr w:type="gramEnd"/>
      <w:r w:rsidR="002B3D54">
        <w:rPr>
          <w:rFonts w:ascii="Arial" w:hAnsi="Arial" w:cs="Arial"/>
          <w:color w:val="7B7B7B" w:themeColor="accent3" w:themeShade="BF"/>
          <w:sz w:val="22"/>
          <w:szCs w:val="22"/>
        </w:rPr>
        <w:t xml:space="preserve"> can be satisfied if the undue preference was given by the company because personal bankruptcy proceedings were threatened against the company’s directors (rather than pressure against the company itself).</w:t>
      </w:r>
      <w:r>
        <w:rPr>
          <w:rFonts w:ascii="Arial" w:hAnsi="Arial" w:cs="Arial"/>
          <w:color w:val="7B7B7B" w:themeColor="accent3" w:themeShade="BF"/>
          <w:sz w:val="22"/>
          <w:szCs w:val="22"/>
        </w:rPr>
        <w:t xml:space="preserve"> </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760C7F7B" w:rsidR="003C10EB" w:rsidRDefault="002B3D54" w:rsidP="002B3D5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Although Hong Kong is a Special Administrative Region of the People’s Republic of China (PRC), it operates under the principle of “One Country, Two Systems” where </w:t>
      </w:r>
      <w:r w:rsidR="0020067D">
        <w:rPr>
          <w:rFonts w:ascii="Arial" w:hAnsi="Arial" w:cs="Arial"/>
          <w:color w:val="7B7B7B" w:themeColor="accent3" w:themeShade="BF"/>
          <w:sz w:val="22"/>
          <w:szCs w:val="22"/>
        </w:rPr>
        <w:t xml:space="preserve">certain areas, including the legal system, remains under the responsibility of Hong Kong and differs from the position of the Mainland. Accordingly, insolvency proceedings in PRC are treated as foreign proceedings by the Hong Kong courts, and vice versa. </w:t>
      </w:r>
    </w:p>
    <w:p w14:paraId="588386B8" w14:textId="48D4368E" w:rsidR="0020067D" w:rsidRDefault="0020067D" w:rsidP="002B3D54">
      <w:pPr>
        <w:jc w:val="both"/>
        <w:rPr>
          <w:rFonts w:ascii="Arial" w:hAnsi="Arial" w:cs="Arial"/>
          <w:color w:val="7B7B7B" w:themeColor="accent3" w:themeShade="BF"/>
          <w:sz w:val="22"/>
          <w:szCs w:val="22"/>
        </w:rPr>
      </w:pPr>
    </w:p>
    <w:p w14:paraId="103DCD24" w14:textId="0ECA1A33" w:rsidR="0020067D" w:rsidRDefault="0020067D" w:rsidP="002B3D5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Generally, despite the limited formal arrangements, Hong Kong courts are inclined to rely on common law principles to assist foreign representatives, including Mainland proceedings. One example is the case of CCIC Finance v GITIC,</w:t>
      </w:r>
      <w:r w:rsidR="008513AB">
        <w:rPr>
          <w:rFonts w:ascii="Arial" w:hAnsi="Arial" w:cs="Arial"/>
          <w:color w:val="7B7B7B" w:themeColor="accent3" w:themeShade="BF"/>
          <w:sz w:val="22"/>
          <w:szCs w:val="22"/>
        </w:rPr>
        <w:t xml:space="preserve"> where the Hong Kong court stayed garnishee proceedings in Hong Kong against a company which was subject to bankruptcy proceedings in the Mainland.</w:t>
      </w:r>
      <w:r w:rsidR="008513AB">
        <w:rPr>
          <w:rStyle w:val="FootnoteReference"/>
          <w:rFonts w:ascii="Arial" w:hAnsi="Arial" w:cs="Arial"/>
          <w:color w:val="7B7B7B" w:themeColor="accent3" w:themeShade="BF"/>
          <w:sz w:val="22"/>
          <w:szCs w:val="22"/>
        </w:rPr>
        <w:footnoteReference w:id="2"/>
      </w:r>
    </w:p>
    <w:p w14:paraId="7A5BD17E" w14:textId="4802DF30" w:rsidR="008513AB" w:rsidRDefault="008513AB" w:rsidP="002B3D54">
      <w:pPr>
        <w:jc w:val="both"/>
        <w:rPr>
          <w:rFonts w:ascii="Arial" w:hAnsi="Arial" w:cs="Arial"/>
          <w:color w:val="7B7B7B" w:themeColor="accent3" w:themeShade="BF"/>
          <w:sz w:val="22"/>
          <w:szCs w:val="22"/>
        </w:rPr>
      </w:pPr>
    </w:p>
    <w:p w14:paraId="313918B1" w14:textId="194D0EC1" w:rsidR="008513AB" w:rsidRDefault="008513AB" w:rsidP="002B3D5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in addition to common law, there is now a new co-operation mechanism between Hong Kong and the Mainland for mutual recognition and assistance in relation to bankruptcy proceedings. This development arises from the record of meeting between representatives of the Supreme Court in the Mainland and the Hong Kong Government, in order to further the intent of Article 95 of the Basic Law that Hong Kong may maintain juridical relations with the judiciary of other parts of the PRC and may render assistance to each other.</w:t>
      </w:r>
      <w:r>
        <w:rPr>
          <w:rStyle w:val="FootnoteReference"/>
          <w:rFonts w:ascii="Arial" w:hAnsi="Arial" w:cs="Arial"/>
          <w:color w:val="7B7B7B" w:themeColor="accent3" w:themeShade="BF"/>
          <w:sz w:val="22"/>
          <w:szCs w:val="22"/>
        </w:rPr>
        <w:footnoteReference w:id="3"/>
      </w:r>
      <w:r>
        <w:rPr>
          <w:rFonts w:ascii="Arial" w:hAnsi="Arial" w:cs="Arial"/>
          <w:color w:val="7B7B7B" w:themeColor="accent3" w:themeShade="BF"/>
          <w:sz w:val="22"/>
          <w:szCs w:val="22"/>
        </w:rPr>
        <w:t xml:space="preserve"> The mechanism </w:t>
      </w:r>
      <w:r w:rsidR="00CC02CC">
        <w:rPr>
          <w:rFonts w:ascii="Arial" w:hAnsi="Arial" w:cs="Arial"/>
          <w:color w:val="7B7B7B" w:themeColor="accent3" w:themeShade="BF"/>
          <w:sz w:val="22"/>
          <w:szCs w:val="22"/>
        </w:rPr>
        <w:t>allows the parties to apply for recognition and assistance for</w:t>
      </w:r>
      <w:r>
        <w:rPr>
          <w:rFonts w:ascii="Arial" w:hAnsi="Arial" w:cs="Arial"/>
          <w:color w:val="7B7B7B" w:themeColor="accent3" w:themeShade="BF"/>
          <w:sz w:val="22"/>
          <w:szCs w:val="22"/>
        </w:rPr>
        <w:t>:</w:t>
      </w:r>
    </w:p>
    <w:p w14:paraId="741E8851" w14:textId="52609239" w:rsidR="008513AB" w:rsidRDefault="008513AB" w:rsidP="002B3D54">
      <w:pPr>
        <w:jc w:val="both"/>
        <w:rPr>
          <w:rFonts w:ascii="Arial" w:hAnsi="Arial" w:cs="Arial"/>
          <w:color w:val="7B7B7B" w:themeColor="accent3" w:themeShade="BF"/>
          <w:sz w:val="22"/>
          <w:szCs w:val="22"/>
        </w:rPr>
      </w:pPr>
    </w:p>
    <w:p w14:paraId="5DD665DA" w14:textId="2B8EDA08" w:rsidR="008513AB" w:rsidRDefault="008513AB" w:rsidP="008513AB">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CC02CC">
        <w:rPr>
          <w:rFonts w:ascii="Arial" w:hAnsi="Arial" w:cs="Arial"/>
          <w:color w:val="7B7B7B" w:themeColor="accent3" w:themeShade="BF"/>
          <w:sz w:val="22"/>
          <w:szCs w:val="22"/>
        </w:rPr>
        <w:t>Hong Kong insolvency proceedings, including compulsory or voluntary liquidations under CWUMPO as well as schemes of arrangement which are promulgated by a liquidator/provisional liquidator;</w:t>
      </w:r>
    </w:p>
    <w:p w14:paraId="224F20C7" w14:textId="77777777" w:rsidR="00CC02CC" w:rsidRDefault="00CC02CC" w:rsidP="00CC02CC">
      <w:pPr>
        <w:pStyle w:val="ListParagraph"/>
        <w:jc w:val="both"/>
        <w:rPr>
          <w:rFonts w:ascii="Arial" w:hAnsi="Arial" w:cs="Arial"/>
          <w:color w:val="7B7B7B" w:themeColor="accent3" w:themeShade="BF"/>
          <w:sz w:val="22"/>
          <w:szCs w:val="22"/>
        </w:rPr>
      </w:pPr>
    </w:p>
    <w:p w14:paraId="2776F218" w14:textId="1004AFC6" w:rsidR="00CC02CC" w:rsidRPr="00CC02CC" w:rsidRDefault="00CC02CC" w:rsidP="00CC02CC">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certain pilot areas in the Mainland i.e. Shanghai Municipality, Xiamen Municipality and Shenzhen Municipality</w:t>
      </w:r>
      <w:r w:rsidRPr="00CC02CC">
        <w:rPr>
          <w:rFonts w:ascii="Arial" w:hAnsi="Arial" w:cs="Arial"/>
          <w:color w:val="7B7B7B" w:themeColor="accent3" w:themeShade="BF"/>
          <w:sz w:val="22"/>
          <w:szCs w:val="22"/>
        </w:rPr>
        <w:t>.</w:t>
      </w:r>
    </w:p>
    <w:p w14:paraId="47A94494" w14:textId="43B8AC18" w:rsidR="0020067D" w:rsidRDefault="0020067D" w:rsidP="002B3D54">
      <w:pPr>
        <w:jc w:val="both"/>
        <w:rPr>
          <w:rFonts w:ascii="Arial" w:hAnsi="Arial" w:cs="Arial"/>
          <w:color w:val="7B7B7B" w:themeColor="accent3" w:themeShade="BF"/>
          <w:sz w:val="22"/>
          <w:szCs w:val="22"/>
        </w:rPr>
      </w:pPr>
    </w:p>
    <w:p w14:paraId="4863A949" w14:textId="422F547B" w:rsidR="0020067D" w:rsidRDefault="00CC02CC" w:rsidP="002B3D5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a Hong Kong insolvency representative to seek recognition or assistance in the Mainland pilot areas under this mechanism, there must be a letter of request from the Hong Kong court. </w:t>
      </w:r>
      <w:r>
        <w:rPr>
          <w:rFonts w:ascii="Arial" w:hAnsi="Arial" w:cs="Arial"/>
          <w:color w:val="7B7B7B" w:themeColor="accent3" w:themeShade="BF"/>
          <w:sz w:val="22"/>
          <w:szCs w:val="22"/>
        </w:rPr>
        <w:lastRenderedPageBreak/>
        <w:t xml:space="preserve">The </w:t>
      </w:r>
      <w:proofErr w:type="spellStart"/>
      <w:r>
        <w:rPr>
          <w:rFonts w:ascii="Arial" w:hAnsi="Arial" w:cs="Arial"/>
          <w:color w:val="7B7B7B" w:themeColor="accent3" w:themeShade="BF"/>
          <w:sz w:val="22"/>
          <w:szCs w:val="22"/>
        </w:rPr>
        <w:t>centre</w:t>
      </w:r>
      <w:proofErr w:type="spellEnd"/>
      <w:r>
        <w:rPr>
          <w:rFonts w:ascii="Arial" w:hAnsi="Arial" w:cs="Arial"/>
          <w:color w:val="7B7B7B" w:themeColor="accent3" w:themeShade="BF"/>
          <w:sz w:val="22"/>
          <w:szCs w:val="22"/>
        </w:rPr>
        <w:t xml:space="preserve"> of main interests of the debtor company must have been in Hong Kong continuously for at least 6 months when the Hong Kong administrator applies for recognition and assistance. </w:t>
      </w:r>
    </w:p>
    <w:p w14:paraId="2CC8D12B" w14:textId="2F0D3A56" w:rsidR="00CC02CC" w:rsidRDefault="00CC02CC" w:rsidP="002B3D54">
      <w:pPr>
        <w:jc w:val="both"/>
        <w:rPr>
          <w:rFonts w:ascii="Arial" w:hAnsi="Arial" w:cs="Arial"/>
          <w:color w:val="7B7B7B" w:themeColor="accent3" w:themeShade="BF"/>
          <w:sz w:val="22"/>
          <w:szCs w:val="22"/>
        </w:rPr>
      </w:pPr>
    </w:p>
    <w:p w14:paraId="2983B54F" w14:textId="304980CB" w:rsidR="00CC02CC" w:rsidRPr="00CC02CC" w:rsidRDefault="00CC02CC" w:rsidP="002B3D5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mechanism between Hong Kong and the Mainland is still fairly new, but it would </w:t>
      </w:r>
      <w:r w:rsidR="000A798C">
        <w:rPr>
          <w:rFonts w:ascii="Arial" w:hAnsi="Arial" w:cs="Arial"/>
          <w:color w:val="7B7B7B" w:themeColor="accent3" w:themeShade="BF"/>
          <w:sz w:val="22"/>
          <w:szCs w:val="22"/>
        </w:rPr>
        <w:t xml:space="preserve">appear to </w:t>
      </w:r>
      <w:r>
        <w:rPr>
          <w:rFonts w:ascii="Arial" w:hAnsi="Arial" w:cs="Arial"/>
          <w:color w:val="7B7B7B" w:themeColor="accent3" w:themeShade="BF"/>
          <w:sz w:val="22"/>
          <w:szCs w:val="22"/>
        </w:rPr>
        <w:t>ease the mutual recognition and assistance of insolvency proceedings between Hong Kong and the Mainland.</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Pr="00235ED0" w:rsidRDefault="00711999" w:rsidP="00E14FA7">
      <w:pPr>
        <w:jc w:val="both"/>
        <w:rPr>
          <w:rFonts w:ascii="Arial" w:hAnsi="Arial" w:cs="Arial"/>
          <w:sz w:val="22"/>
          <w:szCs w:val="22"/>
          <w:lang w:val="en-MY"/>
        </w:rPr>
      </w:pPr>
    </w:p>
    <w:p w14:paraId="00ED9A3A" w14:textId="0F34F8C8" w:rsidR="00B07B23" w:rsidRDefault="00B07B23" w:rsidP="00B07B2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scheme of arrangement is a court-sanctioned compromise or arrangement between the company and its creditors or members or a class of them, that has statutory effect of binding all such creditors or members, even if not all consents to the scheme. In general, there are three stages for the scheme to be put in place:</w:t>
      </w:r>
      <w:r w:rsidR="009D728E">
        <w:rPr>
          <w:rStyle w:val="FootnoteReference"/>
          <w:rFonts w:ascii="Arial" w:hAnsi="Arial" w:cs="Arial"/>
          <w:color w:val="7B7B7B" w:themeColor="accent3" w:themeShade="BF"/>
          <w:sz w:val="22"/>
          <w:szCs w:val="22"/>
        </w:rPr>
        <w:footnoteReference w:id="4"/>
      </w:r>
    </w:p>
    <w:p w14:paraId="2C634EFD" w14:textId="77777777" w:rsidR="00B07B23" w:rsidRDefault="00B07B23" w:rsidP="00B07B23">
      <w:pPr>
        <w:jc w:val="both"/>
        <w:rPr>
          <w:rFonts w:ascii="Arial" w:hAnsi="Arial" w:cs="Arial"/>
          <w:color w:val="7B7B7B" w:themeColor="accent3" w:themeShade="BF"/>
          <w:sz w:val="22"/>
          <w:szCs w:val="22"/>
        </w:rPr>
      </w:pPr>
    </w:p>
    <w:p w14:paraId="0353AADE" w14:textId="1884EC45" w:rsidR="003C10EB" w:rsidRPr="00B07B23" w:rsidRDefault="00B07B23" w:rsidP="00B07B23">
      <w:pPr>
        <w:pStyle w:val="ListParagraph"/>
        <w:numPr>
          <w:ilvl w:val="0"/>
          <w:numId w:val="36"/>
        </w:numPr>
        <w:jc w:val="both"/>
        <w:rPr>
          <w:rFonts w:ascii="Arial" w:hAnsi="Arial" w:cs="Arial"/>
          <w:sz w:val="22"/>
          <w:szCs w:val="22"/>
        </w:rPr>
      </w:pPr>
      <w:r>
        <w:rPr>
          <w:rFonts w:ascii="Arial" w:hAnsi="Arial" w:cs="Arial"/>
          <w:color w:val="7B7B7B" w:themeColor="accent3" w:themeShade="BF"/>
          <w:sz w:val="22"/>
          <w:szCs w:val="22"/>
        </w:rPr>
        <w:t>The process starts with an ex-</w:t>
      </w:r>
      <w:proofErr w:type="spellStart"/>
      <w:r>
        <w:rPr>
          <w:rFonts w:ascii="Arial" w:hAnsi="Arial" w:cs="Arial"/>
          <w:color w:val="7B7B7B" w:themeColor="accent3" w:themeShade="BF"/>
          <w:sz w:val="22"/>
          <w:szCs w:val="22"/>
        </w:rPr>
        <w:t>parte</w:t>
      </w:r>
      <w:proofErr w:type="spellEnd"/>
      <w:r>
        <w:rPr>
          <w:rFonts w:ascii="Arial" w:hAnsi="Arial" w:cs="Arial"/>
          <w:color w:val="7B7B7B" w:themeColor="accent3" w:themeShade="BF"/>
          <w:sz w:val="22"/>
          <w:szCs w:val="22"/>
        </w:rPr>
        <w:t xml:space="preserve"> originating summons applying for leave of the court to convene meetings of the relevant creditors or members, for purpose of considering and voting on the scheme;</w:t>
      </w:r>
    </w:p>
    <w:p w14:paraId="3E68DAA0" w14:textId="77777777" w:rsidR="00B07B23" w:rsidRPr="00B07B23" w:rsidRDefault="00B07B23" w:rsidP="00B07B23">
      <w:pPr>
        <w:pStyle w:val="ListParagraph"/>
        <w:jc w:val="both"/>
        <w:rPr>
          <w:rFonts w:ascii="Arial" w:hAnsi="Arial" w:cs="Arial"/>
          <w:sz w:val="22"/>
          <w:szCs w:val="22"/>
        </w:rPr>
      </w:pPr>
    </w:p>
    <w:p w14:paraId="3843A5F8" w14:textId="55F404A1" w:rsidR="00B07B23" w:rsidRPr="00B07B23" w:rsidRDefault="00B07B23" w:rsidP="00B07B23">
      <w:pPr>
        <w:pStyle w:val="ListParagraph"/>
        <w:numPr>
          <w:ilvl w:val="0"/>
          <w:numId w:val="36"/>
        </w:numPr>
        <w:jc w:val="both"/>
        <w:rPr>
          <w:rFonts w:ascii="Arial" w:hAnsi="Arial" w:cs="Arial"/>
          <w:sz w:val="22"/>
          <w:szCs w:val="22"/>
        </w:rPr>
      </w:pPr>
      <w:r>
        <w:rPr>
          <w:rFonts w:ascii="Arial" w:hAnsi="Arial" w:cs="Arial"/>
          <w:color w:val="7B7B7B" w:themeColor="accent3" w:themeShade="BF"/>
          <w:sz w:val="22"/>
          <w:szCs w:val="22"/>
        </w:rPr>
        <w:t xml:space="preserve">The scheme meetings are held with each class of relevant creditors/members to vote on the scheme. For the scheme to be approved, a majority representing at least 75% in value of creditors present and voting at the meeting must vote in </w:t>
      </w:r>
      <w:proofErr w:type="spellStart"/>
      <w:r>
        <w:rPr>
          <w:rFonts w:ascii="Arial" w:hAnsi="Arial" w:cs="Arial"/>
          <w:color w:val="7B7B7B" w:themeColor="accent3" w:themeShade="BF"/>
          <w:sz w:val="22"/>
          <w:szCs w:val="22"/>
        </w:rPr>
        <w:t>favour</w:t>
      </w:r>
      <w:proofErr w:type="spellEnd"/>
      <w:r>
        <w:rPr>
          <w:rFonts w:ascii="Arial" w:hAnsi="Arial" w:cs="Arial"/>
          <w:color w:val="7B7B7B" w:themeColor="accent3" w:themeShade="BF"/>
          <w:sz w:val="22"/>
          <w:szCs w:val="22"/>
        </w:rPr>
        <w:t xml:space="preserve"> of the scheme. This applies to each class of creditors/members if there are multiple classes;</w:t>
      </w:r>
    </w:p>
    <w:p w14:paraId="0D628B41" w14:textId="77777777" w:rsidR="00B07B23" w:rsidRPr="00B07B23" w:rsidRDefault="00B07B23" w:rsidP="00B07B23">
      <w:pPr>
        <w:pStyle w:val="ListParagraph"/>
        <w:jc w:val="both"/>
        <w:rPr>
          <w:rFonts w:ascii="Arial" w:hAnsi="Arial" w:cs="Arial"/>
          <w:sz w:val="22"/>
          <w:szCs w:val="22"/>
        </w:rPr>
      </w:pPr>
    </w:p>
    <w:p w14:paraId="78B41138" w14:textId="3DFBC0E4" w:rsidR="00B07B23" w:rsidRPr="00B07B23" w:rsidRDefault="00B07B23" w:rsidP="00B07B23">
      <w:pPr>
        <w:pStyle w:val="ListParagraph"/>
        <w:numPr>
          <w:ilvl w:val="0"/>
          <w:numId w:val="36"/>
        </w:numPr>
        <w:jc w:val="both"/>
        <w:rPr>
          <w:rFonts w:ascii="Arial" w:hAnsi="Arial" w:cs="Arial"/>
          <w:sz w:val="22"/>
          <w:szCs w:val="22"/>
        </w:rPr>
      </w:pPr>
      <w:r>
        <w:rPr>
          <w:rFonts w:ascii="Arial" w:hAnsi="Arial" w:cs="Arial"/>
          <w:color w:val="7B7B7B" w:themeColor="accent3" w:themeShade="BF"/>
          <w:sz w:val="22"/>
          <w:szCs w:val="22"/>
        </w:rPr>
        <w:t>If the creditors’ approval is obtained, a petition is made for the court to sanction the scheme.</w:t>
      </w:r>
    </w:p>
    <w:p w14:paraId="60ADAAB6" w14:textId="2B27BF18" w:rsidR="00711999" w:rsidRDefault="00711999" w:rsidP="00E14FA7">
      <w:pPr>
        <w:jc w:val="both"/>
        <w:rPr>
          <w:rFonts w:ascii="Arial" w:hAnsi="Arial" w:cs="Arial"/>
          <w:color w:val="808080" w:themeColor="background1" w:themeShade="80"/>
          <w:sz w:val="22"/>
          <w:szCs w:val="22"/>
          <w:lang w:val="en-GB"/>
        </w:rPr>
      </w:pPr>
    </w:p>
    <w:p w14:paraId="2D2A3278" w14:textId="6DC03BD5" w:rsidR="009D728E" w:rsidRDefault="009D728E"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 of the scheme of arrangement is that it will allow the company to compromise or adjust its debts with its creditors or members (or certain classes of them) and bind all such creditors/members even those who did not vote in favour of the scheme. This will allow the scheme to be implemented where otherwise it would fail if the company </w:t>
      </w:r>
      <w:r w:rsidR="000232F5">
        <w:rPr>
          <w:rFonts w:ascii="Arial" w:hAnsi="Arial" w:cs="Arial"/>
          <w:color w:val="808080" w:themeColor="background1" w:themeShade="80"/>
          <w:sz w:val="22"/>
          <w:szCs w:val="22"/>
          <w:lang w:val="en-GB"/>
        </w:rPr>
        <w:t>has difficulty obtaining</w:t>
      </w:r>
      <w:r>
        <w:rPr>
          <w:rFonts w:ascii="Arial" w:hAnsi="Arial" w:cs="Arial"/>
          <w:color w:val="808080" w:themeColor="background1" w:themeShade="80"/>
          <w:sz w:val="22"/>
          <w:szCs w:val="22"/>
          <w:lang w:val="en-GB"/>
        </w:rPr>
        <w:t xml:space="preserve"> unanimous approval</w:t>
      </w:r>
      <w:r w:rsidR="000232F5">
        <w:rPr>
          <w:rFonts w:ascii="Arial" w:hAnsi="Arial" w:cs="Arial"/>
          <w:color w:val="808080" w:themeColor="background1" w:themeShade="80"/>
          <w:sz w:val="22"/>
          <w:szCs w:val="22"/>
          <w:lang w:val="en-GB"/>
        </w:rPr>
        <w:t xml:space="preserve"> or</w:t>
      </w:r>
      <w:r>
        <w:rPr>
          <w:rFonts w:ascii="Arial" w:hAnsi="Arial" w:cs="Arial"/>
          <w:color w:val="808080" w:themeColor="background1" w:themeShade="80"/>
          <w:sz w:val="22"/>
          <w:szCs w:val="22"/>
          <w:lang w:val="en-GB"/>
        </w:rPr>
        <w:t xml:space="preserve"> where a creditor is holding out in order to obtain an advantage over other creditors in its class. </w:t>
      </w:r>
    </w:p>
    <w:p w14:paraId="02C4544B" w14:textId="40E262BD" w:rsidR="000232F5" w:rsidRDefault="000232F5" w:rsidP="00E14FA7">
      <w:pPr>
        <w:jc w:val="both"/>
        <w:rPr>
          <w:rFonts w:ascii="Arial" w:hAnsi="Arial" w:cs="Arial"/>
          <w:color w:val="808080" w:themeColor="background1" w:themeShade="80"/>
          <w:sz w:val="22"/>
          <w:szCs w:val="22"/>
          <w:lang w:val="en-GB"/>
        </w:rPr>
      </w:pPr>
    </w:p>
    <w:p w14:paraId="47F2CDEB" w14:textId="3B37464E" w:rsidR="000232F5" w:rsidRDefault="000232F5"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one con of the scheme of arrangement is that there is no moratorium that stays proceedings against the company and its assets pending the process. One way to overcome this is for a winding-up petition to be presented first where there is an automatic stay, and a provisional liquidator is then appointed to promulgate a scheme. However, a provisional liquidator cannot be appointed on the sole ground of promulgating a scheme, and it must still be shown that there is jeopardy to the company’s assets or any other traditional basis for appointment of a provisional liquidator. </w:t>
      </w:r>
    </w:p>
    <w:p w14:paraId="7E6C6FE1" w14:textId="77777777" w:rsidR="000232F5" w:rsidRPr="00711999" w:rsidRDefault="000232F5"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2"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lastRenderedPageBreak/>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1D32E23" w14:textId="77777777" w:rsidR="00FC1024" w:rsidRDefault="00C50C3D" w:rsidP="00FC1024">
      <w:pPr>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Chan’s friend is incorrect as</w:t>
      </w:r>
      <w:r w:rsidR="00FC1024">
        <w:rPr>
          <w:rFonts w:ascii="Arial" w:hAnsi="Arial" w:cs="Arial"/>
          <w:color w:val="7B7B7B" w:themeColor="accent3" w:themeShade="BF"/>
          <w:sz w:val="22"/>
          <w:szCs w:val="22"/>
        </w:rPr>
        <w:t xml:space="preserve">, aside from court winding-up, there is the option of voluntary liquidation. </w:t>
      </w:r>
    </w:p>
    <w:p w14:paraId="3D9366AC" w14:textId="77777777" w:rsidR="00FC1024" w:rsidRDefault="00FC1024" w:rsidP="00FC1024">
      <w:pPr>
        <w:jc w:val="both"/>
        <w:rPr>
          <w:rFonts w:ascii="Arial" w:hAnsi="Arial" w:cs="Arial"/>
          <w:color w:val="7B7B7B" w:themeColor="accent3" w:themeShade="BF"/>
          <w:sz w:val="22"/>
          <w:szCs w:val="22"/>
        </w:rPr>
      </w:pPr>
    </w:p>
    <w:p w14:paraId="7DD4B838" w14:textId="171E77DC" w:rsidR="003C10EB" w:rsidRDefault="00FC1024" w:rsidP="00FC102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Mountainview Limited is able to settle all its liabilities within 12 months from commencement of the liquidation, a </w:t>
      </w:r>
      <w:proofErr w:type="gramStart"/>
      <w:r>
        <w:rPr>
          <w:rFonts w:ascii="Arial" w:hAnsi="Arial" w:cs="Arial"/>
          <w:color w:val="7B7B7B" w:themeColor="accent3" w:themeShade="BF"/>
          <w:sz w:val="22"/>
          <w:szCs w:val="22"/>
        </w:rPr>
        <w:t>members</w:t>
      </w:r>
      <w:proofErr w:type="gramEnd"/>
      <w:r>
        <w:rPr>
          <w:rFonts w:ascii="Arial" w:hAnsi="Arial" w:cs="Arial"/>
          <w:color w:val="7B7B7B" w:themeColor="accent3" w:themeShade="BF"/>
          <w:sz w:val="22"/>
          <w:szCs w:val="22"/>
        </w:rPr>
        <w:t xml:space="preserve"> voluntary liquidation can be carried out by the directors signing a certificate of solvency and the shareholders passing a special resolution to wind up the company and to appoint a liquidator.</w:t>
      </w:r>
    </w:p>
    <w:p w14:paraId="511B72B0" w14:textId="250B98C4" w:rsidR="00FC1024" w:rsidRDefault="00FC1024" w:rsidP="00FC1024">
      <w:pPr>
        <w:jc w:val="both"/>
        <w:rPr>
          <w:rFonts w:ascii="Arial" w:hAnsi="Arial" w:cs="Arial"/>
          <w:color w:val="7B7B7B" w:themeColor="accent3" w:themeShade="BF"/>
          <w:sz w:val="22"/>
          <w:szCs w:val="22"/>
        </w:rPr>
      </w:pPr>
    </w:p>
    <w:p w14:paraId="1DEBCF14" w14:textId="77777777" w:rsidR="00FC1024" w:rsidRDefault="00FC1024" w:rsidP="00FC102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Mountainview Limited is not solvent, it can opt for a creditors’ voluntary liquidation. A shareholders’ meeting will be convened to pass a special resolution to wind-up the company and appoint a liquidator. The liquidator has limited powers until his appointment is confirmed at the creditors’ meeting convened thereafter (not later than 14 days from the shareholders’ meeting passing the winding-up). </w:t>
      </w:r>
    </w:p>
    <w:p w14:paraId="4AD7207B" w14:textId="77777777" w:rsidR="00FC1024" w:rsidRDefault="00FC1024" w:rsidP="00FC1024">
      <w:pPr>
        <w:jc w:val="both"/>
        <w:rPr>
          <w:rFonts w:ascii="Arial" w:hAnsi="Arial" w:cs="Arial"/>
          <w:color w:val="7B7B7B" w:themeColor="accent3" w:themeShade="BF"/>
          <w:sz w:val="22"/>
          <w:szCs w:val="22"/>
        </w:rPr>
      </w:pPr>
    </w:p>
    <w:p w14:paraId="4491B23B" w14:textId="0FCC49E8" w:rsidR="00FC1024" w:rsidRDefault="00FC1024" w:rsidP="00FC102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By opting for a </w:t>
      </w:r>
      <w:r w:rsidR="00CD4EEC">
        <w:rPr>
          <w:rFonts w:ascii="Arial" w:hAnsi="Arial" w:cs="Arial"/>
          <w:color w:val="7B7B7B" w:themeColor="accent3" w:themeShade="BF"/>
          <w:sz w:val="22"/>
          <w:szCs w:val="22"/>
        </w:rPr>
        <w:t xml:space="preserve">creditors’ </w:t>
      </w:r>
      <w:r>
        <w:rPr>
          <w:rFonts w:ascii="Arial" w:hAnsi="Arial" w:cs="Arial"/>
          <w:color w:val="7B7B7B" w:themeColor="accent3" w:themeShade="BF"/>
          <w:sz w:val="22"/>
          <w:szCs w:val="22"/>
        </w:rPr>
        <w:t xml:space="preserve">voluntary liquidation, Mountainview Limited will be able to save costs and time. In this regard, ad valorem duty is not payable in a voluntary liquidation. </w:t>
      </w:r>
    </w:p>
    <w:p w14:paraId="5C333EF3" w14:textId="77777777" w:rsidR="00FC1024" w:rsidRDefault="00FC1024" w:rsidP="00FC1024">
      <w:pPr>
        <w:jc w:val="both"/>
        <w:rPr>
          <w:rFonts w:ascii="Arial" w:hAnsi="Arial" w:cs="Arial"/>
          <w:color w:val="7B7B7B" w:themeColor="accent3" w:themeShade="BF"/>
          <w:sz w:val="22"/>
          <w:szCs w:val="22"/>
        </w:rPr>
      </w:pPr>
    </w:p>
    <w:p w14:paraId="42C9EB4B" w14:textId="435FF3B7" w:rsidR="00FC1024" w:rsidRDefault="00FC1024" w:rsidP="00FC102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a liquidator appointed in a voluntary winding-up will still investigate the affairs of the company and the conduct of the directors. In this regard,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should take </w:t>
      </w:r>
      <w:r w:rsidR="00CD4EEC">
        <w:rPr>
          <w:rFonts w:ascii="Arial" w:hAnsi="Arial" w:cs="Arial"/>
          <w:color w:val="7B7B7B" w:themeColor="accent3" w:themeShade="BF"/>
          <w:sz w:val="22"/>
          <w:szCs w:val="22"/>
        </w:rPr>
        <w:t>note that:</w:t>
      </w:r>
    </w:p>
    <w:p w14:paraId="76961C04" w14:textId="77BDCB32" w:rsidR="00FC1024" w:rsidRDefault="00FC1024" w:rsidP="00FC1024">
      <w:pPr>
        <w:jc w:val="both"/>
        <w:rPr>
          <w:rFonts w:ascii="Arial" w:hAnsi="Arial" w:cs="Arial"/>
          <w:color w:val="7B7B7B" w:themeColor="accent3" w:themeShade="BF"/>
          <w:sz w:val="22"/>
          <w:szCs w:val="22"/>
        </w:rPr>
      </w:pPr>
    </w:p>
    <w:p w14:paraId="47294635" w14:textId="24EBDD3B" w:rsidR="00FC1024" w:rsidRDefault="00CD4EEC" w:rsidP="00FC1024">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he may breach his fiduciary duty by allowing </w:t>
      </w:r>
      <w:r w:rsidR="00FC1024">
        <w:rPr>
          <w:rFonts w:ascii="Arial" w:hAnsi="Arial" w:cs="Arial"/>
          <w:color w:val="7B7B7B" w:themeColor="accent3" w:themeShade="BF"/>
          <w:sz w:val="22"/>
          <w:szCs w:val="22"/>
        </w:rPr>
        <w:t xml:space="preserve">Mountainview Limited </w:t>
      </w:r>
      <w:r>
        <w:rPr>
          <w:rFonts w:ascii="Arial" w:hAnsi="Arial" w:cs="Arial"/>
          <w:color w:val="7B7B7B" w:themeColor="accent3" w:themeShade="BF"/>
          <w:sz w:val="22"/>
          <w:szCs w:val="22"/>
        </w:rPr>
        <w:t xml:space="preserve">to continue trading when insolvent; </w:t>
      </w:r>
    </w:p>
    <w:p w14:paraId="0EB5BFB1" w14:textId="399286A6" w:rsidR="00FC1024" w:rsidRPr="00CD4EEC" w:rsidRDefault="00CD4EEC" w:rsidP="00FC1024">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he may incur criminal liability if employees of Mountainview Limited are not paid.</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2C3D2CF5" w14:textId="65A6E430" w:rsidR="00247C04" w:rsidRDefault="00242845" w:rsidP="00B02A8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the outset, </w:t>
      </w:r>
      <w:r w:rsidR="00B02A8B">
        <w:rPr>
          <w:rFonts w:ascii="Arial" w:hAnsi="Arial" w:cs="Arial"/>
          <w:color w:val="7B7B7B" w:themeColor="accent3" w:themeShade="BF"/>
          <w:sz w:val="22"/>
          <w:szCs w:val="22"/>
        </w:rPr>
        <w:t xml:space="preserve">it is not quite clear what type of security has been created in </w:t>
      </w:r>
      <w:proofErr w:type="spellStart"/>
      <w:r w:rsidR="00B02A8B">
        <w:rPr>
          <w:rFonts w:ascii="Arial" w:hAnsi="Arial" w:cs="Arial"/>
          <w:color w:val="7B7B7B" w:themeColor="accent3" w:themeShade="BF"/>
          <w:sz w:val="22"/>
          <w:szCs w:val="22"/>
        </w:rPr>
        <w:t>favour</w:t>
      </w:r>
      <w:proofErr w:type="spellEnd"/>
      <w:r w:rsidR="00B02A8B">
        <w:rPr>
          <w:rFonts w:ascii="Arial" w:hAnsi="Arial" w:cs="Arial"/>
          <w:color w:val="7B7B7B" w:themeColor="accent3" w:themeShade="BF"/>
          <w:sz w:val="22"/>
          <w:szCs w:val="22"/>
        </w:rPr>
        <w:t xml:space="preserve"> of Goshawk Financial Limited (GFL). While the charge is called a “fixed charge”, </w:t>
      </w:r>
      <w:r w:rsidR="009B0C9E">
        <w:rPr>
          <w:rFonts w:ascii="Arial" w:hAnsi="Arial" w:cs="Arial"/>
          <w:color w:val="7B7B7B" w:themeColor="accent3" w:themeShade="BF"/>
          <w:sz w:val="22"/>
          <w:szCs w:val="22"/>
        </w:rPr>
        <w:t xml:space="preserve">it seems to have the features of a floating charge as Kite Limited was still able continue trading with its customers as usual and the monies from the receivables were not paid into a separate account. </w:t>
      </w:r>
      <w:r w:rsidR="00247C04">
        <w:rPr>
          <w:rFonts w:ascii="Arial" w:hAnsi="Arial" w:cs="Arial"/>
          <w:color w:val="7B7B7B" w:themeColor="accent3" w:themeShade="BF"/>
          <w:sz w:val="22"/>
          <w:szCs w:val="22"/>
        </w:rPr>
        <w:t xml:space="preserve">It is a floating charge if – </w:t>
      </w:r>
    </w:p>
    <w:p w14:paraId="5CF92D86" w14:textId="4E8CFC7F" w:rsidR="00247C04" w:rsidRDefault="00247C04" w:rsidP="00B02A8B">
      <w:pPr>
        <w:jc w:val="both"/>
        <w:rPr>
          <w:rFonts w:ascii="Arial" w:hAnsi="Arial" w:cs="Arial"/>
          <w:color w:val="7B7B7B" w:themeColor="accent3" w:themeShade="BF"/>
          <w:sz w:val="22"/>
          <w:szCs w:val="22"/>
        </w:rPr>
      </w:pPr>
    </w:p>
    <w:p w14:paraId="11BF8608" w14:textId="2AE99A40" w:rsidR="00247C04" w:rsidRDefault="00247C04" w:rsidP="00247C04">
      <w:pPr>
        <w:pStyle w:val="ListParagraph"/>
        <w:numPr>
          <w:ilvl w:val="0"/>
          <w:numId w:val="3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a charge on a class of assets present and future. In this case, it would seem the charge is on both present and future receivables;</w:t>
      </w:r>
    </w:p>
    <w:p w14:paraId="5ECF506E" w14:textId="4FECD1CE" w:rsidR="00247C04" w:rsidRDefault="00247C04" w:rsidP="00247C04">
      <w:pPr>
        <w:pStyle w:val="ListParagraph"/>
        <w:numPr>
          <w:ilvl w:val="0"/>
          <w:numId w:val="3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class is one in which would be changing from time to time in the ordinary course of business. In this case, the charge is on receivables which would certainly continue to change as Kite continues trading;</w:t>
      </w:r>
    </w:p>
    <w:p w14:paraId="4B39B808" w14:textId="650DD051" w:rsidR="00247C04" w:rsidRDefault="00247C04" w:rsidP="00247C04">
      <w:pPr>
        <w:pStyle w:val="ListParagraph"/>
        <w:numPr>
          <w:ilvl w:val="0"/>
          <w:numId w:val="3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until some future step is taken by the charge, the company may carry on its business in the ordinary way in respect of the charged asset. In this case, Kite could continue to trade as per normal until GFL had appointed a receiver.</w:t>
      </w:r>
    </w:p>
    <w:p w14:paraId="5DFD8D0A" w14:textId="7F72D37F" w:rsidR="00247C04" w:rsidRDefault="00247C04" w:rsidP="00247C04">
      <w:pPr>
        <w:jc w:val="both"/>
        <w:rPr>
          <w:rFonts w:ascii="Arial" w:hAnsi="Arial" w:cs="Arial"/>
          <w:color w:val="7B7B7B" w:themeColor="accent3" w:themeShade="BF"/>
          <w:sz w:val="22"/>
          <w:szCs w:val="22"/>
        </w:rPr>
      </w:pPr>
    </w:p>
    <w:p w14:paraId="73289915" w14:textId="37BA2657" w:rsidR="00247C04" w:rsidRPr="00247C04" w:rsidRDefault="00247C04" w:rsidP="00247C0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facts, it is likely that the charge will be determined to be a floating charge.</w:t>
      </w:r>
    </w:p>
    <w:p w14:paraId="10C46FA3" w14:textId="77777777" w:rsidR="00247C04" w:rsidRDefault="00247C04" w:rsidP="00B02A8B">
      <w:pPr>
        <w:jc w:val="both"/>
        <w:rPr>
          <w:rFonts w:ascii="Arial" w:hAnsi="Arial" w:cs="Arial"/>
          <w:color w:val="7B7B7B" w:themeColor="accent3" w:themeShade="BF"/>
          <w:sz w:val="22"/>
          <w:szCs w:val="22"/>
        </w:rPr>
      </w:pPr>
    </w:p>
    <w:p w14:paraId="15465516" w14:textId="41F28AD2" w:rsidR="003C10EB" w:rsidRPr="005D2CD6" w:rsidRDefault="009B0C9E" w:rsidP="00B02A8B">
      <w:pPr>
        <w:jc w:val="both"/>
        <w:rPr>
          <w:rFonts w:ascii="Arial" w:hAnsi="Arial" w:cs="Arial"/>
          <w:sz w:val="22"/>
          <w:szCs w:val="22"/>
        </w:rPr>
      </w:pPr>
      <w:r>
        <w:rPr>
          <w:rFonts w:ascii="Arial" w:hAnsi="Arial" w:cs="Arial"/>
          <w:color w:val="7B7B7B" w:themeColor="accent3" w:themeShade="BF"/>
          <w:sz w:val="22"/>
          <w:szCs w:val="22"/>
        </w:rPr>
        <w:t xml:space="preserve">If it is determined to be a floating charge, the proceeds from the </w:t>
      </w:r>
      <w:proofErr w:type="spellStart"/>
      <w:r>
        <w:rPr>
          <w:rFonts w:ascii="Arial" w:hAnsi="Arial" w:cs="Arial"/>
          <w:color w:val="7B7B7B" w:themeColor="accent3" w:themeShade="BF"/>
          <w:sz w:val="22"/>
          <w:szCs w:val="22"/>
        </w:rPr>
        <w:t>realisation</w:t>
      </w:r>
      <w:proofErr w:type="spellEnd"/>
      <w:r>
        <w:rPr>
          <w:rFonts w:ascii="Arial" w:hAnsi="Arial" w:cs="Arial"/>
          <w:color w:val="7B7B7B" w:themeColor="accent3" w:themeShade="BF"/>
          <w:sz w:val="22"/>
          <w:szCs w:val="22"/>
        </w:rPr>
        <w:t xml:space="preserve"> will first be paid </w:t>
      </w:r>
      <w:r w:rsidR="00CF7A07">
        <w:rPr>
          <w:rFonts w:ascii="Arial" w:hAnsi="Arial" w:cs="Arial"/>
          <w:color w:val="7B7B7B" w:themeColor="accent3" w:themeShade="BF"/>
          <w:sz w:val="22"/>
          <w:szCs w:val="22"/>
        </w:rPr>
        <w:t>to preferential creditors as set out in s.79 and 265(3) of CWUMPO. However, this will not include liquidation expenses and the unsecured creditors unless there is surplus after GFL’s debts are paid.</w:t>
      </w:r>
    </w:p>
    <w:p w14:paraId="5E8F92C5" w14:textId="220A5819"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01E2884F" w14:textId="64BFBEC4" w:rsidR="00CF7A07" w:rsidRDefault="00CF7A07"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case, the liquidator should look into whether the charge can be set aside. </w:t>
      </w:r>
      <w:r w:rsidR="000F1DF4">
        <w:rPr>
          <w:rFonts w:ascii="Arial" w:hAnsi="Arial" w:cs="Arial"/>
          <w:color w:val="808080" w:themeColor="background1" w:themeShade="80"/>
          <w:sz w:val="22"/>
          <w:szCs w:val="22"/>
          <w:lang w:val="en-GB"/>
        </w:rPr>
        <w:t>Firstly, a</w:t>
      </w:r>
      <w:r>
        <w:rPr>
          <w:rFonts w:ascii="Arial" w:hAnsi="Arial" w:cs="Arial"/>
          <w:color w:val="808080" w:themeColor="background1" w:themeShade="80"/>
          <w:sz w:val="22"/>
          <w:szCs w:val="22"/>
          <w:lang w:val="en-GB"/>
        </w:rPr>
        <w:t xml:space="preserve"> charge over the receivables (including book debts) will need to be registered within one month of the date of execution. </w:t>
      </w:r>
      <w:r>
        <w:rPr>
          <w:rFonts w:ascii="Arial" w:hAnsi="Arial" w:cs="Arial"/>
          <w:color w:val="808080" w:themeColor="background1" w:themeShade="80"/>
          <w:sz w:val="22"/>
          <w:szCs w:val="22"/>
          <w:lang w:val="en-GB"/>
        </w:rPr>
        <w:t xml:space="preserve">From the facts, it is not clear whether the charge was registered. </w:t>
      </w:r>
      <w:r>
        <w:rPr>
          <w:rFonts w:ascii="Arial" w:hAnsi="Arial" w:cs="Arial"/>
          <w:color w:val="808080" w:themeColor="background1" w:themeShade="80"/>
          <w:sz w:val="22"/>
          <w:szCs w:val="22"/>
          <w:lang w:val="en-GB"/>
        </w:rPr>
        <w:t xml:space="preserve"> If it was not registered or registered out of time, then the charge is void against the liquidator.</w:t>
      </w:r>
    </w:p>
    <w:p w14:paraId="1D7492C5" w14:textId="1C2F5F71" w:rsidR="00CF7A07" w:rsidRDefault="00CF7A07" w:rsidP="00E14FA7">
      <w:pPr>
        <w:autoSpaceDE w:val="0"/>
        <w:autoSpaceDN w:val="0"/>
        <w:adjustRightInd w:val="0"/>
        <w:jc w:val="both"/>
        <w:rPr>
          <w:rFonts w:ascii="Arial" w:hAnsi="Arial" w:cs="Arial"/>
          <w:color w:val="808080" w:themeColor="background1" w:themeShade="80"/>
          <w:sz w:val="22"/>
          <w:szCs w:val="22"/>
          <w:lang w:val="en-GB"/>
        </w:rPr>
      </w:pPr>
    </w:p>
    <w:p w14:paraId="606D3DA7" w14:textId="1747F6DA" w:rsidR="00CF7A07" w:rsidRDefault="000F1DF4"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Even if registered properly, a floating charge is not valid and can be set aside if it is entered into within a period of 12 months prior to commencement of the liquidation and Kite was unable to pay its debts at the time the charge was created or became unable to pay its debts as a consequence of the charge (s. 267 of CWUMPO). The floating charge will </w:t>
      </w:r>
      <w:r w:rsidR="00247C04">
        <w:rPr>
          <w:rFonts w:ascii="Arial" w:hAnsi="Arial" w:cs="Arial"/>
          <w:color w:val="808080" w:themeColor="background1" w:themeShade="80"/>
          <w:sz w:val="22"/>
          <w:szCs w:val="22"/>
          <w:lang w:val="en-GB"/>
        </w:rPr>
        <w:t xml:space="preserve">only </w:t>
      </w:r>
      <w:r>
        <w:rPr>
          <w:rFonts w:ascii="Arial" w:hAnsi="Arial" w:cs="Arial"/>
          <w:color w:val="808080" w:themeColor="background1" w:themeShade="80"/>
          <w:sz w:val="22"/>
          <w:szCs w:val="22"/>
          <w:lang w:val="en-GB"/>
        </w:rPr>
        <w:t xml:space="preserve">be valid </w:t>
      </w:r>
      <w:r w:rsidR="00247C04">
        <w:rPr>
          <w:rFonts w:ascii="Arial" w:hAnsi="Arial" w:cs="Arial"/>
          <w:color w:val="808080" w:themeColor="background1" w:themeShade="80"/>
          <w:sz w:val="22"/>
          <w:szCs w:val="22"/>
          <w:lang w:val="en-GB"/>
        </w:rPr>
        <w:t>to</w:t>
      </w:r>
      <w:r>
        <w:rPr>
          <w:rFonts w:ascii="Arial" w:hAnsi="Arial" w:cs="Arial"/>
          <w:color w:val="808080" w:themeColor="background1" w:themeShade="80"/>
          <w:sz w:val="22"/>
          <w:szCs w:val="22"/>
          <w:lang w:val="en-GB"/>
        </w:rPr>
        <w:t xml:space="preserve"> the</w:t>
      </w:r>
      <w:r w:rsidR="00247C04">
        <w:rPr>
          <w:rFonts w:ascii="Arial" w:hAnsi="Arial" w:cs="Arial"/>
          <w:color w:val="808080" w:themeColor="background1" w:themeShade="80"/>
          <w:sz w:val="22"/>
          <w:szCs w:val="22"/>
          <w:lang w:val="en-GB"/>
        </w:rPr>
        <w:t xml:space="preserve"> extent of the</w:t>
      </w:r>
      <w:r>
        <w:rPr>
          <w:rFonts w:ascii="Arial" w:hAnsi="Arial" w:cs="Arial"/>
          <w:color w:val="808080" w:themeColor="background1" w:themeShade="80"/>
          <w:sz w:val="22"/>
          <w:szCs w:val="22"/>
          <w:lang w:val="en-GB"/>
        </w:rPr>
        <w:t xml:space="preserve"> value of any new consideration provided by GFL to Kite at the time</w:t>
      </w:r>
      <w:r w:rsidR="00247C04">
        <w:rPr>
          <w:rFonts w:ascii="Arial" w:hAnsi="Arial" w:cs="Arial"/>
          <w:color w:val="808080" w:themeColor="background1" w:themeShade="80"/>
          <w:sz w:val="22"/>
          <w:szCs w:val="22"/>
          <w:lang w:val="en-GB"/>
        </w:rPr>
        <w:t xml:space="preserve"> of,</w:t>
      </w:r>
      <w:r>
        <w:rPr>
          <w:rFonts w:ascii="Arial" w:hAnsi="Arial" w:cs="Arial"/>
          <w:color w:val="808080" w:themeColor="background1" w:themeShade="80"/>
          <w:sz w:val="22"/>
          <w:szCs w:val="22"/>
          <w:lang w:val="en-GB"/>
        </w:rPr>
        <w:t xml:space="preserve"> or after the creation of</w:t>
      </w:r>
      <w:r w:rsidR="00247C04">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charge</w:t>
      </w:r>
      <w:r w:rsidR="00247C04">
        <w:rPr>
          <w:rFonts w:ascii="Arial" w:hAnsi="Arial" w:cs="Arial"/>
          <w:color w:val="808080" w:themeColor="background1" w:themeShade="80"/>
          <w:sz w:val="22"/>
          <w:szCs w:val="22"/>
          <w:lang w:val="en-GB"/>
        </w:rPr>
        <w:t>. It will not be valid for the debts owing by Kite to GFL prior to creation of the charge.</w:t>
      </w:r>
      <w:r w:rsidR="006977EC">
        <w:rPr>
          <w:rFonts w:ascii="Arial" w:hAnsi="Arial" w:cs="Arial"/>
          <w:color w:val="808080" w:themeColor="background1" w:themeShade="80"/>
          <w:sz w:val="22"/>
          <w:szCs w:val="22"/>
          <w:lang w:val="en-GB"/>
        </w:rPr>
        <w:t xml:space="preserve"> On the facts, </w:t>
      </w:r>
      <w:r w:rsidR="00017771">
        <w:rPr>
          <w:rFonts w:ascii="Arial" w:hAnsi="Arial" w:cs="Arial"/>
          <w:color w:val="808080" w:themeColor="background1" w:themeShade="80"/>
          <w:sz w:val="22"/>
          <w:szCs w:val="22"/>
          <w:lang w:val="en-GB"/>
        </w:rPr>
        <w:t>assuming the charge was properly registered, this would be the best option for the liquidator to void the charge (or part of it).</w:t>
      </w:r>
    </w:p>
    <w:p w14:paraId="4345FE1D" w14:textId="6F3278D2" w:rsidR="00247C04" w:rsidRDefault="00247C04" w:rsidP="00E14FA7">
      <w:pPr>
        <w:autoSpaceDE w:val="0"/>
        <w:autoSpaceDN w:val="0"/>
        <w:adjustRightInd w:val="0"/>
        <w:jc w:val="both"/>
        <w:rPr>
          <w:rFonts w:ascii="Arial" w:hAnsi="Arial" w:cs="Arial"/>
          <w:color w:val="808080" w:themeColor="background1" w:themeShade="80"/>
          <w:sz w:val="22"/>
          <w:szCs w:val="22"/>
          <w:lang w:val="en-GB"/>
        </w:rPr>
      </w:pPr>
    </w:p>
    <w:p w14:paraId="7E520BC4" w14:textId="445D35AF" w:rsidR="00247C04" w:rsidRDefault="006977EC"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Alternatively</w:t>
      </w:r>
      <w:r w:rsidR="00247C0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the liquidator can consider if the charge could be entirely set aside for unfair preference given to GFL. To succeed in such a claim – </w:t>
      </w:r>
    </w:p>
    <w:p w14:paraId="74EB0DA4" w14:textId="0F76C75D" w:rsidR="006977EC" w:rsidRDefault="006977EC" w:rsidP="00E14FA7">
      <w:pPr>
        <w:autoSpaceDE w:val="0"/>
        <w:autoSpaceDN w:val="0"/>
        <w:adjustRightInd w:val="0"/>
        <w:jc w:val="both"/>
        <w:rPr>
          <w:rFonts w:ascii="Arial" w:hAnsi="Arial" w:cs="Arial"/>
          <w:color w:val="808080" w:themeColor="background1" w:themeShade="80"/>
          <w:sz w:val="22"/>
          <w:szCs w:val="22"/>
          <w:lang w:val="en-GB"/>
        </w:rPr>
      </w:pPr>
    </w:p>
    <w:p w14:paraId="5ACAF12F" w14:textId="63ED032B" w:rsidR="006977EC" w:rsidRDefault="006977EC" w:rsidP="006977EC">
      <w:pPr>
        <w:pStyle w:val="ListParagraph"/>
        <w:numPr>
          <w:ilvl w:val="0"/>
          <w:numId w:val="39"/>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charge must be given within 6 months prior to the commencement of the winding-up of Kite;</w:t>
      </w:r>
    </w:p>
    <w:p w14:paraId="11589E9D" w14:textId="4FA47541" w:rsidR="006977EC" w:rsidRDefault="006977EC" w:rsidP="006977EC">
      <w:pPr>
        <w:pStyle w:val="ListParagraph"/>
        <w:numPr>
          <w:ilvl w:val="0"/>
          <w:numId w:val="39"/>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Kite was unable to pay its debts or became unable to pay its debts as a result of giving the charge;</w:t>
      </w:r>
    </w:p>
    <w:p w14:paraId="0EE821D1" w14:textId="77777777" w:rsidR="006977EC" w:rsidRDefault="006977EC" w:rsidP="006977EC">
      <w:pPr>
        <w:pStyle w:val="ListParagraph"/>
        <w:numPr>
          <w:ilvl w:val="0"/>
          <w:numId w:val="39"/>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Kite was “influenced by a desire to prefer” GFL. </w:t>
      </w:r>
      <w:proofErr w:type="gramStart"/>
      <w:r>
        <w:rPr>
          <w:rFonts w:ascii="Arial" w:hAnsi="Arial" w:cs="Arial"/>
          <w:color w:val="808080" w:themeColor="background1" w:themeShade="80"/>
          <w:sz w:val="22"/>
          <w:szCs w:val="22"/>
          <w:lang w:val="en-GB"/>
        </w:rPr>
        <w:t>This final criteria</w:t>
      </w:r>
      <w:proofErr w:type="gramEnd"/>
      <w:r>
        <w:rPr>
          <w:rFonts w:ascii="Arial" w:hAnsi="Arial" w:cs="Arial"/>
          <w:color w:val="808080" w:themeColor="background1" w:themeShade="80"/>
          <w:sz w:val="22"/>
          <w:szCs w:val="22"/>
          <w:lang w:val="en-GB"/>
        </w:rPr>
        <w:t xml:space="preserve"> is likely to fail as genuine pressure exerted by GFL on Kite is insufficient to satisfy this requirement.</w:t>
      </w:r>
    </w:p>
    <w:p w14:paraId="73332A48" w14:textId="7EE76A5B" w:rsidR="006977EC" w:rsidRPr="006977EC" w:rsidRDefault="006977EC" w:rsidP="006977EC">
      <w:pPr>
        <w:pStyle w:val="ListParagraph"/>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2"/>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w:t>
      </w:r>
      <w:r w:rsidRPr="007E1E1F">
        <w:rPr>
          <w:rFonts w:ascii="Arial" w:hAnsi="Arial" w:cs="Arial"/>
          <w:sz w:val="22"/>
          <w:szCs w:val="22"/>
        </w:rPr>
        <w:lastRenderedPageBreak/>
        <w:t xml:space="preserve">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book-keeper,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7032F332" w14:textId="13E9775D" w:rsidR="00252D36" w:rsidRDefault="00D87959" w:rsidP="00252D3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the facts, the liquidator should consider applying to the Hong Kong court for recognition of his appointment and for an order for the production of documents or examination of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Zhang and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Wong (who both live in Hong Kong). </w:t>
      </w:r>
      <w:r w:rsidR="00252D36">
        <w:rPr>
          <w:rFonts w:ascii="Arial" w:hAnsi="Arial" w:cs="Arial"/>
          <w:color w:val="7B7B7B" w:themeColor="accent3" w:themeShade="BF"/>
          <w:sz w:val="22"/>
          <w:szCs w:val="22"/>
        </w:rPr>
        <w:t>There is precedence in the court granting recognition orders to permit foreign officeholders to seek production of documents or examination of individuals in Hong Kong</w:t>
      </w:r>
      <w:r w:rsidR="00252D36">
        <w:rPr>
          <w:rFonts w:ascii="Arial" w:hAnsi="Arial" w:cs="Arial"/>
          <w:color w:val="7B7B7B" w:themeColor="accent3" w:themeShade="BF"/>
          <w:sz w:val="22"/>
          <w:szCs w:val="22"/>
        </w:rPr>
        <w:t xml:space="preserve"> </w:t>
      </w:r>
      <w:proofErr w:type="gramStart"/>
      <w:r w:rsidR="00252D36">
        <w:rPr>
          <w:rFonts w:ascii="Arial" w:hAnsi="Arial" w:cs="Arial"/>
          <w:color w:val="7B7B7B" w:themeColor="accent3" w:themeShade="BF"/>
          <w:sz w:val="22"/>
          <w:szCs w:val="22"/>
        </w:rPr>
        <w:t>-  see</w:t>
      </w:r>
      <w:proofErr w:type="gramEnd"/>
      <w:r w:rsidR="00252D36">
        <w:rPr>
          <w:rFonts w:ascii="Arial" w:hAnsi="Arial" w:cs="Arial"/>
          <w:color w:val="7B7B7B" w:themeColor="accent3" w:themeShade="BF"/>
          <w:sz w:val="22"/>
          <w:szCs w:val="22"/>
        </w:rPr>
        <w:t>, for example, Re BJB Career Education Co Ltd [2017] 1 HKLRD.</w:t>
      </w:r>
    </w:p>
    <w:p w14:paraId="4CAEFD29" w14:textId="77777777" w:rsidR="00252D36" w:rsidRDefault="00252D36" w:rsidP="00D87959">
      <w:pPr>
        <w:jc w:val="both"/>
        <w:rPr>
          <w:rFonts w:ascii="Arial" w:hAnsi="Arial" w:cs="Arial"/>
          <w:color w:val="7B7B7B" w:themeColor="accent3" w:themeShade="BF"/>
          <w:sz w:val="22"/>
          <w:szCs w:val="22"/>
        </w:rPr>
      </w:pPr>
    </w:p>
    <w:p w14:paraId="1EC21C7F" w14:textId="54A8B9B7" w:rsidR="0000121D" w:rsidRDefault="00D87959" w:rsidP="00252D3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this regard, the court can rely on common law power to provide recognition and assistance if the power sought to be exercised</w:t>
      </w:r>
      <w:r w:rsidR="00360E3D">
        <w:rPr>
          <w:rFonts w:ascii="Arial" w:hAnsi="Arial" w:cs="Arial"/>
          <w:color w:val="7B7B7B" w:themeColor="accent3" w:themeShade="BF"/>
          <w:sz w:val="22"/>
          <w:szCs w:val="22"/>
        </w:rPr>
        <w:t xml:space="preserve"> (i.e. the production of documents and examination)</w:t>
      </w:r>
      <w:r>
        <w:rPr>
          <w:rFonts w:ascii="Arial" w:hAnsi="Arial" w:cs="Arial"/>
          <w:color w:val="7B7B7B" w:themeColor="accent3" w:themeShade="BF"/>
          <w:sz w:val="22"/>
          <w:szCs w:val="22"/>
        </w:rPr>
        <w:t xml:space="preserve"> exists in </w:t>
      </w:r>
      <w:r w:rsidR="00360E3D">
        <w:rPr>
          <w:rFonts w:ascii="Arial" w:hAnsi="Arial" w:cs="Arial"/>
          <w:color w:val="7B7B7B" w:themeColor="accent3" w:themeShade="BF"/>
          <w:sz w:val="22"/>
          <w:szCs w:val="22"/>
        </w:rPr>
        <w:t xml:space="preserve">both </w:t>
      </w:r>
      <w:r>
        <w:rPr>
          <w:rFonts w:ascii="Arial" w:hAnsi="Arial" w:cs="Arial"/>
          <w:color w:val="7B7B7B" w:themeColor="accent3" w:themeShade="BF"/>
          <w:sz w:val="22"/>
          <w:szCs w:val="22"/>
        </w:rPr>
        <w:t>the jurisdiction of principal liquidation (i.e. BV</w:t>
      </w:r>
      <w:r w:rsidR="00360E3D">
        <w:rPr>
          <w:rFonts w:ascii="Arial" w:hAnsi="Arial" w:cs="Arial"/>
          <w:color w:val="7B7B7B" w:themeColor="accent3" w:themeShade="BF"/>
          <w:sz w:val="22"/>
          <w:szCs w:val="22"/>
        </w:rPr>
        <w:t>I</w:t>
      </w:r>
      <w:r>
        <w:rPr>
          <w:rFonts w:ascii="Arial" w:hAnsi="Arial" w:cs="Arial"/>
          <w:color w:val="7B7B7B" w:themeColor="accent3" w:themeShade="BF"/>
          <w:sz w:val="22"/>
          <w:szCs w:val="22"/>
        </w:rPr>
        <w:t>) and the assisting jurisdiction (i.e. Hong Kong).</w:t>
      </w:r>
      <w:r>
        <w:rPr>
          <w:rStyle w:val="FootnoteReference"/>
          <w:rFonts w:ascii="Arial" w:hAnsi="Arial" w:cs="Arial"/>
          <w:color w:val="7B7B7B" w:themeColor="accent3" w:themeShade="BF"/>
          <w:sz w:val="22"/>
          <w:szCs w:val="22"/>
        </w:rPr>
        <w:footnoteReference w:id="5"/>
      </w:r>
      <w:r>
        <w:rPr>
          <w:rFonts w:ascii="Arial" w:hAnsi="Arial" w:cs="Arial"/>
          <w:color w:val="7B7B7B" w:themeColor="accent3" w:themeShade="BF"/>
          <w:sz w:val="22"/>
          <w:szCs w:val="22"/>
        </w:rPr>
        <w:t xml:space="preserve"> </w:t>
      </w:r>
      <w:r w:rsidR="00252D36">
        <w:rPr>
          <w:rFonts w:ascii="Arial" w:hAnsi="Arial" w:cs="Arial"/>
          <w:color w:val="7B7B7B" w:themeColor="accent3" w:themeShade="BF"/>
          <w:sz w:val="22"/>
          <w:szCs w:val="22"/>
        </w:rPr>
        <w:t xml:space="preserve">In order to apply for such recognition and assistance, the liquidator must have a “letter of request” issued from the BVI court to the Hong Kong court to request for assistance. </w:t>
      </w:r>
      <w:r w:rsidR="00252D36">
        <w:rPr>
          <w:rFonts w:ascii="Arial" w:hAnsi="Arial" w:cs="Arial"/>
          <w:color w:val="7B7B7B" w:themeColor="accent3" w:themeShade="BF"/>
          <w:sz w:val="22"/>
          <w:szCs w:val="22"/>
        </w:rPr>
        <w:t>If the liquidator can satisfy the aforesaid requirements, the Hong Court will grant such recognition and assistance.</w:t>
      </w:r>
    </w:p>
    <w:p w14:paraId="2F2FC8E2" w14:textId="77777777" w:rsidR="001E074C" w:rsidRDefault="001E074C" w:rsidP="00252D36">
      <w:pPr>
        <w:jc w:val="both"/>
        <w:rPr>
          <w:rFonts w:ascii="Arial" w:hAnsi="Arial" w:cs="Arial"/>
          <w:color w:val="7B7B7B" w:themeColor="accent3" w:themeShade="BF"/>
          <w:sz w:val="22"/>
          <w:szCs w:val="22"/>
        </w:rPr>
      </w:pPr>
    </w:p>
    <w:p w14:paraId="07AAFF7D" w14:textId="67E973AD" w:rsidR="00252D36" w:rsidRDefault="00252D36" w:rsidP="00252D3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the SPL bank account, the bank </w:t>
      </w:r>
      <w:r w:rsidR="001D680D">
        <w:rPr>
          <w:rFonts w:ascii="Arial" w:hAnsi="Arial" w:cs="Arial"/>
          <w:color w:val="7B7B7B" w:themeColor="accent3" w:themeShade="BF"/>
          <w:sz w:val="22"/>
          <w:szCs w:val="22"/>
        </w:rPr>
        <w:t xml:space="preserve">that the account is opened with </w:t>
      </w:r>
      <w:r>
        <w:rPr>
          <w:rFonts w:ascii="Arial" w:hAnsi="Arial" w:cs="Arial"/>
          <w:color w:val="7B7B7B" w:themeColor="accent3" w:themeShade="BF"/>
          <w:sz w:val="22"/>
          <w:szCs w:val="22"/>
        </w:rPr>
        <w:t>may assist the BVI liquidator to provide documents in relation to the SPL account even if there is no Hong Kong court order. However, if the liquidator intends to deal with the SPL account, then he has to apply for a specific recognition order from the Hong Kong court for the purpose of dealing with such SPL bank account.</w:t>
      </w:r>
    </w:p>
    <w:p w14:paraId="020797A8" w14:textId="7851B968" w:rsidR="00360E3D" w:rsidRDefault="00360E3D" w:rsidP="00252D36">
      <w:pPr>
        <w:jc w:val="both"/>
        <w:rPr>
          <w:rFonts w:ascii="Arial" w:hAnsi="Arial" w:cs="Arial"/>
          <w:color w:val="7B7B7B" w:themeColor="accent3" w:themeShade="BF"/>
          <w:sz w:val="22"/>
          <w:szCs w:val="22"/>
        </w:rPr>
      </w:pPr>
    </w:p>
    <w:p w14:paraId="7242BF85" w14:textId="333EE94A" w:rsidR="00360E3D" w:rsidRDefault="00360E3D" w:rsidP="00252D3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for the purported assets of SPL in the Mainland, the new “co-operation mechanism” between Hong Kong and the Mainland will only be relevant if the assets are located in the designated pilot areas of Shanghai, Xiamen and Shenzhen. Otherwise, the new </w:t>
      </w:r>
      <w:r w:rsidR="00EB2AFF">
        <w:rPr>
          <w:rFonts w:ascii="Arial" w:hAnsi="Arial" w:cs="Arial"/>
          <w:color w:val="7B7B7B" w:themeColor="accent3" w:themeShade="BF"/>
          <w:sz w:val="22"/>
          <w:szCs w:val="22"/>
        </w:rPr>
        <w:t xml:space="preserve">cooperation </w:t>
      </w:r>
      <w:r>
        <w:rPr>
          <w:rFonts w:ascii="Arial" w:hAnsi="Arial" w:cs="Arial"/>
          <w:color w:val="7B7B7B" w:themeColor="accent3" w:themeShade="BF"/>
          <w:sz w:val="22"/>
          <w:szCs w:val="22"/>
        </w:rPr>
        <w:t>mechanism will not apply.</w:t>
      </w:r>
    </w:p>
    <w:p w14:paraId="22F02349" w14:textId="71867FA2" w:rsidR="00360E3D" w:rsidRDefault="00360E3D" w:rsidP="00252D36">
      <w:pPr>
        <w:jc w:val="both"/>
        <w:rPr>
          <w:rFonts w:ascii="Arial" w:hAnsi="Arial" w:cs="Arial"/>
          <w:color w:val="7B7B7B" w:themeColor="accent3" w:themeShade="BF"/>
          <w:sz w:val="22"/>
          <w:szCs w:val="22"/>
        </w:rPr>
      </w:pPr>
    </w:p>
    <w:p w14:paraId="4FDB5B11" w14:textId="0F888491" w:rsidR="00360E3D" w:rsidRDefault="00360E3D" w:rsidP="00252D3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in order for the liquidator to avail itself of the co-operation mechanism, the liquidator will need to commence winding-up proceedings (under CWUMPO) against SPL in Hong Kong. The application for recognition or assistance under the mechanism must be made by the Hong Kong administrator in respect of Hong Kong insolvency proceedings and there must be a letter of request from the Hong Kong court. The Hong Kong administrator must also show that the </w:t>
      </w:r>
      <w:proofErr w:type="spellStart"/>
      <w:r>
        <w:rPr>
          <w:rFonts w:ascii="Arial" w:hAnsi="Arial" w:cs="Arial"/>
          <w:color w:val="7B7B7B" w:themeColor="accent3" w:themeShade="BF"/>
          <w:sz w:val="22"/>
          <w:szCs w:val="22"/>
        </w:rPr>
        <w:t>centre</w:t>
      </w:r>
      <w:proofErr w:type="spellEnd"/>
      <w:r>
        <w:rPr>
          <w:rFonts w:ascii="Arial" w:hAnsi="Arial" w:cs="Arial"/>
          <w:color w:val="7B7B7B" w:themeColor="accent3" w:themeShade="BF"/>
          <w:sz w:val="22"/>
          <w:szCs w:val="22"/>
        </w:rPr>
        <w:t xml:space="preserve"> of main interest is in Hong Kong </w:t>
      </w:r>
      <w:r w:rsidR="00EB2AFF">
        <w:rPr>
          <w:rFonts w:ascii="Arial" w:hAnsi="Arial" w:cs="Arial"/>
          <w:color w:val="7B7B7B" w:themeColor="accent3" w:themeShade="BF"/>
          <w:sz w:val="22"/>
          <w:szCs w:val="22"/>
        </w:rPr>
        <w:t>continuously for at least 6 months when applying for recognition and assistance under the cooperation mechanism.</w:t>
      </w:r>
      <w:r>
        <w:rPr>
          <w:rFonts w:ascii="Arial" w:hAnsi="Arial" w:cs="Arial"/>
          <w:color w:val="7B7B7B" w:themeColor="accent3" w:themeShade="BF"/>
          <w:sz w:val="22"/>
          <w:szCs w:val="22"/>
        </w:rPr>
        <w:t xml:space="preserve"> </w:t>
      </w:r>
    </w:p>
    <w:p w14:paraId="03526980" w14:textId="0BA5F72B" w:rsidR="00EB2AFF" w:rsidRDefault="00EB2AFF" w:rsidP="00252D36">
      <w:pPr>
        <w:jc w:val="both"/>
        <w:rPr>
          <w:rFonts w:ascii="Arial" w:hAnsi="Arial" w:cs="Arial"/>
          <w:color w:val="7B7B7B" w:themeColor="accent3" w:themeShade="BF"/>
          <w:sz w:val="22"/>
          <w:szCs w:val="22"/>
        </w:rPr>
      </w:pPr>
    </w:p>
    <w:p w14:paraId="7907F1C7" w14:textId="51470B33" w:rsidR="00EB2AFF" w:rsidRDefault="00EB2AFF" w:rsidP="00252D3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view of the above, the new cooperation mechanism between Hong Kong and Mainland does not seem relevant, or at least it is premature to consider it at this point until the liquidator can ascertain that the assets are located in the designated pilot areas.</w:t>
      </w: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FF89" w14:textId="77777777" w:rsidR="007A6CC0" w:rsidRDefault="007A6CC0" w:rsidP="00241B44">
      <w:r>
        <w:separator/>
      </w:r>
    </w:p>
  </w:endnote>
  <w:endnote w:type="continuationSeparator" w:id="0">
    <w:p w14:paraId="52AE5194" w14:textId="77777777" w:rsidR="007A6CC0" w:rsidRDefault="007A6CC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07B23" w:rsidRPr="00FC7B47" w:rsidRDefault="00B07B2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4A11206" w:rsidR="00B07B23" w:rsidRDefault="00B07B23"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B07B23" w:rsidRPr="009B4976" w:rsidRDefault="00B07B23" w:rsidP="00B07B2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6D43513A" w:rsidR="00B07B23" w:rsidRDefault="00EB2AFF" w:rsidP="009B4976">
    <w:pPr>
      <w:pStyle w:val="Footer"/>
      <w:ind w:right="360"/>
      <w:rPr>
        <w:rFonts w:ascii="Arial" w:hAnsi="Arial" w:cs="Arial"/>
        <w:sz w:val="18"/>
        <w:szCs w:val="18"/>
        <w:lang w:val="en-GB"/>
      </w:rPr>
    </w:pPr>
    <w:r>
      <w:rPr>
        <w:rFonts w:ascii="Arial" w:hAnsi="Arial" w:cs="Arial"/>
        <w:sz w:val="18"/>
        <w:szCs w:val="18"/>
        <w:lang w:val="en-GB"/>
      </w:rPr>
      <w:t>202122-527</w:t>
    </w:r>
    <w:r w:rsidR="00B07B23" w:rsidRPr="009B4976">
      <w:rPr>
        <w:rFonts w:ascii="Arial" w:hAnsi="Arial" w:cs="Arial"/>
        <w:sz w:val="18"/>
        <w:szCs w:val="18"/>
        <w:lang w:val="en-GB"/>
      </w:rPr>
      <w:t>.assessment</w:t>
    </w:r>
    <w:r w:rsidR="00B07B23">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8C00" w14:textId="77777777" w:rsidR="00EB2AFF" w:rsidRDefault="00EB2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81D2" w14:textId="77777777" w:rsidR="007A6CC0" w:rsidRDefault="007A6CC0" w:rsidP="00241B44">
      <w:r>
        <w:separator/>
      </w:r>
    </w:p>
  </w:footnote>
  <w:footnote w:type="continuationSeparator" w:id="0">
    <w:p w14:paraId="1AEC2373" w14:textId="77777777" w:rsidR="007A6CC0" w:rsidRDefault="007A6CC0" w:rsidP="00241B44">
      <w:r>
        <w:continuationSeparator/>
      </w:r>
    </w:p>
  </w:footnote>
  <w:footnote w:id="1">
    <w:p w14:paraId="4CE7602F" w14:textId="5B0472D5" w:rsidR="00B07B23" w:rsidRPr="00DF3DFD" w:rsidRDefault="00B07B23">
      <w:pPr>
        <w:pStyle w:val="FootnoteText"/>
        <w:rPr>
          <w:lang w:val="en-MY"/>
        </w:rPr>
      </w:pPr>
      <w:r>
        <w:rPr>
          <w:rStyle w:val="FootnoteReference"/>
        </w:rPr>
        <w:footnoteRef/>
      </w:r>
      <w:r>
        <w:t xml:space="preserve"> </w:t>
      </w:r>
      <w:r>
        <w:rPr>
          <w:lang w:val="en-MY"/>
        </w:rPr>
        <w:t>Kam Leung Siu Kwan v Kam Kwan Lai (2015) 18 HKCFAR 501</w:t>
      </w:r>
    </w:p>
  </w:footnote>
  <w:footnote w:id="2">
    <w:p w14:paraId="55C03673" w14:textId="6AE5D931" w:rsidR="00B07B23" w:rsidRPr="008513AB" w:rsidRDefault="00B07B23">
      <w:pPr>
        <w:pStyle w:val="FootnoteText"/>
        <w:rPr>
          <w:lang w:val="en-MY"/>
        </w:rPr>
      </w:pPr>
      <w:r>
        <w:rPr>
          <w:rStyle w:val="FootnoteReference"/>
        </w:rPr>
        <w:footnoteRef/>
      </w:r>
      <w:r>
        <w:t xml:space="preserve"> </w:t>
      </w:r>
      <w:r>
        <w:rPr>
          <w:lang w:val="en-MY"/>
        </w:rPr>
        <w:t>[2005] 2 HKC 589</w:t>
      </w:r>
    </w:p>
  </w:footnote>
  <w:footnote w:id="3">
    <w:p w14:paraId="28ED0305" w14:textId="41648C43" w:rsidR="00B07B23" w:rsidRPr="008513AB" w:rsidRDefault="00B07B23">
      <w:pPr>
        <w:pStyle w:val="FootnoteText"/>
        <w:rPr>
          <w:lang w:val="en-MY"/>
        </w:rPr>
      </w:pPr>
      <w:r>
        <w:rPr>
          <w:rStyle w:val="FootnoteReference"/>
        </w:rPr>
        <w:footnoteRef/>
      </w:r>
      <w:r>
        <w:t xml:space="preserve"> </w:t>
      </w:r>
      <w:r>
        <w:rPr>
          <w:lang w:val="en-MY"/>
        </w:rPr>
        <w:t>Guidance Text Module 8C – Hong Kong, page 75</w:t>
      </w:r>
    </w:p>
  </w:footnote>
  <w:footnote w:id="4">
    <w:p w14:paraId="7E38BFEF" w14:textId="4DB81C6F" w:rsidR="009D728E" w:rsidRPr="009D728E" w:rsidRDefault="009D728E">
      <w:pPr>
        <w:pStyle w:val="FootnoteText"/>
        <w:rPr>
          <w:lang w:val="en-MY"/>
        </w:rPr>
      </w:pPr>
      <w:r>
        <w:rPr>
          <w:rStyle w:val="FootnoteReference"/>
        </w:rPr>
        <w:footnoteRef/>
      </w:r>
      <w:r>
        <w:t xml:space="preserve"> </w:t>
      </w:r>
      <w:r>
        <w:rPr>
          <w:lang w:val="en-MY"/>
        </w:rPr>
        <w:t>The three-stage process was confirmed by the Court of Final Appeals in the case of UDL Argos Engineering &amp; Heavy Industries Co Ltd v Li Oi Lin [2001]4 HKCFAR 358.</w:t>
      </w:r>
    </w:p>
  </w:footnote>
  <w:footnote w:id="5">
    <w:p w14:paraId="53263E7E" w14:textId="34FAD118" w:rsidR="00D87959" w:rsidRPr="00D87959" w:rsidRDefault="00D87959">
      <w:pPr>
        <w:pStyle w:val="FootnoteText"/>
        <w:rPr>
          <w:lang w:val="en-MY"/>
        </w:rPr>
      </w:pPr>
      <w:r>
        <w:rPr>
          <w:rStyle w:val="FootnoteReference"/>
        </w:rPr>
        <w:footnoteRef/>
      </w:r>
      <w:r>
        <w:t xml:space="preserve"> </w:t>
      </w:r>
      <w:r>
        <w:rPr>
          <w:lang w:val="en-MY"/>
        </w:rPr>
        <w:t xml:space="preserve">Privy Council in </w:t>
      </w:r>
      <w:proofErr w:type="spellStart"/>
      <w:r>
        <w:rPr>
          <w:lang w:val="en-MY"/>
        </w:rPr>
        <w:t>Singularis</w:t>
      </w:r>
      <w:proofErr w:type="spellEnd"/>
      <w:r>
        <w:rPr>
          <w:lang w:val="en-MY"/>
        </w:rPr>
        <w:t xml:space="preserve"> Holdings v PricewaterhouseCoopers [2014] UKPC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09CA" w14:textId="77777777" w:rsidR="00EB2AFF" w:rsidRDefault="00EB2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3603" w14:textId="77777777" w:rsidR="00EB2AFF" w:rsidRDefault="00EB2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8DB5" w14:textId="77777777" w:rsidR="00EB2AFF" w:rsidRDefault="00EB2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91DA0"/>
    <w:multiLevelType w:val="hybridMultilevel"/>
    <w:tmpl w:val="027C9FB6"/>
    <w:lvl w:ilvl="0" w:tplc="50CE4F2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F147D"/>
    <w:multiLevelType w:val="hybridMultilevel"/>
    <w:tmpl w:val="A7D8A094"/>
    <w:lvl w:ilvl="0" w:tplc="32FA09A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7D77368"/>
    <w:multiLevelType w:val="hybridMultilevel"/>
    <w:tmpl w:val="E800EDE2"/>
    <w:lvl w:ilvl="0" w:tplc="B890FDAA">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96789"/>
    <w:multiLevelType w:val="hybridMultilevel"/>
    <w:tmpl w:val="5E1E2CD8"/>
    <w:lvl w:ilvl="0" w:tplc="B0C0476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4476581"/>
    <w:multiLevelType w:val="hybridMultilevel"/>
    <w:tmpl w:val="ED10339A"/>
    <w:lvl w:ilvl="0" w:tplc="847C213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78D7E6D"/>
    <w:multiLevelType w:val="hybridMultilevel"/>
    <w:tmpl w:val="D3C6D0D6"/>
    <w:lvl w:ilvl="0" w:tplc="C3A66CF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237FF"/>
    <w:multiLevelType w:val="hybridMultilevel"/>
    <w:tmpl w:val="3968AC66"/>
    <w:lvl w:ilvl="0" w:tplc="1F4603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B464578"/>
    <w:multiLevelType w:val="hybridMultilevel"/>
    <w:tmpl w:val="8B4C8C6C"/>
    <w:lvl w:ilvl="0" w:tplc="3CCA741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15:restartNumberingAfterBreak="0">
    <w:nsid w:val="60304F1C"/>
    <w:multiLevelType w:val="hybridMultilevel"/>
    <w:tmpl w:val="B082E4EE"/>
    <w:lvl w:ilvl="0" w:tplc="A2B0E30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823B90"/>
    <w:multiLevelType w:val="hybridMultilevel"/>
    <w:tmpl w:val="403C97E8"/>
    <w:lvl w:ilvl="0" w:tplc="9B8CB01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31315"/>
    <w:multiLevelType w:val="hybridMultilevel"/>
    <w:tmpl w:val="80084E90"/>
    <w:lvl w:ilvl="0" w:tplc="5F42E27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D15588"/>
    <w:multiLevelType w:val="hybridMultilevel"/>
    <w:tmpl w:val="507E4F6A"/>
    <w:lvl w:ilvl="0" w:tplc="9EE0901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5"/>
  </w:num>
  <w:num w:numId="2">
    <w:abstractNumId w:val="32"/>
  </w:num>
  <w:num w:numId="3">
    <w:abstractNumId w:val="14"/>
  </w:num>
  <w:num w:numId="4">
    <w:abstractNumId w:val="17"/>
  </w:num>
  <w:num w:numId="5">
    <w:abstractNumId w:val="9"/>
  </w:num>
  <w:num w:numId="6">
    <w:abstractNumId w:val="8"/>
  </w:num>
  <w:num w:numId="7">
    <w:abstractNumId w:val="7"/>
  </w:num>
  <w:num w:numId="8">
    <w:abstractNumId w:val="16"/>
  </w:num>
  <w:num w:numId="9">
    <w:abstractNumId w:val="4"/>
  </w:num>
  <w:num w:numId="10">
    <w:abstractNumId w:val="24"/>
  </w:num>
  <w:num w:numId="11">
    <w:abstractNumId w:val="13"/>
  </w:num>
  <w:num w:numId="12">
    <w:abstractNumId w:val="19"/>
  </w:num>
  <w:num w:numId="13">
    <w:abstractNumId w:val="37"/>
  </w:num>
  <w:num w:numId="14">
    <w:abstractNumId w:val="28"/>
  </w:num>
  <w:num w:numId="15">
    <w:abstractNumId w:val="21"/>
  </w:num>
  <w:num w:numId="16">
    <w:abstractNumId w:val="20"/>
  </w:num>
  <w:num w:numId="17">
    <w:abstractNumId w:val="5"/>
  </w:num>
  <w:num w:numId="18">
    <w:abstractNumId w:val="36"/>
  </w:num>
  <w:num w:numId="19">
    <w:abstractNumId w:val="29"/>
  </w:num>
  <w:num w:numId="20">
    <w:abstractNumId w:val="34"/>
  </w:num>
  <w:num w:numId="21">
    <w:abstractNumId w:val="12"/>
  </w:num>
  <w:num w:numId="22">
    <w:abstractNumId w:val="15"/>
  </w:num>
  <w:num w:numId="23">
    <w:abstractNumId w:val="0"/>
  </w:num>
  <w:num w:numId="24">
    <w:abstractNumId w:val="30"/>
  </w:num>
  <w:num w:numId="25">
    <w:abstractNumId w:val="6"/>
  </w:num>
  <w:num w:numId="26">
    <w:abstractNumId w:val="2"/>
  </w:num>
  <w:num w:numId="27">
    <w:abstractNumId w:val="3"/>
  </w:num>
  <w:num w:numId="28">
    <w:abstractNumId w:val="23"/>
  </w:num>
  <w:num w:numId="29">
    <w:abstractNumId w:val="22"/>
  </w:num>
  <w:num w:numId="30">
    <w:abstractNumId w:val="26"/>
  </w:num>
  <w:num w:numId="31">
    <w:abstractNumId w:val="33"/>
  </w:num>
  <w:num w:numId="32">
    <w:abstractNumId w:val="27"/>
  </w:num>
  <w:num w:numId="33">
    <w:abstractNumId w:val="1"/>
  </w:num>
  <w:num w:numId="34">
    <w:abstractNumId w:val="38"/>
  </w:num>
  <w:num w:numId="35">
    <w:abstractNumId w:val="18"/>
  </w:num>
  <w:num w:numId="36">
    <w:abstractNumId w:val="11"/>
  </w:num>
  <w:num w:numId="37">
    <w:abstractNumId w:val="31"/>
  </w:num>
  <w:num w:numId="38">
    <w:abstractNumId w:val="10"/>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21D"/>
    <w:rsid w:val="00007BF3"/>
    <w:rsid w:val="00010809"/>
    <w:rsid w:val="00010BA0"/>
    <w:rsid w:val="000168DB"/>
    <w:rsid w:val="00017771"/>
    <w:rsid w:val="00020557"/>
    <w:rsid w:val="00021FC2"/>
    <w:rsid w:val="000232F5"/>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A798C"/>
    <w:rsid w:val="000B05A3"/>
    <w:rsid w:val="000B1C00"/>
    <w:rsid w:val="000B5FF1"/>
    <w:rsid w:val="000B609F"/>
    <w:rsid w:val="000D55A8"/>
    <w:rsid w:val="000E4841"/>
    <w:rsid w:val="000E7B06"/>
    <w:rsid w:val="000F1677"/>
    <w:rsid w:val="000F1DF4"/>
    <w:rsid w:val="000F3D6C"/>
    <w:rsid w:val="00100999"/>
    <w:rsid w:val="00101707"/>
    <w:rsid w:val="00102CC9"/>
    <w:rsid w:val="0010593A"/>
    <w:rsid w:val="0011473D"/>
    <w:rsid w:val="00115C85"/>
    <w:rsid w:val="00123305"/>
    <w:rsid w:val="00123855"/>
    <w:rsid w:val="0012397B"/>
    <w:rsid w:val="00126A4D"/>
    <w:rsid w:val="0014171F"/>
    <w:rsid w:val="00142B28"/>
    <w:rsid w:val="00142E36"/>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869E8"/>
    <w:rsid w:val="00193428"/>
    <w:rsid w:val="001966D9"/>
    <w:rsid w:val="001A007A"/>
    <w:rsid w:val="001A7E9A"/>
    <w:rsid w:val="001B0F70"/>
    <w:rsid w:val="001B2F4E"/>
    <w:rsid w:val="001B5016"/>
    <w:rsid w:val="001B6568"/>
    <w:rsid w:val="001C45FC"/>
    <w:rsid w:val="001C6BC7"/>
    <w:rsid w:val="001D0469"/>
    <w:rsid w:val="001D29C0"/>
    <w:rsid w:val="001D4862"/>
    <w:rsid w:val="001D680D"/>
    <w:rsid w:val="001E074C"/>
    <w:rsid w:val="001E11FC"/>
    <w:rsid w:val="001E25B9"/>
    <w:rsid w:val="001E2A61"/>
    <w:rsid w:val="001E49E0"/>
    <w:rsid w:val="001E7B5A"/>
    <w:rsid w:val="001F7412"/>
    <w:rsid w:val="0020067D"/>
    <w:rsid w:val="0020090A"/>
    <w:rsid w:val="00202DFE"/>
    <w:rsid w:val="0020725B"/>
    <w:rsid w:val="002110F1"/>
    <w:rsid w:val="00225ADF"/>
    <w:rsid w:val="002356EA"/>
    <w:rsid w:val="00235ED0"/>
    <w:rsid w:val="0024116D"/>
    <w:rsid w:val="002414D3"/>
    <w:rsid w:val="00241B44"/>
    <w:rsid w:val="00241FA3"/>
    <w:rsid w:val="00242845"/>
    <w:rsid w:val="00245EFB"/>
    <w:rsid w:val="00247C04"/>
    <w:rsid w:val="00252D36"/>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A4609"/>
    <w:rsid w:val="002B1C45"/>
    <w:rsid w:val="002B3D54"/>
    <w:rsid w:val="002C13C8"/>
    <w:rsid w:val="002C2C71"/>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0E3D"/>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5F4B"/>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135A"/>
    <w:rsid w:val="00677AEB"/>
    <w:rsid w:val="00680EF2"/>
    <w:rsid w:val="00681FFD"/>
    <w:rsid w:val="00687A1D"/>
    <w:rsid w:val="00690B0B"/>
    <w:rsid w:val="006977EC"/>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5785D"/>
    <w:rsid w:val="007603F5"/>
    <w:rsid w:val="00764DB0"/>
    <w:rsid w:val="0076764D"/>
    <w:rsid w:val="0077498C"/>
    <w:rsid w:val="007809BC"/>
    <w:rsid w:val="00784128"/>
    <w:rsid w:val="00785A24"/>
    <w:rsid w:val="00787BCC"/>
    <w:rsid w:val="00793173"/>
    <w:rsid w:val="00795C25"/>
    <w:rsid w:val="007A06A0"/>
    <w:rsid w:val="007A2A33"/>
    <w:rsid w:val="007A6CC0"/>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0CC7"/>
    <w:rsid w:val="0081669A"/>
    <w:rsid w:val="0082483F"/>
    <w:rsid w:val="008279C0"/>
    <w:rsid w:val="00844E12"/>
    <w:rsid w:val="008513AB"/>
    <w:rsid w:val="00852D90"/>
    <w:rsid w:val="00861C30"/>
    <w:rsid w:val="00863B25"/>
    <w:rsid w:val="00867701"/>
    <w:rsid w:val="008723F3"/>
    <w:rsid w:val="00876F56"/>
    <w:rsid w:val="00881DE6"/>
    <w:rsid w:val="008837A6"/>
    <w:rsid w:val="00884C75"/>
    <w:rsid w:val="008877A5"/>
    <w:rsid w:val="0089145D"/>
    <w:rsid w:val="00893B7C"/>
    <w:rsid w:val="00897D68"/>
    <w:rsid w:val="008A298C"/>
    <w:rsid w:val="008A4DF2"/>
    <w:rsid w:val="008A6CFE"/>
    <w:rsid w:val="008B5333"/>
    <w:rsid w:val="008B6223"/>
    <w:rsid w:val="008C66E0"/>
    <w:rsid w:val="008D597F"/>
    <w:rsid w:val="008E3339"/>
    <w:rsid w:val="008F20FC"/>
    <w:rsid w:val="008F4673"/>
    <w:rsid w:val="008F5FFE"/>
    <w:rsid w:val="00905A43"/>
    <w:rsid w:val="00912C79"/>
    <w:rsid w:val="00921B8C"/>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0C9E"/>
    <w:rsid w:val="009B15E2"/>
    <w:rsid w:val="009B4171"/>
    <w:rsid w:val="009B4976"/>
    <w:rsid w:val="009C0B8E"/>
    <w:rsid w:val="009C1BC8"/>
    <w:rsid w:val="009C2442"/>
    <w:rsid w:val="009D0811"/>
    <w:rsid w:val="009D0EE1"/>
    <w:rsid w:val="009D728E"/>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E5FC1"/>
    <w:rsid w:val="00AF228E"/>
    <w:rsid w:val="00AF4935"/>
    <w:rsid w:val="00B016A8"/>
    <w:rsid w:val="00B02A8B"/>
    <w:rsid w:val="00B07B23"/>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2183"/>
    <w:rsid w:val="00B9639B"/>
    <w:rsid w:val="00BA05C6"/>
    <w:rsid w:val="00BB0F2B"/>
    <w:rsid w:val="00BB16E8"/>
    <w:rsid w:val="00BB48AA"/>
    <w:rsid w:val="00BC2EDB"/>
    <w:rsid w:val="00BD2F2E"/>
    <w:rsid w:val="00BE4FF3"/>
    <w:rsid w:val="00BE70CF"/>
    <w:rsid w:val="00BF04AE"/>
    <w:rsid w:val="00BF50F7"/>
    <w:rsid w:val="00BF5746"/>
    <w:rsid w:val="00C02F29"/>
    <w:rsid w:val="00C17718"/>
    <w:rsid w:val="00C20AFE"/>
    <w:rsid w:val="00C22A25"/>
    <w:rsid w:val="00C328C8"/>
    <w:rsid w:val="00C35671"/>
    <w:rsid w:val="00C35B77"/>
    <w:rsid w:val="00C376EB"/>
    <w:rsid w:val="00C41732"/>
    <w:rsid w:val="00C44889"/>
    <w:rsid w:val="00C46A92"/>
    <w:rsid w:val="00C46EC1"/>
    <w:rsid w:val="00C50C3D"/>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02CC"/>
    <w:rsid w:val="00CC5335"/>
    <w:rsid w:val="00CC5BA4"/>
    <w:rsid w:val="00CD4998"/>
    <w:rsid w:val="00CD4EEC"/>
    <w:rsid w:val="00CE1035"/>
    <w:rsid w:val="00CE6C50"/>
    <w:rsid w:val="00CE6E50"/>
    <w:rsid w:val="00CE7AFA"/>
    <w:rsid w:val="00CF1E7A"/>
    <w:rsid w:val="00CF2819"/>
    <w:rsid w:val="00CF4F9D"/>
    <w:rsid w:val="00CF70DC"/>
    <w:rsid w:val="00CF7A07"/>
    <w:rsid w:val="00D027D9"/>
    <w:rsid w:val="00D148DC"/>
    <w:rsid w:val="00D17FDC"/>
    <w:rsid w:val="00D21D8C"/>
    <w:rsid w:val="00D27A96"/>
    <w:rsid w:val="00D37174"/>
    <w:rsid w:val="00D41851"/>
    <w:rsid w:val="00D423E5"/>
    <w:rsid w:val="00D53719"/>
    <w:rsid w:val="00D63EFD"/>
    <w:rsid w:val="00D759CE"/>
    <w:rsid w:val="00D832A3"/>
    <w:rsid w:val="00D84752"/>
    <w:rsid w:val="00D86B3B"/>
    <w:rsid w:val="00D8748A"/>
    <w:rsid w:val="00D87959"/>
    <w:rsid w:val="00D92542"/>
    <w:rsid w:val="00D93196"/>
    <w:rsid w:val="00D94882"/>
    <w:rsid w:val="00D94F60"/>
    <w:rsid w:val="00DA0DC0"/>
    <w:rsid w:val="00DB224C"/>
    <w:rsid w:val="00DB243C"/>
    <w:rsid w:val="00DB482A"/>
    <w:rsid w:val="00DB50FB"/>
    <w:rsid w:val="00DB56F2"/>
    <w:rsid w:val="00DB6EF5"/>
    <w:rsid w:val="00DC3089"/>
    <w:rsid w:val="00DC4420"/>
    <w:rsid w:val="00DC6915"/>
    <w:rsid w:val="00DD0802"/>
    <w:rsid w:val="00DD2E11"/>
    <w:rsid w:val="00DE03AF"/>
    <w:rsid w:val="00DE121C"/>
    <w:rsid w:val="00DE2CA5"/>
    <w:rsid w:val="00DE6633"/>
    <w:rsid w:val="00DF3DFD"/>
    <w:rsid w:val="00DF75F8"/>
    <w:rsid w:val="00DF7A3A"/>
    <w:rsid w:val="00E00C00"/>
    <w:rsid w:val="00E02EDA"/>
    <w:rsid w:val="00E06F2B"/>
    <w:rsid w:val="00E07C5A"/>
    <w:rsid w:val="00E14FA7"/>
    <w:rsid w:val="00E15753"/>
    <w:rsid w:val="00E15BA9"/>
    <w:rsid w:val="00E26E19"/>
    <w:rsid w:val="00E30B9A"/>
    <w:rsid w:val="00E31DF3"/>
    <w:rsid w:val="00E31FB0"/>
    <w:rsid w:val="00E35DD9"/>
    <w:rsid w:val="00E42F18"/>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96876"/>
    <w:rsid w:val="00EA0913"/>
    <w:rsid w:val="00EA5B00"/>
    <w:rsid w:val="00EB146B"/>
    <w:rsid w:val="00EB2AFF"/>
    <w:rsid w:val="00EB45AC"/>
    <w:rsid w:val="00EB4E15"/>
    <w:rsid w:val="00EC0C75"/>
    <w:rsid w:val="00EC2126"/>
    <w:rsid w:val="00EC3D7B"/>
    <w:rsid w:val="00EC441F"/>
    <w:rsid w:val="00EC4755"/>
    <w:rsid w:val="00ED0BC4"/>
    <w:rsid w:val="00ED447D"/>
    <w:rsid w:val="00EE11F5"/>
    <w:rsid w:val="00EE4971"/>
    <w:rsid w:val="00EE6CB0"/>
    <w:rsid w:val="00EE7983"/>
    <w:rsid w:val="00EF090E"/>
    <w:rsid w:val="00EF5572"/>
    <w:rsid w:val="00F033DA"/>
    <w:rsid w:val="00F05291"/>
    <w:rsid w:val="00F054BB"/>
    <w:rsid w:val="00F13691"/>
    <w:rsid w:val="00F13FB1"/>
    <w:rsid w:val="00F27CD8"/>
    <w:rsid w:val="00F27ED4"/>
    <w:rsid w:val="00F30351"/>
    <w:rsid w:val="00F3323E"/>
    <w:rsid w:val="00F341F4"/>
    <w:rsid w:val="00F34F9D"/>
    <w:rsid w:val="00F35CCE"/>
    <w:rsid w:val="00F35DFC"/>
    <w:rsid w:val="00F45207"/>
    <w:rsid w:val="00F5524B"/>
    <w:rsid w:val="00F558E7"/>
    <w:rsid w:val="00F60538"/>
    <w:rsid w:val="00F61DD2"/>
    <w:rsid w:val="00F65AB3"/>
    <w:rsid w:val="00F66AFF"/>
    <w:rsid w:val="00F66F36"/>
    <w:rsid w:val="00F71433"/>
    <w:rsid w:val="00F946AC"/>
    <w:rsid w:val="00F97C5B"/>
    <w:rsid w:val="00FA3D50"/>
    <w:rsid w:val="00FB44D4"/>
    <w:rsid w:val="00FB7FBD"/>
    <w:rsid w:val="00FC1024"/>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B14E-71E0-44E7-95C6-DAAE1159717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87E214-223E-4DEF-A78C-A1C75A02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Personal</cp:keywords>
  <cp:lastModifiedBy>Kong Chia Yee</cp:lastModifiedBy>
  <cp:revision>2</cp:revision>
  <cp:lastPrinted>2020-06-08T04:09:00Z</cp:lastPrinted>
  <dcterms:created xsi:type="dcterms:W3CDTF">2022-06-06T15:05:00Z</dcterms:created>
  <dcterms:modified xsi:type="dcterms:W3CDTF">2022-06-06T15:05:00Z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docIndexRef">
    <vt:lpwstr>cada063a-d803-4e80-82b4-c5f7af3e857c</vt:lpwstr>
  </property>
  <property fmtid="{D5CDD505-2E9C-101B-9397-08002B2CF9AE}" pid="17" name="bjSaver">
    <vt:lpwstr>bPYtoja+fdUaftfDsgW25U8k69Bzsisy</vt:lpwstr>
  </property>
  <property fmtid="{D5CDD505-2E9C-101B-9397-08002B2CF9AE}" pid="18"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19" name="bjDocumentLabelXML-0">
    <vt:lpwstr>ames.com/2008/01/sie/internal/label"&gt;&lt;element uid="0396dc7d-9d2f-459d-9e03-6e8dc85fa202" value="" /&gt;&lt;element uid="bc9373da-fcfa-4469-a78f-e552654443e3" value="" /&gt;&lt;/sisl&gt;</vt:lpwstr>
  </property>
  <property fmtid="{D5CDD505-2E9C-101B-9397-08002B2CF9AE}" pid="20" name="bjDocumentSecurityLabel">
    <vt:lpwstr>Personal</vt:lpwstr>
  </property>
  <property fmtid="{D5CDD505-2E9C-101B-9397-08002B2CF9AE}" pid="21" name="DLP">
    <vt:lpwstr>{[*Others Personal*]}</vt:lpwstr>
  </property>
  <property fmtid="{D5CDD505-2E9C-101B-9397-08002B2CF9AE}" pid="22" name="bjFooterBothDocProperty">
    <vt:lpwstr>This information/document has been classified: Personal</vt:lpwstr>
  </property>
  <property fmtid="{D5CDD505-2E9C-101B-9397-08002B2CF9AE}" pid="23" name="bjFooterFirstPageDocProperty">
    <vt:lpwstr>This information/document has been classified: Personal</vt:lpwstr>
  </property>
  <property fmtid="{D5CDD505-2E9C-101B-9397-08002B2CF9AE}" pid="24" name="bjFooterEvenPageDocProperty">
    <vt:lpwstr>This information/document has been classified: Personal</vt:lpwstr>
  </property>
  <property fmtid="{D5CDD505-2E9C-101B-9397-08002B2CF9AE}" pid="25" name="bjClsUserRVM">
    <vt:lpwstr>[{"VisualMarkingType":2,"ShapeName":"","ApplyMarking":false}]</vt:lpwstr>
  </property>
</Properties>
</file>