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w:t>
      </w:r>
      <w:bookmarkStart w:id="0" w:name="_GoBack"/>
      <w:bookmarkEnd w:id="0"/>
      <w:r>
        <w:rPr>
          <w:rFonts w:ascii="Arial" w:hAnsi="Arial" w:cs="Arial"/>
          <w:sz w:val="22"/>
          <w:szCs w:val="22"/>
          <w:lang w:val="en-GB"/>
        </w:rPr>
        <w:t xml:space="preserve">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A4A5C" w:rsidRDefault="007B0809" w:rsidP="004F49B5">
      <w:pPr>
        <w:pStyle w:val="AODocTxt"/>
        <w:numPr>
          <w:ilvl w:val="0"/>
          <w:numId w:val="2"/>
        </w:numPr>
        <w:spacing w:before="0" w:line="240" w:lineRule="auto"/>
        <w:ind w:left="426"/>
        <w:rPr>
          <w:rFonts w:ascii="Arial" w:hAnsi="Arial" w:cs="Arial"/>
          <w:highlight w:val="yellow"/>
        </w:rPr>
      </w:pPr>
      <w:r w:rsidRPr="005A4A5C">
        <w:rPr>
          <w:rFonts w:ascii="Arial" w:hAnsi="Arial" w:cs="Arial"/>
          <w:highlight w:val="yellow"/>
        </w:rPr>
        <w:t xml:space="preserve">A local advocacy </w:t>
      </w:r>
      <w:proofErr w:type="gramStart"/>
      <w:r w:rsidRPr="005A4A5C">
        <w:rPr>
          <w:rFonts w:ascii="Arial" w:hAnsi="Arial" w:cs="Arial"/>
          <w:highlight w:val="yellow"/>
        </w:rPr>
        <w:t>group</w:t>
      </w:r>
      <w:proofErr w:type="gramEnd"/>
      <w:r w:rsidRPr="005A4A5C">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Pr="00172282" w:rsidRDefault="007B0809" w:rsidP="007B0809">
      <w:pPr>
        <w:pStyle w:val="AODocTxt"/>
        <w:spacing w:before="0" w:line="240" w:lineRule="auto"/>
        <w:rPr>
          <w:rFonts w:ascii="Arial" w:hAnsi="Arial" w:cs="Arial"/>
          <w:lang w:val="en-MY"/>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951455" w:rsidRDefault="007B0809" w:rsidP="004F49B5">
      <w:pPr>
        <w:pStyle w:val="AODocTxt"/>
        <w:numPr>
          <w:ilvl w:val="0"/>
          <w:numId w:val="3"/>
        </w:numPr>
        <w:spacing w:before="0" w:line="240" w:lineRule="auto"/>
        <w:ind w:left="426"/>
        <w:rPr>
          <w:rFonts w:ascii="Arial" w:hAnsi="Arial" w:cs="Arial"/>
          <w:highlight w:val="yellow"/>
        </w:rPr>
      </w:pPr>
      <w:r w:rsidRPr="00951455">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172282" w:rsidRDefault="007B0809" w:rsidP="004F49B5">
      <w:pPr>
        <w:pStyle w:val="AODocTxt"/>
        <w:numPr>
          <w:ilvl w:val="0"/>
          <w:numId w:val="4"/>
        </w:numPr>
        <w:spacing w:before="0" w:line="240" w:lineRule="auto"/>
        <w:ind w:left="426"/>
        <w:rPr>
          <w:rFonts w:ascii="Arial" w:hAnsi="Arial" w:cs="Arial"/>
          <w:highlight w:val="yellow"/>
        </w:rPr>
      </w:pPr>
      <w:r w:rsidRPr="00172282">
        <w:rPr>
          <w:rFonts w:ascii="Arial" w:hAnsi="Arial" w:cs="Arial"/>
          <w:highlight w:val="yellow"/>
        </w:rPr>
        <w:t xml:space="preserve">A debtor’s motion to dismiss an involuntary bankruptcy petition. </w:t>
      </w:r>
    </w:p>
    <w:p w14:paraId="25F2F3DE" w14:textId="6333FE15" w:rsidR="007B0809" w:rsidRPr="007B0809" w:rsidRDefault="007B0809" w:rsidP="00F9457E">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A45A32" w:rsidRDefault="007B0809" w:rsidP="004F49B5">
      <w:pPr>
        <w:pStyle w:val="AODocTxt"/>
        <w:numPr>
          <w:ilvl w:val="0"/>
          <w:numId w:val="5"/>
        </w:numPr>
        <w:spacing w:before="0" w:line="240" w:lineRule="auto"/>
        <w:ind w:left="426"/>
        <w:rPr>
          <w:rFonts w:ascii="Arial" w:hAnsi="Arial" w:cs="Arial"/>
          <w:highlight w:val="yellow"/>
        </w:rPr>
      </w:pPr>
      <w:r w:rsidRPr="00A45A32">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12F03" w:rsidRDefault="007B0809" w:rsidP="004F49B5">
      <w:pPr>
        <w:pStyle w:val="AODocTxt"/>
        <w:numPr>
          <w:ilvl w:val="0"/>
          <w:numId w:val="6"/>
        </w:numPr>
        <w:spacing w:before="0" w:line="240" w:lineRule="auto"/>
        <w:ind w:left="426"/>
        <w:rPr>
          <w:rFonts w:ascii="Arial" w:hAnsi="Arial" w:cs="Arial"/>
          <w:highlight w:val="yellow"/>
        </w:rPr>
      </w:pPr>
      <w:r w:rsidRPr="00C12F03">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DE2B88" w:rsidRDefault="007B0809" w:rsidP="004F49B5">
      <w:pPr>
        <w:pStyle w:val="AODocTxt"/>
        <w:numPr>
          <w:ilvl w:val="0"/>
          <w:numId w:val="7"/>
        </w:numPr>
        <w:spacing w:before="0" w:line="240" w:lineRule="auto"/>
        <w:ind w:left="426"/>
        <w:rPr>
          <w:rFonts w:ascii="Arial" w:hAnsi="Arial" w:cs="Arial"/>
          <w:highlight w:val="yellow"/>
        </w:rPr>
      </w:pPr>
      <w:r w:rsidRPr="00DE2B8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465F0D" w:rsidRDefault="007B0809" w:rsidP="004F49B5">
      <w:pPr>
        <w:pStyle w:val="AODocTxt"/>
        <w:numPr>
          <w:ilvl w:val="0"/>
          <w:numId w:val="8"/>
        </w:numPr>
        <w:spacing w:before="0" w:line="240" w:lineRule="auto"/>
        <w:ind w:left="426"/>
        <w:rPr>
          <w:rFonts w:ascii="Arial" w:hAnsi="Arial" w:cs="Arial"/>
          <w:highlight w:val="yellow"/>
        </w:rPr>
      </w:pPr>
      <w:r w:rsidRPr="00465F0D">
        <w:rPr>
          <w:rFonts w:ascii="Arial" w:hAnsi="Arial" w:cs="Arial"/>
          <w:highlight w:val="yellow"/>
        </w:rPr>
        <w:t>The automatic stay applies upon the filing of a petition for recognition.</w:t>
      </w:r>
      <w:r w:rsidR="00F92140" w:rsidRPr="00465F0D">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284819" w:rsidRDefault="007B0809" w:rsidP="004F49B5">
      <w:pPr>
        <w:pStyle w:val="AODocTxt"/>
        <w:numPr>
          <w:ilvl w:val="0"/>
          <w:numId w:val="9"/>
        </w:numPr>
        <w:spacing w:before="0" w:line="240" w:lineRule="auto"/>
        <w:ind w:left="426"/>
        <w:rPr>
          <w:rFonts w:ascii="Arial" w:hAnsi="Arial" w:cs="Arial"/>
          <w:highlight w:val="yellow"/>
        </w:rPr>
      </w:pPr>
      <w:r w:rsidRPr="00284819">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942214" w:rsidRDefault="007B0809" w:rsidP="004F49B5">
      <w:pPr>
        <w:pStyle w:val="AODocTxt"/>
        <w:numPr>
          <w:ilvl w:val="0"/>
          <w:numId w:val="10"/>
        </w:numPr>
        <w:spacing w:before="0" w:line="240" w:lineRule="auto"/>
        <w:ind w:left="426"/>
        <w:rPr>
          <w:rFonts w:ascii="Arial" w:hAnsi="Arial" w:cs="Arial"/>
          <w:highlight w:val="yellow"/>
        </w:rPr>
      </w:pPr>
      <w:r w:rsidRPr="00942214">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AF2CC1" w:rsidRDefault="007B0809" w:rsidP="004F49B5">
      <w:pPr>
        <w:pStyle w:val="AODocTxt"/>
        <w:numPr>
          <w:ilvl w:val="0"/>
          <w:numId w:val="11"/>
        </w:numPr>
        <w:spacing w:before="0" w:line="240" w:lineRule="auto"/>
        <w:ind w:left="426"/>
        <w:rPr>
          <w:rFonts w:ascii="Arial" w:hAnsi="Arial" w:cs="Arial"/>
          <w:highlight w:val="yellow"/>
        </w:rPr>
      </w:pPr>
      <w:r w:rsidRPr="00AF2CC1">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2EFB5850" w14:textId="11E0BE86" w:rsidR="00323167" w:rsidRPr="00781DD7" w:rsidRDefault="004D74BA" w:rsidP="00781D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w:t>
      </w:r>
      <w:r w:rsidR="005C383D">
        <w:rPr>
          <w:rFonts w:ascii="Arial" w:hAnsi="Arial" w:cs="Arial"/>
          <w:color w:val="7B7B7B" w:themeColor="accent3" w:themeShade="BF"/>
          <w:sz w:val="22"/>
          <w:szCs w:val="22"/>
          <w:lang w:val="en-GB"/>
        </w:rPr>
        <w:t>for bankruptcy is filed by the debtor itself</w:t>
      </w:r>
      <w:r w:rsidR="00781DD7">
        <w:rPr>
          <w:rFonts w:ascii="Arial" w:hAnsi="Arial" w:cs="Arial"/>
          <w:color w:val="7B7B7B" w:themeColor="accent3" w:themeShade="BF"/>
          <w:sz w:val="22"/>
          <w:szCs w:val="22"/>
          <w:lang w:val="en-GB"/>
        </w:rPr>
        <w:t>,</w:t>
      </w:r>
      <w:r w:rsidR="005C383D">
        <w:rPr>
          <w:rFonts w:ascii="Arial" w:hAnsi="Arial" w:cs="Arial"/>
          <w:color w:val="7B7B7B" w:themeColor="accent3" w:themeShade="BF"/>
          <w:sz w:val="22"/>
          <w:szCs w:val="22"/>
          <w:lang w:val="en-GB"/>
        </w:rPr>
        <w:t xml:space="preserve"> and there is no requirement for the debtor to be insolvent. An involuntary petition for bankruptcy is filed by the creditor of an eligible debtor, and must </w:t>
      </w:r>
      <w:r w:rsidR="00781DD7">
        <w:rPr>
          <w:rFonts w:ascii="Arial" w:hAnsi="Arial" w:cs="Arial"/>
          <w:color w:val="7B7B7B" w:themeColor="accent3" w:themeShade="BF"/>
          <w:sz w:val="22"/>
          <w:szCs w:val="22"/>
          <w:lang w:val="en-GB"/>
        </w:rPr>
        <w:t>state that</w:t>
      </w:r>
      <w:r w:rsidR="005C383D">
        <w:rPr>
          <w:rFonts w:ascii="Arial" w:hAnsi="Arial" w:cs="Arial"/>
          <w:color w:val="7B7B7B" w:themeColor="accent3" w:themeShade="BF"/>
          <w:sz w:val="22"/>
          <w:szCs w:val="22"/>
          <w:lang w:val="en-GB"/>
        </w:rPr>
        <w:t xml:space="preserve"> </w:t>
      </w:r>
      <w:r w:rsidR="00781DD7">
        <w:rPr>
          <w:rFonts w:ascii="Arial" w:hAnsi="Arial" w:cs="Arial"/>
          <w:color w:val="7B7B7B" w:themeColor="accent3" w:themeShade="BF"/>
          <w:sz w:val="22"/>
          <w:szCs w:val="22"/>
          <w:lang w:val="en-GB"/>
        </w:rPr>
        <w:t xml:space="preserve">(a) </w:t>
      </w:r>
      <w:r w:rsidR="005C383D">
        <w:rPr>
          <w:rFonts w:ascii="Arial" w:hAnsi="Arial" w:cs="Arial"/>
          <w:color w:val="7B7B7B" w:themeColor="accent3" w:themeShade="BF"/>
          <w:sz w:val="22"/>
          <w:szCs w:val="22"/>
          <w:lang w:val="en-GB"/>
        </w:rPr>
        <w:t>the debtor is unable to pay its undisputed debts as they fall due</w:t>
      </w:r>
      <w:r w:rsidR="00781DD7">
        <w:rPr>
          <w:rFonts w:ascii="Arial" w:hAnsi="Arial" w:cs="Arial"/>
          <w:color w:val="7B7B7B" w:themeColor="accent3" w:themeShade="BF"/>
          <w:sz w:val="22"/>
          <w:szCs w:val="22"/>
          <w:lang w:val="en-GB"/>
        </w:rPr>
        <w:t>; or (b)</w:t>
      </w:r>
      <w:r w:rsidR="005C383D">
        <w:rPr>
          <w:rFonts w:ascii="Arial" w:hAnsi="Arial" w:cs="Arial"/>
          <w:color w:val="7B7B7B" w:themeColor="accent3" w:themeShade="BF"/>
          <w:sz w:val="22"/>
          <w:szCs w:val="22"/>
          <w:lang w:val="en-GB"/>
        </w:rPr>
        <w:t xml:space="preserve"> a custodian, other than a trustee, agent or receiver appointed or </w:t>
      </w:r>
      <w:r w:rsidR="00781DD7">
        <w:rPr>
          <w:rFonts w:ascii="Arial" w:hAnsi="Arial" w:cs="Arial"/>
          <w:color w:val="7B7B7B" w:themeColor="accent3" w:themeShade="BF"/>
          <w:sz w:val="22"/>
          <w:szCs w:val="22"/>
          <w:lang w:val="en-GB"/>
        </w:rPr>
        <w:t>authorised to take charge of less than substantially all</w:t>
      </w:r>
      <w:r w:rsidR="005C383D">
        <w:rPr>
          <w:rFonts w:ascii="Arial" w:hAnsi="Arial" w:cs="Arial"/>
          <w:color w:val="7B7B7B" w:themeColor="accent3" w:themeShade="BF"/>
          <w:sz w:val="22"/>
          <w:szCs w:val="22"/>
          <w:lang w:val="en-GB"/>
        </w:rPr>
        <w:t xml:space="preserve"> of the debtor’s property</w:t>
      </w:r>
      <w:r w:rsidR="00781DD7">
        <w:rPr>
          <w:rFonts w:ascii="Arial" w:hAnsi="Arial" w:cs="Arial"/>
          <w:color w:val="7B7B7B" w:themeColor="accent3" w:themeShade="BF"/>
          <w:sz w:val="22"/>
          <w:szCs w:val="22"/>
          <w:lang w:val="en-GB"/>
        </w:rPr>
        <w:t xml:space="preserve"> for purpose of enforcing a lien against such property, was appointed or took possession</w:t>
      </w:r>
      <w:r w:rsidR="005C383D">
        <w:rPr>
          <w:rFonts w:ascii="Arial" w:hAnsi="Arial" w:cs="Arial"/>
          <w:color w:val="7B7B7B" w:themeColor="accent3" w:themeShade="BF"/>
          <w:sz w:val="22"/>
          <w:szCs w:val="22"/>
          <w:lang w:val="en-GB"/>
        </w:rPr>
        <w:t xml:space="preserve"> within 120 days preceding the filing of the petition.</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32EC48D5" w:rsidR="00323167" w:rsidRPr="00790AF5" w:rsidRDefault="00781DD7" w:rsidP="00790A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violation of the automatic stay amounts to a contempt of court</w:t>
      </w:r>
      <w:r w:rsidR="00790AF5">
        <w:rPr>
          <w:rFonts w:ascii="Arial" w:hAnsi="Arial" w:cs="Arial"/>
          <w:color w:val="7B7B7B" w:themeColor="accent3" w:themeShade="BF"/>
          <w:sz w:val="22"/>
          <w:szCs w:val="22"/>
          <w:lang w:val="en-GB"/>
        </w:rPr>
        <w:t>, and may result in contempt sanctions such as paying for actual damages incurred including costs and attorney’s fees</w:t>
      </w:r>
      <w:r>
        <w:rPr>
          <w:rFonts w:ascii="Arial" w:hAnsi="Arial" w:cs="Arial"/>
          <w:color w:val="7B7B7B" w:themeColor="accent3" w:themeShade="BF"/>
          <w:sz w:val="22"/>
          <w:szCs w:val="22"/>
          <w:lang w:val="en-GB"/>
        </w:rPr>
        <w:t xml:space="preserve">. </w:t>
      </w:r>
      <w:r w:rsidR="00790AF5">
        <w:rPr>
          <w:rFonts w:ascii="Arial" w:hAnsi="Arial" w:cs="Arial"/>
          <w:color w:val="7B7B7B" w:themeColor="accent3" w:themeShade="BF"/>
          <w:sz w:val="22"/>
          <w:szCs w:val="22"/>
          <w:lang w:val="en-GB"/>
        </w:rPr>
        <w:t>Further, actions taken in violation of the automatic stay will generally be void (or voidable) and given no legal effect.</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3710800" w:rsidR="00E12EC4" w:rsidRDefault="00DE587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impaired </w:t>
      </w:r>
      <w:r w:rsidR="000E6D71">
        <w:rPr>
          <w:rFonts w:ascii="Arial" w:hAnsi="Arial" w:cs="Arial"/>
          <w:color w:val="7B7B7B" w:themeColor="accent3" w:themeShade="BF"/>
          <w:sz w:val="22"/>
          <w:szCs w:val="22"/>
          <w:lang w:val="en-GB"/>
        </w:rPr>
        <w:t xml:space="preserve">if its legal, equitable and contractual rights are to be modified (including delay in payment or if it will be paid less than the full value of the claim). A class may be unimpaired where, notwithstanding </w:t>
      </w:r>
      <w:r w:rsidR="004C6384">
        <w:rPr>
          <w:rFonts w:ascii="Arial" w:hAnsi="Arial" w:cs="Arial"/>
          <w:color w:val="7B7B7B" w:themeColor="accent3" w:themeShade="BF"/>
          <w:sz w:val="22"/>
          <w:szCs w:val="22"/>
          <w:lang w:val="en-GB"/>
        </w:rPr>
        <w:t xml:space="preserve">the </w:t>
      </w:r>
      <w:r w:rsidR="000E6D71">
        <w:rPr>
          <w:rFonts w:ascii="Arial" w:hAnsi="Arial" w:cs="Arial"/>
          <w:color w:val="7B7B7B" w:themeColor="accent3" w:themeShade="BF"/>
          <w:sz w:val="22"/>
          <w:szCs w:val="22"/>
          <w:lang w:val="en-GB"/>
        </w:rPr>
        <w:t>contractual right for accelerated payment</w:t>
      </w:r>
      <w:r w:rsidR="004C6384">
        <w:rPr>
          <w:rFonts w:ascii="Arial" w:hAnsi="Arial" w:cs="Arial"/>
          <w:color w:val="7B7B7B" w:themeColor="accent3" w:themeShade="BF"/>
          <w:sz w:val="22"/>
          <w:szCs w:val="22"/>
          <w:lang w:val="en-GB"/>
        </w:rPr>
        <w:t xml:space="preserve"> upon occurrence of a default</w:t>
      </w:r>
      <w:r w:rsidR="000E6D71">
        <w:rPr>
          <w:rFonts w:ascii="Arial" w:hAnsi="Arial" w:cs="Arial"/>
          <w:color w:val="7B7B7B" w:themeColor="accent3" w:themeShade="BF"/>
          <w:sz w:val="22"/>
          <w:szCs w:val="22"/>
          <w:lang w:val="en-GB"/>
        </w:rPr>
        <w:t xml:space="preserve">, the plan cures the default, reinstates the maturity of such claim, </w:t>
      </w:r>
      <w:r w:rsidR="004C6384">
        <w:rPr>
          <w:rFonts w:ascii="Arial" w:hAnsi="Arial" w:cs="Arial"/>
          <w:color w:val="7B7B7B" w:themeColor="accent3" w:themeShade="BF"/>
          <w:sz w:val="22"/>
          <w:szCs w:val="22"/>
          <w:lang w:val="en-GB"/>
        </w:rPr>
        <w:t xml:space="preserve">and </w:t>
      </w:r>
      <w:r w:rsidR="000E6D71">
        <w:rPr>
          <w:rFonts w:ascii="Arial" w:hAnsi="Arial" w:cs="Arial"/>
          <w:color w:val="7B7B7B" w:themeColor="accent3" w:themeShade="BF"/>
          <w:sz w:val="22"/>
          <w:szCs w:val="22"/>
          <w:lang w:val="en-GB"/>
        </w:rPr>
        <w:t xml:space="preserve">compensates </w:t>
      </w:r>
      <w:r w:rsidR="004C6384">
        <w:rPr>
          <w:rFonts w:ascii="Arial" w:hAnsi="Arial" w:cs="Arial"/>
          <w:color w:val="7B7B7B" w:themeColor="accent3" w:themeShade="BF"/>
          <w:sz w:val="22"/>
          <w:szCs w:val="22"/>
          <w:lang w:val="en-GB"/>
        </w:rPr>
        <w:t>the holders of such claim for damages incurred.</w:t>
      </w:r>
      <w:r w:rsidR="004C6384">
        <w:rPr>
          <w:rStyle w:val="FootnoteReference"/>
          <w:rFonts w:ascii="Arial" w:hAnsi="Arial" w:cs="Arial"/>
          <w:color w:val="7B7B7B" w:themeColor="accent3" w:themeShade="BF"/>
          <w:sz w:val="22"/>
          <w:szCs w:val="22"/>
          <w:lang w:val="en-GB"/>
        </w:rPr>
        <w:footnoteReference w:id="1"/>
      </w:r>
    </w:p>
    <w:p w14:paraId="324CB9E6" w14:textId="5F5E37D5" w:rsidR="00CA2CC5" w:rsidRDefault="00CA2CC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holder of an impaired claim is not entitled to vote on the plan if it is a class that will receive nothing under the plan. Such class will be deemed to reject the plan. Class of creditors with unimpaired claims will also not be entitled to vote on the plan and are deemed to accept the plan.</w:t>
      </w:r>
    </w:p>
    <w:p w14:paraId="3C90D4D3" w14:textId="1B417274" w:rsidR="00CA2CC5" w:rsidRDefault="00CA2CC5" w:rsidP="00E12EC4">
      <w:pPr>
        <w:jc w:val="both"/>
        <w:rPr>
          <w:rFonts w:ascii="Arial" w:hAnsi="Arial" w:cs="Arial"/>
          <w:color w:val="7B7B7B" w:themeColor="accent3" w:themeShade="BF"/>
          <w:sz w:val="22"/>
          <w:szCs w:val="22"/>
          <w:lang w:val="en-GB"/>
        </w:rPr>
      </w:pPr>
    </w:p>
    <w:p w14:paraId="38D090C7" w14:textId="3D53AAD8" w:rsidR="00CA2CC5" w:rsidRPr="00FF5098" w:rsidRDefault="0089390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plan is confirmed</w:t>
      </w:r>
      <w:r w:rsidR="00CA2CC5">
        <w:rPr>
          <w:rFonts w:ascii="Arial" w:hAnsi="Arial" w:cs="Arial"/>
          <w:color w:val="7B7B7B" w:themeColor="accent3" w:themeShade="BF"/>
          <w:sz w:val="22"/>
          <w:szCs w:val="22"/>
          <w:lang w:val="en-GB"/>
        </w:rPr>
        <w:t xml:space="preserve"> by the court</w:t>
      </w:r>
      <w:r>
        <w:rPr>
          <w:rFonts w:ascii="Arial" w:hAnsi="Arial" w:cs="Arial"/>
          <w:color w:val="7B7B7B" w:themeColor="accent3" w:themeShade="BF"/>
          <w:sz w:val="22"/>
          <w:szCs w:val="22"/>
          <w:lang w:val="en-GB"/>
        </w:rPr>
        <w:t xml:space="preserve"> and converts to a court order, then it is binding on the debtor and all parties in interests, including the class which did not vote because they received nothing under the plan.</w:t>
      </w:r>
      <w:r>
        <w:rPr>
          <w:rStyle w:val="FootnoteReference"/>
          <w:rFonts w:ascii="Arial" w:hAnsi="Arial" w:cs="Arial"/>
          <w:color w:val="7B7B7B" w:themeColor="accent3" w:themeShade="BF"/>
          <w:sz w:val="22"/>
          <w:szCs w:val="22"/>
          <w:lang w:val="en-GB"/>
        </w:rPr>
        <w:footnoteReference w:id="2"/>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1CA19C32" w:rsidR="00E12EC4" w:rsidRDefault="00893907" w:rsidP="00893907">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0AB1B56" w:rsidR="005B2A9B" w:rsidRPr="00FF5098" w:rsidRDefault="00893907"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40D4A9CE" w14:textId="77777777" w:rsidR="005B2A9B" w:rsidRPr="00323167" w:rsidRDefault="005B2A9B" w:rsidP="00893907">
      <w:pPr>
        <w:pStyle w:val="AODocTxt"/>
        <w:spacing w:before="0" w:line="240" w:lineRule="auto"/>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4CD69241" w:rsidR="005B2A9B" w:rsidRPr="00FF5098" w:rsidRDefault="00893907"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r w:rsidR="000C1C99">
        <w:rPr>
          <w:rFonts w:ascii="Arial" w:hAnsi="Arial" w:cs="Arial"/>
          <w:color w:val="7B7B7B" w:themeColor="accent3" w:themeShade="BF"/>
          <w:sz w:val="22"/>
          <w:szCs w:val="22"/>
          <w:lang w:val="en-GB"/>
        </w:rPr>
        <w:t>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21A64678" w14:textId="77777777" w:rsidR="00F60862" w:rsidRDefault="000C1C9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w:t>
      </w:r>
      <w:r w:rsidRPr="000C1C99">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it was thought that bankruptcy courts have jurisdiction to enter a final order for matters in core proceedings.</w:t>
      </w:r>
      <w:r w:rsidR="00194003">
        <w:rPr>
          <w:rFonts w:ascii="Arial" w:hAnsi="Arial" w:cs="Arial"/>
          <w:color w:val="7B7B7B" w:themeColor="accent3" w:themeShade="BF"/>
          <w:sz w:val="22"/>
          <w:szCs w:val="22"/>
          <w:lang w:val="en-GB"/>
        </w:rPr>
        <w:t xml:space="preserve"> The focus was therefore on whether the proceedings were core or non-core.</w:t>
      </w:r>
      <w:r>
        <w:rPr>
          <w:rFonts w:ascii="Arial" w:hAnsi="Arial" w:cs="Arial"/>
          <w:color w:val="7B7B7B" w:themeColor="accent3" w:themeShade="BF"/>
          <w:sz w:val="22"/>
          <w:szCs w:val="22"/>
          <w:lang w:val="en-GB"/>
        </w:rPr>
        <w:t xml:space="preserve"> However, in </w:t>
      </w:r>
      <w:r w:rsidRPr="000C1C99">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the US Supreme Court held that a bankruptcy court could not issue final orders </w:t>
      </w:r>
      <w:r w:rsidR="00194003">
        <w:rPr>
          <w:rFonts w:ascii="Arial" w:hAnsi="Arial" w:cs="Arial"/>
          <w:color w:val="7B7B7B" w:themeColor="accent3" w:themeShade="BF"/>
          <w:sz w:val="22"/>
          <w:szCs w:val="22"/>
          <w:lang w:val="en-GB"/>
        </w:rPr>
        <w:t>for matters under Article III US Constitution jurisdiction, even if in core proceedings. In that case, it was unconstitutional for the bankruptcy court to issue a final order in the debtor’s counterclaim (which is a core proceeding) as the issues of the counterclaim was a state law claim under Article III jurisdiction.</w:t>
      </w:r>
    </w:p>
    <w:p w14:paraId="6F6EF366" w14:textId="77777777" w:rsidR="00F60862" w:rsidRDefault="00F60862" w:rsidP="005B2A9B">
      <w:pPr>
        <w:jc w:val="both"/>
        <w:rPr>
          <w:rFonts w:ascii="Arial" w:hAnsi="Arial" w:cs="Arial"/>
          <w:color w:val="7B7B7B" w:themeColor="accent3" w:themeShade="BF"/>
          <w:sz w:val="22"/>
          <w:szCs w:val="22"/>
          <w:lang w:val="en-GB"/>
        </w:rPr>
      </w:pPr>
    </w:p>
    <w:p w14:paraId="3DDA6A84" w14:textId="7C2EBCAA" w:rsidR="005B2A9B" w:rsidRDefault="00F6086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 </w:t>
      </w:r>
      <w:r w:rsidRPr="00F60862">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the bankruptcy court may determine matters in core proceedings which they do not have constitutional authority by providing proposed findings of fact and conclusions of law for review by the district court, or issue final orders if the parties consent to entry of final orders by the bankruptcy court.</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This has been implemented in the Bankruptcy Rules.</w:t>
      </w:r>
    </w:p>
    <w:p w14:paraId="0394F3A5" w14:textId="0453B22C" w:rsidR="00194003" w:rsidRDefault="00194003" w:rsidP="005B2A9B">
      <w:pPr>
        <w:jc w:val="both"/>
        <w:rPr>
          <w:rFonts w:ascii="Arial" w:hAnsi="Arial" w:cs="Arial"/>
          <w:color w:val="7B7B7B" w:themeColor="accent3" w:themeShade="BF"/>
          <w:sz w:val="22"/>
          <w:szCs w:val="22"/>
          <w:lang w:val="en-GB"/>
        </w:rPr>
      </w:pPr>
    </w:p>
    <w:p w14:paraId="19E7026D" w14:textId="0245EFA0" w:rsidR="00194003" w:rsidRPr="00FF5098" w:rsidRDefault="00194003" w:rsidP="005B2A9B">
      <w:pPr>
        <w:jc w:val="both"/>
        <w:rPr>
          <w:rFonts w:ascii="Arial" w:hAnsi="Arial" w:cs="Arial"/>
          <w:color w:val="7B7B7B" w:themeColor="accent3" w:themeShade="BF"/>
          <w:sz w:val="22"/>
          <w:szCs w:val="22"/>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34C4F7D3" w14:textId="77777777" w:rsidR="00597D3C" w:rsidRDefault="000A4525" w:rsidP="005B2A9B">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A foreign representative in a Chapter 15 proceeding cannot </w:t>
      </w:r>
      <w:r w:rsidR="00597D3C">
        <w:rPr>
          <w:rFonts w:ascii="Arial" w:hAnsi="Arial" w:cs="Arial"/>
          <w:color w:val="7B7B7B" w:themeColor="accent3" w:themeShade="BF"/>
          <w:sz w:val="22"/>
          <w:szCs w:val="22"/>
          <w:lang w:val="en-GB"/>
        </w:rPr>
        <w:t xml:space="preserve">invoke avoidance powers under the Bankruptcy Code (see </w:t>
      </w:r>
      <w:r w:rsidR="00597D3C" w:rsidRPr="00597D3C">
        <w:rPr>
          <w:rFonts w:ascii="Arial" w:hAnsi="Arial" w:cs="Arial"/>
          <w:color w:val="808080" w:themeColor="background1" w:themeShade="80"/>
          <w:sz w:val="22"/>
          <w:szCs w:val="22"/>
        </w:rPr>
        <w:t xml:space="preserve">11 U.S. Code § </w:t>
      </w:r>
      <w:r w:rsidR="00597D3C">
        <w:rPr>
          <w:rFonts w:ascii="Arial" w:hAnsi="Arial" w:cs="Arial"/>
          <w:color w:val="808080" w:themeColor="background1" w:themeShade="80"/>
          <w:sz w:val="22"/>
          <w:szCs w:val="22"/>
        </w:rPr>
        <w:t>1521</w:t>
      </w:r>
      <w:r w:rsidR="00597D3C" w:rsidRPr="00597D3C">
        <w:rPr>
          <w:rFonts w:ascii="Arial" w:hAnsi="Arial" w:cs="Arial"/>
          <w:color w:val="808080" w:themeColor="background1" w:themeShade="80"/>
          <w:sz w:val="22"/>
          <w:szCs w:val="22"/>
        </w:rPr>
        <w:t>(a)</w:t>
      </w:r>
      <w:r w:rsidR="00597D3C">
        <w:rPr>
          <w:rFonts w:ascii="Arial" w:hAnsi="Arial" w:cs="Arial"/>
          <w:color w:val="808080" w:themeColor="background1" w:themeShade="80"/>
          <w:sz w:val="22"/>
          <w:szCs w:val="22"/>
        </w:rPr>
        <w:t>(7), which expressly exclude reliefs in specific provisions including section 547 on preference and section 548 on fraudulent transfers)</w:t>
      </w:r>
      <w:r w:rsidR="00597D3C" w:rsidRPr="00597D3C">
        <w:rPr>
          <w:rFonts w:ascii="Arial" w:hAnsi="Arial" w:cs="Arial"/>
          <w:color w:val="808080" w:themeColor="background1" w:themeShade="80"/>
          <w:sz w:val="22"/>
          <w:szCs w:val="22"/>
          <w:lang w:val="en-GB"/>
        </w:rPr>
        <w:t>.</w:t>
      </w:r>
      <w:r w:rsidR="00597D3C">
        <w:rPr>
          <w:rFonts w:ascii="Arial" w:hAnsi="Arial" w:cs="Arial"/>
          <w:color w:val="808080" w:themeColor="background1" w:themeShade="80"/>
          <w:sz w:val="22"/>
          <w:szCs w:val="22"/>
          <w:lang w:val="en-GB"/>
        </w:rPr>
        <w:t xml:space="preserve"> </w:t>
      </w:r>
    </w:p>
    <w:p w14:paraId="3249C64A" w14:textId="77777777" w:rsidR="00597D3C" w:rsidRDefault="00597D3C" w:rsidP="005B2A9B">
      <w:pPr>
        <w:jc w:val="both"/>
        <w:rPr>
          <w:rFonts w:ascii="Arial" w:hAnsi="Arial" w:cs="Arial"/>
          <w:color w:val="808080" w:themeColor="background1" w:themeShade="80"/>
          <w:sz w:val="22"/>
          <w:szCs w:val="22"/>
          <w:lang w:val="en-GB"/>
        </w:rPr>
      </w:pPr>
    </w:p>
    <w:p w14:paraId="118D30A4" w14:textId="77777777" w:rsidR="00F23B48" w:rsidRDefault="00597D3C" w:rsidP="005B2A9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the reliefs excluded are the powers of avoidance </w:t>
      </w:r>
      <w:r w:rsidR="00F23B48">
        <w:rPr>
          <w:rFonts w:ascii="Arial" w:hAnsi="Arial" w:cs="Arial"/>
          <w:color w:val="808080" w:themeColor="background1" w:themeShade="80"/>
          <w:sz w:val="22"/>
          <w:szCs w:val="22"/>
          <w:lang w:val="en-GB"/>
        </w:rPr>
        <w:t>as provided under</w:t>
      </w:r>
      <w:r>
        <w:rPr>
          <w:rFonts w:ascii="Arial" w:hAnsi="Arial" w:cs="Arial"/>
          <w:color w:val="808080" w:themeColor="background1" w:themeShade="80"/>
          <w:sz w:val="22"/>
          <w:szCs w:val="22"/>
          <w:lang w:val="en-GB"/>
        </w:rPr>
        <w:t xml:space="preserve"> the Bankruptcy Code, a foreign representative can still seek to avoid transactions under other applicable law (other than the Bankruptcy Code)</w:t>
      </w:r>
      <w:r w:rsidR="00F23B48">
        <w:rPr>
          <w:rFonts w:ascii="Arial" w:hAnsi="Arial" w:cs="Arial"/>
          <w:color w:val="808080" w:themeColor="background1" w:themeShade="80"/>
          <w:sz w:val="22"/>
          <w:szCs w:val="22"/>
          <w:lang w:val="en-GB"/>
        </w:rPr>
        <w:t>, including foreign law if applicable</w:t>
      </w:r>
      <w:r>
        <w:rPr>
          <w:rFonts w:ascii="Arial" w:hAnsi="Arial" w:cs="Arial"/>
          <w:color w:val="808080" w:themeColor="background1" w:themeShade="80"/>
          <w:sz w:val="22"/>
          <w:szCs w:val="22"/>
          <w:lang w:val="en-GB"/>
        </w:rPr>
        <w:t xml:space="preserve">. </w:t>
      </w:r>
    </w:p>
    <w:p w14:paraId="564010CE" w14:textId="77777777" w:rsidR="00F23B48" w:rsidRDefault="00F23B48" w:rsidP="005B2A9B">
      <w:pPr>
        <w:jc w:val="both"/>
        <w:rPr>
          <w:rFonts w:ascii="Arial" w:hAnsi="Arial" w:cs="Arial"/>
          <w:color w:val="808080" w:themeColor="background1" w:themeShade="80"/>
          <w:sz w:val="22"/>
          <w:szCs w:val="22"/>
          <w:lang w:val="en-GB"/>
        </w:rPr>
      </w:pPr>
    </w:p>
    <w:p w14:paraId="4268B1B6" w14:textId="781A439E" w:rsidR="005B2A9B" w:rsidRPr="00597D3C" w:rsidRDefault="00F23B48" w:rsidP="005B2A9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way a foreign representative can invoke avoidance powers under the Bankruptcy Code is in plenary bankruptcy proceedings (e.g. Chapter 7 or 11 proceedings), whether already commenced prior to recognition of foreign proceedings or if the foreign representative itself decides to commence such proceedings after recognition of the foreign proceedings.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8C9043B" w14:textId="77777777" w:rsidR="000C26A5" w:rsidRDefault="005F777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final order </w:t>
      </w:r>
      <w:r w:rsidR="00803943">
        <w:rPr>
          <w:rFonts w:ascii="Arial" w:hAnsi="Arial" w:cs="Arial"/>
          <w:color w:val="7B7B7B" w:themeColor="accent3" w:themeShade="BF"/>
          <w:sz w:val="22"/>
          <w:szCs w:val="22"/>
          <w:lang w:val="en-GB"/>
        </w:rPr>
        <w:t xml:space="preserve">is when a decision has been entered that </w:t>
      </w:r>
      <w:r w:rsidR="00803943" w:rsidRPr="00803943">
        <w:rPr>
          <w:rFonts w:ascii="Arial" w:hAnsi="Arial" w:cs="Arial"/>
          <w:i/>
          <w:color w:val="7B7B7B" w:themeColor="accent3" w:themeShade="BF"/>
          <w:sz w:val="22"/>
          <w:szCs w:val="22"/>
          <w:lang w:val="en-GB"/>
        </w:rPr>
        <w:t>“end the litigation on the merits and leaves nothing for the court to do but execute the judgment”.</w:t>
      </w:r>
      <w:r w:rsidR="000C26A5">
        <w:rPr>
          <w:rStyle w:val="FootnoteReference"/>
          <w:rFonts w:ascii="Arial" w:hAnsi="Arial" w:cs="Arial"/>
          <w:i/>
          <w:color w:val="7B7B7B" w:themeColor="accent3" w:themeShade="BF"/>
          <w:sz w:val="22"/>
          <w:szCs w:val="22"/>
          <w:lang w:val="en-GB"/>
        </w:rPr>
        <w:footnoteReference w:id="4"/>
      </w:r>
      <w:r w:rsidR="00803943">
        <w:rPr>
          <w:rFonts w:ascii="Arial" w:hAnsi="Arial" w:cs="Arial"/>
          <w:color w:val="7B7B7B" w:themeColor="accent3" w:themeShade="BF"/>
          <w:sz w:val="22"/>
          <w:szCs w:val="22"/>
          <w:lang w:val="en-GB"/>
        </w:rPr>
        <w:t xml:space="preserve"> </w:t>
      </w:r>
      <w:r w:rsidR="000C26A5">
        <w:rPr>
          <w:rFonts w:ascii="Arial" w:hAnsi="Arial" w:cs="Arial"/>
          <w:color w:val="7B7B7B" w:themeColor="accent3" w:themeShade="BF"/>
          <w:sz w:val="22"/>
          <w:szCs w:val="22"/>
          <w:lang w:val="en-GB"/>
        </w:rPr>
        <w:t>On the other hand, an interlocutory order is one which does not finally determine a cause of action but only decides some intervening matter pertaining to the cause.</w:t>
      </w:r>
      <w:r w:rsidR="000C26A5">
        <w:rPr>
          <w:rStyle w:val="FootnoteReference"/>
          <w:rFonts w:ascii="Arial" w:hAnsi="Arial" w:cs="Arial"/>
          <w:color w:val="7B7B7B" w:themeColor="accent3" w:themeShade="BF"/>
          <w:sz w:val="22"/>
          <w:szCs w:val="22"/>
          <w:lang w:val="en-GB"/>
        </w:rPr>
        <w:footnoteReference w:id="5"/>
      </w:r>
      <w:r w:rsidR="000C26A5">
        <w:rPr>
          <w:rFonts w:ascii="Arial" w:hAnsi="Arial" w:cs="Arial"/>
          <w:color w:val="7B7B7B" w:themeColor="accent3" w:themeShade="BF"/>
          <w:sz w:val="22"/>
          <w:szCs w:val="22"/>
          <w:lang w:val="en-GB"/>
        </w:rPr>
        <w:t xml:space="preserve"> A final order is appealable as of right while interlocutory orders may only be appealed where leave to appeal is granted by the appeal court.</w:t>
      </w:r>
    </w:p>
    <w:p w14:paraId="473FBAFC" w14:textId="77777777" w:rsidR="000C26A5" w:rsidRDefault="000C26A5" w:rsidP="005B2A9B">
      <w:pPr>
        <w:jc w:val="both"/>
        <w:rPr>
          <w:rFonts w:ascii="Arial" w:hAnsi="Arial" w:cs="Arial"/>
          <w:color w:val="7B7B7B" w:themeColor="accent3" w:themeShade="BF"/>
          <w:sz w:val="22"/>
          <w:szCs w:val="22"/>
          <w:lang w:val="en-GB"/>
        </w:rPr>
      </w:pPr>
    </w:p>
    <w:p w14:paraId="4B0336A1" w14:textId="4F38ED3A" w:rsidR="005B2A9B" w:rsidRDefault="00A82F2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Appeals from bankruptcy court orders are generally heard by the district court for the district in which the bankruptcy court sits. However, there are certain circuits (i.e. the First, Sixth, Eighth, Ninth and Tenth Circuits) that have elected to convene a Bankruptcy Appellate Panel (BAP) to hear the bankruptcy appeals in their circuits. Although there is a BAP, the parties in those circuits can still opt to have the bankruptcy appeal heard by the district court.</w:t>
      </w:r>
    </w:p>
    <w:p w14:paraId="55F19BBE" w14:textId="30F0A16A" w:rsidR="00A82F21" w:rsidRDefault="00A82F21" w:rsidP="005B2A9B">
      <w:pPr>
        <w:jc w:val="both"/>
        <w:rPr>
          <w:rFonts w:ascii="Arial" w:hAnsi="Arial" w:cs="Arial"/>
          <w:color w:val="7B7B7B" w:themeColor="accent3" w:themeShade="BF"/>
          <w:sz w:val="22"/>
          <w:szCs w:val="22"/>
          <w:lang w:val="en-GB"/>
        </w:rPr>
      </w:pPr>
    </w:p>
    <w:p w14:paraId="1A6D2DBC" w14:textId="62BDA492" w:rsidR="00A82F21" w:rsidRDefault="00327CB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Thereafter, there is a further right of appeal to the circuit court of appeals. </w:t>
      </w:r>
    </w:p>
    <w:p w14:paraId="205F71A6" w14:textId="0897A368" w:rsidR="00327CB2" w:rsidRDefault="00327CB2" w:rsidP="005B2A9B">
      <w:pPr>
        <w:jc w:val="both"/>
        <w:rPr>
          <w:rFonts w:ascii="Arial" w:hAnsi="Arial" w:cs="Arial"/>
          <w:color w:val="7B7B7B" w:themeColor="accent3" w:themeShade="BF"/>
          <w:sz w:val="22"/>
          <w:szCs w:val="22"/>
          <w:lang w:val="en-GB"/>
        </w:rPr>
      </w:pPr>
    </w:p>
    <w:p w14:paraId="3C6485CD" w14:textId="5FF37F27" w:rsidR="00327CB2" w:rsidRPr="00803943" w:rsidRDefault="00327CB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acceptance by the Court of Appeal, an appeal may go directly from a bankruptcy court to the court of appeals where the bankruptcy court or the circuit court certifies that the appeal raises a question of law where there is no controlling decision of the circuit of the US Supreme Court or there are conflicting controlling decisions, or that the direct appeal may materially advance the progress of the case.</w:t>
      </w:r>
      <w:r>
        <w:rPr>
          <w:rStyle w:val="FootnoteReference"/>
          <w:rFonts w:ascii="Arial" w:hAnsi="Arial" w:cs="Arial"/>
          <w:color w:val="7B7B7B" w:themeColor="accent3" w:themeShade="BF"/>
          <w:sz w:val="22"/>
          <w:szCs w:val="22"/>
          <w:lang w:val="en-GB"/>
        </w:rPr>
        <w:footnoteReference w:id="6"/>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lastRenderedPageBreak/>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3CEBA83E" w:rsidR="005B2A9B" w:rsidRDefault="00327CB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Delaware law, directors owe </w:t>
      </w:r>
      <w:r w:rsidR="00AC70C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fiduciary duty of loyalty</w:t>
      </w:r>
      <w:r w:rsidR="00AC70C7">
        <w:rPr>
          <w:rFonts w:ascii="Arial" w:hAnsi="Arial" w:cs="Arial"/>
          <w:color w:val="7B7B7B" w:themeColor="accent3" w:themeShade="BF"/>
          <w:sz w:val="22"/>
          <w:szCs w:val="22"/>
          <w:lang w:val="en-GB"/>
        </w:rPr>
        <w:t xml:space="preserve"> which essentially requires directors to act in good faith to advance the best interests of the corporation and to refrain from conduct that injures the corporation. </w:t>
      </w:r>
      <w:r w:rsidR="007044F7">
        <w:rPr>
          <w:rFonts w:ascii="Arial" w:hAnsi="Arial" w:cs="Arial"/>
          <w:color w:val="7B7B7B" w:themeColor="accent3" w:themeShade="BF"/>
          <w:sz w:val="22"/>
          <w:szCs w:val="22"/>
          <w:lang w:val="en-GB"/>
        </w:rPr>
        <w:t>Directors also owe a fiduciary duty of care</w:t>
      </w:r>
      <w:r w:rsidR="00AC70C7">
        <w:rPr>
          <w:rFonts w:ascii="Arial" w:hAnsi="Arial" w:cs="Arial"/>
          <w:color w:val="7B7B7B" w:themeColor="accent3" w:themeShade="BF"/>
          <w:sz w:val="22"/>
          <w:szCs w:val="22"/>
          <w:lang w:val="en-GB"/>
        </w:rPr>
        <w:t xml:space="preserve"> </w:t>
      </w:r>
      <w:r w:rsidR="007044F7">
        <w:rPr>
          <w:rFonts w:ascii="Arial" w:hAnsi="Arial" w:cs="Arial"/>
          <w:color w:val="7B7B7B" w:themeColor="accent3" w:themeShade="BF"/>
          <w:sz w:val="22"/>
          <w:szCs w:val="22"/>
          <w:lang w:val="en-GB"/>
        </w:rPr>
        <w:t>which requires directors to make informed business decisions based on material information to the decision.</w:t>
      </w:r>
      <w:r>
        <w:rPr>
          <w:rFonts w:ascii="Arial" w:hAnsi="Arial" w:cs="Arial"/>
          <w:color w:val="7B7B7B" w:themeColor="accent3" w:themeShade="BF"/>
          <w:sz w:val="22"/>
          <w:szCs w:val="22"/>
          <w:lang w:val="en-GB"/>
        </w:rPr>
        <w:t xml:space="preserve"> </w:t>
      </w:r>
      <w:r w:rsidR="007044F7">
        <w:rPr>
          <w:rFonts w:ascii="Arial" w:hAnsi="Arial" w:cs="Arial"/>
          <w:color w:val="7B7B7B" w:themeColor="accent3" w:themeShade="BF"/>
          <w:sz w:val="22"/>
          <w:szCs w:val="22"/>
          <w:lang w:val="en-GB"/>
        </w:rPr>
        <w:t>In the ordinary course of business, these duties of loyalty and care are owed by the directors to the corporation and its shareholders.</w:t>
      </w:r>
      <w:r w:rsidR="007044F7">
        <w:rPr>
          <w:rStyle w:val="FootnoteReference"/>
          <w:rFonts w:ascii="Arial" w:hAnsi="Arial" w:cs="Arial"/>
          <w:color w:val="7B7B7B" w:themeColor="accent3" w:themeShade="BF"/>
          <w:sz w:val="22"/>
          <w:szCs w:val="22"/>
          <w:lang w:val="en-GB"/>
        </w:rPr>
        <w:footnoteReference w:id="7"/>
      </w:r>
    </w:p>
    <w:p w14:paraId="5BE738A0" w14:textId="507449DC" w:rsidR="007044F7" w:rsidRDefault="007044F7" w:rsidP="005B2A9B">
      <w:pPr>
        <w:jc w:val="both"/>
        <w:rPr>
          <w:rFonts w:ascii="Arial" w:hAnsi="Arial" w:cs="Arial"/>
          <w:color w:val="7B7B7B" w:themeColor="accent3" w:themeShade="BF"/>
          <w:sz w:val="22"/>
          <w:szCs w:val="22"/>
          <w:lang w:val="en-GB"/>
        </w:rPr>
      </w:pPr>
    </w:p>
    <w:p w14:paraId="184260CE" w14:textId="6C7ECF7D" w:rsidR="007044F7" w:rsidRDefault="00083FE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Delaware law, i</w:t>
      </w:r>
      <w:r w:rsidR="007044F7">
        <w:rPr>
          <w:rFonts w:ascii="Arial" w:hAnsi="Arial" w:cs="Arial"/>
          <w:color w:val="7B7B7B" w:themeColor="accent3" w:themeShade="BF"/>
          <w:sz w:val="22"/>
          <w:szCs w:val="22"/>
          <w:lang w:val="en-GB"/>
        </w:rPr>
        <w:t xml:space="preserve">n making business decisions for the corporation, </w:t>
      </w:r>
      <w:r>
        <w:rPr>
          <w:rFonts w:ascii="Arial" w:hAnsi="Arial" w:cs="Arial"/>
          <w:color w:val="7B7B7B" w:themeColor="accent3" w:themeShade="BF"/>
          <w:sz w:val="22"/>
          <w:szCs w:val="22"/>
          <w:lang w:val="en-GB"/>
        </w:rPr>
        <w:t>directors are protected by the business judgment rule. The business judgment rule is a rebuttable presumption that directors acted in good faith and on the basis of reasonable information when making business decisions. To rebut the presumption, it must be shown that the majority of the directors were grossly negligent by not being adequately informed, not acting in good faith, or did not honestly believe the decision was in the best interest of the corporation. If the presumption is not rebutted, the directors</w:t>
      </w:r>
      <w:r w:rsidR="008A361D">
        <w:rPr>
          <w:rFonts w:ascii="Arial" w:hAnsi="Arial" w:cs="Arial"/>
          <w:color w:val="7B7B7B" w:themeColor="accent3" w:themeShade="BF"/>
          <w:sz w:val="22"/>
          <w:szCs w:val="22"/>
          <w:lang w:val="en-GB"/>
        </w:rPr>
        <w:t>’ judgment will not be second-guessed.</w:t>
      </w:r>
    </w:p>
    <w:p w14:paraId="57EAEA7E" w14:textId="6A32B5D1" w:rsidR="008A361D" w:rsidRDefault="008A361D" w:rsidP="005B2A9B">
      <w:pPr>
        <w:jc w:val="both"/>
        <w:rPr>
          <w:rFonts w:ascii="Arial" w:hAnsi="Arial" w:cs="Arial"/>
          <w:color w:val="7B7B7B" w:themeColor="accent3" w:themeShade="BF"/>
          <w:sz w:val="22"/>
          <w:szCs w:val="22"/>
          <w:lang w:val="en-GB"/>
        </w:rPr>
      </w:pPr>
    </w:p>
    <w:p w14:paraId="36760F28" w14:textId="04B7C676" w:rsidR="008A361D" w:rsidRDefault="008A361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 corporation is potentially or actually insolvent, the fiduciary duties of loyalty and care are still owed to the corporation and its shareholders. Creditors of the corporation have no right to assert claims of breach of fiduciary duties against the corporation’s directors.</w:t>
      </w:r>
      <w:r>
        <w:rPr>
          <w:rStyle w:val="FootnoteReference"/>
          <w:rFonts w:ascii="Arial" w:hAnsi="Arial" w:cs="Arial"/>
          <w:color w:val="7B7B7B" w:themeColor="accent3" w:themeShade="BF"/>
          <w:sz w:val="22"/>
          <w:szCs w:val="22"/>
          <w:lang w:val="en-GB"/>
        </w:rPr>
        <w:footnoteReference w:id="8"/>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6E7D516" w14:textId="77777777" w:rsidR="00E36516" w:rsidRDefault="0074393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recognition of the English scheme of arrangement under US Chapter 15, the foreign representative must establish that there is a foreign proceeding pending in respect of Gambling Corporation and that the foreign representative is empowered to act by such foreign proceeding. </w:t>
      </w:r>
    </w:p>
    <w:p w14:paraId="47368F73" w14:textId="77777777" w:rsidR="00E36516" w:rsidRDefault="00E36516" w:rsidP="005B2A9B">
      <w:pPr>
        <w:jc w:val="both"/>
        <w:rPr>
          <w:rFonts w:ascii="Arial" w:hAnsi="Arial" w:cs="Arial"/>
          <w:color w:val="7B7B7B" w:themeColor="accent3" w:themeShade="BF"/>
          <w:sz w:val="22"/>
          <w:szCs w:val="22"/>
          <w:lang w:val="en-GB"/>
        </w:rPr>
      </w:pPr>
    </w:p>
    <w:p w14:paraId="7DF6EA44" w14:textId="36E696DE" w:rsidR="005B2A9B" w:rsidRDefault="0074393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proceeding means </w:t>
      </w:r>
      <w:r w:rsidRPr="0074393C">
        <w:rPr>
          <w:rFonts w:ascii="Arial" w:hAnsi="Arial" w:cs="Arial"/>
          <w:i/>
          <w:color w:val="7B7B7B" w:themeColor="accent3" w:themeShade="BF"/>
          <w:sz w:val="22"/>
          <w:szCs w:val="22"/>
          <w:lang w:val="en-GB"/>
        </w:rPr>
        <w:t>“a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reorganisation or liquidation</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Based on this, an English scheme of arrangement proceedings to restructure Gambling Corp’s bonds would fall within the definition of foreign proceeding as the proceedings would involve reorganisation of the assets and affairs of Gambling Corp under the control or supervision of the English court.</w:t>
      </w:r>
    </w:p>
    <w:p w14:paraId="79412B3B" w14:textId="7397711A" w:rsidR="0074393C" w:rsidRDefault="0074393C" w:rsidP="005B2A9B">
      <w:pPr>
        <w:jc w:val="both"/>
        <w:rPr>
          <w:rFonts w:ascii="Arial" w:hAnsi="Arial" w:cs="Arial"/>
          <w:color w:val="7B7B7B" w:themeColor="accent3" w:themeShade="BF"/>
          <w:sz w:val="22"/>
          <w:szCs w:val="22"/>
          <w:lang w:val="en-GB"/>
        </w:rPr>
      </w:pPr>
    </w:p>
    <w:p w14:paraId="002DDAEE" w14:textId="0207BC14" w:rsidR="003B553D" w:rsidRDefault="003B553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recognition of the proceedings must be as either a foreign main proceeding or a foreign non-main proceeding. A proceeding will be recognised as the foreign main proceeding if the proceedings are in a jurisdiction where the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interests (COMI) is located. The debtor’s place of incorporation is presumed to be the COMI unless rebutted.</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On the facts available in this case, Gambling Corp was incorporated and has its principal place of business in Greece. Gambling Corp’s COMI is therefore in Greece, and English scheme of arrangement proceedings in the UK could not be recognised as foreign main proceedings.</w:t>
      </w:r>
    </w:p>
    <w:p w14:paraId="4DC7B8C2" w14:textId="77777777" w:rsidR="003B553D" w:rsidRDefault="003B553D" w:rsidP="005B2A9B">
      <w:pPr>
        <w:jc w:val="both"/>
        <w:rPr>
          <w:rFonts w:ascii="Arial" w:hAnsi="Arial" w:cs="Arial"/>
          <w:color w:val="7B7B7B" w:themeColor="accent3" w:themeShade="BF"/>
          <w:sz w:val="22"/>
          <w:szCs w:val="22"/>
          <w:lang w:val="en-GB"/>
        </w:rPr>
      </w:pPr>
    </w:p>
    <w:p w14:paraId="13DAF833" w14:textId="1B61D64D" w:rsidR="0074393C" w:rsidRDefault="003B553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proceeding to be recognised a </w:t>
      </w:r>
      <w:proofErr w:type="gramStart"/>
      <w:r w:rsidR="001616D3">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non-main proceedings</w:t>
      </w:r>
      <w:proofErr w:type="gramEnd"/>
      <w:r>
        <w:rPr>
          <w:rFonts w:ascii="Arial" w:hAnsi="Arial" w:cs="Arial"/>
          <w:color w:val="7B7B7B" w:themeColor="accent3" w:themeShade="BF"/>
          <w:sz w:val="22"/>
          <w:szCs w:val="22"/>
          <w:lang w:val="en-GB"/>
        </w:rPr>
        <w:t>, it must be shown that the debtor had an establishment in the jurisdiction.</w:t>
      </w:r>
      <w:r w:rsidR="00E36516">
        <w:rPr>
          <w:rFonts w:ascii="Arial" w:hAnsi="Arial" w:cs="Arial"/>
          <w:color w:val="7B7B7B" w:themeColor="accent3" w:themeShade="BF"/>
          <w:sz w:val="22"/>
          <w:szCs w:val="22"/>
          <w:lang w:val="en-GB"/>
        </w:rPr>
        <w:t xml:space="preserve"> An establishment is defined as “</w:t>
      </w:r>
      <w:r w:rsidR="00E36516" w:rsidRPr="00E36516">
        <w:rPr>
          <w:rFonts w:ascii="Arial" w:hAnsi="Arial" w:cs="Arial"/>
          <w:i/>
          <w:color w:val="7B7B7B" w:themeColor="accent3" w:themeShade="BF"/>
          <w:sz w:val="22"/>
          <w:szCs w:val="22"/>
          <w:lang w:val="en-GB"/>
        </w:rPr>
        <w:t xml:space="preserve">any place of operations where the debtor carries out a </w:t>
      </w:r>
      <w:proofErr w:type="spellStart"/>
      <w:r w:rsidR="00E36516" w:rsidRPr="00E36516">
        <w:rPr>
          <w:rFonts w:ascii="Arial" w:hAnsi="Arial" w:cs="Arial"/>
          <w:i/>
          <w:color w:val="7B7B7B" w:themeColor="accent3" w:themeShade="BF"/>
          <w:sz w:val="22"/>
          <w:szCs w:val="22"/>
          <w:lang w:val="en-GB"/>
        </w:rPr>
        <w:t>nontransitory</w:t>
      </w:r>
      <w:proofErr w:type="spellEnd"/>
      <w:r w:rsidR="00E36516" w:rsidRPr="00E36516">
        <w:rPr>
          <w:rFonts w:ascii="Arial" w:hAnsi="Arial" w:cs="Arial"/>
          <w:i/>
          <w:color w:val="7B7B7B" w:themeColor="accent3" w:themeShade="BF"/>
          <w:sz w:val="22"/>
          <w:szCs w:val="22"/>
          <w:lang w:val="en-GB"/>
        </w:rPr>
        <w:t xml:space="preserve"> economic activity</w:t>
      </w:r>
      <w:r w:rsidR="00E36516">
        <w:rPr>
          <w:rFonts w:ascii="Arial" w:hAnsi="Arial" w:cs="Arial"/>
          <w:color w:val="7B7B7B" w:themeColor="accent3" w:themeShade="BF"/>
          <w:sz w:val="22"/>
          <w:szCs w:val="22"/>
          <w:lang w:val="en-GB"/>
        </w:rPr>
        <w:t>.”</w:t>
      </w:r>
      <w:r w:rsidR="00E36516">
        <w:rPr>
          <w:rStyle w:val="FootnoteReference"/>
          <w:rFonts w:ascii="Arial" w:hAnsi="Arial" w:cs="Arial"/>
          <w:color w:val="7B7B7B" w:themeColor="accent3" w:themeShade="BF"/>
          <w:sz w:val="22"/>
          <w:szCs w:val="22"/>
          <w:lang w:val="en-GB"/>
        </w:rPr>
        <w:footnoteReference w:id="11"/>
      </w:r>
      <w:r w:rsidR="00E36516">
        <w:rPr>
          <w:rFonts w:ascii="Arial" w:hAnsi="Arial" w:cs="Arial"/>
          <w:color w:val="7B7B7B" w:themeColor="accent3" w:themeShade="BF"/>
          <w:sz w:val="22"/>
          <w:szCs w:val="22"/>
          <w:lang w:val="en-GB"/>
        </w:rPr>
        <w:t xml:space="preserve"> </w:t>
      </w:r>
      <w:r w:rsidR="001616D3">
        <w:rPr>
          <w:rFonts w:ascii="Arial" w:hAnsi="Arial" w:cs="Arial"/>
          <w:color w:val="7B7B7B" w:themeColor="accent3" w:themeShade="BF"/>
          <w:sz w:val="22"/>
          <w:szCs w:val="22"/>
          <w:lang w:val="en-GB"/>
        </w:rPr>
        <w:t xml:space="preserve">On the facts, since Gambling Corp has operations for casinos and betting </w:t>
      </w:r>
      <w:proofErr w:type="spellStart"/>
      <w:r w:rsidR="001616D3">
        <w:rPr>
          <w:rFonts w:ascii="Arial" w:hAnsi="Arial" w:cs="Arial"/>
          <w:color w:val="7B7B7B" w:themeColor="accent3" w:themeShade="BF"/>
          <w:sz w:val="22"/>
          <w:szCs w:val="22"/>
          <w:lang w:val="en-GB"/>
        </w:rPr>
        <w:t>parlors</w:t>
      </w:r>
      <w:proofErr w:type="spellEnd"/>
      <w:r w:rsidR="001616D3">
        <w:rPr>
          <w:rFonts w:ascii="Arial" w:hAnsi="Arial" w:cs="Arial"/>
          <w:color w:val="7B7B7B" w:themeColor="accent3" w:themeShade="BF"/>
          <w:sz w:val="22"/>
          <w:szCs w:val="22"/>
          <w:lang w:val="en-GB"/>
        </w:rPr>
        <w:t xml:space="preserve"> in London, it can be shown that Gambling Corp has an establishment there and the English scheme of arrangement proceedings can be recognised as a </w:t>
      </w:r>
      <w:proofErr w:type="gramStart"/>
      <w:r w:rsidR="001616D3">
        <w:rPr>
          <w:rFonts w:ascii="Arial" w:hAnsi="Arial" w:cs="Arial"/>
          <w:color w:val="7B7B7B" w:themeColor="accent3" w:themeShade="BF"/>
          <w:sz w:val="22"/>
          <w:szCs w:val="22"/>
          <w:lang w:val="en-GB"/>
        </w:rPr>
        <w:t>foreign non-main proceedings</w:t>
      </w:r>
      <w:proofErr w:type="gramEnd"/>
      <w:r w:rsidR="001616D3">
        <w:rPr>
          <w:rFonts w:ascii="Arial" w:hAnsi="Arial" w:cs="Arial"/>
          <w:color w:val="7B7B7B" w:themeColor="accent3" w:themeShade="BF"/>
          <w:sz w:val="22"/>
          <w:szCs w:val="22"/>
          <w:lang w:val="en-GB"/>
        </w:rPr>
        <w:t xml:space="preserve"> under Chapter 15.</w:t>
      </w:r>
    </w:p>
    <w:p w14:paraId="13670F4F" w14:textId="73C2FA2D" w:rsidR="001616D3" w:rsidRDefault="001616D3" w:rsidP="005B2A9B">
      <w:pPr>
        <w:jc w:val="both"/>
        <w:rPr>
          <w:rFonts w:ascii="Arial" w:hAnsi="Arial" w:cs="Arial"/>
          <w:color w:val="7B7B7B" w:themeColor="accent3" w:themeShade="BF"/>
          <w:sz w:val="22"/>
          <w:szCs w:val="22"/>
          <w:lang w:val="en-GB"/>
        </w:rPr>
      </w:pPr>
    </w:p>
    <w:p w14:paraId="1A047E32" w14:textId="6B65BED2" w:rsidR="001616D3" w:rsidRPr="00FF5098" w:rsidRDefault="001616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to be noted that most US courts will assess COMI or an establishment as at the date of the US petition for recognition (and not the date of commencement of the foreign proceedings).</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B6F810E" w:rsidR="005B2A9B" w:rsidRDefault="009D01B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Oil Corp filing a chapter 11 petition, a worldwide automatic stay of proceedings against Oil Corp or its property will </w:t>
      </w:r>
      <w:r w:rsidR="000913C8">
        <w:rPr>
          <w:rFonts w:ascii="Arial" w:hAnsi="Arial" w:cs="Arial"/>
          <w:color w:val="7B7B7B" w:themeColor="accent3" w:themeShade="BF"/>
          <w:sz w:val="22"/>
          <w:szCs w:val="22"/>
          <w:lang w:val="en-GB"/>
        </w:rPr>
        <w:t xml:space="preserve">immediately </w:t>
      </w:r>
      <w:r>
        <w:rPr>
          <w:rFonts w:ascii="Arial" w:hAnsi="Arial" w:cs="Arial"/>
          <w:color w:val="7B7B7B" w:themeColor="accent3" w:themeShade="BF"/>
          <w:sz w:val="22"/>
          <w:szCs w:val="22"/>
          <w:lang w:val="en-GB"/>
        </w:rPr>
        <w:t>come into effect. The impact on the four situations are set out below:</w:t>
      </w:r>
    </w:p>
    <w:p w14:paraId="60218E7B" w14:textId="0263E9EA" w:rsidR="009D01BD" w:rsidRDefault="009D01BD" w:rsidP="005B2A9B">
      <w:pPr>
        <w:jc w:val="both"/>
        <w:rPr>
          <w:rFonts w:ascii="Arial" w:hAnsi="Arial" w:cs="Arial"/>
          <w:color w:val="7B7B7B" w:themeColor="accent3" w:themeShade="BF"/>
          <w:sz w:val="22"/>
          <w:szCs w:val="22"/>
          <w:lang w:val="en-GB"/>
        </w:rPr>
      </w:pPr>
    </w:p>
    <w:p w14:paraId="4E1178B2" w14:textId="2C3D29EE" w:rsidR="009D01BD" w:rsidRDefault="009D01BD" w:rsidP="009D01BD">
      <w:pPr>
        <w:pStyle w:val="ListParagraph"/>
        <w:numPr>
          <w:ilvl w:val="0"/>
          <w:numId w:val="14"/>
        </w:numPr>
        <w:jc w:val="both"/>
        <w:rPr>
          <w:rFonts w:ascii="Arial" w:hAnsi="Arial" w:cs="Arial"/>
          <w:color w:val="7B7B7B" w:themeColor="accent3" w:themeShade="BF"/>
          <w:sz w:val="22"/>
          <w:szCs w:val="22"/>
          <w:u w:val="single"/>
          <w:lang w:val="en-GB"/>
        </w:rPr>
      </w:pPr>
      <w:proofErr w:type="spellStart"/>
      <w:r w:rsidRPr="009D01BD">
        <w:rPr>
          <w:rFonts w:ascii="Arial" w:hAnsi="Arial" w:cs="Arial"/>
          <w:color w:val="7B7B7B" w:themeColor="accent3" w:themeShade="BF"/>
          <w:sz w:val="22"/>
          <w:szCs w:val="22"/>
          <w:u w:val="single"/>
          <w:lang w:val="en-GB"/>
        </w:rPr>
        <w:t>ShipCo’s</w:t>
      </w:r>
      <w:proofErr w:type="spellEnd"/>
      <w:r w:rsidRPr="009D01BD">
        <w:rPr>
          <w:rFonts w:ascii="Arial" w:hAnsi="Arial" w:cs="Arial"/>
          <w:color w:val="7B7B7B" w:themeColor="accent3" w:themeShade="BF"/>
          <w:sz w:val="22"/>
          <w:szCs w:val="22"/>
          <w:u w:val="single"/>
          <w:lang w:val="en-GB"/>
        </w:rPr>
        <w:t xml:space="preserve"> lawsuit for breach of contract</w:t>
      </w:r>
    </w:p>
    <w:p w14:paraId="417E482F" w14:textId="24A3F9CF" w:rsidR="009D01BD" w:rsidRDefault="009D01BD" w:rsidP="009D01BD">
      <w:pPr>
        <w:pStyle w:val="ListParagraph"/>
        <w:jc w:val="both"/>
        <w:rPr>
          <w:rFonts w:ascii="Arial" w:hAnsi="Arial" w:cs="Arial"/>
          <w:color w:val="7B7B7B" w:themeColor="accent3" w:themeShade="BF"/>
          <w:sz w:val="22"/>
          <w:szCs w:val="22"/>
          <w:u w:val="single"/>
          <w:lang w:val="en-GB"/>
        </w:rPr>
      </w:pPr>
    </w:p>
    <w:p w14:paraId="6A91DE1B" w14:textId="77777777" w:rsidR="007018D4" w:rsidRDefault="001A1396" w:rsidP="009D01B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will stay the continuation of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lawsuit proceedings even though it was commenced prior to filing of the petition.</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w:t>
      </w:r>
    </w:p>
    <w:p w14:paraId="7593E45B" w14:textId="77777777" w:rsidR="007018D4" w:rsidRDefault="007018D4" w:rsidP="009D01BD">
      <w:pPr>
        <w:pStyle w:val="ListParagraph"/>
        <w:jc w:val="both"/>
        <w:rPr>
          <w:rFonts w:ascii="Arial" w:hAnsi="Arial" w:cs="Arial"/>
          <w:color w:val="7B7B7B" w:themeColor="accent3" w:themeShade="BF"/>
          <w:sz w:val="22"/>
          <w:szCs w:val="22"/>
          <w:lang w:val="en-GB"/>
        </w:rPr>
      </w:pPr>
    </w:p>
    <w:p w14:paraId="41B33FA8" w14:textId="7902A57F" w:rsidR="009D01BD" w:rsidRDefault="007018D4" w:rsidP="009D01B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t</w:t>
      </w:r>
      <w:r w:rsidR="001A1396">
        <w:rPr>
          <w:rFonts w:ascii="Arial" w:hAnsi="Arial" w:cs="Arial"/>
          <w:color w:val="7B7B7B" w:themeColor="accent3" w:themeShade="BF"/>
          <w:sz w:val="22"/>
          <w:szCs w:val="22"/>
          <w:lang w:val="en-GB"/>
        </w:rPr>
        <w:t xml:space="preserve">he stay does not prevent </w:t>
      </w:r>
      <w:r>
        <w:rPr>
          <w:rFonts w:ascii="Arial" w:hAnsi="Arial" w:cs="Arial"/>
          <w:color w:val="7B7B7B" w:themeColor="accent3" w:themeShade="BF"/>
          <w:sz w:val="22"/>
          <w:szCs w:val="22"/>
          <w:lang w:val="en-GB"/>
        </w:rPr>
        <w:t>the debtor, Oil Corp in this case, from filing action in state court against its creditors for breach of contract.</w:t>
      </w:r>
    </w:p>
    <w:p w14:paraId="2451FBDC" w14:textId="296A86F3" w:rsidR="001A1396" w:rsidRDefault="001A1396" w:rsidP="001A1396">
      <w:pPr>
        <w:jc w:val="both"/>
        <w:rPr>
          <w:rFonts w:ascii="Arial" w:hAnsi="Arial" w:cs="Arial"/>
          <w:color w:val="7B7B7B" w:themeColor="accent3" w:themeShade="BF"/>
          <w:sz w:val="22"/>
          <w:szCs w:val="22"/>
          <w:lang w:val="en-GB"/>
        </w:rPr>
      </w:pPr>
    </w:p>
    <w:p w14:paraId="76C7D63D" w14:textId="30B1E97F" w:rsidR="001A1396" w:rsidRPr="001A1396" w:rsidRDefault="001A1396" w:rsidP="001A1396">
      <w:pPr>
        <w:pStyle w:val="ListParagraph"/>
        <w:numPr>
          <w:ilvl w:val="0"/>
          <w:numId w:val="14"/>
        </w:numPr>
        <w:jc w:val="both"/>
        <w:rPr>
          <w:rFonts w:ascii="Arial" w:hAnsi="Arial" w:cs="Arial"/>
          <w:color w:val="7B7B7B" w:themeColor="accent3" w:themeShade="BF"/>
          <w:sz w:val="22"/>
          <w:szCs w:val="22"/>
          <w:u w:val="single"/>
          <w:lang w:val="en-GB"/>
        </w:rPr>
      </w:pPr>
      <w:r w:rsidRPr="001A1396">
        <w:rPr>
          <w:rFonts w:ascii="Arial" w:hAnsi="Arial" w:cs="Arial"/>
          <w:color w:val="7B7B7B" w:themeColor="accent3" w:themeShade="BF"/>
          <w:sz w:val="22"/>
          <w:szCs w:val="22"/>
          <w:u w:val="single"/>
          <w:lang w:val="en-GB"/>
        </w:rPr>
        <w:t>US Department of Justice investigations on illegally purchased oil</w:t>
      </w:r>
    </w:p>
    <w:p w14:paraId="34578015" w14:textId="1BD98265" w:rsidR="001A1396" w:rsidRDefault="001A1396" w:rsidP="001A1396">
      <w:pPr>
        <w:pStyle w:val="ListParagraph"/>
        <w:jc w:val="both"/>
        <w:rPr>
          <w:rFonts w:ascii="Arial" w:hAnsi="Arial" w:cs="Arial"/>
          <w:color w:val="7B7B7B" w:themeColor="accent3" w:themeShade="BF"/>
          <w:sz w:val="22"/>
          <w:szCs w:val="22"/>
          <w:lang w:val="en-GB"/>
        </w:rPr>
      </w:pPr>
    </w:p>
    <w:p w14:paraId="026C0B3A" w14:textId="730891F5" w:rsidR="001A1396" w:rsidRDefault="001A1396" w:rsidP="001A139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7018D4">
        <w:rPr>
          <w:rFonts w:ascii="Arial" w:hAnsi="Arial" w:cs="Arial"/>
          <w:color w:val="7B7B7B" w:themeColor="accent3" w:themeShade="BF"/>
          <w:sz w:val="22"/>
          <w:szCs w:val="22"/>
          <w:lang w:val="en-GB"/>
        </w:rPr>
        <w:t>egulatory investigations are exempted from the automatic stay. Therefore, the US Department of Justice can continue their investigations as to whether Oil Corp illegally purchased oil from countries subject to US sanctions.</w:t>
      </w:r>
    </w:p>
    <w:p w14:paraId="2AD45047" w14:textId="6997B7A9" w:rsidR="007018D4" w:rsidRDefault="007018D4" w:rsidP="007018D4">
      <w:pPr>
        <w:jc w:val="both"/>
        <w:rPr>
          <w:rFonts w:ascii="Arial" w:hAnsi="Arial" w:cs="Arial"/>
          <w:color w:val="7B7B7B" w:themeColor="accent3" w:themeShade="BF"/>
          <w:sz w:val="22"/>
          <w:szCs w:val="22"/>
          <w:lang w:val="en-GB"/>
        </w:rPr>
      </w:pPr>
    </w:p>
    <w:p w14:paraId="7C6DB6D7" w14:textId="77777777" w:rsidR="007018D4" w:rsidRDefault="007018D4" w:rsidP="007018D4">
      <w:pPr>
        <w:jc w:val="both"/>
        <w:rPr>
          <w:rFonts w:ascii="Arial" w:hAnsi="Arial" w:cs="Arial"/>
          <w:color w:val="7B7B7B" w:themeColor="accent3" w:themeShade="BF"/>
          <w:sz w:val="22"/>
          <w:szCs w:val="22"/>
          <w:lang w:val="en-GB"/>
        </w:rPr>
      </w:pPr>
    </w:p>
    <w:p w14:paraId="7FE02390" w14:textId="6BE20AC9" w:rsidR="007018D4" w:rsidRDefault="007018D4" w:rsidP="007018D4">
      <w:pPr>
        <w:pStyle w:val="ListParagraph"/>
        <w:numPr>
          <w:ilvl w:val="0"/>
          <w:numId w:val="14"/>
        </w:numPr>
        <w:jc w:val="both"/>
        <w:rPr>
          <w:rFonts w:ascii="Arial" w:hAnsi="Arial" w:cs="Arial"/>
          <w:color w:val="7B7B7B" w:themeColor="accent3" w:themeShade="BF"/>
          <w:sz w:val="22"/>
          <w:szCs w:val="22"/>
          <w:u w:val="single"/>
          <w:lang w:val="en-GB"/>
        </w:rPr>
      </w:pPr>
      <w:r w:rsidRPr="007018D4">
        <w:rPr>
          <w:rFonts w:ascii="Arial" w:hAnsi="Arial" w:cs="Arial"/>
          <w:color w:val="7B7B7B" w:themeColor="accent3" w:themeShade="BF"/>
          <w:sz w:val="22"/>
          <w:szCs w:val="22"/>
          <w:u w:val="single"/>
          <w:lang w:val="en-GB"/>
        </w:rPr>
        <w:lastRenderedPageBreak/>
        <w:t>Default of secured loan from USA Bank and threatened foreclosure</w:t>
      </w:r>
    </w:p>
    <w:p w14:paraId="59C4AFC3" w14:textId="180C5E41" w:rsidR="007018D4" w:rsidRDefault="007018D4" w:rsidP="007018D4">
      <w:pPr>
        <w:pStyle w:val="ListParagraph"/>
        <w:jc w:val="both"/>
        <w:rPr>
          <w:rFonts w:ascii="Arial" w:hAnsi="Arial" w:cs="Arial"/>
          <w:color w:val="7B7B7B" w:themeColor="accent3" w:themeShade="BF"/>
          <w:sz w:val="22"/>
          <w:szCs w:val="22"/>
          <w:lang w:val="en-GB"/>
        </w:rPr>
      </w:pPr>
    </w:p>
    <w:p w14:paraId="2D8898BD" w14:textId="60392E23" w:rsidR="007018D4" w:rsidRDefault="007018D4" w:rsidP="007018D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will stay any attempts by USA Bank to collect the missed payment for the secured loan. As the automatic stay has worldwide effect, it will also have the effect of staying the threatened foreclosure by USA Bank of the refinery located in the Philippines.</w:t>
      </w:r>
    </w:p>
    <w:p w14:paraId="0CABDB72" w14:textId="2A278EA0" w:rsidR="007018D4" w:rsidRDefault="007018D4" w:rsidP="007018D4">
      <w:pPr>
        <w:jc w:val="both"/>
        <w:rPr>
          <w:rFonts w:ascii="Arial" w:hAnsi="Arial" w:cs="Arial"/>
          <w:color w:val="7B7B7B" w:themeColor="accent3" w:themeShade="BF"/>
          <w:sz w:val="22"/>
          <w:szCs w:val="22"/>
          <w:lang w:val="en-GB"/>
        </w:rPr>
      </w:pPr>
    </w:p>
    <w:p w14:paraId="4A976997" w14:textId="1F24806E" w:rsidR="007018D4" w:rsidRDefault="007018D4" w:rsidP="007018D4">
      <w:pPr>
        <w:pStyle w:val="ListParagraph"/>
        <w:numPr>
          <w:ilvl w:val="0"/>
          <w:numId w:val="14"/>
        </w:numPr>
        <w:jc w:val="both"/>
        <w:rPr>
          <w:rFonts w:ascii="Arial" w:hAnsi="Arial" w:cs="Arial"/>
          <w:color w:val="7B7B7B" w:themeColor="accent3" w:themeShade="BF"/>
          <w:sz w:val="22"/>
          <w:szCs w:val="22"/>
          <w:u w:val="single"/>
          <w:lang w:val="en-GB"/>
        </w:rPr>
      </w:pPr>
      <w:r w:rsidRPr="007018D4">
        <w:rPr>
          <w:rFonts w:ascii="Arial" w:hAnsi="Arial" w:cs="Arial"/>
          <w:color w:val="7B7B7B" w:themeColor="accent3" w:themeShade="BF"/>
          <w:sz w:val="22"/>
          <w:szCs w:val="22"/>
          <w:u w:val="single"/>
          <w:lang w:val="en-GB"/>
        </w:rPr>
        <w:t>Threatened eviction from office space</w:t>
      </w:r>
    </w:p>
    <w:p w14:paraId="565FC491" w14:textId="53C1D5BD" w:rsidR="007018D4" w:rsidRDefault="007018D4" w:rsidP="007018D4">
      <w:pPr>
        <w:jc w:val="both"/>
        <w:rPr>
          <w:rFonts w:ascii="Arial" w:hAnsi="Arial" w:cs="Arial"/>
          <w:color w:val="7B7B7B" w:themeColor="accent3" w:themeShade="BF"/>
          <w:sz w:val="22"/>
          <w:szCs w:val="22"/>
          <w:u w:val="single"/>
          <w:lang w:val="en-GB"/>
        </w:rPr>
      </w:pPr>
    </w:p>
    <w:p w14:paraId="65E23889" w14:textId="482C536B" w:rsidR="000913C8" w:rsidRDefault="007018D4" w:rsidP="007018D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w:t>
      </w:r>
      <w:r w:rsidR="000913C8">
        <w:rPr>
          <w:rFonts w:ascii="Arial" w:hAnsi="Arial" w:cs="Arial"/>
          <w:color w:val="7B7B7B" w:themeColor="accent3" w:themeShade="BF"/>
          <w:sz w:val="22"/>
          <w:szCs w:val="22"/>
          <w:lang w:val="en-GB"/>
        </w:rPr>
        <w:t xml:space="preserve">will prohibit the landlord from commencing any action to evict Oil Corp as well as any attempts to collect the missed rental payments. Assuming the lease of the office space is unexpired, </w:t>
      </w:r>
      <w:r w:rsidR="00956553">
        <w:rPr>
          <w:rFonts w:ascii="Arial" w:hAnsi="Arial" w:cs="Arial"/>
          <w:color w:val="7B7B7B" w:themeColor="accent3" w:themeShade="BF"/>
          <w:sz w:val="22"/>
          <w:szCs w:val="22"/>
          <w:lang w:val="en-GB"/>
        </w:rPr>
        <w:t>such unexpired lease of the office space shall be deemed rejected and the trustee must immediately surrender the office space if the trustee does not assume or reject the unexpired lease within 210 days from date of order of relief or date of entry of an order confirming a plan, whichever is earlier (subject to any extension of the period).</w:t>
      </w:r>
      <w:r w:rsidR="00956553">
        <w:rPr>
          <w:rStyle w:val="FootnoteReference"/>
          <w:rFonts w:ascii="Arial" w:hAnsi="Arial" w:cs="Arial"/>
          <w:color w:val="7B7B7B" w:themeColor="accent3" w:themeShade="BF"/>
          <w:sz w:val="22"/>
          <w:szCs w:val="22"/>
          <w:lang w:val="en-GB"/>
        </w:rPr>
        <w:footnoteReference w:id="13"/>
      </w:r>
      <w:r w:rsidR="000913C8">
        <w:rPr>
          <w:rFonts w:ascii="Arial" w:hAnsi="Arial" w:cs="Arial"/>
          <w:color w:val="7B7B7B" w:themeColor="accent3" w:themeShade="BF"/>
          <w:sz w:val="22"/>
          <w:szCs w:val="22"/>
          <w:lang w:val="en-GB"/>
        </w:rPr>
        <w:t xml:space="preserve"> </w:t>
      </w:r>
    </w:p>
    <w:p w14:paraId="3632D53D" w14:textId="77777777" w:rsidR="000913C8" w:rsidRDefault="000913C8" w:rsidP="007018D4">
      <w:pPr>
        <w:ind w:left="720"/>
        <w:jc w:val="both"/>
        <w:rPr>
          <w:rFonts w:ascii="Arial" w:hAnsi="Arial" w:cs="Arial"/>
          <w:color w:val="7B7B7B" w:themeColor="accent3" w:themeShade="BF"/>
          <w:sz w:val="22"/>
          <w:szCs w:val="22"/>
          <w:lang w:val="en-GB"/>
        </w:rPr>
      </w:pPr>
    </w:p>
    <w:p w14:paraId="4E319DE8" w14:textId="67890463" w:rsidR="007018D4" w:rsidRDefault="000913C8" w:rsidP="007018D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if the lease term of the office space had actually expired, then eviction actions by the landlord against Oil Corp would be statutorily exempted from the stay.</w:t>
      </w:r>
    </w:p>
    <w:p w14:paraId="0E7A45F9" w14:textId="03DB2C8A" w:rsidR="00956553" w:rsidRDefault="00956553" w:rsidP="00956553">
      <w:pPr>
        <w:jc w:val="both"/>
        <w:rPr>
          <w:rFonts w:ascii="Arial" w:hAnsi="Arial" w:cs="Arial"/>
          <w:color w:val="7B7B7B" w:themeColor="accent3" w:themeShade="BF"/>
          <w:sz w:val="22"/>
          <w:szCs w:val="22"/>
          <w:lang w:val="en-GB"/>
        </w:rPr>
      </w:pPr>
    </w:p>
    <w:p w14:paraId="0A485DC3" w14:textId="3E6DFA4E" w:rsidR="00956553" w:rsidRPr="007018D4" w:rsidRDefault="00956553" w:rsidP="009565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parties affected by the stay can file a motion to lift the automatic stay.</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00A956C4" w:rsidR="005B2A9B" w:rsidRDefault="002F40E1" w:rsidP="002F40E1">
      <w:pPr>
        <w:pStyle w:val="ListParagraph"/>
        <w:numPr>
          <w:ilvl w:val="0"/>
          <w:numId w:val="15"/>
        </w:numPr>
        <w:jc w:val="both"/>
        <w:rPr>
          <w:rFonts w:ascii="Arial" w:hAnsi="Arial" w:cs="Arial"/>
          <w:color w:val="7B7B7B" w:themeColor="accent3" w:themeShade="BF"/>
          <w:sz w:val="22"/>
          <w:szCs w:val="22"/>
          <w:u w:val="single"/>
          <w:lang w:val="en-GB"/>
        </w:rPr>
      </w:pPr>
      <w:r w:rsidRPr="002F40E1">
        <w:rPr>
          <w:rFonts w:ascii="Arial" w:hAnsi="Arial" w:cs="Arial"/>
          <w:color w:val="7B7B7B" w:themeColor="accent3" w:themeShade="BF"/>
          <w:sz w:val="22"/>
          <w:szCs w:val="22"/>
          <w:u w:val="single"/>
          <w:lang w:val="en-GB"/>
        </w:rPr>
        <w:t>Trademark licence granted by Plastic Corp</w:t>
      </w:r>
    </w:p>
    <w:p w14:paraId="7B725D57" w14:textId="7551D9BC" w:rsidR="002F40E1" w:rsidRDefault="002F40E1" w:rsidP="002F40E1">
      <w:pPr>
        <w:jc w:val="both"/>
        <w:rPr>
          <w:rFonts w:ascii="Arial" w:hAnsi="Arial" w:cs="Arial"/>
          <w:color w:val="7B7B7B" w:themeColor="accent3" w:themeShade="BF"/>
          <w:sz w:val="22"/>
          <w:szCs w:val="22"/>
          <w:u w:val="single"/>
          <w:lang w:val="en-GB"/>
        </w:rPr>
      </w:pPr>
    </w:p>
    <w:p w14:paraId="2ABA39E9" w14:textId="73FD8405" w:rsidR="004F3C69" w:rsidRPr="004F3C69" w:rsidRDefault="002F40E1" w:rsidP="004F3C69">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Counterparty consent is required to assign an executory contract if applicable law excuses the counterparty from accepting performance from or rendering performance to an entity other than the debtor.</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This would apply to intellectual property licensing law</w:t>
      </w:r>
      <w:r w:rsidR="004F3C69">
        <w:rPr>
          <w:rFonts w:ascii="Arial" w:hAnsi="Arial" w:cs="Arial"/>
          <w:color w:val="7B7B7B" w:themeColor="accent3" w:themeShade="BF"/>
          <w:sz w:val="22"/>
          <w:szCs w:val="22"/>
          <w:lang w:val="en-GB"/>
        </w:rPr>
        <w:t xml:space="preserve"> (see </w:t>
      </w:r>
      <w:r w:rsidR="004F3C69" w:rsidRPr="004F3C69">
        <w:rPr>
          <w:rFonts w:ascii="Arial" w:hAnsi="Arial" w:cs="Arial"/>
          <w:i/>
          <w:color w:val="7B7B7B" w:themeColor="accent3" w:themeShade="BF"/>
          <w:sz w:val="22"/>
          <w:szCs w:val="22"/>
          <w:lang w:val="en-GB"/>
        </w:rPr>
        <w:t>re Trump Entertainment Resorts, Inc</w:t>
      </w:r>
      <w:r w:rsidR="004F3C69">
        <w:rPr>
          <w:rStyle w:val="FootnoteReference"/>
          <w:rFonts w:ascii="Arial" w:hAnsi="Arial" w:cs="Arial"/>
          <w:i/>
          <w:color w:val="7B7B7B" w:themeColor="accent3" w:themeShade="BF"/>
          <w:sz w:val="22"/>
          <w:szCs w:val="22"/>
          <w:lang w:val="en-GB"/>
        </w:rPr>
        <w:footnoteReference w:id="15"/>
      </w:r>
      <w:r w:rsidR="004F3C69">
        <w:rPr>
          <w:rFonts w:ascii="Arial" w:hAnsi="Arial" w:cs="Arial"/>
          <w:color w:val="7B7B7B" w:themeColor="accent3" w:themeShade="BF"/>
          <w:sz w:val="22"/>
          <w:szCs w:val="22"/>
          <w:lang w:val="en-GB"/>
        </w:rPr>
        <w:t xml:space="preserve"> where it was held that federal trademark law generally bans assignment of trademark licenses absent the licensor’s consent).</w:t>
      </w:r>
    </w:p>
    <w:p w14:paraId="0EE97923" w14:textId="77777777" w:rsidR="004F3C69" w:rsidRDefault="004F3C69" w:rsidP="004F3C69">
      <w:pPr>
        <w:jc w:val="both"/>
        <w:rPr>
          <w:rFonts w:ascii="Arial" w:hAnsi="Arial" w:cs="Arial"/>
          <w:color w:val="7B7B7B" w:themeColor="accent3" w:themeShade="BF"/>
          <w:sz w:val="22"/>
          <w:szCs w:val="22"/>
          <w:lang w:val="en-GB"/>
        </w:rPr>
      </w:pPr>
    </w:p>
    <w:p w14:paraId="601AFF8D" w14:textId="2F1EB765" w:rsidR="002F40E1" w:rsidRDefault="004F3C69" w:rsidP="002F40E1">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F40E1">
        <w:rPr>
          <w:rFonts w:ascii="Arial" w:hAnsi="Arial" w:cs="Arial"/>
          <w:color w:val="7B7B7B" w:themeColor="accent3" w:themeShade="BF"/>
          <w:sz w:val="22"/>
          <w:szCs w:val="22"/>
          <w:lang w:val="en-GB"/>
        </w:rPr>
        <w:t>herefore</w:t>
      </w:r>
      <w:r>
        <w:rPr>
          <w:rFonts w:ascii="Arial" w:hAnsi="Arial" w:cs="Arial"/>
          <w:color w:val="7B7B7B" w:themeColor="accent3" w:themeShade="BF"/>
          <w:sz w:val="22"/>
          <w:szCs w:val="22"/>
          <w:lang w:val="en-GB"/>
        </w:rPr>
        <w:t>,</w:t>
      </w:r>
      <w:r w:rsidR="002F40E1">
        <w:rPr>
          <w:rFonts w:ascii="Arial" w:hAnsi="Arial" w:cs="Arial"/>
          <w:color w:val="7B7B7B" w:themeColor="accent3" w:themeShade="BF"/>
          <w:sz w:val="22"/>
          <w:szCs w:val="22"/>
          <w:lang w:val="en-GB"/>
        </w:rPr>
        <w:t xml:space="preserve"> the trademark licence granted by Plastic Corp to Oil Corp cannot be assumed and assigned to a </w:t>
      </w:r>
      <w:proofErr w:type="gramStart"/>
      <w:r w:rsidR="002F40E1">
        <w:rPr>
          <w:rFonts w:ascii="Arial" w:hAnsi="Arial" w:cs="Arial"/>
          <w:color w:val="7B7B7B" w:themeColor="accent3" w:themeShade="BF"/>
          <w:sz w:val="22"/>
          <w:szCs w:val="22"/>
          <w:lang w:val="en-GB"/>
        </w:rPr>
        <w:t>third party</w:t>
      </w:r>
      <w:proofErr w:type="gramEnd"/>
      <w:r w:rsidR="002F40E1">
        <w:rPr>
          <w:rFonts w:ascii="Arial" w:hAnsi="Arial" w:cs="Arial"/>
          <w:color w:val="7B7B7B" w:themeColor="accent3" w:themeShade="BF"/>
          <w:sz w:val="22"/>
          <w:szCs w:val="22"/>
          <w:lang w:val="en-GB"/>
        </w:rPr>
        <w:t xml:space="preserve"> acquirer without Plastic Corp’s consent. </w:t>
      </w:r>
    </w:p>
    <w:p w14:paraId="453056E1" w14:textId="639C8AB8" w:rsidR="004F3C69" w:rsidRDefault="004F3C69" w:rsidP="004F3C69">
      <w:pPr>
        <w:jc w:val="both"/>
        <w:rPr>
          <w:rFonts w:ascii="Arial" w:hAnsi="Arial" w:cs="Arial"/>
          <w:color w:val="7B7B7B" w:themeColor="accent3" w:themeShade="BF"/>
          <w:sz w:val="22"/>
          <w:szCs w:val="22"/>
          <w:lang w:val="en-GB"/>
        </w:rPr>
      </w:pPr>
    </w:p>
    <w:p w14:paraId="0782B0B4" w14:textId="77777777" w:rsidR="004F3C69" w:rsidRDefault="004F3C69" w:rsidP="004F3C69">
      <w:pPr>
        <w:jc w:val="both"/>
        <w:rPr>
          <w:rFonts w:ascii="Arial" w:hAnsi="Arial" w:cs="Arial"/>
          <w:color w:val="7B7B7B" w:themeColor="accent3" w:themeShade="BF"/>
          <w:sz w:val="22"/>
          <w:szCs w:val="22"/>
          <w:lang w:val="en-GB"/>
        </w:rPr>
      </w:pPr>
    </w:p>
    <w:p w14:paraId="0EF44A3D" w14:textId="3BC1A688" w:rsidR="004F3C69" w:rsidRDefault="004F3C69" w:rsidP="004F3C69">
      <w:pPr>
        <w:pStyle w:val="ListParagraph"/>
        <w:numPr>
          <w:ilvl w:val="0"/>
          <w:numId w:val="15"/>
        </w:numPr>
        <w:jc w:val="both"/>
        <w:rPr>
          <w:rFonts w:ascii="Arial" w:hAnsi="Arial" w:cs="Arial"/>
          <w:color w:val="7B7B7B" w:themeColor="accent3" w:themeShade="BF"/>
          <w:sz w:val="22"/>
          <w:szCs w:val="22"/>
          <w:u w:val="single"/>
          <w:lang w:val="en-GB"/>
        </w:rPr>
      </w:pPr>
      <w:r w:rsidRPr="004F3C69">
        <w:rPr>
          <w:rFonts w:ascii="Arial" w:hAnsi="Arial" w:cs="Arial"/>
          <w:color w:val="7B7B7B" w:themeColor="accent3" w:themeShade="BF"/>
          <w:sz w:val="22"/>
          <w:szCs w:val="22"/>
          <w:u w:val="single"/>
          <w:lang w:val="en-GB"/>
        </w:rPr>
        <w:lastRenderedPageBreak/>
        <w:t>Reject patents licensed to Plastic Corp</w:t>
      </w:r>
    </w:p>
    <w:p w14:paraId="0F1E91A4" w14:textId="22C5F913" w:rsidR="004F3C69" w:rsidRDefault="004F3C69" w:rsidP="004F3C69">
      <w:pPr>
        <w:pStyle w:val="ListParagraph"/>
        <w:ind w:left="1080"/>
        <w:jc w:val="both"/>
        <w:rPr>
          <w:rFonts w:ascii="Arial" w:hAnsi="Arial" w:cs="Arial"/>
          <w:color w:val="7B7B7B" w:themeColor="accent3" w:themeShade="BF"/>
          <w:sz w:val="22"/>
          <w:szCs w:val="22"/>
          <w:u w:val="single"/>
          <w:lang w:val="en-GB"/>
        </w:rPr>
      </w:pPr>
    </w:p>
    <w:p w14:paraId="1FF12618" w14:textId="7C2845B7" w:rsidR="004F3C69" w:rsidRPr="004F3C69" w:rsidRDefault="004F3C69" w:rsidP="004F3C69">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Licensees of patents licensed by the debtor retain their rights under the licences/contract and the licenses/contract cannot be terminated in relation to sale of the intellectual property without the licensees’ consent.</w:t>
      </w:r>
      <w:r>
        <w:rPr>
          <w:rStyle w:val="FootnoteReference"/>
          <w:rFonts w:ascii="Arial" w:hAnsi="Arial" w:cs="Arial"/>
          <w:color w:val="7B7B7B" w:themeColor="accent3" w:themeShade="BF"/>
          <w:sz w:val="22"/>
          <w:szCs w:val="22"/>
          <w:lang w:val="en-GB"/>
        </w:rPr>
        <w:footnoteReference w:id="16"/>
      </w:r>
    </w:p>
    <w:p w14:paraId="54140138" w14:textId="30077717" w:rsidR="002F40E1" w:rsidRDefault="002F40E1" w:rsidP="002F40E1">
      <w:pPr>
        <w:ind w:left="1080"/>
        <w:jc w:val="both"/>
        <w:rPr>
          <w:rFonts w:ascii="Arial" w:hAnsi="Arial" w:cs="Arial"/>
          <w:color w:val="7B7B7B" w:themeColor="accent3" w:themeShade="BF"/>
          <w:sz w:val="22"/>
          <w:szCs w:val="22"/>
          <w:lang w:val="en-GB"/>
        </w:rPr>
      </w:pPr>
    </w:p>
    <w:p w14:paraId="29707FB4" w14:textId="4E5B25F6" w:rsidR="00F64190" w:rsidRDefault="00F64190" w:rsidP="002F40E1">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the patents belonging to Oil Corp and licenses to Plastic Corp cannot be rejected and terminated without Plastic Corp’s consent.</w:t>
      </w:r>
    </w:p>
    <w:p w14:paraId="19CC1DDE" w14:textId="46A29CC6" w:rsidR="00F64190" w:rsidRDefault="00F64190" w:rsidP="00F64190">
      <w:pPr>
        <w:jc w:val="both"/>
        <w:rPr>
          <w:rFonts w:ascii="Arial" w:hAnsi="Arial" w:cs="Arial"/>
          <w:color w:val="7B7B7B" w:themeColor="accent3" w:themeShade="BF"/>
          <w:sz w:val="22"/>
          <w:szCs w:val="22"/>
          <w:lang w:val="en-GB"/>
        </w:rPr>
      </w:pPr>
    </w:p>
    <w:p w14:paraId="67652A93" w14:textId="41E054F0" w:rsidR="00F64190" w:rsidRPr="00F64190" w:rsidRDefault="00F64190" w:rsidP="00F64190">
      <w:pPr>
        <w:pStyle w:val="ListParagraph"/>
        <w:numPr>
          <w:ilvl w:val="0"/>
          <w:numId w:val="15"/>
        </w:numPr>
        <w:jc w:val="both"/>
        <w:rPr>
          <w:rFonts w:ascii="Arial" w:hAnsi="Arial" w:cs="Arial"/>
          <w:color w:val="7B7B7B" w:themeColor="accent3" w:themeShade="BF"/>
          <w:sz w:val="22"/>
          <w:szCs w:val="22"/>
          <w:u w:val="single"/>
          <w:lang w:val="en-GB"/>
        </w:rPr>
      </w:pPr>
      <w:r w:rsidRPr="00F64190">
        <w:rPr>
          <w:rFonts w:ascii="Arial" w:hAnsi="Arial" w:cs="Arial"/>
          <w:color w:val="7B7B7B" w:themeColor="accent3" w:themeShade="BF"/>
          <w:sz w:val="22"/>
          <w:szCs w:val="22"/>
          <w:u w:val="single"/>
          <w:lang w:val="en-GB"/>
        </w:rPr>
        <w:t>Sale of manufacturing facility free of USA Bank lien</w:t>
      </w:r>
    </w:p>
    <w:p w14:paraId="562743A4" w14:textId="3B5ADD38" w:rsidR="00F64190" w:rsidRDefault="00F64190" w:rsidP="00F64190">
      <w:pPr>
        <w:pStyle w:val="ListParagraph"/>
        <w:ind w:left="1080"/>
        <w:jc w:val="both"/>
        <w:rPr>
          <w:rFonts w:ascii="Arial" w:hAnsi="Arial" w:cs="Arial"/>
          <w:color w:val="7B7B7B" w:themeColor="accent3" w:themeShade="BF"/>
          <w:sz w:val="22"/>
          <w:szCs w:val="22"/>
          <w:lang w:val="en-GB"/>
        </w:rPr>
      </w:pPr>
    </w:p>
    <w:p w14:paraId="7BFD0A05" w14:textId="77777777" w:rsidR="00AB30B3" w:rsidRDefault="00BB2F31" w:rsidP="00BB2F31">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in possession under chapter 11 proceedings may sell estate property in “the ordinary course of business” without court or creditor interference. Ordinary course of business is not defined</w:t>
      </w:r>
      <w:r w:rsidR="00AB30B3">
        <w:rPr>
          <w:rFonts w:ascii="Arial" w:hAnsi="Arial" w:cs="Arial"/>
          <w:color w:val="7B7B7B" w:themeColor="accent3" w:themeShade="BF"/>
          <w:sz w:val="22"/>
          <w:szCs w:val="22"/>
          <w:lang w:val="en-GB"/>
        </w:rPr>
        <w:t xml:space="preserve"> by statute</w:t>
      </w:r>
      <w:r>
        <w:rPr>
          <w:rFonts w:ascii="Arial" w:hAnsi="Arial" w:cs="Arial"/>
          <w:color w:val="7B7B7B" w:themeColor="accent3" w:themeShade="BF"/>
          <w:sz w:val="22"/>
          <w:szCs w:val="22"/>
          <w:lang w:val="en-GB"/>
        </w:rPr>
        <w:t xml:space="preserve"> </w:t>
      </w:r>
      <w:r w:rsidR="00AB30B3">
        <w:rPr>
          <w:rFonts w:ascii="Arial" w:hAnsi="Arial" w:cs="Arial"/>
          <w:color w:val="7B7B7B" w:themeColor="accent3" w:themeShade="BF"/>
          <w:sz w:val="22"/>
          <w:szCs w:val="22"/>
          <w:lang w:val="en-GB"/>
        </w:rPr>
        <w:t xml:space="preserve">and will depends on a two-prong test of “vertical dimension” (i.e. hypothetical creditor’s expectations) and “horizontal dimension” (i.e. comparable business), </w:t>
      </w:r>
      <w:r>
        <w:rPr>
          <w:rFonts w:ascii="Arial" w:hAnsi="Arial" w:cs="Arial"/>
          <w:color w:val="7B7B7B" w:themeColor="accent3" w:themeShade="BF"/>
          <w:sz w:val="22"/>
          <w:szCs w:val="22"/>
          <w:lang w:val="en-GB"/>
        </w:rPr>
        <w:t xml:space="preserve">but will include small, routine </w:t>
      </w:r>
      <w:r w:rsidR="00AB30B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ales of the debtor’s inventory.</w:t>
      </w:r>
      <w:r>
        <w:rPr>
          <w:rStyle w:val="FootnoteReference"/>
          <w:rFonts w:ascii="Arial" w:hAnsi="Arial" w:cs="Arial"/>
          <w:color w:val="7B7B7B" w:themeColor="accent3" w:themeShade="BF"/>
          <w:sz w:val="22"/>
          <w:szCs w:val="22"/>
          <w:lang w:val="en-GB"/>
        </w:rPr>
        <w:footnoteReference w:id="17"/>
      </w:r>
      <w:r w:rsidR="00AB30B3">
        <w:rPr>
          <w:rFonts w:ascii="Arial" w:hAnsi="Arial" w:cs="Arial"/>
          <w:color w:val="7B7B7B" w:themeColor="accent3" w:themeShade="BF"/>
          <w:sz w:val="22"/>
          <w:szCs w:val="22"/>
          <w:lang w:val="en-GB"/>
        </w:rPr>
        <w:t xml:space="preserve"> Here, the sale of the manufacturing facility is not a routine sale and may be disputed as a transaction in the ordinary course of business.</w:t>
      </w:r>
    </w:p>
    <w:p w14:paraId="1AE2DCD3" w14:textId="77777777" w:rsidR="00AB30B3" w:rsidRDefault="00AB30B3" w:rsidP="00BB2F31">
      <w:pPr>
        <w:ind w:left="1080"/>
        <w:jc w:val="both"/>
        <w:rPr>
          <w:rFonts w:ascii="Arial" w:hAnsi="Arial" w:cs="Arial"/>
          <w:color w:val="7B7B7B" w:themeColor="accent3" w:themeShade="BF"/>
          <w:sz w:val="22"/>
          <w:szCs w:val="22"/>
          <w:lang w:val="en-GB"/>
        </w:rPr>
      </w:pPr>
    </w:p>
    <w:p w14:paraId="737EE557" w14:textId="77777777" w:rsidR="00987068" w:rsidRDefault="00AB30B3" w:rsidP="00AB30B3">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the debtor in possession </w:t>
      </w:r>
      <w:r w:rsidR="00987068">
        <w:rPr>
          <w:rFonts w:ascii="Arial" w:hAnsi="Arial" w:cs="Arial"/>
          <w:color w:val="7B7B7B" w:themeColor="accent3" w:themeShade="BF"/>
          <w:sz w:val="22"/>
          <w:szCs w:val="22"/>
          <w:lang w:val="en-GB"/>
        </w:rPr>
        <w:t>would be better off opting for</w:t>
      </w:r>
      <w:r>
        <w:rPr>
          <w:rFonts w:ascii="Arial" w:hAnsi="Arial" w:cs="Arial"/>
          <w:color w:val="7B7B7B" w:themeColor="accent3" w:themeShade="BF"/>
          <w:sz w:val="22"/>
          <w:szCs w:val="22"/>
          <w:lang w:val="en-GB"/>
        </w:rPr>
        <w:t xml:space="preserve"> </w:t>
      </w:r>
      <w:r w:rsidR="00987068">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363 sale to</w:t>
      </w:r>
      <w:r w:rsidR="00BB2F31">
        <w:rPr>
          <w:rFonts w:ascii="Arial" w:hAnsi="Arial" w:cs="Arial"/>
          <w:color w:val="7B7B7B" w:themeColor="accent3" w:themeShade="BF"/>
          <w:sz w:val="22"/>
          <w:szCs w:val="22"/>
          <w:lang w:val="en-GB"/>
        </w:rPr>
        <w:t xml:space="preserve"> sell property free and clear of creditor interests without court approval</w:t>
      </w:r>
      <w:r w:rsidR="00987068">
        <w:rPr>
          <w:rFonts w:ascii="Arial" w:hAnsi="Arial" w:cs="Arial"/>
          <w:color w:val="7B7B7B" w:themeColor="accent3" w:themeShade="BF"/>
          <w:sz w:val="22"/>
          <w:szCs w:val="22"/>
          <w:lang w:val="en-GB"/>
        </w:rPr>
        <w:t>, if among others, the creditor consents or where the creditor interest is disputed or where value of the property to be sold is greater than the aggregate value of the liens on the property</w:t>
      </w:r>
      <w:r w:rsidR="00BB2F31">
        <w:rPr>
          <w:rFonts w:ascii="Arial" w:hAnsi="Arial" w:cs="Arial"/>
          <w:color w:val="7B7B7B" w:themeColor="accent3" w:themeShade="BF"/>
          <w:sz w:val="22"/>
          <w:szCs w:val="22"/>
          <w:lang w:val="en-GB"/>
        </w:rPr>
        <w:t>.</w:t>
      </w:r>
      <w:r w:rsidR="00BB2F31">
        <w:rPr>
          <w:rStyle w:val="FootnoteReference"/>
          <w:rFonts w:ascii="Arial" w:hAnsi="Arial" w:cs="Arial"/>
          <w:color w:val="7B7B7B" w:themeColor="accent3" w:themeShade="BF"/>
          <w:sz w:val="22"/>
          <w:szCs w:val="22"/>
          <w:lang w:val="en-GB"/>
        </w:rPr>
        <w:footnoteReference w:id="18"/>
      </w:r>
      <w:r w:rsidR="00BB2F31">
        <w:rPr>
          <w:rFonts w:ascii="Arial" w:hAnsi="Arial" w:cs="Arial"/>
          <w:color w:val="7B7B7B" w:themeColor="accent3" w:themeShade="BF"/>
          <w:sz w:val="22"/>
          <w:szCs w:val="22"/>
          <w:lang w:val="en-GB"/>
        </w:rPr>
        <w:t xml:space="preserve"> </w:t>
      </w:r>
    </w:p>
    <w:p w14:paraId="09482D59" w14:textId="77777777" w:rsidR="00987068" w:rsidRDefault="00987068" w:rsidP="00AB30B3">
      <w:pPr>
        <w:ind w:left="1080"/>
        <w:jc w:val="both"/>
        <w:rPr>
          <w:rFonts w:ascii="Arial" w:hAnsi="Arial" w:cs="Arial"/>
          <w:color w:val="7B7B7B" w:themeColor="accent3" w:themeShade="BF"/>
          <w:sz w:val="22"/>
          <w:szCs w:val="22"/>
          <w:lang w:val="en-GB"/>
        </w:rPr>
      </w:pPr>
    </w:p>
    <w:p w14:paraId="01346BB1" w14:textId="1DFDC42E" w:rsidR="00BB2F31" w:rsidRDefault="00987068" w:rsidP="00AB30B3">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Oil Corp can sell the manufacturing facility under a 363 sale without USA Bank’s lien if the sale value exceeds the USA Bank’s lien in the facility (i.e. USA Bank is </w:t>
      </w:r>
      <w:proofErr w:type="spellStart"/>
      <w:r>
        <w:rPr>
          <w:rFonts w:ascii="Arial" w:hAnsi="Arial" w:cs="Arial"/>
          <w:color w:val="7B7B7B" w:themeColor="accent3" w:themeShade="BF"/>
          <w:sz w:val="22"/>
          <w:szCs w:val="22"/>
          <w:lang w:val="en-GB"/>
        </w:rPr>
        <w:t>oversecured</w:t>
      </w:r>
      <w:proofErr w:type="spellEnd"/>
      <w:r>
        <w:rPr>
          <w:rFonts w:ascii="Arial" w:hAnsi="Arial" w:cs="Arial"/>
          <w:color w:val="7B7B7B" w:themeColor="accent3" w:themeShade="BF"/>
          <w:sz w:val="22"/>
          <w:szCs w:val="22"/>
          <w:lang w:val="en-GB"/>
        </w:rPr>
        <w:t>). Alternatively, Oil Corp can offer to provide adequate protection to Bank USA</w:t>
      </w:r>
      <w:r w:rsidR="00E300AE">
        <w:rPr>
          <w:rFonts w:ascii="Arial" w:hAnsi="Arial" w:cs="Arial"/>
          <w:color w:val="7B7B7B" w:themeColor="accent3" w:themeShade="BF"/>
          <w:sz w:val="22"/>
          <w:szCs w:val="22"/>
          <w:lang w:val="en-GB"/>
        </w:rPr>
        <w:t xml:space="preserve"> (e.g. by cash payments) so as to lower the value of the lien to below the sale value of the manufacturing facility.</w:t>
      </w:r>
    </w:p>
    <w:p w14:paraId="2B5BCF56" w14:textId="7C2DD9AD" w:rsidR="00E300AE" w:rsidRDefault="00E300AE" w:rsidP="00AB30B3">
      <w:pPr>
        <w:ind w:left="1080"/>
        <w:jc w:val="both"/>
        <w:rPr>
          <w:rFonts w:ascii="Arial" w:hAnsi="Arial" w:cs="Arial"/>
          <w:color w:val="7B7B7B" w:themeColor="accent3" w:themeShade="BF"/>
          <w:sz w:val="22"/>
          <w:szCs w:val="22"/>
          <w:lang w:val="en-GB"/>
        </w:rPr>
      </w:pPr>
    </w:p>
    <w:p w14:paraId="0604ADF9" w14:textId="1A0EB574" w:rsidR="00E300AE" w:rsidRDefault="00E300AE" w:rsidP="00AB30B3">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Otherwise, if the other conditions are not met, USA Bank’s consent is required for the sale of the manufacturing facility to be free of USA Bank’s lien. </w:t>
      </w:r>
    </w:p>
    <w:p w14:paraId="4153EE12" w14:textId="4BE0F497" w:rsidR="00E300AE" w:rsidRDefault="00E300AE" w:rsidP="00AB30B3">
      <w:pPr>
        <w:ind w:left="1080"/>
        <w:jc w:val="both"/>
        <w:rPr>
          <w:rFonts w:ascii="Arial" w:hAnsi="Arial" w:cs="Arial"/>
          <w:color w:val="7B7B7B" w:themeColor="accent3" w:themeShade="BF"/>
          <w:sz w:val="22"/>
          <w:szCs w:val="22"/>
          <w:lang w:val="en-GB"/>
        </w:rPr>
      </w:pPr>
    </w:p>
    <w:p w14:paraId="10142CB6" w14:textId="2FED3634" w:rsidR="00E300AE" w:rsidRDefault="00E300AE" w:rsidP="00AB30B3">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363 sale, USA Bank’s interest in respect of the lien will then attach to the proceeds from the sale of the manufacturing facility and USA Bank will have priority in distribution of such sale proceeds.</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5D75" w14:textId="77777777" w:rsidR="009F3195" w:rsidRDefault="009F3195" w:rsidP="00241B44">
      <w:r>
        <w:separator/>
      </w:r>
    </w:p>
  </w:endnote>
  <w:endnote w:type="continuationSeparator" w:id="0">
    <w:p w14:paraId="6A8A4023" w14:textId="77777777" w:rsidR="009F3195" w:rsidRDefault="009F31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B30B3" w:rsidRPr="00FC7B47" w:rsidRDefault="00AB30B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5F33E234" w:rsidR="00AB30B3" w:rsidRDefault="00AB30B3"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AB30B3" w:rsidRPr="009B4976" w:rsidRDefault="00AB30B3" w:rsidP="00AB30B3">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614C701" w:rsidR="00AB30B3" w:rsidRDefault="004A2768" w:rsidP="009B4976">
    <w:pPr>
      <w:pStyle w:val="Footer"/>
      <w:ind w:right="360"/>
      <w:rPr>
        <w:rFonts w:ascii="Arial" w:hAnsi="Arial" w:cs="Arial"/>
        <w:sz w:val="18"/>
        <w:szCs w:val="18"/>
        <w:lang w:val="en-GB"/>
      </w:rPr>
    </w:pPr>
    <w:r>
      <w:rPr>
        <w:rFonts w:ascii="Arial" w:hAnsi="Arial" w:cs="Arial"/>
        <w:sz w:val="18"/>
        <w:szCs w:val="18"/>
        <w:lang w:val="en-GB"/>
      </w:rPr>
      <w:t>202122-527</w:t>
    </w:r>
    <w:r w:rsidR="00AB30B3" w:rsidRPr="009B4976">
      <w:rPr>
        <w:rFonts w:ascii="Arial" w:hAnsi="Arial" w:cs="Arial"/>
        <w:sz w:val="18"/>
        <w:szCs w:val="18"/>
        <w:lang w:val="en-GB"/>
      </w:rPr>
      <w:t>.assessment</w:t>
    </w:r>
    <w:r w:rsidR="00AB30B3">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999D" w14:textId="33DFF61F" w:rsidR="00AB30B3" w:rsidRPr="00034F56" w:rsidRDefault="00AB30B3" w:rsidP="0003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399B" w14:textId="77777777" w:rsidR="009F3195" w:rsidRDefault="009F3195" w:rsidP="00241B44">
      <w:r>
        <w:separator/>
      </w:r>
    </w:p>
  </w:footnote>
  <w:footnote w:type="continuationSeparator" w:id="0">
    <w:p w14:paraId="6323473D" w14:textId="77777777" w:rsidR="009F3195" w:rsidRDefault="009F3195" w:rsidP="00241B44">
      <w:r>
        <w:continuationSeparator/>
      </w:r>
    </w:p>
  </w:footnote>
  <w:footnote w:id="1">
    <w:p w14:paraId="48163500" w14:textId="77777777" w:rsidR="00AB30B3" w:rsidRPr="004C6384" w:rsidRDefault="00AB30B3" w:rsidP="004C6384">
      <w:pPr>
        <w:pStyle w:val="NoSpacing"/>
      </w:pPr>
      <w:r w:rsidRPr="004C6384">
        <w:rPr>
          <w:rStyle w:val="FootnoteReference"/>
          <w:rFonts w:cstheme="minorHAnsi"/>
          <w:szCs w:val="20"/>
        </w:rPr>
        <w:footnoteRef/>
      </w:r>
      <w:r w:rsidRPr="004C6384">
        <w:t xml:space="preserve"> 11 U.S. Code § 1124</w:t>
      </w:r>
    </w:p>
    <w:p w14:paraId="02277767" w14:textId="246EC206" w:rsidR="00AB30B3" w:rsidRPr="004C6384" w:rsidRDefault="00AB30B3">
      <w:pPr>
        <w:pStyle w:val="FootnoteText"/>
        <w:rPr>
          <w:lang w:val="en-MY"/>
        </w:rPr>
      </w:pPr>
    </w:p>
  </w:footnote>
  <w:footnote w:id="2">
    <w:p w14:paraId="4DCE0579" w14:textId="53282B78" w:rsidR="00AB30B3" w:rsidRPr="00893907" w:rsidRDefault="00AB30B3">
      <w:pPr>
        <w:pStyle w:val="FootnoteText"/>
        <w:rPr>
          <w:lang w:val="en-MY"/>
        </w:rPr>
      </w:pPr>
      <w:r>
        <w:rPr>
          <w:rStyle w:val="FootnoteReference"/>
        </w:rPr>
        <w:footnoteRef/>
      </w:r>
      <w:r>
        <w:t xml:space="preserve"> </w:t>
      </w:r>
      <w:r w:rsidRPr="004C6384">
        <w:t>11 U.S. Code § 11</w:t>
      </w:r>
      <w:r>
        <w:t>41(a)</w:t>
      </w:r>
    </w:p>
  </w:footnote>
  <w:footnote w:id="3">
    <w:p w14:paraId="0336C71B" w14:textId="2CCEA89C" w:rsidR="00AB30B3" w:rsidRPr="00F60862" w:rsidRDefault="00AB30B3">
      <w:pPr>
        <w:pStyle w:val="FootnoteText"/>
        <w:rPr>
          <w:lang w:val="en-MY"/>
        </w:rPr>
      </w:pPr>
      <w:r>
        <w:rPr>
          <w:rStyle w:val="FootnoteReference"/>
        </w:rPr>
        <w:footnoteRef/>
      </w:r>
      <w:r>
        <w:t xml:space="preserve"> </w:t>
      </w:r>
      <w:r>
        <w:rPr>
          <w:lang w:val="en-MY"/>
        </w:rPr>
        <w:t>Module 3A Guidance Text, pages 17-18</w:t>
      </w:r>
    </w:p>
  </w:footnote>
  <w:footnote w:id="4">
    <w:p w14:paraId="76EA378D" w14:textId="04C9FCAE" w:rsidR="00AB30B3" w:rsidRPr="000C26A5" w:rsidRDefault="00AB30B3">
      <w:pPr>
        <w:pStyle w:val="FootnoteText"/>
        <w:rPr>
          <w:lang w:val="en-MY"/>
        </w:rPr>
      </w:pPr>
      <w:r>
        <w:rPr>
          <w:rStyle w:val="FootnoteReference"/>
        </w:rPr>
        <w:footnoteRef/>
      </w:r>
      <w:r>
        <w:t xml:space="preserve"> </w:t>
      </w:r>
      <w:hyperlink r:id="rId1" w:history="1">
        <w:r w:rsidRPr="005A0275">
          <w:rPr>
            <w:rStyle w:val="Hyperlink"/>
          </w:rPr>
          <w:t>https://www.justice.gov/jm/civil-resource-manual-96-who-what-when-where-why-and-how-appeals-bankruptcy-proceedings</w:t>
        </w:r>
      </w:hyperlink>
      <w:r>
        <w:t xml:space="preserve"> </w:t>
      </w:r>
    </w:p>
  </w:footnote>
  <w:footnote w:id="5">
    <w:p w14:paraId="506BEC76" w14:textId="0FB259F4" w:rsidR="00AB30B3" w:rsidRPr="000C26A5" w:rsidRDefault="00AB30B3">
      <w:pPr>
        <w:pStyle w:val="FootnoteText"/>
        <w:rPr>
          <w:lang w:val="en-MY"/>
        </w:rPr>
      </w:pPr>
      <w:r>
        <w:rPr>
          <w:rStyle w:val="FootnoteReference"/>
        </w:rPr>
        <w:footnoteRef/>
      </w:r>
      <w:r>
        <w:t xml:space="preserve"> </w:t>
      </w:r>
      <w:r w:rsidRPr="000C26A5">
        <w:rPr>
          <w:i/>
          <w:lang w:val="en-MY"/>
        </w:rPr>
        <w:t>In re Urban Broadcasting Corp</w:t>
      </w:r>
      <w:r>
        <w:rPr>
          <w:lang w:val="en-MY"/>
        </w:rPr>
        <w:t xml:space="preserve">., 304 B.R.263, 269 n. 13 (E.D. Va.2004). </w:t>
      </w:r>
    </w:p>
  </w:footnote>
  <w:footnote w:id="6">
    <w:p w14:paraId="1B61E08C" w14:textId="62348B92" w:rsidR="00AB30B3" w:rsidRPr="00327CB2" w:rsidRDefault="00AB30B3">
      <w:pPr>
        <w:pStyle w:val="FootnoteText"/>
        <w:rPr>
          <w:lang w:val="en-MY"/>
        </w:rPr>
      </w:pPr>
      <w:r>
        <w:rPr>
          <w:rStyle w:val="FootnoteReference"/>
        </w:rPr>
        <w:footnoteRef/>
      </w:r>
      <w:r>
        <w:t xml:space="preserve"> </w:t>
      </w:r>
      <w:r>
        <w:rPr>
          <w:lang w:val="en-MY"/>
        </w:rPr>
        <w:t>Module 3A Guidance Text, page 20.</w:t>
      </w:r>
    </w:p>
  </w:footnote>
  <w:footnote w:id="7">
    <w:p w14:paraId="37A23A1D" w14:textId="2E0BB249" w:rsidR="00AB30B3" w:rsidRPr="007044F7" w:rsidRDefault="00AB30B3">
      <w:pPr>
        <w:pStyle w:val="FootnoteText"/>
        <w:rPr>
          <w:lang w:val="en-MY"/>
        </w:rPr>
      </w:pPr>
      <w:r>
        <w:rPr>
          <w:rStyle w:val="FootnoteReference"/>
        </w:rPr>
        <w:footnoteRef/>
      </w:r>
      <w:r>
        <w:t xml:space="preserve"> </w:t>
      </w:r>
      <w:hyperlink r:id="rId2" w:history="1">
        <w:r w:rsidRPr="00B44BEA">
          <w:rPr>
            <w:rStyle w:val="Hyperlink"/>
          </w:rPr>
          <w:t>https://corplaw.delaware.gov/delaware-way-business-judgment/</w:t>
        </w:r>
      </w:hyperlink>
      <w:r>
        <w:t xml:space="preserve"> </w:t>
      </w:r>
    </w:p>
  </w:footnote>
  <w:footnote w:id="8">
    <w:p w14:paraId="19454C13" w14:textId="6E330AAE" w:rsidR="00AB30B3" w:rsidRPr="008A361D" w:rsidRDefault="00AB30B3">
      <w:pPr>
        <w:pStyle w:val="FootnoteText"/>
        <w:rPr>
          <w:lang w:val="en-MY"/>
        </w:rPr>
      </w:pPr>
      <w:r>
        <w:rPr>
          <w:rStyle w:val="FootnoteReference"/>
        </w:rPr>
        <w:footnoteRef/>
      </w:r>
      <w:r>
        <w:t xml:space="preserve"> </w:t>
      </w:r>
      <w:r w:rsidRPr="008A361D">
        <w:rPr>
          <w:i/>
          <w:lang w:val="en-MY"/>
        </w:rPr>
        <w:t>North Am Catholic Educational Programming Foundation, Inc v Gheewalla</w:t>
      </w:r>
      <w:r>
        <w:rPr>
          <w:lang w:val="en-MY"/>
        </w:rPr>
        <w:t>, 930 A.2d 92, 103 (Del 2007)</w:t>
      </w:r>
    </w:p>
  </w:footnote>
  <w:footnote w:id="9">
    <w:p w14:paraId="3B55EB87" w14:textId="6FD969D1" w:rsidR="00AB30B3" w:rsidRPr="0074393C" w:rsidRDefault="00AB30B3">
      <w:pPr>
        <w:pStyle w:val="FootnoteText"/>
        <w:rPr>
          <w:lang w:val="en-GB"/>
        </w:rPr>
      </w:pPr>
      <w:r>
        <w:rPr>
          <w:rStyle w:val="FootnoteReference"/>
        </w:rPr>
        <w:footnoteRef/>
      </w:r>
      <w:r>
        <w:t xml:space="preserve"> </w:t>
      </w:r>
      <w:r w:rsidRPr="004C6384">
        <w:t xml:space="preserve">11 U.S. Code § </w:t>
      </w:r>
      <w:r>
        <w:t>101(23)</w:t>
      </w:r>
    </w:p>
  </w:footnote>
  <w:footnote w:id="10">
    <w:p w14:paraId="55479867" w14:textId="78FC1A64" w:rsidR="00AB30B3" w:rsidRPr="003B553D" w:rsidRDefault="00AB30B3">
      <w:pPr>
        <w:pStyle w:val="FootnoteText"/>
        <w:rPr>
          <w:lang w:val="en-GB"/>
        </w:rPr>
      </w:pPr>
      <w:r>
        <w:rPr>
          <w:rStyle w:val="FootnoteReference"/>
        </w:rPr>
        <w:footnoteRef/>
      </w:r>
      <w:r>
        <w:t xml:space="preserve"> </w:t>
      </w:r>
      <w:r w:rsidRPr="004C6384">
        <w:t xml:space="preserve">11 U.S. Code § </w:t>
      </w:r>
      <w:r>
        <w:t>1516(c)</w:t>
      </w:r>
    </w:p>
  </w:footnote>
  <w:footnote w:id="11">
    <w:p w14:paraId="6786CBE4" w14:textId="63A3CDDE" w:rsidR="00AB30B3" w:rsidRPr="00E36516" w:rsidRDefault="00AB30B3">
      <w:pPr>
        <w:pStyle w:val="FootnoteText"/>
        <w:rPr>
          <w:lang w:val="en-GB"/>
        </w:rPr>
      </w:pPr>
      <w:r>
        <w:rPr>
          <w:rStyle w:val="FootnoteReference"/>
        </w:rPr>
        <w:footnoteRef/>
      </w:r>
      <w:r>
        <w:t xml:space="preserve"> </w:t>
      </w:r>
      <w:r w:rsidRPr="004C6384">
        <w:t xml:space="preserve">11 U.S. Code § </w:t>
      </w:r>
      <w:r>
        <w:t>1502(2)</w:t>
      </w:r>
    </w:p>
  </w:footnote>
  <w:footnote w:id="12">
    <w:p w14:paraId="603A8188" w14:textId="4ACEF742" w:rsidR="00AB30B3" w:rsidRPr="001A1396" w:rsidRDefault="00AB30B3">
      <w:pPr>
        <w:pStyle w:val="FootnoteText"/>
        <w:rPr>
          <w:lang w:val="en-GB"/>
        </w:rPr>
      </w:pPr>
      <w:r>
        <w:rPr>
          <w:rStyle w:val="FootnoteReference"/>
        </w:rPr>
        <w:footnoteRef/>
      </w:r>
      <w:r>
        <w:t xml:space="preserve"> </w:t>
      </w:r>
      <w:r w:rsidRPr="004C6384">
        <w:t xml:space="preserve">11 U.S. Code § </w:t>
      </w:r>
      <w:r>
        <w:t>362(a)(1)</w:t>
      </w:r>
    </w:p>
  </w:footnote>
  <w:footnote w:id="13">
    <w:p w14:paraId="24D1BCCB" w14:textId="2F74262E" w:rsidR="00AB30B3" w:rsidRPr="00956553" w:rsidRDefault="00AB30B3">
      <w:pPr>
        <w:pStyle w:val="FootnoteText"/>
        <w:rPr>
          <w:lang w:val="en-GB"/>
        </w:rPr>
      </w:pPr>
      <w:r>
        <w:rPr>
          <w:rStyle w:val="FootnoteReference"/>
        </w:rPr>
        <w:footnoteRef/>
      </w:r>
      <w:r>
        <w:t xml:space="preserve"> </w:t>
      </w:r>
      <w:r w:rsidRPr="004C6384">
        <w:t xml:space="preserve">11 U.S. Code § </w:t>
      </w:r>
      <w:r>
        <w:t>365(d)(4)</w:t>
      </w:r>
    </w:p>
  </w:footnote>
  <w:footnote w:id="14">
    <w:p w14:paraId="2EFEBFE0" w14:textId="267FFAB9" w:rsidR="00AB30B3" w:rsidRPr="002F40E1" w:rsidRDefault="00AB30B3">
      <w:pPr>
        <w:pStyle w:val="FootnoteText"/>
        <w:rPr>
          <w:lang w:val="en-MY"/>
        </w:rPr>
      </w:pPr>
      <w:r>
        <w:rPr>
          <w:rStyle w:val="FootnoteReference"/>
        </w:rPr>
        <w:footnoteRef/>
      </w:r>
      <w:r>
        <w:t xml:space="preserve"> </w:t>
      </w:r>
      <w:r w:rsidRPr="004C6384">
        <w:t xml:space="preserve">11 U.S. Code § </w:t>
      </w:r>
      <w:r>
        <w:t>365(c)</w:t>
      </w:r>
    </w:p>
  </w:footnote>
  <w:footnote w:id="15">
    <w:p w14:paraId="03A3FA7F" w14:textId="50A56416" w:rsidR="00AB30B3" w:rsidRPr="004F3C69" w:rsidRDefault="00AB30B3">
      <w:pPr>
        <w:pStyle w:val="FootnoteText"/>
        <w:rPr>
          <w:lang w:val="en-MY"/>
        </w:rPr>
      </w:pPr>
      <w:r>
        <w:rPr>
          <w:rStyle w:val="FootnoteReference"/>
        </w:rPr>
        <w:footnoteRef/>
      </w:r>
      <w:r>
        <w:t xml:space="preserve"> </w:t>
      </w:r>
      <w:r>
        <w:rPr>
          <w:lang w:val="en-MY"/>
        </w:rPr>
        <w:t>526 BR 116 (Bankr D Del 2015)</w:t>
      </w:r>
    </w:p>
  </w:footnote>
  <w:footnote w:id="16">
    <w:p w14:paraId="0A9D99AC" w14:textId="5C149343" w:rsidR="00AB30B3" w:rsidRPr="004F3C69" w:rsidRDefault="00AB30B3">
      <w:pPr>
        <w:pStyle w:val="FootnoteText"/>
        <w:rPr>
          <w:lang w:val="en-MY"/>
        </w:rPr>
      </w:pPr>
      <w:r>
        <w:rPr>
          <w:rStyle w:val="FootnoteReference"/>
        </w:rPr>
        <w:footnoteRef/>
      </w:r>
      <w:r>
        <w:t xml:space="preserve"> </w:t>
      </w:r>
      <w:r w:rsidRPr="004C6384">
        <w:t xml:space="preserve">11 U.S. Code § </w:t>
      </w:r>
      <w:r>
        <w:t>365(n)</w:t>
      </w:r>
    </w:p>
  </w:footnote>
  <w:footnote w:id="17">
    <w:p w14:paraId="4E582DC7" w14:textId="7C0C94B1" w:rsidR="00AB30B3" w:rsidRPr="00BB2F31" w:rsidRDefault="00AB30B3">
      <w:pPr>
        <w:pStyle w:val="FootnoteText"/>
        <w:rPr>
          <w:lang w:val="en-MY"/>
        </w:rPr>
      </w:pPr>
      <w:r>
        <w:rPr>
          <w:rStyle w:val="FootnoteReference"/>
        </w:rPr>
        <w:footnoteRef/>
      </w:r>
      <w:r>
        <w:t xml:space="preserve"> </w:t>
      </w:r>
      <w:r>
        <w:rPr>
          <w:lang w:val="en-MY"/>
        </w:rPr>
        <w:t>Module 3A Guidance Text, page 26 - 27</w:t>
      </w:r>
    </w:p>
  </w:footnote>
  <w:footnote w:id="18">
    <w:p w14:paraId="5D79850E" w14:textId="78AAA4D5" w:rsidR="00AB30B3" w:rsidRPr="00BB2F31" w:rsidRDefault="00AB30B3">
      <w:pPr>
        <w:pStyle w:val="FootnoteText"/>
        <w:rPr>
          <w:lang w:val="en-MY"/>
        </w:rPr>
      </w:pPr>
      <w:r>
        <w:rPr>
          <w:rStyle w:val="FootnoteReference"/>
        </w:rPr>
        <w:footnoteRef/>
      </w:r>
      <w:r>
        <w:t xml:space="preserve"> </w:t>
      </w:r>
      <w:r w:rsidRPr="004C6384">
        <w:t xml:space="preserve">11 U.S. Code § </w:t>
      </w:r>
      <w:r>
        <w:t>363(f)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E510" w14:textId="77777777" w:rsidR="00034F56" w:rsidRDefault="00034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BEC" w14:textId="77777777" w:rsidR="00034F56" w:rsidRDefault="00034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FA54" w14:textId="77777777" w:rsidR="00034F56" w:rsidRDefault="000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36B1"/>
    <w:multiLevelType w:val="hybridMultilevel"/>
    <w:tmpl w:val="0460436A"/>
    <w:lvl w:ilvl="0" w:tplc="46C8B24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70026"/>
    <w:multiLevelType w:val="hybridMultilevel"/>
    <w:tmpl w:val="E58A6EC4"/>
    <w:lvl w:ilvl="0" w:tplc="0C4E5A1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7"/>
  </w:num>
  <w:num w:numId="13">
    <w:abstractNumId w:val="0"/>
  </w:num>
  <w:num w:numId="14">
    <w:abstractNumId w:val="9"/>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4F56"/>
    <w:rsid w:val="00037621"/>
    <w:rsid w:val="00037671"/>
    <w:rsid w:val="00044D46"/>
    <w:rsid w:val="00045088"/>
    <w:rsid w:val="00045904"/>
    <w:rsid w:val="000502FD"/>
    <w:rsid w:val="00065166"/>
    <w:rsid w:val="00082609"/>
    <w:rsid w:val="00083FEA"/>
    <w:rsid w:val="000851CC"/>
    <w:rsid w:val="000913C8"/>
    <w:rsid w:val="00093BE8"/>
    <w:rsid w:val="00097B45"/>
    <w:rsid w:val="000A407B"/>
    <w:rsid w:val="000A4525"/>
    <w:rsid w:val="000A636A"/>
    <w:rsid w:val="000A68ED"/>
    <w:rsid w:val="000B5FF1"/>
    <w:rsid w:val="000B609F"/>
    <w:rsid w:val="000C1C99"/>
    <w:rsid w:val="000C26A5"/>
    <w:rsid w:val="000C4C5B"/>
    <w:rsid w:val="000D55A8"/>
    <w:rsid w:val="000E4841"/>
    <w:rsid w:val="000E6D71"/>
    <w:rsid w:val="000F1677"/>
    <w:rsid w:val="000F3D6C"/>
    <w:rsid w:val="000F7FC2"/>
    <w:rsid w:val="00101707"/>
    <w:rsid w:val="00102CC9"/>
    <w:rsid w:val="0011473D"/>
    <w:rsid w:val="00115C85"/>
    <w:rsid w:val="0012085E"/>
    <w:rsid w:val="0012224B"/>
    <w:rsid w:val="00123855"/>
    <w:rsid w:val="00126A4D"/>
    <w:rsid w:val="0014171F"/>
    <w:rsid w:val="0014622C"/>
    <w:rsid w:val="00152348"/>
    <w:rsid w:val="0015456D"/>
    <w:rsid w:val="00155FA2"/>
    <w:rsid w:val="00160679"/>
    <w:rsid w:val="001616D3"/>
    <w:rsid w:val="00161F1B"/>
    <w:rsid w:val="00162829"/>
    <w:rsid w:val="00172282"/>
    <w:rsid w:val="00180548"/>
    <w:rsid w:val="00180AC4"/>
    <w:rsid w:val="00180CCE"/>
    <w:rsid w:val="0018267A"/>
    <w:rsid w:val="00182779"/>
    <w:rsid w:val="001830DF"/>
    <w:rsid w:val="0018622D"/>
    <w:rsid w:val="00193569"/>
    <w:rsid w:val="00194003"/>
    <w:rsid w:val="001966D9"/>
    <w:rsid w:val="001A1396"/>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819"/>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40E1"/>
    <w:rsid w:val="002F75A3"/>
    <w:rsid w:val="00301D2B"/>
    <w:rsid w:val="00303C2F"/>
    <w:rsid w:val="003144EF"/>
    <w:rsid w:val="00323167"/>
    <w:rsid w:val="00326292"/>
    <w:rsid w:val="00326415"/>
    <w:rsid w:val="00326D6B"/>
    <w:rsid w:val="00327CB2"/>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553D"/>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5F0D"/>
    <w:rsid w:val="00477C72"/>
    <w:rsid w:val="00491675"/>
    <w:rsid w:val="00493855"/>
    <w:rsid w:val="00495E79"/>
    <w:rsid w:val="004A2768"/>
    <w:rsid w:val="004A57DD"/>
    <w:rsid w:val="004A7B51"/>
    <w:rsid w:val="004A7D71"/>
    <w:rsid w:val="004A7EF3"/>
    <w:rsid w:val="004B11FD"/>
    <w:rsid w:val="004B23A2"/>
    <w:rsid w:val="004C1B9E"/>
    <w:rsid w:val="004C2388"/>
    <w:rsid w:val="004C6384"/>
    <w:rsid w:val="004D1A5A"/>
    <w:rsid w:val="004D2FFF"/>
    <w:rsid w:val="004D3721"/>
    <w:rsid w:val="004D64F9"/>
    <w:rsid w:val="004D74BA"/>
    <w:rsid w:val="004E3A6B"/>
    <w:rsid w:val="004E554E"/>
    <w:rsid w:val="004E5AF5"/>
    <w:rsid w:val="004E622C"/>
    <w:rsid w:val="004F3C69"/>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7D3C"/>
    <w:rsid w:val="005A0CCA"/>
    <w:rsid w:val="005A4A5C"/>
    <w:rsid w:val="005A6FF2"/>
    <w:rsid w:val="005A726D"/>
    <w:rsid w:val="005B2A9B"/>
    <w:rsid w:val="005B67AC"/>
    <w:rsid w:val="005B79F4"/>
    <w:rsid w:val="005C383D"/>
    <w:rsid w:val="005D1293"/>
    <w:rsid w:val="005D43E0"/>
    <w:rsid w:val="005D58A3"/>
    <w:rsid w:val="005D6642"/>
    <w:rsid w:val="005E1B79"/>
    <w:rsid w:val="005E6076"/>
    <w:rsid w:val="005E7008"/>
    <w:rsid w:val="005F026D"/>
    <w:rsid w:val="005F2AEA"/>
    <w:rsid w:val="005F2D0B"/>
    <w:rsid w:val="005F4B31"/>
    <w:rsid w:val="005F7776"/>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1F44"/>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18D4"/>
    <w:rsid w:val="007044F7"/>
    <w:rsid w:val="00704852"/>
    <w:rsid w:val="007074E9"/>
    <w:rsid w:val="00713DA4"/>
    <w:rsid w:val="00714BF1"/>
    <w:rsid w:val="00717C2C"/>
    <w:rsid w:val="00721383"/>
    <w:rsid w:val="0073158B"/>
    <w:rsid w:val="007333CC"/>
    <w:rsid w:val="0073399A"/>
    <w:rsid w:val="0074393C"/>
    <w:rsid w:val="007603F5"/>
    <w:rsid w:val="00764DB0"/>
    <w:rsid w:val="0076764D"/>
    <w:rsid w:val="0077498C"/>
    <w:rsid w:val="00777C53"/>
    <w:rsid w:val="007809BC"/>
    <w:rsid w:val="00781DD7"/>
    <w:rsid w:val="00784128"/>
    <w:rsid w:val="00787BCC"/>
    <w:rsid w:val="00790AF5"/>
    <w:rsid w:val="00793173"/>
    <w:rsid w:val="007A2A33"/>
    <w:rsid w:val="007B0809"/>
    <w:rsid w:val="007B24E5"/>
    <w:rsid w:val="007B5C89"/>
    <w:rsid w:val="007C1FCC"/>
    <w:rsid w:val="007C6201"/>
    <w:rsid w:val="007D0192"/>
    <w:rsid w:val="007D7C92"/>
    <w:rsid w:val="007E1154"/>
    <w:rsid w:val="007E6BA4"/>
    <w:rsid w:val="007F12AB"/>
    <w:rsid w:val="007F41F8"/>
    <w:rsid w:val="007F659B"/>
    <w:rsid w:val="00803943"/>
    <w:rsid w:val="0080454E"/>
    <w:rsid w:val="00804C32"/>
    <w:rsid w:val="00805305"/>
    <w:rsid w:val="00806302"/>
    <w:rsid w:val="00807119"/>
    <w:rsid w:val="0082483F"/>
    <w:rsid w:val="008279C0"/>
    <w:rsid w:val="00834F92"/>
    <w:rsid w:val="008723F3"/>
    <w:rsid w:val="00881DE6"/>
    <w:rsid w:val="008837A6"/>
    <w:rsid w:val="0089145D"/>
    <w:rsid w:val="00893907"/>
    <w:rsid w:val="00895EF1"/>
    <w:rsid w:val="008A361D"/>
    <w:rsid w:val="008A4DF2"/>
    <w:rsid w:val="008A6CFE"/>
    <w:rsid w:val="008A771D"/>
    <w:rsid w:val="008B5333"/>
    <w:rsid w:val="008B6223"/>
    <w:rsid w:val="008C66E0"/>
    <w:rsid w:val="008E3339"/>
    <w:rsid w:val="008F20FC"/>
    <w:rsid w:val="008F5FFE"/>
    <w:rsid w:val="00902FA7"/>
    <w:rsid w:val="00905A43"/>
    <w:rsid w:val="00912C79"/>
    <w:rsid w:val="009211C8"/>
    <w:rsid w:val="00921B8C"/>
    <w:rsid w:val="0092565E"/>
    <w:rsid w:val="0093467C"/>
    <w:rsid w:val="00942123"/>
    <w:rsid w:val="00942214"/>
    <w:rsid w:val="00951455"/>
    <w:rsid w:val="0095207B"/>
    <w:rsid w:val="00956553"/>
    <w:rsid w:val="00962045"/>
    <w:rsid w:val="00980E61"/>
    <w:rsid w:val="00987068"/>
    <w:rsid w:val="00991428"/>
    <w:rsid w:val="00992676"/>
    <w:rsid w:val="009954B2"/>
    <w:rsid w:val="00996691"/>
    <w:rsid w:val="009B0723"/>
    <w:rsid w:val="009B07AD"/>
    <w:rsid w:val="009B0883"/>
    <w:rsid w:val="009B15E2"/>
    <w:rsid w:val="009B4976"/>
    <w:rsid w:val="009C0B8E"/>
    <w:rsid w:val="009C1BC8"/>
    <w:rsid w:val="009C2442"/>
    <w:rsid w:val="009D01BD"/>
    <w:rsid w:val="009D0811"/>
    <w:rsid w:val="009D0EE1"/>
    <w:rsid w:val="009E2AEB"/>
    <w:rsid w:val="009E2E27"/>
    <w:rsid w:val="009E45DF"/>
    <w:rsid w:val="009E4DE3"/>
    <w:rsid w:val="009F275E"/>
    <w:rsid w:val="009F3195"/>
    <w:rsid w:val="00A024E7"/>
    <w:rsid w:val="00A047EE"/>
    <w:rsid w:val="00A2274A"/>
    <w:rsid w:val="00A235B7"/>
    <w:rsid w:val="00A27A7A"/>
    <w:rsid w:val="00A3165E"/>
    <w:rsid w:val="00A34ABE"/>
    <w:rsid w:val="00A407EF"/>
    <w:rsid w:val="00A45A32"/>
    <w:rsid w:val="00A46B4C"/>
    <w:rsid w:val="00A5117B"/>
    <w:rsid w:val="00A56D34"/>
    <w:rsid w:val="00A60074"/>
    <w:rsid w:val="00A6627C"/>
    <w:rsid w:val="00A71019"/>
    <w:rsid w:val="00A81029"/>
    <w:rsid w:val="00A82F21"/>
    <w:rsid w:val="00A94F58"/>
    <w:rsid w:val="00A95463"/>
    <w:rsid w:val="00A96489"/>
    <w:rsid w:val="00AA7BE3"/>
    <w:rsid w:val="00AB1B65"/>
    <w:rsid w:val="00AB2425"/>
    <w:rsid w:val="00AB30B3"/>
    <w:rsid w:val="00AB685C"/>
    <w:rsid w:val="00AB6C2D"/>
    <w:rsid w:val="00AC08F7"/>
    <w:rsid w:val="00AC3839"/>
    <w:rsid w:val="00AC7082"/>
    <w:rsid w:val="00AC70C7"/>
    <w:rsid w:val="00AD4BE8"/>
    <w:rsid w:val="00AF228E"/>
    <w:rsid w:val="00AF2CC1"/>
    <w:rsid w:val="00B016A8"/>
    <w:rsid w:val="00B10961"/>
    <w:rsid w:val="00B14819"/>
    <w:rsid w:val="00B15E2F"/>
    <w:rsid w:val="00B17AA9"/>
    <w:rsid w:val="00B24947"/>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B2F31"/>
    <w:rsid w:val="00BD4A58"/>
    <w:rsid w:val="00BD7337"/>
    <w:rsid w:val="00BE4FF3"/>
    <w:rsid w:val="00BF50F7"/>
    <w:rsid w:val="00C02F29"/>
    <w:rsid w:val="00C04143"/>
    <w:rsid w:val="00C12F03"/>
    <w:rsid w:val="00C20AFE"/>
    <w:rsid w:val="00C22A25"/>
    <w:rsid w:val="00C35671"/>
    <w:rsid w:val="00C35B77"/>
    <w:rsid w:val="00C362AA"/>
    <w:rsid w:val="00C376EB"/>
    <w:rsid w:val="00C37AE7"/>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A2CC5"/>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2B88"/>
    <w:rsid w:val="00DE5357"/>
    <w:rsid w:val="00DE587D"/>
    <w:rsid w:val="00DE6633"/>
    <w:rsid w:val="00DF158F"/>
    <w:rsid w:val="00DF75F8"/>
    <w:rsid w:val="00DF7A3A"/>
    <w:rsid w:val="00E00C00"/>
    <w:rsid w:val="00E07C5A"/>
    <w:rsid w:val="00E12EC4"/>
    <w:rsid w:val="00E15BA9"/>
    <w:rsid w:val="00E26E10"/>
    <w:rsid w:val="00E26E19"/>
    <w:rsid w:val="00E300AE"/>
    <w:rsid w:val="00E30E60"/>
    <w:rsid w:val="00E31DF3"/>
    <w:rsid w:val="00E3651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3B48"/>
    <w:rsid w:val="00F27CD8"/>
    <w:rsid w:val="00F30351"/>
    <w:rsid w:val="00F3323E"/>
    <w:rsid w:val="00F341F4"/>
    <w:rsid w:val="00F34F9D"/>
    <w:rsid w:val="00F35CCE"/>
    <w:rsid w:val="00F5524B"/>
    <w:rsid w:val="00F60538"/>
    <w:rsid w:val="00F60862"/>
    <w:rsid w:val="00F61DD2"/>
    <w:rsid w:val="00F64190"/>
    <w:rsid w:val="00F66AFF"/>
    <w:rsid w:val="00F71433"/>
    <w:rsid w:val="00F92140"/>
    <w:rsid w:val="00F9457E"/>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4C6384"/>
    <w:pPr>
      <w:spacing w:before="100" w:beforeAutospacing="1" w:after="100" w:afterAutospacing="1"/>
      <w:outlineLvl w:val="0"/>
    </w:pPr>
    <w:rPr>
      <w:rFonts w:ascii="Times New Roman" w:hAnsi="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Heading1Char">
    <w:name w:val="Heading 1 Char"/>
    <w:basedOn w:val="DefaultParagraphFont"/>
    <w:link w:val="Heading1"/>
    <w:uiPriority w:val="9"/>
    <w:rsid w:val="004C6384"/>
    <w:rPr>
      <w:rFonts w:ascii="Times New Roman" w:eastAsia="Times New Roman" w:hAnsi="Times New Roman" w:cs="Times New Roman"/>
      <w:b/>
      <w:bCs/>
      <w:kern w:val="36"/>
      <w:sz w:val="48"/>
      <w:szCs w:val="48"/>
      <w:lang w:val="en-MY" w:eastAsia="en-MY"/>
    </w:rPr>
  </w:style>
  <w:style w:type="paragraph" w:styleId="NoSpacing">
    <w:name w:val="No Spacing"/>
    <w:uiPriority w:val="1"/>
    <w:qFormat/>
    <w:rsid w:val="004C6384"/>
    <w:rPr>
      <w:rFonts w:eastAsia="Times New Roman"/>
      <w:sz w:val="20"/>
    </w:rPr>
  </w:style>
  <w:style w:type="character" w:styleId="UnresolvedMention">
    <w:name w:val="Unresolved Mention"/>
    <w:basedOn w:val="DefaultParagraphFont"/>
    <w:uiPriority w:val="99"/>
    <w:semiHidden/>
    <w:unhideWhenUsed/>
    <w:rsid w:val="000C2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192340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orplaw.delaware.gov/delaware-way-business-judgment/" TargetMode="External"/><Relationship Id="rId1" Type="http://schemas.openxmlformats.org/officeDocument/2006/relationships/hyperlink" Target="https://www.justice.gov/jm/civil-resource-manual-96-who-what-when-where-why-and-how-appeals-bankruptcy-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BC28-D1C7-4D56-A555-AF03C2EE6E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959B33-B272-475C-8F46-7C56DD1F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Kong Chia Yee</cp:lastModifiedBy>
  <cp:revision>4</cp:revision>
  <cp:lastPrinted>2019-08-27T05:42:00Z</cp:lastPrinted>
  <dcterms:created xsi:type="dcterms:W3CDTF">2022-06-03T07:55:00Z</dcterms:created>
  <dcterms:modified xsi:type="dcterms:W3CDTF">2022-07-30T07:15:00Z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b5e9566c-9ca0-4954-870d-2dc60731cf9b</vt:lpwstr>
  </property>
  <property fmtid="{D5CDD505-2E9C-101B-9397-08002B2CF9AE}" pid="3" name="bjSaver">
    <vt:lpwstr>bPYtoja+fdUaftfDsgW25U8k69Bzsisy</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