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2704F201" w:rsidR="004B23A2" w:rsidRDefault="00D57202" w:rsidP="001871E9">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3521A9F9" w:rsidR="00E850FE" w:rsidRPr="009B5832" w:rsidRDefault="00E850FE" w:rsidP="0003542B">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bookmarkStart w:id="0" w:name="_GoBack"/>
      <w:bookmarkEnd w:id="0"/>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8D7695">
      <w:pPr>
        <w:pStyle w:val="ListParagraph"/>
        <w:numPr>
          <w:ilvl w:val="0"/>
          <w:numId w:val="1"/>
        </w:numPr>
        <w:ind w:left="426"/>
        <w:jc w:val="both"/>
        <w:rPr>
          <w:rFonts w:ascii="Arial" w:hAnsi="Arial" w:cs="Arial"/>
          <w:sz w:val="22"/>
          <w:szCs w:val="22"/>
          <w:lang w:val="en-GB"/>
        </w:rPr>
      </w:pPr>
      <w:bookmarkStart w:id="1"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1"/>
    <w:p w14:paraId="4EF6F0F3" w14:textId="2BA514EA" w:rsidR="0050157D" w:rsidRPr="009B5832" w:rsidRDefault="0050157D" w:rsidP="008D7695">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8D7695">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26C0D3C7" w:rsidR="0050157D" w:rsidRPr="00E4248C" w:rsidRDefault="0050157D" w:rsidP="008D7695">
      <w:pPr>
        <w:pStyle w:val="ListParagraph"/>
        <w:numPr>
          <w:ilvl w:val="0"/>
          <w:numId w:val="1"/>
        </w:numPr>
        <w:ind w:left="426"/>
        <w:jc w:val="both"/>
        <w:rPr>
          <w:rFonts w:ascii="Arial" w:hAnsi="Arial" w:cs="Arial"/>
          <w:sz w:val="22"/>
          <w:szCs w:val="22"/>
          <w:highlight w:val="yellow"/>
          <w:lang w:val="en-GB"/>
        </w:rPr>
      </w:pPr>
      <w:bookmarkStart w:id="2" w:name="_Hlk47080379"/>
      <w:r w:rsidRPr="00E4248C">
        <w:rPr>
          <w:rFonts w:ascii="Arial" w:hAnsi="Arial" w:cs="Arial"/>
          <w:sz w:val="22"/>
          <w:szCs w:val="22"/>
          <w:highlight w:val="yellow"/>
          <w:lang w:val="en-GB"/>
        </w:rPr>
        <w:t xml:space="preserve">All of the above. </w:t>
      </w:r>
      <w:bookmarkEnd w:id="2"/>
      <w:r w:rsidRPr="00E4248C">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5A7801" w:rsidRDefault="005F21F4" w:rsidP="008D7695">
      <w:pPr>
        <w:pStyle w:val="ListParagraph"/>
        <w:numPr>
          <w:ilvl w:val="0"/>
          <w:numId w:val="2"/>
        </w:numPr>
        <w:ind w:left="426"/>
        <w:jc w:val="both"/>
        <w:rPr>
          <w:rFonts w:ascii="Arial" w:hAnsi="Arial" w:cs="Arial"/>
          <w:sz w:val="22"/>
          <w:szCs w:val="22"/>
          <w:highlight w:val="yellow"/>
          <w:lang w:val="en-GB"/>
        </w:rPr>
      </w:pPr>
      <w:r w:rsidRPr="005A7801">
        <w:rPr>
          <w:rFonts w:ascii="Arial" w:hAnsi="Arial" w:cs="Arial"/>
          <w:sz w:val="22"/>
          <w:szCs w:val="22"/>
          <w:highlight w:val="yellow"/>
          <w:lang w:val="en-GB"/>
        </w:rPr>
        <w:t>The existence of a statutory basis in national (insolvency) laws for co</w:t>
      </w:r>
      <w:r w:rsidR="00B61419" w:rsidRPr="005A7801">
        <w:rPr>
          <w:rFonts w:ascii="Arial" w:hAnsi="Arial" w:cs="Arial"/>
          <w:sz w:val="22"/>
          <w:szCs w:val="22"/>
          <w:highlight w:val="yellow"/>
          <w:lang w:val="en-GB"/>
        </w:rPr>
        <w:t>-</w:t>
      </w:r>
      <w:r w:rsidRPr="005A7801">
        <w:rPr>
          <w:rFonts w:ascii="Arial" w:hAnsi="Arial" w:cs="Arial"/>
          <w:sz w:val="22"/>
          <w:szCs w:val="22"/>
          <w:highlight w:val="yellow"/>
          <w:lang w:val="en-GB"/>
        </w:rPr>
        <w:t>operation and co</w:t>
      </w:r>
      <w:r w:rsidR="00B61419" w:rsidRPr="005A7801">
        <w:rPr>
          <w:rFonts w:ascii="Arial" w:hAnsi="Arial" w:cs="Arial"/>
          <w:sz w:val="22"/>
          <w:szCs w:val="22"/>
          <w:highlight w:val="yellow"/>
          <w:lang w:val="en-GB"/>
        </w:rPr>
        <w:t>-</w:t>
      </w:r>
      <w:r w:rsidRPr="005A7801">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8D7695">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8D7695">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8D7695">
      <w:pPr>
        <w:pStyle w:val="ListParagraph"/>
        <w:numPr>
          <w:ilvl w:val="0"/>
          <w:numId w:val="2"/>
        </w:numPr>
        <w:ind w:left="426"/>
        <w:jc w:val="both"/>
        <w:rPr>
          <w:rFonts w:ascii="Arial" w:hAnsi="Arial" w:cs="Arial"/>
          <w:sz w:val="22"/>
          <w:szCs w:val="22"/>
          <w:lang w:val="en-GB"/>
        </w:rPr>
      </w:pPr>
      <w:bookmarkStart w:id="3" w:name="_Hlk47080588"/>
      <w:r w:rsidRPr="009B5832">
        <w:rPr>
          <w:rFonts w:ascii="Arial" w:hAnsi="Arial" w:cs="Arial"/>
          <w:sz w:val="22"/>
          <w:szCs w:val="22"/>
          <w:lang w:val="en-GB"/>
        </w:rPr>
        <w:t xml:space="preserve">None of the above. </w:t>
      </w:r>
      <w:bookmarkEnd w:id="3"/>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D7695">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D7695">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A96B66" w:rsidRDefault="00853A74" w:rsidP="008D7695">
      <w:pPr>
        <w:pStyle w:val="ListParagraph"/>
        <w:numPr>
          <w:ilvl w:val="0"/>
          <w:numId w:val="3"/>
        </w:numPr>
        <w:ind w:left="426"/>
        <w:jc w:val="both"/>
        <w:rPr>
          <w:rFonts w:ascii="Arial" w:hAnsi="Arial" w:cs="Arial"/>
          <w:sz w:val="22"/>
          <w:szCs w:val="22"/>
          <w:highlight w:val="yellow"/>
          <w:lang w:val="en-GB"/>
        </w:rPr>
      </w:pPr>
      <w:r w:rsidRPr="00A96B66">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D7695">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2D2BD5" w:rsidRDefault="00E57410" w:rsidP="008D7695">
      <w:pPr>
        <w:pStyle w:val="ListParagraph"/>
        <w:numPr>
          <w:ilvl w:val="0"/>
          <w:numId w:val="4"/>
        </w:numPr>
        <w:ind w:left="426"/>
        <w:jc w:val="both"/>
        <w:rPr>
          <w:rFonts w:ascii="Arial" w:hAnsi="Arial" w:cs="Arial"/>
          <w:sz w:val="22"/>
          <w:szCs w:val="22"/>
          <w:highlight w:val="yellow"/>
          <w:lang w:val="en-GB"/>
        </w:rPr>
      </w:pPr>
      <w:r w:rsidRPr="002D2BD5">
        <w:rPr>
          <w:rFonts w:ascii="Arial" w:hAnsi="Arial" w:cs="Arial"/>
          <w:sz w:val="22"/>
          <w:szCs w:val="22"/>
          <w:highlight w:val="yellow"/>
          <w:lang w:val="en-GB"/>
        </w:rPr>
        <w:t xml:space="preserve">The </w:t>
      </w:r>
      <w:r w:rsidRPr="002D2BD5">
        <w:rPr>
          <w:rFonts w:ascii="Arial" w:hAnsi="Arial" w:cs="Arial"/>
          <w:i/>
          <w:iCs/>
          <w:sz w:val="22"/>
          <w:szCs w:val="22"/>
          <w:highlight w:val="yellow"/>
          <w:lang w:val="en-GB"/>
        </w:rPr>
        <w:t>locus standi</w:t>
      </w:r>
      <w:r w:rsidRPr="002D2BD5">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8D7695">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8D7695">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8D7695">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4" w:name="_Hlk47083487"/>
      <w:r w:rsidRPr="009B5832">
        <w:rPr>
          <w:rFonts w:ascii="Arial" w:hAnsi="Arial" w:cs="Arial"/>
          <w:sz w:val="22"/>
          <w:szCs w:val="22"/>
          <w:lang w:val="en-GB"/>
        </w:rPr>
        <w:t>without any so-called principle of reciprocity</w:t>
      </w:r>
      <w:bookmarkEnd w:id="4"/>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8D7695">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8D7695">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301D86" w:rsidRDefault="00C504E5" w:rsidP="008D7695">
      <w:pPr>
        <w:pStyle w:val="ListParagraph"/>
        <w:numPr>
          <w:ilvl w:val="0"/>
          <w:numId w:val="5"/>
        </w:numPr>
        <w:ind w:left="426"/>
        <w:jc w:val="both"/>
        <w:rPr>
          <w:rFonts w:ascii="Arial" w:hAnsi="Arial" w:cs="Arial"/>
          <w:sz w:val="22"/>
          <w:szCs w:val="22"/>
          <w:highlight w:val="yellow"/>
          <w:lang w:val="en-GB"/>
        </w:rPr>
      </w:pPr>
      <w:r w:rsidRPr="00301D8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8D7695">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8D7695">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8D7695">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8D7695">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5A023D" w:rsidRDefault="00B72F5F" w:rsidP="008D7695">
      <w:pPr>
        <w:pStyle w:val="ListParagraph"/>
        <w:numPr>
          <w:ilvl w:val="0"/>
          <w:numId w:val="6"/>
        </w:numPr>
        <w:ind w:left="426"/>
        <w:jc w:val="both"/>
        <w:rPr>
          <w:rFonts w:ascii="Arial" w:hAnsi="Arial" w:cs="Arial"/>
          <w:sz w:val="22"/>
          <w:szCs w:val="22"/>
          <w:highlight w:val="yellow"/>
          <w:lang w:val="en-GB"/>
        </w:rPr>
      </w:pPr>
      <w:r w:rsidRPr="005A023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A023D">
        <w:rPr>
          <w:rFonts w:ascii="Arial" w:hAnsi="Arial" w:cs="Arial"/>
          <w:sz w:val="22"/>
          <w:szCs w:val="22"/>
          <w:highlight w:val="yellow"/>
          <w:lang w:val="en-GB"/>
        </w:rPr>
        <w:t>will</w:t>
      </w:r>
      <w:r w:rsidRPr="005A023D">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8D7695">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F2C1C" w:rsidRDefault="0067294B" w:rsidP="008D7695">
      <w:pPr>
        <w:pStyle w:val="ListParagraph"/>
        <w:numPr>
          <w:ilvl w:val="0"/>
          <w:numId w:val="7"/>
        </w:numPr>
        <w:ind w:left="426"/>
        <w:jc w:val="both"/>
        <w:rPr>
          <w:rFonts w:ascii="Arial" w:hAnsi="Arial" w:cs="Arial"/>
          <w:sz w:val="22"/>
          <w:szCs w:val="22"/>
          <w:highlight w:val="yellow"/>
          <w:lang w:val="en-GB"/>
        </w:rPr>
      </w:pPr>
      <w:r w:rsidRPr="009F2C1C">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8D7695">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8D7695">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517DE0" w:rsidRDefault="004E0549" w:rsidP="008D7695">
      <w:pPr>
        <w:pStyle w:val="ListParagraph"/>
        <w:numPr>
          <w:ilvl w:val="0"/>
          <w:numId w:val="8"/>
        </w:numPr>
        <w:ind w:left="426"/>
        <w:jc w:val="both"/>
        <w:rPr>
          <w:rFonts w:ascii="Arial" w:hAnsi="Arial" w:cs="Arial"/>
          <w:sz w:val="22"/>
          <w:szCs w:val="22"/>
          <w:highlight w:val="yellow"/>
          <w:lang w:val="en-GB"/>
        </w:rPr>
      </w:pPr>
      <w:r w:rsidRPr="00517DE0">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8D7695">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8D7695">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8D7695">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70336F" w:rsidRDefault="00573E73" w:rsidP="008D7695">
      <w:pPr>
        <w:pStyle w:val="ListParagraph"/>
        <w:numPr>
          <w:ilvl w:val="0"/>
          <w:numId w:val="9"/>
        </w:numPr>
        <w:ind w:left="426"/>
        <w:jc w:val="both"/>
        <w:rPr>
          <w:rFonts w:ascii="Arial" w:hAnsi="Arial" w:cs="Arial"/>
          <w:sz w:val="22"/>
          <w:szCs w:val="22"/>
          <w:highlight w:val="yellow"/>
          <w:lang w:val="en-GB"/>
        </w:rPr>
      </w:pPr>
      <w:r w:rsidRPr="0070336F">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8D7695">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8D7695">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8D7695">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8D7695">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3F9A896C" w:rsidR="00835FD1" w:rsidRPr="009B5832" w:rsidRDefault="00835FD1" w:rsidP="0074734C">
      <w:pPr>
        <w:jc w:val="both"/>
        <w:rPr>
          <w:rFonts w:ascii="Arial" w:hAnsi="Arial" w:cs="Arial"/>
          <w:sz w:val="22"/>
          <w:szCs w:val="22"/>
          <w:lang w:val="en-GB"/>
        </w:rPr>
      </w:pPr>
    </w:p>
    <w:p w14:paraId="12FA63E1" w14:textId="25B5A1B8" w:rsidR="00114082" w:rsidRPr="009B5832" w:rsidRDefault="00114082" w:rsidP="008D7695">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8D7695">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74734C" w:rsidRDefault="00114082" w:rsidP="008D7695">
      <w:pPr>
        <w:pStyle w:val="ListParagraph"/>
        <w:numPr>
          <w:ilvl w:val="0"/>
          <w:numId w:val="10"/>
        </w:numPr>
        <w:spacing w:line="276" w:lineRule="auto"/>
        <w:ind w:left="426"/>
        <w:jc w:val="both"/>
        <w:rPr>
          <w:rFonts w:ascii="Arial" w:hAnsi="Arial" w:cs="Arial"/>
          <w:b/>
          <w:sz w:val="22"/>
          <w:szCs w:val="22"/>
          <w:highlight w:val="yellow"/>
          <w:lang w:val="en-GB"/>
        </w:rPr>
      </w:pPr>
      <w:r w:rsidRPr="0074734C">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0FB833CC" w:rsidR="009B07AD" w:rsidRDefault="00CB08F3" w:rsidP="004233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does not expressly set out the date for determining the COMI </w:t>
      </w:r>
      <w:r w:rsidR="00C21D37">
        <w:rPr>
          <w:rFonts w:ascii="Arial" w:hAnsi="Arial" w:cs="Arial"/>
          <w:color w:val="7B7B7B" w:themeColor="accent3" w:themeShade="BF"/>
          <w:sz w:val="22"/>
          <w:szCs w:val="22"/>
          <w:lang w:val="en-GB"/>
        </w:rPr>
        <w:t xml:space="preserve">of a debtor. Pursuant to the </w:t>
      </w:r>
      <w:r w:rsidR="00023D48">
        <w:rPr>
          <w:rFonts w:ascii="Arial" w:hAnsi="Arial" w:cs="Arial"/>
          <w:color w:val="7B7B7B" w:themeColor="accent3" w:themeShade="BF"/>
          <w:sz w:val="22"/>
          <w:szCs w:val="22"/>
          <w:lang w:val="en-GB"/>
        </w:rPr>
        <w:t xml:space="preserve">UNCITRAL </w:t>
      </w:r>
      <w:r w:rsidR="00C21D37">
        <w:rPr>
          <w:rFonts w:ascii="Arial" w:hAnsi="Arial" w:cs="Arial"/>
          <w:color w:val="7B7B7B" w:themeColor="accent3" w:themeShade="BF"/>
          <w:sz w:val="22"/>
          <w:szCs w:val="22"/>
          <w:lang w:val="en-GB"/>
        </w:rPr>
        <w:t>Guide to Enactment and Interpretation</w:t>
      </w:r>
      <w:r w:rsidR="00023D48">
        <w:rPr>
          <w:rFonts w:ascii="Arial" w:hAnsi="Arial" w:cs="Arial"/>
          <w:color w:val="7B7B7B" w:themeColor="accent3" w:themeShade="BF"/>
          <w:sz w:val="22"/>
          <w:szCs w:val="22"/>
          <w:lang w:val="en-GB"/>
        </w:rPr>
        <w:t xml:space="preserve"> (“</w:t>
      </w:r>
      <w:r w:rsidR="004063E2">
        <w:rPr>
          <w:rFonts w:ascii="Arial" w:hAnsi="Arial" w:cs="Arial"/>
          <w:color w:val="7B7B7B" w:themeColor="accent3" w:themeShade="BF"/>
          <w:sz w:val="22"/>
          <w:szCs w:val="22"/>
          <w:lang w:val="en-GB"/>
        </w:rPr>
        <w:t>Guide to Enactment</w:t>
      </w:r>
      <w:r w:rsidR="00023D48">
        <w:rPr>
          <w:rFonts w:ascii="Arial" w:hAnsi="Arial" w:cs="Arial"/>
          <w:color w:val="7B7B7B" w:themeColor="accent3" w:themeShade="BF"/>
          <w:sz w:val="22"/>
          <w:szCs w:val="22"/>
          <w:lang w:val="en-GB"/>
        </w:rPr>
        <w:t>”)</w:t>
      </w:r>
      <w:r w:rsidR="00C21D37">
        <w:rPr>
          <w:rFonts w:ascii="Arial" w:hAnsi="Arial" w:cs="Arial"/>
          <w:color w:val="7B7B7B" w:themeColor="accent3" w:themeShade="BF"/>
          <w:sz w:val="22"/>
          <w:szCs w:val="22"/>
          <w:lang w:val="en-GB"/>
        </w:rPr>
        <w:t>,</w:t>
      </w:r>
      <w:r w:rsidR="00194869">
        <w:rPr>
          <w:rStyle w:val="FootnoteReference"/>
          <w:rFonts w:ascii="Arial" w:hAnsi="Arial" w:cs="Arial"/>
          <w:color w:val="7B7B7B" w:themeColor="accent3" w:themeShade="BF"/>
          <w:sz w:val="22"/>
          <w:szCs w:val="22"/>
          <w:lang w:val="en-GB"/>
        </w:rPr>
        <w:footnoteReference w:id="1"/>
      </w:r>
      <w:r w:rsidR="00C21D37">
        <w:rPr>
          <w:rFonts w:ascii="Arial" w:hAnsi="Arial" w:cs="Arial"/>
          <w:color w:val="7B7B7B" w:themeColor="accent3" w:themeShade="BF"/>
          <w:sz w:val="22"/>
          <w:szCs w:val="22"/>
          <w:lang w:val="en-GB"/>
        </w:rPr>
        <w:t xml:space="preserve"> </w:t>
      </w:r>
      <w:r w:rsidR="00194869">
        <w:rPr>
          <w:rFonts w:ascii="Arial" w:hAnsi="Arial" w:cs="Arial"/>
          <w:color w:val="7B7B7B" w:themeColor="accent3" w:themeShade="BF"/>
          <w:sz w:val="22"/>
          <w:szCs w:val="22"/>
          <w:lang w:val="en-GB"/>
        </w:rPr>
        <w:t>t</w:t>
      </w:r>
      <w:r w:rsidR="004233F6">
        <w:rPr>
          <w:rFonts w:ascii="Arial" w:hAnsi="Arial" w:cs="Arial"/>
          <w:color w:val="7B7B7B" w:themeColor="accent3" w:themeShade="BF"/>
          <w:sz w:val="22"/>
          <w:szCs w:val="22"/>
          <w:lang w:val="en-GB"/>
        </w:rPr>
        <w:t>he appropriate date for determining the COMI of a debtor, or whether an establishment exists, is the date of commencement of the foreign proceeding.</w:t>
      </w:r>
      <w:r w:rsidR="00023D48">
        <w:rPr>
          <w:rFonts w:ascii="Arial" w:hAnsi="Arial" w:cs="Arial"/>
          <w:color w:val="7B7B7B" w:themeColor="accent3" w:themeShade="BF"/>
          <w:sz w:val="22"/>
          <w:szCs w:val="22"/>
          <w:lang w:val="en-GB"/>
        </w:rPr>
        <w:t xml:space="preserve"> </w:t>
      </w:r>
      <w:r w:rsidR="004063E2">
        <w:rPr>
          <w:rFonts w:ascii="Arial" w:hAnsi="Arial" w:cs="Arial"/>
          <w:color w:val="7B7B7B" w:themeColor="accent3" w:themeShade="BF"/>
          <w:sz w:val="22"/>
          <w:szCs w:val="22"/>
          <w:lang w:val="en-GB"/>
        </w:rPr>
        <w:t>This</w:t>
      </w:r>
      <w:r w:rsidR="00194869">
        <w:rPr>
          <w:rFonts w:ascii="Arial" w:hAnsi="Arial" w:cs="Arial"/>
          <w:color w:val="7B7B7B" w:themeColor="accent3" w:themeShade="BF"/>
          <w:sz w:val="22"/>
          <w:szCs w:val="22"/>
          <w:lang w:val="en-GB"/>
        </w:rPr>
        <w:t xml:space="preserve"> is based on the evidence required to accompany an application for recognition of the foreign proceeding (per Article 15, MLCBI) and the relevance accorded to the decision commencing the foreign proceeding and appointing the foreign representative. </w:t>
      </w:r>
      <w:r w:rsidR="00023D48">
        <w:rPr>
          <w:rFonts w:ascii="Arial" w:hAnsi="Arial" w:cs="Arial"/>
          <w:color w:val="7B7B7B" w:themeColor="accent3" w:themeShade="BF"/>
          <w:sz w:val="22"/>
          <w:szCs w:val="22"/>
          <w:lang w:val="en-GB"/>
        </w:rPr>
        <w:t xml:space="preserve">By taking the date of commencement of the foreign proceeding, </w:t>
      </w:r>
      <w:r w:rsidR="000B08F7">
        <w:rPr>
          <w:rFonts w:ascii="Arial" w:hAnsi="Arial" w:cs="Arial"/>
          <w:color w:val="7B7B7B" w:themeColor="accent3" w:themeShade="BF"/>
          <w:sz w:val="22"/>
          <w:szCs w:val="22"/>
          <w:lang w:val="en-GB"/>
        </w:rPr>
        <w:t>there can be a certain result even if the business activity of the debtor ceases after commencement of the foreign proceeding, and this test can also be applied with certainty to all insolvency proceedings.</w:t>
      </w:r>
    </w:p>
    <w:p w14:paraId="28A7DA4C" w14:textId="176404F3" w:rsidR="000B08F7" w:rsidRDefault="000B08F7" w:rsidP="004233F6">
      <w:pPr>
        <w:jc w:val="both"/>
        <w:rPr>
          <w:rFonts w:ascii="Arial" w:hAnsi="Arial" w:cs="Arial"/>
          <w:color w:val="7B7B7B" w:themeColor="accent3" w:themeShade="BF"/>
          <w:sz w:val="22"/>
          <w:szCs w:val="22"/>
          <w:lang w:val="en-GB"/>
        </w:rPr>
      </w:pPr>
    </w:p>
    <w:p w14:paraId="731EA262" w14:textId="43195BA5" w:rsidR="000B08F7" w:rsidRPr="000B08F7" w:rsidRDefault="00B62D91" w:rsidP="004233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debtor’s COMI moves near to commencement of the foreign proceeding, this could be an abuse of process and the court should consider all relevant factors and circumstances </w:t>
      </w:r>
      <w:r w:rsidR="00F93722">
        <w:rPr>
          <w:rFonts w:ascii="Arial" w:hAnsi="Arial" w:cs="Arial"/>
          <w:color w:val="7B7B7B" w:themeColor="accent3" w:themeShade="BF"/>
          <w:sz w:val="22"/>
          <w:szCs w:val="22"/>
          <w:lang w:val="en-GB"/>
        </w:rPr>
        <w:t xml:space="preserve">of the debtor. Movement of COMI after commencement of the foreign proceeding should not </w:t>
      </w:r>
      <w:r w:rsidR="00F93722">
        <w:rPr>
          <w:rFonts w:ascii="Arial" w:hAnsi="Arial" w:cs="Arial"/>
          <w:color w:val="7B7B7B" w:themeColor="accent3" w:themeShade="BF"/>
          <w:sz w:val="22"/>
          <w:szCs w:val="22"/>
          <w:lang w:val="en-GB"/>
        </w:rPr>
        <w:lastRenderedPageBreak/>
        <w:t>affect the determination of COMI as the relevant date is the date of commencement of the foreign proceeding.</w:t>
      </w:r>
      <w:r w:rsidR="00F93722">
        <w:rPr>
          <w:rStyle w:val="FootnoteReference"/>
          <w:rFonts w:ascii="Arial" w:hAnsi="Arial" w:cs="Arial"/>
          <w:color w:val="7B7B7B" w:themeColor="accent3" w:themeShade="BF"/>
          <w:sz w:val="22"/>
          <w:szCs w:val="22"/>
          <w:lang w:val="en-GB"/>
        </w:rPr>
        <w:footnoteReference w:id="2"/>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0BE1E64B" w:rsidR="009B07AD" w:rsidRDefault="00F93722" w:rsidP="00F937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 The relevant provision is </w:t>
      </w:r>
      <w:r w:rsidR="000356CB">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rticle 30(c) of the Model Law, which provides that the court shall grant, modify or terminate relief for the purpose of facilitating coordination of the proceedings where there are concurrent foreign non-main proceedings. </w:t>
      </w:r>
      <w:r w:rsidR="000356CB">
        <w:rPr>
          <w:rFonts w:ascii="Arial" w:hAnsi="Arial" w:cs="Arial"/>
          <w:color w:val="7B7B7B" w:themeColor="accent3" w:themeShade="BF"/>
          <w:sz w:val="22"/>
          <w:szCs w:val="22"/>
          <w:lang w:val="en-GB"/>
        </w:rPr>
        <w:t>In the case of concurrent foreign non-main proceedings, A</w:t>
      </w:r>
      <w:r>
        <w:rPr>
          <w:rFonts w:ascii="Arial" w:hAnsi="Arial" w:cs="Arial"/>
          <w:color w:val="7B7B7B" w:themeColor="accent3" w:themeShade="BF"/>
          <w:sz w:val="22"/>
          <w:szCs w:val="22"/>
          <w:lang w:val="en-GB"/>
        </w:rPr>
        <w:t>rticle 30(c) does not a priori treat any foreign proceeding preferentially.</w:t>
      </w:r>
    </w:p>
    <w:p w14:paraId="13280018" w14:textId="009858C9" w:rsidR="000356CB" w:rsidRDefault="000356CB" w:rsidP="00F93722">
      <w:pPr>
        <w:jc w:val="both"/>
        <w:rPr>
          <w:rFonts w:ascii="Arial" w:hAnsi="Arial" w:cs="Arial"/>
          <w:color w:val="7B7B7B" w:themeColor="accent3" w:themeShade="BF"/>
          <w:sz w:val="22"/>
          <w:szCs w:val="22"/>
          <w:lang w:val="en-GB"/>
        </w:rPr>
      </w:pPr>
    </w:p>
    <w:p w14:paraId="65E6B835" w14:textId="25245DE4" w:rsidR="00941328" w:rsidRDefault="000356CB" w:rsidP="00F937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 This relates to the hotchpot rule in Article 32 of the Model Law, which provides that a creditor who has received part payment in respect of its claim in a foreign proceeding, may not receive </w:t>
      </w:r>
      <w:r w:rsidR="00941328">
        <w:rPr>
          <w:rFonts w:ascii="Arial" w:hAnsi="Arial" w:cs="Arial"/>
          <w:color w:val="7B7B7B" w:themeColor="accent3" w:themeShade="BF"/>
          <w:sz w:val="22"/>
          <w:szCs w:val="22"/>
          <w:lang w:val="en-GB"/>
        </w:rPr>
        <w:t>payment for the same claim in a domestic proceeding as long as the payment to other creditors of the same class is proportionally less than the payment the creditor has already received. Secured claims or claims of creditors with rights in rem are not affected by this provision.</w:t>
      </w:r>
    </w:p>
    <w:p w14:paraId="2AA71FE6" w14:textId="77777777" w:rsidR="00941328" w:rsidRDefault="00941328" w:rsidP="00F93722">
      <w:pPr>
        <w:jc w:val="both"/>
        <w:rPr>
          <w:rFonts w:ascii="Arial" w:hAnsi="Arial" w:cs="Arial"/>
          <w:color w:val="7B7B7B" w:themeColor="accent3" w:themeShade="BF"/>
          <w:sz w:val="22"/>
          <w:szCs w:val="22"/>
          <w:lang w:val="en-GB"/>
        </w:rPr>
      </w:pPr>
    </w:p>
    <w:p w14:paraId="6F92D61B" w14:textId="72BF20DB" w:rsidR="000356CB" w:rsidRDefault="00941328" w:rsidP="00F937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3 – </w:t>
      </w:r>
      <w:r w:rsidR="008F49E0">
        <w:rPr>
          <w:rFonts w:ascii="Arial" w:hAnsi="Arial" w:cs="Arial"/>
          <w:color w:val="7B7B7B" w:themeColor="accent3" w:themeShade="BF"/>
          <w:sz w:val="22"/>
          <w:szCs w:val="22"/>
          <w:lang w:val="en-GB"/>
        </w:rPr>
        <w:t xml:space="preserve">This relates to the rebuttable presumption in Article 16(3) of the Model Law, which provides that in the absence of proof to the contrary, a debtor’s registered office, or habitual residence in the case of an individual, is presumed to be the debtor’s COMI. COMI is a key concept to the operation of the Model Law, but is not defined in the Model Law. </w:t>
      </w:r>
    </w:p>
    <w:p w14:paraId="6197E769" w14:textId="1B95996A" w:rsidR="000356CB" w:rsidRDefault="000356CB" w:rsidP="00F93722">
      <w:pPr>
        <w:jc w:val="both"/>
        <w:rPr>
          <w:rFonts w:ascii="Arial" w:hAnsi="Arial" w:cs="Arial"/>
          <w:sz w:val="22"/>
          <w:szCs w:val="22"/>
          <w:lang w:val="en-GB"/>
        </w:rPr>
      </w:pPr>
    </w:p>
    <w:p w14:paraId="79961E83" w14:textId="77777777" w:rsidR="00D17FDC" w:rsidRPr="009B5832" w:rsidRDefault="00D17FDC" w:rsidP="008F49E0">
      <w:pPr>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6EF53779" w:rsidR="00C72848" w:rsidRDefault="008F49E0" w:rsidP="00AE35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Court of Appeal upheld the decision in </w:t>
      </w:r>
      <w:r w:rsidR="00AE3564">
        <w:rPr>
          <w:rFonts w:ascii="Arial" w:hAnsi="Arial" w:cs="Arial"/>
          <w:color w:val="7B7B7B" w:themeColor="accent3" w:themeShade="BF"/>
          <w:sz w:val="22"/>
          <w:szCs w:val="22"/>
          <w:lang w:val="en-GB"/>
        </w:rPr>
        <w:t xml:space="preserve">the </w:t>
      </w:r>
      <w:r w:rsidR="00AE3564" w:rsidRPr="00AE3564">
        <w:rPr>
          <w:rFonts w:ascii="Arial" w:hAnsi="Arial" w:cs="Arial"/>
          <w:i/>
          <w:color w:val="7B7B7B" w:themeColor="accent3" w:themeShade="BF"/>
          <w:sz w:val="22"/>
          <w:szCs w:val="22"/>
          <w:lang w:val="en-GB"/>
        </w:rPr>
        <w:t>IBA</w:t>
      </w:r>
      <w:r w:rsidR="00AE3564">
        <w:rPr>
          <w:rFonts w:ascii="Arial" w:hAnsi="Arial" w:cs="Arial"/>
          <w:color w:val="7B7B7B" w:themeColor="accent3" w:themeShade="BF"/>
          <w:sz w:val="22"/>
          <w:szCs w:val="22"/>
          <w:lang w:val="en-GB"/>
        </w:rPr>
        <w:t xml:space="preserve"> case that the court should not exercise its power to grant the indefinite Moratorium Continuation on the following basis:</w:t>
      </w:r>
    </w:p>
    <w:p w14:paraId="505DFD8A" w14:textId="40D47638" w:rsidR="00AE3564" w:rsidRDefault="00AE3564" w:rsidP="00AE3564">
      <w:pPr>
        <w:jc w:val="both"/>
        <w:rPr>
          <w:rFonts w:ascii="Arial" w:hAnsi="Arial" w:cs="Arial"/>
          <w:color w:val="7B7B7B" w:themeColor="accent3" w:themeShade="BF"/>
          <w:sz w:val="22"/>
          <w:szCs w:val="22"/>
          <w:lang w:val="en-GB"/>
        </w:rPr>
      </w:pPr>
    </w:p>
    <w:p w14:paraId="40D9A93A" w14:textId="2A557CEE" w:rsidR="005C1B4F" w:rsidRDefault="005C1B4F" w:rsidP="008D7695">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AE3564">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2 </w:t>
      </w:r>
      <w:r w:rsidR="00AE3564">
        <w:rPr>
          <w:rFonts w:ascii="Arial" w:hAnsi="Arial" w:cs="Arial"/>
          <w:color w:val="7B7B7B" w:themeColor="accent3" w:themeShade="BF"/>
          <w:sz w:val="22"/>
          <w:szCs w:val="22"/>
          <w:lang w:val="en-GB"/>
        </w:rPr>
        <w:t xml:space="preserve">conditions that the stay would be necessary to protect the interests of IBA’s creditors and </w:t>
      </w:r>
      <w:r>
        <w:rPr>
          <w:rFonts w:ascii="Arial" w:hAnsi="Arial" w:cs="Arial"/>
          <w:color w:val="7B7B7B" w:themeColor="accent3" w:themeShade="BF"/>
          <w:sz w:val="22"/>
          <w:szCs w:val="22"/>
          <w:lang w:val="en-GB"/>
        </w:rPr>
        <w:t xml:space="preserve">that </w:t>
      </w:r>
      <w:r w:rsidR="00AE3564">
        <w:rPr>
          <w:rFonts w:ascii="Arial" w:hAnsi="Arial" w:cs="Arial"/>
          <w:color w:val="7B7B7B" w:themeColor="accent3" w:themeShade="BF"/>
          <w:sz w:val="22"/>
          <w:szCs w:val="22"/>
          <w:lang w:val="en-GB"/>
        </w:rPr>
        <w:t>the stay would be an appropriate way of achieving such protection</w:t>
      </w:r>
      <w:r>
        <w:rPr>
          <w:rFonts w:ascii="Arial" w:hAnsi="Arial" w:cs="Arial"/>
          <w:color w:val="7B7B7B" w:themeColor="accent3" w:themeShade="BF"/>
          <w:sz w:val="22"/>
          <w:szCs w:val="22"/>
          <w:lang w:val="en-GB"/>
        </w:rPr>
        <w:t xml:space="preserve">, had not been satisfied. The court found that IBA’s creditors did not need protection in order for the restructuring in the foreign proceedings to be achieved. </w:t>
      </w:r>
      <w:r w:rsidR="00665ECF">
        <w:rPr>
          <w:rFonts w:ascii="Arial" w:hAnsi="Arial" w:cs="Arial"/>
          <w:color w:val="7B7B7B" w:themeColor="accent3" w:themeShade="BF"/>
          <w:sz w:val="22"/>
          <w:szCs w:val="22"/>
          <w:lang w:val="en-GB"/>
        </w:rPr>
        <w:t>The court also found that IBA could have undertaken a parallel scheme of arrangement in the UK which would have addressed the claims of the challenging creditors (enforcing English law rights), but had chosen not to do so</w:t>
      </w:r>
      <w:r>
        <w:rPr>
          <w:rFonts w:ascii="Arial" w:hAnsi="Arial" w:cs="Arial"/>
          <w:color w:val="7B7B7B" w:themeColor="accent3" w:themeShade="BF"/>
          <w:sz w:val="22"/>
          <w:szCs w:val="22"/>
          <w:lang w:val="en-GB"/>
        </w:rPr>
        <w:t>; and</w:t>
      </w:r>
    </w:p>
    <w:p w14:paraId="57BC543B" w14:textId="77777777" w:rsidR="005C1B4F" w:rsidRDefault="005C1B4F" w:rsidP="005C1B4F">
      <w:pPr>
        <w:pStyle w:val="ListParagraph"/>
        <w:jc w:val="both"/>
        <w:rPr>
          <w:rFonts w:ascii="Arial" w:hAnsi="Arial" w:cs="Arial"/>
          <w:color w:val="7B7B7B" w:themeColor="accent3" w:themeShade="BF"/>
          <w:sz w:val="22"/>
          <w:szCs w:val="22"/>
          <w:lang w:val="en-GB"/>
        </w:rPr>
      </w:pPr>
    </w:p>
    <w:p w14:paraId="31C80914" w14:textId="620A1D68" w:rsidR="00AE3564" w:rsidRPr="00AE3564" w:rsidRDefault="00665ECF" w:rsidP="008D7695">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Once the foreign proceedings have ended and the foreign representative no longer holds office, there should not be further relief granted under the Model Law to support the foreign proceeding and any relief previously granted should terminate.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045F7491" w:rsidR="0041139B" w:rsidRDefault="004D3464" w:rsidP="004D34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there is a domestic proceeding already opened at the time of recognition of a foreign main proceeding, the court must ensure that any relief to be granted (whether interim relief under Article 19 or post-recognition relief under Article 21) must be consistent with the domestic proceeding. This is provided for in Article 29(a) of the MLCBI. The automatic relief for foreign main proceeding in Article 20 will also not apply.</w:t>
      </w:r>
    </w:p>
    <w:p w14:paraId="5D0798E5" w14:textId="07816834" w:rsidR="004D3464" w:rsidRDefault="004D3464" w:rsidP="004D3464">
      <w:pPr>
        <w:jc w:val="both"/>
        <w:rPr>
          <w:rFonts w:ascii="Arial" w:hAnsi="Arial" w:cs="Arial"/>
          <w:color w:val="7B7B7B" w:themeColor="accent3" w:themeShade="BF"/>
          <w:sz w:val="22"/>
          <w:szCs w:val="22"/>
          <w:lang w:val="en-GB"/>
        </w:rPr>
      </w:pPr>
    </w:p>
    <w:p w14:paraId="0A8752A8" w14:textId="737A1096" w:rsidR="004D3464" w:rsidRDefault="004D3464" w:rsidP="004D34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 to the ongoing obligation of the foreign representative to update the court in the enacting State, this is set out in Article 18 of the MLCBI</w:t>
      </w:r>
      <w:r w:rsidR="006A0D11">
        <w:rPr>
          <w:rFonts w:ascii="Arial" w:hAnsi="Arial" w:cs="Arial"/>
          <w:color w:val="7B7B7B" w:themeColor="accent3" w:themeShade="BF"/>
          <w:sz w:val="22"/>
          <w:szCs w:val="22"/>
          <w:lang w:val="en-GB"/>
        </w:rPr>
        <w:t>. Article 18</w:t>
      </w:r>
      <w:r>
        <w:rPr>
          <w:rFonts w:ascii="Arial" w:hAnsi="Arial" w:cs="Arial"/>
          <w:color w:val="7B7B7B" w:themeColor="accent3" w:themeShade="BF"/>
          <w:sz w:val="22"/>
          <w:szCs w:val="22"/>
          <w:lang w:val="en-GB"/>
        </w:rPr>
        <w:t xml:space="preserve"> provides that</w:t>
      </w:r>
      <w:r w:rsidR="006A0D11">
        <w:rPr>
          <w:rFonts w:ascii="Arial" w:hAnsi="Arial" w:cs="Arial"/>
          <w:color w:val="7B7B7B" w:themeColor="accent3" w:themeShade="BF"/>
          <w:sz w:val="22"/>
          <w:szCs w:val="22"/>
          <w:lang w:val="en-GB"/>
        </w:rPr>
        <w:t>, from the time of filing the application for recognition of the foreign proceeding,</w:t>
      </w:r>
      <w:r>
        <w:rPr>
          <w:rFonts w:ascii="Arial" w:hAnsi="Arial" w:cs="Arial"/>
          <w:color w:val="7B7B7B" w:themeColor="accent3" w:themeShade="BF"/>
          <w:sz w:val="22"/>
          <w:szCs w:val="22"/>
          <w:lang w:val="en-GB"/>
        </w:rPr>
        <w:t xml:space="preserve"> </w:t>
      </w:r>
      <w:r w:rsidR="006A0D11">
        <w:rPr>
          <w:rFonts w:ascii="Arial" w:hAnsi="Arial" w:cs="Arial"/>
          <w:color w:val="7B7B7B" w:themeColor="accent3" w:themeShade="BF"/>
          <w:sz w:val="22"/>
          <w:szCs w:val="22"/>
          <w:lang w:val="en-GB"/>
        </w:rPr>
        <w:t xml:space="preserve">the foreign representative must inform the said court promptly of – </w:t>
      </w:r>
    </w:p>
    <w:p w14:paraId="57E03A7E" w14:textId="4EFCCA35" w:rsidR="006A0D11" w:rsidRDefault="006A0D11" w:rsidP="004D3464">
      <w:pPr>
        <w:jc w:val="both"/>
        <w:rPr>
          <w:rFonts w:ascii="Arial" w:hAnsi="Arial" w:cs="Arial"/>
          <w:color w:val="7B7B7B" w:themeColor="accent3" w:themeShade="BF"/>
          <w:sz w:val="22"/>
          <w:szCs w:val="22"/>
          <w:lang w:val="en-GB"/>
        </w:rPr>
      </w:pPr>
    </w:p>
    <w:p w14:paraId="52E62F0A" w14:textId="175DC25C" w:rsidR="006A0D11" w:rsidRDefault="006A0D11" w:rsidP="008D7695">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substantial change in the status of the recognised foreign proceeding or the status of the foreign representative’s appointment; and</w:t>
      </w:r>
    </w:p>
    <w:p w14:paraId="02F61326" w14:textId="6B87C73E" w:rsidR="006A0D11" w:rsidRPr="006A0D11" w:rsidRDefault="006A0D11" w:rsidP="008D7695">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18A14AF" w14:textId="77777777" w:rsidR="00C550C8" w:rsidRPr="009B5832" w:rsidRDefault="00C550C8" w:rsidP="00707FC8">
      <w:pPr>
        <w:jc w:val="both"/>
        <w:rPr>
          <w:rFonts w:ascii="Arial" w:hAnsi="Arial" w:cs="Arial"/>
          <w:sz w:val="22"/>
          <w:szCs w:val="22"/>
          <w:lang w:val="en-GB"/>
        </w:rPr>
      </w:pPr>
    </w:p>
    <w:p w14:paraId="59D85EEF" w14:textId="65D664BD" w:rsidR="00524CF2" w:rsidRDefault="00564D5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without making a recognition application in State A, the foreign representative </w:t>
      </w:r>
      <w:r w:rsidR="00BA4577">
        <w:rPr>
          <w:rFonts w:ascii="Arial" w:hAnsi="Arial" w:cs="Arial"/>
          <w:color w:val="7B7B7B" w:themeColor="accent3" w:themeShade="BF"/>
          <w:sz w:val="22"/>
          <w:szCs w:val="22"/>
          <w:lang w:val="en-GB"/>
        </w:rPr>
        <w:t xml:space="preserve">has the </w:t>
      </w:r>
      <w:r w:rsidR="00524CF2">
        <w:rPr>
          <w:rFonts w:ascii="Arial" w:hAnsi="Arial" w:cs="Arial"/>
          <w:color w:val="7B7B7B" w:themeColor="accent3" w:themeShade="BF"/>
          <w:sz w:val="22"/>
          <w:szCs w:val="22"/>
          <w:lang w:val="en-GB"/>
        </w:rPr>
        <w:t xml:space="preserve">right of direct access (i.e. </w:t>
      </w:r>
      <w:r w:rsidR="00BA4577" w:rsidRPr="00BA4577">
        <w:rPr>
          <w:rFonts w:ascii="Arial" w:hAnsi="Arial" w:cs="Arial"/>
          <w:i/>
          <w:color w:val="7B7B7B" w:themeColor="accent3" w:themeShade="BF"/>
          <w:sz w:val="22"/>
          <w:szCs w:val="22"/>
          <w:lang w:val="en-GB"/>
        </w:rPr>
        <w:t>locus standi</w:t>
      </w:r>
      <w:r w:rsidR="00524CF2">
        <w:rPr>
          <w:rFonts w:ascii="Arial" w:hAnsi="Arial" w:cs="Arial"/>
          <w:i/>
          <w:color w:val="7B7B7B" w:themeColor="accent3" w:themeShade="BF"/>
          <w:sz w:val="22"/>
          <w:szCs w:val="22"/>
          <w:lang w:val="en-GB"/>
        </w:rPr>
        <w:t>)</w:t>
      </w:r>
      <w:r w:rsidR="00BA4577">
        <w:rPr>
          <w:rFonts w:ascii="Arial" w:hAnsi="Arial" w:cs="Arial"/>
          <w:color w:val="7B7B7B" w:themeColor="accent3" w:themeShade="BF"/>
          <w:sz w:val="22"/>
          <w:szCs w:val="22"/>
          <w:lang w:val="en-GB"/>
        </w:rPr>
        <w:t xml:space="preserve"> to apply directly to the court in State A</w:t>
      </w:r>
      <w:r w:rsidR="00524CF2">
        <w:rPr>
          <w:rFonts w:ascii="Arial" w:hAnsi="Arial" w:cs="Arial"/>
          <w:color w:val="7B7B7B" w:themeColor="accent3" w:themeShade="BF"/>
          <w:sz w:val="22"/>
          <w:szCs w:val="22"/>
          <w:lang w:val="en-GB"/>
        </w:rPr>
        <w:t xml:space="preserve"> (Article 9 of the Model Law). This right enables the foreign representative to have standing in the court in State A without having to meet formal requirements which may otherwise be required. Further, Article 11 of the Model Law provides the foreign representative the right to </w:t>
      </w:r>
      <w:r w:rsidR="000C30C2">
        <w:rPr>
          <w:rFonts w:ascii="Arial" w:hAnsi="Arial" w:cs="Arial"/>
          <w:color w:val="7B7B7B" w:themeColor="accent3" w:themeShade="BF"/>
          <w:sz w:val="22"/>
          <w:szCs w:val="22"/>
          <w:lang w:val="en-GB"/>
        </w:rPr>
        <w:t xml:space="preserve">directly </w:t>
      </w:r>
      <w:r w:rsidR="00524CF2">
        <w:rPr>
          <w:rFonts w:ascii="Arial" w:hAnsi="Arial" w:cs="Arial"/>
          <w:color w:val="7B7B7B" w:themeColor="accent3" w:themeShade="BF"/>
          <w:sz w:val="22"/>
          <w:szCs w:val="22"/>
          <w:lang w:val="en-GB"/>
        </w:rPr>
        <w:t>apply for commencement of domestic insolvency proceedings in State A, provided the conditions for commencing such a proceeding</w:t>
      </w:r>
      <w:r w:rsidR="000C30C2">
        <w:rPr>
          <w:rFonts w:ascii="Arial" w:hAnsi="Arial" w:cs="Arial"/>
          <w:color w:val="7B7B7B" w:themeColor="accent3" w:themeShade="BF"/>
          <w:sz w:val="22"/>
          <w:szCs w:val="22"/>
          <w:lang w:val="en-GB"/>
        </w:rPr>
        <w:t xml:space="preserve"> under the laws of State A</w:t>
      </w:r>
      <w:r w:rsidR="00524CF2">
        <w:rPr>
          <w:rFonts w:ascii="Arial" w:hAnsi="Arial" w:cs="Arial"/>
          <w:color w:val="7B7B7B" w:themeColor="accent3" w:themeShade="BF"/>
          <w:sz w:val="22"/>
          <w:szCs w:val="22"/>
          <w:lang w:val="en-GB"/>
        </w:rPr>
        <w:t xml:space="preserve"> are otherwise met. </w:t>
      </w:r>
      <w:r w:rsidR="000C30C2">
        <w:rPr>
          <w:rFonts w:ascii="Arial" w:hAnsi="Arial" w:cs="Arial"/>
          <w:color w:val="7B7B7B" w:themeColor="accent3" w:themeShade="BF"/>
          <w:sz w:val="22"/>
          <w:szCs w:val="22"/>
          <w:lang w:val="en-GB"/>
        </w:rPr>
        <w:t>Again, this right of access is enjoyed by the foreign representative without having to make a recognition application.</w:t>
      </w:r>
    </w:p>
    <w:p w14:paraId="6CE38465" w14:textId="73BF0C78" w:rsidR="000C30C2" w:rsidRDefault="000C30C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Cooperation rights under the Model Law are not </w:t>
      </w:r>
      <w:r w:rsidR="00966ECA">
        <w:rPr>
          <w:rFonts w:ascii="Arial" w:hAnsi="Arial" w:cs="Arial"/>
          <w:color w:val="7B7B7B" w:themeColor="accent3" w:themeShade="BF"/>
          <w:sz w:val="22"/>
          <w:szCs w:val="22"/>
          <w:lang w:val="en-GB"/>
        </w:rPr>
        <w:t>dependent</w:t>
      </w:r>
      <w:r>
        <w:rPr>
          <w:rFonts w:ascii="Arial" w:hAnsi="Arial" w:cs="Arial"/>
          <w:color w:val="7B7B7B" w:themeColor="accent3" w:themeShade="BF"/>
          <w:sz w:val="22"/>
          <w:szCs w:val="22"/>
          <w:lang w:val="en-GB"/>
        </w:rPr>
        <w:t xml:space="preserve"> upon recognition and therefore may occur before an application for recognition. Article 25 provides that the court in State A must co-operate to the maximum extent possible with foreign courts or foreign representative, and can communicate directly with, or request information or assistance from, the foreign court or representative. Article 26 then provides for the domestic insolvency office-holder in State A to co-operate to the maximum extent possible with the foreign courts or foreign representative and is entitled to communicate directly with them. </w:t>
      </w:r>
      <w:r w:rsidR="00966ECA">
        <w:rPr>
          <w:rFonts w:ascii="Arial" w:hAnsi="Arial" w:cs="Arial"/>
          <w:color w:val="7B7B7B" w:themeColor="accent3" w:themeShade="BF"/>
          <w:sz w:val="22"/>
          <w:szCs w:val="22"/>
          <w:lang w:val="en-GB"/>
        </w:rPr>
        <w:t>In this regard, Articles 25 and 26 not only authorise cross-border cooperation but mandate it by providing that the court and insolvency representative “shall cooperate to the maximum extent possible” with the foreign court or foreign representative.</w:t>
      </w:r>
      <w:r w:rsidR="00966ECA">
        <w:rPr>
          <w:rStyle w:val="FootnoteReference"/>
          <w:rFonts w:ascii="Arial" w:hAnsi="Arial" w:cs="Arial"/>
          <w:color w:val="7B7B7B" w:themeColor="accent3" w:themeShade="BF"/>
          <w:sz w:val="22"/>
          <w:szCs w:val="22"/>
          <w:lang w:val="en-GB"/>
        </w:rPr>
        <w:footnoteReference w:id="3"/>
      </w:r>
    </w:p>
    <w:p w14:paraId="034E472A" w14:textId="6D0CDB90" w:rsidR="00966ECA" w:rsidRDefault="00966ECA" w:rsidP="00707FC8">
      <w:pPr>
        <w:jc w:val="both"/>
        <w:rPr>
          <w:rFonts w:ascii="Arial" w:hAnsi="Arial" w:cs="Arial"/>
          <w:color w:val="7B7B7B" w:themeColor="accent3" w:themeShade="BF"/>
          <w:sz w:val="22"/>
          <w:szCs w:val="22"/>
          <w:lang w:val="en-GB"/>
        </w:rPr>
      </w:pPr>
    </w:p>
    <w:p w14:paraId="52A35EB0" w14:textId="0E5E8FDE" w:rsidR="00524CF2" w:rsidRPr="00966ECA" w:rsidRDefault="00966EC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rights of access and co-ordination as mentioned above will benefit the foreign representative as it provides the foreign representative with rights in State A without having to take additional action or separate proceedings, and ensure that State A’s courts and domestic insolvency office-holder will co-operate with the foreign representative. This will save time and costs, </w:t>
      </w:r>
      <w:r w:rsidR="00A94E8F">
        <w:rPr>
          <w:rFonts w:ascii="Arial" w:hAnsi="Arial" w:cs="Arial"/>
          <w:color w:val="7B7B7B" w:themeColor="accent3" w:themeShade="BF"/>
          <w:sz w:val="22"/>
          <w:szCs w:val="22"/>
          <w:lang w:val="en-GB"/>
        </w:rPr>
        <w:t xml:space="preserve">and is </w:t>
      </w:r>
      <w:r>
        <w:rPr>
          <w:rFonts w:ascii="Arial" w:hAnsi="Arial" w:cs="Arial"/>
          <w:color w:val="7B7B7B" w:themeColor="accent3" w:themeShade="BF"/>
          <w:sz w:val="22"/>
          <w:szCs w:val="22"/>
          <w:lang w:val="en-GB"/>
        </w:rPr>
        <w:t xml:space="preserve">particularly </w:t>
      </w:r>
      <w:r w:rsidR="00A94E8F">
        <w:rPr>
          <w:rFonts w:ascii="Arial" w:hAnsi="Arial" w:cs="Arial"/>
          <w:color w:val="7B7B7B" w:themeColor="accent3" w:themeShade="BF"/>
          <w:sz w:val="22"/>
          <w:szCs w:val="22"/>
          <w:lang w:val="en-GB"/>
        </w:rPr>
        <w:t xml:space="preserve">crucial </w:t>
      </w:r>
      <w:r>
        <w:rPr>
          <w:rFonts w:ascii="Arial" w:hAnsi="Arial" w:cs="Arial"/>
          <w:color w:val="7B7B7B" w:themeColor="accent3" w:themeShade="BF"/>
          <w:sz w:val="22"/>
          <w:szCs w:val="22"/>
          <w:lang w:val="en-GB"/>
        </w:rPr>
        <w:t xml:space="preserve">when there is a matter of urgency.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6FE25CE9" w14:textId="338825B9" w:rsidR="00387B13" w:rsidRDefault="00387B1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assumption that the qualifications for “foreign proceeding” and “foreign representative” within the meaning set out in Article 2 are met, Article 15</w:t>
      </w:r>
      <w:r w:rsidR="005F4A61">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of the MLCBI sets out that a recognition application shall be accompanied by the following evidence:</w:t>
      </w:r>
    </w:p>
    <w:p w14:paraId="341A9C06" w14:textId="7BE06E43" w:rsidR="00387B13" w:rsidRDefault="00387B13" w:rsidP="00707FC8">
      <w:pPr>
        <w:jc w:val="both"/>
        <w:rPr>
          <w:rFonts w:ascii="Arial" w:hAnsi="Arial" w:cs="Arial"/>
          <w:color w:val="7B7B7B" w:themeColor="accent3" w:themeShade="BF"/>
          <w:sz w:val="22"/>
          <w:szCs w:val="22"/>
          <w:lang w:val="en-GB"/>
        </w:rPr>
      </w:pPr>
    </w:p>
    <w:p w14:paraId="6BF3099B" w14:textId="40DA2664" w:rsidR="00387B13" w:rsidRDefault="00387B13" w:rsidP="008D7695">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 or</w:t>
      </w:r>
    </w:p>
    <w:p w14:paraId="0BFF98A2" w14:textId="4CFB0410" w:rsidR="00387B13" w:rsidRDefault="00387B13" w:rsidP="008D7695">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certificate from the foreign court affirming the existence of the foreign proceeding and of the appointment of the foreign representative; or</w:t>
      </w:r>
    </w:p>
    <w:p w14:paraId="54D7B5E6" w14:textId="4EA52CF0" w:rsidR="00387B13" w:rsidRDefault="00387B13" w:rsidP="008D7695">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absence of evidence referred to in subparagraphs (a) and (b), any other evidence acceptable to the court of the existence of the foreign proceeding and of the appointment of the foreign representative.</w:t>
      </w:r>
    </w:p>
    <w:p w14:paraId="31B9C5AF" w14:textId="6750A494" w:rsidR="00387B13" w:rsidRDefault="00387B13" w:rsidP="00387B13">
      <w:pPr>
        <w:jc w:val="both"/>
        <w:rPr>
          <w:rFonts w:ascii="Arial" w:hAnsi="Arial" w:cs="Arial"/>
          <w:color w:val="7B7B7B" w:themeColor="accent3" w:themeShade="BF"/>
          <w:sz w:val="22"/>
          <w:szCs w:val="22"/>
          <w:lang w:val="en-GB"/>
        </w:rPr>
      </w:pPr>
    </w:p>
    <w:p w14:paraId="0B7A2073" w14:textId="32A998C9" w:rsidR="000C1658" w:rsidRDefault="00387B13" w:rsidP="00387B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regard, Article 16 sets out various presumptions, including that the court </w:t>
      </w:r>
      <w:r w:rsidR="005F4A61">
        <w:rPr>
          <w:rFonts w:ascii="Arial" w:hAnsi="Arial" w:cs="Arial"/>
          <w:color w:val="7B7B7B" w:themeColor="accent3" w:themeShade="BF"/>
          <w:sz w:val="22"/>
          <w:szCs w:val="22"/>
          <w:lang w:val="en-GB"/>
        </w:rPr>
        <w:t>is entitled to presume that foreign proceeding and foreign representative are within their relevant meanings set out in Article 2(a) and 2(d) respectively if the decision or certificate above states so, and that the documents submitted to support the recognition application are authentic whether of not they have been legalised.</w:t>
      </w:r>
    </w:p>
    <w:p w14:paraId="726F483B" w14:textId="77777777" w:rsidR="000C1658" w:rsidRDefault="000C1658" w:rsidP="00387B13">
      <w:pPr>
        <w:jc w:val="both"/>
        <w:rPr>
          <w:rFonts w:ascii="Arial" w:hAnsi="Arial" w:cs="Arial"/>
          <w:color w:val="7B7B7B" w:themeColor="accent3" w:themeShade="BF"/>
          <w:sz w:val="22"/>
          <w:szCs w:val="22"/>
          <w:lang w:val="en-GB"/>
        </w:rPr>
      </w:pPr>
    </w:p>
    <w:p w14:paraId="7C89F3D0" w14:textId="27CFDC2D" w:rsidR="005F4A61" w:rsidRDefault="00D45BF7" w:rsidP="00387B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5F4A61">
        <w:rPr>
          <w:rFonts w:ascii="Arial" w:hAnsi="Arial" w:cs="Arial"/>
          <w:color w:val="7B7B7B" w:themeColor="accent3" w:themeShade="BF"/>
          <w:sz w:val="22"/>
          <w:szCs w:val="22"/>
          <w:lang w:val="en-GB"/>
        </w:rPr>
        <w:t>ven if the submission requirements for a recognition application are met, Article 6 of the MLBCI provides that nothing in the Model Law prevents the court from refusing to take an action governed by the Model Law (which would include granting recognition) if such action would be manifestly contrary to the public policy of the enacting State. Article 6 essentially provides an all-encompassing exception</w:t>
      </w:r>
      <w:r>
        <w:rPr>
          <w:rFonts w:ascii="Arial" w:hAnsi="Arial" w:cs="Arial"/>
          <w:color w:val="7B7B7B" w:themeColor="accent3" w:themeShade="BF"/>
          <w:sz w:val="22"/>
          <w:szCs w:val="22"/>
          <w:lang w:val="en-GB"/>
        </w:rPr>
        <w:t xml:space="preserve"> which the court can apply to safeguard the enacting State’s sovereignty</w:t>
      </w:r>
      <w:r w:rsidR="000C1658">
        <w:rPr>
          <w:rFonts w:ascii="Arial" w:hAnsi="Arial" w:cs="Arial"/>
          <w:color w:val="7B7B7B" w:themeColor="accent3" w:themeShade="BF"/>
          <w:sz w:val="22"/>
          <w:szCs w:val="22"/>
          <w:lang w:val="en-GB"/>
        </w:rPr>
        <w:t xml:space="preserve">. In this regard, public policy is construed domestically and differs from </w:t>
      </w:r>
      <w:r w:rsidR="000C1658">
        <w:rPr>
          <w:rFonts w:ascii="Arial" w:hAnsi="Arial" w:cs="Arial"/>
          <w:color w:val="7B7B7B" w:themeColor="accent3" w:themeShade="BF"/>
          <w:sz w:val="22"/>
          <w:szCs w:val="22"/>
          <w:lang w:val="en-GB"/>
        </w:rPr>
        <w:lastRenderedPageBreak/>
        <w:t>state to state.</w:t>
      </w:r>
      <w:r>
        <w:rPr>
          <w:rFonts w:ascii="Arial" w:hAnsi="Arial" w:cs="Arial"/>
          <w:color w:val="7B7B7B" w:themeColor="accent3" w:themeShade="BF"/>
          <w:sz w:val="22"/>
          <w:szCs w:val="22"/>
          <w:lang w:val="en-GB"/>
        </w:rPr>
        <w:t xml:space="preserve"> However, the expression “manifestly contrary to the public policy” emphasises that public policy exceptions should be interpreted restrictively and that Article 6 is only intended to be invoked under exceptional circumstances concerning matters of fundamental importance for the enacting State.</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This higher threshold was addressed by the English court in the Agrokor</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case, where the court found that differences in respect of priority rules between the Croatian proceeding and the English proceeding is not enough to invoke the exception.</w:t>
      </w:r>
    </w:p>
    <w:p w14:paraId="02B60E05" w14:textId="1D44876C" w:rsidR="00D45BF7" w:rsidRDefault="00D45BF7" w:rsidP="00387B13">
      <w:pPr>
        <w:jc w:val="both"/>
        <w:rPr>
          <w:rFonts w:ascii="Arial" w:hAnsi="Arial" w:cs="Arial"/>
          <w:color w:val="7B7B7B" w:themeColor="accent3" w:themeShade="BF"/>
          <w:sz w:val="22"/>
          <w:szCs w:val="22"/>
          <w:lang w:val="en-GB"/>
        </w:rPr>
      </w:pPr>
    </w:p>
    <w:p w14:paraId="690BF727" w14:textId="1C878584" w:rsidR="00D45BF7" w:rsidRDefault="00D45BF7" w:rsidP="00387B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w:t>
      </w:r>
      <w:r w:rsidR="006967CB">
        <w:rPr>
          <w:rFonts w:ascii="Arial" w:hAnsi="Arial" w:cs="Arial"/>
          <w:color w:val="7B7B7B" w:themeColor="accent3" w:themeShade="BF"/>
          <w:sz w:val="22"/>
          <w:szCs w:val="22"/>
          <w:lang w:val="en-GB"/>
        </w:rPr>
        <w:t>a significant breach of the full and frank disclosure obligation by the foreign representative to the court in State A that amounts to abuse of process may be grounds for denying a recognition application on the public policy exception.</w:t>
      </w:r>
      <w:r w:rsidR="006967CB">
        <w:rPr>
          <w:rStyle w:val="FootnoteReference"/>
          <w:rFonts w:ascii="Arial" w:hAnsi="Arial" w:cs="Arial"/>
          <w:color w:val="7B7B7B" w:themeColor="accent3" w:themeShade="BF"/>
          <w:sz w:val="22"/>
          <w:szCs w:val="22"/>
          <w:lang w:val="en-GB"/>
        </w:rPr>
        <w:footnoteReference w:id="6"/>
      </w:r>
    </w:p>
    <w:p w14:paraId="79CEF30B" w14:textId="2F571E47" w:rsidR="005F4A61" w:rsidRDefault="005F4A61" w:rsidP="00387B13">
      <w:pPr>
        <w:jc w:val="both"/>
        <w:rPr>
          <w:rFonts w:ascii="Arial" w:hAnsi="Arial" w:cs="Arial"/>
          <w:color w:val="7B7B7B" w:themeColor="accent3" w:themeShade="BF"/>
          <w:sz w:val="22"/>
          <w:szCs w:val="22"/>
          <w:lang w:val="en-GB"/>
        </w:rPr>
      </w:pPr>
    </w:p>
    <w:p w14:paraId="3C3159AB" w14:textId="358CA96A" w:rsidR="000C1658" w:rsidRDefault="000C1658" w:rsidP="00387B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 provides that if the submission requirements for the recognition application are met and the recognition is not contrary to the public policy of State A, then recognition will be granted.</w:t>
      </w:r>
    </w:p>
    <w:p w14:paraId="44735D9C" w14:textId="77777777" w:rsidR="000C1658" w:rsidRDefault="000C1658" w:rsidP="00387B13">
      <w:pPr>
        <w:jc w:val="both"/>
        <w:rPr>
          <w:rFonts w:ascii="Arial" w:hAnsi="Arial" w:cs="Arial"/>
          <w:color w:val="7B7B7B" w:themeColor="accent3" w:themeShade="BF"/>
          <w:sz w:val="22"/>
          <w:szCs w:val="22"/>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56AC0379" w14:textId="143C1866" w:rsidR="00A1522E" w:rsidRDefault="000C165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of the MLCBI sets out the interim relief that may be granted at the request of the foreign representative, from the time of filing of the recognition application until the application is decided upon, where the relief is urgently needed to protect the assets of the debtor or the interest of the creditors. Such relief</w:t>
      </w:r>
      <w:r w:rsidR="00A1522E">
        <w:rPr>
          <w:rFonts w:ascii="Arial" w:hAnsi="Arial" w:cs="Arial"/>
          <w:color w:val="7B7B7B" w:themeColor="accent3" w:themeShade="BF"/>
          <w:sz w:val="22"/>
          <w:szCs w:val="22"/>
          <w:lang w:val="en-GB"/>
        </w:rPr>
        <w:t xml:space="preserve"> is provisional in nature and includes:</w:t>
      </w:r>
    </w:p>
    <w:p w14:paraId="397DF35C" w14:textId="2FEDD3C9" w:rsidR="00A1522E" w:rsidRDefault="00A1522E" w:rsidP="00707FC8">
      <w:pPr>
        <w:jc w:val="both"/>
        <w:rPr>
          <w:rFonts w:ascii="Arial" w:hAnsi="Arial" w:cs="Arial"/>
          <w:color w:val="7B7B7B" w:themeColor="accent3" w:themeShade="BF"/>
          <w:sz w:val="22"/>
          <w:szCs w:val="22"/>
          <w:lang w:val="en-GB"/>
        </w:rPr>
      </w:pPr>
    </w:p>
    <w:p w14:paraId="51E284CF" w14:textId="16842447" w:rsidR="00A1522E" w:rsidRDefault="00A1522E" w:rsidP="008D76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of execution against the debtor’s assets;</w:t>
      </w:r>
    </w:p>
    <w:p w14:paraId="6670790E" w14:textId="2A4D6708" w:rsidR="00A1522E" w:rsidRDefault="00A1522E" w:rsidP="008D76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the debtor’s assets in State A to the foreign representative or another person designated by the court, to protect and preserve the value of the assets that, by their nature or because of other circumstances, are perishable, susceptible to devaluation or otherwise in jeopardy;</w:t>
      </w:r>
    </w:p>
    <w:p w14:paraId="37D5246A" w14:textId="17B8EE91" w:rsidR="00A1522E" w:rsidRDefault="00A1522E" w:rsidP="008D76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w:t>
      </w:r>
    </w:p>
    <w:p w14:paraId="2CA4DF5C" w14:textId="778AB33A" w:rsidR="00A1522E" w:rsidRDefault="00A1522E" w:rsidP="008D76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rights, obligations or liabilities;</w:t>
      </w:r>
    </w:p>
    <w:p w14:paraId="1F0AA684" w14:textId="771FA1E7" w:rsidR="00A1522E" w:rsidRDefault="00A1522E" w:rsidP="008D76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the domestic office-holder under the laws of State A.</w:t>
      </w:r>
    </w:p>
    <w:p w14:paraId="13931AF9" w14:textId="5BCA74C9" w:rsidR="00A1522E" w:rsidRDefault="00A1522E" w:rsidP="00A1522E">
      <w:pPr>
        <w:jc w:val="both"/>
        <w:rPr>
          <w:rFonts w:ascii="Arial" w:hAnsi="Arial" w:cs="Arial"/>
          <w:color w:val="7B7B7B" w:themeColor="accent3" w:themeShade="BF"/>
          <w:sz w:val="22"/>
          <w:szCs w:val="22"/>
          <w:lang w:val="en-GB"/>
        </w:rPr>
      </w:pPr>
    </w:p>
    <w:p w14:paraId="00EF2149" w14:textId="6080B175" w:rsidR="00166991" w:rsidRDefault="00166991" w:rsidP="00A152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reliefs provided under Article 19 are essentially the type of relief that is usually available in collective insolvency proceedings.</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w:t>
      </w:r>
    </w:p>
    <w:p w14:paraId="583F0928" w14:textId="77777777" w:rsidR="00166991" w:rsidRDefault="00166991" w:rsidP="00A1522E">
      <w:pPr>
        <w:jc w:val="both"/>
        <w:rPr>
          <w:rFonts w:ascii="Arial" w:hAnsi="Arial" w:cs="Arial"/>
          <w:color w:val="7B7B7B" w:themeColor="accent3" w:themeShade="BF"/>
          <w:sz w:val="22"/>
          <w:szCs w:val="22"/>
          <w:lang w:val="en-GB"/>
        </w:rPr>
      </w:pPr>
    </w:p>
    <w:p w14:paraId="36171904" w14:textId="6BDE09CF" w:rsidR="00A1522E" w:rsidRDefault="00A1522E" w:rsidP="00A152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foreign proceeding is recognised</w:t>
      </w:r>
      <w:r w:rsidR="002649DB">
        <w:rPr>
          <w:rFonts w:ascii="Arial" w:hAnsi="Arial" w:cs="Arial"/>
          <w:color w:val="7B7B7B" w:themeColor="accent3" w:themeShade="BF"/>
          <w:sz w:val="22"/>
          <w:szCs w:val="22"/>
          <w:lang w:val="en-GB"/>
        </w:rPr>
        <w:t xml:space="preserve"> as a foreign main proceeding</w:t>
      </w:r>
      <w:r>
        <w:rPr>
          <w:rFonts w:ascii="Arial" w:hAnsi="Arial" w:cs="Arial"/>
          <w:color w:val="7B7B7B" w:themeColor="accent3" w:themeShade="BF"/>
          <w:sz w:val="22"/>
          <w:szCs w:val="22"/>
          <w:lang w:val="en-GB"/>
        </w:rPr>
        <w:t>, Article 20 provides automatic relief as follows:</w:t>
      </w:r>
    </w:p>
    <w:p w14:paraId="1B53CF08" w14:textId="77777777" w:rsidR="00A1522E" w:rsidRDefault="00A1522E" w:rsidP="00A1522E">
      <w:pPr>
        <w:jc w:val="both"/>
        <w:rPr>
          <w:rFonts w:ascii="Arial" w:hAnsi="Arial" w:cs="Arial"/>
          <w:color w:val="7B7B7B" w:themeColor="accent3" w:themeShade="BF"/>
          <w:sz w:val="22"/>
          <w:szCs w:val="22"/>
          <w:lang w:val="en-GB"/>
        </w:rPr>
      </w:pPr>
    </w:p>
    <w:p w14:paraId="2E8394C9" w14:textId="77777777" w:rsidR="00A1522E" w:rsidRDefault="00A1522E" w:rsidP="008D7695">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the commencement or continuation of individual actions or individual proceedings concerning the debtor’s assets, rights, obligations or liabilities;</w:t>
      </w:r>
    </w:p>
    <w:p w14:paraId="4983FE53" w14:textId="77777777" w:rsidR="00A1522E" w:rsidRDefault="00A1522E" w:rsidP="008D7695">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executions against the debtor’s assets; and</w:t>
      </w:r>
    </w:p>
    <w:p w14:paraId="2BB3596D" w14:textId="77777777" w:rsidR="00A1522E" w:rsidRDefault="00A1522E" w:rsidP="008D7695">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suspension of the right to transfer, encumber or otherwise dispose of any assets of the debtor.</w:t>
      </w:r>
    </w:p>
    <w:p w14:paraId="1ED5B8C9" w14:textId="2B791DDC" w:rsidR="00A1522E" w:rsidRDefault="00A1522E" w:rsidP="00A1522E">
      <w:pPr>
        <w:jc w:val="both"/>
        <w:rPr>
          <w:rFonts w:ascii="Arial" w:hAnsi="Arial" w:cs="Arial"/>
          <w:color w:val="7B7B7B" w:themeColor="accent3" w:themeShade="BF"/>
          <w:sz w:val="22"/>
          <w:szCs w:val="22"/>
          <w:lang w:val="en-GB"/>
        </w:rPr>
      </w:pPr>
    </w:p>
    <w:p w14:paraId="607B434F" w14:textId="0FBF0CB7" w:rsidR="00166991" w:rsidRDefault="00166991" w:rsidP="00A152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Unlike the reliefs provided under Article 19 and 21 which are discretionary, the reliefs in Article 20 are automatic and flows from recognition of the foreign main proceeding. However, the automatic reliefs do not apply if there is an existing concurrent domestic insolvency proceeding.</w:t>
      </w:r>
    </w:p>
    <w:p w14:paraId="5B164F33" w14:textId="77777777" w:rsidR="00166991" w:rsidRDefault="00166991" w:rsidP="00A1522E">
      <w:pPr>
        <w:jc w:val="both"/>
        <w:rPr>
          <w:rFonts w:ascii="Arial" w:hAnsi="Arial" w:cs="Arial"/>
          <w:color w:val="7B7B7B" w:themeColor="accent3" w:themeShade="BF"/>
          <w:sz w:val="22"/>
          <w:szCs w:val="22"/>
          <w:lang w:val="en-GB"/>
        </w:rPr>
      </w:pPr>
    </w:p>
    <w:p w14:paraId="45D55E42" w14:textId="780EDDAF" w:rsidR="00A1522E" w:rsidRDefault="002649DB" w:rsidP="00A152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Article 21</w:t>
      </w:r>
      <w:r w:rsidR="002C350B">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provides that the court may grant any appropriate relief upon recognition of the foreign proceeding, whether main or non-main, where necessary to protect the assets of the debtor or interest of the creditors, including:</w:t>
      </w:r>
    </w:p>
    <w:p w14:paraId="741467C1" w14:textId="4DDD4BED" w:rsidR="002649DB" w:rsidRDefault="002649DB" w:rsidP="00A1522E">
      <w:pPr>
        <w:jc w:val="both"/>
        <w:rPr>
          <w:rFonts w:ascii="Arial" w:hAnsi="Arial" w:cs="Arial"/>
          <w:color w:val="7B7B7B" w:themeColor="accent3" w:themeShade="BF"/>
          <w:sz w:val="22"/>
          <w:szCs w:val="22"/>
          <w:lang w:val="en-GB"/>
        </w:rPr>
      </w:pPr>
    </w:p>
    <w:p w14:paraId="3DB6A3D5" w14:textId="45645935" w:rsidR="002649DB" w:rsidRDefault="002C350B" w:rsidP="008D7695">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(3) reliefs which are set out above in relation to Article 20, to the extent such rights have not been stayed or suspended already under Article 20;</w:t>
      </w:r>
    </w:p>
    <w:p w14:paraId="35BF21F8" w14:textId="42B31873" w:rsidR="002C350B" w:rsidRDefault="002C350B" w:rsidP="008D7695">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taking of evidence or delivery of information concerning the debtor’s assets, affairs, rights, obligations or liabilities;</w:t>
      </w:r>
    </w:p>
    <w:p w14:paraId="6BBDD089" w14:textId="17A32A37" w:rsidR="002C350B" w:rsidRDefault="002C350B" w:rsidP="008D7695">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 of the debtor’s assets located in State A to the foreign representative or another person designated by the court;</w:t>
      </w:r>
    </w:p>
    <w:p w14:paraId="69974A3B" w14:textId="109DAAA9" w:rsidR="002C350B" w:rsidRDefault="002C350B" w:rsidP="008D7695">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relief granted under paragraph 1 of article 19 (as described above);</w:t>
      </w:r>
    </w:p>
    <w:p w14:paraId="4E9CE6AB" w14:textId="77777777" w:rsidR="002C350B" w:rsidRDefault="002C350B" w:rsidP="008D76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the to the domestic office-holder under the laws of State A.</w:t>
      </w:r>
    </w:p>
    <w:p w14:paraId="0BA8E160" w14:textId="7053C973" w:rsidR="002C350B" w:rsidRDefault="002C350B" w:rsidP="002C350B">
      <w:pPr>
        <w:jc w:val="both"/>
        <w:rPr>
          <w:rFonts w:ascii="Arial" w:hAnsi="Arial" w:cs="Arial"/>
          <w:color w:val="7B7B7B" w:themeColor="accent3" w:themeShade="BF"/>
          <w:sz w:val="22"/>
          <w:szCs w:val="22"/>
          <w:lang w:val="en-GB"/>
        </w:rPr>
      </w:pPr>
    </w:p>
    <w:p w14:paraId="59642EB2" w14:textId="3F554D8E" w:rsidR="002C350B" w:rsidRDefault="002C350B" w:rsidP="002C350B">
      <w:pPr>
        <w:ind w:firstLine="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reliefs set out in Article 21</w:t>
      </w:r>
      <w:r w:rsidR="00DF59EE">
        <w:rPr>
          <w:rFonts w:ascii="Arial" w:hAnsi="Arial" w:cs="Arial"/>
          <w:color w:val="7B7B7B" w:themeColor="accent3" w:themeShade="BF"/>
          <w:sz w:val="22"/>
          <w:szCs w:val="22"/>
          <w:lang w:val="en-GB"/>
        </w:rPr>
        <w:t>(1) above</w:t>
      </w:r>
      <w:r>
        <w:rPr>
          <w:rFonts w:ascii="Arial" w:hAnsi="Arial" w:cs="Arial"/>
          <w:color w:val="7B7B7B" w:themeColor="accent3" w:themeShade="BF"/>
          <w:sz w:val="22"/>
          <w:szCs w:val="22"/>
          <w:lang w:val="en-GB"/>
        </w:rPr>
        <w:t xml:space="preserve"> are not exhaustive.</w:t>
      </w:r>
    </w:p>
    <w:p w14:paraId="70B582B0" w14:textId="7E63A021" w:rsidR="002C350B" w:rsidRDefault="002C350B" w:rsidP="002C350B">
      <w:pPr>
        <w:jc w:val="both"/>
        <w:rPr>
          <w:rFonts w:ascii="Arial" w:hAnsi="Arial" w:cs="Arial"/>
          <w:color w:val="7B7B7B" w:themeColor="accent3" w:themeShade="BF"/>
          <w:sz w:val="22"/>
          <w:szCs w:val="22"/>
          <w:lang w:val="en-GB"/>
        </w:rPr>
      </w:pPr>
    </w:p>
    <w:p w14:paraId="4F031E7A" w14:textId="0AAF2407" w:rsidR="002C350B" w:rsidRDefault="002C350B" w:rsidP="002C35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Article 21(2) provides that the court may, at the request of the foreign representative, entrust the distribution of the debtor’s assets located in State A to the foreign representative or another person designated by the court, provided that the court is satisfied that the interests of creditors in State A are adequately protected. </w:t>
      </w:r>
    </w:p>
    <w:p w14:paraId="7C05D630" w14:textId="06F6F1BE" w:rsidR="00DF59EE" w:rsidRDefault="00DF59EE" w:rsidP="002C350B">
      <w:pPr>
        <w:jc w:val="both"/>
        <w:rPr>
          <w:rFonts w:ascii="Arial" w:hAnsi="Arial" w:cs="Arial"/>
          <w:color w:val="7B7B7B" w:themeColor="accent3" w:themeShade="BF"/>
          <w:sz w:val="22"/>
          <w:szCs w:val="22"/>
          <w:lang w:val="en-GB"/>
        </w:rPr>
      </w:pPr>
    </w:p>
    <w:p w14:paraId="6733952C" w14:textId="6B7ECF13" w:rsidR="00DF59EE" w:rsidRDefault="00DF59EE" w:rsidP="001669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certain limitations to the appropriate relief which may be granted under Article 21</w:t>
      </w:r>
      <w:r w:rsidR="00166991">
        <w:rPr>
          <w:rFonts w:ascii="Arial" w:hAnsi="Arial" w:cs="Arial"/>
          <w:color w:val="7B7B7B" w:themeColor="accent3" w:themeShade="BF"/>
          <w:sz w:val="22"/>
          <w:szCs w:val="22"/>
          <w:lang w:val="en-GB"/>
        </w:rPr>
        <w:t xml:space="preserve">, depending on the laws of the enacting State. For example, in the case of </w:t>
      </w:r>
      <w:r w:rsidR="00166991" w:rsidRPr="00166991">
        <w:rPr>
          <w:rFonts w:ascii="Arial" w:hAnsi="Arial" w:cs="Arial"/>
          <w:i/>
          <w:color w:val="7B7B7B" w:themeColor="accent3" w:themeShade="BF"/>
          <w:sz w:val="22"/>
          <w:szCs w:val="22"/>
          <w:lang w:val="en-GB"/>
        </w:rPr>
        <w:t>Fibria Celulose S/A v Pan Ocean Co Ltd</w:t>
      </w:r>
      <w:r w:rsidR="00166991">
        <w:rPr>
          <w:rFonts w:ascii="Arial" w:hAnsi="Arial" w:cs="Arial"/>
          <w:color w:val="7B7B7B" w:themeColor="accent3" w:themeShade="BF"/>
          <w:sz w:val="22"/>
          <w:szCs w:val="22"/>
          <w:lang w:val="en-GB"/>
        </w:rPr>
        <w:t>,</w:t>
      </w:r>
      <w:r w:rsidR="00166991">
        <w:rPr>
          <w:rStyle w:val="FootnoteReference"/>
          <w:rFonts w:ascii="Arial" w:hAnsi="Arial" w:cs="Arial"/>
          <w:color w:val="7B7B7B" w:themeColor="accent3" w:themeShade="BF"/>
          <w:sz w:val="22"/>
          <w:szCs w:val="22"/>
          <w:lang w:val="en-GB"/>
        </w:rPr>
        <w:footnoteReference w:id="8"/>
      </w:r>
      <w:r w:rsidR="00166991">
        <w:rPr>
          <w:rFonts w:ascii="Arial" w:hAnsi="Arial" w:cs="Arial"/>
          <w:color w:val="7B7B7B" w:themeColor="accent3" w:themeShade="BF"/>
          <w:sz w:val="22"/>
          <w:szCs w:val="22"/>
          <w:lang w:val="en-GB"/>
        </w:rPr>
        <w:t xml:space="preserve"> the English court found that applying foreign insolvency law to a contract governed by English law is outside the scope of appropriate relief that could be granted. </w:t>
      </w:r>
      <w:r w:rsidR="005F2628">
        <w:rPr>
          <w:rFonts w:ascii="Arial" w:hAnsi="Arial" w:cs="Arial"/>
          <w:color w:val="7B7B7B" w:themeColor="accent3" w:themeShade="BF"/>
          <w:sz w:val="22"/>
          <w:szCs w:val="22"/>
          <w:lang w:val="en-GB"/>
        </w:rPr>
        <w:t>However, such findings may differ in other States.</w:t>
      </w:r>
    </w:p>
    <w:p w14:paraId="7ADAF613" w14:textId="3D1F1F94" w:rsidR="005F2628" w:rsidRDefault="005F2628" w:rsidP="00166991">
      <w:pPr>
        <w:jc w:val="both"/>
        <w:rPr>
          <w:rFonts w:ascii="Arial" w:hAnsi="Arial" w:cs="Arial"/>
          <w:color w:val="7B7B7B" w:themeColor="accent3" w:themeShade="BF"/>
          <w:sz w:val="22"/>
          <w:szCs w:val="22"/>
          <w:lang w:val="en-GB"/>
        </w:rPr>
      </w:pPr>
    </w:p>
    <w:p w14:paraId="6E0B4129" w14:textId="474CA660" w:rsidR="005F2628" w:rsidRPr="00166991" w:rsidRDefault="005F2628" w:rsidP="001669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22 of the MLCBI provides that in granting or denying relief under Article 19 or 21, the court must be satisfied that the interests of the creditors and other interested persons, including the debtor, are adequately protected. The court may impose conditions to reliefs granted under Article 19 or 21 as the court considers appropriate. The court may also, at the request of the foreign representative or persons affected by the relief or on its own motion, modify or terminate such relief. The provisions of Article 22 is to ensure there is a balance between relief that may be granted to the foreign representative and the interests of the persons that may be affected by such relief (e.g. local creditors)</w:t>
      </w:r>
      <w:r w:rsidR="00B865FF">
        <w:rPr>
          <w:rFonts w:ascii="Arial" w:hAnsi="Arial" w:cs="Arial"/>
          <w:color w:val="7B7B7B" w:themeColor="accent3" w:themeShade="BF"/>
          <w:sz w:val="22"/>
          <w:szCs w:val="22"/>
          <w:lang w:val="en-GB"/>
        </w:rPr>
        <w:t xml:space="preserve"> and the court may tailor the discretionary relief to the case at hand</w:t>
      </w:r>
      <w:r>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06638772" w14:textId="4E8F0938" w:rsidR="00B865FF" w:rsidRDefault="00B865FF"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worldwide freezing order granted pre-recognition interim relief under Article 19 must have been due to urgency to protect the protect the assets of the debtor or the interests of creditors, </w:t>
      </w:r>
      <w:r>
        <w:rPr>
          <w:rFonts w:ascii="Arial" w:hAnsi="Arial" w:cs="Arial"/>
          <w:color w:val="7B7B7B" w:themeColor="accent3" w:themeShade="BF"/>
          <w:sz w:val="22"/>
          <w:szCs w:val="22"/>
          <w:lang w:val="en-GB"/>
        </w:rPr>
        <w:lastRenderedPageBreak/>
        <w:t>for example where the assets are in jeopardy. Such order would have been provisional in nature and will terminate when the recognition application is decided upon.</w:t>
      </w:r>
    </w:p>
    <w:p w14:paraId="60617D1D" w14:textId="17099E39" w:rsidR="00B865FF" w:rsidRDefault="00B865FF" w:rsidP="00980314">
      <w:pPr>
        <w:jc w:val="both"/>
        <w:rPr>
          <w:rFonts w:ascii="Arial" w:hAnsi="Arial" w:cs="Arial"/>
          <w:color w:val="7B7B7B" w:themeColor="accent3" w:themeShade="BF"/>
          <w:sz w:val="22"/>
          <w:szCs w:val="22"/>
          <w:lang w:val="en-GB"/>
        </w:rPr>
      </w:pPr>
    </w:p>
    <w:p w14:paraId="6707BEA1" w14:textId="1FB94CEE" w:rsidR="00B865FF" w:rsidRPr="00B865FF" w:rsidRDefault="00B865FF"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court has the discretion to extend such interim worldwide freezing order post-recognition under Article 21, it is unlikely to do so as </w:t>
      </w:r>
      <w:r w:rsidR="0050680E">
        <w:rPr>
          <w:rFonts w:ascii="Arial" w:hAnsi="Arial" w:cs="Arial"/>
          <w:color w:val="7B7B7B" w:themeColor="accent3" w:themeShade="BF"/>
          <w:sz w:val="22"/>
          <w:szCs w:val="22"/>
          <w:lang w:val="en-GB"/>
        </w:rPr>
        <w:t>such order is very wide and does not take into account the specific needs of the case at hand. The court must ensure the appropriate relief strikes a balance between relief that may be granted to the foreign representative and the interests of the persons that may be affected by such relief. T</w:t>
      </w:r>
      <w:r>
        <w:rPr>
          <w:rFonts w:ascii="Arial" w:hAnsi="Arial" w:cs="Arial"/>
          <w:color w:val="7B7B7B" w:themeColor="accent3" w:themeShade="BF"/>
          <w:sz w:val="22"/>
          <w:szCs w:val="22"/>
          <w:lang w:val="en-GB"/>
        </w:rPr>
        <w:t xml:space="preserve">he relief must be tailored taking into account, among others, </w:t>
      </w:r>
      <w:r w:rsidR="0050680E">
        <w:rPr>
          <w:rFonts w:ascii="Arial" w:hAnsi="Arial" w:cs="Arial"/>
          <w:color w:val="7B7B7B" w:themeColor="accent3" w:themeShade="BF"/>
          <w:sz w:val="22"/>
          <w:szCs w:val="22"/>
          <w:lang w:val="en-GB"/>
        </w:rPr>
        <w:t>that foreign non-main proceeding should not be given unnecessarily broad powers, whether there is adequate protection of the interests of creditors and other interested persons.</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8D7695">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D7695">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D7695">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8D7695">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8D7695">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8D769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8D769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8D769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8D769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8D769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8D769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8D7695">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8D7695">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8D7695">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8D7695">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8D7695">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75337502"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21CBC05" w14:textId="77777777" w:rsidR="00E17D26" w:rsidRPr="009B5832" w:rsidRDefault="00E17D26"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w:t>
      </w:r>
      <w:r w:rsidRPr="009B5832">
        <w:rPr>
          <w:rFonts w:ascii="Arial" w:hAnsi="Arial" w:cs="Arial"/>
          <w:color w:val="000000"/>
          <w:sz w:val="22"/>
          <w:szCs w:val="22"/>
          <w:lang w:val="en-GB" w:eastAsia="en-GB"/>
        </w:rPr>
        <w:lastRenderedPageBreak/>
        <w:t>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006300A4" w14:textId="56AD6AF8" w:rsidR="005F18D1" w:rsidRPr="005F18D1" w:rsidRDefault="008A7470" w:rsidP="00707FC8">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664325B9" w14:textId="77777777" w:rsidR="005F18D1" w:rsidRPr="009B5832" w:rsidRDefault="005F18D1" w:rsidP="00707FC8">
      <w:pPr>
        <w:jc w:val="both"/>
        <w:rPr>
          <w:rFonts w:ascii="Arial" w:hAnsi="Arial" w:cs="Arial"/>
          <w:sz w:val="22"/>
          <w:szCs w:val="22"/>
          <w:lang w:val="en-GB"/>
        </w:rPr>
      </w:pPr>
    </w:p>
    <w:p w14:paraId="39BB3BB2" w14:textId="23DEA022" w:rsidR="005F18D1" w:rsidRPr="005F18D1" w:rsidRDefault="005F18D1" w:rsidP="00707FC8">
      <w:pPr>
        <w:jc w:val="both"/>
        <w:rPr>
          <w:rFonts w:ascii="Arial" w:hAnsi="Arial" w:cs="Arial"/>
          <w:color w:val="7B7B7B" w:themeColor="accent3" w:themeShade="BF"/>
          <w:sz w:val="22"/>
          <w:szCs w:val="22"/>
          <w:u w:val="single"/>
          <w:lang w:val="en-GB"/>
        </w:rPr>
      </w:pPr>
      <w:r w:rsidRPr="005F18D1">
        <w:rPr>
          <w:rFonts w:ascii="Arial" w:hAnsi="Arial" w:cs="Arial"/>
          <w:color w:val="7B7B7B" w:themeColor="accent3" w:themeShade="BF"/>
          <w:sz w:val="22"/>
          <w:szCs w:val="22"/>
          <w:u w:val="single"/>
          <w:lang w:val="en-GB"/>
        </w:rPr>
        <w:t>4.1.1</w:t>
      </w:r>
      <w:r w:rsidRPr="005F18D1">
        <w:rPr>
          <w:rFonts w:ascii="Arial" w:hAnsi="Arial" w:cs="Arial"/>
          <w:color w:val="7B7B7B" w:themeColor="accent3" w:themeShade="BF"/>
          <w:sz w:val="22"/>
          <w:szCs w:val="22"/>
          <w:u w:val="single"/>
          <w:lang w:val="en-GB"/>
        </w:rPr>
        <w:tab/>
        <w:t>“Foreign proceeding”</w:t>
      </w:r>
    </w:p>
    <w:p w14:paraId="69327012" w14:textId="77777777" w:rsidR="005F18D1" w:rsidRDefault="005F18D1" w:rsidP="00707FC8">
      <w:pPr>
        <w:jc w:val="both"/>
        <w:rPr>
          <w:rFonts w:ascii="Arial" w:hAnsi="Arial" w:cs="Arial"/>
          <w:color w:val="7B7B7B" w:themeColor="accent3" w:themeShade="BF"/>
          <w:sz w:val="22"/>
          <w:szCs w:val="22"/>
          <w:lang w:val="en-GB"/>
        </w:rPr>
      </w:pPr>
    </w:p>
    <w:p w14:paraId="5BD08630" w14:textId="5EEDF08E" w:rsidR="00A45F62" w:rsidRDefault="00A45F6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outset, it is assumed that the Bank is not excluded from the scope of MLCBI by article 1(2) of the MLCBI.</w:t>
      </w:r>
    </w:p>
    <w:p w14:paraId="6EFEE695" w14:textId="77777777" w:rsidR="00A45F62" w:rsidRDefault="00A45F62" w:rsidP="00707FC8">
      <w:pPr>
        <w:jc w:val="both"/>
        <w:rPr>
          <w:rFonts w:ascii="Arial" w:hAnsi="Arial" w:cs="Arial"/>
          <w:color w:val="7B7B7B" w:themeColor="accent3" w:themeShade="BF"/>
          <w:sz w:val="22"/>
          <w:szCs w:val="22"/>
          <w:lang w:val="en-GB"/>
        </w:rPr>
      </w:pPr>
    </w:p>
    <w:p w14:paraId="6E6B9AA4" w14:textId="6B33501F" w:rsidR="00387106" w:rsidRDefault="00A45F6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2(a) of the MLCBI,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14:paraId="2A95B817" w14:textId="4CC40386" w:rsidR="009701EF" w:rsidRDefault="009701EF" w:rsidP="00707FC8">
      <w:pPr>
        <w:jc w:val="both"/>
        <w:rPr>
          <w:rFonts w:ascii="Arial" w:hAnsi="Arial" w:cs="Arial"/>
          <w:color w:val="7B7B7B" w:themeColor="accent3" w:themeShade="BF"/>
          <w:sz w:val="22"/>
          <w:szCs w:val="22"/>
          <w:lang w:val="en-GB"/>
        </w:rPr>
      </w:pPr>
    </w:p>
    <w:p w14:paraId="16C81C3A" w14:textId="15F7C3B1" w:rsidR="009701EF" w:rsidRDefault="009701E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Bank’s liquidation amounts to a foreign proceeding depends on whether all elements of the definition are met.</w:t>
      </w:r>
    </w:p>
    <w:p w14:paraId="5D1B1439" w14:textId="72E3AE03" w:rsidR="009701EF" w:rsidRDefault="009701EF" w:rsidP="00707FC8">
      <w:pPr>
        <w:jc w:val="both"/>
        <w:rPr>
          <w:rFonts w:ascii="Arial" w:hAnsi="Arial" w:cs="Arial"/>
          <w:color w:val="7B7B7B" w:themeColor="accent3" w:themeShade="BF"/>
          <w:sz w:val="22"/>
          <w:szCs w:val="22"/>
          <w:lang w:val="en-GB"/>
        </w:rPr>
      </w:pPr>
    </w:p>
    <w:p w14:paraId="2397AB18" w14:textId="075858F2" w:rsidR="009701EF" w:rsidRDefault="009701EF" w:rsidP="00700D17">
      <w:pPr>
        <w:jc w:val="both"/>
        <w:rPr>
          <w:rFonts w:ascii="Arial" w:hAnsi="Arial" w:cs="Arial"/>
          <w:color w:val="7B7B7B" w:themeColor="accent3" w:themeShade="BF"/>
          <w:sz w:val="22"/>
          <w:szCs w:val="22"/>
          <w:u w:val="single"/>
          <w:lang w:val="en-GB"/>
        </w:rPr>
      </w:pPr>
      <w:r w:rsidRPr="009701EF">
        <w:rPr>
          <w:rFonts w:ascii="Arial" w:hAnsi="Arial" w:cs="Arial"/>
          <w:color w:val="7B7B7B" w:themeColor="accent3" w:themeShade="BF"/>
          <w:sz w:val="22"/>
          <w:szCs w:val="22"/>
          <w:u w:val="single"/>
          <w:lang w:val="en-GB"/>
        </w:rPr>
        <w:t xml:space="preserve">Collective </w:t>
      </w:r>
      <w:r w:rsidR="007A32E1">
        <w:rPr>
          <w:rFonts w:ascii="Arial" w:hAnsi="Arial" w:cs="Arial"/>
          <w:color w:val="7B7B7B" w:themeColor="accent3" w:themeShade="BF"/>
          <w:sz w:val="22"/>
          <w:szCs w:val="22"/>
          <w:u w:val="single"/>
          <w:lang w:val="en-GB"/>
        </w:rPr>
        <w:t xml:space="preserve">judicial or administrative </w:t>
      </w:r>
      <w:r w:rsidRPr="009701EF">
        <w:rPr>
          <w:rFonts w:ascii="Arial" w:hAnsi="Arial" w:cs="Arial"/>
          <w:color w:val="7B7B7B" w:themeColor="accent3" w:themeShade="BF"/>
          <w:sz w:val="22"/>
          <w:szCs w:val="22"/>
          <w:u w:val="single"/>
          <w:lang w:val="en-GB"/>
        </w:rPr>
        <w:t>proceeding</w:t>
      </w:r>
      <w:r w:rsidR="009E69EA">
        <w:rPr>
          <w:rFonts w:ascii="Arial" w:hAnsi="Arial" w:cs="Arial"/>
          <w:color w:val="7B7B7B" w:themeColor="accent3" w:themeShade="BF"/>
          <w:sz w:val="22"/>
          <w:szCs w:val="22"/>
          <w:u w:val="single"/>
          <w:lang w:val="en-GB"/>
        </w:rPr>
        <w:t xml:space="preserve"> in a foreign State</w:t>
      </w:r>
    </w:p>
    <w:p w14:paraId="3B18DB1C" w14:textId="439A929E" w:rsidR="009701EF" w:rsidRDefault="009701EF" w:rsidP="00707FC8">
      <w:pPr>
        <w:jc w:val="both"/>
        <w:rPr>
          <w:rFonts w:ascii="Arial" w:hAnsi="Arial" w:cs="Arial"/>
          <w:color w:val="7B7B7B" w:themeColor="accent3" w:themeShade="BF"/>
          <w:sz w:val="22"/>
          <w:szCs w:val="22"/>
          <w:u w:val="single"/>
          <w:lang w:val="en-GB"/>
        </w:rPr>
      </w:pPr>
    </w:p>
    <w:p w14:paraId="1BF7A240" w14:textId="3C2059F0" w:rsidR="009701EF" w:rsidRDefault="00DE1A4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UNCITRAL Guide to Enactment</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provides that a proceeding under the Model Law must be a collective proceeding </w:t>
      </w:r>
      <w:r w:rsidR="00A9359F">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the Model Law is intended to provide a tool for achieving a coordinated, global solution for all stakeholders of an insolvency proceeding, and not just for a particular creditor</w:t>
      </w:r>
      <w:r w:rsidR="00F0377F">
        <w:rPr>
          <w:rFonts w:ascii="Arial" w:hAnsi="Arial" w:cs="Arial"/>
          <w:color w:val="7B7B7B" w:themeColor="accent3" w:themeShade="BF"/>
          <w:sz w:val="22"/>
          <w:szCs w:val="22"/>
          <w:lang w:val="en-GB"/>
        </w:rPr>
        <w:t xml:space="preserve"> or group of creditors</w:t>
      </w:r>
      <w:r>
        <w:rPr>
          <w:rFonts w:ascii="Arial" w:hAnsi="Arial" w:cs="Arial"/>
          <w:color w:val="7B7B7B" w:themeColor="accent3" w:themeShade="BF"/>
          <w:sz w:val="22"/>
          <w:szCs w:val="22"/>
          <w:lang w:val="en-GB"/>
        </w:rPr>
        <w:t xml:space="preserve">. </w:t>
      </w:r>
      <w:r w:rsidR="00031616">
        <w:rPr>
          <w:rFonts w:ascii="Arial" w:hAnsi="Arial" w:cs="Arial"/>
          <w:color w:val="7B7B7B" w:themeColor="accent3" w:themeShade="BF"/>
          <w:sz w:val="22"/>
          <w:szCs w:val="22"/>
          <w:lang w:val="en-GB"/>
        </w:rPr>
        <w:t>It also recognises that the Model Law may be an appropriate tool for actions that serve a regulatory purpose, such as receiverships for publicly regulated entities as insurance companies or brokerage firms, provided the proceedings are collective.</w:t>
      </w:r>
    </w:p>
    <w:p w14:paraId="605975FA" w14:textId="2C964199" w:rsidR="00DE1A46" w:rsidRDefault="00DE1A46" w:rsidP="00707FC8">
      <w:pPr>
        <w:jc w:val="both"/>
        <w:rPr>
          <w:rFonts w:ascii="Arial" w:hAnsi="Arial" w:cs="Arial"/>
          <w:color w:val="7B7B7B" w:themeColor="accent3" w:themeShade="BF"/>
          <w:sz w:val="22"/>
          <w:szCs w:val="22"/>
          <w:lang w:val="en-GB"/>
        </w:rPr>
      </w:pPr>
    </w:p>
    <w:p w14:paraId="1B5F62ED" w14:textId="418E4383" w:rsidR="00DE1A46" w:rsidRDefault="00DE1A4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key consideration of whether a proceeding is collective is whether substantially all of the assets </w:t>
      </w:r>
      <w:r w:rsidR="00F0377F">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the liabilities of the debtor are dealt with in the proceeding.</w:t>
      </w:r>
      <w:r w:rsidR="0015600B">
        <w:rPr>
          <w:rFonts w:ascii="Arial" w:hAnsi="Arial" w:cs="Arial"/>
          <w:color w:val="7B7B7B" w:themeColor="accent3" w:themeShade="BF"/>
          <w:sz w:val="22"/>
          <w:szCs w:val="22"/>
          <w:lang w:val="en-GB"/>
        </w:rPr>
        <w:t xml:space="preserve"> It may still be a collective proceeding even if a particular class of creditors’ rights are unaffected by it (e.g. secured creditors claims which may be pursued outside the proceedings).</w:t>
      </w:r>
      <w:r w:rsidR="0015600B">
        <w:rPr>
          <w:rStyle w:val="FootnoteReference"/>
          <w:rFonts w:ascii="Arial" w:hAnsi="Arial" w:cs="Arial"/>
          <w:color w:val="7B7B7B" w:themeColor="accent3" w:themeShade="BF"/>
          <w:sz w:val="22"/>
          <w:szCs w:val="22"/>
          <w:lang w:val="en-GB"/>
        </w:rPr>
        <w:footnoteReference w:id="10"/>
      </w:r>
    </w:p>
    <w:p w14:paraId="475C7296" w14:textId="40A4AD79" w:rsidR="00F0377F" w:rsidRDefault="00F0377F" w:rsidP="00707FC8">
      <w:pPr>
        <w:jc w:val="both"/>
        <w:rPr>
          <w:rFonts w:ascii="Arial" w:hAnsi="Arial" w:cs="Arial"/>
          <w:color w:val="7B7B7B" w:themeColor="accent3" w:themeShade="BF"/>
          <w:sz w:val="22"/>
          <w:szCs w:val="22"/>
          <w:lang w:val="en-GB"/>
        </w:rPr>
      </w:pPr>
    </w:p>
    <w:p w14:paraId="76090DCC" w14:textId="1C992AB6" w:rsidR="00031616" w:rsidRDefault="00F0377F" w:rsidP="000316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facts, in entering liquidation</w:t>
      </w:r>
      <w:r w:rsidR="00031616">
        <w:rPr>
          <w:rFonts w:ascii="Arial" w:hAnsi="Arial" w:cs="Arial"/>
          <w:color w:val="7B7B7B" w:themeColor="accent3" w:themeShade="BF"/>
          <w:sz w:val="22"/>
          <w:szCs w:val="22"/>
          <w:lang w:val="en-GB"/>
        </w:rPr>
        <w:t xml:space="preserve"> for the Bank</w:t>
      </w:r>
      <w:r>
        <w:rPr>
          <w:rFonts w:ascii="Arial" w:hAnsi="Arial" w:cs="Arial"/>
          <w:color w:val="7B7B7B" w:themeColor="accent3" w:themeShade="BF"/>
          <w:sz w:val="22"/>
          <w:szCs w:val="22"/>
          <w:lang w:val="en-GB"/>
        </w:rPr>
        <w:t>, the DGF has full powers of a liquidator including power to compile a list of the Bank’s creditor claims and seek to satisfy those claims. The DGF has power to take over and manage property of the Bank, as well as to dispose of the Bank’s assets and of distribution to the creditors. As the liquidation proceedings</w:t>
      </w:r>
      <w:r w:rsidR="00031616">
        <w:rPr>
          <w:rFonts w:ascii="Arial" w:hAnsi="Arial" w:cs="Arial"/>
          <w:color w:val="7B7B7B" w:themeColor="accent3" w:themeShade="BF"/>
          <w:sz w:val="22"/>
          <w:szCs w:val="22"/>
          <w:lang w:val="en-GB"/>
        </w:rPr>
        <w:t xml:space="preserve"> for the Bank</w:t>
      </w:r>
      <w:r>
        <w:rPr>
          <w:rFonts w:ascii="Arial" w:hAnsi="Arial" w:cs="Arial"/>
          <w:color w:val="7B7B7B" w:themeColor="accent3" w:themeShade="BF"/>
          <w:sz w:val="22"/>
          <w:szCs w:val="22"/>
          <w:lang w:val="en-GB"/>
        </w:rPr>
        <w:t xml:space="preserve"> </w:t>
      </w:r>
      <w:r w:rsidR="009E69EA">
        <w:rPr>
          <w:rFonts w:ascii="Arial" w:hAnsi="Arial" w:cs="Arial"/>
          <w:color w:val="7B7B7B" w:themeColor="accent3" w:themeShade="BF"/>
          <w:sz w:val="22"/>
          <w:szCs w:val="22"/>
          <w:lang w:val="en-GB"/>
        </w:rPr>
        <w:t xml:space="preserve">in Country A </w:t>
      </w:r>
      <w:r>
        <w:rPr>
          <w:rFonts w:ascii="Arial" w:hAnsi="Arial" w:cs="Arial"/>
          <w:color w:val="7B7B7B" w:themeColor="accent3" w:themeShade="BF"/>
          <w:sz w:val="22"/>
          <w:szCs w:val="22"/>
          <w:lang w:val="en-GB"/>
        </w:rPr>
        <w:t>deals with substantially all of the assets and liabilities of the Bank</w:t>
      </w:r>
      <w:r w:rsidR="00031616">
        <w:rPr>
          <w:rFonts w:ascii="Arial" w:hAnsi="Arial" w:cs="Arial"/>
          <w:color w:val="7B7B7B" w:themeColor="accent3" w:themeShade="BF"/>
          <w:sz w:val="22"/>
          <w:szCs w:val="22"/>
          <w:lang w:val="en-GB"/>
        </w:rPr>
        <w:t xml:space="preserve"> and </w:t>
      </w:r>
      <w:r w:rsidR="00031616">
        <w:rPr>
          <w:rFonts w:ascii="Arial" w:hAnsi="Arial" w:cs="Arial"/>
          <w:color w:val="7B7B7B" w:themeColor="accent3" w:themeShade="BF"/>
          <w:sz w:val="22"/>
          <w:szCs w:val="22"/>
          <w:lang w:val="en-GB"/>
        </w:rPr>
        <w:lastRenderedPageBreak/>
        <w:t>satisfaction of the creditor claims</w:t>
      </w:r>
      <w:r>
        <w:rPr>
          <w:rFonts w:ascii="Arial" w:hAnsi="Arial" w:cs="Arial"/>
          <w:color w:val="7B7B7B" w:themeColor="accent3" w:themeShade="BF"/>
          <w:sz w:val="22"/>
          <w:szCs w:val="22"/>
          <w:lang w:val="en-GB"/>
        </w:rPr>
        <w:t xml:space="preserve">, </w:t>
      </w:r>
      <w:r w:rsidR="00031616">
        <w:rPr>
          <w:rFonts w:ascii="Arial" w:hAnsi="Arial" w:cs="Arial"/>
          <w:color w:val="7B7B7B" w:themeColor="accent3" w:themeShade="BF"/>
          <w:sz w:val="22"/>
          <w:szCs w:val="22"/>
          <w:lang w:val="en-GB"/>
        </w:rPr>
        <w:t xml:space="preserve">and the liquidation proceedings are for regulatory purpose, </w:t>
      </w:r>
      <w:r>
        <w:rPr>
          <w:rFonts w:ascii="Arial" w:hAnsi="Arial" w:cs="Arial"/>
          <w:color w:val="7B7B7B" w:themeColor="accent3" w:themeShade="BF"/>
          <w:sz w:val="22"/>
          <w:szCs w:val="22"/>
          <w:lang w:val="en-GB"/>
        </w:rPr>
        <w:t xml:space="preserve">it would </w:t>
      </w:r>
      <w:r w:rsidR="00031616">
        <w:rPr>
          <w:rFonts w:ascii="Arial" w:hAnsi="Arial" w:cs="Arial"/>
          <w:color w:val="7B7B7B" w:themeColor="accent3" w:themeShade="BF"/>
          <w:sz w:val="22"/>
          <w:szCs w:val="22"/>
          <w:lang w:val="en-GB"/>
        </w:rPr>
        <w:t>fulfil the element of</w:t>
      </w:r>
      <w:r>
        <w:rPr>
          <w:rFonts w:ascii="Arial" w:hAnsi="Arial" w:cs="Arial"/>
          <w:color w:val="7B7B7B" w:themeColor="accent3" w:themeShade="BF"/>
          <w:sz w:val="22"/>
          <w:szCs w:val="22"/>
          <w:lang w:val="en-GB"/>
        </w:rPr>
        <w:t xml:space="preserve"> collective </w:t>
      </w:r>
      <w:r w:rsidR="00031616">
        <w:rPr>
          <w:rFonts w:ascii="Arial" w:hAnsi="Arial" w:cs="Arial"/>
          <w:color w:val="7B7B7B" w:themeColor="accent3" w:themeShade="BF"/>
          <w:sz w:val="22"/>
          <w:szCs w:val="22"/>
          <w:lang w:val="en-GB"/>
        </w:rPr>
        <w:t xml:space="preserve">judicial or administrative </w:t>
      </w:r>
      <w:r>
        <w:rPr>
          <w:rFonts w:ascii="Arial" w:hAnsi="Arial" w:cs="Arial"/>
          <w:color w:val="7B7B7B" w:themeColor="accent3" w:themeShade="BF"/>
          <w:sz w:val="22"/>
          <w:szCs w:val="22"/>
          <w:lang w:val="en-GB"/>
        </w:rPr>
        <w:t>proceedings</w:t>
      </w:r>
      <w:r w:rsidR="009E69EA">
        <w:rPr>
          <w:rFonts w:ascii="Arial" w:hAnsi="Arial" w:cs="Arial"/>
          <w:color w:val="7B7B7B" w:themeColor="accent3" w:themeShade="BF"/>
          <w:sz w:val="22"/>
          <w:szCs w:val="22"/>
          <w:lang w:val="en-GB"/>
        </w:rPr>
        <w:t xml:space="preserve"> in a foreign State</w:t>
      </w:r>
      <w:r>
        <w:rPr>
          <w:rFonts w:ascii="Arial" w:hAnsi="Arial" w:cs="Arial"/>
          <w:color w:val="7B7B7B" w:themeColor="accent3" w:themeShade="BF"/>
          <w:sz w:val="22"/>
          <w:szCs w:val="22"/>
          <w:lang w:val="en-GB"/>
        </w:rPr>
        <w:t>.</w:t>
      </w:r>
      <w:r w:rsidR="00031616">
        <w:rPr>
          <w:rFonts w:ascii="Arial" w:hAnsi="Arial" w:cs="Arial"/>
          <w:color w:val="7B7B7B" w:themeColor="accent3" w:themeShade="BF"/>
          <w:sz w:val="22"/>
          <w:szCs w:val="22"/>
          <w:lang w:val="en-GB"/>
        </w:rPr>
        <w:t xml:space="preserve"> </w:t>
      </w:r>
    </w:p>
    <w:p w14:paraId="5FC47038" w14:textId="0E11ECB0" w:rsidR="00031616" w:rsidRDefault="00031616" w:rsidP="00031616">
      <w:pPr>
        <w:jc w:val="both"/>
        <w:rPr>
          <w:rFonts w:ascii="Arial" w:hAnsi="Arial" w:cs="Arial"/>
          <w:color w:val="7B7B7B" w:themeColor="accent3" w:themeShade="BF"/>
          <w:sz w:val="22"/>
          <w:szCs w:val="22"/>
          <w:lang w:val="en-GB"/>
        </w:rPr>
      </w:pPr>
    </w:p>
    <w:p w14:paraId="60B1D555" w14:textId="0BF35157" w:rsidR="00031616" w:rsidRDefault="00031616" w:rsidP="00031616">
      <w:pPr>
        <w:jc w:val="both"/>
        <w:rPr>
          <w:rFonts w:ascii="Arial" w:hAnsi="Arial" w:cs="Arial"/>
          <w:color w:val="7B7B7B" w:themeColor="accent3" w:themeShade="BF"/>
          <w:sz w:val="22"/>
          <w:szCs w:val="22"/>
          <w:u w:val="single"/>
          <w:lang w:val="en-GB"/>
        </w:rPr>
      </w:pPr>
      <w:r w:rsidRPr="009E69EA">
        <w:rPr>
          <w:rFonts w:ascii="Arial" w:hAnsi="Arial" w:cs="Arial"/>
          <w:color w:val="7B7B7B" w:themeColor="accent3" w:themeShade="BF"/>
          <w:sz w:val="22"/>
          <w:szCs w:val="22"/>
          <w:u w:val="single"/>
          <w:lang w:val="en-GB"/>
        </w:rPr>
        <w:t xml:space="preserve">Pursuant to a </w:t>
      </w:r>
      <w:r w:rsidR="009E69EA" w:rsidRPr="009E69EA">
        <w:rPr>
          <w:rFonts w:ascii="Arial" w:hAnsi="Arial" w:cs="Arial"/>
          <w:color w:val="7B7B7B" w:themeColor="accent3" w:themeShade="BF"/>
          <w:sz w:val="22"/>
          <w:szCs w:val="22"/>
          <w:u w:val="single"/>
          <w:lang w:val="en-GB"/>
        </w:rPr>
        <w:t>law relating to insolvency</w:t>
      </w:r>
    </w:p>
    <w:p w14:paraId="10843E51" w14:textId="3C575662" w:rsidR="009E69EA" w:rsidRDefault="009E69EA" w:rsidP="00031616">
      <w:pPr>
        <w:jc w:val="both"/>
        <w:rPr>
          <w:rFonts w:ascii="Arial" w:hAnsi="Arial" w:cs="Arial"/>
          <w:color w:val="7B7B7B" w:themeColor="accent3" w:themeShade="BF"/>
          <w:sz w:val="22"/>
          <w:szCs w:val="22"/>
          <w:u w:val="single"/>
          <w:lang w:val="en-GB"/>
        </w:rPr>
      </w:pPr>
    </w:p>
    <w:p w14:paraId="7D99C6D6" w14:textId="6F3E09D1" w:rsidR="009E69EA" w:rsidRDefault="009E69EA" w:rsidP="000316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Model Law, this requirement is meant to encompass any law that deals with or addresses insolvency or severe financial distress, regardless whether or not the law is labelled insolvency law.</w:t>
      </w:r>
      <w:r w:rsidR="00D778AE">
        <w:rPr>
          <w:rFonts w:ascii="Arial" w:hAnsi="Arial" w:cs="Arial"/>
          <w:color w:val="7B7B7B" w:themeColor="accent3" w:themeShade="BF"/>
          <w:sz w:val="22"/>
          <w:szCs w:val="22"/>
          <w:lang w:val="en-GB"/>
        </w:rPr>
        <w:t xml:space="preserve"> A simple proceeding for a solvent legal entity that does not seek to restructure the financial affairs of the entity, but rather to dissolve its legal status, is likely not one pursuant to a law relating to insolvency or severe financial distress.</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w:t>
      </w:r>
    </w:p>
    <w:p w14:paraId="6CFACC34" w14:textId="680B9414" w:rsidR="009E69EA" w:rsidRDefault="009E69EA" w:rsidP="00031616">
      <w:pPr>
        <w:jc w:val="both"/>
        <w:rPr>
          <w:rFonts w:ascii="Arial" w:hAnsi="Arial" w:cs="Arial"/>
          <w:color w:val="7B7B7B" w:themeColor="accent3" w:themeShade="BF"/>
          <w:sz w:val="22"/>
          <w:szCs w:val="22"/>
          <w:lang w:val="en-GB"/>
        </w:rPr>
      </w:pPr>
    </w:p>
    <w:p w14:paraId="1F3CC053" w14:textId="302FB798" w:rsidR="009E69EA" w:rsidRDefault="004535FC" w:rsidP="000316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UNCITRAL Guide to Enactment (paragraph </w:t>
      </w:r>
      <w:r w:rsidR="00D778AE">
        <w:rPr>
          <w:rFonts w:ascii="Arial" w:hAnsi="Arial" w:cs="Arial"/>
          <w:color w:val="7B7B7B" w:themeColor="accent3" w:themeShade="BF"/>
          <w:sz w:val="22"/>
          <w:szCs w:val="22"/>
          <w:lang w:val="en-GB"/>
        </w:rPr>
        <w:t>48</w:t>
      </w:r>
      <w:r>
        <w:rPr>
          <w:rFonts w:ascii="Arial" w:hAnsi="Arial" w:cs="Arial"/>
          <w:color w:val="7B7B7B" w:themeColor="accent3" w:themeShade="BF"/>
          <w:sz w:val="22"/>
          <w:szCs w:val="22"/>
          <w:lang w:val="en-GB"/>
        </w:rPr>
        <w:t xml:space="preserve">) </w:t>
      </w:r>
      <w:r w:rsidR="00D778AE">
        <w:rPr>
          <w:rFonts w:ascii="Arial" w:hAnsi="Arial" w:cs="Arial"/>
          <w:color w:val="7B7B7B" w:themeColor="accent3" w:themeShade="BF"/>
          <w:sz w:val="22"/>
          <w:szCs w:val="22"/>
          <w:lang w:val="en-GB"/>
        </w:rPr>
        <w:t xml:space="preserve">also clarifies </w:t>
      </w:r>
      <w:r>
        <w:rPr>
          <w:rFonts w:ascii="Arial" w:hAnsi="Arial" w:cs="Arial"/>
          <w:color w:val="7B7B7B" w:themeColor="accent3" w:themeShade="BF"/>
          <w:sz w:val="22"/>
          <w:szCs w:val="22"/>
          <w:lang w:val="en-GB"/>
        </w:rPr>
        <w:t xml:space="preserve">that </w:t>
      </w:r>
      <w:r w:rsidR="00D778AE">
        <w:rPr>
          <w:rFonts w:ascii="Arial" w:hAnsi="Arial" w:cs="Arial"/>
          <w:color w:val="7B7B7B" w:themeColor="accent3" w:themeShade="BF"/>
          <w:sz w:val="22"/>
          <w:szCs w:val="22"/>
          <w:lang w:val="en-GB"/>
        </w:rPr>
        <w:t>w</w:t>
      </w:r>
      <w:r w:rsidR="005478ED">
        <w:rPr>
          <w:rFonts w:ascii="Arial" w:hAnsi="Arial" w:cs="Arial"/>
          <w:color w:val="7B7B7B" w:themeColor="accent3" w:themeShade="BF"/>
          <w:sz w:val="22"/>
          <w:szCs w:val="22"/>
          <w:lang w:val="en-GB"/>
        </w:rPr>
        <w:t>here a proceeding serves several purposes, including the winding-up of a solvent entity, it fulfils the element if the debtor is insolvent or in severe financial distress.</w:t>
      </w:r>
    </w:p>
    <w:p w14:paraId="73C3FD5A" w14:textId="40DB641A" w:rsidR="00DF4734" w:rsidRDefault="00DF4734" w:rsidP="00031616">
      <w:pPr>
        <w:jc w:val="both"/>
        <w:rPr>
          <w:rFonts w:ascii="Arial" w:hAnsi="Arial" w:cs="Arial"/>
          <w:color w:val="7B7B7B" w:themeColor="accent3" w:themeShade="BF"/>
          <w:sz w:val="22"/>
          <w:szCs w:val="22"/>
          <w:lang w:val="en-GB"/>
        </w:rPr>
      </w:pPr>
    </w:p>
    <w:p w14:paraId="3B9BFD68" w14:textId="3CD3C44A" w:rsidR="00DF4734" w:rsidRDefault="005478ED" w:rsidP="00C470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w:t>
      </w:r>
      <w:r w:rsidR="00DF4734">
        <w:rPr>
          <w:rFonts w:ascii="Arial" w:hAnsi="Arial" w:cs="Arial"/>
          <w:color w:val="7B7B7B" w:themeColor="accent3" w:themeShade="BF"/>
          <w:sz w:val="22"/>
          <w:szCs w:val="22"/>
          <w:lang w:val="en-GB"/>
        </w:rPr>
        <w:t xml:space="preserve">udicial precedents </w:t>
      </w:r>
      <w:r w:rsidR="00D778AE">
        <w:rPr>
          <w:rFonts w:ascii="Arial" w:hAnsi="Arial" w:cs="Arial"/>
          <w:color w:val="7B7B7B" w:themeColor="accent3" w:themeShade="BF"/>
          <w:sz w:val="22"/>
          <w:szCs w:val="22"/>
          <w:lang w:val="en-GB"/>
        </w:rPr>
        <w:t xml:space="preserve">provide some guidance on how English courts have interpreted this requirement, where the proceeding was not necessarily commenced on insolvency </w:t>
      </w:r>
      <w:r w:rsidR="005033C2">
        <w:rPr>
          <w:rFonts w:ascii="Arial" w:hAnsi="Arial" w:cs="Arial"/>
          <w:color w:val="7B7B7B" w:themeColor="accent3" w:themeShade="BF"/>
          <w:sz w:val="22"/>
          <w:szCs w:val="22"/>
          <w:lang w:val="en-GB"/>
        </w:rPr>
        <w:t xml:space="preserve">grounds. </w:t>
      </w:r>
      <w:r w:rsidR="00DF4734">
        <w:rPr>
          <w:rFonts w:ascii="Arial" w:hAnsi="Arial" w:cs="Arial"/>
          <w:color w:val="7B7B7B" w:themeColor="accent3" w:themeShade="BF"/>
          <w:sz w:val="22"/>
          <w:szCs w:val="22"/>
          <w:lang w:val="en-GB"/>
        </w:rPr>
        <w:t>In</w:t>
      </w:r>
      <w:r w:rsidR="005033C2">
        <w:rPr>
          <w:rFonts w:ascii="Arial" w:hAnsi="Arial" w:cs="Arial"/>
          <w:color w:val="7B7B7B" w:themeColor="accent3" w:themeShade="BF"/>
          <w:sz w:val="22"/>
          <w:szCs w:val="22"/>
          <w:lang w:val="en-GB"/>
        </w:rPr>
        <w:t xml:space="preserve"> the case of</w:t>
      </w:r>
      <w:r w:rsidR="00DF4734">
        <w:rPr>
          <w:rFonts w:ascii="Arial" w:hAnsi="Arial" w:cs="Arial"/>
          <w:color w:val="7B7B7B" w:themeColor="accent3" w:themeShade="BF"/>
          <w:sz w:val="22"/>
          <w:szCs w:val="22"/>
          <w:lang w:val="en-GB"/>
        </w:rPr>
        <w:t xml:space="preserve"> </w:t>
      </w:r>
      <w:r w:rsidR="00DF4734" w:rsidRPr="005033C2">
        <w:rPr>
          <w:rFonts w:ascii="Arial" w:hAnsi="Arial" w:cs="Arial"/>
          <w:i/>
          <w:color w:val="7B7B7B" w:themeColor="accent3" w:themeShade="BF"/>
          <w:sz w:val="22"/>
          <w:szCs w:val="22"/>
          <w:lang w:val="en-GB"/>
        </w:rPr>
        <w:t>Stanford International Bank</w:t>
      </w:r>
      <w:r w:rsidR="00C470B0">
        <w:rPr>
          <w:rFonts w:ascii="Arial" w:hAnsi="Arial" w:cs="Arial"/>
          <w:color w:val="7B7B7B" w:themeColor="accent3" w:themeShade="BF"/>
          <w:sz w:val="22"/>
          <w:szCs w:val="22"/>
          <w:lang w:val="en-GB"/>
        </w:rPr>
        <w:t>, the English court found that the liquidation of an Antiguan company on the basis that it was just and equitable to do so was “pursuant to a law relating to insolvency”. The court found that although the ground for liquidation was confined to regulatory misbehaviour under the applicable legislation, the insolvency was a factor in the Antiguan’s court discretion to make the order. This finding was upheld by the English appellate court</w:t>
      </w:r>
      <w:r>
        <w:rPr>
          <w:rFonts w:ascii="Arial" w:hAnsi="Arial" w:cs="Arial"/>
          <w:color w:val="7B7B7B" w:themeColor="accent3" w:themeShade="BF"/>
          <w:sz w:val="22"/>
          <w:szCs w:val="22"/>
          <w:lang w:val="en-GB"/>
        </w:rPr>
        <w:t xml:space="preserve"> on the basis that just and equitable grounds included insolvency as well as infringements of regulatory requirements</w:t>
      </w:r>
      <w:r w:rsidR="00C470B0">
        <w:rPr>
          <w:rFonts w:ascii="Arial" w:hAnsi="Arial" w:cs="Arial"/>
          <w:color w:val="7B7B7B" w:themeColor="accent3" w:themeShade="BF"/>
          <w:sz w:val="22"/>
          <w:szCs w:val="22"/>
          <w:lang w:val="en-GB"/>
        </w:rPr>
        <w:t>.</w:t>
      </w:r>
      <w:r w:rsidR="00C470B0">
        <w:rPr>
          <w:rStyle w:val="FootnoteReference"/>
          <w:rFonts w:ascii="Arial" w:hAnsi="Arial" w:cs="Arial"/>
          <w:color w:val="7B7B7B" w:themeColor="accent3" w:themeShade="BF"/>
          <w:sz w:val="22"/>
          <w:szCs w:val="22"/>
          <w:lang w:val="en-GB"/>
        </w:rPr>
        <w:footnoteReference w:id="12"/>
      </w:r>
    </w:p>
    <w:p w14:paraId="42572CEC" w14:textId="25633779" w:rsidR="00C470B0" w:rsidRDefault="00C470B0" w:rsidP="00031616">
      <w:pPr>
        <w:jc w:val="both"/>
        <w:rPr>
          <w:rFonts w:ascii="Arial" w:hAnsi="Arial" w:cs="Arial"/>
          <w:color w:val="7B7B7B" w:themeColor="accent3" w:themeShade="BF"/>
          <w:sz w:val="22"/>
          <w:szCs w:val="22"/>
          <w:lang w:val="en-GB"/>
        </w:rPr>
      </w:pPr>
    </w:p>
    <w:p w14:paraId="6A53D959" w14:textId="671C7D28" w:rsidR="00C470B0" w:rsidRDefault="00C470B0" w:rsidP="000316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Agrokor case,</w:t>
      </w:r>
      <w:r>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 xml:space="preserve"> the English court found that the requirement of “law relating to insolvency” is satisfied </w:t>
      </w:r>
      <w:r w:rsidR="001509DD">
        <w:rPr>
          <w:rFonts w:ascii="Arial" w:hAnsi="Arial" w:cs="Arial"/>
          <w:color w:val="7B7B7B" w:themeColor="accent3" w:themeShade="BF"/>
          <w:sz w:val="22"/>
          <w:szCs w:val="22"/>
          <w:lang w:val="en-GB"/>
        </w:rPr>
        <w:t xml:space="preserve">if </w:t>
      </w:r>
      <w:r w:rsidR="005033C2">
        <w:rPr>
          <w:rFonts w:ascii="Arial" w:hAnsi="Arial" w:cs="Arial"/>
          <w:color w:val="7B7B7B" w:themeColor="accent3" w:themeShade="BF"/>
          <w:sz w:val="22"/>
          <w:szCs w:val="22"/>
          <w:lang w:val="en-GB"/>
        </w:rPr>
        <w:t xml:space="preserve">the law deals with insolvency or severe financial distress. It is fulfilled if </w:t>
      </w:r>
      <w:r w:rsidR="001509DD">
        <w:rPr>
          <w:rFonts w:ascii="Arial" w:hAnsi="Arial" w:cs="Arial"/>
          <w:color w:val="7B7B7B" w:themeColor="accent3" w:themeShade="BF"/>
          <w:sz w:val="22"/>
          <w:szCs w:val="22"/>
          <w:lang w:val="en-GB"/>
        </w:rPr>
        <w:t xml:space="preserve">insolvency is one of the grounds on which the proceeding could be commenced, even if insolvency could not actually be shown. </w:t>
      </w:r>
    </w:p>
    <w:p w14:paraId="33D34C75" w14:textId="61E37F95" w:rsidR="00E17D26" w:rsidRDefault="00E17D26" w:rsidP="00031616">
      <w:pPr>
        <w:jc w:val="both"/>
        <w:rPr>
          <w:rFonts w:ascii="Arial" w:hAnsi="Arial" w:cs="Arial"/>
          <w:color w:val="7B7B7B" w:themeColor="accent3" w:themeShade="BF"/>
          <w:sz w:val="22"/>
          <w:szCs w:val="22"/>
          <w:lang w:val="en-GB"/>
        </w:rPr>
      </w:pPr>
    </w:p>
    <w:p w14:paraId="386FEDF7" w14:textId="0B5C906A" w:rsidR="00F71E00" w:rsidRDefault="00BF1E80" w:rsidP="000316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w:t>
      </w:r>
      <w:r w:rsidR="0089798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Bank and taking into consideration the guidance above</w:t>
      </w:r>
      <w:r w:rsidR="00E17D26">
        <w:rPr>
          <w:rFonts w:ascii="Arial" w:hAnsi="Arial" w:cs="Arial"/>
          <w:color w:val="7B7B7B" w:themeColor="accent3" w:themeShade="BF"/>
          <w:sz w:val="22"/>
          <w:szCs w:val="22"/>
          <w:lang w:val="en-GB"/>
        </w:rPr>
        <w:t>,</w:t>
      </w:r>
      <w:r w:rsidR="00F71E00">
        <w:rPr>
          <w:rFonts w:ascii="Arial" w:hAnsi="Arial" w:cs="Arial"/>
          <w:color w:val="7B7B7B" w:themeColor="accent3" w:themeShade="BF"/>
          <w:sz w:val="22"/>
          <w:szCs w:val="22"/>
          <w:lang w:val="en-GB"/>
        </w:rPr>
        <w:t xml:space="preserve"> I am of the view that the English court would find the requirement of “law relating to insolvency” satisfied on the basis that:</w:t>
      </w:r>
    </w:p>
    <w:p w14:paraId="2877CA3F" w14:textId="77777777" w:rsidR="00F71E00" w:rsidRDefault="00F71E00" w:rsidP="00031616">
      <w:pPr>
        <w:jc w:val="both"/>
        <w:rPr>
          <w:rFonts w:ascii="Arial" w:hAnsi="Arial" w:cs="Arial"/>
          <w:color w:val="7B7B7B" w:themeColor="accent3" w:themeShade="BF"/>
          <w:sz w:val="22"/>
          <w:szCs w:val="22"/>
          <w:lang w:val="en-GB"/>
        </w:rPr>
      </w:pPr>
    </w:p>
    <w:p w14:paraId="53AFB433" w14:textId="1B314BBF" w:rsidR="00376FEF" w:rsidRDefault="00F71E00" w:rsidP="008D769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4A1BFC" w:rsidRPr="00F71E00">
        <w:rPr>
          <w:rFonts w:ascii="Arial" w:hAnsi="Arial" w:cs="Arial"/>
          <w:color w:val="7B7B7B" w:themeColor="accent3" w:themeShade="BF"/>
          <w:sz w:val="22"/>
          <w:szCs w:val="22"/>
          <w:lang w:val="en-GB"/>
        </w:rPr>
        <w:t xml:space="preserve">he grounds for declaring a bank insolvent is upon fulfilment of the criteria in article 76 of the LBBA, </w:t>
      </w:r>
      <w:r w:rsidR="00376FEF" w:rsidRPr="00F71E00">
        <w:rPr>
          <w:rFonts w:ascii="Arial" w:hAnsi="Arial" w:cs="Arial"/>
          <w:color w:val="7B7B7B" w:themeColor="accent3" w:themeShade="BF"/>
          <w:sz w:val="22"/>
          <w:szCs w:val="22"/>
          <w:lang w:val="en-GB"/>
        </w:rPr>
        <w:t>one of which is</w:t>
      </w:r>
      <w:r w:rsidR="004A1BFC" w:rsidRPr="00F71E00">
        <w:rPr>
          <w:rFonts w:ascii="Arial" w:hAnsi="Arial" w:cs="Arial"/>
          <w:color w:val="7B7B7B" w:themeColor="accent3" w:themeShade="BF"/>
          <w:sz w:val="22"/>
          <w:szCs w:val="22"/>
          <w:lang w:val="en-GB"/>
        </w:rPr>
        <w:t xml:space="preserve"> </w:t>
      </w:r>
      <w:r w:rsidR="00376FEF" w:rsidRPr="00F71E00">
        <w:rPr>
          <w:rFonts w:ascii="Arial" w:hAnsi="Arial" w:cs="Arial"/>
          <w:color w:val="7B7B7B" w:themeColor="accent3" w:themeShade="BF"/>
          <w:sz w:val="22"/>
          <w:szCs w:val="22"/>
          <w:lang w:val="en-GB"/>
        </w:rPr>
        <w:t>the</w:t>
      </w:r>
      <w:r w:rsidR="004A1BFC" w:rsidRPr="00F71E00">
        <w:rPr>
          <w:rFonts w:ascii="Arial" w:hAnsi="Arial" w:cs="Arial"/>
          <w:color w:val="7B7B7B" w:themeColor="accent3" w:themeShade="BF"/>
          <w:sz w:val="22"/>
          <w:szCs w:val="22"/>
          <w:lang w:val="en-GB"/>
        </w:rPr>
        <w:t xml:space="preserve"> </w:t>
      </w:r>
      <w:r w:rsidR="00376FEF" w:rsidRPr="00F71E00">
        <w:rPr>
          <w:rFonts w:ascii="Arial" w:hAnsi="Arial" w:cs="Arial"/>
          <w:color w:val="7B7B7B" w:themeColor="accent3" w:themeShade="BF"/>
          <w:sz w:val="22"/>
          <w:szCs w:val="22"/>
          <w:lang w:val="en-GB"/>
        </w:rPr>
        <w:t>failure to meet 2% or more of its obligations to depositors or creditors. Failure to meet the obligations to depositors or other creditors amount</w:t>
      </w:r>
      <w:r>
        <w:rPr>
          <w:rFonts w:ascii="Arial" w:hAnsi="Arial" w:cs="Arial"/>
          <w:color w:val="7B7B7B" w:themeColor="accent3" w:themeShade="BF"/>
          <w:sz w:val="22"/>
          <w:szCs w:val="22"/>
          <w:lang w:val="en-GB"/>
        </w:rPr>
        <w:t>s</w:t>
      </w:r>
      <w:r w:rsidR="00376FEF" w:rsidRPr="00F71E00">
        <w:rPr>
          <w:rFonts w:ascii="Arial" w:hAnsi="Arial" w:cs="Arial"/>
          <w:color w:val="7B7B7B" w:themeColor="accent3" w:themeShade="BF"/>
          <w:sz w:val="22"/>
          <w:szCs w:val="22"/>
          <w:lang w:val="en-GB"/>
        </w:rPr>
        <w:t xml:space="preserve"> to cash-flow insolvency</w:t>
      </w:r>
      <w:r>
        <w:rPr>
          <w:rFonts w:ascii="Arial" w:hAnsi="Arial" w:cs="Arial"/>
          <w:color w:val="7B7B7B" w:themeColor="accent3" w:themeShade="BF"/>
          <w:sz w:val="22"/>
          <w:szCs w:val="22"/>
          <w:lang w:val="en-GB"/>
        </w:rPr>
        <w:t xml:space="preserve">. Thus, the LBBA is an insolvency law as one of the grounds on which liquidation proceedings could be commenced is cash-flow insolvency, even if </w:t>
      </w:r>
      <w:r w:rsidR="0089798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Bank was not declared insolvent on this ground. </w:t>
      </w:r>
    </w:p>
    <w:p w14:paraId="36B1F4C1" w14:textId="77777777" w:rsidR="00F71E00" w:rsidRDefault="00F71E00" w:rsidP="00F71E00">
      <w:pPr>
        <w:pStyle w:val="ListParagraph"/>
        <w:jc w:val="both"/>
        <w:rPr>
          <w:rFonts w:ascii="Arial" w:hAnsi="Arial" w:cs="Arial"/>
          <w:color w:val="7B7B7B" w:themeColor="accent3" w:themeShade="BF"/>
          <w:sz w:val="22"/>
          <w:szCs w:val="22"/>
          <w:lang w:val="en-GB"/>
        </w:rPr>
      </w:pPr>
    </w:p>
    <w:p w14:paraId="6A751B6E" w14:textId="47E08F7F" w:rsidR="00F71E00" w:rsidRDefault="00F71E00" w:rsidP="008D769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376FEF" w:rsidRPr="00F71E00">
        <w:rPr>
          <w:rFonts w:ascii="Arial" w:hAnsi="Arial" w:cs="Arial"/>
          <w:color w:val="7B7B7B" w:themeColor="accent3" w:themeShade="BF"/>
          <w:sz w:val="22"/>
          <w:szCs w:val="22"/>
          <w:lang w:val="en-GB"/>
        </w:rPr>
        <w:t>lthough</w:t>
      </w:r>
      <w:r w:rsidR="0089798C">
        <w:rPr>
          <w:rFonts w:ascii="Arial" w:hAnsi="Arial" w:cs="Arial"/>
          <w:color w:val="7B7B7B" w:themeColor="accent3" w:themeShade="BF"/>
          <w:sz w:val="22"/>
          <w:szCs w:val="22"/>
          <w:lang w:val="en-GB"/>
        </w:rPr>
        <w:t xml:space="preserve"> the Bank</w:t>
      </w:r>
      <w:r w:rsidR="00376FEF" w:rsidRPr="00F71E00">
        <w:rPr>
          <w:rFonts w:ascii="Arial" w:hAnsi="Arial" w:cs="Arial"/>
          <w:color w:val="7B7B7B" w:themeColor="accent3" w:themeShade="BF"/>
          <w:sz w:val="22"/>
          <w:szCs w:val="22"/>
          <w:lang w:val="en-GB"/>
        </w:rPr>
        <w:t xml:space="preserve"> was </w:t>
      </w:r>
      <w:r w:rsidR="004E50AC" w:rsidRPr="00F71E00">
        <w:rPr>
          <w:rFonts w:ascii="Arial" w:hAnsi="Arial" w:cs="Arial"/>
          <w:color w:val="7B7B7B" w:themeColor="accent3" w:themeShade="BF"/>
          <w:sz w:val="22"/>
          <w:szCs w:val="22"/>
          <w:lang w:val="en-GB"/>
        </w:rPr>
        <w:t>declared</w:t>
      </w:r>
      <w:r w:rsidR="00376FEF" w:rsidRPr="00F71E00">
        <w:rPr>
          <w:rFonts w:ascii="Arial" w:hAnsi="Arial" w:cs="Arial"/>
          <w:color w:val="7B7B7B" w:themeColor="accent3" w:themeShade="BF"/>
          <w:sz w:val="22"/>
          <w:szCs w:val="22"/>
          <w:lang w:val="en-GB"/>
        </w:rPr>
        <w:t xml:space="preserve"> as insolvent as it failed to remedy its risky operations</w:t>
      </w:r>
      <w:r w:rsidR="004E50AC" w:rsidRPr="00F71E00">
        <w:rPr>
          <w:rFonts w:ascii="Arial" w:hAnsi="Arial" w:cs="Arial"/>
          <w:color w:val="7B7B7B" w:themeColor="accent3" w:themeShade="BF"/>
          <w:sz w:val="22"/>
          <w:szCs w:val="22"/>
          <w:lang w:val="en-GB"/>
        </w:rPr>
        <w:t xml:space="preserve"> after it was classified as “troubled”, it is evident from the risky operations identified (including continued worsening of capital beyond minimum requirements, deteriorating financial position, substantial liabilities with questionable repayment, increase in illiquid assets) that </w:t>
      </w:r>
      <w:r w:rsidR="0089798C">
        <w:rPr>
          <w:rFonts w:ascii="Arial" w:hAnsi="Arial" w:cs="Arial"/>
          <w:color w:val="7B7B7B" w:themeColor="accent3" w:themeShade="BF"/>
          <w:sz w:val="22"/>
          <w:szCs w:val="22"/>
          <w:lang w:val="en-GB"/>
        </w:rPr>
        <w:t xml:space="preserve">the </w:t>
      </w:r>
      <w:r w:rsidR="004E50AC" w:rsidRPr="00F71E00">
        <w:rPr>
          <w:rFonts w:ascii="Arial" w:hAnsi="Arial" w:cs="Arial"/>
          <w:color w:val="7B7B7B" w:themeColor="accent3" w:themeShade="BF"/>
          <w:sz w:val="22"/>
          <w:szCs w:val="22"/>
          <w:lang w:val="en-GB"/>
        </w:rPr>
        <w:t>Bank was in severe financial distress</w:t>
      </w:r>
      <w:r>
        <w:rPr>
          <w:rFonts w:ascii="Arial" w:hAnsi="Arial" w:cs="Arial"/>
          <w:color w:val="7B7B7B" w:themeColor="accent3" w:themeShade="BF"/>
          <w:sz w:val="22"/>
          <w:szCs w:val="22"/>
          <w:lang w:val="en-GB"/>
        </w:rPr>
        <w:t xml:space="preserve"> when liquidation proceedings commenced</w:t>
      </w:r>
      <w:r w:rsidR="004E50AC" w:rsidRPr="00F71E00">
        <w:rPr>
          <w:rFonts w:ascii="Arial" w:hAnsi="Arial" w:cs="Arial"/>
          <w:color w:val="7B7B7B" w:themeColor="accent3" w:themeShade="BF"/>
          <w:sz w:val="22"/>
          <w:szCs w:val="22"/>
          <w:lang w:val="en-GB"/>
        </w:rPr>
        <w:t>.</w:t>
      </w:r>
    </w:p>
    <w:p w14:paraId="29AA2ADF" w14:textId="77777777" w:rsidR="00F71E00" w:rsidRPr="00F71E00" w:rsidRDefault="00F71E00" w:rsidP="00F71E00">
      <w:pPr>
        <w:pStyle w:val="ListParagraph"/>
        <w:rPr>
          <w:rFonts w:ascii="Arial" w:hAnsi="Arial" w:cs="Arial"/>
          <w:color w:val="7B7B7B" w:themeColor="accent3" w:themeShade="BF"/>
          <w:sz w:val="22"/>
          <w:szCs w:val="22"/>
          <w:lang w:val="en-GB"/>
        </w:rPr>
      </w:pPr>
    </w:p>
    <w:p w14:paraId="510F1533" w14:textId="5D76C765" w:rsidR="00BF1E80" w:rsidRDefault="00F71E00" w:rsidP="00F71E0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Affidavit also states that </w:t>
      </w:r>
      <w:r w:rsidR="0089798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Bank’s current estimated deficiency exceeds USD 823 million, </w:t>
      </w:r>
      <w:r w:rsidR="00BF1E80">
        <w:rPr>
          <w:rFonts w:ascii="Arial" w:hAnsi="Arial" w:cs="Arial"/>
          <w:color w:val="7B7B7B" w:themeColor="accent3" w:themeShade="BF"/>
          <w:sz w:val="22"/>
          <w:szCs w:val="22"/>
          <w:lang w:val="en-GB"/>
        </w:rPr>
        <w:t>although this is after the fact</w:t>
      </w:r>
      <w:r>
        <w:rPr>
          <w:rFonts w:ascii="Arial" w:hAnsi="Arial" w:cs="Arial"/>
          <w:color w:val="7B7B7B" w:themeColor="accent3" w:themeShade="BF"/>
          <w:sz w:val="22"/>
          <w:szCs w:val="22"/>
          <w:lang w:val="en-GB"/>
        </w:rPr>
        <w:t>.</w:t>
      </w:r>
    </w:p>
    <w:p w14:paraId="094AE333" w14:textId="162DCE71" w:rsidR="00BF1E80" w:rsidRDefault="00BF1E80" w:rsidP="00BF1E80">
      <w:pPr>
        <w:jc w:val="both"/>
        <w:rPr>
          <w:rFonts w:ascii="Arial" w:hAnsi="Arial" w:cs="Arial"/>
          <w:color w:val="7B7B7B" w:themeColor="accent3" w:themeShade="BF"/>
          <w:sz w:val="22"/>
          <w:szCs w:val="22"/>
          <w:lang w:val="en-GB"/>
        </w:rPr>
      </w:pPr>
    </w:p>
    <w:p w14:paraId="76558869" w14:textId="4A5F094C" w:rsidR="00BF1E80" w:rsidRDefault="00BF1E80" w:rsidP="00BF1E80">
      <w:pPr>
        <w:jc w:val="both"/>
        <w:rPr>
          <w:rFonts w:ascii="Arial" w:hAnsi="Arial" w:cs="Arial"/>
          <w:color w:val="7B7B7B" w:themeColor="accent3" w:themeShade="BF"/>
          <w:sz w:val="22"/>
          <w:szCs w:val="22"/>
          <w:lang w:val="en-GB"/>
        </w:rPr>
      </w:pPr>
    </w:p>
    <w:p w14:paraId="3AF48AD7" w14:textId="77777777" w:rsidR="00BF1E80" w:rsidRDefault="00BF1E80" w:rsidP="00BF1E80">
      <w:pPr>
        <w:jc w:val="both"/>
        <w:rPr>
          <w:rFonts w:ascii="Arial" w:hAnsi="Arial" w:cs="Arial"/>
          <w:color w:val="7B7B7B" w:themeColor="accent3" w:themeShade="BF"/>
          <w:sz w:val="22"/>
          <w:szCs w:val="22"/>
          <w:lang w:val="en-GB"/>
        </w:rPr>
      </w:pPr>
    </w:p>
    <w:p w14:paraId="6AD3B0A9" w14:textId="3F81601B" w:rsidR="00376FEF" w:rsidRDefault="00BF1E80" w:rsidP="00BF1E80">
      <w:pPr>
        <w:jc w:val="both"/>
        <w:rPr>
          <w:rFonts w:ascii="Arial" w:hAnsi="Arial" w:cs="Arial"/>
          <w:color w:val="7B7B7B" w:themeColor="accent3" w:themeShade="BF"/>
          <w:sz w:val="22"/>
          <w:szCs w:val="22"/>
          <w:u w:val="single"/>
          <w:lang w:val="en-GB"/>
        </w:rPr>
      </w:pPr>
      <w:r w:rsidRPr="00BF1E80">
        <w:rPr>
          <w:rFonts w:ascii="Arial" w:hAnsi="Arial" w:cs="Arial"/>
          <w:color w:val="7B7B7B" w:themeColor="accent3" w:themeShade="BF"/>
          <w:sz w:val="22"/>
          <w:szCs w:val="22"/>
          <w:u w:val="single"/>
          <w:lang w:val="en-GB"/>
        </w:rPr>
        <w:t>Subject to control and supervision of a foreign court</w:t>
      </w:r>
    </w:p>
    <w:p w14:paraId="7C91016D" w14:textId="61F0B0A0" w:rsidR="0089798C" w:rsidRDefault="0089798C" w:rsidP="00BF1E80">
      <w:pPr>
        <w:jc w:val="both"/>
        <w:rPr>
          <w:rFonts w:ascii="Arial" w:hAnsi="Arial" w:cs="Arial"/>
          <w:color w:val="7B7B7B" w:themeColor="accent3" w:themeShade="BF"/>
          <w:sz w:val="22"/>
          <w:szCs w:val="22"/>
          <w:lang w:val="en-GB"/>
        </w:rPr>
      </w:pPr>
    </w:p>
    <w:p w14:paraId="69B4D80B" w14:textId="06949558" w:rsidR="0089798C" w:rsidRDefault="0089798C" w:rsidP="00BF1E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 assets and liabilities of the Bank are subject to the DGF (as the liquidator, pursuant to article 77 of the LBBA) and the liquidation proceedings are controlled by the DGF. Even if the DGF may delegate some of its powers to an authorised officer or authorised person, such officer or person is still accountable and supervised by the DGF for their actions in the Bank’s liquidation.</w:t>
      </w:r>
      <w:r w:rsidR="002276E8">
        <w:rPr>
          <w:rFonts w:ascii="Arial" w:hAnsi="Arial" w:cs="Arial"/>
          <w:color w:val="7B7B7B" w:themeColor="accent3" w:themeShade="BF"/>
          <w:sz w:val="22"/>
          <w:szCs w:val="22"/>
          <w:lang w:val="en-GB"/>
        </w:rPr>
        <w:t xml:space="preserve"> The DGF or its authorised person has extensive powers under article 37 of DGF Law, including powers to exercise managerial and supervisory powers, enter into contracts etc.</w:t>
      </w:r>
    </w:p>
    <w:p w14:paraId="0D3201FA" w14:textId="7B989CAE" w:rsidR="002276E8" w:rsidRDefault="002276E8" w:rsidP="00BF1E80">
      <w:pPr>
        <w:jc w:val="both"/>
        <w:rPr>
          <w:rFonts w:ascii="Arial" w:hAnsi="Arial" w:cs="Arial"/>
          <w:color w:val="7B7B7B" w:themeColor="accent3" w:themeShade="BF"/>
          <w:sz w:val="22"/>
          <w:szCs w:val="22"/>
          <w:lang w:val="en-GB"/>
        </w:rPr>
      </w:pPr>
    </w:p>
    <w:p w14:paraId="28BFB839" w14:textId="06A72575" w:rsidR="002276E8" w:rsidRDefault="002276E8" w:rsidP="00BF1E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DGF is a governmental body of Country A which is economically independent, and its functions and powers cannot be interfered with by the NB of other public authorities. </w:t>
      </w:r>
    </w:p>
    <w:p w14:paraId="7C6BA38E" w14:textId="486E80BD" w:rsidR="002276E8" w:rsidRDefault="002276E8" w:rsidP="00BF1E80">
      <w:pPr>
        <w:jc w:val="both"/>
        <w:rPr>
          <w:rFonts w:ascii="Arial" w:hAnsi="Arial" w:cs="Arial"/>
          <w:color w:val="7B7B7B" w:themeColor="accent3" w:themeShade="BF"/>
          <w:sz w:val="22"/>
          <w:szCs w:val="22"/>
          <w:lang w:val="en-GB"/>
        </w:rPr>
      </w:pPr>
    </w:p>
    <w:p w14:paraId="098074EF" w14:textId="5554BFDC" w:rsidR="002276E8" w:rsidRDefault="002276E8" w:rsidP="002276E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court” is defined in article 2(e) of the Model Law as a judicial or other authority competent to control or supervise a foreign proceeding. Therefore, this element will be satisfied if the proceedings are controlled or supervised by a judicial body or by an administrative body. This approach is to ensure that those legal systems in which control or supervision was undertaken by non-judicial authorities would still fall within the definition of foreign proceedings.</w:t>
      </w:r>
      <w:r>
        <w:rPr>
          <w:rStyle w:val="FootnoteReference"/>
          <w:rFonts w:ascii="Arial" w:hAnsi="Arial" w:cs="Arial"/>
          <w:color w:val="7B7B7B" w:themeColor="accent3" w:themeShade="BF"/>
          <w:sz w:val="22"/>
          <w:szCs w:val="22"/>
          <w:lang w:val="en-GB"/>
        </w:rPr>
        <w:footnoteReference w:id="14"/>
      </w:r>
    </w:p>
    <w:p w14:paraId="2F514A44" w14:textId="5C9AE965" w:rsidR="002276E8" w:rsidRDefault="002276E8" w:rsidP="002276E8">
      <w:pPr>
        <w:jc w:val="both"/>
        <w:rPr>
          <w:rFonts w:ascii="Arial" w:hAnsi="Arial" w:cs="Arial"/>
          <w:color w:val="7B7B7B" w:themeColor="accent3" w:themeShade="BF"/>
          <w:sz w:val="22"/>
          <w:szCs w:val="22"/>
          <w:lang w:val="en-GB"/>
        </w:rPr>
      </w:pPr>
    </w:p>
    <w:p w14:paraId="3DF8A79A" w14:textId="40D66E95" w:rsidR="002276E8" w:rsidRDefault="002276E8" w:rsidP="002276E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view of this, the control and supervision of the Bank’s </w:t>
      </w:r>
      <w:r w:rsidR="00705F61">
        <w:rPr>
          <w:rFonts w:ascii="Arial" w:hAnsi="Arial" w:cs="Arial"/>
          <w:color w:val="7B7B7B" w:themeColor="accent3" w:themeShade="BF"/>
          <w:sz w:val="22"/>
          <w:szCs w:val="22"/>
          <w:lang w:val="en-GB"/>
        </w:rPr>
        <w:t>liquidation proceedings by the DGF will satisfy this element, even if the DGF is a non-judicial authority. This is further supported by judicial precedent, such as in Tradex Swiss AG (384 BR 34 at 42 (2008)) [CLOUT case no. 791], the Swiss Federal Banking Commission was held by the court in the United States of America to be a “foreign court” because it controlled and supervised liquidation of entities in the brokerage trade.</w:t>
      </w:r>
      <w:r w:rsidR="00705F61">
        <w:rPr>
          <w:rStyle w:val="FootnoteReference"/>
          <w:rFonts w:ascii="Arial" w:hAnsi="Arial" w:cs="Arial"/>
          <w:color w:val="7B7B7B" w:themeColor="accent3" w:themeShade="BF"/>
          <w:sz w:val="22"/>
          <w:szCs w:val="22"/>
          <w:lang w:val="en-GB"/>
        </w:rPr>
        <w:footnoteReference w:id="15"/>
      </w:r>
    </w:p>
    <w:p w14:paraId="5898212B" w14:textId="5F3D472F" w:rsidR="00705F61" w:rsidRDefault="00705F61" w:rsidP="002276E8">
      <w:pPr>
        <w:jc w:val="both"/>
        <w:rPr>
          <w:rFonts w:ascii="Arial" w:hAnsi="Arial" w:cs="Arial"/>
          <w:color w:val="7B7B7B" w:themeColor="accent3" w:themeShade="BF"/>
          <w:sz w:val="22"/>
          <w:szCs w:val="22"/>
          <w:lang w:val="en-GB"/>
        </w:rPr>
      </w:pPr>
    </w:p>
    <w:p w14:paraId="1C2C8276" w14:textId="0E6E08C0" w:rsidR="00705F61" w:rsidRPr="00705F61" w:rsidRDefault="00705F61" w:rsidP="002276E8">
      <w:pPr>
        <w:jc w:val="both"/>
        <w:rPr>
          <w:rFonts w:ascii="Arial" w:hAnsi="Arial" w:cs="Arial"/>
          <w:color w:val="7B7B7B" w:themeColor="accent3" w:themeShade="BF"/>
          <w:sz w:val="22"/>
          <w:szCs w:val="22"/>
          <w:u w:val="single"/>
          <w:lang w:val="en-GB"/>
        </w:rPr>
      </w:pPr>
      <w:r w:rsidRPr="00705F61">
        <w:rPr>
          <w:rFonts w:ascii="Arial" w:hAnsi="Arial" w:cs="Arial"/>
          <w:color w:val="7B7B7B" w:themeColor="accent3" w:themeShade="BF"/>
          <w:sz w:val="22"/>
          <w:szCs w:val="22"/>
          <w:u w:val="single"/>
          <w:lang w:val="en-GB"/>
        </w:rPr>
        <w:t>For the purpose of liquidation or reorganisation</w:t>
      </w:r>
    </w:p>
    <w:p w14:paraId="2E5266FF" w14:textId="2A4615C9" w:rsidR="00705F61" w:rsidRDefault="00705F61" w:rsidP="002276E8">
      <w:pPr>
        <w:jc w:val="both"/>
        <w:rPr>
          <w:rFonts w:ascii="Arial" w:hAnsi="Arial" w:cs="Arial"/>
          <w:color w:val="7B7B7B" w:themeColor="accent3" w:themeShade="BF"/>
          <w:sz w:val="22"/>
          <w:szCs w:val="22"/>
          <w:lang w:val="en-GB"/>
        </w:rPr>
      </w:pPr>
    </w:p>
    <w:p w14:paraId="5DBE8EFE" w14:textId="2FB29469" w:rsidR="00705F61" w:rsidRDefault="00705F61" w:rsidP="002276E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w:t>
      </w:r>
      <w:r w:rsidR="005F18D1">
        <w:rPr>
          <w:rFonts w:ascii="Arial" w:hAnsi="Arial" w:cs="Arial"/>
          <w:color w:val="7B7B7B" w:themeColor="accent3" w:themeShade="BF"/>
          <w:sz w:val="22"/>
          <w:szCs w:val="22"/>
          <w:lang w:val="en-GB"/>
        </w:rPr>
        <w:t>the Bank has entered in liquidation and all powers of the Bank’s management and control bodies are terminated, all banking activities are terminated, all money liabilities due to the Bank are deemed due and the DGF alienates the Bank’s property and funds. The DGF has full powers of the liquidator including the power to dispose of the Bank’s assets and of distribution to the Bank’s creditors, and all powers as are necessary to complete the liquidation of a bank.</w:t>
      </w:r>
    </w:p>
    <w:p w14:paraId="22780AAB" w14:textId="70F45F27" w:rsidR="002276E8" w:rsidRDefault="002276E8" w:rsidP="00BF1E80">
      <w:pPr>
        <w:jc w:val="both"/>
        <w:rPr>
          <w:rFonts w:ascii="Arial" w:hAnsi="Arial" w:cs="Arial"/>
          <w:color w:val="7B7B7B" w:themeColor="accent3" w:themeShade="BF"/>
          <w:sz w:val="22"/>
          <w:szCs w:val="22"/>
          <w:lang w:val="en-GB"/>
        </w:rPr>
      </w:pPr>
    </w:p>
    <w:p w14:paraId="69F3414B" w14:textId="5D0FE22D" w:rsidR="005F18D1" w:rsidRDefault="005F18D1" w:rsidP="00BF1E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such, it is clear that the proceedings are for the purpose of the liquidation of the Bank.</w:t>
      </w:r>
    </w:p>
    <w:p w14:paraId="4564B9E7" w14:textId="443CBFCA" w:rsidR="005F18D1" w:rsidRDefault="005F18D1" w:rsidP="00BF1E80">
      <w:pPr>
        <w:jc w:val="both"/>
        <w:rPr>
          <w:rFonts w:ascii="Arial" w:hAnsi="Arial" w:cs="Arial"/>
          <w:color w:val="7B7B7B" w:themeColor="accent3" w:themeShade="BF"/>
          <w:sz w:val="22"/>
          <w:szCs w:val="22"/>
          <w:lang w:val="en-GB"/>
        </w:rPr>
      </w:pPr>
    </w:p>
    <w:p w14:paraId="69967F4C" w14:textId="095AAB01" w:rsidR="005F18D1" w:rsidRDefault="005F18D1" w:rsidP="00BF1E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view of the above, it is likely that the liquidation proceedings of the Bank is within the meaning of “foreign proceedings” under article 2(a) of the Model Law.</w:t>
      </w:r>
    </w:p>
    <w:p w14:paraId="765F0CD8" w14:textId="483EA7F1" w:rsidR="005F18D1" w:rsidRDefault="005F18D1" w:rsidP="00BF1E80">
      <w:pPr>
        <w:jc w:val="both"/>
        <w:rPr>
          <w:rFonts w:ascii="Arial" w:hAnsi="Arial" w:cs="Arial"/>
          <w:color w:val="7B7B7B" w:themeColor="accent3" w:themeShade="BF"/>
          <w:sz w:val="22"/>
          <w:szCs w:val="22"/>
          <w:lang w:val="en-GB"/>
        </w:rPr>
      </w:pPr>
    </w:p>
    <w:p w14:paraId="26BDACBB" w14:textId="2AE6E32A" w:rsidR="005F18D1" w:rsidRDefault="005F18D1" w:rsidP="00BF1E80">
      <w:pPr>
        <w:jc w:val="both"/>
        <w:rPr>
          <w:rFonts w:ascii="Arial" w:hAnsi="Arial" w:cs="Arial"/>
          <w:color w:val="7B7B7B" w:themeColor="accent3" w:themeShade="BF"/>
          <w:sz w:val="22"/>
          <w:szCs w:val="22"/>
          <w:u w:val="single"/>
          <w:lang w:val="en-GB"/>
        </w:rPr>
      </w:pPr>
      <w:r w:rsidRPr="005F18D1">
        <w:rPr>
          <w:rFonts w:ascii="Arial" w:hAnsi="Arial" w:cs="Arial"/>
          <w:color w:val="7B7B7B" w:themeColor="accent3" w:themeShade="BF"/>
          <w:sz w:val="22"/>
          <w:szCs w:val="22"/>
          <w:u w:val="single"/>
          <w:lang w:val="en-GB"/>
        </w:rPr>
        <w:t>4.1.2</w:t>
      </w:r>
      <w:r w:rsidRPr="005F18D1">
        <w:rPr>
          <w:rFonts w:ascii="Arial" w:hAnsi="Arial" w:cs="Arial"/>
          <w:color w:val="7B7B7B" w:themeColor="accent3" w:themeShade="BF"/>
          <w:sz w:val="22"/>
          <w:szCs w:val="22"/>
          <w:u w:val="single"/>
          <w:lang w:val="en-GB"/>
        </w:rPr>
        <w:tab/>
        <w:t>“Foreign representative”</w:t>
      </w:r>
    </w:p>
    <w:p w14:paraId="133DF69B" w14:textId="4B2A5A9F" w:rsidR="005F18D1" w:rsidRDefault="005F18D1" w:rsidP="00BF1E80">
      <w:pPr>
        <w:jc w:val="both"/>
        <w:rPr>
          <w:rFonts w:ascii="Arial" w:hAnsi="Arial" w:cs="Arial"/>
          <w:color w:val="7B7B7B" w:themeColor="accent3" w:themeShade="BF"/>
          <w:sz w:val="22"/>
          <w:szCs w:val="22"/>
          <w:u w:val="single"/>
          <w:lang w:val="en-GB"/>
        </w:rPr>
      </w:pPr>
    </w:p>
    <w:p w14:paraId="7F3B6DFE" w14:textId="331E3318" w:rsidR="008849D1" w:rsidRDefault="008849D1" w:rsidP="008849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representative” is defined in article 2(d) of the Model Law to mean a person or body, including one appointed on an interim basis, authorised in a foreign proceeding to administer the reorganisation or the liquidation of the debtor’s assets or affairs or to act as a representative of the foreign proceeding. </w:t>
      </w:r>
    </w:p>
    <w:p w14:paraId="289AECBF" w14:textId="5A792ABC" w:rsidR="005E7B1D" w:rsidRDefault="005E7B1D" w:rsidP="008849D1">
      <w:pPr>
        <w:jc w:val="both"/>
        <w:rPr>
          <w:rFonts w:ascii="Arial" w:hAnsi="Arial" w:cs="Arial"/>
          <w:color w:val="7B7B7B" w:themeColor="accent3" w:themeShade="BF"/>
          <w:sz w:val="22"/>
          <w:szCs w:val="22"/>
          <w:lang w:val="en-GB"/>
        </w:rPr>
      </w:pPr>
    </w:p>
    <w:p w14:paraId="756955D8" w14:textId="68BD75DA" w:rsidR="005E7B1D" w:rsidRDefault="005E7B1D" w:rsidP="008849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the DGF and Ms G are applying for recognition of the foreign proceedings. </w:t>
      </w:r>
    </w:p>
    <w:p w14:paraId="475F29B3" w14:textId="28CF9B62" w:rsidR="005E7B1D" w:rsidRDefault="005E7B1D" w:rsidP="008849D1">
      <w:pPr>
        <w:jc w:val="both"/>
        <w:rPr>
          <w:rFonts w:ascii="Arial" w:hAnsi="Arial" w:cs="Arial"/>
          <w:color w:val="7B7B7B" w:themeColor="accent3" w:themeShade="BF"/>
          <w:sz w:val="22"/>
          <w:szCs w:val="22"/>
          <w:lang w:val="en-GB"/>
        </w:rPr>
      </w:pPr>
    </w:p>
    <w:p w14:paraId="3F88D2E5" w14:textId="44DFCA61" w:rsidR="005E7B1D" w:rsidRDefault="005E7B1D" w:rsidP="008849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DGF is appointed as the liquidator of the Bank pursuant to article 77 of the LBBA. Although some of its powers have been delegated to Ms G, the DGF still retains important powers of a liquidator, including in particular the power to arrange for sale of the Bank’s assets. As such, the DGF is a body authorised in the Bank’s liquidation proceedings to administer the Bank’s assets</w:t>
      </w:r>
      <w:r w:rsidR="00AF11EC">
        <w:rPr>
          <w:rFonts w:ascii="Arial" w:hAnsi="Arial" w:cs="Arial"/>
          <w:color w:val="7B7B7B" w:themeColor="accent3" w:themeShade="BF"/>
          <w:sz w:val="22"/>
          <w:szCs w:val="22"/>
          <w:lang w:val="en-GB"/>
        </w:rPr>
        <w:t xml:space="preserve"> and is a foreign representative within the definition of article 2(d) of the Model Law.</w:t>
      </w:r>
    </w:p>
    <w:p w14:paraId="5863BE2F" w14:textId="0583EDD7" w:rsidR="00AF11EC" w:rsidRDefault="00AF11EC" w:rsidP="008849D1">
      <w:pPr>
        <w:jc w:val="both"/>
        <w:rPr>
          <w:rFonts w:ascii="Arial" w:hAnsi="Arial" w:cs="Arial"/>
          <w:color w:val="7B7B7B" w:themeColor="accent3" w:themeShade="BF"/>
          <w:sz w:val="22"/>
          <w:szCs w:val="22"/>
          <w:lang w:val="en-GB"/>
        </w:rPr>
      </w:pPr>
    </w:p>
    <w:p w14:paraId="4F885B62" w14:textId="0FDD16A4" w:rsidR="005F18D1" w:rsidRDefault="00AF11EC" w:rsidP="00BF1E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for Ms G, the DGF has delegated to her all liquidation powers in respect of the Bank save for those powers expressly excluded and retained with the DGF. The powers delegated to Ms G include the power to sign agreements relating to sale of the bank’s assets and article 37 which provides that DGF (or its authorised person i.e. Ms G) has extensive powers including powers to exercise managerial and supervisory powers, enter contracts, restrict or terminate bank transactions and to file claims with a court. As such, Ms G is a person authorised by the DGF in the Bank’s liquidation proceedings to administer the liquidation of the Bank, and is a foreign representative within the definition of article 2(d) of the Model Law.</w:t>
      </w:r>
    </w:p>
    <w:p w14:paraId="2FBA4DE6" w14:textId="194B2C80" w:rsidR="00AF11EC" w:rsidRDefault="00AF11EC" w:rsidP="00BF1E80">
      <w:pPr>
        <w:jc w:val="both"/>
        <w:rPr>
          <w:rFonts w:ascii="Arial" w:hAnsi="Arial" w:cs="Arial"/>
          <w:color w:val="7B7B7B" w:themeColor="accent3" w:themeShade="BF"/>
          <w:sz w:val="22"/>
          <w:szCs w:val="22"/>
          <w:lang w:val="en-GB"/>
        </w:rPr>
      </w:pPr>
    </w:p>
    <w:p w14:paraId="73F6E9F6" w14:textId="5643838F" w:rsidR="00AF11EC" w:rsidRDefault="00AF11EC" w:rsidP="00BF1E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both the DGF and Ms G </w:t>
      </w:r>
      <w:r w:rsidR="0003542B">
        <w:rPr>
          <w:rFonts w:ascii="Arial" w:hAnsi="Arial" w:cs="Arial"/>
          <w:color w:val="7B7B7B" w:themeColor="accent3" w:themeShade="BF"/>
          <w:sz w:val="22"/>
          <w:szCs w:val="22"/>
          <w:lang w:val="en-GB"/>
        </w:rPr>
        <w:t>would fall within</w:t>
      </w:r>
      <w:r>
        <w:rPr>
          <w:rFonts w:ascii="Arial" w:hAnsi="Arial" w:cs="Arial"/>
          <w:color w:val="7B7B7B" w:themeColor="accent3" w:themeShade="BF"/>
          <w:sz w:val="22"/>
          <w:szCs w:val="22"/>
          <w:lang w:val="en-GB"/>
        </w:rPr>
        <w:t xml:space="preserve"> the meaning of foreign representative</w:t>
      </w:r>
      <w:r w:rsidR="0003542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E4E3" w14:textId="77777777" w:rsidR="008D7695" w:rsidRDefault="008D7695" w:rsidP="00241B44">
      <w:r>
        <w:separator/>
      </w:r>
    </w:p>
  </w:endnote>
  <w:endnote w:type="continuationSeparator" w:id="0">
    <w:p w14:paraId="657743CD" w14:textId="77777777" w:rsidR="008D7695" w:rsidRDefault="008D76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705F61" w:rsidRPr="00FC7B47" w:rsidRDefault="00705F61"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6501EE7E" w:rsidR="00705F61" w:rsidRPr="00FC7B47" w:rsidRDefault="00705F61" w:rsidP="004063E2">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705F61" w:rsidRPr="00784B4B" w:rsidRDefault="00705F61"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4A8FEA3D" w:rsidR="00705F61" w:rsidRDefault="0003542B" w:rsidP="0036760B">
    <w:pPr>
      <w:pStyle w:val="Footer"/>
      <w:ind w:right="360" w:firstLine="360"/>
      <w:rPr>
        <w:rFonts w:ascii="Arial" w:hAnsi="Arial" w:cs="Arial"/>
        <w:sz w:val="18"/>
        <w:szCs w:val="18"/>
      </w:rPr>
    </w:pPr>
    <w:r>
      <w:rPr>
        <w:rFonts w:ascii="Arial" w:hAnsi="Arial" w:cs="Arial"/>
        <w:sz w:val="18"/>
        <w:szCs w:val="18"/>
      </w:rPr>
      <w:t>202122-527</w:t>
    </w:r>
    <w:r w:rsidR="00705F61"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0CEE" w14:textId="77777777" w:rsidR="0003542B" w:rsidRDefault="000354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2DCF" w14:textId="06DDCE3D" w:rsidR="00705F61" w:rsidRDefault="00705F61" w:rsidP="00784B4B">
    <w:pPr>
      <w:pStyle w:val="Footer"/>
      <w:ind w:right="360"/>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70D9" w14:textId="77777777" w:rsidR="008D7695" w:rsidRDefault="008D7695" w:rsidP="00241B44">
      <w:r>
        <w:separator/>
      </w:r>
    </w:p>
  </w:footnote>
  <w:footnote w:type="continuationSeparator" w:id="0">
    <w:p w14:paraId="472D5706" w14:textId="77777777" w:rsidR="008D7695" w:rsidRDefault="008D7695" w:rsidP="00241B44">
      <w:r>
        <w:continuationSeparator/>
      </w:r>
    </w:p>
  </w:footnote>
  <w:footnote w:id="1">
    <w:p w14:paraId="44F98018" w14:textId="18B41AD3" w:rsidR="00705F61" w:rsidRPr="00194869" w:rsidRDefault="00705F61">
      <w:pPr>
        <w:pStyle w:val="FootnoteText"/>
        <w:rPr>
          <w:lang w:val="en-MY"/>
        </w:rPr>
      </w:pPr>
      <w:r>
        <w:rPr>
          <w:rStyle w:val="FootnoteReference"/>
        </w:rPr>
        <w:footnoteRef/>
      </w:r>
      <w:r>
        <w:t xml:space="preserve"> </w:t>
      </w:r>
      <w:r>
        <w:rPr>
          <w:lang w:val="en-MY"/>
        </w:rPr>
        <w:t xml:space="preserve">Paragraphs 157-160 of the UNCITRAL Guide to Enactment </w:t>
      </w:r>
    </w:p>
  </w:footnote>
  <w:footnote w:id="2">
    <w:p w14:paraId="3EDDAB19" w14:textId="0CF6039D" w:rsidR="00705F61" w:rsidRPr="00F93722" w:rsidRDefault="00705F61">
      <w:pPr>
        <w:pStyle w:val="FootnoteText"/>
        <w:rPr>
          <w:lang w:val="en-MY"/>
        </w:rPr>
      </w:pPr>
      <w:r>
        <w:rPr>
          <w:rStyle w:val="FootnoteReference"/>
        </w:rPr>
        <w:footnoteRef/>
      </w:r>
      <w:r>
        <w:t xml:space="preserve"> </w:t>
      </w:r>
      <w:r>
        <w:rPr>
          <w:lang w:val="en-MY"/>
        </w:rPr>
        <w:t>Paragraphs 148 – 149, UNCITRAL Guide to Enactment.</w:t>
      </w:r>
    </w:p>
  </w:footnote>
  <w:footnote w:id="3">
    <w:p w14:paraId="57A406CA" w14:textId="391EF58E" w:rsidR="00705F61" w:rsidRPr="00966ECA" w:rsidRDefault="00705F61">
      <w:pPr>
        <w:pStyle w:val="FootnoteText"/>
        <w:rPr>
          <w:lang w:val="en-GB"/>
        </w:rPr>
      </w:pPr>
      <w:r>
        <w:rPr>
          <w:rStyle w:val="FootnoteReference"/>
        </w:rPr>
        <w:footnoteRef/>
      </w:r>
      <w:r>
        <w:t xml:space="preserve"> </w:t>
      </w:r>
      <w:r>
        <w:rPr>
          <w:lang w:val="en-GB"/>
        </w:rPr>
        <w:t>Paragraphs 212 and 213 of the UNCITRAL Guide to Enactment.</w:t>
      </w:r>
    </w:p>
  </w:footnote>
  <w:footnote w:id="4">
    <w:p w14:paraId="0E725170" w14:textId="6A07F316" w:rsidR="00705F61" w:rsidRPr="00D45BF7" w:rsidRDefault="00705F61">
      <w:pPr>
        <w:pStyle w:val="FootnoteText"/>
        <w:rPr>
          <w:lang w:val="en-GB"/>
        </w:rPr>
      </w:pPr>
      <w:r>
        <w:rPr>
          <w:rStyle w:val="FootnoteReference"/>
        </w:rPr>
        <w:footnoteRef/>
      </w:r>
      <w:r>
        <w:t xml:space="preserve"> </w:t>
      </w:r>
      <w:r>
        <w:rPr>
          <w:lang w:val="en-GB"/>
        </w:rPr>
        <w:t>Paragraph 104, UNCITRAL Guide to Enactment.</w:t>
      </w:r>
    </w:p>
  </w:footnote>
  <w:footnote w:id="5">
    <w:p w14:paraId="42E71309" w14:textId="3AB15064" w:rsidR="00705F61" w:rsidRPr="00D45BF7" w:rsidRDefault="00705F61">
      <w:pPr>
        <w:pStyle w:val="FootnoteText"/>
        <w:rPr>
          <w:lang w:val="en-GB"/>
        </w:rPr>
      </w:pPr>
      <w:r>
        <w:rPr>
          <w:rStyle w:val="FootnoteReference"/>
        </w:rPr>
        <w:footnoteRef/>
      </w:r>
      <w:r>
        <w:t xml:space="preserve"> </w:t>
      </w:r>
      <w:r>
        <w:rPr>
          <w:lang w:val="en-GB"/>
        </w:rPr>
        <w:t>Agrokor DD [2017] EWHC 2791 (Ch).</w:t>
      </w:r>
    </w:p>
  </w:footnote>
  <w:footnote w:id="6">
    <w:p w14:paraId="1619D8F2" w14:textId="365D8DEB" w:rsidR="00705F61" w:rsidRPr="006967CB" w:rsidRDefault="00705F61">
      <w:pPr>
        <w:pStyle w:val="FootnoteText"/>
        <w:rPr>
          <w:lang w:val="en-GB"/>
        </w:rPr>
      </w:pPr>
      <w:r>
        <w:rPr>
          <w:rStyle w:val="FootnoteReference"/>
        </w:rPr>
        <w:footnoteRef/>
      </w:r>
      <w:r>
        <w:t xml:space="preserve"> </w:t>
      </w:r>
      <w:r>
        <w:rPr>
          <w:lang w:val="en-GB"/>
        </w:rPr>
        <w:t>Nordic Trustee A.S.A &amp; anr v OGX Petroleo e Gas SA [2016] EWHC 25 (Ch).</w:t>
      </w:r>
    </w:p>
  </w:footnote>
  <w:footnote w:id="7">
    <w:p w14:paraId="4424BC61" w14:textId="104E6B5A" w:rsidR="00705F61" w:rsidRPr="00166991" w:rsidRDefault="00705F61">
      <w:pPr>
        <w:pStyle w:val="FootnoteText"/>
        <w:rPr>
          <w:lang w:val="en-GB"/>
        </w:rPr>
      </w:pPr>
      <w:r>
        <w:rPr>
          <w:rStyle w:val="FootnoteReference"/>
        </w:rPr>
        <w:footnoteRef/>
      </w:r>
      <w:r>
        <w:t xml:space="preserve"> </w:t>
      </w:r>
      <w:r>
        <w:rPr>
          <w:lang w:val="en-GB"/>
        </w:rPr>
        <w:t>Paragraphs 171 – 172, UNCITRAL Guide to Enactment.</w:t>
      </w:r>
    </w:p>
  </w:footnote>
  <w:footnote w:id="8">
    <w:p w14:paraId="26015C83" w14:textId="5B66A97C" w:rsidR="00705F61" w:rsidRPr="00166991" w:rsidRDefault="00705F61">
      <w:pPr>
        <w:pStyle w:val="FootnoteText"/>
        <w:rPr>
          <w:lang w:val="en-GB"/>
        </w:rPr>
      </w:pPr>
      <w:r>
        <w:rPr>
          <w:rStyle w:val="FootnoteReference"/>
        </w:rPr>
        <w:footnoteRef/>
      </w:r>
      <w:r>
        <w:t xml:space="preserve"> </w:t>
      </w:r>
      <w:r>
        <w:rPr>
          <w:lang w:val="en-GB"/>
        </w:rPr>
        <w:t>[2014] EWHC 2121 (Ch).</w:t>
      </w:r>
    </w:p>
  </w:footnote>
  <w:footnote w:id="9">
    <w:p w14:paraId="47B244EB" w14:textId="04437B45" w:rsidR="00705F61" w:rsidRPr="00DE1A46" w:rsidRDefault="00705F61">
      <w:pPr>
        <w:pStyle w:val="FootnoteText"/>
        <w:rPr>
          <w:lang w:val="en-MY"/>
        </w:rPr>
      </w:pPr>
      <w:r>
        <w:rPr>
          <w:rStyle w:val="FootnoteReference"/>
        </w:rPr>
        <w:footnoteRef/>
      </w:r>
      <w:r>
        <w:t xml:space="preserve"> </w:t>
      </w:r>
      <w:r>
        <w:rPr>
          <w:lang w:val="en-MY"/>
        </w:rPr>
        <w:t>Paragraphs 69 – 72, UNCITRAL Guide to Enactment.</w:t>
      </w:r>
    </w:p>
  </w:footnote>
  <w:footnote w:id="10">
    <w:p w14:paraId="04E82254" w14:textId="7D494DE2" w:rsidR="00705F61" w:rsidRPr="0015600B" w:rsidRDefault="00705F61">
      <w:pPr>
        <w:pStyle w:val="FootnoteText"/>
        <w:rPr>
          <w:lang w:val="en-MY"/>
        </w:rPr>
      </w:pPr>
      <w:r>
        <w:rPr>
          <w:rStyle w:val="FootnoteReference"/>
        </w:rPr>
        <w:footnoteRef/>
      </w:r>
      <w:r>
        <w:t xml:space="preserve"> </w:t>
      </w:r>
      <w:r>
        <w:rPr>
          <w:lang w:val="en-MY"/>
        </w:rPr>
        <w:t>Paragraph 72, Model Law on Cross-Border Insolvency: The Judicial Perspective</w:t>
      </w:r>
    </w:p>
  </w:footnote>
  <w:footnote w:id="11">
    <w:p w14:paraId="271FB4DE" w14:textId="591FF92A" w:rsidR="00705F61" w:rsidRPr="009E69EA" w:rsidRDefault="00705F61">
      <w:pPr>
        <w:pStyle w:val="FootnoteText"/>
        <w:rPr>
          <w:lang w:val="en-MY"/>
        </w:rPr>
      </w:pPr>
      <w:r>
        <w:rPr>
          <w:rStyle w:val="FootnoteReference"/>
        </w:rPr>
        <w:footnoteRef/>
      </w:r>
      <w:r>
        <w:t xml:space="preserve"> </w:t>
      </w:r>
      <w:r>
        <w:rPr>
          <w:lang w:val="en-MY"/>
        </w:rPr>
        <w:t>Paragraph 73, UNCITRAL Guide to Enactment.</w:t>
      </w:r>
    </w:p>
  </w:footnote>
  <w:footnote w:id="12">
    <w:p w14:paraId="00DABB9F" w14:textId="5238FD5A" w:rsidR="00705F61" w:rsidRPr="00C470B0" w:rsidRDefault="00705F61">
      <w:pPr>
        <w:pStyle w:val="FootnoteText"/>
        <w:rPr>
          <w:lang w:val="en-MY"/>
        </w:rPr>
      </w:pPr>
      <w:r>
        <w:rPr>
          <w:rStyle w:val="FootnoteReference"/>
        </w:rPr>
        <w:footnoteRef/>
      </w:r>
      <w:r>
        <w:t xml:space="preserve"> </w:t>
      </w:r>
      <w:r>
        <w:rPr>
          <w:lang w:val="en-MY"/>
        </w:rPr>
        <w:t>Paragraph 80, Model Law on Cross-Border Insolvency: The Judicial Perspective.</w:t>
      </w:r>
    </w:p>
  </w:footnote>
  <w:footnote w:id="13">
    <w:p w14:paraId="02813A9B" w14:textId="0DBAA03D" w:rsidR="00705F61" w:rsidRPr="00C470B0" w:rsidRDefault="00705F61">
      <w:pPr>
        <w:pStyle w:val="FootnoteText"/>
        <w:rPr>
          <w:lang w:val="en-MY"/>
        </w:rPr>
      </w:pPr>
      <w:r>
        <w:rPr>
          <w:rStyle w:val="FootnoteReference"/>
        </w:rPr>
        <w:footnoteRef/>
      </w:r>
      <w:r>
        <w:t xml:space="preserve"> </w:t>
      </w:r>
      <w:r>
        <w:rPr>
          <w:lang w:val="en-MY"/>
        </w:rPr>
        <w:t>Agrokor DD [2017] EWHC 2791 (Ch)</w:t>
      </w:r>
    </w:p>
  </w:footnote>
  <w:footnote w:id="14">
    <w:p w14:paraId="2012A741" w14:textId="77777777" w:rsidR="00705F61" w:rsidRPr="0089798C" w:rsidRDefault="00705F61" w:rsidP="002276E8">
      <w:pPr>
        <w:pStyle w:val="FootnoteText"/>
        <w:rPr>
          <w:lang w:val="en-GB"/>
        </w:rPr>
      </w:pPr>
      <w:r>
        <w:rPr>
          <w:rStyle w:val="FootnoteReference"/>
        </w:rPr>
        <w:footnoteRef/>
      </w:r>
      <w:r>
        <w:t xml:space="preserve"> </w:t>
      </w:r>
      <w:r>
        <w:rPr>
          <w:lang w:val="en-GB"/>
        </w:rPr>
        <w:t xml:space="preserve">Paragraph 84, </w:t>
      </w:r>
      <w:r>
        <w:rPr>
          <w:lang w:val="en-MY"/>
        </w:rPr>
        <w:t>Model Law on Cross-Border Insolvency: The Judicial Perspective.</w:t>
      </w:r>
    </w:p>
  </w:footnote>
  <w:footnote w:id="15">
    <w:p w14:paraId="7D5D1594" w14:textId="514EDA50" w:rsidR="00705F61" w:rsidRPr="00705F61" w:rsidRDefault="00705F61">
      <w:pPr>
        <w:pStyle w:val="FootnoteText"/>
        <w:rPr>
          <w:lang w:val="en-GB"/>
        </w:rPr>
      </w:pPr>
      <w:r>
        <w:rPr>
          <w:rStyle w:val="FootnoteReference"/>
        </w:rPr>
        <w:footnoteRef/>
      </w:r>
      <w:r>
        <w:t xml:space="preserve"> </w:t>
      </w:r>
      <w:r>
        <w:rPr>
          <w:lang w:val="en-GB"/>
        </w:rPr>
        <w:t>Footnote 115 of the Model Law on Cross-Border Insolvency: The Judicial Perspective.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CEEB" w14:textId="77777777" w:rsidR="0003542B" w:rsidRDefault="00035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1595" w14:textId="77777777" w:rsidR="0003542B" w:rsidRDefault="00035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CDA2" w14:textId="77777777" w:rsidR="0003542B" w:rsidRDefault="0003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531444"/>
    <w:multiLevelType w:val="hybridMultilevel"/>
    <w:tmpl w:val="CD5603A0"/>
    <w:lvl w:ilvl="0" w:tplc="4EF8E16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9839D6"/>
    <w:multiLevelType w:val="hybridMultilevel"/>
    <w:tmpl w:val="4C0CEFE2"/>
    <w:lvl w:ilvl="0" w:tplc="7952CE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E0309EF"/>
    <w:multiLevelType w:val="hybridMultilevel"/>
    <w:tmpl w:val="C952D8CA"/>
    <w:lvl w:ilvl="0" w:tplc="0672B76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402699"/>
    <w:multiLevelType w:val="hybridMultilevel"/>
    <w:tmpl w:val="1024B14E"/>
    <w:lvl w:ilvl="0" w:tplc="3E92E41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833253"/>
    <w:multiLevelType w:val="hybridMultilevel"/>
    <w:tmpl w:val="59F221A0"/>
    <w:lvl w:ilvl="0" w:tplc="86A00CE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A47D58"/>
    <w:multiLevelType w:val="hybridMultilevel"/>
    <w:tmpl w:val="0032CDDC"/>
    <w:lvl w:ilvl="0" w:tplc="37FE583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C53CBF"/>
    <w:multiLevelType w:val="hybridMultilevel"/>
    <w:tmpl w:val="ED06A542"/>
    <w:lvl w:ilvl="0" w:tplc="77F0D1A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4"/>
  </w:num>
  <w:num w:numId="3">
    <w:abstractNumId w:val="9"/>
  </w:num>
  <w:num w:numId="4">
    <w:abstractNumId w:val="3"/>
  </w:num>
  <w:num w:numId="5">
    <w:abstractNumId w:val="20"/>
  </w:num>
  <w:num w:numId="6">
    <w:abstractNumId w:val="19"/>
  </w:num>
  <w:num w:numId="7">
    <w:abstractNumId w:val="17"/>
  </w:num>
  <w:num w:numId="8">
    <w:abstractNumId w:val="6"/>
  </w:num>
  <w:num w:numId="9">
    <w:abstractNumId w:val="7"/>
  </w:num>
  <w:num w:numId="10">
    <w:abstractNumId w:val="12"/>
  </w:num>
  <w:num w:numId="11">
    <w:abstractNumId w:val="0"/>
  </w:num>
  <w:num w:numId="12">
    <w:abstractNumId w:val="10"/>
  </w:num>
  <w:num w:numId="13">
    <w:abstractNumId w:val="11"/>
  </w:num>
  <w:num w:numId="14">
    <w:abstractNumId w:val="1"/>
  </w:num>
  <w:num w:numId="15">
    <w:abstractNumId w:val="5"/>
  </w:num>
  <w:num w:numId="16">
    <w:abstractNumId w:val="13"/>
  </w:num>
  <w:num w:numId="17">
    <w:abstractNumId w:val="15"/>
  </w:num>
  <w:num w:numId="18">
    <w:abstractNumId w:val="4"/>
  </w:num>
  <w:num w:numId="19">
    <w:abstractNumId w:val="18"/>
  </w:num>
  <w:num w:numId="20">
    <w:abstractNumId w:val="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3D48"/>
    <w:rsid w:val="000250C7"/>
    <w:rsid w:val="00025CCF"/>
    <w:rsid w:val="0003114A"/>
    <w:rsid w:val="00031616"/>
    <w:rsid w:val="0003542B"/>
    <w:rsid w:val="000356CB"/>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08F7"/>
    <w:rsid w:val="000B4FEB"/>
    <w:rsid w:val="000B5FF1"/>
    <w:rsid w:val="000B609F"/>
    <w:rsid w:val="000C147F"/>
    <w:rsid w:val="000C1658"/>
    <w:rsid w:val="000C30C2"/>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1E99"/>
    <w:rsid w:val="0014622C"/>
    <w:rsid w:val="001509DD"/>
    <w:rsid w:val="00151F58"/>
    <w:rsid w:val="00152348"/>
    <w:rsid w:val="0015456D"/>
    <w:rsid w:val="00155FA2"/>
    <w:rsid w:val="0015600B"/>
    <w:rsid w:val="001578CB"/>
    <w:rsid w:val="00161F1B"/>
    <w:rsid w:val="00162829"/>
    <w:rsid w:val="00166991"/>
    <w:rsid w:val="00167C32"/>
    <w:rsid w:val="0017257C"/>
    <w:rsid w:val="001747C2"/>
    <w:rsid w:val="00176079"/>
    <w:rsid w:val="0017652E"/>
    <w:rsid w:val="00180548"/>
    <w:rsid w:val="00180AC4"/>
    <w:rsid w:val="00180CCE"/>
    <w:rsid w:val="0018267A"/>
    <w:rsid w:val="00182779"/>
    <w:rsid w:val="001830DF"/>
    <w:rsid w:val="001871E9"/>
    <w:rsid w:val="00190FD2"/>
    <w:rsid w:val="00194869"/>
    <w:rsid w:val="001966D9"/>
    <w:rsid w:val="001A24E7"/>
    <w:rsid w:val="001A2B78"/>
    <w:rsid w:val="001A7E9A"/>
    <w:rsid w:val="001B0F70"/>
    <w:rsid w:val="001B5016"/>
    <w:rsid w:val="001C45FC"/>
    <w:rsid w:val="001D02C5"/>
    <w:rsid w:val="001D4862"/>
    <w:rsid w:val="001E25B9"/>
    <w:rsid w:val="001E2A57"/>
    <w:rsid w:val="001E49E0"/>
    <w:rsid w:val="001E7B5A"/>
    <w:rsid w:val="001F7412"/>
    <w:rsid w:val="00201874"/>
    <w:rsid w:val="00202133"/>
    <w:rsid w:val="0020264E"/>
    <w:rsid w:val="0020725B"/>
    <w:rsid w:val="002175BA"/>
    <w:rsid w:val="0022599E"/>
    <w:rsid w:val="002276E8"/>
    <w:rsid w:val="002305E8"/>
    <w:rsid w:val="0023198D"/>
    <w:rsid w:val="0023317E"/>
    <w:rsid w:val="00234F2C"/>
    <w:rsid w:val="00240B0E"/>
    <w:rsid w:val="0024116D"/>
    <w:rsid w:val="00241B44"/>
    <w:rsid w:val="00245EFB"/>
    <w:rsid w:val="00250E19"/>
    <w:rsid w:val="0025386E"/>
    <w:rsid w:val="00260074"/>
    <w:rsid w:val="002638B0"/>
    <w:rsid w:val="002649DB"/>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0B"/>
    <w:rsid w:val="002C3547"/>
    <w:rsid w:val="002D0021"/>
    <w:rsid w:val="002D2BD5"/>
    <w:rsid w:val="002D3473"/>
    <w:rsid w:val="002D5C95"/>
    <w:rsid w:val="002E00F8"/>
    <w:rsid w:val="002E1BB5"/>
    <w:rsid w:val="002E2322"/>
    <w:rsid w:val="002E38E2"/>
    <w:rsid w:val="002F1956"/>
    <w:rsid w:val="002F3440"/>
    <w:rsid w:val="002F4EC0"/>
    <w:rsid w:val="002F609E"/>
    <w:rsid w:val="002F71BE"/>
    <w:rsid w:val="002F75A3"/>
    <w:rsid w:val="00301D86"/>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093B"/>
    <w:rsid w:val="00361A0A"/>
    <w:rsid w:val="0036565C"/>
    <w:rsid w:val="0036625E"/>
    <w:rsid w:val="0036760B"/>
    <w:rsid w:val="0037465A"/>
    <w:rsid w:val="00376FEF"/>
    <w:rsid w:val="00380BAB"/>
    <w:rsid w:val="00382C98"/>
    <w:rsid w:val="0038533C"/>
    <w:rsid w:val="00386568"/>
    <w:rsid w:val="00387106"/>
    <w:rsid w:val="00387B13"/>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3F1736"/>
    <w:rsid w:val="003F57A7"/>
    <w:rsid w:val="00405DC1"/>
    <w:rsid w:val="004063E2"/>
    <w:rsid w:val="0040710D"/>
    <w:rsid w:val="0041139B"/>
    <w:rsid w:val="00413D3A"/>
    <w:rsid w:val="00415F1F"/>
    <w:rsid w:val="0042108F"/>
    <w:rsid w:val="00422242"/>
    <w:rsid w:val="004233F6"/>
    <w:rsid w:val="00424D07"/>
    <w:rsid w:val="00430FED"/>
    <w:rsid w:val="00434A8C"/>
    <w:rsid w:val="00435583"/>
    <w:rsid w:val="00437297"/>
    <w:rsid w:val="00443403"/>
    <w:rsid w:val="00444284"/>
    <w:rsid w:val="00445CE6"/>
    <w:rsid w:val="004534C2"/>
    <w:rsid w:val="004535FC"/>
    <w:rsid w:val="0045446F"/>
    <w:rsid w:val="0045683E"/>
    <w:rsid w:val="0047025B"/>
    <w:rsid w:val="00491675"/>
    <w:rsid w:val="00493855"/>
    <w:rsid w:val="0049508F"/>
    <w:rsid w:val="004A171E"/>
    <w:rsid w:val="004A1BFC"/>
    <w:rsid w:val="004A57DD"/>
    <w:rsid w:val="004A7B51"/>
    <w:rsid w:val="004A7D71"/>
    <w:rsid w:val="004A7EF3"/>
    <w:rsid w:val="004B11FD"/>
    <w:rsid w:val="004B23A2"/>
    <w:rsid w:val="004D1A5A"/>
    <w:rsid w:val="004D2FFF"/>
    <w:rsid w:val="004D3464"/>
    <w:rsid w:val="004D3721"/>
    <w:rsid w:val="004D64F9"/>
    <w:rsid w:val="004E0549"/>
    <w:rsid w:val="004E2E92"/>
    <w:rsid w:val="004E30B0"/>
    <w:rsid w:val="004E50AC"/>
    <w:rsid w:val="004E622C"/>
    <w:rsid w:val="004F2492"/>
    <w:rsid w:val="004F5FDF"/>
    <w:rsid w:val="0050157D"/>
    <w:rsid w:val="005033C2"/>
    <w:rsid w:val="00506803"/>
    <w:rsid w:val="0050680E"/>
    <w:rsid w:val="0050682B"/>
    <w:rsid w:val="00507AAC"/>
    <w:rsid w:val="005177FE"/>
    <w:rsid w:val="00517DE0"/>
    <w:rsid w:val="0052263B"/>
    <w:rsid w:val="00524728"/>
    <w:rsid w:val="00524CF2"/>
    <w:rsid w:val="00530003"/>
    <w:rsid w:val="005331CA"/>
    <w:rsid w:val="0053353F"/>
    <w:rsid w:val="00537970"/>
    <w:rsid w:val="00540B44"/>
    <w:rsid w:val="00540E3A"/>
    <w:rsid w:val="00544127"/>
    <w:rsid w:val="00544273"/>
    <w:rsid w:val="005463A9"/>
    <w:rsid w:val="005478ED"/>
    <w:rsid w:val="00553EB2"/>
    <w:rsid w:val="00556777"/>
    <w:rsid w:val="00560534"/>
    <w:rsid w:val="0056391B"/>
    <w:rsid w:val="00564D58"/>
    <w:rsid w:val="005650E2"/>
    <w:rsid w:val="00565292"/>
    <w:rsid w:val="0056535A"/>
    <w:rsid w:val="00565DEE"/>
    <w:rsid w:val="00567AD7"/>
    <w:rsid w:val="00573E73"/>
    <w:rsid w:val="00575B2D"/>
    <w:rsid w:val="005833D0"/>
    <w:rsid w:val="005846F3"/>
    <w:rsid w:val="0058622F"/>
    <w:rsid w:val="00587461"/>
    <w:rsid w:val="00592F82"/>
    <w:rsid w:val="005A023D"/>
    <w:rsid w:val="005A0CCA"/>
    <w:rsid w:val="005A726D"/>
    <w:rsid w:val="005A7801"/>
    <w:rsid w:val="005B67AC"/>
    <w:rsid w:val="005C1B4F"/>
    <w:rsid w:val="005C2C94"/>
    <w:rsid w:val="005C4865"/>
    <w:rsid w:val="005D43E0"/>
    <w:rsid w:val="005D58A3"/>
    <w:rsid w:val="005E1B79"/>
    <w:rsid w:val="005E5C28"/>
    <w:rsid w:val="005E7B1D"/>
    <w:rsid w:val="005F026D"/>
    <w:rsid w:val="005F18D1"/>
    <w:rsid w:val="005F21F4"/>
    <w:rsid w:val="005F2628"/>
    <w:rsid w:val="005F2D0B"/>
    <w:rsid w:val="005F4A61"/>
    <w:rsid w:val="005F4B31"/>
    <w:rsid w:val="00610388"/>
    <w:rsid w:val="0061038E"/>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5ECF"/>
    <w:rsid w:val="006661EF"/>
    <w:rsid w:val="0067294B"/>
    <w:rsid w:val="00677736"/>
    <w:rsid w:val="0067785F"/>
    <w:rsid w:val="00677AEB"/>
    <w:rsid w:val="00680EF2"/>
    <w:rsid w:val="006839C2"/>
    <w:rsid w:val="00687A1D"/>
    <w:rsid w:val="006920CC"/>
    <w:rsid w:val="006967CB"/>
    <w:rsid w:val="00697EA1"/>
    <w:rsid w:val="006A0D11"/>
    <w:rsid w:val="006A1850"/>
    <w:rsid w:val="006A2646"/>
    <w:rsid w:val="006A3DF0"/>
    <w:rsid w:val="006A6530"/>
    <w:rsid w:val="006B435A"/>
    <w:rsid w:val="006B4C64"/>
    <w:rsid w:val="006B4FFC"/>
    <w:rsid w:val="006D6BD5"/>
    <w:rsid w:val="006E303F"/>
    <w:rsid w:val="006E481A"/>
    <w:rsid w:val="006E5298"/>
    <w:rsid w:val="006F2CE3"/>
    <w:rsid w:val="006F734A"/>
    <w:rsid w:val="00700D17"/>
    <w:rsid w:val="00700D83"/>
    <w:rsid w:val="0070336F"/>
    <w:rsid w:val="00704852"/>
    <w:rsid w:val="00705F61"/>
    <w:rsid w:val="00706297"/>
    <w:rsid w:val="00706AD5"/>
    <w:rsid w:val="007074E9"/>
    <w:rsid w:val="00707FC8"/>
    <w:rsid w:val="00713DA4"/>
    <w:rsid w:val="00714BF1"/>
    <w:rsid w:val="00721383"/>
    <w:rsid w:val="0072554C"/>
    <w:rsid w:val="00725911"/>
    <w:rsid w:val="00731DBD"/>
    <w:rsid w:val="007333CC"/>
    <w:rsid w:val="0073399A"/>
    <w:rsid w:val="0074734C"/>
    <w:rsid w:val="007603F5"/>
    <w:rsid w:val="00764DB0"/>
    <w:rsid w:val="0076764D"/>
    <w:rsid w:val="0077498C"/>
    <w:rsid w:val="00784128"/>
    <w:rsid w:val="00784B4B"/>
    <w:rsid w:val="007854ED"/>
    <w:rsid w:val="00793173"/>
    <w:rsid w:val="007A32E1"/>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849D1"/>
    <w:rsid w:val="0089145D"/>
    <w:rsid w:val="0089798C"/>
    <w:rsid w:val="008A0C6E"/>
    <w:rsid w:val="008A4DF2"/>
    <w:rsid w:val="008A6CFE"/>
    <w:rsid w:val="008A7470"/>
    <w:rsid w:val="008A77DB"/>
    <w:rsid w:val="008B1A08"/>
    <w:rsid w:val="008B2DE3"/>
    <w:rsid w:val="008B5333"/>
    <w:rsid w:val="008B6223"/>
    <w:rsid w:val="008C66E0"/>
    <w:rsid w:val="008D7695"/>
    <w:rsid w:val="008E1224"/>
    <w:rsid w:val="008E2DFA"/>
    <w:rsid w:val="008E3339"/>
    <w:rsid w:val="008E549B"/>
    <w:rsid w:val="008F18EF"/>
    <w:rsid w:val="008F20FC"/>
    <w:rsid w:val="008F2B24"/>
    <w:rsid w:val="008F49E0"/>
    <w:rsid w:val="008F5FFE"/>
    <w:rsid w:val="0090421A"/>
    <w:rsid w:val="00905A43"/>
    <w:rsid w:val="00912C79"/>
    <w:rsid w:val="009260A2"/>
    <w:rsid w:val="00941328"/>
    <w:rsid w:val="00942123"/>
    <w:rsid w:val="00951031"/>
    <w:rsid w:val="0095207B"/>
    <w:rsid w:val="00956085"/>
    <w:rsid w:val="00957951"/>
    <w:rsid w:val="00962045"/>
    <w:rsid w:val="009634F7"/>
    <w:rsid w:val="00966ECA"/>
    <w:rsid w:val="00967EDA"/>
    <w:rsid w:val="009701EF"/>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9E69EA"/>
    <w:rsid w:val="009F2C1C"/>
    <w:rsid w:val="00A047EE"/>
    <w:rsid w:val="00A114EA"/>
    <w:rsid w:val="00A1522E"/>
    <w:rsid w:val="00A153F7"/>
    <w:rsid w:val="00A2274A"/>
    <w:rsid w:val="00A235B7"/>
    <w:rsid w:val="00A27A7A"/>
    <w:rsid w:val="00A407EF"/>
    <w:rsid w:val="00A45F62"/>
    <w:rsid w:val="00A46B4C"/>
    <w:rsid w:val="00A5117B"/>
    <w:rsid w:val="00A54689"/>
    <w:rsid w:val="00A60074"/>
    <w:rsid w:val="00A6627C"/>
    <w:rsid w:val="00A71019"/>
    <w:rsid w:val="00A81029"/>
    <w:rsid w:val="00A83CB5"/>
    <w:rsid w:val="00A9359F"/>
    <w:rsid w:val="00A94CF0"/>
    <w:rsid w:val="00A94E8F"/>
    <w:rsid w:val="00A96489"/>
    <w:rsid w:val="00A96B66"/>
    <w:rsid w:val="00A979CB"/>
    <w:rsid w:val="00AA3A42"/>
    <w:rsid w:val="00AA5311"/>
    <w:rsid w:val="00AB685C"/>
    <w:rsid w:val="00AB6C2D"/>
    <w:rsid w:val="00AC08F7"/>
    <w:rsid w:val="00AC3839"/>
    <w:rsid w:val="00AC7082"/>
    <w:rsid w:val="00AD3FEA"/>
    <w:rsid w:val="00AD7BBD"/>
    <w:rsid w:val="00AE3564"/>
    <w:rsid w:val="00AF11EC"/>
    <w:rsid w:val="00AF228E"/>
    <w:rsid w:val="00B04137"/>
    <w:rsid w:val="00B11D19"/>
    <w:rsid w:val="00B12936"/>
    <w:rsid w:val="00B14819"/>
    <w:rsid w:val="00B17AA9"/>
    <w:rsid w:val="00B32DE4"/>
    <w:rsid w:val="00B33578"/>
    <w:rsid w:val="00B370C3"/>
    <w:rsid w:val="00B411AE"/>
    <w:rsid w:val="00B60190"/>
    <w:rsid w:val="00B61419"/>
    <w:rsid w:val="00B62D91"/>
    <w:rsid w:val="00B635DE"/>
    <w:rsid w:val="00B72F5F"/>
    <w:rsid w:val="00B736DF"/>
    <w:rsid w:val="00B74FBD"/>
    <w:rsid w:val="00B82586"/>
    <w:rsid w:val="00B829A3"/>
    <w:rsid w:val="00B865FF"/>
    <w:rsid w:val="00B86DB1"/>
    <w:rsid w:val="00B87869"/>
    <w:rsid w:val="00BA0E44"/>
    <w:rsid w:val="00BA4577"/>
    <w:rsid w:val="00BA47C5"/>
    <w:rsid w:val="00BB0F2B"/>
    <w:rsid w:val="00BE1A50"/>
    <w:rsid w:val="00BF1E80"/>
    <w:rsid w:val="00BF50F7"/>
    <w:rsid w:val="00C02F29"/>
    <w:rsid w:val="00C10C13"/>
    <w:rsid w:val="00C122CC"/>
    <w:rsid w:val="00C17111"/>
    <w:rsid w:val="00C20747"/>
    <w:rsid w:val="00C20AFE"/>
    <w:rsid w:val="00C21D37"/>
    <w:rsid w:val="00C22A25"/>
    <w:rsid w:val="00C23B79"/>
    <w:rsid w:val="00C33D50"/>
    <w:rsid w:val="00C35671"/>
    <w:rsid w:val="00C35B77"/>
    <w:rsid w:val="00C370D3"/>
    <w:rsid w:val="00C376EB"/>
    <w:rsid w:val="00C4003A"/>
    <w:rsid w:val="00C46EC1"/>
    <w:rsid w:val="00C470B0"/>
    <w:rsid w:val="00C504E5"/>
    <w:rsid w:val="00C53E2C"/>
    <w:rsid w:val="00C550C8"/>
    <w:rsid w:val="00C56B61"/>
    <w:rsid w:val="00C606C3"/>
    <w:rsid w:val="00C620F4"/>
    <w:rsid w:val="00C67ECE"/>
    <w:rsid w:val="00C72848"/>
    <w:rsid w:val="00C7736C"/>
    <w:rsid w:val="00C80313"/>
    <w:rsid w:val="00C82D87"/>
    <w:rsid w:val="00C841ED"/>
    <w:rsid w:val="00C85F17"/>
    <w:rsid w:val="00C8712A"/>
    <w:rsid w:val="00C91324"/>
    <w:rsid w:val="00C963D3"/>
    <w:rsid w:val="00CA6E0D"/>
    <w:rsid w:val="00CB08F3"/>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45BF7"/>
    <w:rsid w:val="00D501DE"/>
    <w:rsid w:val="00D56A37"/>
    <w:rsid w:val="00D57202"/>
    <w:rsid w:val="00D63EFD"/>
    <w:rsid w:val="00D64826"/>
    <w:rsid w:val="00D778AE"/>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1A46"/>
    <w:rsid w:val="00DE2A27"/>
    <w:rsid w:val="00DE3705"/>
    <w:rsid w:val="00DE6633"/>
    <w:rsid w:val="00DF246B"/>
    <w:rsid w:val="00DF4734"/>
    <w:rsid w:val="00DF59EE"/>
    <w:rsid w:val="00DF75F8"/>
    <w:rsid w:val="00DF7A3A"/>
    <w:rsid w:val="00E00C00"/>
    <w:rsid w:val="00E04A7C"/>
    <w:rsid w:val="00E059FB"/>
    <w:rsid w:val="00E069C4"/>
    <w:rsid w:val="00E07275"/>
    <w:rsid w:val="00E07866"/>
    <w:rsid w:val="00E07C5A"/>
    <w:rsid w:val="00E15BA9"/>
    <w:rsid w:val="00E17D26"/>
    <w:rsid w:val="00E26E19"/>
    <w:rsid w:val="00E31DF3"/>
    <w:rsid w:val="00E32814"/>
    <w:rsid w:val="00E33486"/>
    <w:rsid w:val="00E4248C"/>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A3132"/>
    <w:rsid w:val="00EB146B"/>
    <w:rsid w:val="00EB45AC"/>
    <w:rsid w:val="00EC2AEA"/>
    <w:rsid w:val="00EC7B11"/>
    <w:rsid w:val="00EC7F95"/>
    <w:rsid w:val="00ED0BC4"/>
    <w:rsid w:val="00ED3771"/>
    <w:rsid w:val="00ED6A32"/>
    <w:rsid w:val="00EE4971"/>
    <w:rsid w:val="00EF090E"/>
    <w:rsid w:val="00F033DA"/>
    <w:rsid w:val="00F0377F"/>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1E00"/>
    <w:rsid w:val="00F7241A"/>
    <w:rsid w:val="00F83E76"/>
    <w:rsid w:val="00F90A57"/>
    <w:rsid w:val="00F93722"/>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4451-2700-42E7-9B49-14623D9F46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555D94-0A2B-4CBB-891F-29404E57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Kong Chia Yee</cp:lastModifiedBy>
  <cp:revision>2</cp:revision>
  <cp:lastPrinted>2019-08-27T05:42:00Z</cp:lastPrinted>
  <dcterms:created xsi:type="dcterms:W3CDTF">2022-05-21T14:48:00Z</dcterms:created>
  <dcterms:modified xsi:type="dcterms:W3CDTF">2022-05-21T14:48:00Z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2bd0011a-cc3a-4557-aefb-974608db32f9</vt:lpwstr>
  </property>
  <property fmtid="{D5CDD505-2E9C-101B-9397-08002B2CF9AE}" pid="3" name="bjSaver">
    <vt:lpwstr>bPYtoja+fdUaftfDsgW25U8k69Bzsisy</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