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de-DE"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jstalinea"/>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Lijstalinea"/>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CC0C58" w:rsidRDefault="00193129" w:rsidP="00545969">
      <w:pPr>
        <w:pStyle w:val="Lijstalinea"/>
        <w:numPr>
          <w:ilvl w:val="0"/>
          <w:numId w:val="11"/>
        </w:numPr>
        <w:ind w:left="426"/>
        <w:rPr>
          <w:rFonts w:ascii="Arial" w:hAnsi="Arial" w:cs="Arial"/>
          <w:sz w:val="22"/>
          <w:szCs w:val="22"/>
          <w:lang w:val="en-GB"/>
        </w:rPr>
      </w:pPr>
      <w:r w:rsidRPr="00CC0C58">
        <w:rPr>
          <w:rFonts w:ascii="Arial" w:hAnsi="Arial" w:cs="Arial"/>
          <w:sz w:val="22"/>
          <w:szCs w:val="22"/>
          <w:lang w:val="en-GB"/>
        </w:rPr>
        <w:t>The court</w:t>
      </w:r>
      <w:r w:rsidR="00B77BF0" w:rsidRPr="00CC0C58">
        <w:rPr>
          <w:rFonts w:ascii="Arial" w:hAnsi="Arial" w:cs="Arial"/>
          <w:sz w:val="22"/>
          <w:szCs w:val="22"/>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Lijstalinea"/>
        <w:numPr>
          <w:ilvl w:val="0"/>
          <w:numId w:val="11"/>
        </w:numPr>
        <w:ind w:left="426"/>
        <w:rPr>
          <w:rFonts w:ascii="Arial" w:hAnsi="Arial" w:cs="Arial"/>
          <w:sz w:val="22"/>
          <w:szCs w:val="22"/>
          <w:lang w:val="en-GB"/>
        </w:rPr>
      </w:pPr>
      <w:r w:rsidRPr="00CC0C58">
        <w:rPr>
          <w:rFonts w:ascii="Arial" w:hAnsi="Arial" w:cs="Arial"/>
          <w:sz w:val="22"/>
          <w:szCs w:val="22"/>
          <w:highlight w:val="yellow"/>
          <w:lang w:val="en-GB"/>
        </w:rPr>
        <w:t>The court, but subject to a diverging decision of the first creditors’ meeting</w:t>
      </w:r>
      <w:r w:rsidR="00E86A87" w:rsidRPr="00CC0C58">
        <w:rPr>
          <w:rFonts w:ascii="Arial" w:hAnsi="Arial" w:cs="Arial"/>
          <w:sz w:val="22"/>
          <w:szCs w:val="22"/>
          <w:highlight w:val="yellow"/>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jstalinea"/>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3F6DA2" w:rsidRDefault="00193129" w:rsidP="00545969">
      <w:pPr>
        <w:pStyle w:val="Lijstalinea"/>
        <w:numPr>
          <w:ilvl w:val="0"/>
          <w:numId w:val="13"/>
        </w:numPr>
        <w:ind w:left="426"/>
        <w:rPr>
          <w:rFonts w:ascii="Arial" w:hAnsi="Arial" w:cs="Arial"/>
          <w:sz w:val="22"/>
          <w:szCs w:val="22"/>
          <w:lang w:val="en-GB"/>
        </w:rPr>
      </w:pPr>
      <w:r w:rsidRPr="003961DA">
        <w:rPr>
          <w:rFonts w:ascii="Arial" w:hAnsi="Arial" w:cs="Arial"/>
          <w:sz w:val="22"/>
          <w:szCs w:val="22"/>
          <w:highlight w:val="yellow"/>
          <w:lang w:val="en-GB"/>
        </w:rPr>
        <w:t>Mortgage (</w:t>
      </w:r>
      <w:r w:rsidR="00976666" w:rsidRPr="003961DA">
        <w:rPr>
          <w:rFonts w:ascii="Arial" w:hAnsi="Arial" w:cs="Arial"/>
          <w:i/>
          <w:sz w:val="22"/>
          <w:szCs w:val="22"/>
          <w:highlight w:val="yellow"/>
          <w:lang w:val="en-GB"/>
        </w:rPr>
        <w:t>Grundschuld</w:t>
      </w:r>
      <w:r w:rsidRPr="003961DA">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jstalinea"/>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jstalinea"/>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3F6DA2" w:rsidRDefault="006B42ED" w:rsidP="00545969">
      <w:pPr>
        <w:pStyle w:val="Lijstalinea"/>
        <w:numPr>
          <w:ilvl w:val="0"/>
          <w:numId w:val="15"/>
        </w:numPr>
        <w:ind w:left="426"/>
        <w:rPr>
          <w:rFonts w:ascii="Arial" w:hAnsi="Arial" w:cs="Arial"/>
          <w:i/>
          <w:sz w:val="22"/>
          <w:szCs w:val="22"/>
          <w:lang w:val="en-GB"/>
        </w:rPr>
      </w:pPr>
      <w:r w:rsidRPr="001674C9">
        <w:rPr>
          <w:rFonts w:ascii="Arial" w:hAnsi="Arial" w:cs="Arial"/>
          <w:sz w:val="22"/>
          <w:szCs w:val="22"/>
          <w:highlight w:val="yellow"/>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Lijstalinea"/>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Lijstalinea"/>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Lijstalinea"/>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Lijstalinea"/>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jstalinea"/>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3F6DA2" w:rsidRDefault="00D9383B" w:rsidP="00BF0162">
      <w:pPr>
        <w:pStyle w:val="Lijstalinea"/>
        <w:numPr>
          <w:ilvl w:val="0"/>
          <w:numId w:val="17"/>
        </w:numPr>
        <w:ind w:left="426"/>
        <w:rPr>
          <w:rFonts w:ascii="Arial" w:hAnsi="Arial" w:cs="Arial"/>
          <w:sz w:val="22"/>
          <w:szCs w:val="22"/>
          <w:lang w:val="en-GB"/>
        </w:rPr>
      </w:pPr>
      <w:r w:rsidRPr="00893C7D">
        <w:rPr>
          <w:rFonts w:ascii="Arial" w:hAnsi="Arial" w:cs="Arial"/>
          <w:sz w:val="22"/>
          <w:szCs w:val="22"/>
          <w:highlight w:val="yellow"/>
          <w:lang w:val="en-GB"/>
        </w:rPr>
        <w:t>Six weeks</w:t>
      </w:r>
      <w:r w:rsidR="007D7536" w:rsidRPr="00893C7D">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jstalinea"/>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Lijstalinea"/>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jstalinea"/>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3F6DA2" w:rsidRDefault="0025078F" w:rsidP="00BF0162">
      <w:pPr>
        <w:pStyle w:val="Lijstalinea"/>
        <w:numPr>
          <w:ilvl w:val="0"/>
          <w:numId w:val="19"/>
        </w:numPr>
        <w:ind w:left="426"/>
        <w:rPr>
          <w:rFonts w:ascii="Arial" w:hAnsi="Arial" w:cs="Arial"/>
          <w:sz w:val="22"/>
          <w:szCs w:val="22"/>
        </w:rPr>
      </w:pPr>
      <w:r w:rsidRPr="00C82693">
        <w:rPr>
          <w:rFonts w:ascii="Arial" w:hAnsi="Arial" w:cs="Arial"/>
          <w:sz w:val="22"/>
          <w:szCs w:val="22"/>
          <w:highlight w:val="yellow"/>
        </w:rPr>
        <w:t>r</w:t>
      </w:r>
      <w:r w:rsidR="003939F8" w:rsidRPr="00C82693">
        <w:rPr>
          <w:rFonts w:ascii="Arial" w:hAnsi="Arial" w:cs="Arial"/>
          <w:sz w:val="22"/>
          <w:szCs w:val="22"/>
          <w:highlight w:val="yellow"/>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Lijstalinea"/>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jstalinea"/>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3F6DA2" w:rsidRDefault="00D9383B" w:rsidP="00BF0162">
      <w:pPr>
        <w:pStyle w:val="Lijstalinea"/>
        <w:numPr>
          <w:ilvl w:val="0"/>
          <w:numId w:val="24"/>
        </w:numPr>
        <w:ind w:left="426"/>
        <w:rPr>
          <w:rFonts w:ascii="Arial" w:hAnsi="Arial" w:cs="Arial"/>
          <w:sz w:val="22"/>
          <w:szCs w:val="22"/>
          <w:lang w:val="en-GB"/>
        </w:rPr>
      </w:pPr>
      <w:r w:rsidRPr="00C82693">
        <w:rPr>
          <w:rFonts w:ascii="Arial" w:hAnsi="Arial" w:cs="Arial"/>
          <w:sz w:val="22"/>
          <w:szCs w:val="22"/>
          <w:highlight w:val="yellow"/>
          <w:lang w:val="en-GB"/>
        </w:rPr>
        <w:t>75% in sum regarding the claims of all affected creditors</w:t>
      </w:r>
      <w:r w:rsidR="00E676A0" w:rsidRPr="00C82693">
        <w:rPr>
          <w:rFonts w:ascii="Arial" w:hAnsi="Arial" w:cs="Arial"/>
          <w:sz w:val="22"/>
          <w:szCs w:val="22"/>
          <w:highlight w:val="yellow"/>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Lijstalinea"/>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Lijstalinea"/>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3F6DA2" w:rsidRDefault="00976666" w:rsidP="00D4592B">
      <w:pPr>
        <w:pStyle w:val="Lijstalinea"/>
        <w:numPr>
          <w:ilvl w:val="0"/>
          <w:numId w:val="25"/>
        </w:numPr>
        <w:ind w:left="426"/>
        <w:rPr>
          <w:rFonts w:ascii="Arial" w:hAnsi="Arial" w:cs="Arial"/>
          <w:sz w:val="22"/>
          <w:szCs w:val="22"/>
          <w:lang w:val="en-GB"/>
        </w:rPr>
      </w:pPr>
      <w:r w:rsidRPr="008B7AE5">
        <w:rPr>
          <w:rFonts w:ascii="Arial" w:hAnsi="Arial" w:cs="Arial"/>
          <w:i/>
          <w:sz w:val="22"/>
          <w:szCs w:val="22"/>
          <w:highlight w:val="yellow"/>
          <w:lang w:val="en-GB"/>
        </w:rPr>
        <w:t>Amtsgericht</w:t>
      </w:r>
      <w:r w:rsidR="00E676A0" w:rsidRPr="008B7AE5">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jstalinea"/>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jstalinea"/>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jstalinea"/>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jstalinea"/>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976666" w:rsidRDefault="00976666" w:rsidP="00D4592B">
      <w:pPr>
        <w:pStyle w:val="Lijstalinea"/>
        <w:numPr>
          <w:ilvl w:val="0"/>
          <w:numId w:val="27"/>
        </w:numPr>
        <w:ind w:left="426"/>
        <w:rPr>
          <w:rFonts w:ascii="Arial" w:hAnsi="Arial" w:cs="Arial"/>
          <w:sz w:val="22"/>
          <w:szCs w:val="22"/>
          <w:lang w:val="en-GB"/>
        </w:rPr>
      </w:pPr>
      <w:r>
        <w:rPr>
          <w:rFonts w:ascii="Arial" w:hAnsi="Arial" w:cs="Arial"/>
          <w:sz w:val="22"/>
          <w:szCs w:val="22"/>
          <w:lang w:val="en-GB"/>
        </w:rPr>
        <w:t>Pledgees</w:t>
      </w:r>
      <w:r w:rsidR="00E676A0" w:rsidRPr="00976666">
        <w:rPr>
          <w:rFonts w:ascii="Arial" w:hAnsi="Arial" w:cs="Arial"/>
          <w:sz w:val="22"/>
          <w:szCs w:val="22"/>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jstalinea"/>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3F6DA2" w:rsidRDefault="00976666" w:rsidP="00D4592B">
      <w:pPr>
        <w:pStyle w:val="Lijstalinea"/>
        <w:numPr>
          <w:ilvl w:val="0"/>
          <w:numId w:val="27"/>
        </w:numPr>
        <w:ind w:left="426"/>
        <w:rPr>
          <w:rFonts w:ascii="Arial" w:hAnsi="Arial" w:cs="Arial"/>
          <w:sz w:val="22"/>
          <w:szCs w:val="22"/>
          <w:lang w:val="en-GB"/>
        </w:rPr>
      </w:pPr>
      <w:r w:rsidRPr="00C230DF">
        <w:rPr>
          <w:rFonts w:ascii="Arial" w:hAnsi="Arial" w:cs="Arial"/>
          <w:sz w:val="22"/>
          <w:szCs w:val="22"/>
          <w:highlight w:val="yellow"/>
          <w:lang w:val="en-GB"/>
        </w:rPr>
        <w:t>Landlords after termination of the tenancy agreement</w:t>
      </w:r>
      <w:r w:rsidR="00E676A0" w:rsidRPr="00C230DF">
        <w:rPr>
          <w:rFonts w:ascii="Arial" w:hAnsi="Arial" w:cs="Arial"/>
          <w:sz w:val="22"/>
          <w:szCs w:val="22"/>
          <w:highlight w:val="yellow"/>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jstalinea"/>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jstalinea"/>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3F6DA2" w:rsidRDefault="004A7773" w:rsidP="00D4592B">
      <w:pPr>
        <w:pStyle w:val="Lijstalinea"/>
        <w:numPr>
          <w:ilvl w:val="0"/>
          <w:numId w:val="29"/>
        </w:numPr>
        <w:ind w:left="426"/>
        <w:rPr>
          <w:rFonts w:ascii="Arial" w:hAnsi="Arial" w:cs="Arial"/>
          <w:sz w:val="22"/>
          <w:szCs w:val="22"/>
          <w:lang w:val="en-GB"/>
        </w:rPr>
      </w:pPr>
      <w:r w:rsidRPr="00C230DF">
        <w:rPr>
          <w:rFonts w:ascii="Arial" w:hAnsi="Arial" w:cs="Arial"/>
          <w:sz w:val="22"/>
          <w:szCs w:val="22"/>
          <w:highlight w:val="yellow"/>
          <w:lang w:val="en-GB"/>
        </w:rPr>
        <w:t>Three years</w:t>
      </w:r>
      <w:r w:rsidR="005F75C3" w:rsidRPr="00C230DF">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jstalinea"/>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jstalinea"/>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3F6DA2" w:rsidRDefault="00976666" w:rsidP="00D4592B">
      <w:pPr>
        <w:pStyle w:val="Lijstalinea"/>
        <w:numPr>
          <w:ilvl w:val="0"/>
          <w:numId w:val="31"/>
        </w:numPr>
        <w:ind w:left="426"/>
        <w:rPr>
          <w:rFonts w:ascii="Arial" w:hAnsi="Arial" w:cs="Arial"/>
          <w:sz w:val="22"/>
          <w:szCs w:val="22"/>
          <w:lang w:val="en-GB"/>
        </w:rPr>
      </w:pPr>
      <w:r w:rsidRPr="00C230DF">
        <w:rPr>
          <w:rFonts w:ascii="Arial" w:hAnsi="Arial" w:cs="Arial"/>
          <w:sz w:val="22"/>
          <w:szCs w:val="22"/>
          <w:highlight w:val="yellow"/>
          <w:lang w:val="en-GB"/>
        </w:rPr>
        <w:t>Disadvantage for the general body of creditors</w:t>
      </w:r>
      <w:r w:rsidR="002B40FB" w:rsidRPr="00C230DF">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jstalinea"/>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jstalinea"/>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370663CF" w14:textId="191C473C" w:rsidR="003F6DA2" w:rsidRDefault="0007123B" w:rsidP="00A35DA4">
      <w:pPr>
        <w:ind w:left="72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All insolvency proceedings in Germany are governed by the </w:t>
      </w:r>
      <w:proofErr w:type="spellStart"/>
      <w:r>
        <w:rPr>
          <w:rFonts w:ascii="Arial" w:hAnsi="Arial" w:cs="Arial"/>
          <w:color w:val="A6A6A6" w:themeColor="background1" w:themeShade="A6"/>
          <w:sz w:val="22"/>
          <w:szCs w:val="22"/>
          <w:lang w:val="en-GB"/>
        </w:rPr>
        <w:t>Insolvenzordnung</w:t>
      </w:r>
      <w:proofErr w:type="spellEnd"/>
      <w:r>
        <w:rPr>
          <w:rFonts w:ascii="Arial" w:hAnsi="Arial" w:cs="Arial"/>
          <w:color w:val="A6A6A6" w:themeColor="background1" w:themeShade="A6"/>
          <w:sz w:val="22"/>
          <w:szCs w:val="22"/>
          <w:lang w:val="en-GB"/>
        </w:rPr>
        <w:t xml:space="preserve">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The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indicates three different grounds to for establishing insolvency: (1) </w:t>
      </w:r>
      <w:r w:rsidR="00EB3CAE">
        <w:rPr>
          <w:rFonts w:ascii="Arial" w:hAnsi="Arial" w:cs="Arial"/>
          <w:color w:val="A6A6A6" w:themeColor="background1" w:themeShade="A6"/>
          <w:sz w:val="22"/>
          <w:szCs w:val="22"/>
          <w:lang w:val="en-GB"/>
        </w:rPr>
        <w:t xml:space="preserve">inability to pay debts as they fall due, i.e., illiquidity (§17 </w:t>
      </w:r>
      <w:proofErr w:type="spellStart"/>
      <w:r w:rsidR="00EB3CAE">
        <w:rPr>
          <w:rFonts w:ascii="Arial" w:hAnsi="Arial" w:cs="Arial"/>
          <w:color w:val="A6A6A6" w:themeColor="background1" w:themeShade="A6"/>
          <w:sz w:val="22"/>
          <w:szCs w:val="22"/>
          <w:lang w:val="en-GB"/>
        </w:rPr>
        <w:t>InsO</w:t>
      </w:r>
      <w:proofErr w:type="spellEnd"/>
      <w:r w:rsidR="00EB3CAE">
        <w:rPr>
          <w:rFonts w:ascii="Arial" w:hAnsi="Arial" w:cs="Arial"/>
          <w:color w:val="A6A6A6" w:themeColor="background1" w:themeShade="A6"/>
          <w:sz w:val="22"/>
          <w:szCs w:val="22"/>
          <w:lang w:val="en-GB"/>
        </w:rPr>
        <w:t xml:space="preserve">); (2) imminent illiquidity (§18 </w:t>
      </w:r>
      <w:proofErr w:type="spellStart"/>
      <w:r w:rsidR="00EB3CAE">
        <w:rPr>
          <w:rFonts w:ascii="Arial" w:hAnsi="Arial" w:cs="Arial"/>
          <w:color w:val="A6A6A6" w:themeColor="background1" w:themeShade="A6"/>
          <w:sz w:val="22"/>
          <w:szCs w:val="22"/>
          <w:lang w:val="en-GB"/>
        </w:rPr>
        <w:t>InsO</w:t>
      </w:r>
      <w:proofErr w:type="spellEnd"/>
      <w:r w:rsidR="00EB3CAE">
        <w:rPr>
          <w:rFonts w:ascii="Arial" w:hAnsi="Arial" w:cs="Arial"/>
          <w:color w:val="A6A6A6" w:themeColor="background1" w:themeShade="A6"/>
          <w:sz w:val="22"/>
          <w:szCs w:val="22"/>
          <w:lang w:val="en-GB"/>
        </w:rPr>
        <w:t xml:space="preserve">); and (3) </w:t>
      </w:r>
      <w:proofErr w:type="spellStart"/>
      <w:r w:rsidR="00EB3CAE">
        <w:rPr>
          <w:rFonts w:ascii="Arial" w:hAnsi="Arial" w:cs="Arial"/>
          <w:color w:val="A6A6A6" w:themeColor="background1" w:themeShade="A6"/>
          <w:sz w:val="22"/>
          <w:szCs w:val="22"/>
          <w:lang w:val="en-GB"/>
        </w:rPr>
        <w:t>overindebtness</w:t>
      </w:r>
      <w:proofErr w:type="spellEnd"/>
      <w:r w:rsidR="00EB3CAE">
        <w:rPr>
          <w:rFonts w:ascii="Arial" w:hAnsi="Arial" w:cs="Arial"/>
          <w:color w:val="A6A6A6" w:themeColor="background1" w:themeShade="A6"/>
          <w:sz w:val="22"/>
          <w:szCs w:val="22"/>
          <w:lang w:val="en-GB"/>
        </w:rPr>
        <w:t xml:space="preserve"> (§19 </w:t>
      </w:r>
      <w:proofErr w:type="spellStart"/>
      <w:r w:rsidR="00EB3CAE">
        <w:rPr>
          <w:rFonts w:ascii="Arial" w:hAnsi="Arial" w:cs="Arial"/>
          <w:color w:val="A6A6A6" w:themeColor="background1" w:themeShade="A6"/>
          <w:sz w:val="22"/>
          <w:szCs w:val="22"/>
          <w:lang w:val="en-GB"/>
        </w:rPr>
        <w:t>InsO</w:t>
      </w:r>
      <w:proofErr w:type="spellEnd"/>
      <w:r w:rsidR="00EB3CAE">
        <w:rPr>
          <w:rFonts w:ascii="Arial" w:hAnsi="Arial" w:cs="Arial"/>
          <w:color w:val="A6A6A6" w:themeColor="background1" w:themeShade="A6"/>
          <w:sz w:val="22"/>
          <w:szCs w:val="22"/>
          <w:lang w:val="en-GB"/>
        </w:rPr>
        <w:t>).</w:t>
      </w:r>
    </w:p>
    <w:p w14:paraId="6CE59AFE" w14:textId="3F77E614" w:rsidR="004A6AA7" w:rsidRDefault="004A6AA7" w:rsidP="00C34152">
      <w:pPr>
        <w:jc w:val="both"/>
        <w:rPr>
          <w:rFonts w:ascii="Arial" w:hAnsi="Arial" w:cs="Arial"/>
          <w:color w:val="A6A6A6" w:themeColor="background1" w:themeShade="A6"/>
          <w:sz w:val="22"/>
          <w:szCs w:val="22"/>
          <w:lang w:val="en-GB"/>
        </w:rPr>
      </w:pPr>
    </w:p>
    <w:p w14:paraId="65DE5F5F" w14:textId="287FE2D6" w:rsidR="004A6AA7" w:rsidRDefault="004A6AA7" w:rsidP="00A35DA4">
      <w:pPr>
        <w:ind w:left="72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 debtor is deemed to be ‘illiquid’ if he is unable to meet his mature obligations to pay. Illiquidity shall be presumed as a rule when a debtor has ceased making payments</w:t>
      </w:r>
      <w:r w:rsidR="005631C0">
        <w:rPr>
          <w:rFonts w:ascii="Arial" w:hAnsi="Arial" w:cs="Arial"/>
          <w:color w:val="A6A6A6" w:themeColor="background1" w:themeShade="A6"/>
          <w:sz w:val="22"/>
          <w:szCs w:val="22"/>
          <w:lang w:val="en-GB"/>
        </w:rPr>
        <w:t xml:space="preserve"> (§17 (2) </w:t>
      </w:r>
      <w:proofErr w:type="spellStart"/>
      <w:r w:rsidR="005631C0">
        <w:rPr>
          <w:rFonts w:ascii="Arial" w:hAnsi="Arial" w:cs="Arial"/>
          <w:color w:val="A6A6A6" w:themeColor="background1" w:themeShade="A6"/>
          <w:sz w:val="22"/>
          <w:szCs w:val="22"/>
          <w:lang w:val="en-GB"/>
        </w:rPr>
        <w:t>InsO</w:t>
      </w:r>
      <w:proofErr w:type="spellEnd"/>
      <w:r w:rsidR="005631C0">
        <w:rPr>
          <w:rFonts w:ascii="Arial" w:hAnsi="Arial" w:cs="Arial"/>
          <w:color w:val="A6A6A6" w:themeColor="background1" w:themeShade="A6"/>
          <w:sz w:val="22"/>
          <w:szCs w:val="22"/>
          <w:lang w:val="en-GB"/>
        </w:rPr>
        <w:t>)</w:t>
      </w:r>
      <w:r>
        <w:rPr>
          <w:rFonts w:ascii="Arial" w:hAnsi="Arial" w:cs="Arial"/>
          <w:color w:val="A6A6A6" w:themeColor="background1" w:themeShade="A6"/>
          <w:sz w:val="22"/>
          <w:szCs w:val="22"/>
          <w:lang w:val="en-GB"/>
        </w:rPr>
        <w:t>.</w:t>
      </w:r>
    </w:p>
    <w:p w14:paraId="4D2DE510" w14:textId="74B96EED" w:rsidR="005631C0" w:rsidRDefault="005631C0" w:rsidP="00C34152">
      <w:pPr>
        <w:jc w:val="both"/>
        <w:rPr>
          <w:rFonts w:ascii="Arial" w:hAnsi="Arial" w:cs="Arial"/>
          <w:color w:val="A6A6A6" w:themeColor="background1" w:themeShade="A6"/>
          <w:sz w:val="22"/>
          <w:szCs w:val="22"/>
          <w:lang w:val="en-GB"/>
        </w:rPr>
      </w:pPr>
    </w:p>
    <w:p w14:paraId="08E16B51" w14:textId="264A83B9" w:rsidR="005631C0" w:rsidRDefault="005631C0" w:rsidP="00A35DA4">
      <w:pPr>
        <w:ind w:left="72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 debtor is deemed to be ‘</w:t>
      </w:r>
      <w:r w:rsidRPr="005631C0">
        <w:rPr>
          <w:rFonts w:ascii="Arial" w:hAnsi="Arial" w:cs="Arial"/>
          <w:color w:val="A6A6A6" w:themeColor="background1" w:themeShade="A6"/>
          <w:sz w:val="22"/>
          <w:szCs w:val="22"/>
          <w:lang w:val="en-GB"/>
        </w:rPr>
        <w:t>imminently illiquid</w:t>
      </w:r>
      <w:r>
        <w:rPr>
          <w:rFonts w:ascii="Arial" w:hAnsi="Arial" w:cs="Arial"/>
          <w:color w:val="A6A6A6" w:themeColor="background1" w:themeShade="A6"/>
          <w:sz w:val="22"/>
          <w:szCs w:val="22"/>
          <w:lang w:val="en-GB"/>
        </w:rPr>
        <w:t>’</w:t>
      </w:r>
      <w:r w:rsidRPr="005631C0">
        <w:rPr>
          <w:rFonts w:ascii="Arial" w:hAnsi="Arial" w:cs="Arial"/>
          <w:color w:val="A6A6A6" w:themeColor="background1" w:themeShade="A6"/>
          <w:sz w:val="22"/>
          <w:szCs w:val="22"/>
          <w:lang w:val="en-GB"/>
        </w:rPr>
        <w:t xml:space="preserve"> if it</w:t>
      </w:r>
      <w:r>
        <w:rPr>
          <w:rFonts w:ascii="Arial" w:hAnsi="Arial" w:cs="Arial"/>
          <w:color w:val="A6A6A6" w:themeColor="background1" w:themeShade="A6"/>
          <w:sz w:val="22"/>
          <w:szCs w:val="22"/>
          <w:lang w:val="en-GB"/>
        </w:rPr>
        <w:t xml:space="preserve"> </w:t>
      </w:r>
      <w:r w:rsidRPr="005631C0">
        <w:rPr>
          <w:rFonts w:ascii="Arial" w:hAnsi="Arial" w:cs="Arial"/>
          <w:color w:val="A6A6A6" w:themeColor="background1" w:themeShade="A6"/>
          <w:sz w:val="22"/>
          <w:szCs w:val="22"/>
          <w:lang w:val="en-GB"/>
        </w:rPr>
        <w:t xml:space="preserve">is highly probable that </w:t>
      </w:r>
      <w:r>
        <w:rPr>
          <w:rFonts w:ascii="Arial" w:hAnsi="Arial" w:cs="Arial"/>
          <w:color w:val="A6A6A6" w:themeColor="background1" w:themeShade="A6"/>
          <w:sz w:val="22"/>
          <w:szCs w:val="22"/>
          <w:lang w:val="en-GB"/>
        </w:rPr>
        <w:t xml:space="preserve">he will </w:t>
      </w:r>
      <w:r w:rsidRPr="005631C0">
        <w:rPr>
          <w:rFonts w:ascii="Arial" w:hAnsi="Arial" w:cs="Arial"/>
          <w:color w:val="A6A6A6" w:themeColor="background1" w:themeShade="A6"/>
          <w:sz w:val="22"/>
          <w:szCs w:val="22"/>
          <w:lang w:val="en-GB"/>
        </w:rPr>
        <w:t>be unable to meet his existing obligations to pay on the date of their maturity</w:t>
      </w:r>
      <w:r>
        <w:rPr>
          <w:rFonts w:ascii="Arial" w:hAnsi="Arial" w:cs="Arial"/>
          <w:color w:val="A6A6A6" w:themeColor="background1" w:themeShade="A6"/>
          <w:sz w:val="22"/>
          <w:szCs w:val="22"/>
          <w:lang w:val="en-GB"/>
        </w:rPr>
        <w:t xml:space="preserve"> (§18 (2)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w:t>
      </w:r>
    </w:p>
    <w:p w14:paraId="13AC275A" w14:textId="4E6E64B0" w:rsidR="005631C0" w:rsidRDefault="005631C0" w:rsidP="005631C0">
      <w:pPr>
        <w:jc w:val="both"/>
        <w:rPr>
          <w:rFonts w:ascii="Arial" w:hAnsi="Arial" w:cs="Arial"/>
          <w:color w:val="A6A6A6" w:themeColor="background1" w:themeShade="A6"/>
          <w:sz w:val="22"/>
          <w:szCs w:val="22"/>
          <w:lang w:val="en-GB"/>
        </w:rPr>
      </w:pPr>
    </w:p>
    <w:p w14:paraId="7C19883A" w14:textId="235489C9" w:rsidR="005631C0" w:rsidRDefault="005631C0" w:rsidP="00A35DA4">
      <w:pPr>
        <w:ind w:left="72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 debtor is </w:t>
      </w:r>
      <w:r w:rsidR="00A77D9B">
        <w:rPr>
          <w:rFonts w:ascii="Arial" w:hAnsi="Arial" w:cs="Arial"/>
          <w:color w:val="A6A6A6" w:themeColor="background1" w:themeShade="A6"/>
          <w:sz w:val="22"/>
          <w:szCs w:val="22"/>
          <w:lang w:val="en-GB"/>
        </w:rPr>
        <w:t xml:space="preserve">to be overindebted if his assets no longer cover his </w:t>
      </w:r>
      <w:r w:rsidR="001007E2">
        <w:rPr>
          <w:rFonts w:ascii="Arial" w:hAnsi="Arial" w:cs="Arial"/>
          <w:color w:val="A6A6A6" w:themeColor="background1" w:themeShade="A6"/>
          <w:sz w:val="22"/>
          <w:szCs w:val="22"/>
          <w:lang w:val="en-GB"/>
        </w:rPr>
        <w:t>existing</w:t>
      </w:r>
      <w:r w:rsidR="00A77D9B">
        <w:rPr>
          <w:rFonts w:ascii="Arial" w:hAnsi="Arial" w:cs="Arial"/>
          <w:color w:val="A6A6A6" w:themeColor="background1" w:themeShade="A6"/>
          <w:sz w:val="22"/>
          <w:szCs w:val="22"/>
          <w:lang w:val="en-GB"/>
        </w:rPr>
        <w:t xml:space="preserve"> obligations to pay, unless it is highly probable that </w:t>
      </w:r>
      <w:r w:rsidR="001007E2">
        <w:rPr>
          <w:rFonts w:ascii="Arial" w:hAnsi="Arial" w:cs="Arial"/>
          <w:color w:val="A6A6A6" w:themeColor="background1" w:themeShade="A6"/>
          <w:sz w:val="22"/>
          <w:szCs w:val="22"/>
          <w:lang w:val="en-GB"/>
        </w:rPr>
        <w:t>the enterprise</w:t>
      </w:r>
      <w:r w:rsidR="00A77D9B">
        <w:rPr>
          <w:rFonts w:ascii="Arial" w:hAnsi="Arial" w:cs="Arial"/>
          <w:color w:val="A6A6A6" w:themeColor="background1" w:themeShade="A6"/>
          <w:sz w:val="22"/>
          <w:szCs w:val="22"/>
          <w:lang w:val="en-GB"/>
        </w:rPr>
        <w:t xml:space="preserve"> will be able to surv</w:t>
      </w:r>
      <w:r w:rsidR="001007E2">
        <w:rPr>
          <w:rFonts w:ascii="Arial" w:hAnsi="Arial" w:cs="Arial"/>
          <w:color w:val="A6A6A6" w:themeColor="background1" w:themeShade="A6"/>
          <w:sz w:val="22"/>
          <w:szCs w:val="22"/>
          <w:lang w:val="en-GB"/>
        </w:rPr>
        <w:t xml:space="preserve">ive for the next twelve months (§19 (2) </w:t>
      </w:r>
      <w:proofErr w:type="spellStart"/>
      <w:r w:rsidR="001007E2">
        <w:rPr>
          <w:rFonts w:ascii="Arial" w:hAnsi="Arial" w:cs="Arial"/>
          <w:color w:val="A6A6A6" w:themeColor="background1" w:themeShade="A6"/>
          <w:sz w:val="22"/>
          <w:szCs w:val="22"/>
          <w:lang w:val="en-GB"/>
        </w:rPr>
        <w:t>InsO</w:t>
      </w:r>
      <w:proofErr w:type="spellEnd"/>
      <w:r w:rsidR="001007E2">
        <w:rPr>
          <w:rFonts w:ascii="Arial" w:hAnsi="Arial" w:cs="Arial"/>
          <w:color w:val="A6A6A6" w:themeColor="background1" w:themeShade="A6"/>
          <w:sz w:val="22"/>
          <w:szCs w:val="22"/>
          <w:lang w:val="en-GB"/>
        </w:rPr>
        <w:t>).</w:t>
      </w:r>
    </w:p>
    <w:p w14:paraId="1D37C771" w14:textId="7FEB0B32" w:rsidR="005631C0" w:rsidRDefault="005631C0" w:rsidP="005631C0">
      <w:pPr>
        <w:jc w:val="both"/>
        <w:rPr>
          <w:rFonts w:ascii="Arial" w:hAnsi="Arial" w:cs="Arial"/>
          <w:color w:val="A6A6A6" w:themeColor="background1" w:themeShade="A6"/>
          <w:sz w:val="22"/>
          <w:szCs w:val="22"/>
          <w:lang w:val="en-GB"/>
        </w:rPr>
      </w:pP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jstalinea"/>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2DBEA140" w:rsidR="00C34152" w:rsidRDefault="00C34152" w:rsidP="00C34152">
      <w:pPr>
        <w:pStyle w:val="Lijstalinea"/>
        <w:ind w:left="0"/>
        <w:rPr>
          <w:rFonts w:ascii="Arial" w:hAnsi="Arial" w:cs="Arial"/>
          <w:sz w:val="22"/>
          <w:szCs w:val="22"/>
          <w:lang w:val="en-GB"/>
        </w:rPr>
      </w:pPr>
    </w:p>
    <w:p w14:paraId="3A7D4C71" w14:textId="3A513B7A" w:rsidR="00937909" w:rsidRPr="00A86AD9" w:rsidRDefault="00E9214C" w:rsidP="00A86AD9">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w:t>
      </w:r>
      <w:proofErr w:type="spellStart"/>
      <w:r w:rsidR="00A35DA4">
        <w:rPr>
          <w:rFonts w:ascii="Arial" w:hAnsi="Arial" w:cs="Arial"/>
          <w:color w:val="A6A6A6" w:themeColor="background1" w:themeShade="A6"/>
          <w:sz w:val="22"/>
          <w:szCs w:val="22"/>
          <w:lang w:val="en-GB"/>
        </w:rPr>
        <w:t>Gesetz</w:t>
      </w:r>
      <w:proofErr w:type="spellEnd"/>
      <w:r w:rsidR="00A35DA4">
        <w:rPr>
          <w:rFonts w:ascii="Arial" w:hAnsi="Arial" w:cs="Arial"/>
          <w:color w:val="A6A6A6" w:themeColor="background1" w:themeShade="A6"/>
          <w:sz w:val="22"/>
          <w:szCs w:val="22"/>
          <w:lang w:val="en-GB"/>
        </w:rPr>
        <w:t xml:space="preserve"> </w:t>
      </w:r>
      <w:proofErr w:type="spellStart"/>
      <w:r w:rsidR="00A35DA4">
        <w:rPr>
          <w:rFonts w:ascii="Arial" w:hAnsi="Arial" w:cs="Arial"/>
          <w:color w:val="A6A6A6" w:themeColor="background1" w:themeShade="A6"/>
          <w:sz w:val="22"/>
          <w:szCs w:val="22"/>
          <w:lang w:val="en-GB"/>
        </w:rPr>
        <w:t>über</w:t>
      </w:r>
      <w:proofErr w:type="spellEnd"/>
      <w:r w:rsidR="00A35DA4">
        <w:rPr>
          <w:rFonts w:ascii="Arial" w:hAnsi="Arial" w:cs="Arial"/>
          <w:color w:val="A6A6A6" w:themeColor="background1" w:themeShade="A6"/>
          <w:sz w:val="22"/>
          <w:szCs w:val="22"/>
          <w:lang w:val="en-GB"/>
        </w:rPr>
        <w:t xml:space="preserve"> den </w:t>
      </w:r>
      <w:proofErr w:type="spellStart"/>
      <w:r w:rsidR="00A35DA4">
        <w:rPr>
          <w:rFonts w:ascii="Arial" w:hAnsi="Arial" w:cs="Arial"/>
          <w:color w:val="A6A6A6" w:themeColor="background1" w:themeShade="A6"/>
          <w:sz w:val="22"/>
          <w:szCs w:val="22"/>
          <w:lang w:val="en-GB"/>
        </w:rPr>
        <w:t>Stabilisierungs</w:t>
      </w:r>
      <w:proofErr w:type="spellEnd"/>
      <w:r w:rsidR="00A35DA4">
        <w:rPr>
          <w:rFonts w:ascii="Arial" w:hAnsi="Arial" w:cs="Arial"/>
          <w:color w:val="A6A6A6" w:themeColor="background1" w:themeShade="A6"/>
          <w:sz w:val="22"/>
          <w:szCs w:val="22"/>
          <w:lang w:val="en-GB"/>
        </w:rPr>
        <w:t xml:space="preserve">- under </w:t>
      </w:r>
      <w:proofErr w:type="spellStart"/>
      <w:r w:rsidR="00A35DA4">
        <w:rPr>
          <w:rFonts w:ascii="Arial" w:hAnsi="Arial" w:cs="Arial"/>
          <w:color w:val="A6A6A6" w:themeColor="background1" w:themeShade="A6"/>
          <w:sz w:val="22"/>
          <w:szCs w:val="22"/>
          <w:lang w:val="en-GB"/>
        </w:rPr>
        <w:t>Restrukturierungsrahmen</w:t>
      </w:r>
      <w:proofErr w:type="spellEnd"/>
      <w:r w:rsidR="00A35DA4">
        <w:rPr>
          <w:rFonts w:ascii="Arial" w:hAnsi="Arial" w:cs="Arial"/>
          <w:color w:val="A6A6A6" w:themeColor="background1" w:themeShade="A6"/>
          <w:sz w:val="22"/>
          <w:szCs w:val="22"/>
          <w:lang w:val="en-GB"/>
        </w:rPr>
        <w:t xml:space="preserve"> für </w:t>
      </w:r>
      <w:proofErr w:type="spellStart"/>
      <w:r w:rsidR="00A35DA4">
        <w:rPr>
          <w:rFonts w:ascii="Arial" w:hAnsi="Arial" w:cs="Arial"/>
          <w:color w:val="A6A6A6" w:themeColor="background1" w:themeShade="A6"/>
          <w:sz w:val="22"/>
          <w:szCs w:val="22"/>
          <w:lang w:val="en-GB"/>
        </w:rPr>
        <w:t>Undernehemen</w:t>
      </w:r>
      <w:proofErr w:type="spellEnd"/>
      <w:r w:rsidR="00A35DA4">
        <w:rPr>
          <w:rFonts w:ascii="Arial" w:hAnsi="Arial" w:cs="Arial"/>
          <w:color w:val="A6A6A6" w:themeColor="background1" w:themeShade="A6"/>
          <w:sz w:val="22"/>
          <w:szCs w:val="22"/>
          <w:lang w:val="en-GB"/>
        </w:rPr>
        <w:t xml:space="preserve"> (‘</w:t>
      </w:r>
      <w:proofErr w:type="spellStart"/>
      <w:r w:rsidR="00A35DA4">
        <w:rPr>
          <w:rFonts w:ascii="Arial" w:hAnsi="Arial" w:cs="Arial"/>
          <w:color w:val="A6A6A6" w:themeColor="background1" w:themeShade="A6"/>
          <w:sz w:val="22"/>
          <w:szCs w:val="22"/>
          <w:lang w:val="en-GB"/>
        </w:rPr>
        <w:t>StaRUG</w:t>
      </w:r>
      <w:proofErr w:type="spellEnd"/>
      <w:r w:rsidR="00A35DA4">
        <w:rPr>
          <w:rFonts w:ascii="Arial" w:hAnsi="Arial" w:cs="Arial"/>
          <w:color w:val="A6A6A6" w:themeColor="background1" w:themeShade="A6"/>
          <w:sz w:val="22"/>
          <w:szCs w:val="22"/>
          <w:lang w:val="en-GB"/>
        </w:rPr>
        <w:t>’)</w:t>
      </w:r>
      <w:r w:rsidR="00DE5965">
        <w:rPr>
          <w:rFonts w:ascii="Arial" w:hAnsi="Arial" w:cs="Arial"/>
          <w:color w:val="A6A6A6" w:themeColor="background1" w:themeShade="A6"/>
          <w:sz w:val="22"/>
          <w:szCs w:val="22"/>
          <w:lang w:val="en-GB"/>
        </w:rPr>
        <w:t xml:space="preserve">, which was based on </w:t>
      </w:r>
      <w:r w:rsidR="00DE5965" w:rsidRPr="00DE5965">
        <w:rPr>
          <w:rFonts w:ascii="Arial" w:hAnsi="Arial" w:cs="Arial"/>
          <w:color w:val="A6A6A6" w:themeColor="background1" w:themeShade="A6"/>
          <w:sz w:val="22"/>
          <w:szCs w:val="22"/>
          <w:lang w:val="en-GB"/>
        </w:rPr>
        <w:t>Directive (EU) 2019/1023 of the European Parliament and of the Council of 20 June 2019 on preventive restructuring frameworks</w:t>
      </w:r>
      <w:r w:rsidR="00DE5965">
        <w:rPr>
          <w:rFonts w:ascii="Arial" w:hAnsi="Arial" w:cs="Arial"/>
          <w:color w:val="A6A6A6" w:themeColor="background1" w:themeShade="A6"/>
          <w:sz w:val="22"/>
          <w:szCs w:val="22"/>
          <w:lang w:val="en-GB"/>
        </w:rPr>
        <w:t>,</w:t>
      </w:r>
      <w:r w:rsidR="00A35DA4">
        <w:rPr>
          <w:rFonts w:ascii="Arial" w:hAnsi="Arial" w:cs="Arial"/>
          <w:color w:val="A6A6A6" w:themeColor="background1" w:themeShade="A6"/>
          <w:sz w:val="22"/>
          <w:szCs w:val="22"/>
          <w:lang w:val="en-GB"/>
        </w:rPr>
        <w:t xml:space="preserve"> </w:t>
      </w:r>
      <w:r w:rsidR="00937909">
        <w:rPr>
          <w:rFonts w:ascii="Arial" w:hAnsi="Arial" w:cs="Arial"/>
          <w:color w:val="A6A6A6" w:themeColor="background1" w:themeShade="A6"/>
          <w:sz w:val="22"/>
          <w:szCs w:val="22"/>
          <w:lang w:val="en-GB"/>
        </w:rPr>
        <w:t xml:space="preserve">entered into force on January 1, 2021. </w:t>
      </w:r>
      <w:r w:rsidR="00A86AD9">
        <w:rPr>
          <w:rFonts w:ascii="Arial" w:hAnsi="Arial" w:cs="Arial"/>
          <w:color w:val="A6A6A6" w:themeColor="background1" w:themeShade="A6"/>
          <w:sz w:val="22"/>
          <w:szCs w:val="22"/>
          <w:lang w:val="en-GB"/>
        </w:rPr>
        <w:t xml:space="preserve">Until then, the only restructuring options available to companies in crisis in Germany were either judicial insolvency proceedings or purely consensual out-of-court restructurings with the consent of all the companies’ creditors. </w:t>
      </w:r>
      <w:r w:rsidR="00937909" w:rsidRPr="00A86AD9">
        <w:rPr>
          <w:rFonts w:ascii="Arial" w:hAnsi="Arial" w:cs="Arial"/>
          <w:color w:val="A6A6A6" w:themeColor="background1" w:themeShade="A6"/>
          <w:sz w:val="22"/>
          <w:szCs w:val="22"/>
          <w:lang w:val="en-GB"/>
        </w:rPr>
        <w:t xml:space="preserve">The </w:t>
      </w:r>
      <w:proofErr w:type="spellStart"/>
      <w:r w:rsidR="00937909" w:rsidRPr="00A86AD9">
        <w:rPr>
          <w:rFonts w:ascii="Arial" w:hAnsi="Arial" w:cs="Arial"/>
          <w:color w:val="A6A6A6" w:themeColor="background1" w:themeShade="A6"/>
          <w:sz w:val="22"/>
          <w:szCs w:val="22"/>
          <w:lang w:val="en-GB"/>
        </w:rPr>
        <w:t>StaRUG</w:t>
      </w:r>
      <w:proofErr w:type="spellEnd"/>
      <w:r w:rsidR="00937909" w:rsidRPr="00A86AD9">
        <w:rPr>
          <w:rFonts w:ascii="Arial" w:hAnsi="Arial" w:cs="Arial"/>
          <w:color w:val="A6A6A6" w:themeColor="background1" w:themeShade="A6"/>
          <w:sz w:val="22"/>
          <w:szCs w:val="22"/>
          <w:lang w:val="en-GB"/>
        </w:rPr>
        <w:t xml:space="preserve"> </w:t>
      </w:r>
      <w:r w:rsidR="00A86AD9" w:rsidRPr="00A86AD9">
        <w:rPr>
          <w:rFonts w:ascii="Arial" w:hAnsi="Arial" w:cs="Arial"/>
          <w:color w:val="A6A6A6" w:themeColor="background1" w:themeShade="A6"/>
          <w:sz w:val="22"/>
          <w:szCs w:val="22"/>
          <w:lang w:val="en-GB"/>
        </w:rPr>
        <w:t>now closes</w:t>
      </w:r>
      <w:r w:rsidR="00937909" w:rsidRPr="00A86AD9">
        <w:rPr>
          <w:rFonts w:ascii="Arial" w:hAnsi="Arial" w:cs="Arial"/>
          <w:color w:val="A6A6A6" w:themeColor="background1" w:themeShade="A6"/>
          <w:sz w:val="22"/>
          <w:szCs w:val="22"/>
          <w:lang w:val="en-GB"/>
        </w:rPr>
        <w:t xml:space="preserve"> th</w:t>
      </w:r>
      <w:r w:rsidR="00A86AD9">
        <w:rPr>
          <w:rFonts w:ascii="Arial" w:hAnsi="Arial" w:cs="Arial"/>
          <w:color w:val="A6A6A6" w:themeColor="background1" w:themeShade="A6"/>
          <w:sz w:val="22"/>
          <w:szCs w:val="22"/>
          <w:lang w:val="en-GB"/>
        </w:rPr>
        <w:t>at</w:t>
      </w:r>
      <w:r w:rsidR="00937909" w:rsidRPr="00A86AD9">
        <w:rPr>
          <w:rFonts w:ascii="Arial" w:hAnsi="Arial" w:cs="Arial"/>
          <w:color w:val="A6A6A6" w:themeColor="background1" w:themeShade="A6"/>
          <w:sz w:val="22"/>
          <w:szCs w:val="22"/>
          <w:lang w:val="en-GB"/>
        </w:rPr>
        <w:t xml:space="preserve"> gap between (consensual) pre-insolvency restructuring on the one hand and restructuring via formal and comprehensive (court) insolvency proceedings </w:t>
      </w:r>
      <w:r w:rsidR="00A86AD9" w:rsidRPr="00A86AD9">
        <w:rPr>
          <w:rFonts w:ascii="Arial" w:hAnsi="Arial" w:cs="Arial"/>
          <w:color w:val="A6A6A6" w:themeColor="background1" w:themeShade="A6"/>
          <w:sz w:val="22"/>
          <w:szCs w:val="22"/>
          <w:lang w:val="en-GB"/>
        </w:rPr>
        <w:t xml:space="preserve">under the </w:t>
      </w:r>
      <w:proofErr w:type="spellStart"/>
      <w:r w:rsidR="00A86AD9" w:rsidRPr="00A86AD9">
        <w:rPr>
          <w:rFonts w:ascii="Arial" w:hAnsi="Arial" w:cs="Arial"/>
          <w:color w:val="A6A6A6" w:themeColor="background1" w:themeShade="A6"/>
          <w:sz w:val="22"/>
          <w:szCs w:val="22"/>
          <w:lang w:val="en-GB"/>
        </w:rPr>
        <w:t>InsO</w:t>
      </w:r>
      <w:proofErr w:type="spellEnd"/>
      <w:r w:rsidR="00A86AD9" w:rsidRPr="00A86AD9">
        <w:rPr>
          <w:rFonts w:ascii="Arial" w:hAnsi="Arial" w:cs="Arial"/>
          <w:color w:val="A6A6A6" w:themeColor="background1" w:themeShade="A6"/>
          <w:sz w:val="22"/>
          <w:szCs w:val="22"/>
          <w:lang w:val="en-GB"/>
        </w:rPr>
        <w:t xml:space="preserve"> </w:t>
      </w:r>
      <w:r w:rsidR="00937909" w:rsidRPr="00A86AD9">
        <w:rPr>
          <w:rFonts w:ascii="Arial" w:hAnsi="Arial" w:cs="Arial"/>
          <w:color w:val="A6A6A6" w:themeColor="background1" w:themeShade="A6"/>
          <w:sz w:val="22"/>
          <w:szCs w:val="22"/>
          <w:lang w:val="en-GB"/>
        </w:rPr>
        <w:t xml:space="preserve">on the other. </w:t>
      </w:r>
    </w:p>
    <w:p w14:paraId="22017708" w14:textId="77777777" w:rsidR="00937909" w:rsidRDefault="00937909" w:rsidP="00A35DA4">
      <w:pPr>
        <w:pStyle w:val="Lijstalinea"/>
        <w:jc w:val="both"/>
        <w:rPr>
          <w:rFonts w:ascii="Arial" w:hAnsi="Arial" w:cs="Arial"/>
          <w:color w:val="A6A6A6" w:themeColor="background1" w:themeShade="A6"/>
          <w:sz w:val="22"/>
          <w:szCs w:val="22"/>
          <w:lang w:val="en-GB"/>
        </w:rPr>
      </w:pPr>
    </w:p>
    <w:p w14:paraId="6308F6D6" w14:textId="7606C862" w:rsidR="00EB416D" w:rsidRDefault="00A86AD9" w:rsidP="00A35DA4">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w:t>
      </w:r>
      <w:proofErr w:type="spellStart"/>
      <w:r>
        <w:rPr>
          <w:rFonts w:ascii="Arial" w:hAnsi="Arial" w:cs="Arial"/>
          <w:color w:val="A6A6A6" w:themeColor="background1" w:themeShade="A6"/>
          <w:sz w:val="22"/>
          <w:szCs w:val="22"/>
          <w:lang w:val="en-GB"/>
        </w:rPr>
        <w:t>StaRUG</w:t>
      </w:r>
      <w:proofErr w:type="spellEnd"/>
      <w:r>
        <w:rPr>
          <w:rFonts w:ascii="Arial" w:hAnsi="Arial" w:cs="Arial"/>
          <w:color w:val="A6A6A6" w:themeColor="background1" w:themeShade="A6"/>
          <w:sz w:val="22"/>
          <w:szCs w:val="22"/>
          <w:lang w:val="en-GB"/>
        </w:rPr>
        <w:t xml:space="preserve"> </w:t>
      </w:r>
      <w:r w:rsidR="002470AD">
        <w:rPr>
          <w:rFonts w:ascii="Arial" w:hAnsi="Arial" w:cs="Arial"/>
          <w:color w:val="A6A6A6" w:themeColor="background1" w:themeShade="A6"/>
          <w:sz w:val="22"/>
          <w:szCs w:val="22"/>
          <w:lang w:val="en-GB"/>
        </w:rPr>
        <w:t xml:space="preserve">establishes a statutory pre-insolvency restructuring framework (and thus is not a insolvency </w:t>
      </w:r>
      <w:r w:rsidR="00EB416D">
        <w:rPr>
          <w:rFonts w:ascii="Arial" w:hAnsi="Arial" w:cs="Arial"/>
          <w:color w:val="A6A6A6" w:themeColor="background1" w:themeShade="A6"/>
          <w:sz w:val="22"/>
          <w:szCs w:val="22"/>
          <w:lang w:val="en-GB"/>
        </w:rPr>
        <w:t>statute) to avert probable insolvency</w:t>
      </w:r>
      <w:r w:rsidR="00E9214C">
        <w:rPr>
          <w:rFonts w:ascii="Arial" w:hAnsi="Arial" w:cs="Arial"/>
          <w:color w:val="A6A6A6" w:themeColor="background1" w:themeShade="A6"/>
          <w:sz w:val="22"/>
          <w:szCs w:val="22"/>
          <w:lang w:val="en-GB"/>
        </w:rPr>
        <w:t xml:space="preserve">. </w:t>
      </w:r>
      <w:r w:rsidR="00D41063">
        <w:rPr>
          <w:rFonts w:ascii="Arial" w:hAnsi="Arial" w:cs="Arial"/>
          <w:color w:val="A6A6A6" w:themeColor="background1" w:themeShade="A6"/>
          <w:sz w:val="22"/>
          <w:szCs w:val="22"/>
          <w:lang w:val="en-GB"/>
        </w:rPr>
        <w:t xml:space="preserve">It </w:t>
      </w:r>
      <w:r w:rsidR="00D41063" w:rsidRPr="00D41063">
        <w:rPr>
          <w:rFonts w:ascii="Arial" w:hAnsi="Arial" w:cs="Arial"/>
          <w:color w:val="A6A6A6" w:themeColor="background1" w:themeShade="A6"/>
          <w:sz w:val="22"/>
          <w:szCs w:val="22"/>
          <w:lang w:val="en-GB"/>
        </w:rPr>
        <w:t>contains several new pre-insolvency restructuring procedures, including a new preventive restructuring plan and corresponding protection of minority creditors</w:t>
      </w:r>
      <w:r w:rsidR="00D41063">
        <w:rPr>
          <w:rFonts w:ascii="Arial" w:hAnsi="Arial" w:cs="Arial"/>
          <w:color w:val="A6A6A6" w:themeColor="background1" w:themeShade="A6"/>
          <w:sz w:val="22"/>
          <w:szCs w:val="22"/>
          <w:lang w:val="en-GB"/>
        </w:rPr>
        <w:t xml:space="preserve">. </w:t>
      </w:r>
      <w:r w:rsidR="00E9214C">
        <w:rPr>
          <w:rFonts w:ascii="Arial" w:hAnsi="Arial" w:cs="Arial"/>
          <w:color w:val="A6A6A6" w:themeColor="background1" w:themeShade="A6"/>
          <w:sz w:val="22"/>
          <w:szCs w:val="22"/>
          <w:lang w:val="en-GB"/>
        </w:rPr>
        <w:t xml:space="preserve">It </w:t>
      </w:r>
      <w:r w:rsidR="00463981">
        <w:rPr>
          <w:rFonts w:ascii="Arial" w:hAnsi="Arial" w:cs="Arial"/>
          <w:color w:val="A6A6A6" w:themeColor="background1" w:themeShade="A6"/>
          <w:sz w:val="22"/>
          <w:szCs w:val="22"/>
          <w:lang w:val="en-GB"/>
        </w:rPr>
        <w:t xml:space="preserve">is an alternative to formal bankruptcy or liquidation proceedings, </w:t>
      </w:r>
      <w:r w:rsidR="00EB416D">
        <w:rPr>
          <w:rFonts w:ascii="Arial" w:hAnsi="Arial" w:cs="Arial"/>
          <w:color w:val="A6A6A6" w:themeColor="background1" w:themeShade="A6"/>
          <w:sz w:val="22"/>
          <w:szCs w:val="22"/>
          <w:lang w:val="en-GB"/>
        </w:rPr>
        <w:t xml:space="preserve">and governs </w:t>
      </w:r>
      <w:r w:rsidR="00EB416D" w:rsidRPr="00EB416D">
        <w:rPr>
          <w:rFonts w:ascii="Arial" w:hAnsi="Arial" w:cs="Arial"/>
          <w:color w:val="A6A6A6" w:themeColor="background1" w:themeShade="A6"/>
          <w:sz w:val="22"/>
          <w:szCs w:val="22"/>
          <w:lang w:val="en-GB"/>
        </w:rPr>
        <w:t xml:space="preserve">the restructuring of imminently illiquid </w:t>
      </w:r>
      <w:r w:rsidR="00EB416D">
        <w:rPr>
          <w:rFonts w:ascii="Arial" w:hAnsi="Arial" w:cs="Arial"/>
          <w:color w:val="A6A6A6" w:themeColor="background1" w:themeShade="A6"/>
          <w:sz w:val="22"/>
          <w:szCs w:val="22"/>
          <w:lang w:val="en-GB"/>
        </w:rPr>
        <w:t xml:space="preserve">entrepreneurs </w:t>
      </w:r>
      <w:r w:rsidR="00EB416D" w:rsidRPr="00EB416D">
        <w:rPr>
          <w:rFonts w:ascii="Arial" w:hAnsi="Arial" w:cs="Arial"/>
          <w:color w:val="A6A6A6" w:themeColor="background1" w:themeShade="A6"/>
          <w:sz w:val="22"/>
          <w:szCs w:val="22"/>
          <w:lang w:val="en-GB"/>
        </w:rPr>
        <w:t>outside of insolvency proceedings</w:t>
      </w:r>
      <w:r w:rsidR="002470AD">
        <w:rPr>
          <w:rFonts w:ascii="Arial" w:hAnsi="Arial" w:cs="Arial"/>
          <w:color w:val="A6A6A6" w:themeColor="background1" w:themeShade="A6"/>
          <w:sz w:val="22"/>
          <w:szCs w:val="22"/>
          <w:lang w:val="en-GB"/>
        </w:rPr>
        <w:t>.</w:t>
      </w:r>
      <w:r w:rsidR="00782D1B">
        <w:rPr>
          <w:rFonts w:ascii="Arial" w:hAnsi="Arial" w:cs="Arial"/>
          <w:color w:val="A6A6A6" w:themeColor="background1" w:themeShade="A6"/>
          <w:sz w:val="22"/>
          <w:szCs w:val="22"/>
          <w:lang w:val="en-GB"/>
        </w:rPr>
        <w:t xml:space="preserve"> </w:t>
      </w:r>
      <w:r w:rsidR="002470AD">
        <w:rPr>
          <w:rFonts w:ascii="Arial" w:hAnsi="Arial" w:cs="Arial"/>
          <w:color w:val="A6A6A6" w:themeColor="background1" w:themeShade="A6"/>
          <w:sz w:val="22"/>
          <w:szCs w:val="22"/>
          <w:lang w:val="en-GB"/>
        </w:rPr>
        <w:t>T</w:t>
      </w:r>
      <w:r w:rsidR="00463981">
        <w:rPr>
          <w:rFonts w:ascii="Arial" w:hAnsi="Arial" w:cs="Arial"/>
          <w:color w:val="A6A6A6" w:themeColor="background1" w:themeShade="A6"/>
          <w:sz w:val="22"/>
          <w:szCs w:val="22"/>
          <w:lang w:val="en-GB"/>
        </w:rPr>
        <w:t xml:space="preserve">he </w:t>
      </w:r>
      <w:proofErr w:type="spellStart"/>
      <w:r w:rsidR="00463981">
        <w:rPr>
          <w:rFonts w:ascii="Arial" w:hAnsi="Arial" w:cs="Arial"/>
          <w:color w:val="A6A6A6" w:themeColor="background1" w:themeShade="A6"/>
          <w:sz w:val="22"/>
          <w:szCs w:val="22"/>
          <w:lang w:val="en-GB"/>
        </w:rPr>
        <w:t>StaRUG</w:t>
      </w:r>
      <w:proofErr w:type="spellEnd"/>
      <w:r w:rsidR="00463981">
        <w:rPr>
          <w:rFonts w:ascii="Arial" w:hAnsi="Arial" w:cs="Arial"/>
          <w:color w:val="A6A6A6" w:themeColor="background1" w:themeShade="A6"/>
          <w:sz w:val="22"/>
          <w:szCs w:val="22"/>
          <w:lang w:val="en-GB"/>
        </w:rPr>
        <w:t xml:space="preserve"> </w:t>
      </w:r>
      <w:r w:rsidR="00E9214C">
        <w:rPr>
          <w:rFonts w:ascii="Arial" w:hAnsi="Arial" w:cs="Arial"/>
          <w:color w:val="A6A6A6" w:themeColor="background1" w:themeShade="A6"/>
          <w:sz w:val="22"/>
          <w:szCs w:val="22"/>
          <w:lang w:val="en-GB"/>
        </w:rPr>
        <w:t>offers</w:t>
      </w:r>
      <w:r w:rsidR="00463981">
        <w:rPr>
          <w:rFonts w:ascii="Arial" w:hAnsi="Arial" w:cs="Arial"/>
          <w:color w:val="A6A6A6" w:themeColor="background1" w:themeShade="A6"/>
          <w:sz w:val="22"/>
          <w:szCs w:val="22"/>
          <w:lang w:val="en-GB"/>
        </w:rPr>
        <w:t xml:space="preserve"> a tool-box for </w:t>
      </w:r>
      <w:r w:rsidR="00287812">
        <w:rPr>
          <w:rFonts w:ascii="Arial" w:hAnsi="Arial" w:cs="Arial"/>
          <w:color w:val="A6A6A6" w:themeColor="background1" w:themeShade="A6"/>
          <w:sz w:val="22"/>
          <w:szCs w:val="22"/>
          <w:lang w:val="en-GB"/>
        </w:rPr>
        <w:t xml:space="preserve">pre-insolvency rescue (which must be distinguished from corporate rescue in insolvency proceedings under the </w:t>
      </w:r>
      <w:proofErr w:type="spellStart"/>
      <w:r w:rsidR="00287812">
        <w:rPr>
          <w:rFonts w:ascii="Arial" w:hAnsi="Arial" w:cs="Arial"/>
          <w:color w:val="A6A6A6" w:themeColor="background1" w:themeShade="A6"/>
          <w:sz w:val="22"/>
          <w:szCs w:val="22"/>
          <w:lang w:val="en-GB"/>
        </w:rPr>
        <w:t>InsO</w:t>
      </w:r>
      <w:proofErr w:type="spellEnd"/>
      <w:r w:rsidR="00287812">
        <w:rPr>
          <w:rFonts w:ascii="Arial" w:hAnsi="Arial" w:cs="Arial"/>
          <w:color w:val="A6A6A6" w:themeColor="background1" w:themeShade="A6"/>
          <w:sz w:val="22"/>
          <w:szCs w:val="22"/>
          <w:lang w:val="en-GB"/>
        </w:rPr>
        <w:t xml:space="preserve">), and more in particular enables </w:t>
      </w:r>
      <w:r w:rsidR="00EB416D">
        <w:rPr>
          <w:rFonts w:ascii="Arial" w:hAnsi="Arial" w:cs="Arial"/>
          <w:color w:val="A6A6A6" w:themeColor="background1" w:themeShade="A6"/>
          <w:sz w:val="22"/>
          <w:szCs w:val="22"/>
          <w:lang w:val="en-GB"/>
        </w:rPr>
        <w:t>entrepreneurs</w:t>
      </w:r>
      <w:r w:rsidR="00287812">
        <w:rPr>
          <w:rFonts w:ascii="Arial" w:hAnsi="Arial" w:cs="Arial"/>
          <w:color w:val="A6A6A6" w:themeColor="background1" w:themeShade="A6"/>
          <w:sz w:val="22"/>
          <w:szCs w:val="22"/>
          <w:lang w:val="en-GB"/>
        </w:rPr>
        <w:t xml:space="preserve"> </w:t>
      </w:r>
      <w:r w:rsidR="00EB416D">
        <w:rPr>
          <w:rFonts w:ascii="Arial" w:hAnsi="Arial" w:cs="Arial"/>
          <w:color w:val="A6A6A6" w:themeColor="background1" w:themeShade="A6"/>
          <w:sz w:val="22"/>
          <w:szCs w:val="22"/>
          <w:lang w:val="en-GB"/>
        </w:rPr>
        <w:t xml:space="preserve">to </w:t>
      </w:r>
      <w:r w:rsidR="00EB416D" w:rsidRPr="00EB416D">
        <w:rPr>
          <w:rFonts w:ascii="Arial" w:hAnsi="Arial" w:cs="Arial"/>
          <w:color w:val="A6A6A6" w:themeColor="background1" w:themeShade="A6"/>
          <w:sz w:val="22"/>
          <w:szCs w:val="22"/>
          <w:lang w:val="en-GB"/>
        </w:rPr>
        <w:t>implement restructuring measures</w:t>
      </w:r>
      <w:r w:rsidR="00937909">
        <w:rPr>
          <w:rFonts w:ascii="Arial" w:hAnsi="Arial" w:cs="Arial"/>
          <w:color w:val="A6A6A6" w:themeColor="background1" w:themeShade="A6"/>
          <w:sz w:val="22"/>
          <w:szCs w:val="22"/>
          <w:lang w:val="en-GB"/>
        </w:rPr>
        <w:t xml:space="preserve"> (e.g., a moratorium)</w:t>
      </w:r>
      <w:r w:rsidR="00EB416D" w:rsidRPr="00EB416D">
        <w:rPr>
          <w:rFonts w:ascii="Arial" w:hAnsi="Arial" w:cs="Arial"/>
          <w:color w:val="A6A6A6" w:themeColor="background1" w:themeShade="A6"/>
          <w:sz w:val="22"/>
          <w:szCs w:val="22"/>
          <w:lang w:val="en-GB"/>
        </w:rPr>
        <w:t xml:space="preserve"> with the involvement of creditors, even against the will of </w:t>
      </w:r>
      <w:r w:rsidR="006B3ABE">
        <w:rPr>
          <w:rFonts w:ascii="Arial" w:hAnsi="Arial" w:cs="Arial"/>
          <w:color w:val="A6A6A6" w:themeColor="background1" w:themeShade="A6"/>
          <w:sz w:val="22"/>
          <w:szCs w:val="22"/>
          <w:lang w:val="en-GB"/>
        </w:rPr>
        <w:t xml:space="preserve">the </w:t>
      </w:r>
      <w:r w:rsidR="00EB416D" w:rsidRPr="00EB416D">
        <w:rPr>
          <w:rFonts w:ascii="Arial" w:hAnsi="Arial" w:cs="Arial"/>
          <w:color w:val="A6A6A6" w:themeColor="background1" w:themeShade="A6"/>
          <w:sz w:val="22"/>
          <w:szCs w:val="22"/>
          <w:lang w:val="en-GB"/>
        </w:rPr>
        <w:t>creditors</w:t>
      </w:r>
      <w:r w:rsidR="006B3ABE">
        <w:rPr>
          <w:rFonts w:ascii="Arial" w:hAnsi="Arial" w:cs="Arial"/>
          <w:color w:val="A6A6A6" w:themeColor="background1" w:themeShade="A6"/>
          <w:sz w:val="22"/>
          <w:szCs w:val="22"/>
          <w:lang w:val="en-GB"/>
        </w:rPr>
        <w:t xml:space="preserve"> (‘</w:t>
      </w:r>
      <w:r w:rsidR="00425DE3">
        <w:rPr>
          <w:rFonts w:ascii="Arial" w:hAnsi="Arial" w:cs="Arial"/>
          <w:color w:val="A6A6A6" w:themeColor="background1" w:themeShade="A6"/>
          <w:sz w:val="22"/>
          <w:szCs w:val="22"/>
          <w:lang w:val="en-GB"/>
        </w:rPr>
        <w:t xml:space="preserve">a cross-class </w:t>
      </w:r>
      <w:r w:rsidR="006B3ABE">
        <w:rPr>
          <w:rFonts w:ascii="Arial" w:hAnsi="Arial" w:cs="Arial"/>
          <w:color w:val="A6A6A6" w:themeColor="background1" w:themeShade="A6"/>
          <w:sz w:val="22"/>
          <w:szCs w:val="22"/>
          <w:lang w:val="en-GB"/>
        </w:rPr>
        <w:t>cram-down’)</w:t>
      </w:r>
      <w:r w:rsidR="00644AAF">
        <w:rPr>
          <w:rFonts w:ascii="Arial" w:hAnsi="Arial" w:cs="Arial"/>
          <w:color w:val="A6A6A6" w:themeColor="background1" w:themeShade="A6"/>
          <w:sz w:val="22"/>
          <w:szCs w:val="22"/>
          <w:lang w:val="en-GB"/>
        </w:rPr>
        <w:t>, and without having to open formal proceedings – as is the case with insolvency.</w:t>
      </w:r>
      <w:r w:rsidR="006B3ABE">
        <w:rPr>
          <w:rFonts w:ascii="Arial" w:hAnsi="Arial" w:cs="Arial"/>
          <w:color w:val="A6A6A6" w:themeColor="background1" w:themeShade="A6"/>
          <w:sz w:val="22"/>
          <w:szCs w:val="22"/>
          <w:lang w:val="en-GB"/>
        </w:rPr>
        <w:t xml:space="preserve"> The </w:t>
      </w:r>
      <w:r w:rsidR="00D41063">
        <w:rPr>
          <w:rFonts w:ascii="Arial" w:hAnsi="Arial" w:cs="Arial"/>
          <w:color w:val="A6A6A6" w:themeColor="background1" w:themeShade="A6"/>
          <w:sz w:val="22"/>
          <w:szCs w:val="22"/>
          <w:lang w:val="en-GB"/>
        </w:rPr>
        <w:t>key restructuring tool</w:t>
      </w:r>
      <w:r w:rsidR="006B3ABE">
        <w:rPr>
          <w:rFonts w:ascii="Arial" w:hAnsi="Arial" w:cs="Arial"/>
          <w:color w:val="A6A6A6" w:themeColor="background1" w:themeShade="A6"/>
          <w:sz w:val="22"/>
          <w:szCs w:val="22"/>
          <w:lang w:val="en-GB"/>
        </w:rPr>
        <w:t xml:space="preserve"> under the </w:t>
      </w:r>
      <w:proofErr w:type="spellStart"/>
      <w:r w:rsidR="006B3ABE">
        <w:rPr>
          <w:rFonts w:ascii="Arial" w:hAnsi="Arial" w:cs="Arial"/>
          <w:color w:val="A6A6A6" w:themeColor="background1" w:themeShade="A6"/>
          <w:sz w:val="22"/>
          <w:szCs w:val="22"/>
          <w:lang w:val="en-GB"/>
        </w:rPr>
        <w:t>StaRUG</w:t>
      </w:r>
      <w:proofErr w:type="spellEnd"/>
      <w:r w:rsidR="006B3ABE">
        <w:rPr>
          <w:rFonts w:ascii="Arial" w:hAnsi="Arial" w:cs="Arial"/>
          <w:color w:val="A6A6A6" w:themeColor="background1" w:themeShade="A6"/>
          <w:sz w:val="22"/>
          <w:szCs w:val="22"/>
          <w:lang w:val="en-GB"/>
        </w:rPr>
        <w:t xml:space="preserve"> is the restructuring plan</w:t>
      </w:r>
      <w:r w:rsidR="00DE5965">
        <w:rPr>
          <w:rFonts w:ascii="Arial" w:hAnsi="Arial" w:cs="Arial"/>
          <w:color w:val="A6A6A6" w:themeColor="background1" w:themeShade="A6"/>
          <w:sz w:val="22"/>
          <w:szCs w:val="22"/>
          <w:lang w:val="en-GB"/>
        </w:rPr>
        <w:t xml:space="preserve"> which is put to vote across separate classes of creditors</w:t>
      </w:r>
      <w:r w:rsidR="006B3ABE">
        <w:rPr>
          <w:rFonts w:ascii="Arial" w:hAnsi="Arial" w:cs="Arial"/>
          <w:color w:val="A6A6A6" w:themeColor="background1" w:themeShade="A6"/>
          <w:sz w:val="22"/>
          <w:szCs w:val="22"/>
          <w:lang w:val="en-GB"/>
        </w:rPr>
        <w:t>.</w:t>
      </w:r>
    </w:p>
    <w:p w14:paraId="1D75C0A8" w14:textId="496CB241" w:rsidR="00000330" w:rsidRDefault="00000330" w:rsidP="00A35DA4">
      <w:pPr>
        <w:pStyle w:val="Lijstalinea"/>
        <w:jc w:val="both"/>
        <w:rPr>
          <w:rFonts w:ascii="Arial" w:hAnsi="Arial" w:cs="Arial"/>
          <w:color w:val="A6A6A6" w:themeColor="background1" w:themeShade="A6"/>
          <w:sz w:val="22"/>
          <w:szCs w:val="22"/>
          <w:lang w:val="en-GB"/>
        </w:rPr>
      </w:pPr>
    </w:p>
    <w:p w14:paraId="2F6159F7" w14:textId="0CBF9FF6" w:rsidR="00937909" w:rsidRDefault="00DA1EAE" w:rsidP="00000330">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Although m</w:t>
      </w:r>
      <w:r w:rsidR="00D41063" w:rsidRPr="00D41063">
        <w:rPr>
          <w:rFonts w:ascii="Arial" w:hAnsi="Arial" w:cs="Arial"/>
          <w:color w:val="A6A6A6" w:themeColor="background1" w:themeShade="A6"/>
          <w:sz w:val="22"/>
          <w:szCs w:val="22"/>
          <w:lang w:val="en-GB"/>
        </w:rPr>
        <w:t>any provisions are similar and may be applied in the same way</w:t>
      </w:r>
      <w:r>
        <w:rPr>
          <w:rFonts w:ascii="Arial" w:hAnsi="Arial" w:cs="Arial"/>
          <w:color w:val="A6A6A6" w:themeColor="background1" w:themeShade="A6"/>
          <w:sz w:val="22"/>
          <w:szCs w:val="22"/>
          <w:lang w:val="en-GB"/>
        </w:rPr>
        <w:t xml:space="preserve"> (</w:t>
      </w:r>
      <w:r w:rsidR="00D41063" w:rsidRPr="00D41063">
        <w:rPr>
          <w:rFonts w:ascii="Arial" w:hAnsi="Arial" w:cs="Arial"/>
          <w:color w:val="A6A6A6" w:themeColor="background1" w:themeShade="A6"/>
          <w:sz w:val="22"/>
          <w:szCs w:val="22"/>
          <w:lang w:val="en-GB"/>
        </w:rPr>
        <w:t xml:space="preserve">even though the circumstances prior to insolvency proceedings in imminent illiquidity scenarios </w:t>
      </w:r>
      <w:r>
        <w:rPr>
          <w:rFonts w:ascii="Arial" w:hAnsi="Arial" w:cs="Arial"/>
          <w:color w:val="A6A6A6" w:themeColor="background1" w:themeShade="A6"/>
          <w:sz w:val="22"/>
          <w:szCs w:val="22"/>
          <w:lang w:val="en-GB"/>
        </w:rPr>
        <w:t>are</w:t>
      </w:r>
      <w:r w:rsidR="00D41063" w:rsidRPr="00D41063">
        <w:rPr>
          <w:rFonts w:ascii="Arial" w:hAnsi="Arial" w:cs="Arial"/>
          <w:color w:val="A6A6A6" w:themeColor="background1" w:themeShade="A6"/>
          <w:sz w:val="22"/>
          <w:szCs w:val="22"/>
          <w:lang w:val="en-GB"/>
        </w:rPr>
        <w:t xml:space="preserve"> different</w:t>
      </w:r>
      <w:r>
        <w:rPr>
          <w:rFonts w:ascii="Arial" w:hAnsi="Arial" w:cs="Arial"/>
          <w:color w:val="A6A6A6" w:themeColor="background1" w:themeShade="A6"/>
          <w:sz w:val="22"/>
          <w:szCs w:val="22"/>
          <w:lang w:val="en-GB"/>
        </w:rPr>
        <w:t>), it</w:t>
      </w:r>
      <w:r w:rsidR="00224F71">
        <w:rPr>
          <w:rFonts w:ascii="Arial" w:hAnsi="Arial" w:cs="Arial"/>
          <w:color w:val="A6A6A6" w:themeColor="background1" w:themeShade="A6"/>
          <w:sz w:val="22"/>
          <w:szCs w:val="22"/>
          <w:lang w:val="en-GB"/>
        </w:rPr>
        <w:t xml:space="preserve"> is worth highlighting that some </w:t>
      </w:r>
      <w:r w:rsidR="00224F71" w:rsidRPr="00224F71">
        <w:rPr>
          <w:rFonts w:ascii="Arial" w:hAnsi="Arial" w:cs="Arial"/>
          <w:color w:val="A6A6A6" w:themeColor="background1" w:themeShade="A6"/>
          <w:sz w:val="22"/>
          <w:szCs w:val="22"/>
          <w:lang w:val="en-GB"/>
        </w:rPr>
        <w:t>restructuring instruments</w:t>
      </w:r>
      <w:r w:rsidR="00224F71">
        <w:rPr>
          <w:rFonts w:ascii="Arial" w:hAnsi="Arial" w:cs="Arial"/>
          <w:color w:val="A6A6A6" w:themeColor="background1" w:themeShade="A6"/>
          <w:sz w:val="22"/>
          <w:szCs w:val="22"/>
          <w:lang w:val="en-GB"/>
        </w:rPr>
        <w:t xml:space="preserve"> (e.g., </w:t>
      </w:r>
      <w:r w:rsidR="00C26A56">
        <w:rPr>
          <w:rFonts w:ascii="Arial" w:hAnsi="Arial" w:cs="Arial"/>
          <w:color w:val="A6A6A6" w:themeColor="background1" w:themeShade="A6"/>
          <w:sz w:val="22"/>
          <w:szCs w:val="22"/>
          <w:lang w:val="en-GB"/>
        </w:rPr>
        <w:t xml:space="preserve">rules on executory contracts: §§103 et. seq. </w:t>
      </w:r>
      <w:proofErr w:type="spellStart"/>
      <w:r w:rsidR="00C26A56">
        <w:rPr>
          <w:rFonts w:ascii="Arial" w:hAnsi="Arial" w:cs="Arial"/>
          <w:color w:val="A6A6A6" w:themeColor="background1" w:themeShade="A6"/>
          <w:sz w:val="22"/>
          <w:szCs w:val="22"/>
          <w:lang w:val="en-GB"/>
        </w:rPr>
        <w:t>InsO</w:t>
      </w:r>
      <w:proofErr w:type="spellEnd"/>
      <w:r w:rsidR="00C26A56">
        <w:rPr>
          <w:rFonts w:ascii="Arial" w:hAnsi="Arial" w:cs="Arial"/>
          <w:color w:val="A6A6A6" w:themeColor="background1" w:themeShade="A6"/>
          <w:sz w:val="22"/>
          <w:szCs w:val="22"/>
          <w:lang w:val="en-GB"/>
        </w:rPr>
        <w:t xml:space="preserve">) and measures (e.g., transactions avoidance; §§129 et. seq. </w:t>
      </w:r>
      <w:proofErr w:type="spellStart"/>
      <w:r w:rsidR="00C26A56">
        <w:rPr>
          <w:rFonts w:ascii="Arial" w:hAnsi="Arial" w:cs="Arial"/>
          <w:color w:val="A6A6A6" w:themeColor="background1" w:themeShade="A6"/>
          <w:sz w:val="22"/>
          <w:szCs w:val="22"/>
          <w:lang w:val="en-GB"/>
        </w:rPr>
        <w:t>InsO</w:t>
      </w:r>
      <w:proofErr w:type="spellEnd"/>
      <w:r w:rsidR="00C26A56">
        <w:rPr>
          <w:rFonts w:ascii="Arial" w:hAnsi="Arial" w:cs="Arial"/>
          <w:color w:val="A6A6A6" w:themeColor="background1" w:themeShade="A6"/>
          <w:sz w:val="22"/>
          <w:szCs w:val="22"/>
          <w:lang w:val="en-GB"/>
        </w:rPr>
        <w:t>)</w:t>
      </w:r>
      <w:r w:rsidR="00224F71" w:rsidRPr="00224F71">
        <w:rPr>
          <w:rFonts w:ascii="Arial" w:hAnsi="Arial" w:cs="Arial"/>
          <w:color w:val="A6A6A6" w:themeColor="background1" w:themeShade="A6"/>
          <w:sz w:val="22"/>
          <w:szCs w:val="22"/>
          <w:lang w:val="en-GB"/>
        </w:rPr>
        <w:t xml:space="preserve"> available within insolvency proceedings are not available in pre-insolvency restructuring proceedings</w:t>
      </w:r>
      <w:r w:rsidR="00C26A56">
        <w:rPr>
          <w:rFonts w:ascii="Arial" w:hAnsi="Arial" w:cs="Arial"/>
          <w:color w:val="A6A6A6" w:themeColor="background1" w:themeShade="A6"/>
          <w:sz w:val="22"/>
          <w:szCs w:val="22"/>
          <w:lang w:val="en-GB"/>
        </w:rPr>
        <w:t xml:space="preserve">. </w:t>
      </w:r>
    </w:p>
    <w:p w14:paraId="303F8023" w14:textId="77777777" w:rsidR="00C26A56" w:rsidRPr="00DE5965" w:rsidRDefault="00C26A56" w:rsidP="00DE5965">
      <w:pPr>
        <w:jc w:val="both"/>
        <w:rPr>
          <w:rFonts w:ascii="Arial" w:hAnsi="Arial" w:cs="Arial"/>
          <w:color w:val="A6A6A6" w:themeColor="background1" w:themeShade="A6"/>
          <w:sz w:val="22"/>
          <w:szCs w:val="22"/>
          <w:lang w:val="en-GB"/>
        </w:rPr>
      </w:pPr>
    </w:p>
    <w:p w14:paraId="053CE421" w14:textId="2F207F47" w:rsidR="009F4558" w:rsidRPr="00000330" w:rsidRDefault="00DA1EAE" w:rsidP="00000330">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Moreover, the</w:t>
      </w:r>
      <w:r w:rsidR="00A35DA4" w:rsidRPr="00000330">
        <w:rPr>
          <w:rFonts w:ascii="Arial" w:hAnsi="Arial" w:cs="Arial"/>
          <w:color w:val="A6A6A6" w:themeColor="background1" w:themeShade="A6"/>
          <w:sz w:val="22"/>
          <w:szCs w:val="22"/>
          <w:lang w:val="en-GB"/>
        </w:rPr>
        <w:t xml:space="preserve"> </w:t>
      </w:r>
      <w:proofErr w:type="spellStart"/>
      <w:r w:rsidR="00A35DA4" w:rsidRPr="00000330">
        <w:rPr>
          <w:rFonts w:ascii="Arial" w:hAnsi="Arial" w:cs="Arial"/>
          <w:color w:val="A6A6A6" w:themeColor="background1" w:themeShade="A6"/>
          <w:sz w:val="22"/>
          <w:szCs w:val="22"/>
          <w:lang w:val="en-GB"/>
        </w:rPr>
        <w:t>InsO</w:t>
      </w:r>
      <w:proofErr w:type="spellEnd"/>
      <w:r w:rsidR="00A35DA4" w:rsidRPr="00000330">
        <w:rPr>
          <w:rFonts w:ascii="Arial" w:hAnsi="Arial" w:cs="Arial"/>
          <w:color w:val="A6A6A6" w:themeColor="background1" w:themeShade="A6"/>
          <w:sz w:val="22"/>
          <w:szCs w:val="22"/>
          <w:lang w:val="en-GB"/>
        </w:rPr>
        <w:t xml:space="preserve"> is the only statute</w:t>
      </w:r>
      <w:r w:rsidR="00C26A56">
        <w:rPr>
          <w:rFonts w:ascii="Arial" w:hAnsi="Arial" w:cs="Arial"/>
          <w:color w:val="A6A6A6" w:themeColor="background1" w:themeShade="A6"/>
          <w:sz w:val="22"/>
          <w:szCs w:val="22"/>
          <w:lang w:val="en-GB"/>
        </w:rPr>
        <w:t xml:space="preserve"> in Germany</w:t>
      </w:r>
      <w:r w:rsidR="00A35DA4" w:rsidRPr="00000330">
        <w:rPr>
          <w:rFonts w:ascii="Arial" w:hAnsi="Arial" w:cs="Arial"/>
          <w:color w:val="A6A6A6" w:themeColor="background1" w:themeShade="A6"/>
          <w:sz w:val="22"/>
          <w:szCs w:val="22"/>
          <w:lang w:val="en-GB"/>
        </w:rPr>
        <w:t xml:space="preserve"> which applies to all kinds of debtors</w:t>
      </w:r>
      <w:r w:rsidR="00E9214C" w:rsidRPr="00000330">
        <w:rPr>
          <w:rFonts w:ascii="Arial" w:hAnsi="Arial" w:cs="Arial"/>
          <w:color w:val="A6A6A6" w:themeColor="background1" w:themeShade="A6"/>
          <w:sz w:val="22"/>
          <w:szCs w:val="22"/>
          <w:lang w:val="en-GB"/>
        </w:rPr>
        <w:t xml:space="preserve"> and is applicable to liquidation as well as the restructuring of insolvent </w:t>
      </w:r>
      <w:r>
        <w:rPr>
          <w:rFonts w:ascii="Arial" w:hAnsi="Arial" w:cs="Arial"/>
          <w:color w:val="A6A6A6" w:themeColor="background1" w:themeShade="A6"/>
          <w:sz w:val="22"/>
          <w:szCs w:val="22"/>
          <w:lang w:val="en-GB"/>
        </w:rPr>
        <w:t>debtors</w:t>
      </w:r>
      <w:r w:rsidR="00E9214C" w:rsidRPr="00000330">
        <w:rPr>
          <w:rFonts w:ascii="Arial" w:hAnsi="Arial" w:cs="Arial"/>
          <w:color w:val="A6A6A6" w:themeColor="background1" w:themeShade="A6"/>
          <w:sz w:val="22"/>
          <w:szCs w:val="22"/>
          <w:lang w:val="en-GB"/>
        </w:rPr>
        <w:t>.</w:t>
      </w:r>
    </w:p>
    <w:p w14:paraId="724E3744" w14:textId="299F687E" w:rsidR="004B14C9" w:rsidRPr="00193129" w:rsidRDefault="004B14C9" w:rsidP="002F16BD">
      <w:pPr>
        <w:ind w:left="720" w:hanging="720"/>
        <w:jc w:val="right"/>
        <w:rPr>
          <w:rFonts w:ascii="Arial" w:hAnsi="Arial" w:cs="Arial"/>
          <w:b/>
          <w:color w:val="FF0000"/>
          <w:sz w:val="22"/>
          <w:szCs w:val="22"/>
          <w:highlight w:val="cyan"/>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1024EF6F" w14:textId="4892399E" w:rsidR="003D55EA" w:rsidRPr="00E349CE" w:rsidRDefault="003D55EA" w:rsidP="00C34152">
      <w:pPr>
        <w:jc w:val="both"/>
        <w:rPr>
          <w:rFonts w:ascii="Arial" w:hAnsi="Arial" w:cs="Arial"/>
          <w:sz w:val="22"/>
          <w:szCs w:val="22"/>
          <w:lang w:val="en-GB"/>
        </w:rPr>
      </w:pPr>
    </w:p>
    <w:p w14:paraId="1F35EF8B" w14:textId="64E5219B" w:rsidR="00784814" w:rsidRDefault="00784814" w:rsidP="00C10750">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The treatment of executory contracts</w:t>
      </w:r>
      <w:r w:rsidR="00EC4FF2">
        <w:rPr>
          <w:rFonts w:ascii="Arial" w:hAnsi="Arial" w:cs="Arial"/>
          <w:color w:val="A6A6A6" w:themeColor="background1" w:themeShade="A6"/>
          <w:sz w:val="22"/>
          <w:szCs w:val="22"/>
          <w:lang w:val="en-GB"/>
        </w:rPr>
        <w:t xml:space="preserve"> upon insolvency</w:t>
      </w:r>
      <w:r>
        <w:rPr>
          <w:rFonts w:ascii="Arial" w:hAnsi="Arial" w:cs="Arial"/>
          <w:color w:val="A6A6A6" w:themeColor="background1" w:themeShade="A6"/>
          <w:sz w:val="22"/>
          <w:szCs w:val="22"/>
          <w:lang w:val="en-GB"/>
        </w:rPr>
        <w:t xml:space="preserve"> is for every insolvency proceeding (bankruptcy, liquidation</w:t>
      </w:r>
      <w:r w:rsidR="00EC4FF2">
        <w:rPr>
          <w:rFonts w:ascii="Arial" w:hAnsi="Arial" w:cs="Arial"/>
          <w:color w:val="A6A6A6" w:themeColor="background1" w:themeShade="A6"/>
          <w:sz w:val="22"/>
          <w:szCs w:val="22"/>
          <w:lang w:val="en-GB"/>
        </w:rPr>
        <w:t xml:space="preserve"> and corporate rescue) regulated by §§103 et. seq. </w:t>
      </w:r>
      <w:proofErr w:type="spellStart"/>
      <w:r w:rsidR="00EC4FF2">
        <w:rPr>
          <w:rFonts w:ascii="Arial" w:hAnsi="Arial" w:cs="Arial"/>
          <w:color w:val="A6A6A6" w:themeColor="background1" w:themeShade="A6"/>
          <w:sz w:val="22"/>
          <w:szCs w:val="22"/>
          <w:lang w:val="en-GB"/>
        </w:rPr>
        <w:t>InsO</w:t>
      </w:r>
      <w:proofErr w:type="spellEnd"/>
      <w:r w:rsidR="00EC4FF2">
        <w:rPr>
          <w:rFonts w:ascii="Arial" w:hAnsi="Arial" w:cs="Arial"/>
          <w:color w:val="A6A6A6" w:themeColor="background1" w:themeShade="A6"/>
          <w:sz w:val="22"/>
          <w:szCs w:val="22"/>
          <w:lang w:val="en-GB"/>
        </w:rPr>
        <w:t xml:space="preserve">. </w:t>
      </w:r>
      <w:r w:rsidR="00426A16">
        <w:rPr>
          <w:rFonts w:ascii="Arial" w:hAnsi="Arial" w:cs="Arial"/>
          <w:color w:val="A6A6A6" w:themeColor="background1" w:themeShade="A6"/>
          <w:sz w:val="22"/>
          <w:szCs w:val="22"/>
          <w:lang w:val="en-GB"/>
        </w:rPr>
        <w:t>It should be noted that pre-insolvency proceedings do not per se affect the existing contracts and have no direct implications for termination.</w:t>
      </w:r>
      <w:r w:rsidR="007B4FC6">
        <w:rPr>
          <w:rFonts w:ascii="Arial" w:hAnsi="Arial" w:cs="Arial"/>
          <w:color w:val="A6A6A6" w:themeColor="background1" w:themeShade="A6"/>
          <w:sz w:val="22"/>
          <w:szCs w:val="22"/>
          <w:lang w:val="en-GB"/>
        </w:rPr>
        <w:t xml:space="preserve"> </w:t>
      </w:r>
      <w:r w:rsidR="007B4FC6" w:rsidRPr="007B4FC6">
        <w:rPr>
          <w:rFonts w:ascii="Arial" w:hAnsi="Arial" w:cs="Arial"/>
          <w:color w:val="A6A6A6" w:themeColor="background1" w:themeShade="A6"/>
          <w:sz w:val="22"/>
          <w:szCs w:val="22"/>
          <w:lang w:val="en-GB"/>
        </w:rPr>
        <w:t xml:space="preserve">The opening of the </w:t>
      </w:r>
      <w:r w:rsidR="007B4FC6" w:rsidRPr="007B4FC6">
        <w:rPr>
          <w:rFonts w:ascii="Arial" w:hAnsi="Arial" w:cs="Arial"/>
          <w:color w:val="A6A6A6" w:themeColor="background1" w:themeShade="A6"/>
          <w:sz w:val="22"/>
          <w:szCs w:val="22"/>
          <w:lang w:val="en-GB"/>
        </w:rPr>
        <w:lastRenderedPageBreak/>
        <w:t xml:space="preserve">insolvency proceeding itself </w:t>
      </w:r>
      <w:r w:rsidR="007B4FC6">
        <w:rPr>
          <w:rFonts w:ascii="Arial" w:hAnsi="Arial" w:cs="Arial"/>
          <w:color w:val="A6A6A6" w:themeColor="background1" w:themeShade="A6"/>
          <w:sz w:val="22"/>
          <w:szCs w:val="22"/>
          <w:lang w:val="en-GB"/>
        </w:rPr>
        <w:t>does also</w:t>
      </w:r>
      <w:r w:rsidR="007B4FC6" w:rsidRPr="007B4FC6">
        <w:rPr>
          <w:rFonts w:ascii="Arial" w:hAnsi="Arial" w:cs="Arial"/>
          <w:color w:val="A6A6A6" w:themeColor="background1" w:themeShade="A6"/>
          <w:sz w:val="22"/>
          <w:szCs w:val="22"/>
          <w:lang w:val="en-GB"/>
        </w:rPr>
        <w:t xml:space="preserve"> not wound up such contract</w:t>
      </w:r>
      <w:r w:rsidR="007B4FC6">
        <w:rPr>
          <w:rFonts w:ascii="Arial" w:hAnsi="Arial" w:cs="Arial"/>
          <w:color w:val="A6A6A6" w:themeColor="background1" w:themeShade="A6"/>
          <w:sz w:val="22"/>
          <w:szCs w:val="22"/>
          <w:lang w:val="en-GB"/>
        </w:rPr>
        <w:t xml:space="preserve">. §103 </w:t>
      </w:r>
      <w:proofErr w:type="spellStart"/>
      <w:r w:rsidR="007B4FC6">
        <w:rPr>
          <w:rFonts w:ascii="Arial" w:hAnsi="Arial" w:cs="Arial"/>
          <w:color w:val="A6A6A6" w:themeColor="background1" w:themeShade="A6"/>
          <w:sz w:val="22"/>
          <w:szCs w:val="22"/>
          <w:lang w:val="en-GB"/>
        </w:rPr>
        <w:t>InsO</w:t>
      </w:r>
      <w:proofErr w:type="spellEnd"/>
      <w:r w:rsidR="007B4FC6">
        <w:rPr>
          <w:rFonts w:ascii="Arial" w:hAnsi="Arial" w:cs="Arial"/>
          <w:color w:val="A6A6A6" w:themeColor="background1" w:themeShade="A6"/>
          <w:sz w:val="22"/>
          <w:szCs w:val="22"/>
          <w:lang w:val="en-GB"/>
        </w:rPr>
        <w:t xml:space="preserve"> contains a general rule for the execution of mutual contracts, which grants the insolvency administrator a right of choice with regard the fulfilment of certain contracts.</w:t>
      </w:r>
    </w:p>
    <w:p w14:paraId="7B1CBE97" w14:textId="77777777" w:rsidR="001B5BFA" w:rsidRDefault="001B5BFA" w:rsidP="00C10750">
      <w:pPr>
        <w:pStyle w:val="Lijstalinea"/>
        <w:jc w:val="both"/>
        <w:rPr>
          <w:rFonts w:ascii="Arial" w:hAnsi="Arial" w:cs="Arial"/>
          <w:color w:val="A6A6A6" w:themeColor="background1" w:themeShade="A6"/>
          <w:sz w:val="22"/>
          <w:szCs w:val="22"/>
          <w:lang w:val="en-GB"/>
        </w:rPr>
      </w:pPr>
    </w:p>
    <w:p w14:paraId="2C710F86" w14:textId="0084AEA1" w:rsidR="00D05CA4" w:rsidRPr="007B4FC6" w:rsidRDefault="0041544A" w:rsidP="007B4FC6">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a general rule for the execution of </w:t>
      </w:r>
      <w:r w:rsidR="00C10750">
        <w:rPr>
          <w:rFonts w:ascii="Arial" w:hAnsi="Arial" w:cs="Arial"/>
          <w:color w:val="A6A6A6" w:themeColor="background1" w:themeShade="A6"/>
          <w:sz w:val="22"/>
          <w:szCs w:val="22"/>
          <w:lang w:val="en-GB"/>
        </w:rPr>
        <w:t>executory contracts,</w:t>
      </w:r>
      <w:r>
        <w:rPr>
          <w:rFonts w:ascii="Arial" w:hAnsi="Arial" w:cs="Arial"/>
          <w:color w:val="A6A6A6" w:themeColor="background1" w:themeShade="A6"/>
          <w:sz w:val="22"/>
          <w:szCs w:val="22"/>
          <w:lang w:val="en-GB"/>
        </w:rPr>
        <w:t xml:space="preserve"> §103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grants the insolvency administrator a right of choice with regard the fulfilment of certain contracts </w:t>
      </w:r>
      <w:r w:rsidR="00C10750">
        <w:rPr>
          <w:rFonts w:ascii="Arial" w:hAnsi="Arial" w:cs="Arial"/>
          <w:color w:val="A6A6A6" w:themeColor="background1" w:themeShade="A6"/>
          <w:sz w:val="22"/>
          <w:szCs w:val="22"/>
          <w:lang w:val="en-GB"/>
        </w:rPr>
        <w:t xml:space="preserve"> if a </w:t>
      </w:r>
      <w:r w:rsidR="00537934">
        <w:rPr>
          <w:rFonts w:ascii="Arial" w:hAnsi="Arial" w:cs="Arial"/>
          <w:color w:val="A6A6A6" w:themeColor="background1" w:themeShade="A6"/>
          <w:sz w:val="22"/>
          <w:szCs w:val="22"/>
          <w:lang w:val="en-GB"/>
        </w:rPr>
        <w:t xml:space="preserve">reciprocal </w:t>
      </w:r>
      <w:r w:rsidR="00C10750">
        <w:rPr>
          <w:rFonts w:ascii="Arial" w:hAnsi="Arial" w:cs="Arial"/>
          <w:color w:val="A6A6A6" w:themeColor="background1" w:themeShade="A6"/>
          <w:sz w:val="22"/>
          <w:szCs w:val="22"/>
          <w:lang w:val="en-GB"/>
        </w:rPr>
        <w:t xml:space="preserve">contract was not or not performed </w:t>
      </w:r>
      <w:r w:rsidR="005001D4">
        <w:rPr>
          <w:rFonts w:ascii="Arial" w:hAnsi="Arial" w:cs="Arial"/>
          <w:color w:val="A6A6A6" w:themeColor="background1" w:themeShade="A6"/>
          <w:sz w:val="22"/>
          <w:szCs w:val="22"/>
          <w:lang w:val="en-GB"/>
        </w:rPr>
        <w:t xml:space="preserve">in full </w:t>
      </w:r>
      <w:r w:rsidR="00C10750">
        <w:rPr>
          <w:rFonts w:ascii="Arial" w:hAnsi="Arial" w:cs="Arial"/>
          <w:color w:val="A6A6A6" w:themeColor="background1" w:themeShade="A6"/>
          <w:sz w:val="22"/>
          <w:szCs w:val="22"/>
          <w:lang w:val="en-GB"/>
        </w:rPr>
        <w:t xml:space="preserve">by the debtor and </w:t>
      </w:r>
      <w:r w:rsidR="005001D4">
        <w:rPr>
          <w:rFonts w:ascii="Arial" w:hAnsi="Arial" w:cs="Arial"/>
          <w:color w:val="A6A6A6" w:themeColor="background1" w:themeShade="A6"/>
          <w:sz w:val="22"/>
          <w:szCs w:val="22"/>
          <w:lang w:val="en-GB"/>
        </w:rPr>
        <w:t xml:space="preserve">the </w:t>
      </w:r>
      <w:r w:rsidR="00C10750">
        <w:rPr>
          <w:rFonts w:ascii="Arial" w:hAnsi="Arial" w:cs="Arial"/>
          <w:color w:val="A6A6A6" w:themeColor="background1" w:themeShade="A6"/>
          <w:sz w:val="22"/>
          <w:szCs w:val="22"/>
          <w:lang w:val="en-GB"/>
        </w:rPr>
        <w:t>other party</w:t>
      </w:r>
      <w:r w:rsidR="005001D4">
        <w:rPr>
          <w:rFonts w:ascii="Arial" w:hAnsi="Arial" w:cs="Arial"/>
          <w:color w:val="A6A6A6" w:themeColor="background1" w:themeShade="A6"/>
          <w:sz w:val="22"/>
          <w:szCs w:val="22"/>
          <w:lang w:val="en-GB"/>
        </w:rPr>
        <w:t xml:space="preserve"> (the creditor)</w:t>
      </w:r>
      <w:r w:rsidR="00C10750">
        <w:rPr>
          <w:rFonts w:ascii="Arial" w:hAnsi="Arial" w:cs="Arial"/>
          <w:color w:val="A6A6A6" w:themeColor="background1" w:themeShade="A6"/>
          <w:sz w:val="22"/>
          <w:szCs w:val="22"/>
          <w:lang w:val="en-GB"/>
        </w:rPr>
        <w:t xml:space="preserve"> </w:t>
      </w:r>
      <w:r w:rsidR="008075D9">
        <w:rPr>
          <w:rFonts w:ascii="Arial" w:hAnsi="Arial" w:cs="Arial"/>
          <w:color w:val="A6A6A6" w:themeColor="background1" w:themeShade="A6"/>
          <w:sz w:val="22"/>
          <w:szCs w:val="22"/>
          <w:lang w:val="en-GB"/>
        </w:rPr>
        <w:t>prior to the opening of</w:t>
      </w:r>
      <w:r w:rsidR="00C10750">
        <w:rPr>
          <w:rFonts w:ascii="Arial" w:hAnsi="Arial" w:cs="Arial"/>
          <w:color w:val="A6A6A6" w:themeColor="background1" w:themeShade="A6"/>
          <w:sz w:val="22"/>
          <w:szCs w:val="22"/>
          <w:lang w:val="en-GB"/>
        </w:rPr>
        <w:t xml:space="preserve"> the insolvency proceedings</w:t>
      </w:r>
      <w:r>
        <w:rPr>
          <w:rFonts w:ascii="Arial" w:hAnsi="Arial" w:cs="Arial"/>
          <w:color w:val="A6A6A6" w:themeColor="background1" w:themeShade="A6"/>
          <w:sz w:val="22"/>
          <w:szCs w:val="22"/>
          <w:lang w:val="en-GB"/>
        </w:rPr>
        <w:t>. In that case</w:t>
      </w:r>
      <w:r w:rsidR="00C10750">
        <w:rPr>
          <w:rFonts w:ascii="Arial" w:hAnsi="Arial" w:cs="Arial"/>
          <w:color w:val="A6A6A6" w:themeColor="background1" w:themeShade="A6"/>
          <w:sz w:val="22"/>
          <w:szCs w:val="22"/>
          <w:lang w:val="en-GB"/>
        </w:rPr>
        <w:t xml:space="preserve"> </w:t>
      </w:r>
      <w:r w:rsidR="005001D4">
        <w:rPr>
          <w:rFonts w:ascii="Arial" w:hAnsi="Arial" w:cs="Arial"/>
          <w:color w:val="A6A6A6" w:themeColor="background1" w:themeShade="A6"/>
          <w:sz w:val="22"/>
          <w:szCs w:val="22"/>
          <w:lang w:val="en-GB"/>
        </w:rPr>
        <w:t xml:space="preserve">the </w:t>
      </w:r>
      <w:r w:rsidR="00C10750">
        <w:rPr>
          <w:rFonts w:ascii="Arial" w:hAnsi="Arial" w:cs="Arial"/>
          <w:color w:val="A6A6A6" w:themeColor="background1" w:themeShade="A6"/>
          <w:sz w:val="22"/>
          <w:szCs w:val="22"/>
          <w:lang w:val="en-GB"/>
        </w:rPr>
        <w:t>insolvency administrato</w:t>
      </w:r>
      <w:r w:rsidR="00FD220A">
        <w:rPr>
          <w:rFonts w:ascii="Arial" w:hAnsi="Arial" w:cs="Arial"/>
          <w:color w:val="A6A6A6" w:themeColor="background1" w:themeShade="A6"/>
          <w:sz w:val="22"/>
          <w:szCs w:val="22"/>
          <w:lang w:val="en-GB"/>
        </w:rPr>
        <w:t xml:space="preserve">r </w:t>
      </w:r>
      <w:r w:rsidR="005001D4">
        <w:rPr>
          <w:rFonts w:ascii="Arial" w:hAnsi="Arial" w:cs="Arial"/>
          <w:color w:val="A6A6A6" w:themeColor="background1" w:themeShade="A6"/>
          <w:sz w:val="22"/>
          <w:szCs w:val="22"/>
          <w:lang w:val="en-GB"/>
        </w:rPr>
        <w:t xml:space="preserve">can choose between </w:t>
      </w:r>
      <w:r w:rsidR="00506DF7">
        <w:rPr>
          <w:rFonts w:ascii="Arial" w:hAnsi="Arial" w:cs="Arial"/>
          <w:color w:val="A6A6A6" w:themeColor="background1" w:themeShade="A6"/>
          <w:sz w:val="22"/>
          <w:szCs w:val="22"/>
          <w:lang w:val="en-GB"/>
        </w:rPr>
        <w:t xml:space="preserve">assuming </w:t>
      </w:r>
      <w:r w:rsidR="00746EED">
        <w:rPr>
          <w:rFonts w:ascii="Arial" w:hAnsi="Arial" w:cs="Arial"/>
          <w:color w:val="A6A6A6" w:themeColor="background1" w:themeShade="A6"/>
          <w:sz w:val="22"/>
          <w:szCs w:val="22"/>
          <w:lang w:val="en-GB"/>
        </w:rPr>
        <w:t>and fulfilling such contract instead of the debtor and claim a fulfilment or performance from the other party</w:t>
      </w:r>
      <w:r w:rsidR="005001D4">
        <w:rPr>
          <w:rFonts w:ascii="Arial" w:hAnsi="Arial" w:cs="Arial"/>
          <w:color w:val="A6A6A6" w:themeColor="background1" w:themeShade="A6"/>
          <w:sz w:val="22"/>
          <w:szCs w:val="22"/>
          <w:lang w:val="en-GB"/>
        </w:rPr>
        <w:t xml:space="preserve"> (</w:t>
      </w:r>
      <w:r w:rsidR="00FD220A">
        <w:rPr>
          <w:rFonts w:ascii="Arial" w:hAnsi="Arial" w:cs="Arial"/>
          <w:color w:val="A6A6A6" w:themeColor="background1" w:themeShade="A6"/>
          <w:sz w:val="22"/>
          <w:szCs w:val="22"/>
          <w:lang w:val="en-GB"/>
        </w:rPr>
        <w:t>in which case the claim of the other party must be satisfied in full</w:t>
      </w:r>
      <w:r w:rsidR="005001D4">
        <w:rPr>
          <w:rFonts w:ascii="Arial" w:hAnsi="Arial" w:cs="Arial"/>
          <w:color w:val="A6A6A6" w:themeColor="background1" w:themeShade="A6"/>
          <w:sz w:val="22"/>
          <w:szCs w:val="22"/>
          <w:lang w:val="en-GB"/>
        </w:rPr>
        <w:t xml:space="preserve">) or </w:t>
      </w:r>
      <w:r w:rsidR="00746EED">
        <w:rPr>
          <w:rFonts w:ascii="Arial" w:hAnsi="Arial" w:cs="Arial"/>
          <w:color w:val="A6A6A6" w:themeColor="background1" w:themeShade="A6"/>
          <w:sz w:val="22"/>
          <w:szCs w:val="22"/>
          <w:lang w:val="en-GB"/>
        </w:rPr>
        <w:t>refusing to fulfil or perform such contract</w:t>
      </w:r>
      <w:r w:rsidR="005001D4">
        <w:rPr>
          <w:rFonts w:ascii="Arial" w:hAnsi="Arial" w:cs="Arial"/>
          <w:color w:val="A6A6A6" w:themeColor="background1" w:themeShade="A6"/>
          <w:sz w:val="22"/>
          <w:szCs w:val="22"/>
          <w:lang w:val="en-GB"/>
        </w:rPr>
        <w:t xml:space="preserve"> (</w:t>
      </w:r>
      <w:r w:rsidR="00FD220A">
        <w:rPr>
          <w:rFonts w:ascii="Arial" w:hAnsi="Arial" w:cs="Arial"/>
          <w:color w:val="A6A6A6" w:themeColor="background1" w:themeShade="A6"/>
          <w:sz w:val="22"/>
          <w:szCs w:val="22"/>
          <w:lang w:val="en-GB"/>
        </w:rPr>
        <w:t xml:space="preserve">in which case the claim of the other party </w:t>
      </w:r>
      <w:r w:rsidR="007B4FC6">
        <w:rPr>
          <w:rFonts w:ascii="Arial" w:hAnsi="Arial" w:cs="Arial"/>
          <w:color w:val="A6A6A6" w:themeColor="background1" w:themeShade="A6"/>
          <w:sz w:val="22"/>
          <w:szCs w:val="22"/>
          <w:lang w:val="en-GB"/>
        </w:rPr>
        <w:t xml:space="preserve">by reason of the non-fulfilment or non-performance </w:t>
      </w:r>
      <w:r w:rsidR="00FD220A">
        <w:rPr>
          <w:rFonts w:ascii="Arial" w:hAnsi="Arial" w:cs="Arial"/>
          <w:color w:val="A6A6A6" w:themeColor="background1" w:themeShade="A6"/>
          <w:sz w:val="22"/>
          <w:szCs w:val="22"/>
          <w:lang w:val="en-GB"/>
        </w:rPr>
        <w:t xml:space="preserve">will only be satisfied on a </w:t>
      </w:r>
      <w:r w:rsidR="00FD220A">
        <w:rPr>
          <w:rFonts w:ascii="Arial" w:hAnsi="Arial" w:cs="Arial"/>
          <w:i/>
          <w:iCs/>
          <w:color w:val="A6A6A6" w:themeColor="background1" w:themeShade="A6"/>
          <w:sz w:val="22"/>
          <w:szCs w:val="22"/>
          <w:lang w:val="en-GB"/>
        </w:rPr>
        <w:t>pro rata</w:t>
      </w:r>
      <w:r w:rsidR="00FD220A">
        <w:rPr>
          <w:rFonts w:ascii="Arial" w:hAnsi="Arial" w:cs="Arial"/>
          <w:color w:val="A6A6A6" w:themeColor="background1" w:themeShade="A6"/>
          <w:sz w:val="22"/>
          <w:szCs w:val="22"/>
          <w:lang w:val="en-GB"/>
        </w:rPr>
        <w:t xml:space="preserve"> basis)</w:t>
      </w:r>
      <w:r w:rsidR="007B4FC6">
        <w:rPr>
          <w:rFonts w:ascii="Arial" w:hAnsi="Arial" w:cs="Arial"/>
          <w:color w:val="A6A6A6" w:themeColor="background1" w:themeShade="A6"/>
          <w:sz w:val="22"/>
          <w:szCs w:val="22"/>
          <w:lang w:val="en-GB"/>
        </w:rPr>
        <w:t xml:space="preserve">. </w:t>
      </w:r>
      <w:r w:rsidR="007B4FC6" w:rsidRPr="007B4FC6">
        <w:rPr>
          <w:rFonts w:ascii="Arial" w:hAnsi="Arial" w:cs="Arial"/>
          <w:color w:val="A6A6A6" w:themeColor="background1" w:themeShade="A6"/>
          <w:sz w:val="22"/>
          <w:szCs w:val="22"/>
          <w:lang w:val="en-GB"/>
        </w:rPr>
        <w:t xml:space="preserve">If the other party requests the insolvency administrator to exercise </w:t>
      </w:r>
      <w:r w:rsidR="007B4FC6">
        <w:rPr>
          <w:rFonts w:ascii="Arial" w:hAnsi="Arial" w:cs="Arial"/>
          <w:color w:val="A6A6A6" w:themeColor="background1" w:themeShade="A6"/>
          <w:sz w:val="22"/>
          <w:szCs w:val="22"/>
          <w:lang w:val="en-GB"/>
        </w:rPr>
        <w:t>his</w:t>
      </w:r>
      <w:r w:rsidR="007B4FC6" w:rsidRPr="007B4FC6">
        <w:rPr>
          <w:rFonts w:ascii="Arial" w:hAnsi="Arial" w:cs="Arial"/>
          <w:color w:val="A6A6A6" w:themeColor="background1" w:themeShade="A6"/>
          <w:sz w:val="22"/>
          <w:szCs w:val="22"/>
          <w:lang w:val="en-GB"/>
        </w:rPr>
        <w:t xml:space="preserve"> right of choice, </w:t>
      </w:r>
      <w:r w:rsidR="007B4FC6">
        <w:rPr>
          <w:rFonts w:ascii="Arial" w:hAnsi="Arial" w:cs="Arial"/>
          <w:color w:val="A6A6A6" w:themeColor="background1" w:themeShade="A6"/>
          <w:sz w:val="22"/>
          <w:szCs w:val="22"/>
          <w:lang w:val="en-GB"/>
        </w:rPr>
        <w:t xml:space="preserve">insolvency </w:t>
      </w:r>
      <w:r w:rsidR="007B4FC6" w:rsidRPr="007B4FC6">
        <w:rPr>
          <w:rFonts w:ascii="Arial" w:hAnsi="Arial" w:cs="Arial"/>
          <w:color w:val="A6A6A6" w:themeColor="background1" w:themeShade="A6"/>
          <w:sz w:val="22"/>
          <w:szCs w:val="22"/>
          <w:lang w:val="en-GB"/>
        </w:rPr>
        <w:t xml:space="preserve">the administrator </w:t>
      </w:r>
      <w:r w:rsidR="007B4FC6">
        <w:rPr>
          <w:rFonts w:ascii="Arial" w:hAnsi="Arial" w:cs="Arial"/>
          <w:color w:val="A6A6A6" w:themeColor="background1" w:themeShade="A6"/>
          <w:sz w:val="22"/>
          <w:szCs w:val="22"/>
          <w:lang w:val="en-GB"/>
        </w:rPr>
        <w:t>must</w:t>
      </w:r>
      <w:r w:rsidR="007B4FC6" w:rsidRPr="007B4FC6">
        <w:rPr>
          <w:rFonts w:ascii="Arial" w:hAnsi="Arial" w:cs="Arial"/>
          <w:color w:val="A6A6A6" w:themeColor="background1" w:themeShade="A6"/>
          <w:sz w:val="22"/>
          <w:szCs w:val="22"/>
          <w:lang w:val="en-GB"/>
        </w:rPr>
        <w:t xml:space="preserve"> declare without delay whether or not he </w:t>
      </w:r>
      <w:r w:rsidR="007B4FC6">
        <w:rPr>
          <w:rFonts w:ascii="Arial" w:hAnsi="Arial" w:cs="Arial"/>
          <w:color w:val="A6A6A6" w:themeColor="background1" w:themeShade="A6"/>
          <w:sz w:val="22"/>
          <w:szCs w:val="22"/>
          <w:lang w:val="en-GB"/>
        </w:rPr>
        <w:t>wants the</w:t>
      </w:r>
      <w:r w:rsidR="007B4FC6" w:rsidRPr="007B4FC6">
        <w:rPr>
          <w:rFonts w:ascii="Arial" w:hAnsi="Arial" w:cs="Arial"/>
          <w:color w:val="A6A6A6" w:themeColor="background1" w:themeShade="A6"/>
          <w:sz w:val="22"/>
          <w:szCs w:val="22"/>
          <w:lang w:val="en-GB"/>
        </w:rPr>
        <w:t xml:space="preserve"> fulfilment or the performance of the contract. If the </w:t>
      </w:r>
      <w:r w:rsidR="007B4FC6">
        <w:rPr>
          <w:rFonts w:ascii="Arial" w:hAnsi="Arial" w:cs="Arial"/>
          <w:color w:val="A6A6A6" w:themeColor="background1" w:themeShade="A6"/>
          <w:sz w:val="22"/>
          <w:szCs w:val="22"/>
          <w:lang w:val="en-GB"/>
        </w:rPr>
        <w:t xml:space="preserve">insolvency </w:t>
      </w:r>
      <w:r w:rsidR="007B4FC6" w:rsidRPr="007B4FC6">
        <w:rPr>
          <w:rFonts w:ascii="Arial" w:hAnsi="Arial" w:cs="Arial"/>
          <w:color w:val="A6A6A6" w:themeColor="background1" w:themeShade="A6"/>
          <w:sz w:val="22"/>
          <w:szCs w:val="22"/>
          <w:lang w:val="en-GB"/>
        </w:rPr>
        <w:t>administrator omits to make</w:t>
      </w:r>
      <w:r w:rsidR="007B4FC6">
        <w:rPr>
          <w:rFonts w:ascii="Arial" w:hAnsi="Arial" w:cs="Arial"/>
          <w:color w:val="A6A6A6" w:themeColor="background1" w:themeShade="A6"/>
          <w:sz w:val="22"/>
          <w:szCs w:val="22"/>
          <w:lang w:val="en-GB"/>
        </w:rPr>
        <w:t xml:space="preserve"> </w:t>
      </w:r>
      <w:r w:rsidR="007B4FC6" w:rsidRPr="007B4FC6">
        <w:rPr>
          <w:rFonts w:ascii="Arial" w:hAnsi="Arial" w:cs="Arial"/>
          <w:color w:val="A6A6A6" w:themeColor="background1" w:themeShade="A6"/>
          <w:sz w:val="22"/>
          <w:szCs w:val="22"/>
          <w:lang w:val="en-GB"/>
        </w:rPr>
        <w:t xml:space="preserve">such a declaration, he </w:t>
      </w:r>
      <w:r w:rsidR="007B4FC6">
        <w:rPr>
          <w:rFonts w:ascii="Arial" w:hAnsi="Arial" w:cs="Arial"/>
          <w:color w:val="A6A6A6" w:themeColor="background1" w:themeShade="A6"/>
          <w:sz w:val="22"/>
          <w:szCs w:val="22"/>
          <w:lang w:val="en-GB"/>
        </w:rPr>
        <w:t>will no longer be able to ask for</w:t>
      </w:r>
      <w:r w:rsidR="007B4FC6" w:rsidRPr="007B4FC6">
        <w:rPr>
          <w:rFonts w:ascii="Arial" w:hAnsi="Arial" w:cs="Arial"/>
          <w:color w:val="A6A6A6" w:themeColor="background1" w:themeShade="A6"/>
          <w:sz w:val="22"/>
          <w:szCs w:val="22"/>
          <w:lang w:val="en-GB"/>
        </w:rPr>
        <w:t xml:space="preserve"> fulfilment</w:t>
      </w:r>
      <w:r w:rsidR="00B31FA9" w:rsidRPr="007B4FC6">
        <w:rPr>
          <w:rFonts w:ascii="Arial" w:hAnsi="Arial" w:cs="Arial"/>
          <w:color w:val="A6A6A6" w:themeColor="background1" w:themeShade="A6"/>
          <w:sz w:val="22"/>
          <w:szCs w:val="22"/>
          <w:lang w:val="en-GB"/>
        </w:rPr>
        <w:t xml:space="preserve"> (§103 </w:t>
      </w:r>
      <w:proofErr w:type="spellStart"/>
      <w:r w:rsidR="00B31FA9" w:rsidRPr="007B4FC6">
        <w:rPr>
          <w:rFonts w:ascii="Arial" w:hAnsi="Arial" w:cs="Arial"/>
          <w:color w:val="A6A6A6" w:themeColor="background1" w:themeShade="A6"/>
          <w:sz w:val="22"/>
          <w:szCs w:val="22"/>
          <w:lang w:val="en-GB"/>
        </w:rPr>
        <w:t>InsO</w:t>
      </w:r>
      <w:proofErr w:type="spellEnd"/>
      <w:r w:rsidR="00B31FA9" w:rsidRPr="007B4FC6">
        <w:rPr>
          <w:rFonts w:ascii="Arial" w:hAnsi="Arial" w:cs="Arial"/>
          <w:color w:val="A6A6A6" w:themeColor="background1" w:themeShade="A6"/>
          <w:sz w:val="22"/>
          <w:szCs w:val="22"/>
          <w:lang w:val="en-GB"/>
        </w:rPr>
        <w:t>)</w:t>
      </w:r>
      <w:r w:rsidR="00FD220A" w:rsidRPr="007B4FC6">
        <w:rPr>
          <w:rFonts w:ascii="Arial" w:hAnsi="Arial" w:cs="Arial"/>
          <w:color w:val="A6A6A6" w:themeColor="background1" w:themeShade="A6"/>
          <w:sz w:val="22"/>
          <w:szCs w:val="22"/>
          <w:lang w:val="en-GB"/>
        </w:rPr>
        <w:t xml:space="preserve">. </w:t>
      </w:r>
      <w:r w:rsidR="008075D9" w:rsidRPr="007B4FC6">
        <w:rPr>
          <w:rFonts w:ascii="Arial" w:hAnsi="Arial" w:cs="Arial"/>
          <w:color w:val="A6A6A6" w:themeColor="background1" w:themeShade="A6"/>
          <w:sz w:val="22"/>
          <w:szCs w:val="22"/>
          <w:lang w:val="en-GB"/>
        </w:rPr>
        <w:t>Depending on his choice, the creditor’s respective claim is either preferential</w:t>
      </w:r>
      <w:r>
        <w:rPr>
          <w:rFonts w:ascii="Arial" w:hAnsi="Arial" w:cs="Arial"/>
          <w:color w:val="A6A6A6" w:themeColor="background1" w:themeShade="A6"/>
          <w:sz w:val="22"/>
          <w:szCs w:val="22"/>
          <w:lang w:val="en-GB"/>
        </w:rPr>
        <w:t xml:space="preserve"> (§55(1) (No 2) (alternative 1)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w:t>
      </w:r>
      <w:r w:rsidR="008075D9" w:rsidRPr="007B4FC6">
        <w:rPr>
          <w:rFonts w:ascii="Arial" w:hAnsi="Arial" w:cs="Arial"/>
          <w:color w:val="A6A6A6" w:themeColor="background1" w:themeShade="A6"/>
          <w:sz w:val="22"/>
          <w:szCs w:val="22"/>
          <w:lang w:val="en-GB"/>
        </w:rPr>
        <w:t>or a mere insolvency claim</w:t>
      </w:r>
      <w:r w:rsidR="00961EA2">
        <w:rPr>
          <w:rFonts w:ascii="Arial" w:hAnsi="Arial" w:cs="Arial"/>
          <w:color w:val="A6A6A6" w:themeColor="background1" w:themeShade="A6"/>
          <w:sz w:val="22"/>
          <w:szCs w:val="22"/>
          <w:lang w:val="en-GB"/>
        </w:rPr>
        <w:t xml:space="preserve"> (§103(2) (sentence 1) </w:t>
      </w:r>
      <w:proofErr w:type="spellStart"/>
      <w:r w:rsidR="00961EA2">
        <w:rPr>
          <w:rFonts w:ascii="Arial" w:hAnsi="Arial" w:cs="Arial"/>
          <w:color w:val="A6A6A6" w:themeColor="background1" w:themeShade="A6"/>
          <w:sz w:val="22"/>
          <w:szCs w:val="22"/>
          <w:lang w:val="en-GB"/>
        </w:rPr>
        <w:t>InsO</w:t>
      </w:r>
      <w:proofErr w:type="spellEnd"/>
      <w:r w:rsidR="00961EA2">
        <w:rPr>
          <w:rFonts w:ascii="Arial" w:hAnsi="Arial" w:cs="Arial"/>
          <w:color w:val="A6A6A6" w:themeColor="background1" w:themeShade="A6"/>
          <w:sz w:val="22"/>
          <w:szCs w:val="22"/>
          <w:lang w:val="en-GB"/>
        </w:rPr>
        <w:t>)</w:t>
      </w:r>
      <w:r w:rsidR="00426A16" w:rsidRPr="007B4FC6">
        <w:rPr>
          <w:rFonts w:ascii="Arial" w:hAnsi="Arial" w:cs="Arial"/>
          <w:color w:val="A6A6A6" w:themeColor="background1" w:themeShade="A6"/>
          <w:sz w:val="22"/>
          <w:szCs w:val="22"/>
          <w:lang w:val="en-GB"/>
        </w:rPr>
        <w:t>.</w:t>
      </w:r>
    </w:p>
    <w:p w14:paraId="6F141D67" w14:textId="71B8EA02" w:rsidR="00506DF7" w:rsidRDefault="00506DF7" w:rsidP="00C10750">
      <w:pPr>
        <w:pStyle w:val="Lijstalinea"/>
        <w:jc w:val="both"/>
        <w:rPr>
          <w:rFonts w:ascii="Arial" w:hAnsi="Arial" w:cs="Arial"/>
          <w:color w:val="A6A6A6" w:themeColor="background1" w:themeShade="A6"/>
          <w:sz w:val="22"/>
          <w:szCs w:val="22"/>
          <w:lang w:val="en-GB"/>
        </w:rPr>
      </w:pPr>
    </w:p>
    <w:p w14:paraId="28C8AB5D" w14:textId="77777777" w:rsidR="005F010D" w:rsidRDefault="00506DF7" w:rsidP="005F010D">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does not provide for a general right of the insolvency administrator to reject executory contracts, except in the case of some types of contracts, such as </w:t>
      </w:r>
      <w:r w:rsidR="00B31FA9">
        <w:rPr>
          <w:rFonts w:ascii="Arial" w:hAnsi="Arial" w:cs="Arial"/>
          <w:color w:val="A6A6A6" w:themeColor="background1" w:themeShade="A6"/>
          <w:sz w:val="22"/>
          <w:szCs w:val="22"/>
          <w:lang w:val="en-GB"/>
        </w:rPr>
        <w:t xml:space="preserve">a contract for the tenancy of immovables. </w:t>
      </w:r>
      <w:r w:rsidR="001B5BFA" w:rsidRPr="005F010D">
        <w:rPr>
          <w:rFonts w:ascii="Arial" w:hAnsi="Arial" w:cs="Arial"/>
          <w:color w:val="A6A6A6" w:themeColor="background1" w:themeShade="A6"/>
          <w:sz w:val="22"/>
          <w:szCs w:val="22"/>
          <w:lang w:val="en-GB"/>
        </w:rPr>
        <w:t xml:space="preserve">§§108 and 109 </w:t>
      </w:r>
      <w:proofErr w:type="spellStart"/>
      <w:r w:rsidR="001B5BFA" w:rsidRPr="005F010D">
        <w:rPr>
          <w:rFonts w:ascii="Arial" w:hAnsi="Arial" w:cs="Arial"/>
          <w:color w:val="A6A6A6" w:themeColor="background1" w:themeShade="A6"/>
          <w:sz w:val="22"/>
          <w:szCs w:val="22"/>
          <w:lang w:val="en-GB"/>
        </w:rPr>
        <w:t>InsO</w:t>
      </w:r>
      <w:proofErr w:type="spellEnd"/>
      <w:r w:rsidR="001B5BFA" w:rsidRPr="005F010D">
        <w:rPr>
          <w:rFonts w:ascii="Arial" w:hAnsi="Arial" w:cs="Arial"/>
          <w:color w:val="A6A6A6" w:themeColor="background1" w:themeShade="A6"/>
          <w:sz w:val="22"/>
          <w:szCs w:val="22"/>
          <w:lang w:val="en-GB"/>
        </w:rPr>
        <w:t xml:space="preserve"> contain special rules for tenancy agreements for real estate. </w:t>
      </w:r>
    </w:p>
    <w:p w14:paraId="2B91F5AF" w14:textId="1D102EA6" w:rsidR="005F010D" w:rsidRDefault="005F010D" w:rsidP="005F010D">
      <w:pPr>
        <w:pStyle w:val="Lijstalinea"/>
        <w:jc w:val="both"/>
        <w:rPr>
          <w:rFonts w:ascii="Arial" w:hAnsi="Arial" w:cs="Arial"/>
          <w:color w:val="A6A6A6" w:themeColor="background1" w:themeShade="A6"/>
          <w:sz w:val="22"/>
          <w:szCs w:val="22"/>
          <w:lang w:val="en-GB"/>
        </w:rPr>
      </w:pPr>
    </w:p>
    <w:p w14:paraId="37925E50" w14:textId="41E44E22" w:rsidR="001B5BFA" w:rsidRPr="005F010D" w:rsidRDefault="005F010D" w:rsidP="005F010D">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general, such agreements remain in place, but with effect for the insolvency estate. However, only the insolvency administrator is empowered to act for an on behalf of the insolvent debtor (tenant). </w:t>
      </w:r>
      <w:r w:rsidR="001B5BFA" w:rsidRPr="005F010D">
        <w:rPr>
          <w:rFonts w:ascii="Arial" w:hAnsi="Arial" w:cs="Arial"/>
          <w:color w:val="A6A6A6" w:themeColor="background1" w:themeShade="A6"/>
          <w:sz w:val="22"/>
          <w:szCs w:val="22"/>
          <w:lang w:val="en-GB"/>
        </w:rPr>
        <w:t xml:space="preserve">§108 </w:t>
      </w:r>
      <w:proofErr w:type="spellStart"/>
      <w:r w:rsidR="001B5BFA" w:rsidRPr="005F010D">
        <w:rPr>
          <w:rFonts w:ascii="Arial" w:hAnsi="Arial" w:cs="Arial"/>
          <w:color w:val="A6A6A6" w:themeColor="background1" w:themeShade="A6"/>
          <w:sz w:val="22"/>
          <w:szCs w:val="22"/>
          <w:lang w:val="en-GB"/>
        </w:rPr>
        <w:t>InsO</w:t>
      </w:r>
      <w:proofErr w:type="spellEnd"/>
      <w:r w:rsidR="001B5BFA" w:rsidRPr="005F010D">
        <w:rPr>
          <w:rFonts w:ascii="Arial" w:hAnsi="Arial" w:cs="Arial"/>
          <w:color w:val="A6A6A6" w:themeColor="background1" w:themeShade="A6"/>
          <w:sz w:val="22"/>
          <w:szCs w:val="22"/>
          <w:lang w:val="en-GB"/>
        </w:rPr>
        <w:t xml:space="preserve"> especially encompass a special right for</w:t>
      </w:r>
      <w:r w:rsidR="00CD69A3" w:rsidRPr="005F010D">
        <w:rPr>
          <w:rFonts w:ascii="Arial" w:hAnsi="Arial" w:cs="Arial"/>
          <w:color w:val="A6A6A6" w:themeColor="background1" w:themeShade="A6"/>
          <w:sz w:val="22"/>
          <w:szCs w:val="22"/>
          <w:lang w:val="en-GB"/>
        </w:rPr>
        <w:t xml:space="preserve"> </w:t>
      </w:r>
      <w:r w:rsidR="001B5BFA" w:rsidRPr="005F010D">
        <w:rPr>
          <w:rFonts w:ascii="Arial" w:hAnsi="Arial" w:cs="Arial"/>
          <w:color w:val="A6A6A6" w:themeColor="background1" w:themeShade="A6"/>
          <w:sz w:val="22"/>
          <w:szCs w:val="22"/>
          <w:lang w:val="en-GB"/>
        </w:rPr>
        <w:t>the insolvency administrator</w:t>
      </w:r>
      <w:r>
        <w:rPr>
          <w:rFonts w:ascii="Arial" w:hAnsi="Arial" w:cs="Arial"/>
          <w:color w:val="A6A6A6" w:themeColor="background1" w:themeShade="A6"/>
          <w:sz w:val="22"/>
          <w:szCs w:val="22"/>
          <w:lang w:val="en-GB"/>
        </w:rPr>
        <w:t xml:space="preserve"> at his own discretion</w:t>
      </w:r>
      <w:r w:rsidR="001B5BFA" w:rsidRPr="005F010D">
        <w:rPr>
          <w:rFonts w:ascii="Arial" w:hAnsi="Arial" w:cs="Arial"/>
          <w:color w:val="A6A6A6" w:themeColor="background1" w:themeShade="A6"/>
          <w:sz w:val="22"/>
          <w:szCs w:val="22"/>
          <w:lang w:val="en-GB"/>
        </w:rPr>
        <w:t xml:space="preserve"> to terminate </w:t>
      </w:r>
      <w:r w:rsidR="00537934" w:rsidRPr="005F010D">
        <w:rPr>
          <w:rFonts w:ascii="Arial" w:hAnsi="Arial" w:cs="Arial"/>
          <w:color w:val="A6A6A6" w:themeColor="background1" w:themeShade="A6"/>
          <w:sz w:val="22"/>
          <w:szCs w:val="22"/>
          <w:lang w:val="en-GB"/>
        </w:rPr>
        <w:t>such</w:t>
      </w:r>
      <w:r w:rsidR="001B5BFA" w:rsidRPr="005F010D">
        <w:rPr>
          <w:rFonts w:ascii="Arial" w:hAnsi="Arial" w:cs="Arial"/>
          <w:color w:val="A6A6A6" w:themeColor="background1" w:themeShade="A6"/>
          <w:sz w:val="22"/>
          <w:szCs w:val="22"/>
          <w:lang w:val="en-GB"/>
        </w:rPr>
        <w:t xml:space="preserve"> agreement</w:t>
      </w:r>
      <w:r w:rsidR="00CD69A3" w:rsidRPr="005F010D">
        <w:rPr>
          <w:rFonts w:ascii="Arial" w:hAnsi="Arial" w:cs="Arial"/>
          <w:color w:val="A6A6A6" w:themeColor="background1" w:themeShade="A6"/>
          <w:sz w:val="22"/>
          <w:szCs w:val="22"/>
          <w:lang w:val="en-GB"/>
        </w:rPr>
        <w:t xml:space="preserve"> (concluded by the debtor as tenant)</w:t>
      </w:r>
      <w:r w:rsidR="001B5BFA" w:rsidRPr="005F010D">
        <w:rPr>
          <w:rFonts w:ascii="Arial" w:hAnsi="Arial" w:cs="Arial"/>
          <w:color w:val="A6A6A6" w:themeColor="background1" w:themeShade="A6"/>
          <w:sz w:val="22"/>
          <w:szCs w:val="22"/>
          <w:lang w:val="en-GB"/>
        </w:rPr>
        <w:t xml:space="preserve">, </w:t>
      </w:r>
      <w:r w:rsidR="00537934" w:rsidRPr="005F010D">
        <w:rPr>
          <w:rFonts w:ascii="Arial" w:hAnsi="Arial" w:cs="Arial"/>
          <w:color w:val="A6A6A6" w:themeColor="background1" w:themeShade="A6"/>
          <w:sz w:val="22"/>
          <w:szCs w:val="22"/>
          <w:lang w:val="en-GB"/>
        </w:rPr>
        <w:t xml:space="preserve">subject to a three-month notice period. </w:t>
      </w:r>
      <w:r>
        <w:rPr>
          <w:rFonts w:ascii="Arial" w:hAnsi="Arial" w:cs="Arial"/>
          <w:color w:val="A6A6A6" w:themeColor="background1" w:themeShade="A6"/>
          <w:sz w:val="22"/>
          <w:szCs w:val="22"/>
          <w:lang w:val="en-GB"/>
        </w:rPr>
        <w:t xml:space="preserve">If the insolvency administrator does not exercise his right to terminate, </w:t>
      </w:r>
      <w:r w:rsidR="00CD5BAC">
        <w:rPr>
          <w:rFonts w:ascii="Arial" w:hAnsi="Arial" w:cs="Arial"/>
          <w:color w:val="A6A6A6" w:themeColor="background1" w:themeShade="A6"/>
          <w:sz w:val="22"/>
          <w:szCs w:val="22"/>
          <w:lang w:val="en-GB"/>
        </w:rPr>
        <w:t>payment and other obligations under the tenancy agreement remain unaffected and enjoy priority over the claims.</w:t>
      </w:r>
    </w:p>
    <w:p w14:paraId="327DAA6E" w14:textId="2F5CEBA7" w:rsidR="001821C7" w:rsidRPr="00E349CE"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73603EC8" w14:textId="6BCBFAF9" w:rsidR="00CF7D8F" w:rsidRDefault="00CF7D8F" w:rsidP="00486CBE">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German insolvency law has extensive so-called ‘claw back provisions’ allowing the insolvency practitioner to challenge transactions which occurred within the relevant suspect periods before the opening of insolvency proceedings.</w:t>
      </w:r>
    </w:p>
    <w:p w14:paraId="0B681361" w14:textId="77777777" w:rsidR="00CF7D8F" w:rsidRDefault="00CF7D8F" w:rsidP="00486CBE">
      <w:pPr>
        <w:pStyle w:val="Lijstalinea"/>
        <w:jc w:val="both"/>
        <w:rPr>
          <w:rFonts w:ascii="Arial" w:hAnsi="Arial" w:cs="Arial"/>
          <w:color w:val="A6A6A6" w:themeColor="background1" w:themeShade="A6"/>
          <w:sz w:val="22"/>
          <w:szCs w:val="22"/>
          <w:lang w:val="en-GB"/>
        </w:rPr>
      </w:pPr>
    </w:p>
    <w:p w14:paraId="7CBF415E" w14:textId="639A5D5B" w:rsidR="00D47C64" w:rsidRDefault="00D47C64" w:rsidP="00486CBE">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German law, transactions </w:t>
      </w:r>
      <w:r w:rsidR="00452F71">
        <w:rPr>
          <w:rFonts w:ascii="Arial" w:hAnsi="Arial" w:cs="Arial"/>
          <w:color w:val="A6A6A6" w:themeColor="background1" w:themeShade="A6"/>
          <w:sz w:val="22"/>
          <w:szCs w:val="22"/>
          <w:lang w:val="en-GB"/>
        </w:rPr>
        <w:t xml:space="preserve">can be contested by the insolvency practitioner under §§129 et seq. </w:t>
      </w:r>
      <w:proofErr w:type="spellStart"/>
      <w:r w:rsidR="00452F71">
        <w:rPr>
          <w:rFonts w:ascii="Arial" w:hAnsi="Arial" w:cs="Arial"/>
          <w:color w:val="A6A6A6" w:themeColor="background1" w:themeShade="A6"/>
          <w:sz w:val="22"/>
          <w:szCs w:val="22"/>
          <w:lang w:val="en-GB"/>
        </w:rPr>
        <w:t>InsO</w:t>
      </w:r>
      <w:proofErr w:type="spellEnd"/>
      <w:r w:rsidR="00452F71">
        <w:rPr>
          <w:rFonts w:ascii="Arial" w:hAnsi="Arial" w:cs="Arial"/>
          <w:color w:val="A6A6A6" w:themeColor="background1" w:themeShade="A6"/>
          <w:sz w:val="22"/>
          <w:szCs w:val="22"/>
          <w:lang w:val="en-GB"/>
        </w:rPr>
        <w:t xml:space="preserve"> if</w:t>
      </w:r>
      <w:r w:rsidR="00EB03AE">
        <w:rPr>
          <w:rFonts w:ascii="Arial" w:hAnsi="Arial" w:cs="Arial"/>
          <w:color w:val="A6A6A6" w:themeColor="background1" w:themeShade="A6"/>
          <w:sz w:val="22"/>
          <w:szCs w:val="22"/>
          <w:lang w:val="en-GB"/>
        </w:rPr>
        <w:t xml:space="preserve"> (1)</w:t>
      </w:r>
      <w:r w:rsidR="00452F71">
        <w:rPr>
          <w:rFonts w:ascii="Arial" w:hAnsi="Arial" w:cs="Arial"/>
          <w:color w:val="A6A6A6" w:themeColor="background1" w:themeShade="A6"/>
          <w:sz w:val="22"/>
          <w:szCs w:val="22"/>
          <w:lang w:val="en-GB"/>
        </w:rPr>
        <w:t xml:space="preserve"> they were made prior to the request to open insolvency proceedings</w:t>
      </w:r>
      <w:r w:rsidR="00EB03AE">
        <w:rPr>
          <w:rFonts w:ascii="Arial" w:hAnsi="Arial" w:cs="Arial"/>
          <w:color w:val="A6A6A6" w:themeColor="background1" w:themeShade="A6"/>
          <w:sz w:val="22"/>
          <w:szCs w:val="22"/>
          <w:lang w:val="en-GB"/>
        </w:rPr>
        <w:t xml:space="preserve">, (2) </w:t>
      </w:r>
      <w:r w:rsidR="004B4ED7">
        <w:rPr>
          <w:rFonts w:ascii="Arial" w:hAnsi="Arial" w:cs="Arial"/>
          <w:color w:val="A6A6A6" w:themeColor="background1" w:themeShade="A6"/>
          <w:sz w:val="22"/>
          <w:szCs w:val="22"/>
          <w:lang w:val="en-GB"/>
        </w:rPr>
        <w:t>they place</w:t>
      </w:r>
      <w:r w:rsidR="00EB03AE">
        <w:rPr>
          <w:rFonts w:ascii="Arial" w:hAnsi="Arial" w:cs="Arial"/>
          <w:color w:val="A6A6A6" w:themeColor="background1" w:themeShade="A6"/>
          <w:sz w:val="22"/>
          <w:szCs w:val="22"/>
          <w:lang w:val="en-GB"/>
        </w:rPr>
        <w:t xml:space="preserve"> </w:t>
      </w:r>
      <w:r w:rsidR="004B4ED7">
        <w:rPr>
          <w:rFonts w:ascii="Arial" w:hAnsi="Arial" w:cs="Arial"/>
          <w:color w:val="A6A6A6" w:themeColor="background1" w:themeShade="A6"/>
          <w:sz w:val="22"/>
          <w:szCs w:val="22"/>
          <w:lang w:val="en-GB"/>
        </w:rPr>
        <w:t>the c</w:t>
      </w:r>
      <w:r w:rsidR="00EB03AE">
        <w:rPr>
          <w:rFonts w:ascii="Arial" w:hAnsi="Arial" w:cs="Arial"/>
          <w:color w:val="A6A6A6" w:themeColor="background1" w:themeShade="A6"/>
          <w:sz w:val="22"/>
          <w:szCs w:val="22"/>
          <w:lang w:val="en-GB"/>
        </w:rPr>
        <w:t>reditors</w:t>
      </w:r>
      <w:r w:rsidR="004B4ED7">
        <w:rPr>
          <w:rFonts w:ascii="Arial" w:hAnsi="Arial" w:cs="Arial"/>
          <w:color w:val="A6A6A6" w:themeColor="background1" w:themeShade="A6"/>
          <w:sz w:val="22"/>
          <w:szCs w:val="22"/>
          <w:lang w:val="en-GB"/>
        </w:rPr>
        <w:t xml:space="preserve"> at a disadvantage</w:t>
      </w:r>
      <w:r w:rsidR="00EB03AE">
        <w:rPr>
          <w:rFonts w:ascii="Arial" w:hAnsi="Arial" w:cs="Arial"/>
          <w:color w:val="A6A6A6" w:themeColor="background1" w:themeShade="A6"/>
          <w:sz w:val="22"/>
          <w:szCs w:val="22"/>
          <w:lang w:val="en-GB"/>
        </w:rPr>
        <w:t>, and (3) the insolvency practitioner demonstrates</w:t>
      </w:r>
      <w:r w:rsidR="002F4399">
        <w:rPr>
          <w:rFonts w:ascii="Arial" w:hAnsi="Arial" w:cs="Arial"/>
          <w:color w:val="A6A6A6" w:themeColor="background1" w:themeShade="A6"/>
          <w:sz w:val="22"/>
          <w:szCs w:val="22"/>
          <w:lang w:val="en-GB"/>
        </w:rPr>
        <w:t xml:space="preserve"> that he has</w:t>
      </w:r>
      <w:r w:rsidR="00EB03AE">
        <w:rPr>
          <w:rFonts w:ascii="Arial" w:hAnsi="Arial" w:cs="Arial"/>
          <w:color w:val="A6A6A6" w:themeColor="background1" w:themeShade="A6"/>
          <w:sz w:val="22"/>
          <w:szCs w:val="22"/>
          <w:lang w:val="en-GB"/>
        </w:rPr>
        <w:t xml:space="preserve"> reason to contest </w:t>
      </w:r>
      <w:r w:rsidR="002F4399">
        <w:rPr>
          <w:rFonts w:ascii="Arial" w:hAnsi="Arial" w:cs="Arial"/>
          <w:color w:val="A6A6A6" w:themeColor="background1" w:themeShade="A6"/>
          <w:sz w:val="22"/>
          <w:szCs w:val="22"/>
          <w:lang w:val="en-GB"/>
        </w:rPr>
        <w:t xml:space="preserve">the transaction and </w:t>
      </w:r>
      <w:r w:rsidR="00734FB4">
        <w:rPr>
          <w:rFonts w:ascii="Arial" w:hAnsi="Arial" w:cs="Arial"/>
          <w:color w:val="A6A6A6" w:themeColor="background1" w:themeShade="A6"/>
          <w:sz w:val="22"/>
          <w:szCs w:val="22"/>
          <w:lang w:val="en-GB"/>
        </w:rPr>
        <w:t xml:space="preserve">he </w:t>
      </w:r>
      <w:r w:rsidR="002F4399">
        <w:rPr>
          <w:rFonts w:ascii="Arial" w:hAnsi="Arial" w:cs="Arial"/>
          <w:color w:val="A6A6A6" w:themeColor="background1" w:themeShade="A6"/>
          <w:sz w:val="22"/>
          <w:szCs w:val="22"/>
          <w:lang w:val="en-GB"/>
        </w:rPr>
        <w:t>thus provide</w:t>
      </w:r>
      <w:r w:rsidR="00734FB4">
        <w:rPr>
          <w:rFonts w:ascii="Arial" w:hAnsi="Arial" w:cs="Arial"/>
          <w:color w:val="A6A6A6" w:themeColor="background1" w:themeShade="A6"/>
          <w:sz w:val="22"/>
          <w:szCs w:val="22"/>
          <w:lang w:val="en-GB"/>
        </w:rPr>
        <w:t>s</w:t>
      </w:r>
      <w:r w:rsidR="002F4399">
        <w:rPr>
          <w:rFonts w:ascii="Arial" w:hAnsi="Arial" w:cs="Arial"/>
          <w:color w:val="A6A6A6" w:themeColor="background1" w:themeShade="A6"/>
          <w:sz w:val="22"/>
          <w:szCs w:val="22"/>
          <w:lang w:val="en-GB"/>
        </w:rPr>
        <w:t xml:space="preserve"> evidence of an avoidance ground (these avoidance grounds are listed in §§130 et seq. </w:t>
      </w:r>
      <w:proofErr w:type="spellStart"/>
      <w:r w:rsidR="002F4399">
        <w:rPr>
          <w:rFonts w:ascii="Arial" w:hAnsi="Arial" w:cs="Arial"/>
          <w:color w:val="A6A6A6" w:themeColor="background1" w:themeShade="A6"/>
          <w:sz w:val="22"/>
          <w:szCs w:val="22"/>
          <w:lang w:val="en-GB"/>
        </w:rPr>
        <w:t>InsO</w:t>
      </w:r>
      <w:proofErr w:type="spellEnd"/>
      <w:r w:rsidR="002F4399">
        <w:rPr>
          <w:rFonts w:ascii="Arial" w:hAnsi="Arial" w:cs="Arial"/>
          <w:color w:val="A6A6A6" w:themeColor="background1" w:themeShade="A6"/>
          <w:sz w:val="22"/>
          <w:szCs w:val="22"/>
          <w:lang w:val="en-GB"/>
        </w:rPr>
        <w:t>).</w:t>
      </w:r>
    </w:p>
    <w:p w14:paraId="33FC613F" w14:textId="742B8B05" w:rsidR="006518A3" w:rsidRDefault="006518A3" w:rsidP="00486CBE">
      <w:pPr>
        <w:pStyle w:val="Lijstalinea"/>
        <w:jc w:val="both"/>
        <w:rPr>
          <w:rFonts w:ascii="Arial" w:hAnsi="Arial" w:cs="Arial"/>
          <w:color w:val="A6A6A6" w:themeColor="background1" w:themeShade="A6"/>
          <w:sz w:val="22"/>
          <w:szCs w:val="22"/>
          <w:lang w:val="en-GB"/>
        </w:rPr>
      </w:pPr>
    </w:p>
    <w:p w14:paraId="0D263BC7" w14:textId="35A5197F" w:rsidR="005D78A5" w:rsidRPr="005D78A5" w:rsidRDefault="006518A3" w:rsidP="005D78A5">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 transaction is assumed to place the general body of creditors at a disadvantage where the assets or the amount of proceeds that are meant to satisfy</w:t>
      </w:r>
      <w:r w:rsidR="001E5E29">
        <w:rPr>
          <w:rFonts w:ascii="Arial" w:hAnsi="Arial" w:cs="Arial"/>
          <w:color w:val="A6A6A6" w:themeColor="background1" w:themeShade="A6"/>
          <w:sz w:val="22"/>
          <w:szCs w:val="22"/>
          <w:lang w:val="en-GB"/>
        </w:rPr>
        <w:t xml:space="preserve"> or pay</w:t>
      </w:r>
      <w:r>
        <w:rPr>
          <w:rFonts w:ascii="Arial" w:hAnsi="Arial" w:cs="Arial"/>
          <w:color w:val="A6A6A6" w:themeColor="background1" w:themeShade="A6"/>
          <w:sz w:val="22"/>
          <w:szCs w:val="22"/>
          <w:lang w:val="en-GB"/>
        </w:rPr>
        <w:t xml:space="preserve"> the </w:t>
      </w:r>
      <w:r w:rsidR="001E5E29">
        <w:rPr>
          <w:rFonts w:ascii="Arial" w:hAnsi="Arial" w:cs="Arial"/>
          <w:color w:val="A6A6A6" w:themeColor="background1" w:themeShade="A6"/>
          <w:sz w:val="22"/>
          <w:szCs w:val="22"/>
          <w:lang w:val="en-GB"/>
        </w:rPr>
        <w:t xml:space="preserve">ordinary </w:t>
      </w:r>
      <w:r>
        <w:rPr>
          <w:rFonts w:ascii="Arial" w:hAnsi="Arial" w:cs="Arial"/>
          <w:color w:val="A6A6A6" w:themeColor="background1" w:themeShade="A6"/>
          <w:sz w:val="22"/>
          <w:szCs w:val="22"/>
          <w:lang w:val="en-GB"/>
        </w:rPr>
        <w:t xml:space="preserve">creditors are reduced. </w:t>
      </w:r>
      <w:r w:rsidR="001E5E29">
        <w:rPr>
          <w:rFonts w:ascii="Arial" w:hAnsi="Arial" w:cs="Arial"/>
          <w:color w:val="A6A6A6" w:themeColor="background1" w:themeShade="A6"/>
          <w:sz w:val="22"/>
          <w:szCs w:val="22"/>
          <w:lang w:val="en-GB"/>
        </w:rPr>
        <w:t>The term ‘transaction’ includes any action which has a legal effect</w:t>
      </w:r>
      <w:r w:rsidR="00182B4C">
        <w:rPr>
          <w:rFonts w:ascii="Arial" w:hAnsi="Arial" w:cs="Arial"/>
          <w:color w:val="A6A6A6" w:themeColor="background1" w:themeShade="A6"/>
          <w:sz w:val="22"/>
          <w:szCs w:val="22"/>
          <w:lang w:val="en-GB"/>
        </w:rPr>
        <w:t xml:space="preserve"> (e.g., payments, creation of security rights, waiver of claims)</w:t>
      </w:r>
      <w:r w:rsidR="001E5E29">
        <w:rPr>
          <w:rFonts w:ascii="Arial" w:hAnsi="Arial" w:cs="Arial"/>
          <w:color w:val="A6A6A6" w:themeColor="background1" w:themeShade="A6"/>
          <w:sz w:val="22"/>
          <w:szCs w:val="22"/>
          <w:lang w:val="en-GB"/>
        </w:rPr>
        <w:t>.</w:t>
      </w:r>
      <w:r w:rsidR="00182B4C">
        <w:rPr>
          <w:rFonts w:ascii="Arial" w:hAnsi="Arial" w:cs="Arial"/>
          <w:color w:val="A6A6A6" w:themeColor="background1" w:themeShade="A6"/>
          <w:sz w:val="22"/>
          <w:szCs w:val="22"/>
          <w:lang w:val="en-GB"/>
        </w:rPr>
        <w:t xml:space="preserve"> </w:t>
      </w:r>
      <w:r w:rsidR="001E5E29">
        <w:rPr>
          <w:rFonts w:ascii="Arial" w:hAnsi="Arial" w:cs="Arial"/>
          <w:color w:val="A6A6A6" w:themeColor="background1" w:themeShade="A6"/>
          <w:sz w:val="22"/>
          <w:szCs w:val="22"/>
          <w:lang w:val="en-GB"/>
        </w:rPr>
        <w:t xml:space="preserve">A ‘disadvantage’ </w:t>
      </w:r>
      <w:r w:rsidR="00182B4C">
        <w:rPr>
          <w:rFonts w:ascii="Arial" w:hAnsi="Arial" w:cs="Arial"/>
          <w:color w:val="A6A6A6" w:themeColor="background1" w:themeShade="A6"/>
          <w:sz w:val="22"/>
          <w:szCs w:val="22"/>
          <w:lang w:val="en-GB"/>
        </w:rPr>
        <w:t xml:space="preserve">can be established in case of a decrease in assets, an increase of liabilities, a delay of enforceability, etc. A typical example is the sale of an asset below </w:t>
      </w:r>
      <w:r w:rsidR="00182B4C">
        <w:rPr>
          <w:rFonts w:ascii="Arial" w:hAnsi="Arial" w:cs="Arial"/>
          <w:color w:val="A6A6A6" w:themeColor="background1" w:themeShade="A6"/>
          <w:sz w:val="22"/>
          <w:szCs w:val="22"/>
          <w:lang w:val="en-GB"/>
        </w:rPr>
        <w:lastRenderedPageBreak/>
        <w:t>value.</w:t>
      </w:r>
      <w:r w:rsidR="00C53F12">
        <w:rPr>
          <w:rFonts w:ascii="Arial" w:hAnsi="Arial" w:cs="Arial"/>
          <w:color w:val="A6A6A6" w:themeColor="background1" w:themeShade="A6"/>
          <w:sz w:val="22"/>
          <w:szCs w:val="22"/>
          <w:lang w:val="en-GB"/>
        </w:rPr>
        <w:t xml:space="preserve"> </w:t>
      </w:r>
      <w:r w:rsidR="00C53F12" w:rsidRPr="005D78A5">
        <w:rPr>
          <w:rFonts w:ascii="Arial" w:hAnsi="Arial" w:cs="Arial"/>
          <w:color w:val="A6A6A6" w:themeColor="background1" w:themeShade="A6"/>
          <w:sz w:val="22"/>
          <w:szCs w:val="22"/>
          <w:lang w:val="en-GB"/>
        </w:rPr>
        <w:t xml:space="preserve">The burden of proof for any placement of the creditors at a disadvantage is with the insolvency practitioner. </w:t>
      </w:r>
    </w:p>
    <w:p w14:paraId="5CB146EF" w14:textId="77777777" w:rsidR="005D78A5" w:rsidRDefault="005D78A5" w:rsidP="00C53F12">
      <w:pPr>
        <w:pStyle w:val="Lijstalinea"/>
        <w:jc w:val="both"/>
        <w:rPr>
          <w:rFonts w:ascii="Arial" w:hAnsi="Arial" w:cs="Arial"/>
          <w:color w:val="A6A6A6" w:themeColor="background1" w:themeShade="A6"/>
          <w:sz w:val="22"/>
          <w:szCs w:val="22"/>
          <w:lang w:val="en-GB"/>
        </w:rPr>
      </w:pPr>
    </w:p>
    <w:p w14:paraId="7AEC0DE9" w14:textId="0A39355E" w:rsidR="00182B4C" w:rsidRDefault="00C53F12" w:rsidP="00C53F12">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However, the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provides for certain presumptions, etc., to facilitate the burden of proof of the insolvency practitioner</w:t>
      </w:r>
      <w:r w:rsidR="005D78A5">
        <w:rPr>
          <w:rFonts w:ascii="Arial" w:hAnsi="Arial" w:cs="Arial"/>
          <w:color w:val="A6A6A6" w:themeColor="background1" w:themeShade="A6"/>
          <w:sz w:val="22"/>
          <w:szCs w:val="22"/>
          <w:lang w:val="en-GB"/>
        </w:rPr>
        <w:t xml:space="preserve"> that all requirements are present</w:t>
      </w:r>
      <w:r>
        <w:rPr>
          <w:rFonts w:ascii="Arial" w:hAnsi="Arial" w:cs="Arial"/>
          <w:color w:val="A6A6A6" w:themeColor="background1" w:themeShade="A6"/>
          <w:sz w:val="22"/>
          <w:szCs w:val="22"/>
          <w:lang w:val="en-GB"/>
        </w:rPr>
        <w:t>.</w:t>
      </w:r>
      <w:r w:rsidR="003F69A3">
        <w:rPr>
          <w:rFonts w:ascii="Arial" w:hAnsi="Arial" w:cs="Arial"/>
          <w:color w:val="A6A6A6" w:themeColor="background1" w:themeShade="A6"/>
          <w:sz w:val="22"/>
          <w:szCs w:val="22"/>
          <w:lang w:val="en-GB"/>
        </w:rPr>
        <w:t xml:space="preserve"> There will for example be a shift of the burden of proof to the </w:t>
      </w:r>
      <w:r w:rsidR="005D78A5">
        <w:rPr>
          <w:rFonts w:ascii="Arial" w:hAnsi="Arial" w:cs="Arial"/>
          <w:color w:val="A6A6A6" w:themeColor="background1" w:themeShade="A6"/>
          <w:sz w:val="22"/>
          <w:szCs w:val="22"/>
          <w:lang w:val="en-GB"/>
        </w:rPr>
        <w:t>opposing</w:t>
      </w:r>
      <w:r w:rsidR="003F69A3">
        <w:rPr>
          <w:rFonts w:ascii="Arial" w:hAnsi="Arial" w:cs="Arial"/>
          <w:color w:val="A6A6A6" w:themeColor="background1" w:themeShade="A6"/>
          <w:sz w:val="22"/>
          <w:szCs w:val="22"/>
          <w:lang w:val="en-GB"/>
        </w:rPr>
        <w:t xml:space="preserve"> party</w:t>
      </w:r>
      <w:r w:rsidR="00982BC6">
        <w:rPr>
          <w:rFonts w:ascii="Arial" w:hAnsi="Arial" w:cs="Arial"/>
          <w:color w:val="A6A6A6" w:themeColor="background1" w:themeShade="A6"/>
          <w:sz w:val="22"/>
          <w:szCs w:val="22"/>
          <w:lang w:val="en-GB"/>
        </w:rPr>
        <w:t xml:space="preserve"> who is closely connected to the debtor;</w:t>
      </w:r>
      <w:r w:rsidR="003F69A3">
        <w:rPr>
          <w:rFonts w:ascii="Arial" w:hAnsi="Arial" w:cs="Arial"/>
          <w:color w:val="A6A6A6" w:themeColor="background1" w:themeShade="A6"/>
          <w:sz w:val="22"/>
          <w:szCs w:val="22"/>
          <w:lang w:val="en-GB"/>
        </w:rPr>
        <w:t xml:space="preserve"> it</w:t>
      </w:r>
      <w:r w:rsidR="00982BC6">
        <w:rPr>
          <w:rFonts w:ascii="Arial" w:hAnsi="Arial" w:cs="Arial"/>
          <w:color w:val="A6A6A6" w:themeColor="background1" w:themeShade="A6"/>
          <w:sz w:val="22"/>
          <w:szCs w:val="22"/>
          <w:lang w:val="en-GB"/>
        </w:rPr>
        <w:t xml:space="preserve"> </w:t>
      </w:r>
      <w:r w:rsidR="003F69A3" w:rsidRPr="003E6D32">
        <w:rPr>
          <w:rFonts w:ascii="Arial" w:hAnsi="Arial" w:cs="Arial"/>
          <w:color w:val="A6A6A6" w:themeColor="background1" w:themeShade="A6"/>
          <w:sz w:val="22"/>
          <w:szCs w:val="22"/>
          <w:lang w:val="en-GB"/>
        </w:rPr>
        <w:t>is assumed that related parties</w:t>
      </w:r>
      <w:r w:rsidR="003F69A3">
        <w:rPr>
          <w:rFonts w:ascii="Arial" w:hAnsi="Arial" w:cs="Arial"/>
          <w:color w:val="A6A6A6" w:themeColor="background1" w:themeShade="A6"/>
          <w:sz w:val="22"/>
          <w:szCs w:val="22"/>
          <w:lang w:val="en-GB"/>
        </w:rPr>
        <w:t xml:space="preserve"> (to the transaction)</w:t>
      </w:r>
      <w:r w:rsidR="003F69A3" w:rsidRPr="003E6D32">
        <w:rPr>
          <w:rFonts w:ascii="Arial" w:hAnsi="Arial" w:cs="Arial"/>
          <w:color w:val="A6A6A6" w:themeColor="background1" w:themeShade="A6"/>
          <w:sz w:val="22"/>
          <w:szCs w:val="22"/>
          <w:lang w:val="en-GB"/>
        </w:rPr>
        <w:t xml:space="preserve"> have knowledge of the placement of creditors at a disadvantage</w:t>
      </w:r>
      <w:r w:rsidR="003F69A3">
        <w:rPr>
          <w:rFonts w:ascii="Arial" w:hAnsi="Arial" w:cs="Arial"/>
          <w:color w:val="A6A6A6" w:themeColor="background1" w:themeShade="A6"/>
          <w:sz w:val="22"/>
          <w:szCs w:val="22"/>
          <w:lang w:val="en-GB"/>
        </w:rPr>
        <w:t>.</w:t>
      </w:r>
      <w:r w:rsidR="00692B61">
        <w:rPr>
          <w:rFonts w:ascii="Arial" w:hAnsi="Arial" w:cs="Arial"/>
          <w:color w:val="A6A6A6" w:themeColor="background1" w:themeShade="A6"/>
          <w:sz w:val="22"/>
          <w:szCs w:val="22"/>
          <w:lang w:val="en-GB"/>
        </w:rPr>
        <w:t xml:space="preserve"> In the case of most avoidance grounds, the opposing party to the claim for restitution will try to convince the court that not all prerequisites are met, and especially that he or she did not possess the required knowledge.</w:t>
      </w:r>
    </w:p>
    <w:p w14:paraId="31BE5020" w14:textId="6D149E75" w:rsidR="00C53F12" w:rsidRDefault="00C53F12" w:rsidP="00C53F12">
      <w:pPr>
        <w:pStyle w:val="Lijstalinea"/>
        <w:jc w:val="both"/>
        <w:rPr>
          <w:rFonts w:ascii="Arial" w:hAnsi="Arial" w:cs="Arial"/>
          <w:color w:val="A6A6A6" w:themeColor="background1" w:themeShade="A6"/>
          <w:sz w:val="22"/>
          <w:szCs w:val="22"/>
          <w:lang w:val="en-GB"/>
        </w:rPr>
      </w:pPr>
    </w:p>
    <w:p w14:paraId="4B0FEF9B" w14:textId="152C6F14" w:rsidR="00C53F12" w:rsidRPr="00C53F12" w:rsidRDefault="006959C6" w:rsidP="00C53F12">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As</w:t>
      </w:r>
      <w:r w:rsidR="00C53F12">
        <w:rPr>
          <w:rFonts w:ascii="Arial" w:hAnsi="Arial" w:cs="Arial"/>
          <w:color w:val="A6A6A6" w:themeColor="background1" w:themeShade="A6"/>
          <w:sz w:val="22"/>
          <w:szCs w:val="22"/>
          <w:lang w:val="en-GB"/>
        </w:rPr>
        <w:t xml:space="preserve"> regards the avoidance grounds, </w:t>
      </w:r>
      <w:r>
        <w:rPr>
          <w:rFonts w:ascii="Arial" w:hAnsi="Arial" w:cs="Arial"/>
          <w:color w:val="A6A6A6" w:themeColor="background1" w:themeShade="A6"/>
          <w:sz w:val="22"/>
          <w:szCs w:val="22"/>
          <w:lang w:val="en-GB"/>
        </w:rPr>
        <w:t xml:space="preserve">first </w:t>
      </w:r>
      <w:r w:rsidR="00C53F12">
        <w:rPr>
          <w:rFonts w:ascii="Arial" w:hAnsi="Arial" w:cs="Arial"/>
          <w:color w:val="A6A6A6" w:themeColor="background1" w:themeShade="A6"/>
          <w:sz w:val="22"/>
          <w:szCs w:val="22"/>
          <w:lang w:val="en-GB"/>
        </w:rPr>
        <w:t>the provisions of §§130</w:t>
      </w:r>
      <w:r w:rsidR="00A67FE4">
        <w:rPr>
          <w:rFonts w:ascii="Arial" w:hAnsi="Arial" w:cs="Arial"/>
          <w:color w:val="A6A6A6" w:themeColor="background1" w:themeShade="A6"/>
          <w:sz w:val="22"/>
          <w:szCs w:val="22"/>
          <w:lang w:val="en-GB"/>
        </w:rPr>
        <w:t xml:space="preserve"> and 131 </w:t>
      </w:r>
      <w:proofErr w:type="spellStart"/>
      <w:r w:rsidR="00A67FE4">
        <w:rPr>
          <w:rFonts w:ascii="Arial" w:hAnsi="Arial" w:cs="Arial"/>
          <w:color w:val="A6A6A6" w:themeColor="background1" w:themeShade="A6"/>
          <w:sz w:val="22"/>
          <w:szCs w:val="22"/>
          <w:lang w:val="en-GB"/>
        </w:rPr>
        <w:t>InsO</w:t>
      </w:r>
      <w:proofErr w:type="spellEnd"/>
      <w:r w:rsidR="00A67FE4">
        <w:rPr>
          <w:rFonts w:ascii="Arial" w:hAnsi="Arial" w:cs="Arial"/>
          <w:color w:val="A6A6A6" w:themeColor="background1" w:themeShade="A6"/>
          <w:sz w:val="22"/>
          <w:szCs w:val="22"/>
          <w:lang w:val="en-GB"/>
        </w:rPr>
        <w:t xml:space="preserve"> concentrate on transactions granting or facilitating an insolvency creditor a </w:t>
      </w:r>
      <w:r w:rsidR="005323A0">
        <w:rPr>
          <w:rFonts w:ascii="Arial" w:hAnsi="Arial" w:cs="Arial"/>
          <w:color w:val="A6A6A6" w:themeColor="background1" w:themeShade="A6"/>
          <w:sz w:val="22"/>
          <w:szCs w:val="22"/>
          <w:lang w:val="en-GB"/>
        </w:rPr>
        <w:t xml:space="preserve">security or satisfaction. Whereas §130 </w:t>
      </w:r>
      <w:proofErr w:type="spellStart"/>
      <w:r w:rsidR="005323A0">
        <w:rPr>
          <w:rFonts w:ascii="Arial" w:hAnsi="Arial" w:cs="Arial"/>
          <w:color w:val="A6A6A6" w:themeColor="background1" w:themeShade="A6"/>
          <w:sz w:val="22"/>
          <w:szCs w:val="22"/>
          <w:lang w:val="en-GB"/>
        </w:rPr>
        <w:t>InsO</w:t>
      </w:r>
      <w:proofErr w:type="spellEnd"/>
      <w:r w:rsidR="005323A0">
        <w:rPr>
          <w:rFonts w:ascii="Arial" w:hAnsi="Arial" w:cs="Arial"/>
          <w:color w:val="A6A6A6" w:themeColor="background1" w:themeShade="A6"/>
          <w:sz w:val="22"/>
          <w:szCs w:val="22"/>
          <w:lang w:val="en-GB"/>
        </w:rPr>
        <w:t xml:space="preserve"> is applicable to transactions of so-called ‘congruent coverage’ (i.e., the insolvency creditor was entitled to such a security or satisfaction), §131 </w:t>
      </w:r>
      <w:proofErr w:type="spellStart"/>
      <w:r w:rsidR="005323A0">
        <w:rPr>
          <w:rFonts w:ascii="Arial" w:hAnsi="Arial" w:cs="Arial"/>
          <w:color w:val="A6A6A6" w:themeColor="background1" w:themeShade="A6"/>
          <w:sz w:val="22"/>
          <w:szCs w:val="22"/>
          <w:lang w:val="en-GB"/>
        </w:rPr>
        <w:t>InsO</w:t>
      </w:r>
      <w:proofErr w:type="spellEnd"/>
      <w:r w:rsidR="005323A0">
        <w:rPr>
          <w:rFonts w:ascii="Arial" w:hAnsi="Arial" w:cs="Arial"/>
          <w:color w:val="A6A6A6" w:themeColor="background1" w:themeShade="A6"/>
          <w:sz w:val="22"/>
          <w:szCs w:val="22"/>
          <w:lang w:val="en-GB"/>
        </w:rPr>
        <w:t xml:space="preserve"> is applicable to transactions of so-called ‘incongruent coverage’ (i.e., the insolvency creditor was not entitled to such a security or satisfaction).</w:t>
      </w:r>
    </w:p>
    <w:p w14:paraId="3496A2AD" w14:textId="11EB8531" w:rsidR="002F4399" w:rsidRDefault="002F4399" w:rsidP="00486CBE">
      <w:pPr>
        <w:pStyle w:val="Lijstalinea"/>
        <w:jc w:val="both"/>
        <w:rPr>
          <w:rFonts w:ascii="Arial" w:hAnsi="Arial" w:cs="Arial"/>
          <w:color w:val="A6A6A6" w:themeColor="background1" w:themeShade="A6"/>
          <w:sz w:val="22"/>
          <w:szCs w:val="22"/>
          <w:lang w:val="en-GB"/>
        </w:rPr>
      </w:pPr>
    </w:p>
    <w:p w14:paraId="13616113" w14:textId="00F2BE6B" w:rsidR="002F4399" w:rsidRDefault="00E26199" w:rsidP="00620712">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§130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the</w:t>
      </w:r>
      <w:r w:rsidR="005457EE">
        <w:rPr>
          <w:rFonts w:ascii="Arial" w:hAnsi="Arial" w:cs="Arial"/>
          <w:color w:val="A6A6A6" w:themeColor="background1" w:themeShade="A6"/>
          <w:sz w:val="22"/>
          <w:szCs w:val="22"/>
          <w:lang w:val="en-GB"/>
        </w:rPr>
        <w:t xml:space="preserve"> (congruent)</w:t>
      </w:r>
      <w:r w:rsidRPr="00E26199">
        <w:rPr>
          <w:rFonts w:ascii="Arial" w:hAnsi="Arial" w:cs="Arial"/>
          <w:color w:val="A6A6A6" w:themeColor="background1" w:themeShade="A6"/>
          <w:sz w:val="22"/>
          <w:szCs w:val="22"/>
          <w:lang w:val="en-GB"/>
        </w:rPr>
        <w:t xml:space="preserve"> transactions can only be challenged if they were made within three months </w:t>
      </w:r>
      <w:r>
        <w:rPr>
          <w:rFonts w:ascii="Arial" w:hAnsi="Arial" w:cs="Arial"/>
          <w:color w:val="A6A6A6" w:themeColor="background1" w:themeShade="A6"/>
          <w:sz w:val="22"/>
          <w:szCs w:val="22"/>
          <w:lang w:val="en-GB"/>
        </w:rPr>
        <w:t xml:space="preserve">prior to the request to open </w:t>
      </w:r>
      <w:r w:rsidRPr="00E26199">
        <w:rPr>
          <w:rFonts w:ascii="Arial" w:hAnsi="Arial" w:cs="Arial"/>
          <w:color w:val="A6A6A6" w:themeColor="background1" w:themeShade="A6"/>
          <w:sz w:val="22"/>
          <w:szCs w:val="22"/>
          <w:lang w:val="en-GB"/>
        </w:rPr>
        <w:t xml:space="preserve">insolvency proceedings, </w:t>
      </w:r>
      <w:r w:rsidR="00620712">
        <w:rPr>
          <w:rFonts w:ascii="Arial" w:hAnsi="Arial" w:cs="Arial"/>
          <w:color w:val="A6A6A6" w:themeColor="background1" w:themeShade="A6"/>
          <w:sz w:val="22"/>
          <w:szCs w:val="22"/>
          <w:lang w:val="en-GB"/>
        </w:rPr>
        <w:t xml:space="preserve">or after it (in which case the knowledge of such a request is sufficient grounds to contest), </w:t>
      </w:r>
      <w:r w:rsidRPr="00E26199">
        <w:rPr>
          <w:rFonts w:ascii="Arial" w:hAnsi="Arial" w:cs="Arial"/>
          <w:color w:val="A6A6A6" w:themeColor="background1" w:themeShade="A6"/>
          <w:sz w:val="22"/>
          <w:szCs w:val="22"/>
          <w:lang w:val="en-GB"/>
        </w:rPr>
        <w:t>and if the debtor was already</w:t>
      </w:r>
      <w:r w:rsidR="00620712">
        <w:rPr>
          <w:rFonts w:ascii="Arial" w:hAnsi="Arial" w:cs="Arial"/>
          <w:color w:val="A6A6A6" w:themeColor="background1" w:themeShade="A6"/>
          <w:sz w:val="22"/>
          <w:szCs w:val="22"/>
          <w:lang w:val="en-GB"/>
        </w:rPr>
        <w:t xml:space="preserve"> cash flow</w:t>
      </w:r>
      <w:r w:rsidRPr="00E26199">
        <w:rPr>
          <w:rFonts w:ascii="Arial" w:hAnsi="Arial" w:cs="Arial"/>
          <w:color w:val="A6A6A6" w:themeColor="background1" w:themeShade="A6"/>
          <w:sz w:val="22"/>
          <w:szCs w:val="22"/>
          <w:lang w:val="en-GB"/>
        </w:rPr>
        <w:t xml:space="preserve"> insolvent or</w:t>
      </w:r>
      <w:r w:rsidR="00620712">
        <w:rPr>
          <w:rFonts w:ascii="Arial" w:hAnsi="Arial" w:cs="Arial"/>
          <w:color w:val="A6A6A6" w:themeColor="background1" w:themeShade="A6"/>
          <w:sz w:val="22"/>
          <w:szCs w:val="22"/>
          <w:lang w:val="en-GB"/>
        </w:rPr>
        <w:t xml:space="preserve"> </w:t>
      </w:r>
      <w:r w:rsidRPr="00620712">
        <w:rPr>
          <w:rFonts w:ascii="Arial" w:hAnsi="Arial" w:cs="Arial"/>
          <w:color w:val="A6A6A6" w:themeColor="background1" w:themeShade="A6"/>
          <w:sz w:val="22"/>
          <w:szCs w:val="22"/>
          <w:lang w:val="en-GB"/>
        </w:rPr>
        <w:t>illiquid at that time and the creditor was aware of that or knew of the illiquidity</w:t>
      </w:r>
      <w:r w:rsidR="00620712">
        <w:rPr>
          <w:rFonts w:ascii="Arial" w:hAnsi="Arial" w:cs="Arial"/>
          <w:color w:val="A6A6A6" w:themeColor="background1" w:themeShade="A6"/>
          <w:sz w:val="22"/>
          <w:szCs w:val="22"/>
          <w:lang w:val="en-GB"/>
        </w:rPr>
        <w:t xml:space="preserve">. Whether the transaction occurred in the relevant suspect period must be dealt with in accordance with §140 </w:t>
      </w:r>
      <w:proofErr w:type="spellStart"/>
      <w:r w:rsidR="00620712">
        <w:rPr>
          <w:rFonts w:ascii="Arial" w:hAnsi="Arial" w:cs="Arial"/>
          <w:color w:val="A6A6A6" w:themeColor="background1" w:themeShade="A6"/>
          <w:sz w:val="22"/>
          <w:szCs w:val="22"/>
          <w:lang w:val="en-GB"/>
        </w:rPr>
        <w:t>InsO</w:t>
      </w:r>
      <w:proofErr w:type="spellEnd"/>
      <w:r w:rsidR="00620712">
        <w:rPr>
          <w:rFonts w:ascii="Arial" w:hAnsi="Arial" w:cs="Arial"/>
          <w:color w:val="A6A6A6" w:themeColor="background1" w:themeShade="A6"/>
          <w:sz w:val="22"/>
          <w:szCs w:val="22"/>
          <w:lang w:val="en-GB"/>
        </w:rPr>
        <w:t>.</w:t>
      </w:r>
    </w:p>
    <w:p w14:paraId="6449DD3B" w14:textId="00B91361" w:rsidR="00620712" w:rsidRDefault="00620712" w:rsidP="00620712">
      <w:pPr>
        <w:pStyle w:val="Lijstalinea"/>
        <w:jc w:val="both"/>
        <w:rPr>
          <w:rFonts w:ascii="Arial" w:hAnsi="Arial" w:cs="Arial"/>
          <w:color w:val="A6A6A6" w:themeColor="background1" w:themeShade="A6"/>
          <w:sz w:val="22"/>
          <w:szCs w:val="22"/>
          <w:lang w:val="en-GB"/>
        </w:rPr>
      </w:pPr>
    </w:p>
    <w:p w14:paraId="572915C7" w14:textId="6C58C425" w:rsidR="00620712" w:rsidRDefault="00620712" w:rsidP="00EE3F6B">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§131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the</w:t>
      </w:r>
      <w:r w:rsidR="006959C6">
        <w:rPr>
          <w:rFonts w:ascii="Arial" w:hAnsi="Arial" w:cs="Arial"/>
          <w:color w:val="A6A6A6" w:themeColor="background1" w:themeShade="A6"/>
          <w:sz w:val="22"/>
          <w:szCs w:val="22"/>
          <w:lang w:val="en-GB"/>
        </w:rPr>
        <w:t xml:space="preserve"> suspect period in relation to</w:t>
      </w:r>
      <w:r w:rsidR="005457EE">
        <w:rPr>
          <w:rFonts w:ascii="Arial" w:hAnsi="Arial" w:cs="Arial"/>
          <w:color w:val="A6A6A6" w:themeColor="background1" w:themeShade="A6"/>
          <w:sz w:val="22"/>
          <w:szCs w:val="22"/>
          <w:lang w:val="en-GB"/>
        </w:rPr>
        <w:t xml:space="preserve"> (incongruent)</w:t>
      </w:r>
      <w:r>
        <w:rPr>
          <w:rFonts w:ascii="Arial" w:hAnsi="Arial" w:cs="Arial"/>
          <w:color w:val="A6A6A6" w:themeColor="background1" w:themeShade="A6"/>
          <w:sz w:val="22"/>
          <w:szCs w:val="22"/>
          <w:lang w:val="en-GB"/>
        </w:rPr>
        <w:t xml:space="preserve"> </w:t>
      </w:r>
      <w:r w:rsidR="005457EE">
        <w:rPr>
          <w:rFonts w:ascii="Arial" w:hAnsi="Arial" w:cs="Arial"/>
          <w:color w:val="A6A6A6" w:themeColor="background1" w:themeShade="A6"/>
          <w:sz w:val="22"/>
          <w:szCs w:val="22"/>
          <w:lang w:val="en-GB"/>
        </w:rPr>
        <w:t xml:space="preserve">transactions </w:t>
      </w:r>
      <w:r w:rsidR="006959C6">
        <w:rPr>
          <w:rFonts w:ascii="Arial" w:hAnsi="Arial" w:cs="Arial"/>
          <w:color w:val="A6A6A6" w:themeColor="background1" w:themeShade="A6"/>
          <w:sz w:val="22"/>
          <w:szCs w:val="22"/>
          <w:lang w:val="en-GB"/>
        </w:rPr>
        <w:t xml:space="preserve">is (no </w:t>
      </w:r>
      <w:r w:rsidR="00AB619E">
        <w:rPr>
          <w:rFonts w:ascii="Arial" w:hAnsi="Arial" w:cs="Arial"/>
          <w:color w:val="A6A6A6" w:themeColor="background1" w:themeShade="A6"/>
          <w:sz w:val="22"/>
          <w:szCs w:val="22"/>
          <w:lang w:val="en-GB"/>
        </w:rPr>
        <w:t>more</w:t>
      </w:r>
      <w:r w:rsidR="006959C6">
        <w:rPr>
          <w:rFonts w:ascii="Arial" w:hAnsi="Arial" w:cs="Arial"/>
          <w:color w:val="A6A6A6" w:themeColor="background1" w:themeShade="A6"/>
          <w:sz w:val="22"/>
          <w:szCs w:val="22"/>
          <w:lang w:val="en-GB"/>
        </w:rPr>
        <w:t xml:space="preserve"> than) </w:t>
      </w:r>
      <w:r w:rsidR="005457EE" w:rsidRPr="00E26199">
        <w:rPr>
          <w:rFonts w:ascii="Arial" w:hAnsi="Arial" w:cs="Arial"/>
          <w:color w:val="A6A6A6" w:themeColor="background1" w:themeShade="A6"/>
          <w:sz w:val="22"/>
          <w:szCs w:val="22"/>
          <w:lang w:val="en-GB"/>
        </w:rPr>
        <w:t xml:space="preserve">three months </w:t>
      </w:r>
      <w:r w:rsidR="005457EE">
        <w:rPr>
          <w:rFonts w:ascii="Arial" w:hAnsi="Arial" w:cs="Arial"/>
          <w:color w:val="A6A6A6" w:themeColor="background1" w:themeShade="A6"/>
          <w:sz w:val="22"/>
          <w:szCs w:val="22"/>
          <w:lang w:val="en-GB"/>
        </w:rPr>
        <w:t xml:space="preserve">prior to the request to open </w:t>
      </w:r>
      <w:r w:rsidR="005457EE" w:rsidRPr="00E26199">
        <w:rPr>
          <w:rFonts w:ascii="Arial" w:hAnsi="Arial" w:cs="Arial"/>
          <w:color w:val="A6A6A6" w:themeColor="background1" w:themeShade="A6"/>
          <w:sz w:val="22"/>
          <w:szCs w:val="22"/>
          <w:lang w:val="en-GB"/>
        </w:rPr>
        <w:t>insolvency proceedings</w:t>
      </w:r>
      <w:r w:rsidR="006959C6">
        <w:rPr>
          <w:rFonts w:ascii="Arial" w:hAnsi="Arial" w:cs="Arial"/>
          <w:color w:val="A6A6A6" w:themeColor="background1" w:themeShade="A6"/>
          <w:sz w:val="22"/>
          <w:szCs w:val="22"/>
          <w:lang w:val="en-GB"/>
        </w:rPr>
        <w:t xml:space="preserve">. However, </w:t>
      </w:r>
      <w:r w:rsidR="00C833E3">
        <w:rPr>
          <w:rFonts w:ascii="Arial" w:hAnsi="Arial" w:cs="Arial"/>
          <w:color w:val="A6A6A6" w:themeColor="background1" w:themeShade="A6"/>
          <w:sz w:val="22"/>
          <w:szCs w:val="22"/>
          <w:lang w:val="en-GB"/>
        </w:rPr>
        <w:t xml:space="preserve">no further subjective requirements apply; </w:t>
      </w:r>
      <w:r w:rsidR="00EE3F6B">
        <w:rPr>
          <w:rFonts w:ascii="Arial" w:hAnsi="Arial" w:cs="Arial"/>
          <w:color w:val="A6A6A6" w:themeColor="background1" w:themeShade="A6"/>
          <w:sz w:val="22"/>
          <w:szCs w:val="22"/>
          <w:lang w:val="en-GB"/>
        </w:rPr>
        <w:t xml:space="preserve">also any knowledge of awareness of the creditor is irrelevant and must not be proven by the insolvency practitioner. Although in case the transaction was made </w:t>
      </w:r>
      <w:r w:rsidR="00C833E3">
        <w:rPr>
          <w:rFonts w:ascii="Arial" w:hAnsi="Arial" w:cs="Arial"/>
          <w:color w:val="A6A6A6" w:themeColor="background1" w:themeShade="A6"/>
          <w:sz w:val="22"/>
          <w:szCs w:val="22"/>
          <w:lang w:val="en-GB"/>
        </w:rPr>
        <w:t xml:space="preserve"> </w:t>
      </w:r>
      <w:r w:rsidR="00EE3F6B" w:rsidRPr="00EE3F6B">
        <w:rPr>
          <w:rFonts w:ascii="Arial" w:hAnsi="Arial" w:cs="Arial"/>
          <w:color w:val="A6A6A6" w:themeColor="background1" w:themeShade="A6"/>
          <w:sz w:val="22"/>
          <w:szCs w:val="22"/>
          <w:lang w:val="en-GB"/>
        </w:rPr>
        <w:t>within two or three months</w:t>
      </w:r>
      <w:r w:rsidR="00EE3F6B">
        <w:rPr>
          <w:rFonts w:ascii="Arial" w:hAnsi="Arial" w:cs="Arial"/>
          <w:color w:val="A6A6A6" w:themeColor="background1" w:themeShade="A6"/>
          <w:sz w:val="22"/>
          <w:szCs w:val="22"/>
          <w:lang w:val="en-GB"/>
        </w:rPr>
        <w:t xml:space="preserve"> </w:t>
      </w:r>
      <w:r w:rsidR="00EE3F6B" w:rsidRPr="00EE3F6B">
        <w:rPr>
          <w:rFonts w:ascii="Arial" w:hAnsi="Arial" w:cs="Arial"/>
          <w:color w:val="A6A6A6" w:themeColor="background1" w:themeShade="A6"/>
          <w:sz w:val="22"/>
          <w:szCs w:val="22"/>
          <w:lang w:val="en-GB"/>
        </w:rPr>
        <w:t xml:space="preserve">prior to </w:t>
      </w:r>
      <w:r w:rsidR="00AB619E">
        <w:rPr>
          <w:rFonts w:ascii="Arial" w:hAnsi="Arial" w:cs="Arial"/>
          <w:color w:val="A6A6A6" w:themeColor="background1" w:themeShade="A6"/>
          <w:sz w:val="22"/>
          <w:szCs w:val="22"/>
          <w:lang w:val="en-GB"/>
        </w:rPr>
        <w:t xml:space="preserve">the </w:t>
      </w:r>
      <w:r w:rsidR="00EE3F6B" w:rsidRPr="00EE3F6B">
        <w:rPr>
          <w:rFonts w:ascii="Arial" w:hAnsi="Arial" w:cs="Arial"/>
          <w:color w:val="A6A6A6" w:themeColor="background1" w:themeShade="A6"/>
          <w:sz w:val="22"/>
          <w:szCs w:val="22"/>
          <w:lang w:val="en-GB"/>
        </w:rPr>
        <w:t>request to</w:t>
      </w:r>
      <w:r w:rsidR="00EE3F6B">
        <w:rPr>
          <w:rFonts w:ascii="Arial" w:hAnsi="Arial" w:cs="Arial"/>
          <w:color w:val="A6A6A6" w:themeColor="background1" w:themeShade="A6"/>
          <w:sz w:val="22"/>
          <w:szCs w:val="22"/>
          <w:lang w:val="en-GB"/>
        </w:rPr>
        <w:t xml:space="preserve"> </w:t>
      </w:r>
      <w:r w:rsidR="00EE3F6B" w:rsidRPr="00EE3F6B">
        <w:rPr>
          <w:rFonts w:ascii="Arial" w:hAnsi="Arial" w:cs="Arial"/>
          <w:color w:val="A6A6A6" w:themeColor="background1" w:themeShade="A6"/>
          <w:sz w:val="22"/>
          <w:szCs w:val="22"/>
          <w:lang w:val="en-GB"/>
        </w:rPr>
        <w:t>open insolvency proceedings</w:t>
      </w:r>
      <w:r w:rsidR="00EE3F6B">
        <w:rPr>
          <w:rFonts w:ascii="Arial" w:hAnsi="Arial" w:cs="Arial"/>
          <w:color w:val="A6A6A6" w:themeColor="background1" w:themeShade="A6"/>
          <w:sz w:val="22"/>
          <w:szCs w:val="22"/>
          <w:lang w:val="en-GB"/>
        </w:rPr>
        <w:t xml:space="preserve">, the insolvency practitioner will still have to prove that the debtor was </w:t>
      </w:r>
      <w:r w:rsidR="00AB619E">
        <w:rPr>
          <w:rFonts w:ascii="Arial" w:hAnsi="Arial" w:cs="Arial"/>
          <w:color w:val="A6A6A6" w:themeColor="background1" w:themeShade="A6"/>
          <w:sz w:val="22"/>
          <w:szCs w:val="22"/>
          <w:lang w:val="en-GB"/>
        </w:rPr>
        <w:t>illiquid at the time of the transaction</w:t>
      </w:r>
      <w:r w:rsidR="00C833E3" w:rsidRPr="00EE3F6B">
        <w:rPr>
          <w:rFonts w:ascii="Arial" w:hAnsi="Arial" w:cs="Arial"/>
          <w:color w:val="A6A6A6" w:themeColor="background1" w:themeShade="A6"/>
          <w:sz w:val="22"/>
          <w:szCs w:val="22"/>
          <w:lang w:val="en-GB"/>
        </w:rPr>
        <w:t xml:space="preserve"> </w:t>
      </w:r>
      <w:r w:rsidR="00AB619E">
        <w:rPr>
          <w:rFonts w:ascii="Arial" w:hAnsi="Arial" w:cs="Arial"/>
          <w:color w:val="A6A6A6" w:themeColor="background1" w:themeShade="A6"/>
          <w:sz w:val="22"/>
          <w:szCs w:val="22"/>
          <w:lang w:val="en-GB"/>
        </w:rPr>
        <w:t>(but not in case the transaction was made within one month prior to the request).</w:t>
      </w:r>
    </w:p>
    <w:p w14:paraId="33757780" w14:textId="3C76480F" w:rsidR="00AB619E" w:rsidRDefault="00AB619E" w:rsidP="00EE3F6B">
      <w:pPr>
        <w:pStyle w:val="Lijstalinea"/>
        <w:jc w:val="both"/>
        <w:rPr>
          <w:rFonts w:ascii="Arial" w:hAnsi="Arial" w:cs="Arial"/>
          <w:color w:val="A6A6A6" w:themeColor="background1" w:themeShade="A6"/>
          <w:sz w:val="22"/>
          <w:szCs w:val="22"/>
          <w:lang w:val="en-GB"/>
        </w:rPr>
      </w:pPr>
    </w:p>
    <w:p w14:paraId="20B74A22" w14:textId="7E8718AE" w:rsidR="00AB619E" w:rsidRDefault="00AB619E" w:rsidP="00EE3F6B">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Further, §§132, 133 and 134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are more general and cover all kinds of transactions.</w:t>
      </w:r>
    </w:p>
    <w:p w14:paraId="085AD124" w14:textId="1F15F479" w:rsidR="00AB619E" w:rsidRDefault="00AB619E" w:rsidP="00EE3F6B">
      <w:pPr>
        <w:pStyle w:val="Lijstalinea"/>
        <w:jc w:val="both"/>
        <w:rPr>
          <w:rFonts w:ascii="Arial" w:hAnsi="Arial" w:cs="Arial"/>
          <w:color w:val="A6A6A6" w:themeColor="background1" w:themeShade="A6"/>
          <w:sz w:val="22"/>
          <w:szCs w:val="22"/>
          <w:lang w:val="en-GB"/>
        </w:rPr>
      </w:pPr>
    </w:p>
    <w:p w14:paraId="285087BF" w14:textId="1FCABC5B" w:rsidR="00AB619E" w:rsidRDefault="00CA4BC5" w:rsidP="00EE3F6B">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§132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transactions constituting a direct disadvantage to insolvency creditors can be challenged if they were made within three months prior to the request to open insolvency proceedings, or after it (in which case the knowledge of such a request is sufficient grounds to contest), </w:t>
      </w:r>
      <w:r w:rsidRPr="00E26199">
        <w:rPr>
          <w:rFonts w:ascii="Arial" w:hAnsi="Arial" w:cs="Arial"/>
          <w:color w:val="A6A6A6" w:themeColor="background1" w:themeShade="A6"/>
          <w:sz w:val="22"/>
          <w:szCs w:val="22"/>
          <w:lang w:val="en-GB"/>
        </w:rPr>
        <w:t>and if the debtor was already</w:t>
      </w:r>
      <w:r>
        <w:rPr>
          <w:rFonts w:ascii="Arial" w:hAnsi="Arial" w:cs="Arial"/>
          <w:color w:val="A6A6A6" w:themeColor="background1" w:themeShade="A6"/>
          <w:sz w:val="22"/>
          <w:szCs w:val="22"/>
          <w:lang w:val="en-GB"/>
        </w:rPr>
        <w:t xml:space="preserve"> </w:t>
      </w:r>
      <w:r w:rsidRPr="00620712">
        <w:rPr>
          <w:rFonts w:ascii="Arial" w:hAnsi="Arial" w:cs="Arial"/>
          <w:color w:val="A6A6A6" w:themeColor="background1" w:themeShade="A6"/>
          <w:sz w:val="22"/>
          <w:szCs w:val="22"/>
          <w:lang w:val="en-GB"/>
        </w:rPr>
        <w:t>illiquid at that time and the creditor was aware of that or knew of the illiquidity</w:t>
      </w:r>
      <w:r w:rsidR="005D11CB">
        <w:rPr>
          <w:rFonts w:ascii="Arial" w:hAnsi="Arial" w:cs="Arial"/>
          <w:color w:val="A6A6A6" w:themeColor="background1" w:themeShade="A6"/>
          <w:sz w:val="22"/>
          <w:szCs w:val="22"/>
          <w:lang w:val="en-GB"/>
        </w:rPr>
        <w:t>.</w:t>
      </w:r>
    </w:p>
    <w:p w14:paraId="3FA8AD53" w14:textId="450E20D2" w:rsidR="003E6D32" w:rsidRDefault="003E6D32" w:rsidP="00EE3F6B">
      <w:pPr>
        <w:pStyle w:val="Lijstalinea"/>
        <w:jc w:val="both"/>
        <w:rPr>
          <w:rFonts w:ascii="Arial" w:hAnsi="Arial" w:cs="Arial"/>
          <w:color w:val="A6A6A6" w:themeColor="background1" w:themeShade="A6"/>
          <w:sz w:val="22"/>
          <w:szCs w:val="22"/>
          <w:lang w:val="en-GB"/>
        </w:rPr>
      </w:pPr>
    </w:p>
    <w:p w14:paraId="4A0DDFB2" w14:textId="7EA28641" w:rsidR="003E6D32" w:rsidRDefault="003E6D32" w:rsidP="00EE3F6B">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§133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w:t>
      </w:r>
      <w:r w:rsidRPr="003E6D32">
        <w:rPr>
          <w:rFonts w:ascii="Arial" w:hAnsi="Arial" w:cs="Arial"/>
          <w:color w:val="A6A6A6" w:themeColor="background1" w:themeShade="A6"/>
          <w:sz w:val="22"/>
          <w:szCs w:val="22"/>
          <w:lang w:val="en-GB"/>
        </w:rPr>
        <w:t>transaction</w:t>
      </w:r>
      <w:r>
        <w:rPr>
          <w:rFonts w:ascii="Arial" w:hAnsi="Arial" w:cs="Arial"/>
          <w:color w:val="A6A6A6" w:themeColor="background1" w:themeShade="A6"/>
          <w:sz w:val="22"/>
          <w:szCs w:val="22"/>
          <w:lang w:val="en-GB"/>
        </w:rPr>
        <w:t>s</w:t>
      </w:r>
      <w:r w:rsidRPr="003E6D32">
        <w:rPr>
          <w:rFonts w:ascii="Arial" w:hAnsi="Arial" w:cs="Arial"/>
          <w:color w:val="A6A6A6" w:themeColor="background1" w:themeShade="A6"/>
          <w:sz w:val="22"/>
          <w:szCs w:val="22"/>
          <w:lang w:val="en-GB"/>
        </w:rPr>
        <w:t xml:space="preserve"> entered into by the debtor within ten years prior to the </w:t>
      </w:r>
      <w:r>
        <w:rPr>
          <w:rFonts w:ascii="Arial" w:hAnsi="Arial" w:cs="Arial"/>
          <w:color w:val="A6A6A6" w:themeColor="background1" w:themeShade="A6"/>
          <w:sz w:val="22"/>
          <w:szCs w:val="22"/>
          <w:lang w:val="en-GB"/>
        </w:rPr>
        <w:t>request to open insolvency proceedings can be challenged if they were made</w:t>
      </w:r>
      <w:r w:rsidRPr="003E6D32">
        <w:rPr>
          <w:rFonts w:ascii="Arial" w:hAnsi="Arial" w:cs="Arial"/>
          <w:color w:val="A6A6A6" w:themeColor="background1" w:themeShade="A6"/>
          <w:sz w:val="22"/>
          <w:szCs w:val="22"/>
          <w:lang w:val="en-GB"/>
        </w:rPr>
        <w:t xml:space="preserve"> with the intention to disadvantage creditors </w:t>
      </w:r>
      <w:r>
        <w:rPr>
          <w:rFonts w:ascii="Arial" w:hAnsi="Arial" w:cs="Arial"/>
          <w:color w:val="A6A6A6" w:themeColor="background1" w:themeShade="A6"/>
          <w:sz w:val="22"/>
          <w:szCs w:val="22"/>
          <w:lang w:val="en-GB"/>
        </w:rPr>
        <w:t>and</w:t>
      </w:r>
      <w:r w:rsidRPr="003E6D32">
        <w:rPr>
          <w:rFonts w:ascii="Arial" w:hAnsi="Arial" w:cs="Arial"/>
          <w:color w:val="A6A6A6" w:themeColor="background1" w:themeShade="A6"/>
          <w:sz w:val="22"/>
          <w:szCs w:val="22"/>
          <w:lang w:val="en-GB"/>
        </w:rPr>
        <w:t xml:space="preserve"> if the other party to the transaction </w:t>
      </w:r>
      <w:r>
        <w:rPr>
          <w:rFonts w:ascii="Arial" w:hAnsi="Arial" w:cs="Arial"/>
          <w:color w:val="A6A6A6" w:themeColor="background1" w:themeShade="A6"/>
          <w:sz w:val="22"/>
          <w:szCs w:val="22"/>
          <w:lang w:val="en-GB"/>
        </w:rPr>
        <w:t>was aware</w:t>
      </w:r>
      <w:r w:rsidRPr="003E6D32">
        <w:rPr>
          <w:rFonts w:ascii="Arial" w:hAnsi="Arial" w:cs="Arial"/>
          <w:color w:val="A6A6A6" w:themeColor="background1" w:themeShade="A6"/>
          <w:sz w:val="22"/>
          <w:szCs w:val="22"/>
          <w:lang w:val="en-GB"/>
        </w:rPr>
        <w:t xml:space="preserve"> of such intent at the time of the transaction</w:t>
      </w:r>
      <w:r w:rsidR="00CE08B5">
        <w:rPr>
          <w:rFonts w:ascii="Arial" w:hAnsi="Arial" w:cs="Arial"/>
          <w:color w:val="A6A6A6" w:themeColor="background1" w:themeShade="A6"/>
          <w:sz w:val="22"/>
          <w:szCs w:val="22"/>
          <w:lang w:val="en-GB"/>
        </w:rPr>
        <w:t>.</w:t>
      </w:r>
    </w:p>
    <w:p w14:paraId="3C0560E0" w14:textId="3562558E" w:rsidR="00CE08B5" w:rsidRDefault="00CE08B5" w:rsidP="00EE3F6B">
      <w:pPr>
        <w:pStyle w:val="Lijstalinea"/>
        <w:jc w:val="both"/>
        <w:rPr>
          <w:rFonts w:ascii="Arial" w:hAnsi="Arial" w:cs="Arial"/>
          <w:color w:val="A6A6A6" w:themeColor="background1" w:themeShade="A6"/>
          <w:sz w:val="22"/>
          <w:szCs w:val="22"/>
          <w:lang w:val="en-GB"/>
        </w:rPr>
      </w:pPr>
    </w:p>
    <w:p w14:paraId="1878FCCF" w14:textId="26A361B9" w:rsidR="00CE08B5" w:rsidRDefault="00CE08B5" w:rsidP="00EE3F6B">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§134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(partially) gratuitous transactions or transactions under value performed by the debtor can be challenged if they were made </w:t>
      </w:r>
      <w:r w:rsidRPr="003E6D32">
        <w:rPr>
          <w:rFonts w:ascii="Arial" w:hAnsi="Arial" w:cs="Arial"/>
          <w:color w:val="A6A6A6" w:themeColor="background1" w:themeShade="A6"/>
          <w:sz w:val="22"/>
          <w:szCs w:val="22"/>
          <w:lang w:val="en-GB"/>
        </w:rPr>
        <w:t xml:space="preserve">within </w:t>
      </w:r>
      <w:r>
        <w:rPr>
          <w:rFonts w:ascii="Arial" w:hAnsi="Arial" w:cs="Arial"/>
          <w:color w:val="A6A6A6" w:themeColor="background1" w:themeShade="A6"/>
          <w:sz w:val="22"/>
          <w:szCs w:val="22"/>
          <w:lang w:val="en-GB"/>
        </w:rPr>
        <w:t>four</w:t>
      </w:r>
      <w:r w:rsidRPr="003E6D32">
        <w:rPr>
          <w:rFonts w:ascii="Arial" w:hAnsi="Arial" w:cs="Arial"/>
          <w:color w:val="A6A6A6" w:themeColor="background1" w:themeShade="A6"/>
          <w:sz w:val="22"/>
          <w:szCs w:val="22"/>
          <w:lang w:val="en-GB"/>
        </w:rPr>
        <w:t xml:space="preserve"> years prior to the </w:t>
      </w:r>
      <w:r>
        <w:rPr>
          <w:rFonts w:ascii="Arial" w:hAnsi="Arial" w:cs="Arial"/>
          <w:color w:val="A6A6A6" w:themeColor="background1" w:themeShade="A6"/>
          <w:sz w:val="22"/>
          <w:szCs w:val="22"/>
          <w:lang w:val="en-GB"/>
        </w:rPr>
        <w:t>request to open insolvency proceedings.</w:t>
      </w:r>
    </w:p>
    <w:p w14:paraId="64E8B0E0" w14:textId="4DD663D5" w:rsidR="00CE08B5" w:rsidRDefault="00CE08B5" w:rsidP="00EE3F6B">
      <w:pPr>
        <w:pStyle w:val="Lijstalinea"/>
        <w:jc w:val="both"/>
        <w:rPr>
          <w:rFonts w:ascii="Arial" w:hAnsi="Arial" w:cs="Arial"/>
          <w:color w:val="A6A6A6" w:themeColor="background1" w:themeShade="A6"/>
          <w:sz w:val="22"/>
          <w:szCs w:val="22"/>
          <w:lang w:val="en-GB"/>
        </w:rPr>
      </w:pPr>
    </w:p>
    <w:p w14:paraId="34C0AFC8" w14:textId="79CBD1CD" w:rsidR="00CE08B5" w:rsidRDefault="00CE08B5" w:rsidP="00EE3F6B">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Finally, §135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concentrates </w:t>
      </w:r>
      <w:r w:rsidR="004045FE">
        <w:rPr>
          <w:rFonts w:ascii="Arial" w:hAnsi="Arial" w:cs="Arial"/>
          <w:color w:val="A6A6A6" w:themeColor="background1" w:themeShade="A6"/>
          <w:sz w:val="22"/>
          <w:szCs w:val="22"/>
          <w:lang w:val="en-GB"/>
        </w:rPr>
        <w:t xml:space="preserve">on transactions granting shareholders a security or satisfaction (payment). All payments </w:t>
      </w:r>
      <w:r w:rsidR="004045FE" w:rsidRPr="00E26199">
        <w:rPr>
          <w:rFonts w:ascii="Arial" w:hAnsi="Arial" w:cs="Arial"/>
          <w:color w:val="A6A6A6" w:themeColor="background1" w:themeShade="A6"/>
          <w:sz w:val="22"/>
          <w:szCs w:val="22"/>
          <w:lang w:val="en-GB"/>
        </w:rPr>
        <w:t xml:space="preserve">can be challenged if they were made within </w:t>
      </w:r>
      <w:r w:rsidR="004045FE">
        <w:rPr>
          <w:rFonts w:ascii="Arial" w:hAnsi="Arial" w:cs="Arial"/>
          <w:color w:val="A6A6A6" w:themeColor="background1" w:themeShade="A6"/>
          <w:sz w:val="22"/>
          <w:szCs w:val="22"/>
          <w:lang w:val="en-GB"/>
        </w:rPr>
        <w:t>one year</w:t>
      </w:r>
      <w:r w:rsidR="004045FE" w:rsidRPr="00E26199">
        <w:rPr>
          <w:rFonts w:ascii="Arial" w:hAnsi="Arial" w:cs="Arial"/>
          <w:color w:val="A6A6A6" w:themeColor="background1" w:themeShade="A6"/>
          <w:sz w:val="22"/>
          <w:szCs w:val="22"/>
          <w:lang w:val="en-GB"/>
        </w:rPr>
        <w:t xml:space="preserve"> </w:t>
      </w:r>
      <w:r w:rsidR="004045FE">
        <w:rPr>
          <w:rFonts w:ascii="Arial" w:hAnsi="Arial" w:cs="Arial"/>
          <w:color w:val="A6A6A6" w:themeColor="background1" w:themeShade="A6"/>
          <w:sz w:val="22"/>
          <w:szCs w:val="22"/>
          <w:lang w:val="en-GB"/>
        </w:rPr>
        <w:t xml:space="preserve">prior to the request to open </w:t>
      </w:r>
      <w:r w:rsidR="004045FE" w:rsidRPr="00E26199">
        <w:rPr>
          <w:rFonts w:ascii="Arial" w:hAnsi="Arial" w:cs="Arial"/>
          <w:color w:val="A6A6A6" w:themeColor="background1" w:themeShade="A6"/>
          <w:sz w:val="22"/>
          <w:szCs w:val="22"/>
          <w:lang w:val="en-GB"/>
        </w:rPr>
        <w:t>insolvency proceedings</w:t>
      </w:r>
      <w:r w:rsidR="004045FE">
        <w:rPr>
          <w:rFonts w:ascii="Arial" w:hAnsi="Arial" w:cs="Arial"/>
          <w:color w:val="A6A6A6" w:themeColor="background1" w:themeShade="A6"/>
          <w:sz w:val="22"/>
          <w:szCs w:val="22"/>
          <w:lang w:val="en-GB"/>
        </w:rPr>
        <w:t xml:space="preserve">, and all securities </w:t>
      </w:r>
      <w:r w:rsidR="003F69A3">
        <w:rPr>
          <w:rFonts w:ascii="Arial" w:hAnsi="Arial" w:cs="Arial"/>
          <w:color w:val="A6A6A6" w:themeColor="background1" w:themeShade="A6"/>
          <w:sz w:val="22"/>
          <w:szCs w:val="22"/>
          <w:lang w:val="en-GB"/>
        </w:rPr>
        <w:t xml:space="preserve">can be </w:t>
      </w:r>
      <w:r w:rsidR="003F69A3">
        <w:rPr>
          <w:rFonts w:ascii="Arial" w:hAnsi="Arial" w:cs="Arial"/>
          <w:color w:val="A6A6A6" w:themeColor="background1" w:themeShade="A6"/>
          <w:sz w:val="22"/>
          <w:szCs w:val="22"/>
          <w:lang w:val="en-GB"/>
        </w:rPr>
        <w:lastRenderedPageBreak/>
        <w:t>challenged if they ware made within ten years prior to the request to open insolvency proceedings. No further subjective requirements apply, nor must the insolvency practitioner prove any other prerequisites.</w:t>
      </w:r>
    </w:p>
    <w:p w14:paraId="1B3CA84D" w14:textId="01114B26" w:rsidR="00982BC6" w:rsidRDefault="00982BC6" w:rsidP="00EE3F6B">
      <w:pPr>
        <w:pStyle w:val="Lijstalinea"/>
        <w:jc w:val="both"/>
        <w:rPr>
          <w:rFonts w:ascii="Arial" w:hAnsi="Arial" w:cs="Arial"/>
          <w:color w:val="A6A6A6" w:themeColor="background1" w:themeShade="A6"/>
          <w:sz w:val="22"/>
          <w:szCs w:val="22"/>
          <w:lang w:val="en-GB"/>
        </w:rPr>
      </w:pPr>
    </w:p>
    <w:p w14:paraId="0F7C94A0" w14:textId="49B7DB09" w:rsidR="00982BC6" w:rsidRDefault="00982BC6" w:rsidP="00EE3F6B">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The legal consequence of a successful contestation by the insolvency practitioner is that any assets of the debtor sold, transferred or relinquished under the challenged transaction must be returned to the insolvency estate</w:t>
      </w:r>
      <w:r w:rsidR="005D78A5">
        <w:rPr>
          <w:rFonts w:ascii="Arial" w:hAnsi="Arial" w:cs="Arial"/>
          <w:color w:val="A6A6A6" w:themeColor="background1" w:themeShade="A6"/>
          <w:sz w:val="22"/>
          <w:szCs w:val="22"/>
          <w:lang w:val="en-GB"/>
        </w:rPr>
        <w:t xml:space="preserve">, even if the third party has already relied on their disposition. According to §143(1) (sentence 1) </w:t>
      </w:r>
      <w:proofErr w:type="spellStart"/>
      <w:r w:rsidR="005D78A5">
        <w:rPr>
          <w:rFonts w:ascii="Arial" w:hAnsi="Arial" w:cs="Arial"/>
          <w:color w:val="A6A6A6" w:themeColor="background1" w:themeShade="A6"/>
          <w:sz w:val="22"/>
          <w:szCs w:val="22"/>
          <w:lang w:val="en-GB"/>
        </w:rPr>
        <w:t>InsO</w:t>
      </w:r>
      <w:proofErr w:type="spellEnd"/>
      <w:r w:rsidR="005D78A5">
        <w:rPr>
          <w:rFonts w:ascii="Arial" w:hAnsi="Arial" w:cs="Arial"/>
          <w:color w:val="A6A6A6" w:themeColor="background1" w:themeShade="A6"/>
          <w:sz w:val="22"/>
          <w:szCs w:val="22"/>
          <w:lang w:val="en-GB"/>
        </w:rPr>
        <w:t xml:space="preserve"> the claim for restitution becomes due when the insolvency proceedings are opened.</w:t>
      </w:r>
    </w:p>
    <w:p w14:paraId="05E485F8" w14:textId="2AF441FA" w:rsidR="00982BC6" w:rsidRDefault="00982BC6" w:rsidP="00EE3F6B">
      <w:pPr>
        <w:pStyle w:val="Lijstalinea"/>
        <w:jc w:val="both"/>
        <w:rPr>
          <w:rFonts w:ascii="Arial" w:hAnsi="Arial" w:cs="Arial"/>
          <w:color w:val="A6A6A6" w:themeColor="background1" w:themeShade="A6"/>
          <w:sz w:val="22"/>
          <w:szCs w:val="22"/>
          <w:lang w:val="en-GB"/>
        </w:rPr>
      </w:pPr>
    </w:p>
    <w:p w14:paraId="086D40DB" w14:textId="558210D0" w:rsidR="00D05CA4" w:rsidRPr="00D05CA4" w:rsidRDefault="00486CBE" w:rsidP="00486CBE">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It is </w:t>
      </w:r>
      <w:r w:rsidR="00982BC6">
        <w:rPr>
          <w:rFonts w:ascii="Arial" w:hAnsi="Arial" w:cs="Arial"/>
          <w:color w:val="A6A6A6" w:themeColor="background1" w:themeShade="A6"/>
          <w:sz w:val="22"/>
          <w:szCs w:val="22"/>
          <w:lang w:val="en-GB"/>
        </w:rPr>
        <w:t xml:space="preserve">also </w:t>
      </w:r>
      <w:r>
        <w:rPr>
          <w:rFonts w:ascii="Arial" w:hAnsi="Arial" w:cs="Arial"/>
          <w:color w:val="A6A6A6" w:themeColor="background1" w:themeShade="A6"/>
          <w:sz w:val="22"/>
          <w:szCs w:val="22"/>
          <w:lang w:val="en-GB"/>
        </w:rPr>
        <w:t xml:space="preserve">worth highlighting that for pre-insolvency restructuring, no provisions under the </w:t>
      </w:r>
      <w:proofErr w:type="spellStart"/>
      <w:r>
        <w:rPr>
          <w:rFonts w:ascii="Arial" w:hAnsi="Arial" w:cs="Arial"/>
          <w:color w:val="A6A6A6" w:themeColor="background1" w:themeShade="A6"/>
          <w:sz w:val="22"/>
          <w:szCs w:val="22"/>
          <w:lang w:val="en-GB"/>
        </w:rPr>
        <w:t>StaRUG</w:t>
      </w:r>
      <w:proofErr w:type="spellEnd"/>
      <w:r>
        <w:rPr>
          <w:rFonts w:ascii="Arial" w:hAnsi="Arial" w:cs="Arial"/>
          <w:color w:val="A6A6A6" w:themeColor="background1" w:themeShade="A6"/>
          <w:sz w:val="22"/>
          <w:szCs w:val="22"/>
          <w:lang w:val="en-GB"/>
        </w:rPr>
        <w:t xml:space="preserve"> relating to transactions avoidance exist. However, the </w:t>
      </w:r>
      <w:proofErr w:type="spellStart"/>
      <w:r>
        <w:rPr>
          <w:rFonts w:ascii="Arial" w:hAnsi="Arial" w:cs="Arial"/>
          <w:color w:val="A6A6A6" w:themeColor="background1" w:themeShade="A6"/>
          <w:sz w:val="22"/>
          <w:szCs w:val="22"/>
          <w:lang w:val="en-GB"/>
        </w:rPr>
        <w:t>StaRUG</w:t>
      </w:r>
      <w:proofErr w:type="spellEnd"/>
      <w:r>
        <w:rPr>
          <w:rFonts w:ascii="Arial" w:hAnsi="Arial" w:cs="Arial"/>
          <w:color w:val="A6A6A6" w:themeColor="background1" w:themeShade="A6"/>
          <w:sz w:val="22"/>
          <w:szCs w:val="22"/>
          <w:lang w:val="en-GB"/>
        </w:rPr>
        <w:t xml:space="preserve"> provides for protection of transactions contained in, or executing, a restructuring plan in subsequent insolvency proceedings.</w:t>
      </w:r>
    </w:p>
    <w:p w14:paraId="00130585" w14:textId="529A5CA6" w:rsidR="00780E21" w:rsidRPr="009F4558" w:rsidRDefault="00780E21" w:rsidP="003E4613">
      <w:pPr>
        <w:jc w:val="both"/>
        <w:rPr>
          <w:rFonts w:ascii="Arial" w:hAnsi="Arial" w:cs="Arial"/>
          <w:color w:val="000000"/>
          <w:sz w:val="22"/>
          <w:szCs w:val="22"/>
        </w:rPr>
      </w:pP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voorafopgemaakt"/>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voorafopgemaakt"/>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25DB55F" w14:textId="205FE0EE" w:rsidR="00D05CA4" w:rsidRDefault="00D05CA4" w:rsidP="00D05CA4">
      <w:pPr>
        <w:pStyle w:val="Lijstalinea"/>
        <w:ind w:left="0"/>
        <w:rPr>
          <w:rFonts w:ascii="Arial" w:hAnsi="Arial" w:cs="Arial"/>
          <w:color w:val="A6A6A6" w:themeColor="background1" w:themeShade="A6"/>
          <w:sz w:val="22"/>
          <w:szCs w:val="22"/>
          <w:lang w:val="en-GB"/>
        </w:rPr>
      </w:pPr>
      <w:bookmarkStart w:id="1" w:name="_Hlk17745211"/>
    </w:p>
    <w:p w14:paraId="1944D6E4" w14:textId="1D13041D" w:rsidR="0011570C" w:rsidRDefault="0011570C" w:rsidP="0074216A">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The assignment</w:t>
      </w:r>
      <w:r w:rsidR="0074216A">
        <w:rPr>
          <w:rFonts w:ascii="Arial" w:hAnsi="Arial" w:cs="Arial"/>
          <w:color w:val="A6A6A6" w:themeColor="background1" w:themeShade="A6"/>
          <w:sz w:val="22"/>
          <w:szCs w:val="22"/>
          <w:lang w:val="en-GB"/>
        </w:rPr>
        <w:t xml:space="preserve"> in January 2020</w:t>
      </w:r>
      <w:r>
        <w:rPr>
          <w:rFonts w:ascii="Arial" w:hAnsi="Arial" w:cs="Arial"/>
          <w:color w:val="A6A6A6" w:themeColor="background1" w:themeShade="A6"/>
          <w:sz w:val="22"/>
          <w:szCs w:val="22"/>
          <w:lang w:val="en-GB"/>
        </w:rPr>
        <w:t xml:space="preserve"> of a</w:t>
      </w:r>
      <w:r w:rsidR="0074216A">
        <w:rPr>
          <w:rFonts w:ascii="Arial" w:hAnsi="Arial" w:cs="Arial"/>
          <w:color w:val="A6A6A6" w:themeColor="background1" w:themeShade="A6"/>
          <w:sz w:val="22"/>
          <w:szCs w:val="22"/>
          <w:lang w:val="en-GB"/>
        </w:rPr>
        <w:t>ll D’s current and future receivables against her customers by way of security</w:t>
      </w:r>
      <w:r w:rsidR="003A00AB">
        <w:rPr>
          <w:rFonts w:ascii="Arial" w:hAnsi="Arial" w:cs="Arial"/>
          <w:color w:val="A6A6A6" w:themeColor="background1" w:themeShade="A6"/>
          <w:sz w:val="22"/>
          <w:szCs w:val="22"/>
          <w:lang w:val="en-GB"/>
        </w:rPr>
        <w:t xml:space="preserve"> (§§398 and 413 BGB)</w:t>
      </w:r>
      <w:r w:rsidR="0074216A">
        <w:rPr>
          <w:rFonts w:ascii="Arial" w:hAnsi="Arial" w:cs="Arial"/>
          <w:color w:val="A6A6A6" w:themeColor="background1" w:themeShade="A6"/>
          <w:sz w:val="22"/>
          <w:szCs w:val="22"/>
          <w:lang w:val="en-GB"/>
        </w:rPr>
        <w:t xml:space="preserve"> is a popular security right in Germany on intangibles (rights), and more in particular on claims.</w:t>
      </w:r>
      <w:r w:rsidR="003A00AB">
        <w:rPr>
          <w:rFonts w:ascii="Arial" w:hAnsi="Arial" w:cs="Arial"/>
          <w:color w:val="A6A6A6" w:themeColor="background1" w:themeShade="A6"/>
          <w:sz w:val="22"/>
          <w:szCs w:val="22"/>
          <w:lang w:val="en-GB"/>
        </w:rPr>
        <w:t xml:space="preserve"> Following the assignment, B acquire</w:t>
      </w:r>
      <w:r w:rsidR="00D7320C">
        <w:rPr>
          <w:rFonts w:ascii="Arial" w:hAnsi="Arial" w:cs="Arial"/>
          <w:color w:val="A6A6A6" w:themeColor="background1" w:themeShade="A6"/>
          <w:sz w:val="22"/>
          <w:szCs w:val="22"/>
          <w:lang w:val="en-GB"/>
        </w:rPr>
        <w:t>d</w:t>
      </w:r>
      <w:r w:rsidR="003A00AB">
        <w:rPr>
          <w:rFonts w:ascii="Arial" w:hAnsi="Arial" w:cs="Arial"/>
          <w:color w:val="A6A6A6" w:themeColor="background1" w:themeShade="A6"/>
          <w:sz w:val="22"/>
          <w:szCs w:val="22"/>
          <w:lang w:val="en-GB"/>
        </w:rPr>
        <w:t xml:space="preserve"> the ownership of the claim</w:t>
      </w:r>
      <w:r w:rsidR="00D7320C">
        <w:rPr>
          <w:rFonts w:ascii="Arial" w:hAnsi="Arial" w:cs="Arial"/>
          <w:color w:val="A6A6A6" w:themeColor="background1" w:themeShade="A6"/>
          <w:sz w:val="22"/>
          <w:szCs w:val="22"/>
          <w:lang w:val="en-GB"/>
        </w:rPr>
        <w:t>(s)</w:t>
      </w:r>
      <w:r w:rsidR="003A00AB">
        <w:rPr>
          <w:rFonts w:ascii="Arial" w:hAnsi="Arial" w:cs="Arial"/>
          <w:color w:val="A6A6A6" w:themeColor="background1" w:themeShade="A6"/>
          <w:sz w:val="22"/>
          <w:szCs w:val="22"/>
          <w:lang w:val="en-GB"/>
        </w:rPr>
        <w:t xml:space="preserve"> but is bound by the security agreement as a fiduciary. </w:t>
      </w:r>
      <w:r w:rsidR="007E7ABC">
        <w:rPr>
          <w:rFonts w:ascii="Arial" w:hAnsi="Arial" w:cs="Arial"/>
          <w:color w:val="A6A6A6" w:themeColor="background1" w:themeShade="A6"/>
          <w:sz w:val="22"/>
          <w:szCs w:val="22"/>
          <w:lang w:val="en-GB"/>
        </w:rPr>
        <w:t>Because of the so-called ‘separation principle’ under German Law, the</w:t>
      </w:r>
      <w:r w:rsidR="003A00AB">
        <w:rPr>
          <w:rFonts w:ascii="Arial" w:hAnsi="Arial" w:cs="Arial"/>
          <w:color w:val="A6A6A6" w:themeColor="background1" w:themeShade="A6"/>
          <w:sz w:val="22"/>
          <w:szCs w:val="22"/>
          <w:lang w:val="en-GB"/>
        </w:rPr>
        <w:t xml:space="preserve"> contractual agreement (loan) between B and D on creating the assignment as a matter of property law must be firmly distinguished from the underlying security agreement as a matter of the law of obligations.</w:t>
      </w:r>
    </w:p>
    <w:p w14:paraId="07171B05" w14:textId="1C7431A9" w:rsidR="007E7ABC" w:rsidRDefault="007E7ABC" w:rsidP="0074216A">
      <w:pPr>
        <w:pStyle w:val="Lijstalinea"/>
        <w:jc w:val="both"/>
        <w:rPr>
          <w:rFonts w:ascii="Arial" w:hAnsi="Arial" w:cs="Arial"/>
          <w:color w:val="A6A6A6" w:themeColor="background1" w:themeShade="A6"/>
          <w:sz w:val="22"/>
          <w:szCs w:val="22"/>
          <w:lang w:val="en-GB"/>
        </w:rPr>
      </w:pPr>
    </w:p>
    <w:p w14:paraId="23525380" w14:textId="77777777" w:rsidR="00302FB4" w:rsidRDefault="007E7ABC" w:rsidP="0074216A">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regards the future claims against D’s customers, such claims were not affected by the assignment before they were created </w:t>
      </w:r>
      <w:r w:rsidR="00D7320C">
        <w:rPr>
          <w:rFonts w:ascii="Arial" w:hAnsi="Arial" w:cs="Arial"/>
          <w:color w:val="A6A6A6" w:themeColor="background1" w:themeShade="A6"/>
          <w:sz w:val="22"/>
          <w:szCs w:val="22"/>
          <w:lang w:val="en-GB"/>
        </w:rPr>
        <w:t xml:space="preserve">as a security right cannot exist without a security object (collateral). </w:t>
      </w:r>
    </w:p>
    <w:p w14:paraId="268671E6" w14:textId="77777777" w:rsidR="00302FB4" w:rsidRDefault="00302FB4" w:rsidP="0074216A">
      <w:pPr>
        <w:pStyle w:val="Lijstalinea"/>
        <w:jc w:val="both"/>
        <w:rPr>
          <w:rFonts w:ascii="Arial" w:hAnsi="Arial" w:cs="Arial"/>
          <w:color w:val="A6A6A6" w:themeColor="background1" w:themeShade="A6"/>
          <w:sz w:val="22"/>
          <w:szCs w:val="22"/>
          <w:lang w:val="en-GB"/>
        </w:rPr>
      </w:pPr>
    </w:p>
    <w:p w14:paraId="442080D9" w14:textId="77777777" w:rsidR="00EA632A" w:rsidRDefault="00AB32E1" w:rsidP="00EA632A">
      <w:pPr>
        <w:pStyle w:val="Lijstalinea"/>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This primarily means </w:t>
      </w:r>
      <w:r w:rsidR="009479CF">
        <w:rPr>
          <w:rFonts w:ascii="Arial" w:hAnsi="Arial" w:cs="Arial"/>
          <w:color w:val="A6A6A6" w:themeColor="background1" w:themeShade="A6"/>
          <w:sz w:val="22"/>
          <w:szCs w:val="22"/>
          <w:lang w:val="en-GB"/>
        </w:rPr>
        <w:t>that such claims can</w:t>
      </w:r>
      <w:r w:rsidR="009479CF" w:rsidRPr="00E26199">
        <w:rPr>
          <w:rFonts w:ascii="Arial" w:hAnsi="Arial" w:cs="Arial"/>
          <w:color w:val="A6A6A6" w:themeColor="background1" w:themeShade="A6"/>
          <w:sz w:val="22"/>
          <w:szCs w:val="22"/>
          <w:lang w:val="en-GB"/>
        </w:rPr>
        <w:t xml:space="preserve"> be challenged</w:t>
      </w:r>
      <w:r w:rsidR="00302FB4">
        <w:rPr>
          <w:rFonts w:ascii="Arial" w:hAnsi="Arial" w:cs="Arial"/>
          <w:color w:val="A6A6A6" w:themeColor="background1" w:themeShade="A6"/>
          <w:sz w:val="22"/>
          <w:szCs w:val="22"/>
          <w:lang w:val="en-GB"/>
        </w:rPr>
        <w:t xml:space="preserve"> on the basis of §130 </w:t>
      </w:r>
      <w:proofErr w:type="spellStart"/>
      <w:r w:rsidR="00302FB4">
        <w:rPr>
          <w:rFonts w:ascii="Arial" w:hAnsi="Arial" w:cs="Arial"/>
          <w:color w:val="A6A6A6" w:themeColor="background1" w:themeShade="A6"/>
          <w:sz w:val="22"/>
          <w:szCs w:val="22"/>
          <w:lang w:val="en-GB"/>
        </w:rPr>
        <w:t>InsO</w:t>
      </w:r>
      <w:proofErr w:type="spellEnd"/>
      <w:r w:rsidR="009479CF" w:rsidRPr="00E26199">
        <w:rPr>
          <w:rFonts w:ascii="Arial" w:hAnsi="Arial" w:cs="Arial"/>
          <w:color w:val="A6A6A6" w:themeColor="background1" w:themeShade="A6"/>
          <w:sz w:val="22"/>
          <w:szCs w:val="22"/>
          <w:lang w:val="en-GB"/>
        </w:rPr>
        <w:t xml:space="preserve"> if they </w:t>
      </w:r>
      <w:r w:rsidR="009479CF">
        <w:rPr>
          <w:rFonts w:ascii="Arial" w:hAnsi="Arial" w:cs="Arial"/>
          <w:color w:val="A6A6A6" w:themeColor="background1" w:themeShade="A6"/>
          <w:sz w:val="22"/>
          <w:szCs w:val="22"/>
          <w:lang w:val="en-GB"/>
        </w:rPr>
        <w:t>a</w:t>
      </w:r>
      <w:r w:rsidR="009479CF" w:rsidRPr="00E26199">
        <w:rPr>
          <w:rFonts w:ascii="Arial" w:hAnsi="Arial" w:cs="Arial"/>
          <w:color w:val="A6A6A6" w:themeColor="background1" w:themeShade="A6"/>
          <w:sz w:val="22"/>
          <w:szCs w:val="22"/>
          <w:lang w:val="en-GB"/>
        </w:rPr>
        <w:t xml:space="preserve">re </w:t>
      </w:r>
      <w:r w:rsidR="00302FB4">
        <w:rPr>
          <w:rFonts w:ascii="Arial" w:hAnsi="Arial" w:cs="Arial"/>
          <w:color w:val="A6A6A6" w:themeColor="background1" w:themeShade="A6"/>
          <w:sz w:val="22"/>
          <w:szCs w:val="22"/>
          <w:lang w:val="en-GB"/>
        </w:rPr>
        <w:t>created</w:t>
      </w:r>
      <w:r w:rsidR="009479CF" w:rsidRPr="00E26199">
        <w:rPr>
          <w:rFonts w:ascii="Arial" w:hAnsi="Arial" w:cs="Arial"/>
          <w:color w:val="A6A6A6" w:themeColor="background1" w:themeShade="A6"/>
          <w:sz w:val="22"/>
          <w:szCs w:val="22"/>
          <w:lang w:val="en-GB"/>
        </w:rPr>
        <w:t xml:space="preserve"> within three months </w:t>
      </w:r>
      <w:r w:rsidR="009479CF">
        <w:rPr>
          <w:rFonts w:ascii="Arial" w:hAnsi="Arial" w:cs="Arial"/>
          <w:color w:val="A6A6A6" w:themeColor="background1" w:themeShade="A6"/>
          <w:sz w:val="22"/>
          <w:szCs w:val="22"/>
          <w:lang w:val="en-GB"/>
        </w:rPr>
        <w:t xml:space="preserve">prior to the request to open </w:t>
      </w:r>
      <w:r w:rsidR="009479CF" w:rsidRPr="00E26199">
        <w:rPr>
          <w:rFonts w:ascii="Arial" w:hAnsi="Arial" w:cs="Arial"/>
          <w:color w:val="A6A6A6" w:themeColor="background1" w:themeShade="A6"/>
          <w:sz w:val="22"/>
          <w:szCs w:val="22"/>
          <w:lang w:val="en-GB"/>
        </w:rPr>
        <w:t xml:space="preserve">insolvency proceedings, and if </w:t>
      </w:r>
      <w:r w:rsidR="00302FB4">
        <w:rPr>
          <w:rFonts w:ascii="Arial" w:hAnsi="Arial" w:cs="Arial"/>
          <w:color w:val="A6A6A6" w:themeColor="background1" w:themeShade="A6"/>
          <w:sz w:val="22"/>
          <w:szCs w:val="22"/>
          <w:lang w:val="en-GB"/>
        </w:rPr>
        <w:t>the debtor</w:t>
      </w:r>
      <w:r w:rsidR="009479CF" w:rsidRPr="00E26199">
        <w:rPr>
          <w:rFonts w:ascii="Arial" w:hAnsi="Arial" w:cs="Arial"/>
          <w:color w:val="A6A6A6" w:themeColor="background1" w:themeShade="A6"/>
          <w:sz w:val="22"/>
          <w:szCs w:val="22"/>
          <w:lang w:val="en-GB"/>
        </w:rPr>
        <w:t xml:space="preserve"> was already</w:t>
      </w:r>
      <w:r w:rsidR="009479CF">
        <w:rPr>
          <w:rFonts w:ascii="Arial" w:hAnsi="Arial" w:cs="Arial"/>
          <w:color w:val="A6A6A6" w:themeColor="background1" w:themeShade="A6"/>
          <w:sz w:val="22"/>
          <w:szCs w:val="22"/>
          <w:lang w:val="en-GB"/>
        </w:rPr>
        <w:t xml:space="preserve"> cash flow</w:t>
      </w:r>
      <w:r w:rsidR="009479CF" w:rsidRPr="00E26199">
        <w:rPr>
          <w:rFonts w:ascii="Arial" w:hAnsi="Arial" w:cs="Arial"/>
          <w:color w:val="A6A6A6" w:themeColor="background1" w:themeShade="A6"/>
          <w:sz w:val="22"/>
          <w:szCs w:val="22"/>
          <w:lang w:val="en-GB"/>
        </w:rPr>
        <w:t xml:space="preserve"> insolvent or</w:t>
      </w:r>
      <w:r w:rsidR="009479CF">
        <w:rPr>
          <w:rFonts w:ascii="Arial" w:hAnsi="Arial" w:cs="Arial"/>
          <w:color w:val="A6A6A6" w:themeColor="background1" w:themeShade="A6"/>
          <w:sz w:val="22"/>
          <w:szCs w:val="22"/>
          <w:lang w:val="en-GB"/>
        </w:rPr>
        <w:t xml:space="preserve"> </w:t>
      </w:r>
      <w:r w:rsidR="009479CF" w:rsidRPr="00620712">
        <w:rPr>
          <w:rFonts w:ascii="Arial" w:hAnsi="Arial" w:cs="Arial"/>
          <w:color w:val="A6A6A6" w:themeColor="background1" w:themeShade="A6"/>
          <w:sz w:val="22"/>
          <w:szCs w:val="22"/>
          <w:lang w:val="en-GB"/>
        </w:rPr>
        <w:t>illiquid at that time and the creditor was aware of that or knew of the illiquidity</w:t>
      </w:r>
      <w:r w:rsidR="00302FB4">
        <w:rPr>
          <w:rFonts w:ascii="Arial" w:hAnsi="Arial" w:cs="Arial"/>
          <w:color w:val="A6A6A6" w:themeColor="background1" w:themeShade="A6"/>
          <w:sz w:val="22"/>
          <w:szCs w:val="22"/>
          <w:lang w:val="en-GB"/>
        </w:rPr>
        <w:t xml:space="preserve">. </w:t>
      </w:r>
      <w:r w:rsidR="001D667B">
        <w:rPr>
          <w:rFonts w:ascii="Arial" w:hAnsi="Arial" w:cs="Arial"/>
          <w:i/>
          <w:iCs/>
          <w:color w:val="A6A6A6" w:themeColor="background1" w:themeShade="A6"/>
          <w:sz w:val="22"/>
          <w:szCs w:val="22"/>
          <w:lang w:val="en-GB"/>
        </w:rPr>
        <w:t>In</w:t>
      </w:r>
      <w:r w:rsidR="00302FB4">
        <w:rPr>
          <w:rFonts w:ascii="Arial" w:hAnsi="Arial" w:cs="Arial"/>
          <w:i/>
          <w:iCs/>
          <w:color w:val="A6A6A6" w:themeColor="background1" w:themeShade="A6"/>
          <w:sz w:val="22"/>
          <w:szCs w:val="22"/>
          <w:lang w:val="en-GB"/>
        </w:rPr>
        <w:t xml:space="preserve"> </w:t>
      </w:r>
      <w:proofErr w:type="spellStart"/>
      <w:r w:rsidR="00302FB4">
        <w:rPr>
          <w:rFonts w:ascii="Arial" w:hAnsi="Arial" w:cs="Arial"/>
          <w:i/>
          <w:iCs/>
          <w:color w:val="A6A6A6" w:themeColor="background1" w:themeShade="A6"/>
          <w:sz w:val="22"/>
          <w:szCs w:val="22"/>
          <w:lang w:val="en-GB"/>
        </w:rPr>
        <w:t>casu</w:t>
      </w:r>
      <w:proofErr w:type="spellEnd"/>
      <w:r w:rsidR="00302FB4">
        <w:rPr>
          <w:rFonts w:ascii="Arial" w:hAnsi="Arial" w:cs="Arial"/>
          <w:color w:val="A6A6A6" w:themeColor="background1" w:themeShade="A6"/>
          <w:sz w:val="22"/>
          <w:szCs w:val="22"/>
          <w:lang w:val="en-GB"/>
        </w:rPr>
        <w:t xml:space="preserve"> the claim against X was already created in June 2020 by concluding the service contract between D and X</w:t>
      </w:r>
      <w:r w:rsidR="001D667B">
        <w:rPr>
          <w:rFonts w:ascii="Arial" w:hAnsi="Arial" w:cs="Arial"/>
          <w:color w:val="A6A6A6" w:themeColor="background1" w:themeShade="A6"/>
          <w:sz w:val="22"/>
          <w:szCs w:val="22"/>
          <w:lang w:val="en-GB"/>
        </w:rPr>
        <w:t>, which is more than eighteen months prior to the request to open insolvency proceedings.</w:t>
      </w:r>
      <w:r w:rsidR="00302FB4">
        <w:rPr>
          <w:rFonts w:ascii="Arial" w:hAnsi="Arial" w:cs="Arial"/>
          <w:color w:val="A6A6A6" w:themeColor="background1" w:themeShade="A6"/>
          <w:sz w:val="22"/>
          <w:szCs w:val="22"/>
          <w:lang w:val="en-GB"/>
        </w:rPr>
        <w:t xml:space="preserve"> </w:t>
      </w:r>
      <w:r w:rsidR="001D667B">
        <w:rPr>
          <w:rFonts w:ascii="Arial" w:hAnsi="Arial" w:cs="Arial"/>
          <w:color w:val="A6A6A6" w:themeColor="background1" w:themeShade="A6"/>
          <w:sz w:val="22"/>
          <w:szCs w:val="22"/>
          <w:lang w:val="en-GB"/>
        </w:rPr>
        <w:t xml:space="preserve">D was also not yet cash flow insolvent (i.e., unable to pay the debts when they fall due) at the time of creation of the claim, but </w:t>
      </w:r>
      <w:r w:rsidR="00E93122">
        <w:rPr>
          <w:rFonts w:ascii="Arial" w:hAnsi="Arial" w:cs="Arial"/>
          <w:color w:val="A6A6A6" w:themeColor="background1" w:themeShade="A6"/>
          <w:sz w:val="22"/>
          <w:szCs w:val="22"/>
          <w:lang w:val="en-GB"/>
        </w:rPr>
        <w:t xml:space="preserve">this only happened later in May 2021. This claim thus cannot be successfully contested by IA under §130 </w:t>
      </w:r>
      <w:proofErr w:type="spellStart"/>
      <w:r w:rsidR="00E93122">
        <w:rPr>
          <w:rFonts w:ascii="Arial" w:hAnsi="Arial" w:cs="Arial"/>
          <w:color w:val="A6A6A6" w:themeColor="background1" w:themeShade="A6"/>
          <w:sz w:val="22"/>
          <w:szCs w:val="22"/>
          <w:lang w:val="en-GB"/>
        </w:rPr>
        <w:t>InsO</w:t>
      </w:r>
      <w:proofErr w:type="spellEnd"/>
      <w:r w:rsidR="00E93122">
        <w:rPr>
          <w:rFonts w:ascii="Arial" w:hAnsi="Arial" w:cs="Arial"/>
          <w:color w:val="A6A6A6" w:themeColor="background1" w:themeShade="A6"/>
          <w:sz w:val="22"/>
          <w:szCs w:val="22"/>
          <w:lang w:val="en-GB"/>
        </w:rPr>
        <w:t xml:space="preserve">. Based upon the factual elements of the case there are also </w:t>
      </w:r>
      <w:r w:rsidR="00E93122">
        <w:rPr>
          <w:rFonts w:ascii="Arial" w:hAnsi="Arial" w:cs="Arial"/>
          <w:color w:val="A6A6A6" w:themeColor="background1" w:themeShade="A6"/>
          <w:sz w:val="22"/>
          <w:szCs w:val="22"/>
          <w:lang w:val="en-GB"/>
        </w:rPr>
        <w:lastRenderedPageBreak/>
        <w:t xml:space="preserve">no indications that IA would be able to do so </w:t>
      </w:r>
      <w:r>
        <w:rPr>
          <w:rFonts w:ascii="Arial" w:hAnsi="Arial" w:cs="Arial"/>
          <w:color w:val="A6A6A6" w:themeColor="background1" w:themeShade="A6"/>
          <w:sz w:val="22"/>
          <w:szCs w:val="22"/>
          <w:lang w:val="en-GB"/>
        </w:rPr>
        <w:t>on other avoidance grounds.</w:t>
      </w:r>
      <w:r w:rsidR="00F32B48">
        <w:rPr>
          <w:rFonts w:ascii="Arial" w:hAnsi="Arial" w:cs="Arial"/>
          <w:color w:val="A6A6A6" w:themeColor="background1" w:themeShade="A6"/>
          <w:sz w:val="22"/>
          <w:szCs w:val="22"/>
          <w:lang w:val="en-GB"/>
        </w:rPr>
        <w:t xml:space="preserve"> Moreover, </w:t>
      </w:r>
      <w:r w:rsidR="00A127FF">
        <w:rPr>
          <w:rFonts w:ascii="Arial" w:hAnsi="Arial" w:cs="Arial"/>
          <w:color w:val="A6A6A6" w:themeColor="background1" w:themeShade="A6"/>
          <w:sz w:val="22"/>
          <w:szCs w:val="22"/>
          <w:lang w:val="en-GB"/>
        </w:rPr>
        <w:t>it is difficult to see how</w:t>
      </w:r>
      <w:r w:rsidR="00F32B48">
        <w:rPr>
          <w:rFonts w:ascii="Arial" w:hAnsi="Arial" w:cs="Arial"/>
          <w:color w:val="A6A6A6" w:themeColor="background1" w:themeShade="A6"/>
          <w:sz w:val="22"/>
          <w:szCs w:val="22"/>
          <w:lang w:val="en-GB"/>
        </w:rPr>
        <w:t xml:space="preserve"> the mere realisation of the security right in favour of B would be voidable under the provisions of transactions avoidance </w:t>
      </w:r>
      <w:r w:rsidR="00A127FF">
        <w:rPr>
          <w:rFonts w:ascii="Arial" w:hAnsi="Arial" w:cs="Arial"/>
          <w:color w:val="A6A6A6" w:themeColor="background1" w:themeShade="A6"/>
          <w:sz w:val="22"/>
          <w:szCs w:val="22"/>
          <w:lang w:val="en-GB"/>
        </w:rPr>
        <w:t xml:space="preserve">since </w:t>
      </w:r>
      <w:r w:rsidR="00EA632A">
        <w:rPr>
          <w:rFonts w:ascii="Arial" w:hAnsi="Arial" w:cs="Arial"/>
          <w:color w:val="A6A6A6" w:themeColor="background1" w:themeShade="A6"/>
          <w:sz w:val="22"/>
          <w:szCs w:val="22"/>
          <w:lang w:val="en-GB"/>
        </w:rPr>
        <w:t xml:space="preserve">there is no reason why it would </w:t>
      </w:r>
      <w:r w:rsidR="00A127FF">
        <w:rPr>
          <w:rFonts w:ascii="Arial" w:hAnsi="Arial" w:cs="Arial"/>
          <w:color w:val="A6A6A6" w:themeColor="background1" w:themeShade="A6"/>
          <w:sz w:val="22"/>
          <w:szCs w:val="22"/>
          <w:lang w:val="en-GB"/>
        </w:rPr>
        <w:t>place the general body of D’s creditors at a disadvantage.</w:t>
      </w:r>
    </w:p>
    <w:p w14:paraId="30CB72FB" w14:textId="77777777" w:rsidR="00EA632A" w:rsidRDefault="00EA632A" w:rsidP="00EA632A">
      <w:pPr>
        <w:pStyle w:val="Lijstalinea"/>
        <w:ind w:left="1080"/>
        <w:jc w:val="both"/>
        <w:rPr>
          <w:rFonts w:ascii="Arial" w:hAnsi="Arial" w:cs="Arial"/>
          <w:color w:val="A6A6A6" w:themeColor="background1" w:themeShade="A6"/>
          <w:sz w:val="22"/>
          <w:szCs w:val="22"/>
          <w:lang w:val="en-GB"/>
        </w:rPr>
      </w:pPr>
    </w:p>
    <w:p w14:paraId="0B036B97" w14:textId="2DFBD29C" w:rsidR="00AB32E1" w:rsidRPr="00EA632A" w:rsidRDefault="00AB32E1" w:rsidP="00EA632A">
      <w:pPr>
        <w:pStyle w:val="Lijstalinea"/>
        <w:numPr>
          <w:ilvl w:val="0"/>
          <w:numId w:val="33"/>
        </w:numPr>
        <w:jc w:val="both"/>
        <w:rPr>
          <w:rFonts w:ascii="Arial" w:hAnsi="Arial" w:cs="Arial"/>
          <w:color w:val="A6A6A6" w:themeColor="background1" w:themeShade="A6"/>
          <w:sz w:val="22"/>
          <w:szCs w:val="22"/>
          <w:lang w:val="en-GB"/>
        </w:rPr>
      </w:pPr>
      <w:r w:rsidRPr="00EA632A">
        <w:rPr>
          <w:rFonts w:ascii="Arial" w:hAnsi="Arial" w:cs="Arial"/>
          <w:color w:val="A6A6A6" w:themeColor="background1" w:themeShade="A6"/>
          <w:sz w:val="22"/>
          <w:szCs w:val="22"/>
          <w:lang w:val="en-GB"/>
        </w:rPr>
        <w:t xml:space="preserve">This also means that claims created after the opening of the insolvency proceedings are not covered by the security right at all, since it comes into existence after the opening of the insolvency proceedings and </w:t>
      </w:r>
      <w:r w:rsidR="00305C1F" w:rsidRPr="00EA632A">
        <w:rPr>
          <w:rFonts w:ascii="Arial" w:hAnsi="Arial" w:cs="Arial"/>
          <w:color w:val="A6A6A6" w:themeColor="background1" w:themeShade="A6"/>
          <w:sz w:val="22"/>
          <w:szCs w:val="22"/>
          <w:lang w:val="en-GB"/>
        </w:rPr>
        <w:t xml:space="preserve">pursuant to §91 </w:t>
      </w:r>
      <w:proofErr w:type="spellStart"/>
      <w:r w:rsidR="00305C1F" w:rsidRPr="00EA632A">
        <w:rPr>
          <w:rFonts w:ascii="Arial" w:hAnsi="Arial" w:cs="Arial"/>
          <w:color w:val="A6A6A6" w:themeColor="background1" w:themeShade="A6"/>
          <w:sz w:val="22"/>
          <w:szCs w:val="22"/>
          <w:lang w:val="en-GB"/>
        </w:rPr>
        <w:t>InsO</w:t>
      </w:r>
      <w:proofErr w:type="spellEnd"/>
      <w:r w:rsidR="00305C1F" w:rsidRPr="00EA632A">
        <w:rPr>
          <w:rFonts w:ascii="Arial" w:hAnsi="Arial" w:cs="Arial"/>
          <w:color w:val="A6A6A6" w:themeColor="background1" w:themeShade="A6"/>
          <w:sz w:val="22"/>
          <w:szCs w:val="22"/>
          <w:lang w:val="en-GB"/>
        </w:rPr>
        <w:t xml:space="preserve">, after </w:t>
      </w:r>
      <w:r w:rsidR="008A2B04" w:rsidRPr="00EA632A">
        <w:rPr>
          <w:rFonts w:ascii="Arial" w:hAnsi="Arial" w:cs="Arial"/>
          <w:color w:val="A6A6A6" w:themeColor="background1" w:themeShade="A6"/>
          <w:sz w:val="22"/>
          <w:szCs w:val="22"/>
          <w:lang w:val="en-GB"/>
        </w:rPr>
        <w:t>the opening</w:t>
      </w:r>
      <w:r w:rsidR="00305C1F" w:rsidRPr="00EA632A">
        <w:rPr>
          <w:rFonts w:ascii="Arial" w:hAnsi="Arial" w:cs="Arial"/>
          <w:color w:val="A6A6A6" w:themeColor="background1" w:themeShade="A6"/>
          <w:sz w:val="22"/>
          <w:szCs w:val="22"/>
          <w:lang w:val="en-GB"/>
        </w:rPr>
        <w:t xml:space="preserve"> of insolvency proceedings, rights in the assets of the insolvency estate cannot be acquired with legal effect even if such acquisition is not based on a transfer by the debtor or compulsory enforcement on behalf of an insolvency creditor.</w:t>
      </w:r>
      <w:r w:rsidR="00ED07DA" w:rsidRPr="00EA632A">
        <w:rPr>
          <w:rFonts w:ascii="Arial" w:hAnsi="Arial" w:cs="Arial"/>
          <w:color w:val="A6A6A6" w:themeColor="background1" w:themeShade="A6"/>
          <w:sz w:val="22"/>
          <w:szCs w:val="22"/>
          <w:lang w:val="en-GB"/>
        </w:rPr>
        <w:t xml:space="preserve"> </w:t>
      </w:r>
      <w:r w:rsidR="00ED07DA" w:rsidRPr="00EA632A">
        <w:rPr>
          <w:rFonts w:ascii="Arial" w:hAnsi="Arial" w:cs="Arial"/>
          <w:i/>
          <w:iCs/>
          <w:color w:val="A6A6A6" w:themeColor="background1" w:themeShade="A6"/>
          <w:sz w:val="22"/>
          <w:szCs w:val="22"/>
          <w:lang w:val="en-GB"/>
        </w:rPr>
        <w:t xml:space="preserve">In </w:t>
      </w:r>
      <w:proofErr w:type="spellStart"/>
      <w:r w:rsidR="00ED07DA" w:rsidRPr="00EA632A">
        <w:rPr>
          <w:rFonts w:ascii="Arial" w:hAnsi="Arial" w:cs="Arial"/>
          <w:i/>
          <w:iCs/>
          <w:color w:val="A6A6A6" w:themeColor="background1" w:themeShade="A6"/>
          <w:sz w:val="22"/>
          <w:szCs w:val="22"/>
          <w:lang w:val="en-GB"/>
        </w:rPr>
        <w:t>casu</w:t>
      </w:r>
      <w:proofErr w:type="spellEnd"/>
      <w:r w:rsidR="00ED07DA" w:rsidRPr="00EA632A">
        <w:rPr>
          <w:rFonts w:ascii="Arial" w:hAnsi="Arial" w:cs="Arial"/>
          <w:color w:val="A6A6A6" w:themeColor="background1" w:themeShade="A6"/>
          <w:sz w:val="22"/>
          <w:szCs w:val="22"/>
          <w:lang w:val="en-GB"/>
        </w:rPr>
        <w:t xml:space="preserve"> the claim against Z was created on 20 July 2021 by concluding the contract between IA and Z, which is after the opening of the insolvency proceedings on 3 July 2021. </w:t>
      </w:r>
      <w:r w:rsidR="00B46931" w:rsidRPr="00EA632A">
        <w:rPr>
          <w:rFonts w:ascii="Arial" w:hAnsi="Arial" w:cs="Arial"/>
          <w:color w:val="A6A6A6" w:themeColor="background1" w:themeShade="A6"/>
          <w:sz w:val="22"/>
          <w:szCs w:val="22"/>
          <w:lang w:val="en-GB"/>
        </w:rPr>
        <w:t xml:space="preserve">This claim is thus not covered by B’s security right since it only came into existence after the opening of the insolvency proceedings and §91 </w:t>
      </w:r>
      <w:proofErr w:type="spellStart"/>
      <w:r w:rsidR="00B46931" w:rsidRPr="00EA632A">
        <w:rPr>
          <w:rFonts w:ascii="Arial" w:hAnsi="Arial" w:cs="Arial"/>
          <w:color w:val="A6A6A6" w:themeColor="background1" w:themeShade="A6"/>
          <w:sz w:val="22"/>
          <w:szCs w:val="22"/>
          <w:lang w:val="en-GB"/>
        </w:rPr>
        <w:t>InsO</w:t>
      </w:r>
      <w:proofErr w:type="spellEnd"/>
      <w:r w:rsidR="00B46931" w:rsidRPr="00EA632A">
        <w:rPr>
          <w:rFonts w:ascii="Arial" w:hAnsi="Arial" w:cs="Arial"/>
          <w:color w:val="A6A6A6" w:themeColor="background1" w:themeShade="A6"/>
          <w:sz w:val="22"/>
          <w:szCs w:val="22"/>
          <w:lang w:val="en-GB"/>
        </w:rPr>
        <w:t xml:space="preserve"> does not allow for improvement of B’s position (as creditor) after the opening of the proceedings.</w:t>
      </w:r>
    </w:p>
    <w:p w14:paraId="0A1DD3A1" w14:textId="354C8D79" w:rsidR="00B46931" w:rsidRDefault="00B46931" w:rsidP="00305C1F">
      <w:pPr>
        <w:pStyle w:val="Lijstalinea"/>
        <w:jc w:val="both"/>
        <w:rPr>
          <w:rFonts w:ascii="Arial" w:hAnsi="Arial" w:cs="Arial"/>
          <w:color w:val="A6A6A6" w:themeColor="background1" w:themeShade="A6"/>
          <w:sz w:val="22"/>
          <w:szCs w:val="22"/>
          <w:lang w:val="en-GB"/>
        </w:rPr>
      </w:pPr>
    </w:p>
    <w:p w14:paraId="3F4C10B7" w14:textId="7F78961E" w:rsidR="00576278" w:rsidRPr="00576278" w:rsidRDefault="00B46931" w:rsidP="00305C1F">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Given the above, B will likely have a claim against IA but only for the amount of 11,900 EUR (</w:t>
      </w:r>
      <w:r w:rsidR="00B07E62">
        <w:rPr>
          <w:rFonts w:ascii="Arial" w:hAnsi="Arial" w:cs="Arial"/>
          <w:color w:val="A6A6A6" w:themeColor="background1" w:themeShade="A6"/>
          <w:sz w:val="22"/>
          <w:szCs w:val="22"/>
          <w:lang w:val="en-GB"/>
        </w:rPr>
        <w:t xml:space="preserve">being the first claim stemming from the service contract between D and X). </w:t>
      </w:r>
      <w:r w:rsidR="00576278">
        <w:rPr>
          <w:rFonts w:ascii="Arial" w:hAnsi="Arial" w:cs="Arial"/>
          <w:color w:val="A6A6A6" w:themeColor="background1" w:themeShade="A6"/>
          <w:sz w:val="22"/>
          <w:szCs w:val="22"/>
          <w:lang w:val="en-GB"/>
        </w:rPr>
        <w:t>After all, B’s security right also provides for a so-called right to separate satisfaction</w:t>
      </w:r>
      <w:r w:rsidR="001D3609">
        <w:rPr>
          <w:rFonts w:ascii="Arial" w:hAnsi="Arial" w:cs="Arial"/>
          <w:color w:val="A6A6A6" w:themeColor="background1" w:themeShade="A6"/>
          <w:sz w:val="22"/>
          <w:szCs w:val="22"/>
          <w:lang w:val="en-GB"/>
        </w:rPr>
        <w:t xml:space="preserve"> (see §§49-51 </w:t>
      </w:r>
      <w:proofErr w:type="spellStart"/>
      <w:r w:rsidR="001D3609">
        <w:rPr>
          <w:rFonts w:ascii="Arial" w:hAnsi="Arial" w:cs="Arial"/>
          <w:color w:val="A6A6A6" w:themeColor="background1" w:themeShade="A6"/>
          <w:sz w:val="22"/>
          <w:szCs w:val="22"/>
          <w:lang w:val="en-GB"/>
        </w:rPr>
        <w:t>InsO</w:t>
      </w:r>
      <w:proofErr w:type="spellEnd"/>
      <w:r w:rsidR="001D3609">
        <w:rPr>
          <w:rFonts w:ascii="Arial" w:hAnsi="Arial" w:cs="Arial"/>
          <w:color w:val="A6A6A6" w:themeColor="background1" w:themeShade="A6"/>
          <w:sz w:val="22"/>
          <w:szCs w:val="22"/>
          <w:lang w:val="en-GB"/>
        </w:rPr>
        <w:t>)</w:t>
      </w:r>
      <w:r w:rsidR="00576278">
        <w:rPr>
          <w:rFonts w:ascii="Arial" w:hAnsi="Arial" w:cs="Arial"/>
          <w:color w:val="A6A6A6" w:themeColor="background1" w:themeShade="A6"/>
          <w:sz w:val="22"/>
          <w:szCs w:val="22"/>
          <w:lang w:val="en-GB"/>
        </w:rPr>
        <w:t xml:space="preserve">, which </w:t>
      </w:r>
      <w:r w:rsidR="00576278">
        <w:rPr>
          <w:rFonts w:ascii="Arial" w:hAnsi="Arial" w:cs="Arial"/>
          <w:i/>
          <w:iCs/>
          <w:color w:val="A6A6A6" w:themeColor="background1" w:themeShade="A6"/>
          <w:sz w:val="22"/>
          <w:szCs w:val="22"/>
          <w:lang w:val="en-GB"/>
        </w:rPr>
        <w:t>inter alia</w:t>
      </w:r>
      <w:r w:rsidR="00576278">
        <w:rPr>
          <w:rFonts w:ascii="Arial" w:hAnsi="Arial" w:cs="Arial"/>
          <w:color w:val="A6A6A6" w:themeColor="background1" w:themeShade="A6"/>
          <w:sz w:val="22"/>
          <w:szCs w:val="22"/>
          <w:lang w:val="en-GB"/>
        </w:rPr>
        <w:t xml:space="preserve"> means that </w:t>
      </w:r>
      <w:r w:rsidR="001D3609">
        <w:rPr>
          <w:rFonts w:ascii="Arial" w:hAnsi="Arial" w:cs="Arial"/>
          <w:color w:val="A6A6A6" w:themeColor="background1" w:themeShade="A6"/>
          <w:sz w:val="22"/>
          <w:szCs w:val="22"/>
          <w:lang w:val="en-GB"/>
        </w:rPr>
        <w:t xml:space="preserve">B is granted the right to demand preferential satisfaction up to the amount of B’s secured claim out of the receivables of D’s underlying claim against X </w:t>
      </w:r>
      <w:r w:rsidR="00405271">
        <w:rPr>
          <w:rFonts w:ascii="Arial" w:hAnsi="Arial" w:cs="Arial"/>
          <w:color w:val="A6A6A6" w:themeColor="background1" w:themeShade="A6"/>
          <w:sz w:val="22"/>
          <w:szCs w:val="22"/>
          <w:lang w:val="en-GB"/>
        </w:rPr>
        <w:t xml:space="preserve">in the context </w:t>
      </w:r>
      <w:r w:rsidR="00EA632A">
        <w:rPr>
          <w:rFonts w:ascii="Arial" w:hAnsi="Arial" w:cs="Arial"/>
          <w:color w:val="A6A6A6" w:themeColor="background1" w:themeShade="A6"/>
          <w:sz w:val="22"/>
          <w:szCs w:val="22"/>
          <w:lang w:val="en-GB"/>
        </w:rPr>
        <w:t>of</w:t>
      </w:r>
      <w:r w:rsidR="001D3609">
        <w:rPr>
          <w:rFonts w:ascii="Arial" w:hAnsi="Arial" w:cs="Arial"/>
          <w:color w:val="A6A6A6" w:themeColor="background1" w:themeShade="A6"/>
          <w:sz w:val="22"/>
          <w:szCs w:val="22"/>
          <w:lang w:val="en-GB"/>
        </w:rPr>
        <w:t xml:space="preserve"> the service contract between D and X.</w:t>
      </w:r>
    </w:p>
    <w:p w14:paraId="3DB858AF" w14:textId="77777777" w:rsidR="00576278" w:rsidRDefault="00576278" w:rsidP="00305C1F">
      <w:pPr>
        <w:pStyle w:val="Lijstalinea"/>
        <w:jc w:val="both"/>
        <w:rPr>
          <w:rFonts w:ascii="Arial" w:hAnsi="Arial" w:cs="Arial"/>
          <w:color w:val="A6A6A6" w:themeColor="background1" w:themeShade="A6"/>
          <w:sz w:val="22"/>
          <w:szCs w:val="22"/>
          <w:lang w:val="en-GB"/>
        </w:rPr>
      </w:pPr>
    </w:p>
    <w:p w14:paraId="54DC2775" w14:textId="0AC0A970" w:rsidR="00B46931" w:rsidRPr="00ED07DA" w:rsidRDefault="00B07E62" w:rsidP="00305C1F">
      <w:pPr>
        <w:pStyle w:val="Lijstalinea"/>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B will </w:t>
      </w:r>
      <w:r w:rsidR="00405271">
        <w:rPr>
          <w:rFonts w:ascii="Arial" w:hAnsi="Arial" w:cs="Arial"/>
          <w:color w:val="A6A6A6" w:themeColor="background1" w:themeShade="A6"/>
          <w:sz w:val="22"/>
          <w:szCs w:val="22"/>
          <w:lang w:val="en-GB"/>
        </w:rPr>
        <w:t xml:space="preserve">however </w:t>
      </w:r>
      <w:r>
        <w:rPr>
          <w:rFonts w:ascii="Arial" w:hAnsi="Arial" w:cs="Arial"/>
          <w:color w:val="A6A6A6" w:themeColor="background1" w:themeShade="A6"/>
          <w:sz w:val="22"/>
          <w:szCs w:val="22"/>
          <w:lang w:val="en-GB"/>
        </w:rPr>
        <w:t>not have a claim against IA for the other amount of 11,900 EUR (being the second claim stemming from the contract that was concluded between IA and Z) since those receivables were created after the opening of the insolvency proceedings and are thus not covered by B’s security right</w:t>
      </w:r>
      <w:r w:rsidR="00CD0D4E">
        <w:rPr>
          <w:rFonts w:ascii="Arial" w:hAnsi="Arial" w:cs="Arial"/>
          <w:color w:val="A6A6A6" w:themeColor="background1" w:themeShade="A6"/>
          <w:sz w:val="22"/>
          <w:szCs w:val="22"/>
          <w:lang w:val="en-GB"/>
        </w:rPr>
        <w:t xml:space="preserve"> (and no such right seems to have been created by IA in favour of B)</w:t>
      </w:r>
      <w:r>
        <w:rPr>
          <w:rFonts w:ascii="Arial" w:hAnsi="Arial" w:cs="Arial"/>
          <w:color w:val="A6A6A6" w:themeColor="background1" w:themeShade="A6"/>
          <w:sz w:val="22"/>
          <w:szCs w:val="22"/>
          <w:lang w:val="en-GB"/>
        </w:rPr>
        <w:t>.</w:t>
      </w:r>
    </w:p>
    <w:bookmarkEnd w:id="1"/>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BF35" w14:textId="77777777" w:rsidR="009B6317" w:rsidRDefault="009B6317" w:rsidP="00241B44">
      <w:r>
        <w:separator/>
      </w:r>
    </w:p>
  </w:endnote>
  <w:endnote w:type="continuationSeparator" w:id="0">
    <w:p w14:paraId="4F36C432" w14:textId="77777777" w:rsidR="009B6317" w:rsidRDefault="009B63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b/>
      </w:rPr>
      <w:id w:val="-758512077"/>
      <w:docPartObj>
        <w:docPartGallery w:val="Page Numbers (Bottom of Page)"/>
        <w:docPartUnique/>
      </w:docPartObj>
    </w:sdtPr>
    <w:sdtEndPr>
      <w:rPr>
        <w:rStyle w:val="Paginanummer"/>
        <w:b w:val="0"/>
        <w:sz w:val="22"/>
        <w:szCs w:val="22"/>
      </w:rPr>
    </w:sdtEndPr>
    <w:sdtContent>
      <w:p w14:paraId="77CF398F" w14:textId="77777777" w:rsidR="002124BE" w:rsidRPr="00FC7B47" w:rsidRDefault="002124BE" w:rsidP="009B4976">
        <w:pPr>
          <w:pStyle w:val="Voettekst"/>
          <w:framePr w:wrap="none" w:vAnchor="text" w:hAnchor="margin" w:xAlign="right" w:y="1"/>
          <w:rPr>
            <w:rStyle w:val="Paginanummer"/>
            <w:rFonts w:ascii="Arial" w:hAnsi="Arial" w:cs="Arial"/>
            <w:sz w:val="22"/>
            <w:szCs w:val="22"/>
          </w:rPr>
        </w:pPr>
        <w:r w:rsidRPr="00697EA1">
          <w:rPr>
            <w:rStyle w:val="Paginanummer"/>
            <w:rFonts w:ascii="Arial" w:hAnsi="Arial" w:cs="Arial"/>
            <w:b/>
          </w:rPr>
          <w:t xml:space="preserve">Page </w:t>
        </w:r>
        <w:r w:rsidRPr="00697EA1">
          <w:rPr>
            <w:rStyle w:val="Paginanummer"/>
            <w:rFonts w:ascii="Arial" w:hAnsi="Arial" w:cs="Arial"/>
            <w:b/>
            <w:sz w:val="22"/>
            <w:szCs w:val="22"/>
          </w:rPr>
          <w:fldChar w:fldCharType="begin"/>
        </w:r>
        <w:r w:rsidRPr="00697EA1">
          <w:rPr>
            <w:rStyle w:val="Paginanummer"/>
            <w:rFonts w:ascii="Arial" w:hAnsi="Arial" w:cs="Arial"/>
            <w:b/>
            <w:sz w:val="22"/>
            <w:szCs w:val="22"/>
          </w:rPr>
          <w:instrText xml:space="preserve"> PAGE </w:instrText>
        </w:r>
        <w:r w:rsidRPr="00697EA1">
          <w:rPr>
            <w:rStyle w:val="Paginanummer"/>
            <w:rFonts w:ascii="Arial" w:hAnsi="Arial" w:cs="Arial"/>
            <w:b/>
            <w:sz w:val="22"/>
            <w:szCs w:val="22"/>
          </w:rPr>
          <w:fldChar w:fldCharType="separate"/>
        </w:r>
        <w:r>
          <w:rPr>
            <w:rStyle w:val="Paginanummer"/>
            <w:rFonts w:ascii="Arial" w:hAnsi="Arial" w:cs="Arial"/>
            <w:b/>
            <w:noProof/>
            <w:sz w:val="22"/>
            <w:szCs w:val="22"/>
          </w:rPr>
          <w:t>10</w:t>
        </w:r>
        <w:r w:rsidRPr="00697EA1">
          <w:rPr>
            <w:rStyle w:val="Paginanummer"/>
            <w:rFonts w:ascii="Arial" w:hAnsi="Arial" w:cs="Arial"/>
            <w:b/>
            <w:sz w:val="22"/>
            <w:szCs w:val="22"/>
          </w:rPr>
          <w:fldChar w:fldCharType="end"/>
        </w:r>
      </w:p>
    </w:sdtContent>
  </w:sdt>
  <w:p w14:paraId="63E0258C" w14:textId="77777777" w:rsidR="002124BE" w:rsidRPr="00FC7B47" w:rsidRDefault="002124BE" w:rsidP="00FC7B47">
    <w:pPr>
      <w:pStyle w:val="Voettekst"/>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b/>
        <w:bCs/>
        <w:sz w:val="22"/>
        <w:szCs w:val="22"/>
      </w:rPr>
      <w:id w:val="-1409602822"/>
      <w:docPartObj>
        <w:docPartGallery w:val="Page Numbers (Bottom of Page)"/>
        <w:docPartUnique/>
      </w:docPartObj>
    </w:sdtPr>
    <w:sdtEndPr>
      <w:rPr>
        <w:rStyle w:val="Paginanummer"/>
        <w:b w:val="0"/>
        <w:bCs w:val="0"/>
      </w:rPr>
    </w:sdtEndPr>
    <w:sdtContent>
      <w:p w14:paraId="00AD0DDF" w14:textId="3A24CE89" w:rsidR="002124BE" w:rsidRPr="00902A28" w:rsidRDefault="002124BE" w:rsidP="00672963">
        <w:pPr>
          <w:pStyle w:val="Voettekst"/>
          <w:framePr w:wrap="none" w:vAnchor="text" w:hAnchor="margin" w:xAlign="right" w:y="1"/>
          <w:rPr>
            <w:rStyle w:val="Paginanummer"/>
            <w:rFonts w:ascii="Arial" w:hAnsi="Arial" w:cs="Arial"/>
            <w:sz w:val="22"/>
            <w:szCs w:val="22"/>
          </w:rPr>
        </w:pPr>
        <w:r w:rsidRPr="00902A28">
          <w:rPr>
            <w:rStyle w:val="Paginanummer"/>
            <w:rFonts w:ascii="Arial" w:hAnsi="Arial" w:cs="Arial"/>
            <w:b/>
            <w:bCs/>
            <w:sz w:val="22"/>
            <w:szCs w:val="22"/>
          </w:rPr>
          <w:t xml:space="preserve">Page </w:t>
        </w:r>
        <w:r w:rsidRPr="00902A28">
          <w:rPr>
            <w:rStyle w:val="Paginanummer"/>
            <w:rFonts w:ascii="Arial" w:hAnsi="Arial" w:cs="Arial"/>
            <w:b/>
            <w:bCs/>
            <w:sz w:val="22"/>
            <w:szCs w:val="22"/>
          </w:rPr>
          <w:fldChar w:fldCharType="begin"/>
        </w:r>
        <w:r w:rsidRPr="00902A28">
          <w:rPr>
            <w:rStyle w:val="Paginanummer"/>
            <w:rFonts w:ascii="Arial" w:hAnsi="Arial" w:cs="Arial"/>
            <w:b/>
            <w:bCs/>
            <w:sz w:val="22"/>
            <w:szCs w:val="22"/>
          </w:rPr>
          <w:instrText xml:space="preserve"> PAGE </w:instrText>
        </w:r>
        <w:r w:rsidRPr="00902A28">
          <w:rPr>
            <w:rStyle w:val="Paginanummer"/>
            <w:rFonts w:ascii="Arial" w:hAnsi="Arial" w:cs="Arial"/>
            <w:b/>
            <w:bCs/>
            <w:sz w:val="22"/>
            <w:szCs w:val="22"/>
          </w:rPr>
          <w:fldChar w:fldCharType="separate"/>
        </w:r>
        <w:r w:rsidR="0037467B" w:rsidRPr="00902A28">
          <w:rPr>
            <w:rStyle w:val="Paginanummer"/>
            <w:rFonts w:ascii="Arial" w:hAnsi="Arial" w:cs="Arial"/>
            <w:b/>
            <w:bCs/>
            <w:noProof/>
            <w:sz w:val="22"/>
            <w:szCs w:val="22"/>
          </w:rPr>
          <w:t>7</w:t>
        </w:r>
        <w:r w:rsidRPr="00902A28">
          <w:rPr>
            <w:rStyle w:val="Paginanummer"/>
            <w:rFonts w:ascii="Arial" w:hAnsi="Arial" w:cs="Arial"/>
            <w:b/>
            <w:bCs/>
            <w:sz w:val="22"/>
            <w:szCs w:val="22"/>
          </w:rPr>
          <w:fldChar w:fldCharType="end"/>
        </w:r>
      </w:p>
    </w:sdtContent>
  </w:sdt>
  <w:p w14:paraId="5AC08553" w14:textId="0B3EA616" w:rsidR="00BC2C6F" w:rsidRPr="00902A28" w:rsidRDefault="003961DA" w:rsidP="009B4976">
    <w:pPr>
      <w:pStyle w:val="Voettekst"/>
      <w:ind w:right="360"/>
      <w:rPr>
        <w:rFonts w:ascii="Arial" w:hAnsi="Arial" w:cs="Arial"/>
        <w:sz w:val="22"/>
        <w:szCs w:val="22"/>
        <w:lang w:val="en-GB"/>
      </w:rPr>
    </w:pPr>
    <w:r w:rsidRPr="003961DA">
      <w:rPr>
        <w:rFonts w:ascii="Arial" w:hAnsi="Arial" w:cs="Arial"/>
        <w:sz w:val="22"/>
        <w:szCs w:val="22"/>
        <w:lang w:val="en-GB"/>
      </w:rPr>
      <w:t>202021IFU-370</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C74A" w14:textId="77777777" w:rsidR="009B6317" w:rsidRDefault="009B6317" w:rsidP="00241B44">
      <w:r>
        <w:separator/>
      </w:r>
    </w:p>
  </w:footnote>
  <w:footnote w:type="continuationSeparator" w:id="0">
    <w:p w14:paraId="2B744373" w14:textId="77777777" w:rsidR="009B6317" w:rsidRDefault="009B631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Voettekst"/>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248D6"/>
    <w:multiLevelType w:val="hybridMultilevel"/>
    <w:tmpl w:val="68784404"/>
    <w:lvl w:ilvl="0" w:tplc="EAF0B82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137949">
    <w:abstractNumId w:val="17"/>
  </w:num>
  <w:num w:numId="2" w16cid:durableId="1833175968">
    <w:abstractNumId w:val="9"/>
  </w:num>
  <w:num w:numId="3" w16cid:durableId="703946982">
    <w:abstractNumId w:val="28"/>
  </w:num>
  <w:num w:numId="4" w16cid:durableId="1203634915">
    <w:abstractNumId w:val="25"/>
  </w:num>
  <w:num w:numId="5" w16cid:durableId="2026973603">
    <w:abstractNumId w:val="19"/>
  </w:num>
  <w:num w:numId="6" w16cid:durableId="1030304578">
    <w:abstractNumId w:val="15"/>
  </w:num>
  <w:num w:numId="7" w16cid:durableId="525752206">
    <w:abstractNumId w:val="4"/>
  </w:num>
  <w:num w:numId="8" w16cid:durableId="1444619068">
    <w:abstractNumId w:val="14"/>
  </w:num>
  <w:num w:numId="9" w16cid:durableId="509687063">
    <w:abstractNumId w:val="13"/>
  </w:num>
  <w:num w:numId="10" w16cid:durableId="1342778423">
    <w:abstractNumId w:val="29"/>
  </w:num>
  <w:num w:numId="11" w16cid:durableId="1335692769">
    <w:abstractNumId w:val="2"/>
  </w:num>
  <w:num w:numId="12" w16cid:durableId="1116366835">
    <w:abstractNumId w:val="20"/>
  </w:num>
  <w:num w:numId="13" w16cid:durableId="1418332141">
    <w:abstractNumId w:val="23"/>
  </w:num>
  <w:num w:numId="14" w16cid:durableId="2006127339">
    <w:abstractNumId w:val="3"/>
  </w:num>
  <w:num w:numId="15" w16cid:durableId="1110930001">
    <w:abstractNumId w:val="16"/>
  </w:num>
  <w:num w:numId="16" w16cid:durableId="671178475">
    <w:abstractNumId w:val="11"/>
  </w:num>
  <w:num w:numId="17" w16cid:durableId="2092001810">
    <w:abstractNumId w:val="31"/>
  </w:num>
  <w:num w:numId="18" w16cid:durableId="469633102">
    <w:abstractNumId w:val="24"/>
  </w:num>
  <w:num w:numId="19" w16cid:durableId="843974608">
    <w:abstractNumId w:val="32"/>
  </w:num>
  <w:num w:numId="20" w16cid:durableId="1528256136">
    <w:abstractNumId w:val="6"/>
  </w:num>
  <w:num w:numId="21" w16cid:durableId="416901830">
    <w:abstractNumId w:val="0"/>
  </w:num>
  <w:num w:numId="22" w16cid:durableId="1317420798">
    <w:abstractNumId w:val="8"/>
  </w:num>
  <w:num w:numId="23" w16cid:durableId="1815565086">
    <w:abstractNumId w:val="5"/>
  </w:num>
  <w:num w:numId="24" w16cid:durableId="648174393">
    <w:abstractNumId w:val="22"/>
  </w:num>
  <w:num w:numId="25" w16cid:durableId="1401248056">
    <w:abstractNumId w:val="1"/>
  </w:num>
  <w:num w:numId="26" w16cid:durableId="268313737">
    <w:abstractNumId w:val="12"/>
  </w:num>
  <w:num w:numId="27" w16cid:durableId="1195340305">
    <w:abstractNumId w:val="10"/>
  </w:num>
  <w:num w:numId="28" w16cid:durableId="869223037">
    <w:abstractNumId w:val="30"/>
  </w:num>
  <w:num w:numId="29" w16cid:durableId="1411538467">
    <w:abstractNumId w:val="27"/>
  </w:num>
  <w:num w:numId="30" w16cid:durableId="99954420">
    <w:abstractNumId w:val="18"/>
  </w:num>
  <w:num w:numId="31" w16cid:durableId="886068405">
    <w:abstractNumId w:val="26"/>
  </w:num>
  <w:num w:numId="32" w16cid:durableId="1728870475">
    <w:abstractNumId w:val="7"/>
  </w:num>
  <w:num w:numId="33" w16cid:durableId="14974568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0330"/>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46823"/>
    <w:rsid w:val="000500C6"/>
    <w:rsid w:val="000502FD"/>
    <w:rsid w:val="00055386"/>
    <w:rsid w:val="00063E4B"/>
    <w:rsid w:val="00063E77"/>
    <w:rsid w:val="00065166"/>
    <w:rsid w:val="00070B9F"/>
    <w:rsid w:val="0007123B"/>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07E2"/>
    <w:rsid w:val="00101319"/>
    <w:rsid w:val="00101707"/>
    <w:rsid w:val="00102CC9"/>
    <w:rsid w:val="0010593A"/>
    <w:rsid w:val="0011473D"/>
    <w:rsid w:val="0011570C"/>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674C9"/>
    <w:rsid w:val="001766E9"/>
    <w:rsid w:val="00176A52"/>
    <w:rsid w:val="001776C0"/>
    <w:rsid w:val="00177B71"/>
    <w:rsid w:val="00180548"/>
    <w:rsid w:val="00180AC4"/>
    <w:rsid w:val="00180CCE"/>
    <w:rsid w:val="001821C7"/>
    <w:rsid w:val="0018267A"/>
    <w:rsid w:val="00182779"/>
    <w:rsid w:val="00182B4C"/>
    <w:rsid w:val="001830DF"/>
    <w:rsid w:val="00187133"/>
    <w:rsid w:val="00187220"/>
    <w:rsid w:val="00192C84"/>
    <w:rsid w:val="00193129"/>
    <w:rsid w:val="001966D9"/>
    <w:rsid w:val="0019703F"/>
    <w:rsid w:val="001A007A"/>
    <w:rsid w:val="001A3CEE"/>
    <w:rsid w:val="001A7E9A"/>
    <w:rsid w:val="001B0F70"/>
    <w:rsid w:val="001B45E6"/>
    <w:rsid w:val="001B5016"/>
    <w:rsid w:val="001B5BFA"/>
    <w:rsid w:val="001C45FC"/>
    <w:rsid w:val="001C5B2D"/>
    <w:rsid w:val="001C78D0"/>
    <w:rsid w:val="001D0469"/>
    <w:rsid w:val="001D1A71"/>
    <w:rsid w:val="001D29C0"/>
    <w:rsid w:val="001D3609"/>
    <w:rsid w:val="001D4862"/>
    <w:rsid w:val="001D667B"/>
    <w:rsid w:val="001E20AF"/>
    <w:rsid w:val="001E25B9"/>
    <w:rsid w:val="001E49E0"/>
    <w:rsid w:val="001E5E29"/>
    <w:rsid w:val="001E7B5A"/>
    <w:rsid w:val="001F0ECC"/>
    <w:rsid w:val="001F356D"/>
    <w:rsid w:val="001F7412"/>
    <w:rsid w:val="0020090A"/>
    <w:rsid w:val="00202DFE"/>
    <w:rsid w:val="00206156"/>
    <w:rsid w:val="0020725B"/>
    <w:rsid w:val="002110F1"/>
    <w:rsid w:val="002124BE"/>
    <w:rsid w:val="002129C5"/>
    <w:rsid w:val="00214F37"/>
    <w:rsid w:val="00216DA8"/>
    <w:rsid w:val="00216F66"/>
    <w:rsid w:val="00222AF0"/>
    <w:rsid w:val="002231AA"/>
    <w:rsid w:val="00224F71"/>
    <w:rsid w:val="00233B9E"/>
    <w:rsid w:val="002356EA"/>
    <w:rsid w:val="0024116D"/>
    <w:rsid w:val="00241785"/>
    <w:rsid w:val="00241B44"/>
    <w:rsid w:val="00241FA3"/>
    <w:rsid w:val="00244AE8"/>
    <w:rsid w:val="00245EFB"/>
    <w:rsid w:val="002470AD"/>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87812"/>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4399"/>
    <w:rsid w:val="002F75A3"/>
    <w:rsid w:val="00302FB4"/>
    <w:rsid w:val="00303C2F"/>
    <w:rsid w:val="00305C1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1DA"/>
    <w:rsid w:val="00396821"/>
    <w:rsid w:val="00397D3A"/>
    <w:rsid w:val="003A00AB"/>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3E6D32"/>
    <w:rsid w:val="003F69A3"/>
    <w:rsid w:val="003F6DA2"/>
    <w:rsid w:val="00404329"/>
    <w:rsid w:val="004045FE"/>
    <w:rsid w:val="00405271"/>
    <w:rsid w:val="00405DC1"/>
    <w:rsid w:val="0041544A"/>
    <w:rsid w:val="00415F1F"/>
    <w:rsid w:val="0042108F"/>
    <w:rsid w:val="00425DE3"/>
    <w:rsid w:val="0042667D"/>
    <w:rsid w:val="00426A16"/>
    <w:rsid w:val="00430FED"/>
    <w:rsid w:val="0043344A"/>
    <w:rsid w:val="0043494E"/>
    <w:rsid w:val="00434A8C"/>
    <w:rsid w:val="00436E76"/>
    <w:rsid w:val="00437297"/>
    <w:rsid w:val="00444284"/>
    <w:rsid w:val="00445499"/>
    <w:rsid w:val="00445CE6"/>
    <w:rsid w:val="00452F71"/>
    <w:rsid w:val="004534C2"/>
    <w:rsid w:val="0045354B"/>
    <w:rsid w:val="0045446F"/>
    <w:rsid w:val="0045683E"/>
    <w:rsid w:val="004610E6"/>
    <w:rsid w:val="0046178A"/>
    <w:rsid w:val="00463981"/>
    <w:rsid w:val="004702E6"/>
    <w:rsid w:val="00470DBC"/>
    <w:rsid w:val="00477C72"/>
    <w:rsid w:val="0048499F"/>
    <w:rsid w:val="00486CBE"/>
    <w:rsid w:val="00491675"/>
    <w:rsid w:val="00493855"/>
    <w:rsid w:val="00495E79"/>
    <w:rsid w:val="004A2D83"/>
    <w:rsid w:val="004A40BD"/>
    <w:rsid w:val="004A57DD"/>
    <w:rsid w:val="004A6AA7"/>
    <w:rsid w:val="004A7773"/>
    <w:rsid w:val="004A7B51"/>
    <w:rsid w:val="004A7D71"/>
    <w:rsid w:val="004A7EF3"/>
    <w:rsid w:val="004B11FD"/>
    <w:rsid w:val="004B14C9"/>
    <w:rsid w:val="004B23A2"/>
    <w:rsid w:val="004B3A9C"/>
    <w:rsid w:val="004B4AB4"/>
    <w:rsid w:val="004B4ED7"/>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01D4"/>
    <w:rsid w:val="00504120"/>
    <w:rsid w:val="00506DF7"/>
    <w:rsid w:val="00515102"/>
    <w:rsid w:val="00515BFA"/>
    <w:rsid w:val="00515D64"/>
    <w:rsid w:val="005176E2"/>
    <w:rsid w:val="005177FE"/>
    <w:rsid w:val="0052016A"/>
    <w:rsid w:val="00520ADB"/>
    <w:rsid w:val="0052263B"/>
    <w:rsid w:val="00524728"/>
    <w:rsid w:val="00526A9C"/>
    <w:rsid w:val="00530111"/>
    <w:rsid w:val="005323A0"/>
    <w:rsid w:val="00532BD6"/>
    <w:rsid w:val="005331CA"/>
    <w:rsid w:val="00537934"/>
    <w:rsid w:val="00537970"/>
    <w:rsid w:val="00540E3A"/>
    <w:rsid w:val="005413B5"/>
    <w:rsid w:val="00542C8D"/>
    <w:rsid w:val="00544127"/>
    <w:rsid w:val="005456F8"/>
    <w:rsid w:val="005457EE"/>
    <w:rsid w:val="00545969"/>
    <w:rsid w:val="005463A9"/>
    <w:rsid w:val="00546695"/>
    <w:rsid w:val="00553EB2"/>
    <w:rsid w:val="00555123"/>
    <w:rsid w:val="00560534"/>
    <w:rsid w:val="005631C0"/>
    <w:rsid w:val="0056391B"/>
    <w:rsid w:val="00563D1C"/>
    <w:rsid w:val="005650E2"/>
    <w:rsid w:val="00566FCB"/>
    <w:rsid w:val="00567AD7"/>
    <w:rsid w:val="00570602"/>
    <w:rsid w:val="005733DE"/>
    <w:rsid w:val="00575B2D"/>
    <w:rsid w:val="00576278"/>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C6810"/>
    <w:rsid w:val="005D11CB"/>
    <w:rsid w:val="005D16DD"/>
    <w:rsid w:val="005D1FA5"/>
    <w:rsid w:val="005D43E0"/>
    <w:rsid w:val="005D4E0F"/>
    <w:rsid w:val="005D58A3"/>
    <w:rsid w:val="005D78A5"/>
    <w:rsid w:val="005E1B79"/>
    <w:rsid w:val="005E2F42"/>
    <w:rsid w:val="005E6076"/>
    <w:rsid w:val="005E7008"/>
    <w:rsid w:val="005F010D"/>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0712"/>
    <w:rsid w:val="00621466"/>
    <w:rsid w:val="00621A17"/>
    <w:rsid w:val="00622222"/>
    <w:rsid w:val="00627CC9"/>
    <w:rsid w:val="00627E7B"/>
    <w:rsid w:val="00630542"/>
    <w:rsid w:val="00632E44"/>
    <w:rsid w:val="00634622"/>
    <w:rsid w:val="00636808"/>
    <w:rsid w:val="00636DD2"/>
    <w:rsid w:val="00641515"/>
    <w:rsid w:val="0064414B"/>
    <w:rsid w:val="00644AAF"/>
    <w:rsid w:val="006456CD"/>
    <w:rsid w:val="006518A3"/>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2B61"/>
    <w:rsid w:val="006959C6"/>
    <w:rsid w:val="00697EA1"/>
    <w:rsid w:val="006A2646"/>
    <w:rsid w:val="006A5C59"/>
    <w:rsid w:val="006A5E5E"/>
    <w:rsid w:val="006A6530"/>
    <w:rsid w:val="006B0912"/>
    <w:rsid w:val="006B3ABE"/>
    <w:rsid w:val="006B42ED"/>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34FB4"/>
    <w:rsid w:val="00740DAD"/>
    <w:rsid w:val="0074216A"/>
    <w:rsid w:val="00746D42"/>
    <w:rsid w:val="00746EED"/>
    <w:rsid w:val="007603F5"/>
    <w:rsid w:val="007622E8"/>
    <w:rsid w:val="00763D39"/>
    <w:rsid w:val="00764DB0"/>
    <w:rsid w:val="0076764D"/>
    <w:rsid w:val="00767CF5"/>
    <w:rsid w:val="007743BA"/>
    <w:rsid w:val="0077498C"/>
    <w:rsid w:val="007809BC"/>
    <w:rsid w:val="00780E21"/>
    <w:rsid w:val="00782D1B"/>
    <w:rsid w:val="00784128"/>
    <w:rsid w:val="00784156"/>
    <w:rsid w:val="00784814"/>
    <w:rsid w:val="00787BCC"/>
    <w:rsid w:val="007905A5"/>
    <w:rsid w:val="00793173"/>
    <w:rsid w:val="00797096"/>
    <w:rsid w:val="007976A3"/>
    <w:rsid w:val="007A067D"/>
    <w:rsid w:val="007A12FF"/>
    <w:rsid w:val="007A2A33"/>
    <w:rsid w:val="007A3213"/>
    <w:rsid w:val="007A61EA"/>
    <w:rsid w:val="007B4FC6"/>
    <w:rsid w:val="007B5C89"/>
    <w:rsid w:val="007C0AED"/>
    <w:rsid w:val="007C1FCC"/>
    <w:rsid w:val="007C28EF"/>
    <w:rsid w:val="007C4B9E"/>
    <w:rsid w:val="007C6201"/>
    <w:rsid w:val="007D1E9F"/>
    <w:rsid w:val="007D7536"/>
    <w:rsid w:val="007D7C92"/>
    <w:rsid w:val="007E065A"/>
    <w:rsid w:val="007E1154"/>
    <w:rsid w:val="007E6BA4"/>
    <w:rsid w:val="007E73D3"/>
    <w:rsid w:val="007E7A91"/>
    <w:rsid w:val="007E7ABC"/>
    <w:rsid w:val="007F41F8"/>
    <w:rsid w:val="007F659B"/>
    <w:rsid w:val="007F7102"/>
    <w:rsid w:val="0080454E"/>
    <w:rsid w:val="00804B7F"/>
    <w:rsid w:val="00804C32"/>
    <w:rsid w:val="00806302"/>
    <w:rsid w:val="0080700E"/>
    <w:rsid w:val="00807119"/>
    <w:rsid w:val="008075D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93C7D"/>
    <w:rsid w:val="008A2B04"/>
    <w:rsid w:val="008A2BFB"/>
    <w:rsid w:val="008A4DF2"/>
    <w:rsid w:val="008A4EC7"/>
    <w:rsid w:val="008A6CFE"/>
    <w:rsid w:val="008B5333"/>
    <w:rsid w:val="008B5508"/>
    <w:rsid w:val="008B6223"/>
    <w:rsid w:val="008B7AE5"/>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909"/>
    <w:rsid w:val="00937B1F"/>
    <w:rsid w:val="0094077F"/>
    <w:rsid w:val="009418C9"/>
    <w:rsid w:val="00942123"/>
    <w:rsid w:val="00943E7F"/>
    <w:rsid w:val="009479CF"/>
    <w:rsid w:val="00950565"/>
    <w:rsid w:val="0095207B"/>
    <w:rsid w:val="00961EA2"/>
    <w:rsid w:val="00962045"/>
    <w:rsid w:val="009668D7"/>
    <w:rsid w:val="00966B3D"/>
    <w:rsid w:val="009741AC"/>
    <w:rsid w:val="00976666"/>
    <w:rsid w:val="00980E61"/>
    <w:rsid w:val="00982BC6"/>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B6317"/>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558"/>
    <w:rsid w:val="009F4E80"/>
    <w:rsid w:val="00A03D04"/>
    <w:rsid w:val="00A047EE"/>
    <w:rsid w:val="00A053F2"/>
    <w:rsid w:val="00A127FF"/>
    <w:rsid w:val="00A13D68"/>
    <w:rsid w:val="00A2274A"/>
    <w:rsid w:val="00A235B7"/>
    <w:rsid w:val="00A27A7A"/>
    <w:rsid w:val="00A31326"/>
    <w:rsid w:val="00A34ABE"/>
    <w:rsid w:val="00A35DA4"/>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67FE4"/>
    <w:rsid w:val="00A71019"/>
    <w:rsid w:val="00A778C5"/>
    <w:rsid w:val="00A77D9B"/>
    <w:rsid w:val="00A81029"/>
    <w:rsid w:val="00A845F5"/>
    <w:rsid w:val="00A86AD9"/>
    <w:rsid w:val="00A91902"/>
    <w:rsid w:val="00A96489"/>
    <w:rsid w:val="00AA3A3E"/>
    <w:rsid w:val="00AA6CFB"/>
    <w:rsid w:val="00AB0BD2"/>
    <w:rsid w:val="00AB2425"/>
    <w:rsid w:val="00AB32E1"/>
    <w:rsid w:val="00AB3A98"/>
    <w:rsid w:val="00AB3F42"/>
    <w:rsid w:val="00AB619E"/>
    <w:rsid w:val="00AB685C"/>
    <w:rsid w:val="00AB6C2D"/>
    <w:rsid w:val="00AC08F7"/>
    <w:rsid w:val="00AC1E03"/>
    <w:rsid w:val="00AC2EDA"/>
    <w:rsid w:val="00AC3839"/>
    <w:rsid w:val="00AC7082"/>
    <w:rsid w:val="00AD4BE8"/>
    <w:rsid w:val="00AD62C1"/>
    <w:rsid w:val="00AD70B6"/>
    <w:rsid w:val="00AE5655"/>
    <w:rsid w:val="00AF228E"/>
    <w:rsid w:val="00B016A8"/>
    <w:rsid w:val="00B0396F"/>
    <w:rsid w:val="00B04214"/>
    <w:rsid w:val="00B07E62"/>
    <w:rsid w:val="00B14819"/>
    <w:rsid w:val="00B14F53"/>
    <w:rsid w:val="00B15D67"/>
    <w:rsid w:val="00B15E2F"/>
    <w:rsid w:val="00B17860"/>
    <w:rsid w:val="00B17AA9"/>
    <w:rsid w:val="00B22A6B"/>
    <w:rsid w:val="00B23BAE"/>
    <w:rsid w:val="00B23E79"/>
    <w:rsid w:val="00B24847"/>
    <w:rsid w:val="00B2796B"/>
    <w:rsid w:val="00B27980"/>
    <w:rsid w:val="00B30912"/>
    <w:rsid w:val="00B31FA9"/>
    <w:rsid w:val="00B37CE7"/>
    <w:rsid w:val="00B44713"/>
    <w:rsid w:val="00B46931"/>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07C1"/>
    <w:rsid w:val="00C02F29"/>
    <w:rsid w:val="00C02F34"/>
    <w:rsid w:val="00C10750"/>
    <w:rsid w:val="00C128B8"/>
    <w:rsid w:val="00C17718"/>
    <w:rsid w:val="00C20AFE"/>
    <w:rsid w:val="00C22A25"/>
    <w:rsid w:val="00C230DF"/>
    <w:rsid w:val="00C23DD8"/>
    <w:rsid w:val="00C248C8"/>
    <w:rsid w:val="00C2611D"/>
    <w:rsid w:val="00C26A56"/>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3F12"/>
    <w:rsid w:val="00C550C8"/>
    <w:rsid w:val="00C55824"/>
    <w:rsid w:val="00C56B61"/>
    <w:rsid w:val="00C606C3"/>
    <w:rsid w:val="00C6184F"/>
    <w:rsid w:val="00C620F4"/>
    <w:rsid w:val="00C64EC5"/>
    <w:rsid w:val="00C65319"/>
    <w:rsid w:val="00C66D35"/>
    <w:rsid w:val="00C72848"/>
    <w:rsid w:val="00C7736C"/>
    <w:rsid w:val="00C82693"/>
    <w:rsid w:val="00C82D87"/>
    <w:rsid w:val="00C833E3"/>
    <w:rsid w:val="00C838DE"/>
    <w:rsid w:val="00C83A0E"/>
    <w:rsid w:val="00C8559C"/>
    <w:rsid w:val="00C86F1B"/>
    <w:rsid w:val="00C8712A"/>
    <w:rsid w:val="00C902C8"/>
    <w:rsid w:val="00C919D1"/>
    <w:rsid w:val="00C959C5"/>
    <w:rsid w:val="00C963D3"/>
    <w:rsid w:val="00CA379A"/>
    <w:rsid w:val="00CA4BC5"/>
    <w:rsid w:val="00CA5CD9"/>
    <w:rsid w:val="00CB04C5"/>
    <w:rsid w:val="00CB1983"/>
    <w:rsid w:val="00CB1DFF"/>
    <w:rsid w:val="00CB2CBB"/>
    <w:rsid w:val="00CB7CAC"/>
    <w:rsid w:val="00CC030F"/>
    <w:rsid w:val="00CC0C58"/>
    <w:rsid w:val="00CC28C5"/>
    <w:rsid w:val="00CC2CB6"/>
    <w:rsid w:val="00CC34BB"/>
    <w:rsid w:val="00CC3CDD"/>
    <w:rsid w:val="00CC5335"/>
    <w:rsid w:val="00CC572F"/>
    <w:rsid w:val="00CC5BA4"/>
    <w:rsid w:val="00CD0D4E"/>
    <w:rsid w:val="00CD4998"/>
    <w:rsid w:val="00CD5117"/>
    <w:rsid w:val="00CD5BAC"/>
    <w:rsid w:val="00CD69A3"/>
    <w:rsid w:val="00CE08B5"/>
    <w:rsid w:val="00CE1035"/>
    <w:rsid w:val="00CE4D69"/>
    <w:rsid w:val="00CE51E2"/>
    <w:rsid w:val="00CE5EDA"/>
    <w:rsid w:val="00CE6593"/>
    <w:rsid w:val="00CE6E50"/>
    <w:rsid w:val="00CF2819"/>
    <w:rsid w:val="00CF4F9D"/>
    <w:rsid w:val="00CF5CEE"/>
    <w:rsid w:val="00CF70DC"/>
    <w:rsid w:val="00CF7D8F"/>
    <w:rsid w:val="00D05110"/>
    <w:rsid w:val="00D05CA4"/>
    <w:rsid w:val="00D07F71"/>
    <w:rsid w:val="00D148DC"/>
    <w:rsid w:val="00D17384"/>
    <w:rsid w:val="00D17FDC"/>
    <w:rsid w:val="00D21D8C"/>
    <w:rsid w:val="00D40287"/>
    <w:rsid w:val="00D4049B"/>
    <w:rsid w:val="00D41063"/>
    <w:rsid w:val="00D42F29"/>
    <w:rsid w:val="00D452F4"/>
    <w:rsid w:val="00D4592B"/>
    <w:rsid w:val="00D47C64"/>
    <w:rsid w:val="00D503DF"/>
    <w:rsid w:val="00D50B7E"/>
    <w:rsid w:val="00D50D3B"/>
    <w:rsid w:val="00D51214"/>
    <w:rsid w:val="00D53719"/>
    <w:rsid w:val="00D539BA"/>
    <w:rsid w:val="00D54343"/>
    <w:rsid w:val="00D56534"/>
    <w:rsid w:val="00D63EFD"/>
    <w:rsid w:val="00D67D46"/>
    <w:rsid w:val="00D71A34"/>
    <w:rsid w:val="00D72992"/>
    <w:rsid w:val="00D7320C"/>
    <w:rsid w:val="00D824F9"/>
    <w:rsid w:val="00D84752"/>
    <w:rsid w:val="00D85892"/>
    <w:rsid w:val="00D86B3B"/>
    <w:rsid w:val="00D8748A"/>
    <w:rsid w:val="00D92CBE"/>
    <w:rsid w:val="00D93196"/>
    <w:rsid w:val="00D9383B"/>
    <w:rsid w:val="00D97773"/>
    <w:rsid w:val="00D97F98"/>
    <w:rsid w:val="00DA0708"/>
    <w:rsid w:val="00DA0DC0"/>
    <w:rsid w:val="00DA1EAE"/>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5965"/>
    <w:rsid w:val="00DE64A5"/>
    <w:rsid w:val="00DE6633"/>
    <w:rsid w:val="00DF75F8"/>
    <w:rsid w:val="00DF7A3A"/>
    <w:rsid w:val="00E00C00"/>
    <w:rsid w:val="00E05217"/>
    <w:rsid w:val="00E0751E"/>
    <w:rsid w:val="00E07C5A"/>
    <w:rsid w:val="00E15BA9"/>
    <w:rsid w:val="00E21401"/>
    <w:rsid w:val="00E26192"/>
    <w:rsid w:val="00E26199"/>
    <w:rsid w:val="00E26E19"/>
    <w:rsid w:val="00E31DF3"/>
    <w:rsid w:val="00E3480F"/>
    <w:rsid w:val="00E349CE"/>
    <w:rsid w:val="00E407CE"/>
    <w:rsid w:val="00E43A56"/>
    <w:rsid w:val="00E4487E"/>
    <w:rsid w:val="00E44B9C"/>
    <w:rsid w:val="00E450A4"/>
    <w:rsid w:val="00E4595D"/>
    <w:rsid w:val="00E506BE"/>
    <w:rsid w:val="00E52B46"/>
    <w:rsid w:val="00E53223"/>
    <w:rsid w:val="00E55547"/>
    <w:rsid w:val="00E6302B"/>
    <w:rsid w:val="00E6452F"/>
    <w:rsid w:val="00E64F45"/>
    <w:rsid w:val="00E6742D"/>
    <w:rsid w:val="00E676A0"/>
    <w:rsid w:val="00E71CB0"/>
    <w:rsid w:val="00E7733D"/>
    <w:rsid w:val="00E77C3D"/>
    <w:rsid w:val="00E83419"/>
    <w:rsid w:val="00E86A87"/>
    <w:rsid w:val="00E87D2C"/>
    <w:rsid w:val="00E90991"/>
    <w:rsid w:val="00E909F0"/>
    <w:rsid w:val="00E90D47"/>
    <w:rsid w:val="00E917E4"/>
    <w:rsid w:val="00E9214C"/>
    <w:rsid w:val="00E93122"/>
    <w:rsid w:val="00E93993"/>
    <w:rsid w:val="00E9597C"/>
    <w:rsid w:val="00EA02E2"/>
    <w:rsid w:val="00EA0913"/>
    <w:rsid w:val="00EA0CAC"/>
    <w:rsid w:val="00EA0F7A"/>
    <w:rsid w:val="00EA1017"/>
    <w:rsid w:val="00EA53FC"/>
    <w:rsid w:val="00EA5988"/>
    <w:rsid w:val="00EA5B00"/>
    <w:rsid w:val="00EA632A"/>
    <w:rsid w:val="00EA6BB4"/>
    <w:rsid w:val="00EB03AE"/>
    <w:rsid w:val="00EB1388"/>
    <w:rsid w:val="00EB146B"/>
    <w:rsid w:val="00EB3CAE"/>
    <w:rsid w:val="00EB416D"/>
    <w:rsid w:val="00EB45AC"/>
    <w:rsid w:val="00EB7ED9"/>
    <w:rsid w:val="00EC441F"/>
    <w:rsid w:val="00EC4755"/>
    <w:rsid w:val="00EC4FF2"/>
    <w:rsid w:val="00EC62B8"/>
    <w:rsid w:val="00ED0482"/>
    <w:rsid w:val="00ED07DA"/>
    <w:rsid w:val="00ED0BC4"/>
    <w:rsid w:val="00ED447D"/>
    <w:rsid w:val="00ED6613"/>
    <w:rsid w:val="00EE1BE4"/>
    <w:rsid w:val="00EE3F6B"/>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2B48"/>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20A"/>
    <w:rsid w:val="00FD2EA4"/>
    <w:rsid w:val="00FD36C5"/>
    <w:rsid w:val="00FD47A2"/>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30542"/>
  </w:style>
  <w:style w:type="paragraph" w:styleId="Lijstalinea">
    <w:name w:val="List Paragraph"/>
    <w:basedOn w:val="Standaard"/>
    <w:uiPriority w:val="34"/>
    <w:qFormat/>
    <w:rsid w:val="00430FED"/>
    <w:pPr>
      <w:ind w:left="720"/>
      <w:contextualSpacing/>
    </w:pPr>
  </w:style>
  <w:style w:type="paragraph" w:styleId="Voetnootteks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ard"/>
    <w:link w:val="VoetnoottekstChar"/>
    <w:unhideWhenUsed/>
    <w:rsid w:val="00241B44"/>
    <w:rPr>
      <w:szCs w:val="20"/>
    </w:rPr>
  </w:style>
  <w:style w:type="character" w:customStyle="1" w:styleId="VoetnoottekstChar">
    <w:name w:val="Voetnoottekst Char"/>
    <w:aliases w:val="fn Char,Fußnotentext Char Char Char Char Char,Fußnotentext Char Char Char Char Char Char Char,Fußnotentext Char Char Char Char Char Char Char Char Char,Fußnotentextf Char,footnotes Char,Footnote Text Char2 Char Char,Footnote Char"/>
    <w:basedOn w:val="Standaardalinea-lettertype"/>
    <w:link w:val="Voetnoottekst"/>
    <w:rsid w:val="00241B44"/>
    <w:rPr>
      <w:sz w:val="20"/>
      <w:szCs w:val="20"/>
    </w:rPr>
  </w:style>
  <w:style w:type="character" w:styleId="Voetnootmarkering">
    <w:name w:val="footnote reference"/>
    <w:aliases w:val="fr,Footnote Refernece,BVI fnr,callout,16 Point,Superscript 6 Point,Footnote Reference Superscript,Ref,de nota al pie,-E Fußnotenzeichen,number,SUPERS,EN Footnote Reference,-E Fuﬂnotenzeichen,-E Fuûnotenzeichen,Footnote numbe, BVI fnr"/>
    <w:basedOn w:val="Standaardalinea-lettertype"/>
    <w:unhideWhenUsed/>
    <w:qFormat/>
    <w:rsid w:val="00241B44"/>
    <w:rPr>
      <w:vertAlign w:val="superscript"/>
    </w:rPr>
  </w:style>
  <w:style w:type="character" w:styleId="Hyperlink">
    <w:name w:val="Hyperlink"/>
    <w:basedOn w:val="Standaardalinea-lettertype"/>
    <w:uiPriority w:val="99"/>
    <w:unhideWhenUsed/>
    <w:rsid w:val="00A047EE"/>
    <w:rPr>
      <w:color w:val="0563C1" w:themeColor="hyperlink"/>
      <w:u w:val="single"/>
    </w:rPr>
  </w:style>
  <w:style w:type="character" w:customStyle="1" w:styleId="UnresolvedMention1">
    <w:name w:val="Unresolved Mention1"/>
    <w:basedOn w:val="Standaardalinea-lettertype"/>
    <w:uiPriority w:val="99"/>
    <w:rsid w:val="00A047EE"/>
    <w:rPr>
      <w:color w:val="605E5C"/>
      <w:shd w:val="clear" w:color="auto" w:fill="E1DFDD"/>
    </w:rPr>
  </w:style>
  <w:style w:type="character" w:styleId="Verwijzingopmerking">
    <w:name w:val="annotation reference"/>
    <w:basedOn w:val="Standaardalinea-lettertype"/>
    <w:uiPriority w:val="99"/>
    <w:semiHidden/>
    <w:unhideWhenUsed/>
    <w:rsid w:val="008B5333"/>
    <w:rPr>
      <w:sz w:val="16"/>
      <w:szCs w:val="16"/>
    </w:rPr>
  </w:style>
  <w:style w:type="paragraph" w:styleId="Tekstopmerking">
    <w:name w:val="annotation text"/>
    <w:basedOn w:val="Standaard"/>
    <w:link w:val="TekstopmerkingChar"/>
    <w:uiPriority w:val="99"/>
    <w:semiHidden/>
    <w:unhideWhenUsed/>
    <w:rsid w:val="008B5333"/>
    <w:rPr>
      <w:szCs w:val="20"/>
    </w:rPr>
  </w:style>
  <w:style w:type="character" w:customStyle="1" w:styleId="TekstopmerkingChar">
    <w:name w:val="Tekst opmerking Char"/>
    <w:basedOn w:val="Standaardalinea-lettertype"/>
    <w:link w:val="Tekstopmerking"/>
    <w:uiPriority w:val="99"/>
    <w:semiHidden/>
    <w:rsid w:val="008B5333"/>
    <w:rPr>
      <w:rFonts w:eastAsia="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B5333"/>
    <w:rPr>
      <w:b/>
      <w:bCs/>
    </w:rPr>
  </w:style>
  <w:style w:type="character" w:customStyle="1" w:styleId="OnderwerpvanopmerkingChar">
    <w:name w:val="Onderwerp van opmerking Char"/>
    <w:basedOn w:val="TekstopmerkingChar"/>
    <w:link w:val="Onderwerpvanopmerking"/>
    <w:uiPriority w:val="99"/>
    <w:semiHidden/>
    <w:rsid w:val="008B5333"/>
    <w:rPr>
      <w:rFonts w:eastAsia="Times New Roman"/>
      <w:b/>
      <w:bCs/>
      <w:sz w:val="20"/>
      <w:szCs w:val="20"/>
    </w:rPr>
  </w:style>
  <w:style w:type="paragraph" w:styleId="Ballontekst">
    <w:name w:val="Balloon Text"/>
    <w:basedOn w:val="Standaard"/>
    <w:link w:val="BallontekstChar"/>
    <w:uiPriority w:val="99"/>
    <w:semiHidden/>
    <w:unhideWhenUsed/>
    <w:rsid w:val="008B53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333"/>
    <w:rPr>
      <w:rFonts w:ascii="Tahoma" w:eastAsia="Times New Roman" w:hAnsi="Tahoma" w:cs="Tahoma"/>
      <w:sz w:val="16"/>
      <w:szCs w:val="16"/>
    </w:rPr>
  </w:style>
  <w:style w:type="paragraph" w:styleId="Voettekst">
    <w:name w:val="footer"/>
    <w:basedOn w:val="Standaard"/>
    <w:link w:val="VoettekstChar"/>
    <w:uiPriority w:val="99"/>
    <w:unhideWhenUsed/>
    <w:rsid w:val="00FC7B47"/>
    <w:pPr>
      <w:tabs>
        <w:tab w:val="center" w:pos="4513"/>
        <w:tab w:val="right" w:pos="9026"/>
      </w:tabs>
    </w:pPr>
  </w:style>
  <w:style w:type="character" w:customStyle="1" w:styleId="VoettekstChar">
    <w:name w:val="Voettekst Char"/>
    <w:basedOn w:val="Standaardalinea-lettertype"/>
    <w:link w:val="Voettekst"/>
    <w:uiPriority w:val="99"/>
    <w:rsid w:val="00FC7B47"/>
    <w:rPr>
      <w:rFonts w:eastAsia="Times New Roman"/>
      <w:sz w:val="20"/>
    </w:rPr>
  </w:style>
  <w:style w:type="character" w:styleId="Paginanummer">
    <w:name w:val="page number"/>
    <w:basedOn w:val="Standaardalinea-lettertype"/>
    <w:uiPriority w:val="99"/>
    <w:semiHidden/>
    <w:unhideWhenUsed/>
    <w:rsid w:val="00FC7B47"/>
  </w:style>
  <w:style w:type="paragraph" w:styleId="Koptekst">
    <w:name w:val="header"/>
    <w:basedOn w:val="Standaard"/>
    <w:link w:val="KoptekstChar"/>
    <w:uiPriority w:val="99"/>
    <w:unhideWhenUsed/>
    <w:rsid w:val="00FC7B47"/>
    <w:pPr>
      <w:tabs>
        <w:tab w:val="center" w:pos="4513"/>
        <w:tab w:val="right" w:pos="9026"/>
      </w:tabs>
    </w:pPr>
  </w:style>
  <w:style w:type="character" w:customStyle="1" w:styleId="KoptekstChar">
    <w:name w:val="Koptekst Char"/>
    <w:basedOn w:val="Standaardalinea-lettertype"/>
    <w:link w:val="Koptekst"/>
    <w:uiPriority w:val="99"/>
    <w:rsid w:val="00FC7B47"/>
    <w:rPr>
      <w:rFonts w:eastAsia="Times New Roman"/>
      <w:sz w:val="20"/>
    </w:rPr>
  </w:style>
  <w:style w:type="character" w:customStyle="1" w:styleId="UnresolvedMention2">
    <w:name w:val="Unresolved Mention2"/>
    <w:basedOn w:val="Standaardalinea-lettertype"/>
    <w:uiPriority w:val="99"/>
    <w:semiHidden/>
    <w:unhideWhenUsed/>
    <w:rsid w:val="007333CC"/>
    <w:rPr>
      <w:color w:val="605E5C"/>
      <w:shd w:val="clear" w:color="auto" w:fill="E1DFDD"/>
    </w:rPr>
  </w:style>
  <w:style w:type="character" w:styleId="GevolgdeHyperlink">
    <w:name w:val="FollowedHyperlink"/>
    <w:basedOn w:val="Standaardalinea-lettertype"/>
    <w:uiPriority w:val="99"/>
    <w:semiHidden/>
    <w:unhideWhenUsed/>
    <w:rsid w:val="00E6452F"/>
    <w:rPr>
      <w:color w:val="954F72" w:themeColor="followedHyperlink"/>
      <w:u w:val="single"/>
    </w:rPr>
  </w:style>
  <w:style w:type="character" w:styleId="Zwaar">
    <w:name w:val="Strong"/>
    <w:basedOn w:val="Standaardalinea-lettertype"/>
    <w:uiPriority w:val="22"/>
    <w:qFormat/>
    <w:rsid w:val="00E6452F"/>
    <w:rPr>
      <w:b/>
      <w:bCs/>
    </w:rPr>
  </w:style>
  <w:style w:type="paragraph" w:styleId="Normaalweb">
    <w:name w:val="Normal (Web)"/>
    <w:basedOn w:val="Standa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ard"/>
    <w:autoRedefine/>
    <w:qFormat/>
    <w:rsid w:val="00B17AA9"/>
    <w:pPr>
      <w:ind w:left="720" w:right="851" w:hanging="720"/>
    </w:pPr>
    <w:rPr>
      <w:rFonts w:ascii="Arial" w:eastAsiaTheme="minorEastAsia" w:hAnsi="Arial" w:cs="Arial"/>
      <w:i/>
      <w:sz w:val="22"/>
      <w:szCs w:val="22"/>
      <w:lang w:val="en-GB"/>
    </w:rPr>
  </w:style>
  <w:style w:type="paragraph" w:styleId="HTML-voorafopgemaakt">
    <w:name w:val="HTML Preformatted"/>
    <w:basedOn w:val="Standaard"/>
    <w:link w:val="HTML-voorafopgemaakt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orafopgemaaktChar">
    <w:name w:val="HTML - vooraf opgemaakt Char"/>
    <w:basedOn w:val="Standaardalinea-lettertype"/>
    <w:link w:val="HTML-voorafopgemaakt"/>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Tekstvantijdelijkeaanduiding">
    <w:name w:val="Placeholder Text"/>
    <w:basedOn w:val="Standaardalinea-lettertype"/>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3593</Words>
  <Characters>19764</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Arcas Law</cp:lastModifiedBy>
  <cp:revision>14</cp:revision>
  <cp:lastPrinted>2019-08-27T05:42:00Z</cp:lastPrinted>
  <dcterms:created xsi:type="dcterms:W3CDTF">2022-07-22T13:01:00Z</dcterms:created>
  <dcterms:modified xsi:type="dcterms:W3CDTF">2022-07-29T23:13:00Z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