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C7656E"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C7656E">
        <w:rPr>
          <w:rFonts w:ascii="Arial" w:hAnsi="Arial" w:cs="Arial"/>
          <w:color w:val="000000" w:themeColor="text1"/>
          <w:sz w:val="22"/>
          <w:szCs w:val="22"/>
          <w:highlight w:val="yellow"/>
          <w:lang w:val="en-GB"/>
        </w:rPr>
        <w:t>The current Bankruptcy Law</w:t>
      </w:r>
      <w:r w:rsidR="00230B9A" w:rsidRPr="00C7656E">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274722"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274722">
        <w:rPr>
          <w:rFonts w:ascii="Arial" w:hAnsi="Arial" w:cs="Arial"/>
          <w:color w:val="000000" w:themeColor="text1"/>
          <w:sz w:val="22"/>
          <w:szCs w:val="22"/>
          <w:highlight w:val="yellow"/>
          <w:lang w:val="en-GB"/>
        </w:rPr>
        <w:t>Labour disputes take place at a speciali</w:t>
      </w:r>
      <w:r w:rsidR="00AD2BEF" w:rsidRPr="00274722">
        <w:rPr>
          <w:rFonts w:ascii="Arial" w:hAnsi="Arial" w:cs="Arial"/>
          <w:color w:val="000000" w:themeColor="text1"/>
          <w:sz w:val="22"/>
          <w:szCs w:val="22"/>
          <w:highlight w:val="yellow"/>
          <w:lang w:val="en-GB"/>
        </w:rPr>
        <w:t>s</w:t>
      </w:r>
      <w:r w:rsidRPr="00274722">
        <w:rPr>
          <w:rFonts w:ascii="Arial" w:hAnsi="Arial" w:cs="Arial"/>
          <w:color w:val="000000" w:themeColor="text1"/>
          <w:sz w:val="22"/>
          <w:szCs w:val="22"/>
          <w:highlight w:val="yellow"/>
          <w:lang w:val="en-GB"/>
        </w:rPr>
        <w:t xml:space="preserve">ed segment of the </w:t>
      </w:r>
      <w:r w:rsidR="00AD2BEF" w:rsidRPr="00274722">
        <w:rPr>
          <w:rFonts w:ascii="Arial" w:hAnsi="Arial" w:cs="Arial"/>
          <w:color w:val="000000" w:themeColor="text1"/>
          <w:sz w:val="22"/>
          <w:szCs w:val="22"/>
          <w:highlight w:val="yellow"/>
          <w:lang w:val="en-GB"/>
        </w:rPr>
        <w:t>j</w:t>
      </w:r>
      <w:r w:rsidRPr="00274722">
        <w:rPr>
          <w:rFonts w:ascii="Arial" w:hAnsi="Arial" w:cs="Arial"/>
          <w:color w:val="000000" w:themeColor="text1"/>
          <w:sz w:val="22"/>
          <w:szCs w:val="22"/>
          <w:highlight w:val="yellow"/>
          <w:lang w:val="en-GB"/>
        </w:rPr>
        <w:t>udiciary, composed of labo</w:t>
      </w:r>
      <w:r w:rsidR="00FB6C02" w:rsidRPr="00274722">
        <w:rPr>
          <w:rFonts w:ascii="Arial" w:hAnsi="Arial" w:cs="Arial"/>
          <w:color w:val="000000" w:themeColor="text1"/>
          <w:sz w:val="22"/>
          <w:szCs w:val="22"/>
          <w:highlight w:val="yellow"/>
          <w:lang w:val="en-GB"/>
        </w:rPr>
        <w:t>u</w:t>
      </w:r>
      <w:r w:rsidRPr="00274722">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AD5486"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AD5486">
        <w:rPr>
          <w:rFonts w:ascii="Arial" w:hAnsi="Arial" w:cs="Arial"/>
          <w:color w:val="000000" w:themeColor="text1"/>
          <w:sz w:val="22"/>
          <w:szCs w:val="22"/>
          <w:highlight w:val="yellow"/>
          <w:lang w:val="en-GB"/>
        </w:rPr>
        <w:t xml:space="preserve">A pledge is a lien </w:t>
      </w:r>
      <w:r w:rsidR="00063CD7" w:rsidRPr="00AD5486">
        <w:rPr>
          <w:rFonts w:ascii="Arial" w:hAnsi="Arial" w:cs="Arial"/>
          <w:color w:val="000000" w:themeColor="text1"/>
          <w:sz w:val="22"/>
          <w:szCs w:val="22"/>
          <w:highlight w:val="yellow"/>
          <w:lang w:val="en-GB"/>
        </w:rPr>
        <w:t xml:space="preserve">that may be constituted over both </w:t>
      </w:r>
      <w:r w:rsidRPr="00AD5486">
        <w:rPr>
          <w:rFonts w:ascii="Arial" w:hAnsi="Arial" w:cs="Arial"/>
          <w:color w:val="000000" w:themeColor="text1"/>
          <w:sz w:val="22"/>
          <w:szCs w:val="22"/>
          <w:highlight w:val="yellow"/>
          <w:lang w:val="en-GB"/>
        </w:rPr>
        <w:t>movable</w:t>
      </w:r>
      <w:r w:rsidR="00063CD7" w:rsidRPr="00AD5486">
        <w:rPr>
          <w:rFonts w:ascii="Arial" w:hAnsi="Arial" w:cs="Arial"/>
          <w:color w:val="000000" w:themeColor="text1"/>
          <w:sz w:val="22"/>
          <w:szCs w:val="22"/>
          <w:highlight w:val="yellow"/>
          <w:lang w:val="en-GB"/>
        </w:rPr>
        <w:t xml:space="preserve"> and immovable</w:t>
      </w:r>
      <w:r w:rsidRPr="00AD5486">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r w:rsidRPr="000C765D">
        <w:rPr>
          <w:rFonts w:ascii="Arial" w:hAnsi="Arial" w:cs="Arial"/>
          <w:i/>
          <w:color w:val="000000" w:themeColor="text1"/>
          <w:sz w:val="22"/>
          <w:szCs w:val="22"/>
          <w:lang w:val="en-GB"/>
        </w:rPr>
        <w:t xml:space="preserve">antichresis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r w:rsidR="00357B2B">
        <w:rPr>
          <w:rFonts w:ascii="Arial" w:hAnsi="Arial" w:cs="Arial"/>
          <w:i/>
          <w:color w:val="000000" w:themeColor="text1"/>
          <w:sz w:val="22"/>
          <w:szCs w:val="22"/>
          <w:lang w:val="en-GB"/>
        </w:rPr>
        <w:t>sociedade de economia mista</w:t>
      </w:r>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3217F2">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3217F2"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3217F2">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Fees payable to the judicial administrator and its auxiliaries</w:t>
      </w:r>
      <w:r w:rsidR="00D732D3"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Pr="003217F2"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3217F2">
        <w:rPr>
          <w:rFonts w:ascii="Arial" w:hAnsi="Arial" w:cs="Arial"/>
          <w:color w:val="000000" w:themeColor="text1"/>
          <w:sz w:val="22"/>
          <w:szCs w:val="22"/>
          <w:highlight w:val="yellow"/>
          <w:lang w:val="en-GB"/>
        </w:rPr>
        <w:t>Administrative expenses of the estate</w:t>
      </w:r>
      <w:r w:rsidR="00D732D3" w:rsidRPr="003217F2">
        <w:rPr>
          <w:rFonts w:ascii="Arial" w:hAnsi="Arial" w:cs="Arial"/>
          <w:color w:val="000000" w:themeColor="text1"/>
          <w:sz w:val="22"/>
          <w:szCs w:val="22"/>
          <w:highlight w:val="yellow"/>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D51AA2"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D51AA2">
        <w:rPr>
          <w:rFonts w:ascii="Arial" w:hAnsi="Arial" w:cs="Arial"/>
          <w:color w:val="000000" w:themeColor="text1"/>
          <w:sz w:val="22"/>
          <w:szCs w:val="22"/>
          <w:highlight w:val="yellow"/>
          <w:lang w:val="en-GB"/>
        </w:rPr>
        <w:t xml:space="preserve">The approval of the plan in Class III depends on a </w:t>
      </w:r>
      <w:r w:rsidR="005B7491" w:rsidRPr="00D51AA2">
        <w:rPr>
          <w:rFonts w:ascii="Arial" w:hAnsi="Arial" w:cs="Arial"/>
          <w:color w:val="000000" w:themeColor="text1"/>
          <w:sz w:val="22"/>
          <w:szCs w:val="22"/>
          <w:highlight w:val="yellow"/>
          <w:lang w:val="en-GB"/>
        </w:rPr>
        <w:t xml:space="preserve">double </w:t>
      </w:r>
      <w:r w:rsidRPr="00D51AA2">
        <w:rPr>
          <w:rFonts w:ascii="Arial" w:hAnsi="Arial" w:cs="Arial"/>
          <w:color w:val="000000" w:themeColor="text1"/>
          <w:sz w:val="22"/>
          <w:szCs w:val="22"/>
          <w:highlight w:val="yellow"/>
          <w:lang w:val="en-GB"/>
        </w:rPr>
        <w:t>majority</w:t>
      </w:r>
      <w:r w:rsidR="005B7491" w:rsidRPr="00D51AA2">
        <w:rPr>
          <w:rFonts w:ascii="Arial" w:hAnsi="Arial" w:cs="Arial"/>
          <w:color w:val="000000" w:themeColor="text1"/>
          <w:sz w:val="22"/>
          <w:szCs w:val="22"/>
          <w:highlight w:val="yellow"/>
          <w:lang w:val="en-GB"/>
        </w:rPr>
        <w:t>:</w:t>
      </w:r>
      <w:r w:rsidRPr="00D51AA2">
        <w:rPr>
          <w:rFonts w:ascii="Arial" w:hAnsi="Arial" w:cs="Arial"/>
          <w:color w:val="000000" w:themeColor="text1"/>
          <w:sz w:val="22"/>
          <w:szCs w:val="22"/>
          <w:highlight w:val="yellow"/>
          <w:lang w:val="en-GB"/>
        </w:rPr>
        <w:t xml:space="preserve"> by head count</w:t>
      </w:r>
      <w:r w:rsidR="005B7491" w:rsidRPr="00D51AA2">
        <w:rPr>
          <w:rFonts w:ascii="Arial" w:hAnsi="Arial" w:cs="Arial"/>
          <w:color w:val="000000" w:themeColor="text1"/>
          <w:sz w:val="22"/>
          <w:szCs w:val="22"/>
          <w:highlight w:val="yellow"/>
          <w:lang w:val="en-GB"/>
        </w:rPr>
        <w:t xml:space="preserve"> and by </w:t>
      </w:r>
      <w:r w:rsidR="00AD2BEF" w:rsidRPr="00D51AA2">
        <w:rPr>
          <w:rFonts w:ascii="Arial" w:hAnsi="Arial" w:cs="Arial"/>
          <w:color w:val="000000" w:themeColor="text1"/>
          <w:sz w:val="22"/>
          <w:szCs w:val="22"/>
          <w:highlight w:val="yellow"/>
          <w:lang w:val="en-GB"/>
        </w:rPr>
        <w:t xml:space="preserve">the </w:t>
      </w:r>
      <w:r w:rsidR="005B7491" w:rsidRPr="00D51AA2">
        <w:rPr>
          <w:rFonts w:ascii="Arial" w:hAnsi="Arial" w:cs="Arial"/>
          <w:color w:val="000000" w:themeColor="text1"/>
          <w:sz w:val="22"/>
          <w:szCs w:val="22"/>
          <w:highlight w:val="yellow"/>
          <w:lang w:val="en-GB"/>
        </w:rPr>
        <w:t>total amount of claims</w:t>
      </w:r>
      <w:r w:rsidR="006A1388" w:rsidRPr="00D51AA2">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D51AA2"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D51AA2">
        <w:rPr>
          <w:rFonts w:ascii="Arial" w:hAnsi="Arial" w:cs="Arial"/>
          <w:color w:val="000000" w:themeColor="text1"/>
          <w:sz w:val="22"/>
          <w:szCs w:val="22"/>
          <w:highlight w:val="yellow"/>
          <w:lang w:val="en-GB"/>
        </w:rPr>
        <w:t xml:space="preserve">A </w:t>
      </w:r>
      <w:r w:rsidRPr="00D51AA2">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D51AA2" w:rsidRDefault="001D168A" w:rsidP="00507C99">
      <w:pPr>
        <w:pStyle w:val="ListParagraph"/>
        <w:numPr>
          <w:ilvl w:val="0"/>
          <w:numId w:val="37"/>
        </w:numPr>
        <w:ind w:left="426"/>
        <w:jc w:val="both"/>
        <w:rPr>
          <w:rFonts w:ascii="Arial" w:hAnsi="Arial" w:cs="Arial"/>
          <w:color w:val="000000" w:themeColor="text1"/>
          <w:sz w:val="22"/>
          <w:szCs w:val="22"/>
          <w:highlight w:val="yellow"/>
          <w:lang w:val="en-GB"/>
        </w:rPr>
      </w:pPr>
      <w:r w:rsidRPr="00D51AA2">
        <w:rPr>
          <w:rFonts w:ascii="Arial" w:hAnsi="Arial" w:cs="Arial"/>
          <w:color w:val="000000" w:themeColor="text1"/>
          <w:sz w:val="22"/>
          <w:szCs w:val="22"/>
          <w:highlight w:val="yellow"/>
          <w:lang w:val="en-GB"/>
        </w:rPr>
        <w:t xml:space="preserve">A cramdown cannot be imposed if the judicial recovery plan entails </w:t>
      </w:r>
      <w:r w:rsidR="00AD2BEF" w:rsidRPr="00D51AA2">
        <w:rPr>
          <w:rFonts w:ascii="Arial" w:hAnsi="Arial" w:cs="Arial"/>
          <w:color w:val="000000" w:themeColor="text1"/>
          <w:sz w:val="22"/>
          <w:szCs w:val="22"/>
          <w:highlight w:val="yellow"/>
          <w:lang w:val="en-GB"/>
        </w:rPr>
        <w:t xml:space="preserve">the </w:t>
      </w:r>
      <w:r w:rsidR="00B31A6B" w:rsidRPr="00D51AA2">
        <w:rPr>
          <w:rFonts w:ascii="Arial" w:hAnsi="Arial" w:cs="Arial"/>
          <w:color w:val="000000" w:themeColor="text1"/>
          <w:sz w:val="22"/>
          <w:szCs w:val="22"/>
          <w:highlight w:val="yellow"/>
          <w:lang w:val="en-GB"/>
        </w:rPr>
        <w:t xml:space="preserve">discriminatory </w:t>
      </w:r>
      <w:r w:rsidRPr="00D51AA2">
        <w:rPr>
          <w:rFonts w:ascii="Arial" w:hAnsi="Arial" w:cs="Arial"/>
          <w:color w:val="000000" w:themeColor="text1"/>
          <w:sz w:val="22"/>
          <w:szCs w:val="22"/>
          <w:highlight w:val="yellow"/>
          <w:lang w:val="en-GB"/>
        </w:rPr>
        <w:t xml:space="preserve">treatment </w:t>
      </w:r>
      <w:r w:rsidR="00AD2BEF" w:rsidRPr="00D51AA2">
        <w:rPr>
          <w:rFonts w:ascii="Arial" w:hAnsi="Arial" w:cs="Arial"/>
          <w:color w:val="000000" w:themeColor="text1"/>
          <w:sz w:val="22"/>
          <w:szCs w:val="22"/>
          <w:highlight w:val="yellow"/>
          <w:lang w:val="en-GB"/>
        </w:rPr>
        <w:t>of</w:t>
      </w:r>
      <w:r w:rsidRPr="00D51AA2">
        <w:rPr>
          <w:rFonts w:ascii="Arial" w:hAnsi="Arial" w:cs="Arial"/>
          <w:color w:val="000000" w:themeColor="text1"/>
          <w:sz w:val="22"/>
          <w:szCs w:val="22"/>
          <w:highlight w:val="yellow"/>
          <w:lang w:val="en-GB"/>
        </w:rPr>
        <w:t xml:space="preserve"> creditors within the class that rejected it </w:t>
      </w:r>
      <w:r w:rsidR="005F3304" w:rsidRPr="00D51AA2">
        <w:rPr>
          <w:rFonts w:ascii="Arial" w:hAnsi="Arial" w:cs="Arial"/>
          <w:color w:val="000000" w:themeColor="text1"/>
          <w:sz w:val="22"/>
          <w:szCs w:val="22"/>
          <w:highlight w:val="yellow"/>
          <w:lang w:val="en-GB"/>
        </w:rPr>
        <w:t>at</w:t>
      </w:r>
      <w:r w:rsidRPr="00D51AA2">
        <w:rPr>
          <w:rFonts w:ascii="Arial" w:hAnsi="Arial" w:cs="Arial"/>
          <w:color w:val="000000" w:themeColor="text1"/>
          <w:sz w:val="22"/>
          <w:szCs w:val="22"/>
          <w:highlight w:val="yellow"/>
          <w:lang w:val="en-GB"/>
        </w:rPr>
        <w:t xml:space="preserve"> the </w:t>
      </w:r>
      <w:r w:rsidR="005F3304" w:rsidRPr="00D51AA2">
        <w:rPr>
          <w:rFonts w:ascii="Arial" w:hAnsi="Arial" w:cs="Arial"/>
          <w:color w:val="000000" w:themeColor="text1"/>
          <w:sz w:val="22"/>
          <w:szCs w:val="22"/>
          <w:highlight w:val="yellow"/>
          <w:lang w:val="en-GB"/>
        </w:rPr>
        <w:t>g</w:t>
      </w:r>
      <w:r w:rsidRPr="00D51AA2">
        <w:rPr>
          <w:rFonts w:ascii="Arial" w:hAnsi="Arial" w:cs="Arial"/>
          <w:color w:val="000000" w:themeColor="text1"/>
          <w:sz w:val="22"/>
          <w:szCs w:val="22"/>
          <w:highlight w:val="yellow"/>
          <w:lang w:val="en-GB"/>
        </w:rPr>
        <w:t xml:space="preserve">eneral </w:t>
      </w:r>
      <w:r w:rsidR="005F3304" w:rsidRPr="00D51AA2">
        <w:rPr>
          <w:rFonts w:ascii="Arial" w:hAnsi="Arial" w:cs="Arial"/>
          <w:color w:val="000000" w:themeColor="text1"/>
          <w:sz w:val="22"/>
          <w:szCs w:val="22"/>
          <w:highlight w:val="yellow"/>
          <w:lang w:val="en-GB"/>
        </w:rPr>
        <w:t>m</w:t>
      </w:r>
      <w:r w:rsidRPr="00D51AA2">
        <w:rPr>
          <w:rFonts w:ascii="Arial" w:hAnsi="Arial" w:cs="Arial"/>
          <w:color w:val="000000" w:themeColor="text1"/>
          <w:sz w:val="22"/>
          <w:szCs w:val="22"/>
          <w:highlight w:val="yellow"/>
          <w:lang w:val="en-GB"/>
        </w:rPr>
        <w:t xml:space="preserve">eeting of </w:t>
      </w:r>
      <w:r w:rsidR="005F3304" w:rsidRPr="00D51AA2">
        <w:rPr>
          <w:rFonts w:ascii="Arial" w:hAnsi="Arial" w:cs="Arial"/>
          <w:color w:val="000000" w:themeColor="text1"/>
          <w:sz w:val="22"/>
          <w:szCs w:val="22"/>
          <w:highlight w:val="yellow"/>
          <w:lang w:val="en-GB"/>
        </w:rPr>
        <w:t>c</w:t>
      </w:r>
      <w:r w:rsidRPr="00D51AA2">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8A3335"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8A3335">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296B8616" w14:textId="224CA622" w:rsidR="000A7AB0" w:rsidRDefault="0024726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could occur, as per</w:t>
      </w:r>
      <w:r w:rsidR="000A7AB0">
        <w:rPr>
          <w:rFonts w:ascii="Arial" w:hAnsi="Arial" w:cs="Arial"/>
          <w:color w:val="7B7B7B" w:themeColor="accent3" w:themeShade="BF"/>
          <w:sz w:val="22"/>
          <w:szCs w:val="22"/>
          <w:lang w:val="en-GB"/>
        </w:rPr>
        <w:t xml:space="preserve"> Article 64, if the debtor’s administration/officers have:</w:t>
      </w:r>
    </w:p>
    <w:p w14:paraId="57BCFC30" w14:textId="217161AC" w:rsidR="009B07AD" w:rsidRDefault="000A7AB0" w:rsidP="000A7AB0">
      <w:pPr>
        <w:pStyle w:val="ListParagraph"/>
        <w:numPr>
          <w:ilvl w:val="0"/>
          <w:numId w:val="39"/>
        </w:numPr>
        <w:jc w:val="both"/>
        <w:rPr>
          <w:rFonts w:ascii="Arial" w:hAnsi="Arial" w:cs="Arial"/>
          <w:color w:val="7B7B7B" w:themeColor="accent3" w:themeShade="BF"/>
          <w:sz w:val="22"/>
          <w:szCs w:val="22"/>
          <w:lang w:val="en-GB"/>
        </w:rPr>
      </w:pPr>
      <w:r w:rsidRPr="000A7AB0">
        <w:rPr>
          <w:rFonts w:ascii="Arial" w:hAnsi="Arial" w:cs="Arial"/>
          <w:color w:val="7B7B7B" w:themeColor="accent3" w:themeShade="BF"/>
          <w:sz w:val="22"/>
          <w:szCs w:val="22"/>
          <w:lang w:val="en-GB"/>
        </w:rPr>
        <w:t>committed a crime against property, public welfare or the economic order</w:t>
      </w:r>
      <w:r>
        <w:rPr>
          <w:rFonts w:ascii="Arial" w:hAnsi="Arial" w:cs="Arial"/>
          <w:color w:val="7B7B7B" w:themeColor="accent3" w:themeShade="BF"/>
          <w:sz w:val="22"/>
          <w:szCs w:val="22"/>
          <w:lang w:val="en-GB"/>
        </w:rPr>
        <w:t xml:space="preserve"> (and been found guilty and sentenced);</w:t>
      </w:r>
      <w:r w:rsidR="0024726F">
        <w:rPr>
          <w:rFonts w:ascii="Arial" w:hAnsi="Arial" w:cs="Arial"/>
          <w:color w:val="7B7B7B" w:themeColor="accent3" w:themeShade="BF"/>
          <w:sz w:val="22"/>
          <w:szCs w:val="22"/>
          <w:lang w:val="en-GB"/>
        </w:rPr>
        <w:t xml:space="preserve"> or </w:t>
      </w:r>
    </w:p>
    <w:p w14:paraId="39D6A64B" w14:textId="7F2CFB2A" w:rsidR="000A7AB0" w:rsidRDefault="000A7AB0" w:rsidP="000A7AB0">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refused to provide information requested by the judicial administrator or other committee members. </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6948B395" w14:textId="4E0083EE" w:rsidR="00E90991" w:rsidRDefault="00E90991" w:rsidP="002A37BB">
      <w:pPr>
        <w:ind w:left="720" w:hanging="720"/>
        <w:jc w:val="both"/>
        <w:rPr>
          <w:rFonts w:ascii="Arial" w:hAnsi="Arial" w:cs="Arial"/>
          <w:color w:val="7B7B7B" w:themeColor="accent3" w:themeShade="BF"/>
          <w:sz w:val="22"/>
          <w:szCs w:val="22"/>
          <w:lang w:val="en-GB"/>
        </w:rPr>
      </w:pPr>
    </w:p>
    <w:p w14:paraId="04D21203" w14:textId="6F50EF69" w:rsidR="00A0557C" w:rsidRDefault="002C361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 be sold via –</w:t>
      </w:r>
    </w:p>
    <w:p w14:paraId="337BE274" w14:textId="5D0B7BD4" w:rsidR="002C3612" w:rsidRPr="002C3612" w:rsidRDefault="002C3612" w:rsidP="002C3612">
      <w:pPr>
        <w:pStyle w:val="ListParagraph"/>
        <w:numPr>
          <w:ilvl w:val="0"/>
          <w:numId w:val="41"/>
        </w:numPr>
        <w:jc w:val="both"/>
        <w:rPr>
          <w:rFonts w:ascii="Arial" w:hAnsi="Arial" w:cs="Arial"/>
          <w:color w:val="7B7B7B" w:themeColor="accent3" w:themeShade="BF"/>
          <w:sz w:val="22"/>
          <w:szCs w:val="22"/>
          <w:lang w:val="en-GB"/>
        </w:rPr>
      </w:pPr>
      <w:r w:rsidRPr="002C3612">
        <w:rPr>
          <w:rFonts w:ascii="Arial" w:hAnsi="Arial" w:cs="Arial"/>
          <w:color w:val="7B7B7B" w:themeColor="accent3" w:themeShade="BF"/>
          <w:sz w:val="22"/>
          <w:szCs w:val="22"/>
          <w:lang w:val="en-GB"/>
        </w:rPr>
        <w:t>Electronic, in person or hybrid auction;</w:t>
      </w:r>
    </w:p>
    <w:p w14:paraId="1C9A4CE2" w14:textId="225F269E" w:rsidR="002C3612" w:rsidRPr="002C3612" w:rsidRDefault="002C3612" w:rsidP="002C3612">
      <w:pPr>
        <w:pStyle w:val="ListParagraph"/>
        <w:numPr>
          <w:ilvl w:val="0"/>
          <w:numId w:val="41"/>
        </w:numPr>
        <w:jc w:val="both"/>
        <w:rPr>
          <w:rFonts w:ascii="Arial" w:hAnsi="Arial" w:cs="Arial"/>
          <w:color w:val="7B7B7B" w:themeColor="accent3" w:themeShade="BF"/>
          <w:sz w:val="22"/>
          <w:szCs w:val="22"/>
          <w:lang w:val="en-GB"/>
        </w:rPr>
      </w:pPr>
      <w:r w:rsidRPr="002C3612">
        <w:rPr>
          <w:rFonts w:ascii="Arial" w:hAnsi="Arial" w:cs="Arial"/>
          <w:color w:val="7B7B7B" w:themeColor="accent3" w:themeShade="BF"/>
          <w:sz w:val="22"/>
          <w:szCs w:val="22"/>
          <w:lang w:val="en-GB"/>
        </w:rPr>
        <w:t>A competitive procedure facilitat</w:t>
      </w:r>
      <w:r>
        <w:rPr>
          <w:rFonts w:ascii="Arial" w:hAnsi="Arial" w:cs="Arial"/>
          <w:color w:val="7B7B7B" w:themeColor="accent3" w:themeShade="BF"/>
          <w:sz w:val="22"/>
          <w:szCs w:val="22"/>
          <w:lang w:val="en-GB"/>
        </w:rPr>
        <w:t>ed</w:t>
      </w:r>
      <w:r w:rsidRPr="002C3612">
        <w:rPr>
          <w:rFonts w:ascii="Arial" w:hAnsi="Arial" w:cs="Arial"/>
          <w:color w:val="7B7B7B" w:themeColor="accent3" w:themeShade="BF"/>
          <w:sz w:val="22"/>
          <w:szCs w:val="22"/>
          <w:lang w:val="en-GB"/>
        </w:rPr>
        <w:t xml:space="preserve"> by a specialised agent;</w:t>
      </w:r>
      <w:r w:rsidR="002C4F27">
        <w:rPr>
          <w:rFonts w:ascii="Arial" w:hAnsi="Arial" w:cs="Arial"/>
          <w:color w:val="7B7B7B" w:themeColor="accent3" w:themeShade="BF"/>
          <w:sz w:val="22"/>
          <w:szCs w:val="22"/>
          <w:lang w:val="en-GB"/>
        </w:rPr>
        <w:t xml:space="preserve"> or</w:t>
      </w:r>
    </w:p>
    <w:p w14:paraId="708C55E8" w14:textId="1F20BAEB" w:rsidR="002C3612" w:rsidRPr="002C3612" w:rsidRDefault="002C3612" w:rsidP="002C3612">
      <w:pPr>
        <w:pStyle w:val="ListParagraph"/>
        <w:numPr>
          <w:ilvl w:val="0"/>
          <w:numId w:val="41"/>
        </w:numPr>
        <w:jc w:val="both"/>
        <w:rPr>
          <w:rFonts w:ascii="Arial" w:hAnsi="Arial" w:cs="Arial"/>
          <w:sz w:val="22"/>
          <w:szCs w:val="22"/>
          <w:lang w:val="en-GB"/>
        </w:rPr>
      </w:pPr>
      <w:r w:rsidRPr="002C3612">
        <w:rPr>
          <w:rFonts w:ascii="Arial" w:hAnsi="Arial" w:cs="Arial"/>
          <w:color w:val="7B7B7B" w:themeColor="accent3" w:themeShade="BF"/>
          <w:sz w:val="22"/>
          <w:szCs w:val="22"/>
          <w:lang w:val="en-GB"/>
        </w:rPr>
        <w:t xml:space="preserve">Any other modality approved under the Bankruptcy Law terms. </w:t>
      </w: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5CAD0D28" w:rsidR="00C72848" w:rsidRPr="00457C65" w:rsidRDefault="00457C65" w:rsidP="00457C65">
      <w:pPr>
        <w:pStyle w:val="ListParagraph"/>
        <w:numPr>
          <w:ilvl w:val="0"/>
          <w:numId w:val="41"/>
        </w:numPr>
        <w:jc w:val="both"/>
        <w:rPr>
          <w:rFonts w:ascii="Arial" w:hAnsi="Arial" w:cs="Arial"/>
          <w:color w:val="7B7B7B" w:themeColor="accent3" w:themeShade="BF"/>
          <w:sz w:val="22"/>
          <w:szCs w:val="22"/>
          <w:lang w:val="en-GB"/>
        </w:rPr>
      </w:pPr>
      <w:r w:rsidRPr="00457C65">
        <w:rPr>
          <w:rFonts w:ascii="Arial" w:hAnsi="Arial" w:cs="Arial"/>
          <w:color w:val="7B7B7B" w:themeColor="accent3" w:themeShade="BF"/>
          <w:sz w:val="22"/>
          <w:szCs w:val="22"/>
          <w:lang w:val="en-GB"/>
        </w:rPr>
        <w:t>Payment by the debtor of debts which were not due (by any means</w:t>
      </w:r>
      <w:r w:rsidR="002C4F27">
        <w:rPr>
          <w:rFonts w:ascii="Arial" w:hAnsi="Arial" w:cs="Arial"/>
          <w:color w:val="7B7B7B" w:themeColor="accent3" w:themeShade="BF"/>
          <w:sz w:val="22"/>
          <w:szCs w:val="22"/>
          <w:lang w:val="en-GB"/>
        </w:rPr>
        <w:t>,</w:t>
      </w:r>
      <w:r w:rsidRPr="00457C65">
        <w:rPr>
          <w:rFonts w:ascii="Arial" w:hAnsi="Arial" w:cs="Arial"/>
          <w:color w:val="7B7B7B" w:themeColor="accent3" w:themeShade="BF"/>
          <w:sz w:val="22"/>
          <w:szCs w:val="22"/>
          <w:lang w:val="en-GB"/>
        </w:rPr>
        <w:t xml:space="preserve"> including advances o</w:t>
      </w:r>
      <w:r w:rsidR="002C4F27">
        <w:rPr>
          <w:rFonts w:ascii="Arial" w:hAnsi="Arial" w:cs="Arial"/>
          <w:color w:val="7B7B7B" w:themeColor="accent3" w:themeShade="BF"/>
          <w:sz w:val="22"/>
          <w:szCs w:val="22"/>
          <w:lang w:val="en-GB"/>
        </w:rPr>
        <w:t>n</w:t>
      </w:r>
      <w:r w:rsidRPr="00457C65">
        <w:rPr>
          <w:rFonts w:ascii="Arial" w:hAnsi="Arial" w:cs="Arial"/>
          <w:color w:val="7B7B7B" w:themeColor="accent3" w:themeShade="BF"/>
          <w:sz w:val="22"/>
          <w:szCs w:val="22"/>
          <w:lang w:val="en-GB"/>
        </w:rPr>
        <w:t xml:space="preserve"> a given not</w:t>
      </w:r>
      <w:r w:rsidR="002C4F27">
        <w:rPr>
          <w:rFonts w:ascii="Arial" w:hAnsi="Arial" w:cs="Arial"/>
          <w:color w:val="7B7B7B" w:themeColor="accent3" w:themeShade="BF"/>
          <w:sz w:val="22"/>
          <w:szCs w:val="22"/>
          <w:lang w:val="en-GB"/>
        </w:rPr>
        <w:t>e</w:t>
      </w:r>
      <w:r w:rsidRPr="00457C65">
        <w:rPr>
          <w:rFonts w:ascii="Arial" w:hAnsi="Arial" w:cs="Arial"/>
          <w:color w:val="7B7B7B" w:themeColor="accent3" w:themeShade="BF"/>
          <w:sz w:val="22"/>
          <w:szCs w:val="22"/>
          <w:lang w:val="en-GB"/>
        </w:rPr>
        <w:t xml:space="preserve"> payable</w:t>
      </w:r>
      <w:r w:rsidR="002C4F27">
        <w:rPr>
          <w:rFonts w:ascii="Arial" w:hAnsi="Arial" w:cs="Arial"/>
          <w:color w:val="7B7B7B" w:themeColor="accent3" w:themeShade="BF"/>
          <w:sz w:val="22"/>
          <w:szCs w:val="22"/>
          <w:lang w:val="en-GB"/>
        </w:rPr>
        <w:t>)</w:t>
      </w:r>
      <w:r w:rsidRPr="00457C65">
        <w:rPr>
          <w:rFonts w:ascii="Arial" w:hAnsi="Arial" w:cs="Arial"/>
          <w:color w:val="7B7B7B" w:themeColor="accent3" w:themeShade="BF"/>
          <w:sz w:val="22"/>
          <w:szCs w:val="22"/>
          <w:lang w:val="en-GB"/>
        </w:rPr>
        <w:t xml:space="preserve">. </w:t>
      </w:r>
    </w:p>
    <w:p w14:paraId="3C4300D9" w14:textId="47F2852A" w:rsidR="00457C65" w:rsidRPr="00457C65" w:rsidRDefault="002C4F27" w:rsidP="00457C65">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w:t>
      </w:r>
      <w:r w:rsidR="00457C65" w:rsidRPr="00457C65">
        <w:rPr>
          <w:rFonts w:ascii="Arial" w:hAnsi="Arial" w:cs="Arial"/>
          <w:color w:val="7B7B7B" w:themeColor="accent3" w:themeShade="BF"/>
          <w:sz w:val="22"/>
          <w:szCs w:val="22"/>
          <w:lang w:val="en-GB"/>
        </w:rPr>
        <w:t>cts performed free of charged in the two year</w:t>
      </w:r>
      <w:r>
        <w:rPr>
          <w:rFonts w:ascii="Arial" w:hAnsi="Arial" w:cs="Arial"/>
          <w:color w:val="7B7B7B" w:themeColor="accent3" w:themeShade="BF"/>
          <w:sz w:val="22"/>
          <w:szCs w:val="22"/>
          <w:lang w:val="en-GB"/>
        </w:rPr>
        <w:t>s</w:t>
      </w:r>
      <w:r w:rsidR="00457C65" w:rsidRPr="00457C65">
        <w:rPr>
          <w:rFonts w:ascii="Arial" w:hAnsi="Arial" w:cs="Arial"/>
          <w:color w:val="7B7B7B" w:themeColor="accent3" w:themeShade="BF"/>
          <w:sz w:val="22"/>
          <w:szCs w:val="22"/>
          <w:lang w:val="en-GB"/>
        </w:rPr>
        <w:t xml:space="preserve"> preceding the decree of bankruptcy e.g. donations or services provided free of charge. </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37C45952" w:rsidR="00D57E46" w:rsidRDefault="005A5522" w:rsidP="005A5522">
      <w:pPr>
        <w:pStyle w:val="ListParagraph"/>
        <w:numPr>
          <w:ilvl w:val="0"/>
          <w:numId w:val="43"/>
        </w:numPr>
        <w:jc w:val="both"/>
        <w:rPr>
          <w:rFonts w:ascii="Arial" w:hAnsi="Arial" w:cs="Arial"/>
          <w:color w:val="7B7B7B" w:themeColor="accent3" w:themeShade="BF"/>
          <w:sz w:val="22"/>
          <w:szCs w:val="22"/>
          <w:lang w:val="en-GB"/>
        </w:rPr>
      </w:pPr>
      <w:r w:rsidRPr="005A5522">
        <w:rPr>
          <w:rFonts w:ascii="Arial" w:hAnsi="Arial" w:cs="Arial"/>
          <w:color w:val="7B7B7B" w:themeColor="accent3" w:themeShade="BF"/>
          <w:sz w:val="22"/>
          <w:szCs w:val="22"/>
          <w:lang w:val="en-GB"/>
        </w:rPr>
        <w:t xml:space="preserve">Groups of companies are now eligible to file for a restructuring procedure as a group. Previously the Bankruptcy Law was silent on this matter which led to confusion. </w:t>
      </w:r>
    </w:p>
    <w:p w14:paraId="02A362D4" w14:textId="32DCC302" w:rsidR="005A5522" w:rsidRDefault="005A5522" w:rsidP="005A5522">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can now present an alternative judicial recovery plan if the voluntary one presented by the debtor is rejected</w:t>
      </w:r>
      <w:r w:rsidR="009258DC">
        <w:rPr>
          <w:rFonts w:ascii="Arial" w:hAnsi="Arial" w:cs="Arial"/>
          <w:color w:val="7B7B7B" w:themeColor="accent3" w:themeShade="BF"/>
          <w:sz w:val="22"/>
          <w:szCs w:val="22"/>
          <w:lang w:val="en-GB"/>
        </w:rPr>
        <w:t>.</w:t>
      </w:r>
    </w:p>
    <w:p w14:paraId="209801B6" w14:textId="5A31E8F6" w:rsidR="005A5522" w:rsidRDefault="005A5522" w:rsidP="005A5522">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Debtors can now file for extrajudicial recovery as soon as the debtor has one-t</w:t>
      </w:r>
      <w:r w:rsidR="009258DC">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ird of votes in favour from the creditors subject to the proceeding. </w:t>
      </w:r>
    </w:p>
    <w:p w14:paraId="418F5A53" w14:textId="77777777" w:rsidR="005A5522" w:rsidRDefault="005A5522" w:rsidP="00D57E46">
      <w:pPr>
        <w:ind w:left="720" w:hanging="720"/>
        <w:jc w:val="both"/>
        <w:rPr>
          <w:rFonts w:ascii="Arial" w:hAnsi="Arial" w:cs="Arial"/>
          <w:color w:val="7B7B7B" w:themeColor="accent3" w:themeShade="BF"/>
          <w:sz w:val="22"/>
          <w:szCs w:val="22"/>
          <w:lang w:val="en-GB"/>
        </w:rPr>
      </w:pPr>
    </w:p>
    <w:p w14:paraId="3DBC9A6D" w14:textId="77777777" w:rsidR="005A5522" w:rsidRPr="002A1547" w:rsidRDefault="005A5522"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6EC0FBF6" w:rsidR="00D57E46" w:rsidRDefault="00D57E46" w:rsidP="002A37BB">
      <w:pPr>
        <w:jc w:val="both"/>
        <w:rPr>
          <w:rFonts w:ascii="Arial" w:hAnsi="Arial" w:cs="Arial"/>
          <w:sz w:val="22"/>
          <w:szCs w:val="22"/>
          <w:lang w:val="en-GB"/>
        </w:rPr>
      </w:pPr>
    </w:p>
    <w:p w14:paraId="1D29D259" w14:textId="0A2A662D" w:rsidR="0045538F" w:rsidRDefault="0045538F" w:rsidP="002A37BB">
      <w:pPr>
        <w:jc w:val="both"/>
        <w:rPr>
          <w:rFonts w:ascii="Arial" w:hAnsi="Arial" w:cs="Arial"/>
          <w:color w:val="808080" w:themeColor="background1" w:themeShade="80"/>
          <w:sz w:val="22"/>
          <w:szCs w:val="22"/>
          <w:lang w:val="en-GB"/>
        </w:rPr>
      </w:pPr>
      <w:r w:rsidRPr="0045538F">
        <w:rPr>
          <w:rFonts w:ascii="Arial" w:hAnsi="Arial" w:cs="Arial"/>
          <w:color w:val="808080" w:themeColor="background1" w:themeShade="80"/>
          <w:sz w:val="22"/>
          <w:szCs w:val="22"/>
          <w:lang w:val="en-GB"/>
        </w:rPr>
        <w:t xml:space="preserve">The judicial recovery for micro and small enterprises is difference from a regular judicial recovery in many ways. </w:t>
      </w:r>
      <w:r>
        <w:rPr>
          <w:rFonts w:ascii="Arial" w:hAnsi="Arial" w:cs="Arial"/>
          <w:color w:val="808080" w:themeColor="background1" w:themeShade="80"/>
          <w:sz w:val="22"/>
          <w:szCs w:val="22"/>
          <w:lang w:val="en-GB"/>
        </w:rPr>
        <w:t xml:space="preserve">The company can elect between the special micro and small regime vs the regular regime. </w:t>
      </w:r>
    </w:p>
    <w:p w14:paraId="45A5F48F" w14:textId="77777777" w:rsidR="0045538F" w:rsidRDefault="0045538F" w:rsidP="002A37BB">
      <w:pPr>
        <w:jc w:val="both"/>
        <w:rPr>
          <w:rFonts w:ascii="Arial" w:hAnsi="Arial" w:cs="Arial"/>
          <w:color w:val="808080" w:themeColor="background1" w:themeShade="80"/>
          <w:sz w:val="22"/>
          <w:szCs w:val="22"/>
          <w:lang w:val="en-GB"/>
        </w:rPr>
      </w:pPr>
    </w:p>
    <w:p w14:paraId="7C8F067F" w14:textId="4BEB04D6" w:rsidR="0045538F" w:rsidRDefault="0045538F" w:rsidP="002A37BB">
      <w:pPr>
        <w:jc w:val="both"/>
        <w:rPr>
          <w:rFonts w:ascii="Arial" w:hAnsi="Arial" w:cs="Arial"/>
          <w:color w:val="808080" w:themeColor="background1" w:themeShade="80"/>
          <w:sz w:val="22"/>
          <w:szCs w:val="22"/>
          <w:lang w:val="en-GB"/>
        </w:rPr>
      </w:pPr>
      <w:r w:rsidRPr="0045538F">
        <w:rPr>
          <w:rFonts w:ascii="Arial" w:hAnsi="Arial" w:cs="Arial"/>
          <w:color w:val="808080" w:themeColor="background1" w:themeShade="80"/>
          <w:sz w:val="22"/>
          <w:szCs w:val="22"/>
          <w:lang w:val="en-GB"/>
        </w:rPr>
        <w:t>Some examples</w:t>
      </w:r>
      <w:r w:rsidR="003D79E1">
        <w:rPr>
          <w:rFonts w:ascii="Arial" w:hAnsi="Arial" w:cs="Arial"/>
          <w:color w:val="808080" w:themeColor="background1" w:themeShade="80"/>
          <w:sz w:val="22"/>
          <w:szCs w:val="22"/>
          <w:lang w:val="en-GB"/>
        </w:rPr>
        <w:t xml:space="preserve"> of how a micro/small regime work differently</w:t>
      </w:r>
      <w:r w:rsidRPr="0045538F">
        <w:rPr>
          <w:rFonts w:ascii="Arial" w:hAnsi="Arial" w:cs="Arial"/>
          <w:color w:val="808080" w:themeColor="background1" w:themeShade="80"/>
          <w:sz w:val="22"/>
          <w:szCs w:val="22"/>
          <w:lang w:val="en-GB"/>
        </w:rPr>
        <w:t xml:space="preserve"> are set out below</w:t>
      </w:r>
      <w:r>
        <w:rPr>
          <w:rFonts w:ascii="Arial" w:hAnsi="Arial" w:cs="Arial"/>
          <w:color w:val="808080" w:themeColor="background1" w:themeShade="80"/>
          <w:sz w:val="22"/>
          <w:szCs w:val="22"/>
          <w:lang w:val="en-GB"/>
        </w:rPr>
        <w:t>:</w:t>
      </w:r>
    </w:p>
    <w:p w14:paraId="12255625" w14:textId="77777777" w:rsidR="00501204" w:rsidRPr="0045538F" w:rsidRDefault="00501204" w:rsidP="002A37BB">
      <w:pPr>
        <w:jc w:val="both"/>
        <w:rPr>
          <w:rFonts w:ascii="Arial" w:hAnsi="Arial" w:cs="Arial"/>
          <w:color w:val="808080" w:themeColor="background1" w:themeShade="80"/>
          <w:sz w:val="22"/>
          <w:szCs w:val="22"/>
          <w:lang w:val="en-GB"/>
        </w:rPr>
      </w:pPr>
    </w:p>
    <w:p w14:paraId="4024A332" w14:textId="76673E75" w:rsidR="00544127" w:rsidRDefault="008246B0" w:rsidP="008246B0">
      <w:pPr>
        <w:pStyle w:val="ListParagraph"/>
        <w:numPr>
          <w:ilvl w:val="0"/>
          <w:numId w:val="44"/>
        </w:numPr>
        <w:jc w:val="both"/>
        <w:rPr>
          <w:rFonts w:ascii="Arial" w:hAnsi="Arial" w:cs="Arial"/>
          <w:color w:val="7B7B7B" w:themeColor="accent3" w:themeShade="BF"/>
          <w:sz w:val="22"/>
          <w:szCs w:val="22"/>
          <w:lang w:val="en-GB"/>
        </w:rPr>
      </w:pPr>
      <w:r w:rsidRPr="008246B0">
        <w:rPr>
          <w:rFonts w:ascii="Arial" w:hAnsi="Arial" w:cs="Arial"/>
          <w:color w:val="7B7B7B" w:themeColor="accent3" w:themeShade="BF"/>
          <w:sz w:val="22"/>
          <w:szCs w:val="22"/>
          <w:lang w:val="en-GB"/>
        </w:rPr>
        <w:t>The judicial administration</w:t>
      </w:r>
      <w:r w:rsidR="0045538F">
        <w:rPr>
          <w:rFonts w:ascii="Arial" w:hAnsi="Arial" w:cs="Arial"/>
          <w:color w:val="7B7B7B" w:themeColor="accent3" w:themeShade="BF"/>
          <w:sz w:val="22"/>
          <w:szCs w:val="22"/>
          <w:lang w:val="en-GB"/>
        </w:rPr>
        <w:t>’</w:t>
      </w:r>
      <w:r w:rsidRPr="008246B0">
        <w:rPr>
          <w:rFonts w:ascii="Arial" w:hAnsi="Arial" w:cs="Arial"/>
          <w:color w:val="7B7B7B" w:themeColor="accent3" w:themeShade="BF"/>
          <w:sz w:val="22"/>
          <w:szCs w:val="22"/>
          <w:lang w:val="en-GB"/>
        </w:rPr>
        <w:t xml:space="preserve">s remuneration </w:t>
      </w:r>
      <w:r w:rsidR="0045538F">
        <w:rPr>
          <w:rFonts w:ascii="Arial" w:hAnsi="Arial" w:cs="Arial"/>
          <w:color w:val="7B7B7B" w:themeColor="accent3" w:themeShade="BF"/>
          <w:sz w:val="22"/>
          <w:szCs w:val="22"/>
          <w:lang w:val="en-GB"/>
        </w:rPr>
        <w:t>for micro</w:t>
      </w:r>
      <w:r w:rsidR="003D79E1">
        <w:rPr>
          <w:rFonts w:ascii="Arial" w:hAnsi="Arial" w:cs="Arial"/>
          <w:color w:val="7B7B7B" w:themeColor="accent3" w:themeShade="BF"/>
          <w:sz w:val="22"/>
          <w:szCs w:val="22"/>
          <w:lang w:val="en-GB"/>
        </w:rPr>
        <w:t>/</w:t>
      </w:r>
      <w:r w:rsidR="0045538F">
        <w:rPr>
          <w:rFonts w:ascii="Arial" w:hAnsi="Arial" w:cs="Arial"/>
          <w:color w:val="7B7B7B" w:themeColor="accent3" w:themeShade="BF"/>
          <w:sz w:val="22"/>
          <w:szCs w:val="22"/>
          <w:lang w:val="en-GB"/>
        </w:rPr>
        <w:t xml:space="preserve"> small </w:t>
      </w:r>
      <w:r w:rsidRPr="008246B0">
        <w:rPr>
          <w:rFonts w:ascii="Arial" w:hAnsi="Arial" w:cs="Arial"/>
          <w:color w:val="7B7B7B" w:themeColor="accent3" w:themeShade="BF"/>
          <w:sz w:val="22"/>
          <w:szCs w:val="22"/>
          <w:lang w:val="en-GB"/>
        </w:rPr>
        <w:t>is</w:t>
      </w:r>
      <w:r w:rsidR="0045538F">
        <w:rPr>
          <w:rFonts w:ascii="Arial" w:hAnsi="Arial" w:cs="Arial"/>
          <w:color w:val="7B7B7B" w:themeColor="accent3" w:themeShade="BF"/>
          <w:sz w:val="22"/>
          <w:szCs w:val="22"/>
          <w:lang w:val="en-GB"/>
        </w:rPr>
        <w:t xml:space="preserve"> a</w:t>
      </w:r>
      <w:r w:rsidRPr="008246B0">
        <w:rPr>
          <w:rFonts w:ascii="Arial" w:hAnsi="Arial" w:cs="Arial"/>
          <w:color w:val="7B7B7B" w:themeColor="accent3" w:themeShade="BF"/>
          <w:sz w:val="22"/>
          <w:szCs w:val="22"/>
          <w:lang w:val="en-GB"/>
        </w:rPr>
        <w:t xml:space="preserve"> 2% limit rather than 5%</w:t>
      </w:r>
      <w:r w:rsidR="0045538F">
        <w:rPr>
          <w:rFonts w:ascii="Arial" w:hAnsi="Arial" w:cs="Arial"/>
          <w:color w:val="7B7B7B" w:themeColor="accent3" w:themeShade="BF"/>
          <w:sz w:val="22"/>
          <w:szCs w:val="22"/>
          <w:lang w:val="en-GB"/>
        </w:rPr>
        <w:t xml:space="preserve"> in regular. </w:t>
      </w:r>
    </w:p>
    <w:p w14:paraId="22AB9AB0" w14:textId="15E25015" w:rsidR="008246B0" w:rsidRDefault="0045538F" w:rsidP="008246B0">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Micro and small recover</w:t>
      </w:r>
      <w:r w:rsidR="008246B0">
        <w:rPr>
          <w:rFonts w:ascii="Arial" w:hAnsi="Arial" w:cs="Arial"/>
          <w:color w:val="7B7B7B" w:themeColor="accent3" w:themeShade="BF"/>
          <w:sz w:val="22"/>
          <w:szCs w:val="22"/>
          <w:lang w:val="en-GB"/>
        </w:rPr>
        <w:t>i</w:t>
      </w:r>
      <w:r w:rsidR="003D79E1">
        <w:rPr>
          <w:rFonts w:ascii="Arial" w:hAnsi="Arial" w:cs="Arial"/>
          <w:color w:val="7B7B7B" w:themeColor="accent3" w:themeShade="BF"/>
          <w:sz w:val="22"/>
          <w:szCs w:val="22"/>
          <w:lang w:val="en-GB"/>
        </w:rPr>
        <w:t>es</w:t>
      </w:r>
      <w:r w:rsidR="008246B0">
        <w:rPr>
          <w:rFonts w:ascii="Arial" w:hAnsi="Arial" w:cs="Arial"/>
          <w:color w:val="7B7B7B" w:themeColor="accent3" w:themeShade="BF"/>
          <w:sz w:val="22"/>
          <w:szCs w:val="22"/>
          <w:lang w:val="en-GB"/>
        </w:rPr>
        <w:t xml:space="preserve"> </w:t>
      </w:r>
      <w:r w:rsidR="003D79E1">
        <w:rPr>
          <w:rFonts w:ascii="Arial" w:hAnsi="Arial" w:cs="Arial"/>
          <w:color w:val="7B7B7B" w:themeColor="accent3" w:themeShade="BF"/>
          <w:sz w:val="22"/>
          <w:szCs w:val="22"/>
          <w:lang w:val="en-GB"/>
        </w:rPr>
        <w:t xml:space="preserve">are </w:t>
      </w:r>
      <w:r w:rsidR="008246B0">
        <w:rPr>
          <w:rFonts w:ascii="Arial" w:hAnsi="Arial" w:cs="Arial"/>
          <w:color w:val="7B7B7B" w:themeColor="accent3" w:themeShade="BF"/>
          <w:sz w:val="22"/>
          <w:szCs w:val="22"/>
          <w:lang w:val="en-GB"/>
        </w:rPr>
        <w:t>more focused on tax benefits</w:t>
      </w:r>
      <w:r>
        <w:rPr>
          <w:rFonts w:ascii="Arial" w:hAnsi="Arial" w:cs="Arial"/>
          <w:color w:val="7B7B7B" w:themeColor="accent3" w:themeShade="BF"/>
          <w:sz w:val="22"/>
          <w:szCs w:val="22"/>
          <w:lang w:val="en-GB"/>
        </w:rPr>
        <w:t xml:space="preserve"> compared to regular. </w:t>
      </w:r>
    </w:p>
    <w:p w14:paraId="33DDD556" w14:textId="3DC3C2BD" w:rsidR="008246B0" w:rsidRDefault="0045538F" w:rsidP="008246B0">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Micro</w:t>
      </w:r>
      <w:r w:rsidR="003D79E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small </w:t>
      </w:r>
      <w:r w:rsidR="003D79E1">
        <w:rPr>
          <w:rFonts w:ascii="Arial" w:hAnsi="Arial" w:cs="Arial"/>
          <w:color w:val="7B7B7B" w:themeColor="accent3" w:themeShade="BF"/>
          <w:sz w:val="22"/>
          <w:szCs w:val="22"/>
          <w:lang w:val="en-GB"/>
        </w:rPr>
        <w:t xml:space="preserve">recoveries </w:t>
      </w:r>
      <w:r>
        <w:rPr>
          <w:rFonts w:ascii="Arial" w:hAnsi="Arial" w:cs="Arial"/>
          <w:color w:val="7B7B7B" w:themeColor="accent3" w:themeShade="BF"/>
          <w:sz w:val="22"/>
          <w:szCs w:val="22"/>
          <w:lang w:val="en-GB"/>
        </w:rPr>
        <w:t xml:space="preserve">have </w:t>
      </w:r>
      <w:r w:rsidR="008246B0">
        <w:rPr>
          <w:rFonts w:ascii="Arial" w:hAnsi="Arial" w:cs="Arial"/>
          <w:color w:val="7B7B7B" w:themeColor="accent3" w:themeShade="BF"/>
          <w:sz w:val="22"/>
          <w:szCs w:val="22"/>
          <w:lang w:val="en-GB"/>
        </w:rPr>
        <w:t>no judicial administrator – i.e. less expensive procedure</w:t>
      </w:r>
      <w:r>
        <w:rPr>
          <w:rFonts w:ascii="Arial" w:hAnsi="Arial" w:cs="Arial"/>
          <w:color w:val="7B7B7B" w:themeColor="accent3" w:themeShade="BF"/>
          <w:sz w:val="22"/>
          <w:szCs w:val="22"/>
          <w:lang w:val="en-GB"/>
        </w:rPr>
        <w:t xml:space="preserve"> than compared to a regular judicial recovery. </w:t>
      </w:r>
      <w:r w:rsidR="008246B0">
        <w:rPr>
          <w:rFonts w:ascii="Arial" w:hAnsi="Arial" w:cs="Arial"/>
          <w:color w:val="7B7B7B" w:themeColor="accent3" w:themeShade="BF"/>
          <w:sz w:val="22"/>
          <w:szCs w:val="22"/>
          <w:lang w:val="en-GB"/>
        </w:rPr>
        <w:t xml:space="preserve"> </w:t>
      </w:r>
    </w:p>
    <w:p w14:paraId="4483B689" w14:textId="76382D00" w:rsidR="008246B0" w:rsidRDefault="0045538F" w:rsidP="008246B0">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plan proposed in a micro and small regime m</w:t>
      </w:r>
      <w:r w:rsidR="003D79E1">
        <w:rPr>
          <w:rFonts w:ascii="Arial" w:hAnsi="Arial" w:cs="Arial"/>
          <w:color w:val="7B7B7B" w:themeColor="accent3" w:themeShade="BF"/>
          <w:sz w:val="22"/>
          <w:szCs w:val="22"/>
          <w:lang w:val="en-GB"/>
        </w:rPr>
        <w:t xml:space="preserve">ay </w:t>
      </w:r>
      <w:r w:rsidR="008246B0">
        <w:rPr>
          <w:rFonts w:ascii="Arial" w:hAnsi="Arial" w:cs="Arial"/>
          <w:color w:val="7B7B7B" w:themeColor="accent3" w:themeShade="BF"/>
          <w:sz w:val="22"/>
          <w:szCs w:val="22"/>
          <w:lang w:val="en-GB"/>
        </w:rPr>
        <w:t xml:space="preserve">include a maximum of </w:t>
      </w:r>
      <w:r>
        <w:rPr>
          <w:rFonts w:ascii="Arial" w:hAnsi="Arial" w:cs="Arial"/>
          <w:color w:val="7B7B7B" w:themeColor="accent3" w:themeShade="BF"/>
          <w:sz w:val="22"/>
          <w:szCs w:val="22"/>
          <w:lang w:val="en-GB"/>
        </w:rPr>
        <w:t>3</w:t>
      </w:r>
      <w:r w:rsidR="008246B0">
        <w:rPr>
          <w:rFonts w:ascii="Arial" w:hAnsi="Arial" w:cs="Arial"/>
          <w:color w:val="7B7B7B" w:themeColor="accent3" w:themeShade="BF"/>
          <w:sz w:val="22"/>
          <w:szCs w:val="22"/>
          <w:lang w:val="en-GB"/>
        </w:rPr>
        <w:t>6 month</w:t>
      </w:r>
      <w:r>
        <w:rPr>
          <w:rFonts w:ascii="Arial" w:hAnsi="Arial" w:cs="Arial"/>
          <w:color w:val="7B7B7B" w:themeColor="accent3" w:themeShade="BF"/>
          <w:sz w:val="22"/>
          <w:szCs w:val="22"/>
          <w:lang w:val="en-GB"/>
        </w:rPr>
        <w:t>ly payment</w:t>
      </w:r>
      <w:r w:rsidR="008246B0">
        <w:rPr>
          <w:rFonts w:ascii="Arial" w:hAnsi="Arial" w:cs="Arial"/>
          <w:color w:val="7B7B7B" w:themeColor="accent3" w:themeShade="BF"/>
          <w:sz w:val="22"/>
          <w:szCs w:val="22"/>
          <w:lang w:val="en-GB"/>
        </w:rPr>
        <w:t xml:space="preserve"> instalment</w:t>
      </w:r>
      <w:r>
        <w:rPr>
          <w:rFonts w:ascii="Arial" w:hAnsi="Arial" w:cs="Arial"/>
          <w:color w:val="7B7B7B" w:themeColor="accent3" w:themeShade="BF"/>
          <w:sz w:val="22"/>
          <w:szCs w:val="22"/>
          <w:lang w:val="en-GB"/>
        </w:rPr>
        <w:t xml:space="preserve">s </w:t>
      </w:r>
      <w:r w:rsidR="008246B0">
        <w:rPr>
          <w:rFonts w:ascii="Arial" w:hAnsi="Arial" w:cs="Arial"/>
          <w:color w:val="7B7B7B" w:themeColor="accent3" w:themeShade="BF"/>
          <w:sz w:val="22"/>
          <w:szCs w:val="22"/>
          <w:lang w:val="en-GB"/>
        </w:rPr>
        <w:t xml:space="preserve">of equal and successive amount. The first instalment </w:t>
      </w:r>
      <w:r>
        <w:rPr>
          <w:rFonts w:ascii="Arial" w:hAnsi="Arial" w:cs="Arial"/>
          <w:color w:val="7B7B7B" w:themeColor="accent3" w:themeShade="BF"/>
          <w:sz w:val="22"/>
          <w:szCs w:val="22"/>
          <w:lang w:val="en-GB"/>
        </w:rPr>
        <w:t>must be</w:t>
      </w:r>
      <w:r w:rsidR="008246B0">
        <w:rPr>
          <w:rFonts w:ascii="Arial" w:hAnsi="Arial" w:cs="Arial"/>
          <w:color w:val="7B7B7B" w:themeColor="accent3" w:themeShade="BF"/>
          <w:sz w:val="22"/>
          <w:szCs w:val="22"/>
          <w:lang w:val="en-GB"/>
        </w:rPr>
        <w:t xml:space="preserve"> paid within 180 days from the filing of the judicial recovery petition before the court. </w:t>
      </w:r>
    </w:p>
    <w:p w14:paraId="48875262" w14:textId="08DA1B51" w:rsidR="0045538F" w:rsidRDefault="0045538F" w:rsidP="0045538F">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general meeting of creditors called in a micro and small (unlike </w:t>
      </w:r>
      <w:r w:rsidR="00283BB0">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 xml:space="preserve">a regular recovery). </w:t>
      </w:r>
    </w:p>
    <w:p w14:paraId="7BAA1F7F" w14:textId="51C19632" w:rsidR="0045538F" w:rsidRPr="00501204" w:rsidRDefault="0045538F" w:rsidP="0050120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micro and small regime, i</w:t>
      </w:r>
      <w:r>
        <w:rPr>
          <w:rFonts w:ascii="Arial" w:hAnsi="Arial" w:cs="Arial"/>
          <w:color w:val="7B7B7B" w:themeColor="accent3" w:themeShade="BF"/>
          <w:sz w:val="22"/>
          <w:szCs w:val="22"/>
          <w:lang w:val="en-GB"/>
        </w:rPr>
        <w:t xml:space="preserve">f creditors holding over 50% of the claims of each class object to the plan, the judicial recovery will be dismissed and it will become a bankruptcy. </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50E9347B" w14:textId="6C8D4757" w:rsidR="00D81778" w:rsidRDefault="00D81778" w:rsidP="00D81778">
      <w:pPr>
        <w:pStyle w:val="ListParagraph"/>
        <w:numPr>
          <w:ilvl w:val="0"/>
          <w:numId w:val="45"/>
        </w:numPr>
        <w:jc w:val="both"/>
        <w:rPr>
          <w:rFonts w:ascii="Arial" w:hAnsi="Arial" w:cs="Arial"/>
          <w:color w:val="7B7B7B" w:themeColor="accent3" w:themeShade="BF"/>
          <w:sz w:val="22"/>
          <w:szCs w:val="22"/>
          <w:lang w:val="en-GB"/>
        </w:rPr>
      </w:pPr>
      <w:r w:rsidRPr="00D81778">
        <w:rPr>
          <w:rFonts w:ascii="Arial" w:hAnsi="Arial" w:cs="Arial"/>
          <w:color w:val="7B7B7B" w:themeColor="accent3" w:themeShade="BF"/>
          <w:sz w:val="22"/>
          <w:szCs w:val="22"/>
          <w:lang w:val="en-GB"/>
        </w:rPr>
        <w:t>A claim for restitution applies where property is in the possession of the estate but belongs the third party. It seeks to reclaim property from the estate for the purpose of returning</w:t>
      </w:r>
      <w:r w:rsidR="00B173F8">
        <w:rPr>
          <w:rFonts w:ascii="Arial" w:hAnsi="Arial" w:cs="Arial"/>
          <w:color w:val="7B7B7B" w:themeColor="accent3" w:themeShade="BF"/>
          <w:sz w:val="22"/>
          <w:szCs w:val="22"/>
          <w:lang w:val="en-GB"/>
        </w:rPr>
        <w:t xml:space="preserve"> it</w:t>
      </w:r>
      <w:r w:rsidRPr="00D81778">
        <w:rPr>
          <w:rFonts w:ascii="Arial" w:hAnsi="Arial" w:cs="Arial"/>
          <w:color w:val="7B7B7B" w:themeColor="accent3" w:themeShade="BF"/>
          <w:sz w:val="22"/>
          <w:szCs w:val="22"/>
          <w:lang w:val="en-GB"/>
        </w:rPr>
        <w:t xml:space="preserve"> to the creditor.</w:t>
      </w:r>
    </w:p>
    <w:p w14:paraId="53A95EAC" w14:textId="77777777" w:rsidR="00D81778" w:rsidRDefault="00D81778" w:rsidP="00D81778">
      <w:pPr>
        <w:pStyle w:val="ListParagraph"/>
        <w:jc w:val="both"/>
        <w:rPr>
          <w:rFonts w:ascii="Arial" w:hAnsi="Arial" w:cs="Arial"/>
          <w:color w:val="7B7B7B" w:themeColor="accent3" w:themeShade="BF"/>
          <w:sz w:val="22"/>
          <w:szCs w:val="22"/>
          <w:lang w:val="en-GB"/>
        </w:rPr>
      </w:pPr>
    </w:p>
    <w:p w14:paraId="4A391BD1" w14:textId="4E4F9FEA" w:rsidR="00D81778" w:rsidRPr="00D81778" w:rsidRDefault="00D81778" w:rsidP="00D81778">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restitution claim runs as a separate cas</w:t>
      </w:r>
      <w:r w:rsidR="00B173F8">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record. The debtor, committee of creditors, creditors and the judicial administrator are all notified and given the opportunity to oppose it. </w:t>
      </w:r>
    </w:p>
    <w:p w14:paraId="50BD7512" w14:textId="0F411C38" w:rsidR="00D81778" w:rsidRDefault="00D81778" w:rsidP="00D81778">
      <w:pPr>
        <w:pStyle w:val="ListParagraph"/>
        <w:jc w:val="both"/>
        <w:rPr>
          <w:rFonts w:ascii="Arial" w:hAnsi="Arial" w:cs="Arial"/>
          <w:color w:val="7B7B7B" w:themeColor="accent3" w:themeShade="BF"/>
          <w:sz w:val="22"/>
          <w:szCs w:val="22"/>
          <w:lang w:val="en-GB"/>
        </w:rPr>
      </w:pPr>
    </w:p>
    <w:p w14:paraId="3DAA6780" w14:textId="428D6E48" w:rsidR="00962045" w:rsidRPr="00D81778" w:rsidRDefault="00D81778" w:rsidP="00D81778">
      <w:pPr>
        <w:pStyle w:val="ListParagraph"/>
        <w:numPr>
          <w:ilvl w:val="0"/>
          <w:numId w:val="45"/>
        </w:numPr>
        <w:jc w:val="both"/>
        <w:rPr>
          <w:rFonts w:ascii="Arial" w:hAnsi="Arial" w:cs="Arial"/>
          <w:color w:val="7B7B7B" w:themeColor="accent3" w:themeShade="BF"/>
          <w:sz w:val="22"/>
          <w:szCs w:val="22"/>
          <w:lang w:val="en-GB"/>
        </w:rPr>
      </w:pPr>
      <w:r w:rsidRPr="00D81778">
        <w:rPr>
          <w:rFonts w:ascii="Arial" w:hAnsi="Arial" w:cs="Arial"/>
          <w:color w:val="7B7B7B" w:themeColor="accent3" w:themeShade="BF"/>
          <w:sz w:val="22"/>
          <w:szCs w:val="22"/>
          <w:lang w:val="en-GB"/>
        </w:rPr>
        <w:t>In addition, if a party sold an asset to the debtor on credit, in the 15 days prior to the petition for bankruptcy, it may be returned (if it has not been disposed of).</w:t>
      </w:r>
    </w:p>
    <w:p w14:paraId="46CCA1A3" w14:textId="3361D01E" w:rsidR="00D81778" w:rsidRPr="00D81778" w:rsidRDefault="00D81778" w:rsidP="00D81778">
      <w:pPr>
        <w:pStyle w:val="ListParagraph"/>
        <w:jc w:val="both"/>
        <w:rPr>
          <w:rFonts w:ascii="Arial" w:hAnsi="Arial" w:cs="Arial"/>
          <w:color w:val="7B7B7B" w:themeColor="accent3" w:themeShade="BF"/>
          <w:sz w:val="22"/>
          <w:szCs w:val="22"/>
          <w:lang w:val="en-GB"/>
        </w:rPr>
      </w:pPr>
    </w:p>
    <w:p w14:paraId="4A79E9F0" w14:textId="1417F9F8" w:rsidR="00D81778" w:rsidRDefault="00D81778" w:rsidP="00D81778">
      <w:pPr>
        <w:pStyle w:val="ListParagraph"/>
        <w:numPr>
          <w:ilvl w:val="0"/>
          <w:numId w:val="45"/>
        </w:numPr>
        <w:jc w:val="both"/>
        <w:rPr>
          <w:rFonts w:ascii="Arial" w:hAnsi="Arial" w:cs="Arial"/>
          <w:color w:val="7B7B7B" w:themeColor="accent3" w:themeShade="BF"/>
          <w:sz w:val="22"/>
          <w:szCs w:val="22"/>
          <w:lang w:val="en-GB"/>
        </w:rPr>
      </w:pPr>
      <w:r w:rsidRPr="00D81778">
        <w:rPr>
          <w:rFonts w:ascii="Arial" w:hAnsi="Arial" w:cs="Arial"/>
          <w:color w:val="7B7B7B" w:themeColor="accent3" w:themeShade="BF"/>
          <w:sz w:val="22"/>
          <w:szCs w:val="22"/>
          <w:lang w:val="en-GB"/>
        </w:rPr>
        <w:t xml:space="preserve">All restitution amounts due under a lawsuit must be paid in priority to all other claims including super-priority claims. </w:t>
      </w:r>
    </w:p>
    <w:p w14:paraId="357CB602" w14:textId="77777777" w:rsidR="00D81778" w:rsidRPr="00D81778" w:rsidRDefault="00D81778" w:rsidP="00D81778">
      <w:pPr>
        <w:pStyle w:val="ListParagraph"/>
        <w:rPr>
          <w:rFonts w:ascii="Arial" w:hAnsi="Arial" w:cs="Arial"/>
          <w:color w:val="7B7B7B" w:themeColor="accent3" w:themeShade="BF"/>
          <w:sz w:val="22"/>
          <w:szCs w:val="22"/>
          <w:lang w:val="en-GB"/>
        </w:rPr>
      </w:pPr>
    </w:p>
    <w:p w14:paraId="1FA5C4D4" w14:textId="49D82E86" w:rsidR="00D81778" w:rsidRPr="00D81778" w:rsidRDefault="00D81778" w:rsidP="00D81778">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Restitution in cash is possible, based on an appraised value, if the asset no long</w:t>
      </w:r>
      <w:r w:rsidR="00500277">
        <w:rPr>
          <w:rFonts w:ascii="Arial" w:hAnsi="Arial" w:cs="Arial"/>
          <w:color w:val="7B7B7B" w:themeColor="accent3" w:themeShade="BF"/>
          <w:sz w:val="22"/>
          <w:szCs w:val="22"/>
          <w:lang w:val="en-GB"/>
        </w:rPr>
        <w:t>er</w:t>
      </w:r>
      <w:r>
        <w:rPr>
          <w:rFonts w:ascii="Arial" w:hAnsi="Arial" w:cs="Arial"/>
          <w:color w:val="7B7B7B" w:themeColor="accent3" w:themeShade="BF"/>
          <w:sz w:val="22"/>
          <w:szCs w:val="22"/>
          <w:lang w:val="en-GB"/>
        </w:rPr>
        <w:t xml:space="preserve"> exists. Or if it has been sold, the value is the price sold for. The cash value cannot exceed the term established in the specific rules of the competent authority</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the process of proof of claims for a creditor, under a judicial recovery case, who (i)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0329404E" w14:textId="553CBD9A" w:rsidR="00D4069F" w:rsidRDefault="00D4069F" w:rsidP="00D4069F">
      <w:pPr>
        <w:pStyle w:val="ListParagraph"/>
        <w:numPr>
          <w:ilvl w:val="0"/>
          <w:numId w:val="47"/>
        </w:numPr>
        <w:jc w:val="both"/>
        <w:rPr>
          <w:rFonts w:ascii="Arial" w:hAnsi="Arial" w:cs="Arial"/>
          <w:color w:val="808080" w:themeColor="background1" w:themeShade="80"/>
          <w:sz w:val="22"/>
          <w:szCs w:val="22"/>
          <w:lang w:val="en-GB"/>
        </w:rPr>
      </w:pPr>
      <w:r w:rsidRPr="00501204">
        <w:rPr>
          <w:rFonts w:ascii="Arial" w:hAnsi="Arial" w:cs="Arial"/>
          <w:color w:val="808080" w:themeColor="background1" w:themeShade="80"/>
          <w:sz w:val="22"/>
          <w:szCs w:val="22"/>
          <w:lang w:val="en-GB"/>
        </w:rPr>
        <w:t xml:space="preserve">After the debtor’s list is published, creditors have 15 days to request the judicial administrator to include any missing claims or correct an incorrect claim. </w:t>
      </w:r>
    </w:p>
    <w:p w14:paraId="16428D1F" w14:textId="77777777" w:rsidR="00501204" w:rsidRPr="00501204" w:rsidRDefault="00501204" w:rsidP="00501204">
      <w:pPr>
        <w:pStyle w:val="ListParagraph"/>
        <w:ind w:left="1080"/>
        <w:jc w:val="both"/>
        <w:rPr>
          <w:rFonts w:ascii="Arial" w:hAnsi="Arial" w:cs="Arial"/>
          <w:color w:val="808080" w:themeColor="background1" w:themeShade="80"/>
          <w:sz w:val="22"/>
          <w:szCs w:val="22"/>
          <w:lang w:val="en-GB"/>
        </w:rPr>
      </w:pPr>
    </w:p>
    <w:p w14:paraId="0BD550C1" w14:textId="176626DB" w:rsidR="00476536" w:rsidRPr="00501204" w:rsidRDefault="00D4069F" w:rsidP="00D4069F">
      <w:pPr>
        <w:pStyle w:val="ListParagraph"/>
        <w:numPr>
          <w:ilvl w:val="0"/>
          <w:numId w:val="47"/>
        </w:numPr>
        <w:jc w:val="both"/>
        <w:rPr>
          <w:rFonts w:ascii="Arial" w:hAnsi="Arial" w:cs="Arial"/>
          <w:color w:val="808080" w:themeColor="background1" w:themeShade="80"/>
          <w:sz w:val="22"/>
          <w:szCs w:val="22"/>
          <w:lang w:val="en-GB"/>
        </w:rPr>
      </w:pPr>
      <w:r w:rsidRPr="00501204">
        <w:rPr>
          <w:rFonts w:ascii="Arial" w:hAnsi="Arial" w:cs="Arial"/>
          <w:color w:val="808080" w:themeColor="background1" w:themeShade="80"/>
          <w:sz w:val="22"/>
          <w:szCs w:val="22"/>
          <w:u w:color="FF0000"/>
          <w:lang w:val="en-GB"/>
        </w:rPr>
        <w:t>If their claim wasn’t listed and they miss the 15 day period for presentation</w:t>
      </w:r>
      <w:r w:rsidR="00501204">
        <w:rPr>
          <w:rFonts w:ascii="Arial" w:hAnsi="Arial" w:cs="Arial"/>
          <w:color w:val="808080" w:themeColor="background1" w:themeShade="80"/>
          <w:sz w:val="22"/>
          <w:szCs w:val="22"/>
          <w:u w:color="FF0000"/>
          <w:lang w:val="en-GB"/>
        </w:rPr>
        <w:t xml:space="preserve">, </w:t>
      </w:r>
      <w:r w:rsidRPr="00501204">
        <w:rPr>
          <w:rFonts w:ascii="Arial" w:hAnsi="Arial" w:cs="Arial"/>
          <w:color w:val="808080" w:themeColor="background1" w:themeShade="80"/>
          <w:sz w:val="22"/>
          <w:szCs w:val="22"/>
          <w:u w:color="FF0000"/>
          <w:lang w:val="en-GB"/>
        </w:rPr>
        <w:t xml:space="preserve">the claim will be a “late claim” and the creditor will not have the right to vote at the general meeting of creditors until such claim is recognised by the court. The claim will be recognised as an opposition claim and the court will </w:t>
      </w:r>
      <w:r w:rsidR="00501204">
        <w:rPr>
          <w:rFonts w:ascii="Arial" w:hAnsi="Arial" w:cs="Arial"/>
          <w:color w:val="808080" w:themeColor="background1" w:themeShade="80"/>
          <w:sz w:val="22"/>
          <w:szCs w:val="22"/>
          <w:u w:color="FF0000"/>
          <w:lang w:val="en-GB"/>
        </w:rPr>
        <w:t xml:space="preserve">need to </w:t>
      </w:r>
      <w:r w:rsidRPr="00501204">
        <w:rPr>
          <w:rFonts w:ascii="Arial" w:hAnsi="Arial" w:cs="Arial"/>
          <w:color w:val="808080" w:themeColor="background1" w:themeShade="80"/>
          <w:sz w:val="22"/>
          <w:szCs w:val="22"/>
          <w:u w:color="FF0000"/>
          <w:lang w:val="en-GB"/>
        </w:rPr>
        <w:t xml:space="preserve">decide if it should be admitted. </w:t>
      </w:r>
      <w:r w:rsidR="00501204">
        <w:rPr>
          <w:rFonts w:ascii="Arial" w:hAnsi="Arial" w:cs="Arial"/>
          <w:color w:val="808080" w:themeColor="background1" w:themeShade="80"/>
          <w:sz w:val="22"/>
          <w:szCs w:val="22"/>
          <w:u w:color="FF0000"/>
          <w:lang w:val="en-GB"/>
        </w:rPr>
        <w:t>In this situation, the c</w:t>
      </w:r>
      <w:r w:rsidRPr="00501204">
        <w:rPr>
          <w:rFonts w:ascii="Arial" w:hAnsi="Arial" w:cs="Arial"/>
          <w:color w:val="808080" w:themeColor="background1" w:themeShade="80"/>
          <w:sz w:val="22"/>
          <w:szCs w:val="22"/>
          <w:u w:color="FF0000"/>
          <w:lang w:val="en-GB"/>
        </w:rPr>
        <w:t>reditor will have lost</w:t>
      </w:r>
      <w:r w:rsidR="00501204">
        <w:rPr>
          <w:rFonts w:ascii="Arial" w:hAnsi="Arial" w:cs="Arial"/>
          <w:color w:val="808080" w:themeColor="background1" w:themeShade="80"/>
          <w:sz w:val="22"/>
          <w:szCs w:val="22"/>
          <w:u w:color="FF0000"/>
          <w:lang w:val="en-GB"/>
        </w:rPr>
        <w:t xml:space="preserve"> its</w:t>
      </w:r>
      <w:r w:rsidRPr="00501204">
        <w:rPr>
          <w:rFonts w:ascii="Arial" w:hAnsi="Arial" w:cs="Arial"/>
          <w:color w:val="808080" w:themeColor="background1" w:themeShade="80"/>
          <w:sz w:val="22"/>
          <w:szCs w:val="22"/>
          <w:u w:color="FF0000"/>
          <w:lang w:val="en-GB"/>
        </w:rPr>
        <w:t xml:space="preserve"> voting right, and incurred legal/court fees. </w:t>
      </w:r>
    </w:p>
    <w:p w14:paraId="54EAF9CB" w14:textId="77777777" w:rsidR="00501204" w:rsidRPr="00501204" w:rsidRDefault="00501204" w:rsidP="00501204">
      <w:pPr>
        <w:jc w:val="both"/>
        <w:rPr>
          <w:rFonts w:ascii="Arial" w:hAnsi="Arial" w:cs="Arial"/>
          <w:color w:val="808080" w:themeColor="background1" w:themeShade="80"/>
          <w:sz w:val="22"/>
          <w:szCs w:val="22"/>
          <w:lang w:val="en-GB"/>
        </w:rPr>
      </w:pPr>
    </w:p>
    <w:p w14:paraId="2B6F3225" w14:textId="15F4DB79" w:rsidR="00D91939" w:rsidRPr="007620B3" w:rsidRDefault="00D91939" w:rsidP="007620B3">
      <w:pPr>
        <w:pStyle w:val="ListParagraph"/>
        <w:numPr>
          <w:ilvl w:val="0"/>
          <w:numId w:val="47"/>
        </w:numPr>
        <w:jc w:val="both"/>
        <w:rPr>
          <w:rFonts w:ascii="Arial" w:hAnsi="Arial" w:cs="Arial"/>
          <w:color w:val="808080" w:themeColor="background1" w:themeShade="80"/>
          <w:sz w:val="22"/>
          <w:szCs w:val="22"/>
          <w:lang w:val="en-GB"/>
        </w:rPr>
      </w:pPr>
      <w:r w:rsidRPr="00501204">
        <w:rPr>
          <w:rFonts w:ascii="Arial" w:hAnsi="Arial" w:cs="Arial"/>
          <w:color w:val="808080" w:themeColor="background1" w:themeShade="80"/>
          <w:sz w:val="22"/>
          <w:szCs w:val="22"/>
          <w:u w:color="FF0000"/>
          <w:lang w:val="en-GB"/>
        </w:rPr>
        <w:t xml:space="preserve">After the second list is published, the creditor can present their opposition to the court within a 10 day period of the publication of the list by the judicial administrator. </w:t>
      </w:r>
      <w:r w:rsidRPr="007620B3">
        <w:rPr>
          <w:rFonts w:ascii="Arial" w:hAnsi="Arial" w:cs="Arial"/>
          <w:color w:val="808080" w:themeColor="background1" w:themeShade="80"/>
          <w:sz w:val="22"/>
          <w:szCs w:val="22"/>
          <w:u w:color="FF0000"/>
          <w:lang w:val="en-GB"/>
        </w:rPr>
        <w:t>The third list after this is final</w:t>
      </w:r>
      <w:r w:rsidR="00501204" w:rsidRPr="007620B3">
        <w:rPr>
          <w:rFonts w:ascii="Arial" w:hAnsi="Arial" w:cs="Arial"/>
          <w:color w:val="808080" w:themeColor="background1" w:themeShade="80"/>
          <w:sz w:val="22"/>
          <w:szCs w:val="22"/>
          <w:u w:color="FF0000"/>
          <w:lang w:val="en-GB"/>
        </w:rPr>
        <w:t>. If the claim is not included, unfortunately there are</w:t>
      </w:r>
      <w:r w:rsidRPr="007620B3">
        <w:rPr>
          <w:rFonts w:ascii="Arial" w:hAnsi="Arial" w:cs="Arial"/>
          <w:color w:val="808080" w:themeColor="background1" w:themeShade="80"/>
          <w:sz w:val="22"/>
          <w:szCs w:val="22"/>
          <w:u w:color="FF0000"/>
          <w:lang w:val="en-GB"/>
        </w:rPr>
        <w:t xml:space="preserve"> no objections</w:t>
      </w:r>
      <w:r w:rsidR="00501204" w:rsidRPr="007620B3">
        <w:rPr>
          <w:rFonts w:ascii="Arial" w:hAnsi="Arial" w:cs="Arial"/>
          <w:color w:val="808080" w:themeColor="background1" w:themeShade="80"/>
          <w:sz w:val="22"/>
          <w:szCs w:val="22"/>
          <w:u w:color="FF0000"/>
          <w:lang w:val="en-GB"/>
        </w:rPr>
        <w:t xml:space="preserve"> allowed</w:t>
      </w:r>
      <w:r w:rsidRPr="007620B3">
        <w:rPr>
          <w:rFonts w:ascii="Arial" w:hAnsi="Arial" w:cs="Arial"/>
          <w:color w:val="808080" w:themeColor="background1" w:themeShade="80"/>
          <w:sz w:val="22"/>
          <w:szCs w:val="22"/>
          <w:u w:color="FF0000"/>
          <w:lang w:val="en-GB"/>
        </w:rPr>
        <w:t xml:space="preserve"> so there is no further recourse if the objection to list </w:t>
      </w:r>
      <w:r w:rsidR="00501204" w:rsidRPr="007620B3">
        <w:rPr>
          <w:rFonts w:ascii="Arial" w:hAnsi="Arial" w:cs="Arial"/>
          <w:color w:val="808080" w:themeColor="background1" w:themeShade="80"/>
          <w:sz w:val="22"/>
          <w:szCs w:val="22"/>
          <w:u w:color="FF0000"/>
          <w:lang w:val="en-GB"/>
        </w:rPr>
        <w:t>two</w:t>
      </w:r>
      <w:r w:rsidRPr="007620B3">
        <w:rPr>
          <w:rFonts w:ascii="Arial" w:hAnsi="Arial" w:cs="Arial"/>
          <w:color w:val="808080" w:themeColor="background1" w:themeShade="80"/>
          <w:sz w:val="22"/>
          <w:szCs w:val="22"/>
          <w:u w:color="FF0000"/>
          <w:lang w:val="en-GB"/>
        </w:rPr>
        <w:t xml:space="preserve"> is unsuccessful.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Pr="009343E2"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 xml:space="preserve">Given that the loan agreement met all the criteria for making it an </w:t>
      </w:r>
      <w:r w:rsidR="00042216" w:rsidRPr="009343E2">
        <w:rPr>
          <w:rFonts w:ascii="Arial" w:hAnsi="Arial" w:cs="Arial"/>
          <w:color w:val="000000" w:themeColor="text1"/>
          <w:sz w:val="22"/>
          <w:szCs w:val="22"/>
        </w:rPr>
        <w:t>extrajudicial executive title under the Civil Procedure Code, B</w:t>
      </w:r>
      <w:r w:rsidR="002A70D6" w:rsidRPr="009343E2">
        <w:rPr>
          <w:rFonts w:ascii="Arial" w:hAnsi="Arial" w:cs="Arial"/>
          <w:color w:val="000000" w:themeColor="text1"/>
          <w:sz w:val="22"/>
          <w:szCs w:val="22"/>
        </w:rPr>
        <w:t>raz</w:t>
      </w:r>
      <w:r w:rsidR="00042216" w:rsidRPr="009343E2">
        <w:rPr>
          <w:rFonts w:ascii="Arial" w:hAnsi="Arial" w:cs="Arial"/>
          <w:color w:val="000000" w:themeColor="text1"/>
          <w:sz w:val="22"/>
          <w:szCs w:val="22"/>
        </w:rPr>
        <w:t xml:space="preserve"> </w:t>
      </w:r>
      <w:r w:rsidR="002A70D6" w:rsidRPr="009343E2">
        <w:rPr>
          <w:rFonts w:ascii="Arial" w:hAnsi="Arial" w:cs="Arial"/>
          <w:color w:val="000000" w:themeColor="text1"/>
          <w:sz w:val="22"/>
          <w:szCs w:val="22"/>
        </w:rPr>
        <w:t xml:space="preserve">Bank’s </w:t>
      </w:r>
      <w:r w:rsidR="00042216" w:rsidRPr="009343E2">
        <w:rPr>
          <w:rFonts w:ascii="Arial" w:hAnsi="Arial" w:cs="Arial"/>
          <w:color w:val="000000" w:themeColor="text1"/>
          <w:sz w:val="22"/>
          <w:szCs w:val="22"/>
        </w:rPr>
        <w:t xml:space="preserve">initial </w:t>
      </w:r>
      <w:r w:rsidR="00042216" w:rsidRPr="009343E2">
        <w:rPr>
          <w:rFonts w:ascii="Arial" w:hAnsi="Arial" w:cs="Arial"/>
          <w:color w:val="000000" w:themeColor="text1"/>
          <w:sz w:val="22"/>
          <w:szCs w:val="22"/>
        </w:rPr>
        <w:lastRenderedPageBreak/>
        <w:t xml:space="preserve">step was to protest the contract before a protest officer, making it public that Empreendimentos had defaulted on it. Despite </w:t>
      </w:r>
      <w:r w:rsidR="00125EB2" w:rsidRPr="009343E2">
        <w:rPr>
          <w:rFonts w:ascii="Arial" w:hAnsi="Arial" w:cs="Arial"/>
          <w:color w:val="000000" w:themeColor="text1"/>
          <w:sz w:val="22"/>
          <w:szCs w:val="22"/>
        </w:rPr>
        <w:t>this</w:t>
      </w:r>
      <w:r w:rsidR="00042216" w:rsidRPr="009343E2">
        <w:rPr>
          <w:rFonts w:ascii="Arial" w:hAnsi="Arial" w:cs="Arial"/>
          <w:color w:val="000000" w:themeColor="text1"/>
          <w:sz w:val="22"/>
          <w:szCs w:val="22"/>
        </w:rPr>
        <w:t xml:space="preserve"> measure, Empreendimentos did not cure its breach and the loan remains unpaid.</w:t>
      </w:r>
    </w:p>
    <w:p w14:paraId="73471295" w14:textId="77777777" w:rsidR="00042216" w:rsidRPr="009343E2"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sidRPr="009343E2">
        <w:rPr>
          <w:rFonts w:ascii="Arial" w:hAnsi="Arial" w:cs="Arial"/>
          <w:sz w:val="22"/>
          <w:szCs w:val="22"/>
        </w:rPr>
        <w:t>Does Braz</w:t>
      </w:r>
      <w:r w:rsidR="002A70D6" w:rsidRPr="009343E2">
        <w:rPr>
          <w:rFonts w:ascii="Arial" w:hAnsi="Arial" w:cs="Arial"/>
          <w:sz w:val="22"/>
          <w:szCs w:val="22"/>
        </w:rPr>
        <w:t xml:space="preserve"> Bank</w:t>
      </w:r>
      <w:r w:rsidRPr="009343E2">
        <w:rPr>
          <w:rFonts w:ascii="Arial" w:hAnsi="Arial" w:cs="Arial"/>
          <w:sz w:val="22"/>
          <w:szCs w:val="22"/>
        </w:rPr>
        <w:t xml:space="preserve"> have grounds for filing an involuntary bankruptcy proceeding</w:t>
      </w:r>
      <w:r>
        <w:rPr>
          <w:rFonts w:ascii="Arial" w:hAnsi="Arial" w:cs="Arial"/>
          <w:sz w:val="22"/>
          <w:szCs w:val="22"/>
        </w:rPr>
        <w:t xml:space="preserve"> against Empreendimentos? Is there </w:t>
      </w:r>
      <w:r w:rsidR="00D56515">
        <w:rPr>
          <w:rFonts w:ascii="Arial" w:hAnsi="Arial" w:cs="Arial"/>
          <w:sz w:val="22"/>
          <w:szCs w:val="22"/>
        </w:rPr>
        <w:t>any defen</w:t>
      </w:r>
      <w:r w:rsidR="00127435">
        <w:rPr>
          <w:rFonts w:ascii="Arial" w:hAnsi="Arial" w:cs="Arial"/>
          <w:sz w:val="22"/>
          <w:szCs w:val="22"/>
        </w:rPr>
        <w:t>c</w:t>
      </w:r>
      <w:r w:rsidR="00D56515">
        <w:rPr>
          <w:rFonts w:ascii="Arial" w:hAnsi="Arial" w:cs="Arial"/>
          <w:sz w:val="22"/>
          <w:szCs w:val="22"/>
        </w:rPr>
        <w:t xml:space="preserve">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5DE2CAFC" w14:textId="5684A7EE" w:rsidR="009343E2" w:rsidRPr="009343E2" w:rsidRDefault="009343E2" w:rsidP="009343E2">
      <w:pPr>
        <w:autoSpaceDE w:val="0"/>
        <w:autoSpaceDN w:val="0"/>
        <w:adjustRightInd w:val="0"/>
        <w:jc w:val="both"/>
        <w:rPr>
          <w:rFonts w:ascii="Arial" w:hAnsi="Arial" w:cs="Arial"/>
          <w:color w:val="808080" w:themeColor="background1" w:themeShade="80"/>
          <w:sz w:val="22"/>
          <w:szCs w:val="22"/>
        </w:rPr>
      </w:pPr>
    </w:p>
    <w:p w14:paraId="3A2B2DCD" w14:textId="098E4683" w:rsidR="009343E2" w:rsidRDefault="009343E2" w:rsidP="009343E2">
      <w:pPr>
        <w:autoSpaceDE w:val="0"/>
        <w:autoSpaceDN w:val="0"/>
        <w:adjustRightInd w:val="0"/>
        <w:jc w:val="both"/>
        <w:rPr>
          <w:rFonts w:ascii="Arial" w:hAnsi="Arial" w:cs="Arial"/>
          <w:color w:val="808080" w:themeColor="background1" w:themeShade="80"/>
          <w:sz w:val="22"/>
          <w:szCs w:val="22"/>
        </w:rPr>
      </w:pPr>
      <w:r w:rsidRPr="009343E2">
        <w:rPr>
          <w:rFonts w:ascii="Arial" w:hAnsi="Arial" w:cs="Arial"/>
          <w:color w:val="808080" w:themeColor="background1" w:themeShade="80"/>
          <w:sz w:val="22"/>
          <w:szCs w:val="22"/>
        </w:rPr>
        <w:t xml:space="preserve">Yes, </w:t>
      </w:r>
      <w:r w:rsidRPr="009343E2">
        <w:rPr>
          <w:rFonts w:ascii="Arial" w:hAnsi="Arial" w:cs="Arial"/>
          <w:color w:val="808080" w:themeColor="background1" w:themeShade="80"/>
          <w:sz w:val="22"/>
          <w:szCs w:val="22"/>
        </w:rPr>
        <w:t>Braz Bank ha</w:t>
      </w:r>
      <w:r w:rsidRPr="009343E2">
        <w:rPr>
          <w:rFonts w:ascii="Arial" w:hAnsi="Arial" w:cs="Arial"/>
          <w:color w:val="808080" w:themeColor="background1" w:themeShade="80"/>
          <w:sz w:val="22"/>
          <w:szCs w:val="22"/>
        </w:rPr>
        <w:t>s</w:t>
      </w:r>
      <w:r w:rsidRPr="009343E2">
        <w:rPr>
          <w:rFonts w:ascii="Arial" w:hAnsi="Arial" w:cs="Arial"/>
          <w:color w:val="808080" w:themeColor="background1" w:themeShade="80"/>
          <w:sz w:val="22"/>
          <w:szCs w:val="22"/>
        </w:rPr>
        <w:t xml:space="preserve"> grounds for filing an involuntary bankruptcy proceeding against Empreendimentos</w:t>
      </w:r>
      <w:r w:rsidRPr="009343E2">
        <w:rPr>
          <w:rFonts w:ascii="Arial" w:hAnsi="Arial" w:cs="Arial"/>
          <w:color w:val="808080" w:themeColor="background1" w:themeShade="80"/>
          <w:sz w:val="22"/>
          <w:szCs w:val="22"/>
        </w:rPr>
        <w:t xml:space="preserve"> as per the following key points:</w:t>
      </w:r>
    </w:p>
    <w:p w14:paraId="3233CF94" w14:textId="77777777" w:rsidR="009343E2" w:rsidRPr="009343E2" w:rsidRDefault="009343E2" w:rsidP="009343E2">
      <w:pPr>
        <w:autoSpaceDE w:val="0"/>
        <w:autoSpaceDN w:val="0"/>
        <w:adjustRightInd w:val="0"/>
        <w:jc w:val="both"/>
        <w:rPr>
          <w:rFonts w:ascii="Arial" w:hAnsi="Arial" w:cs="Arial"/>
          <w:color w:val="808080" w:themeColor="background1" w:themeShade="80"/>
          <w:sz w:val="22"/>
          <w:szCs w:val="22"/>
          <w:lang w:val="en-GB"/>
        </w:rPr>
      </w:pPr>
    </w:p>
    <w:p w14:paraId="53294E53" w14:textId="545F0F82" w:rsidR="0005113B" w:rsidRDefault="0005113B" w:rsidP="0005113B">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sidRPr="0005113B">
        <w:rPr>
          <w:rFonts w:ascii="Arial" w:hAnsi="Arial" w:cs="Arial"/>
          <w:color w:val="7B7B7B" w:themeColor="accent3" w:themeShade="BF"/>
          <w:sz w:val="22"/>
          <w:szCs w:val="22"/>
          <w:lang w:val="en-GB"/>
        </w:rPr>
        <w:t>Empreendimentos is a legal entity who perform business activ</w:t>
      </w:r>
      <w:r>
        <w:rPr>
          <w:rFonts w:ascii="Arial" w:hAnsi="Arial" w:cs="Arial"/>
          <w:color w:val="7B7B7B" w:themeColor="accent3" w:themeShade="BF"/>
          <w:sz w:val="22"/>
          <w:szCs w:val="22"/>
          <w:lang w:val="en-GB"/>
        </w:rPr>
        <w:t>ities</w:t>
      </w:r>
      <w:r w:rsidRPr="0005113B">
        <w:rPr>
          <w:rFonts w:ascii="Arial" w:hAnsi="Arial" w:cs="Arial"/>
          <w:color w:val="7B7B7B" w:themeColor="accent3" w:themeShade="BF"/>
          <w:sz w:val="22"/>
          <w:szCs w:val="22"/>
          <w:lang w:val="en-GB"/>
        </w:rPr>
        <w:t xml:space="preserve"> – as such, the Bankruptcy Law applies. </w:t>
      </w:r>
    </w:p>
    <w:p w14:paraId="5B3501AD" w14:textId="77777777" w:rsidR="009343E2" w:rsidRDefault="0005113B" w:rsidP="009343E2">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is a business legal entity and must prove the regularity of the business by showing their Board of Trade certificate. </w:t>
      </w:r>
    </w:p>
    <w:p w14:paraId="0012AEF3" w14:textId="49E116D0" w:rsidR="0005113B" w:rsidRPr="009343E2" w:rsidRDefault="00945C05" w:rsidP="009343E2">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sidRPr="009343E2">
        <w:rPr>
          <w:rFonts w:ascii="Arial" w:hAnsi="Arial" w:cs="Arial"/>
          <w:color w:val="7B7B7B" w:themeColor="accent3" w:themeShade="BF"/>
          <w:sz w:val="22"/>
          <w:szCs w:val="22"/>
          <w:lang w:val="en-GB"/>
        </w:rPr>
        <w:t>Pursuant</w:t>
      </w:r>
      <w:r w:rsidR="0005113B" w:rsidRPr="009343E2">
        <w:rPr>
          <w:rFonts w:ascii="Arial" w:hAnsi="Arial" w:cs="Arial"/>
          <w:color w:val="7B7B7B" w:themeColor="accent3" w:themeShade="BF"/>
          <w:sz w:val="22"/>
          <w:szCs w:val="22"/>
          <w:lang w:val="en-GB"/>
        </w:rPr>
        <w:t xml:space="preserve"> to </w:t>
      </w:r>
      <w:r w:rsidRPr="009343E2">
        <w:rPr>
          <w:rFonts w:ascii="Arial" w:hAnsi="Arial" w:cs="Arial"/>
          <w:color w:val="7B7B7B" w:themeColor="accent3" w:themeShade="BF"/>
          <w:sz w:val="22"/>
          <w:szCs w:val="22"/>
          <w:lang w:val="en-GB"/>
        </w:rPr>
        <w:t>Article</w:t>
      </w:r>
      <w:r w:rsidR="0005113B" w:rsidRPr="009343E2">
        <w:rPr>
          <w:rFonts w:ascii="Arial" w:hAnsi="Arial" w:cs="Arial"/>
          <w:color w:val="7B7B7B" w:themeColor="accent3" w:themeShade="BF"/>
          <w:sz w:val="22"/>
          <w:szCs w:val="22"/>
          <w:lang w:val="en-GB"/>
        </w:rPr>
        <w:t xml:space="preserve"> 94 of the Bankruptcy Law Braz Bank can file an involuntary bankruptcy proceeding as a creditor.</w:t>
      </w:r>
    </w:p>
    <w:p w14:paraId="086158E8" w14:textId="6DE9469B" w:rsidR="0005113B" w:rsidRDefault="0005113B" w:rsidP="0005113B">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Braz Bank has met the following legal criteria:</w:t>
      </w:r>
    </w:p>
    <w:p w14:paraId="59012EB8" w14:textId="12F567B4" w:rsidR="0005113B" w:rsidRDefault="0005113B" w:rsidP="0005113B">
      <w:pPr>
        <w:pStyle w:val="ListParagraph"/>
        <w:numPr>
          <w:ilvl w:val="1"/>
          <w:numId w:val="48"/>
        </w:numPr>
        <w:autoSpaceDE w:val="0"/>
        <w:autoSpaceDN w:val="0"/>
        <w:adjustRightInd w:val="0"/>
        <w:jc w:val="both"/>
        <w:rPr>
          <w:rFonts w:ascii="Arial" w:hAnsi="Arial" w:cs="Arial"/>
          <w:color w:val="7B7B7B" w:themeColor="accent3" w:themeShade="BF"/>
          <w:sz w:val="22"/>
          <w:szCs w:val="22"/>
          <w:lang w:val="en-GB"/>
        </w:rPr>
      </w:pPr>
      <w:r w:rsidRPr="0005113B">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has not paid its debt as it was due (for no known legal reason</w:t>
      </w:r>
      <w:r w:rsidR="009343E2">
        <w:rPr>
          <w:rFonts w:ascii="Arial" w:hAnsi="Arial" w:cs="Arial"/>
          <w:color w:val="7B7B7B" w:themeColor="accent3" w:themeShade="BF"/>
          <w:sz w:val="22"/>
          <w:szCs w:val="22"/>
          <w:lang w:val="en-GB"/>
        </w:rPr>
        <w:t xml:space="preserve"> per the facts given in the question</w:t>
      </w:r>
      <w:r>
        <w:rPr>
          <w:rFonts w:ascii="Arial" w:hAnsi="Arial" w:cs="Arial"/>
          <w:color w:val="7B7B7B" w:themeColor="accent3" w:themeShade="BF"/>
          <w:sz w:val="22"/>
          <w:szCs w:val="22"/>
          <w:lang w:val="en-GB"/>
        </w:rPr>
        <w:t xml:space="preserve">). </w:t>
      </w:r>
    </w:p>
    <w:p w14:paraId="554ACE45" w14:textId="279C8FCA" w:rsidR="0005113B" w:rsidRDefault="0005113B" w:rsidP="0005113B">
      <w:pPr>
        <w:pStyle w:val="ListParagraph"/>
        <w:numPr>
          <w:ilvl w:val="1"/>
          <w:numId w:val="4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has sent its indebtedness title to the protest officer for protest i.e. an official notice was sent to the debtor to </w:t>
      </w:r>
      <w:r w:rsidR="00945C05">
        <w:rPr>
          <w:rFonts w:ascii="Arial" w:hAnsi="Arial" w:cs="Arial"/>
          <w:color w:val="7B7B7B" w:themeColor="accent3" w:themeShade="BF"/>
          <w:sz w:val="22"/>
          <w:szCs w:val="22"/>
          <w:lang w:val="en-GB"/>
        </w:rPr>
        <w:t>pay</w:t>
      </w:r>
      <w:r>
        <w:rPr>
          <w:rFonts w:ascii="Arial" w:hAnsi="Arial" w:cs="Arial"/>
          <w:color w:val="7B7B7B" w:themeColor="accent3" w:themeShade="BF"/>
          <w:sz w:val="22"/>
          <w:szCs w:val="22"/>
          <w:lang w:val="en-GB"/>
        </w:rPr>
        <w:t xml:space="preserve"> or recognise the existence of the debt. </w:t>
      </w:r>
      <w:r w:rsidR="00945C05">
        <w:rPr>
          <w:rFonts w:ascii="Arial" w:hAnsi="Arial" w:cs="Arial"/>
          <w:color w:val="7B7B7B" w:themeColor="accent3" w:themeShade="BF"/>
          <w:sz w:val="22"/>
          <w:szCs w:val="22"/>
          <w:lang w:val="en-GB"/>
        </w:rPr>
        <w:t xml:space="preserve">Braz Bank would need to provide the certificates of the protest officers in the petition. </w:t>
      </w:r>
    </w:p>
    <w:p w14:paraId="3C598A5B" w14:textId="3A7CC043" w:rsidR="0005113B" w:rsidRDefault="0005113B" w:rsidP="0005113B">
      <w:pPr>
        <w:pStyle w:val="ListParagraph"/>
        <w:numPr>
          <w:ilvl w:val="1"/>
          <w:numId w:val="4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9343E2">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az Bank does not have to prove that </w:t>
      </w:r>
      <w:r w:rsidRPr="0005113B">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is insolvent and it is simply enough, with evidence, to suggest that </w:t>
      </w:r>
      <w:r w:rsidRPr="0005113B">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simply does not want to pay its debts on the due date. </w:t>
      </w:r>
    </w:p>
    <w:p w14:paraId="14188D83" w14:textId="77777777" w:rsidR="00945C05" w:rsidRDefault="00945C05" w:rsidP="00945C05">
      <w:pPr>
        <w:pStyle w:val="ListParagraph"/>
        <w:autoSpaceDE w:val="0"/>
        <w:autoSpaceDN w:val="0"/>
        <w:adjustRightInd w:val="0"/>
        <w:jc w:val="both"/>
        <w:rPr>
          <w:rFonts w:ascii="Arial" w:hAnsi="Arial" w:cs="Arial"/>
          <w:color w:val="7B7B7B" w:themeColor="accent3" w:themeShade="BF"/>
          <w:sz w:val="22"/>
          <w:szCs w:val="22"/>
          <w:lang w:val="en-GB"/>
        </w:rPr>
      </w:pPr>
    </w:p>
    <w:p w14:paraId="3C9C2508" w14:textId="60EBE716" w:rsidR="001A007A" w:rsidRDefault="0005113B" w:rsidP="001A007A">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sidRPr="0005113B">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may have defence</w:t>
      </w:r>
      <w:r w:rsidR="00945C05">
        <w:rPr>
          <w:rFonts w:ascii="Arial" w:hAnsi="Arial" w:cs="Arial"/>
          <w:color w:val="7B7B7B" w:themeColor="accent3" w:themeShade="BF"/>
          <w:sz w:val="22"/>
          <w:szCs w:val="22"/>
          <w:lang w:val="en-GB"/>
        </w:rPr>
        <w:t xml:space="preserve">s, such as a defect in the protest or in its instrument. </w:t>
      </w:r>
      <w:r w:rsidR="009343E2">
        <w:rPr>
          <w:rFonts w:ascii="Arial" w:hAnsi="Arial" w:cs="Arial"/>
          <w:color w:val="7B7B7B" w:themeColor="accent3" w:themeShade="BF"/>
          <w:sz w:val="22"/>
          <w:szCs w:val="22"/>
          <w:lang w:val="en-GB"/>
        </w:rPr>
        <w:t xml:space="preserve">However, no evidence of such can be seen from the facts of the question. </w:t>
      </w:r>
    </w:p>
    <w:p w14:paraId="7AE1E8EE" w14:textId="5F9F931F" w:rsidR="00945C05" w:rsidRPr="009343E2" w:rsidRDefault="00945C05" w:rsidP="009343E2">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w:t>
      </w:r>
      <w:r w:rsidR="009343E2" w:rsidRPr="0005113B">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could file a petition for judicial recovery during the 10 day t</w:t>
      </w:r>
      <w:r w:rsidR="009343E2">
        <w:rPr>
          <w:rFonts w:ascii="Arial" w:hAnsi="Arial" w:cs="Arial"/>
          <w:color w:val="7B7B7B" w:themeColor="accent3" w:themeShade="BF"/>
          <w:sz w:val="22"/>
          <w:szCs w:val="22"/>
          <w:lang w:val="en-GB"/>
        </w:rPr>
        <w:t>imeframe</w:t>
      </w:r>
      <w:r w:rsidRPr="009343E2">
        <w:rPr>
          <w:rFonts w:ascii="Arial" w:hAnsi="Arial" w:cs="Arial"/>
          <w:color w:val="7B7B7B" w:themeColor="accent3" w:themeShade="BF"/>
          <w:sz w:val="22"/>
          <w:szCs w:val="22"/>
          <w:lang w:val="en-GB"/>
        </w:rPr>
        <w:t xml:space="preserve"> that it has to oppose the bankruptcy request. </w:t>
      </w:r>
    </w:p>
    <w:p w14:paraId="61B6A85B" w14:textId="2650887A" w:rsidR="00945C05" w:rsidRPr="00945C05" w:rsidRDefault="00945C05" w:rsidP="001A007A">
      <w:pPr>
        <w:pStyle w:val="ListParagraph"/>
        <w:numPr>
          <w:ilvl w:val="0"/>
          <w:numId w:val="48"/>
        </w:numPr>
        <w:autoSpaceDE w:val="0"/>
        <w:autoSpaceDN w:val="0"/>
        <w:adjustRightInd w:val="0"/>
        <w:jc w:val="both"/>
        <w:rPr>
          <w:rFonts w:ascii="Arial" w:hAnsi="Arial" w:cs="Arial"/>
          <w:color w:val="7B7B7B" w:themeColor="accent3" w:themeShade="BF"/>
          <w:sz w:val="22"/>
          <w:szCs w:val="22"/>
          <w:lang w:val="en-GB"/>
        </w:rPr>
      </w:pPr>
      <w:r w:rsidRPr="0005113B">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w:t>
      </w:r>
      <w:r w:rsidR="009343E2">
        <w:rPr>
          <w:rFonts w:ascii="Arial" w:hAnsi="Arial" w:cs="Arial"/>
          <w:color w:val="7B7B7B" w:themeColor="accent3" w:themeShade="BF"/>
          <w:sz w:val="22"/>
          <w:szCs w:val="22"/>
          <w:lang w:val="en-GB"/>
        </w:rPr>
        <w:t>could</w:t>
      </w:r>
      <w:r>
        <w:rPr>
          <w:rFonts w:ascii="Arial" w:hAnsi="Arial" w:cs="Arial"/>
          <w:color w:val="7B7B7B" w:themeColor="accent3" w:themeShade="BF"/>
          <w:sz w:val="22"/>
          <w:szCs w:val="22"/>
          <w:lang w:val="en-GB"/>
        </w:rPr>
        <w:t xml:space="preserve"> also pay the amounts due (plus inflation/interest/fees) and present other arguments to avoid bankruptcy. </w:t>
      </w:r>
    </w:p>
    <w:p w14:paraId="4810DD57" w14:textId="4A083270" w:rsidR="00125EB2" w:rsidRDefault="00125EB2" w:rsidP="00087F21">
      <w:pPr>
        <w:jc w:val="both"/>
        <w:rPr>
          <w:rFonts w:ascii="Arial" w:hAnsi="Arial" w:cs="Arial"/>
          <w:sz w:val="22"/>
          <w:szCs w:val="22"/>
          <w:lang w:val="en-GB"/>
        </w:rPr>
      </w:pP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r w:rsidR="002000EE">
        <w:rPr>
          <w:rFonts w:ascii="Arial" w:hAnsi="Arial" w:cs="Arial"/>
          <w:sz w:val="22"/>
          <w:szCs w:val="22"/>
        </w:rPr>
        <w:lastRenderedPageBreak/>
        <w:t xml:space="preserve">Brasil Autoparts SA </w:t>
      </w:r>
      <w:r w:rsidR="002000EE" w:rsidRPr="00E81CE7">
        <w:rPr>
          <w:rFonts w:ascii="Arial" w:hAnsi="Arial" w:cs="Arial"/>
          <w:sz w:val="22"/>
          <w:szCs w:val="22"/>
        </w:rPr>
        <w:t xml:space="preserve">and Oil Brasil SA are likely to reject the recovery plan that Empreendimentos has been working on. Should the rumors show themselves to be accurate, is Empreendimentos still capable of having its recovery plan approved </w:t>
      </w:r>
      <w:r w:rsidR="008B28ED" w:rsidRPr="00E81CE7">
        <w:rPr>
          <w:rFonts w:ascii="Arial" w:hAnsi="Arial" w:cs="Arial"/>
          <w:sz w:val="22"/>
          <w:szCs w:val="22"/>
        </w:rPr>
        <w:t>at</w:t>
      </w:r>
      <w:r w:rsidR="002000EE" w:rsidRPr="00E81CE7">
        <w:rPr>
          <w:rFonts w:ascii="Arial" w:hAnsi="Arial" w:cs="Arial"/>
          <w:sz w:val="22"/>
          <w:szCs w:val="22"/>
        </w:rPr>
        <w:t xml:space="preserve"> a </w:t>
      </w:r>
      <w:r w:rsidR="008B28ED" w:rsidRPr="00E81CE7">
        <w:rPr>
          <w:rFonts w:ascii="Arial" w:hAnsi="Arial" w:cs="Arial"/>
          <w:sz w:val="22"/>
          <w:szCs w:val="22"/>
        </w:rPr>
        <w:t>g</w:t>
      </w:r>
      <w:r w:rsidR="002000EE" w:rsidRPr="00E81CE7">
        <w:rPr>
          <w:rFonts w:ascii="Arial" w:hAnsi="Arial" w:cs="Arial"/>
          <w:sz w:val="22"/>
          <w:szCs w:val="22"/>
        </w:rPr>
        <w:t xml:space="preserve">eneral </w:t>
      </w:r>
      <w:r w:rsidR="008B28ED" w:rsidRPr="00E81CE7">
        <w:rPr>
          <w:rFonts w:ascii="Arial" w:hAnsi="Arial" w:cs="Arial"/>
          <w:sz w:val="22"/>
          <w:szCs w:val="22"/>
        </w:rPr>
        <w:t>m</w:t>
      </w:r>
      <w:r w:rsidR="002000EE" w:rsidRPr="00E81CE7">
        <w:rPr>
          <w:rFonts w:ascii="Arial" w:hAnsi="Arial" w:cs="Arial"/>
          <w:sz w:val="22"/>
          <w:szCs w:val="22"/>
        </w:rPr>
        <w:t xml:space="preserve">eeting of </w:t>
      </w:r>
      <w:r w:rsidR="008B28ED" w:rsidRPr="00E81CE7">
        <w:rPr>
          <w:rFonts w:ascii="Arial" w:hAnsi="Arial" w:cs="Arial"/>
          <w:sz w:val="22"/>
          <w:szCs w:val="22"/>
        </w:rPr>
        <w:t>c</w:t>
      </w:r>
      <w:r w:rsidR="002000EE" w:rsidRPr="00E81CE7">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20B4D266" w14:textId="10A03991" w:rsidR="00563220" w:rsidRDefault="00945C05" w:rsidP="00087F21">
      <w:pPr>
        <w:autoSpaceDE w:val="0"/>
        <w:autoSpaceDN w:val="0"/>
        <w:adjustRightInd w:val="0"/>
        <w:jc w:val="both"/>
        <w:rPr>
          <w:rFonts w:ascii="Arial" w:hAnsi="Arial" w:cs="Arial"/>
          <w:color w:val="808080" w:themeColor="background1" w:themeShade="80"/>
          <w:sz w:val="22"/>
          <w:szCs w:val="22"/>
          <w:lang w:val="en-GB"/>
        </w:rPr>
      </w:pPr>
      <w:r w:rsidRPr="00E81CE7">
        <w:rPr>
          <w:rFonts w:ascii="Arial" w:hAnsi="Arial" w:cs="Arial"/>
          <w:color w:val="808080" w:themeColor="background1" w:themeShade="80"/>
          <w:sz w:val="22"/>
          <w:szCs w:val="22"/>
          <w:lang w:val="en-GB"/>
        </w:rPr>
        <w:t xml:space="preserve">Approval for Class II must be Majority by head count and by value of the claims of the attending creditors. </w:t>
      </w:r>
      <w:r w:rsidR="00563220" w:rsidRPr="00E81CE7">
        <w:rPr>
          <w:rFonts w:ascii="Arial" w:hAnsi="Arial" w:cs="Arial"/>
          <w:color w:val="808080" w:themeColor="background1" w:themeShade="80"/>
          <w:sz w:val="22"/>
          <w:szCs w:val="22"/>
          <w:lang w:val="en-GB"/>
        </w:rPr>
        <w:t xml:space="preserve">Assuming all secured </w:t>
      </w:r>
      <w:r w:rsidR="003A6924" w:rsidRPr="00E81CE7">
        <w:rPr>
          <w:rFonts w:ascii="Arial" w:hAnsi="Arial" w:cs="Arial"/>
          <w:color w:val="808080" w:themeColor="background1" w:themeShade="80"/>
          <w:sz w:val="22"/>
          <w:szCs w:val="22"/>
          <w:lang w:val="en-GB"/>
        </w:rPr>
        <w:t>creditors</w:t>
      </w:r>
      <w:r w:rsidR="00563220" w:rsidRPr="00E81CE7">
        <w:rPr>
          <w:rFonts w:ascii="Arial" w:hAnsi="Arial" w:cs="Arial"/>
          <w:color w:val="808080" w:themeColor="background1" w:themeShade="80"/>
          <w:sz w:val="22"/>
          <w:szCs w:val="22"/>
          <w:lang w:val="en-GB"/>
        </w:rPr>
        <w:t xml:space="preserve"> attend, there are 4 creditors, 2 of which may reject the plan. As such, it will not obtain majority approval. All four classes must approval the plan, therefore it will not pass. </w:t>
      </w:r>
    </w:p>
    <w:p w14:paraId="775068F8" w14:textId="77777777" w:rsidR="00E81CE7" w:rsidRPr="00E81CE7" w:rsidRDefault="00E81CE7" w:rsidP="00087F21">
      <w:pPr>
        <w:autoSpaceDE w:val="0"/>
        <w:autoSpaceDN w:val="0"/>
        <w:adjustRightInd w:val="0"/>
        <w:jc w:val="both"/>
        <w:rPr>
          <w:rFonts w:ascii="Arial" w:hAnsi="Arial" w:cs="Arial"/>
          <w:color w:val="808080" w:themeColor="background1" w:themeShade="80"/>
          <w:sz w:val="22"/>
          <w:szCs w:val="22"/>
          <w:lang w:val="en-GB"/>
        </w:rPr>
      </w:pPr>
    </w:p>
    <w:p w14:paraId="72940317" w14:textId="6BE92899" w:rsidR="00563220" w:rsidRPr="00E81CE7" w:rsidRDefault="00563220" w:rsidP="00087F21">
      <w:pPr>
        <w:autoSpaceDE w:val="0"/>
        <w:autoSpaceDN w:val="0"/>
        <w:adjustRightInd w:val="0"/>
        <w:jc w:val="both"/>
        <w:rPr>
          <w:rFonts w:ascii="Arial" w:hAnsi="Arial" w:cs="Arial"/>
          <w:color w:val="808080" w:themeColor="background1" w:themeShade="80"/>
          <w:sz w:val="22"/>
          <w:szCs w:val="22"/>
          <w:lang w:val="en-GB"/>
        </w:rPr>
      </w:pPr>
      <w:r w:rsidRPr="00E81CE7">
        <w:rPr>
          <w:rFonts w:ascii="Arial" w:hAnsi="Arial" w:cs="Arial"/>
          <w:color w:val="808080" w:themeColor="background1" w:themeShade="80"/>
          <w:sz w:val="22"/>
          <w:szCs w:val="22"/>
          <w:lang w:val="en-GB"/>
        </w:rPr>
        <w:t>Article 58 of the Bankruptcy Law provides for a cramdown by a judge provided:</w:t>
      </w:r>
    </w:p>
    <w:p w14:paraId="6AC76466" w14:textId="74F73EF7" w:rsidR="00563220" w:rsidRPr="00E81CE7" w:rsidRDefault="00563220" w:rsidP="00563220">
      <w:pPr>
        <w:pStyle w:val="ListParagraph"/>
        <w:numPr>
          <w:ilvl w:val="0"/>
          <w:numId w:val="49"/>
        </w:numPr>
        <w:autoSpaceDE w:val="0"/>
        <w:autoSpaceDN w:val="0"/>
        <w:adjustRightInd w:val="0"/>
        <w:jc w:val="both"/>
        <w:rPr>
          <w:rFonts w:ascii="Arial" w:hAnsi="Arial" w:cs="Arial"/>
          <w:color w:val="808080" w:themeColor="background1" w:themeShade="80"/>
          <w:sz w:val="22"/>
          <w:szCs w:val="22"/>
          <w:lang w:val="en-GB"/>
        </w:rPr>
      </w:pPr>
      <w:r w:rsidRPr="00E81CE7">
        <w:rPr>
          <w:rFonts w:ascii="Arial" w:hAnsi="Arial" w:cs="Arial"/>
          <w:color w:val="808080" w:themeColor="background1" w:themeShade="80"/>
          <w:sz w:val="22"/>
          <w:szCs w:val="22"/>
          <w:lang w:val="en-GB"/>
        </w:rPr>
        <w:t>At least half the amounts of all creditors represented at the meeting are in favour (independent of the class).</w:t>
      </w:r>
    </w:p>
    <w:p w14:paraId="37114474" w14:textId="7C8C955E" w:rsidR="00563220" w:rsidRPr="00E81CE7" w:rsidRDefault="00563220" w:rsidP="00563220">
      <w:pPr>
        <w:pStyle w:val="ListParagraph"/>
        <w:numPr>
          <w:ilvl w:val="0"/>
          <w:numId w:val="49"/>
        </w:numPr>
        <w:autoSpaceDE w:val="0"/>
        <w:autoSpaceDN w:val="0"/>
        <w:adjustRightInd w:val="0"/>
        <w:jc w:val="both"/>
        <w:rPr>
          <w:rFonts w:ascii="Arial" w:hAnsi="Arial" w:cs="Arial"/>
          <w:color w:val="808080" w:themeColor="background1" w:themeShade="80"/>
          <w:sz w:val="22"/>
          <w:szCs w:val="22"/>
          <w:lang w:val="en-GB"/>
        </w:rPr>
      </w:pPr>
      <w:r w:rsidRPr="00E81CE7">
        <w:rPr>
          <w:rFonts w:ascii="Arial" w:hAnsi="Arial" w:cs="Arial"/>
          <w:color w:val="808080" w:themeColor="background1" w:themeShade="80"/>
          <w:sz w:val="22"/>
          <w:szCs w:val="22"/>
          <w:lang w:val="en-GB"/>
        </w:rPr>
        <w:t xml:space="preserve">Three of the four classes of creditors approved it. </w:t>
      </w:r>
      <w:r w:rsidR="003C21A1">
        <w:rPr>
          <w:rFonts w:ascii="Arial" w:hAnsi="Arial" w:cs="Arial"/>
          <w:color w:val="808080" w:themeColor="background1" w:themeShade="80"/>
          <w:sz w:val="22"/>
          <w:szCs w:val="22"/>
          <w:lang w:val="en-GB"/>
        </w:rPr>
        <w:t>(Noting that i</w:t>
      </w:r>
      <w:r w:rsidRPr="00E81CE7">
        <w:rPr>
          <w:rFonts w:ascii="Arial" w:hAnsi="Arial" w:cs="Arial"/>
          <w:color w:val="808080" w:themeColor="background1" w:themeShade="80"/>
          <w:sz w:val="22"/>
          <w:szCs w:val="22"/>
          <w:lang w:val="en-GB"/>
        </w:rPr>
        <w:t>f there are only three classes, then two classes must appro</w:t>
      </w:r>
      <w:r w:rsidR="003C21A1">
        <w:rPr>
          <w:rFonts w:ascii="Arial" w:hAnsi="Arial" w:cs="Arial"/>
          <w:color w:val="808080" w:themeColor="background1" w:themeShade="80"/>
          <w:sz w:val="22"/>
          <w:szCs w:val="22"/>
          <w:lang w:val="en-GB"/>
        </w:rPr>
        <w:t>ve</w:t>
      </w:r>
      <w:r w:rsidRPr="00E81CE7">
        <w:rPr>
          <w:rFonts w:ascii="Arial" w:hAnsi="Arial" w:cs="Arial"/>
          <w:color w:val="808080" w:themeColor="background1" w:themeShade="80"/>
          <w:sz w:val="22"/>
          <w:szCs w:val="22"/>
          <w:lang w:val="en-GB"/>
        </w:rPr>
        <w:t xml:space="preserve">l, or if there </w:t>
      </w:r>
      <w:r w:rsidR="006F6FE5" w:rsidRPr="00E81CE7">
        <w:rPr>
          <w:rFonts w:ascii="Arial" w:hAnsi="Arial" w:cs="Arial"/>
          <w:color w:val="808080" w:themeColor="background1" w:themeShade="80"/>
          <w:sz w:val="22"/>
          <w:szCs w:val="22"/>
          <w:lang w:val="en-GB"/>
        </w:rPr>
        <w:t xml:space="preserve">are </w:t>
      </w:r>
      <w:r w:rsidRPr="00E81CE7">
        <w:rPr>
          <w:rFonts w:ascii="Arial" w:hAnsi="Arial" w:cs="Arial"/>
          <w:color w:val="808080" w:themeColor="background1" w:themeShade="80"/>
          <w:sz w:val="22"/>
          <w:szCs w:val="22"/>
          <w:lang w:val="en-GB"/>
        </w:rPr>
        <w:t>only two classes then one must approve</w:t>
      </w:r>
      <w:r w:rsidR="003C21A1">
        <w:rPr>
          <w:rFonts w:ascii="Arial" w:hAnsi="Arial" w:cs="Arial"/>
          <w:color w:val="808080" w:themeColor="background1" w:themeShade="80"/>
          <w:sz w:val="22"/>
          <w:szCs w:val="22"/>
          <w:lang w:val="en-GB"/>
        </w:rPr>
        <w:t xml:space="preserve">). </w:t>
      </w:r>
    </w:p>
    <w:p w14:paraId="490CCCE2" w14:textId="4C379180" w:rsidR="00563220" w:rsidRPr="00E81CE7" w:rsidRDefault="00563220" w:rsidP="00563220">
      <w:pPr>
        <w:pStyle w:val="ListParagraph"/>
        <w:numPr>
          <w:ilvl w:val="0"/>
          <w:numId w:val="49"/>
        </w:numPr>
        <w:autoSpaceDE w:val="0"/>
        <w:autoSpaceDN w:val="0"/>
        <w:adjustRightInd w:val="0"/>
        <w:jc w:val="both"/>
        <w:rPr>
          <w:rFonts w:ascii="Arial" w:hAnsi="Arial" w:cs="Arial"/>
          <w:color w:val="808080" w:themeColor="background1" w:themeShade="80"/>
          <w:sz w:val="22"/>
          <w:szCs w:val="22"/>
          <w:lang w:val="en-GB"/>
        </w:rPr>
      </w:pPr>
      <w:r w:rsidRPr="00E81CE7">
        <w:rPr>
          <w:rFonts w:ascii="Arial" w:hAnsi="Arial" w:cs="Arial"/>
          <w:color w:val="808080" w:themeColor="background1" w:themeShade="80"/>
          <w:sz w:val="22"/>
          <w:szCs w:val="22"/>
          <w:lang w:val="en-GB"/>
        </w:rPr>
        <w:t xml:space="preserve">In the class that rejected the plan, at least one-third of the creditors were in favour. </w:t>
      </w:r>
    </w:p>
    <w:p w14:paraId="30A8BE95" w14:textId="77777777" w:rsidR="003C21A1" w:rsidRDefault="003C21A1" w:rsidP="003C21A1">
      <w:pPr>
        <w:autoSpaceDE w:val="0"/>
        <w:autoSpaceDN w:val="0"/>
        <w:adjustRightInd w:val="0"/>
        <w:jc w:val="both"/>
        <w:rPr>
          <w:rFonts w:ascii="Arial" w:hAnsi="Arial" w:cs="Arial"/>
          <w:color w:val="808080" w:themeColor="background1" w:themeShade="80"/>
          <w:sz w:val="22"/>
          <w:szCs w:val="22"/>
          <w:lang w:val="en-GB"/>
        </w:rPr>
      </w:pPr>
    </w:p>
    <w:p w14:paraId="0AD5BA70" w14:textId="3F92B150" w:rsidR="00563220" w:rsidRDefault="00563220" w:rsidP="003C21A1">
      <w:pPr>
        <w:autoSpaceDE w:val="0"/>
        <w:autoSpaceDN w:val="0"/>
        <w:adjustRightInd w:val="0"/>
        <w:jc w:val="both"/>
        <w:rPr>
          <w:rFonts w:ascii="Arial" w:hAnsi="Arial" w:cs="Arial"/>
          <w:color w:val="808080" w:themeColor="background1" w:themeShade="80"/>
          <w:sz w:val="22"/>
          <w:szCs w:val="22"/>
          <w:lang w:val="en-GB"/>
        </w:rPr>
      </w:pPr>
      <w:r w:rsidRPr="003C21A1">
        <w:rPr>
          <w:rFonts w:ascii="Arial" w:hAnsi="Arial" w:cs="Arial"/>
          <w:color w:val="808080" w:themeColor="background1" w:themeShade="80"/>
          <w:sz w:val="22"/>
          <w:szCs w:val="22"/>
          <w:lang w:val="en-GB"/>
        </w:rPr>
        <w:t xml:space="preserve">Based on the facts I am unable to confirm if the above three apply, but there may be grounds for a cramdown </w:t>
      </w:r>
      <w:r w:rsidR="003C21A1">
        <w:rPr>
          <w:rFonts w:ascii="Arial" w:hAnsi="Arial" w:cs="Arial"/>
          <w:color w:val="808080" w:themeColor="background1" w:themeShade="80"/>
          <w:sz w:val="22"/>
          <w:szCs w:val="22"/>
          <w:lang w:val="en-GB"/>
        </w:rPr>
        <w:t>if only</w:t>
      </w:r>
      <w:r w:rsidRPr="003C21A1">
        <w:rPr>
          <w:rFonts w:ascii="Arial" w:hAnsi="Arial" w:cs="Arial"/>
          <w:color w:val="808080" w:themeColor="background1" w:themeShade="80"/>
          <w:sz w:val="22"/>
          <w:szCs w:val="22"/>
          <w:lang w:val="en-GB"/>
        </w:rPr>
        <w:t xml:space="preserve"> two vote against. </w:t>
      </w:r>
      <w:r w:rsidR="006F6FE5" w:rsidRPr="003C21A1">
        <w:rPr>
          <w:rFonts w:ascii="Arial" w:hAnsi="Arial" w:cs="Arial"/>
          <w:color w:val="808080" w:themeColor="background1" w:themeShade="80"/>
          <w:sz w:val="22"/>
          <w:szCs w:val="22"/>
          <w:lang w:val="en-GB"/>
        </w:rPr>
        <w:t>However,</w:t>
      </w:r>
      <w:r w:rsidRPr="003C21A1">
        <w:rPr>
          <w:rFonts w:ascii="Arial" w:hAnsi="Arial" w:cs="Arial"/>
          <w:color w:val="808080" w:themeColor="background1" w:themeShade="80"/>
          <w:sz w:val="22"/>
          <w:szCs w:val="22"/>
          <w:lang w:val="en-GB"/>
        </w:rPr>
        <w:t xml:space="preserve"> i</w:t>
      </w:r>
      <w:r w:rsidR="006F6FE5" w:rsidRPr="003C21A1">
        <w:rPr>
          <w:rFonts w:ascii="Arial" w:hAnsi="Arial" w:cs="Arial"/>
          <w:color w:val="808080" w:themeColor="background1" w:themeShade="80"/>
          <w:sz w:val="22"/>
          <w:szCs w:val="22"/>
          <w:lang w:val="en-GB"/>
        </w:rPr>
        <w:t>f</w:t>
      </w:r>
      <w:r w:rsidRPr="003C21A1">
        <w:rPr>
          <w:rFonts w:ascii="Arial" w:hAnsi="Arial" w:cs="Arial"/>
          <w:color w:val="808080" w:themeColor="background1" w:themeShade="80"/>
          <w:sz w:val="22"/>
          <w:szCs w:val="22"/>
          <w:lang w:val="en-GB"/>
        </w:rPr>
        <w:t xml:space="preserve"> the other three vote against, then there are no grounds as it will not have </w:t>
      </w:r>
      <w:r w:rsidR="006F6FE5" w:rsidRPr="003C21A1">
        <w:rPr>
          <w:rFonts w:ascii="Arial" w:hAnsi="Arial" w:cs="Arial"/>
          <w:color w:val="808080" w:themeColor="background1" w:themeShade="80"/>
          <w:sz w:val="22"/>
          <w:szCs w:val="22"/>
          <w:lang w:val="en-GB"/>
        </w:rPr>
        <w:t>achieved</w:t>
      </w:r>
      <w:r w:rsidR="003C21A1">
        <w:rPr>
          <w:rFonts w:ascii="Arial" w:hAnsi="Arial" w:cs="Arial"/>
          <w:color w:val="808080" w:themeColor="background1" w:themeShade="80"/>
          <w:sz w:val="22"/>
          <w:szCs w:val="22"/>
          <w:lang w:val="en-GB"/>
        </w:rPr>
        <w:t xml:space="preserve"> at least</w:t>
      </w:r>
      <w:r w:rsidRPr="003C21A1">
        <w:rPr>
          <w:rFonts w:ascii="Arial" w:hAnsi="Arial" w:cs="Arial"/>
          <w:color w:val="808080" w:themeColor="background1" w:themeShade="80"/>
          <w:sz w:val="22"/>
          <w:szCs w:val="22"/>
          <w:lang w:val="en-GB"/>
        </w:rPr>
        <w:t xml:space="preserve"> 1/3 in favour. </w:t>
      </w:r>
    </w:p>
    <w:p w14:paraId="3A1446A5" w14:textId="77777777" w:rsidR="003C21A1" w:rsidRPr="003C21A1" w:rsidRDefault="003C21A1" w:rsidP="003C21A1">
      <w:pPr>
        <w:autoSpaceDE w:val="0"/>
        <w:autoSpaceDN w:val="0"/>
        <w:adjustRightInd w:val="0"/>
        <w:jc w:val="both"/>
        <w:rPr>
          <w:rFonts w:ascii="Arial" w:hAnsi="Arial" w:cs="Arial"/>
          <w:color w:val="808080" w:themeColor="background1" w:themeShade="80"/>
          <w:sz w:val="22"/>
          <w:szCs w:val="22"/>
          <w:lang w:val="en-GB"/>
        </w:rPr>
      </w:pPr>
    </w:p>
    <w:p w14:paraId="23FA925E" w14:textId="2D818C51" w:rsidR="006F6FE5" w:rsidRPr="003C21A1" w:rsidRDefault="006F6FE5" w:rsidP="003C21A1">
      <w:pPr>
        <w:autoSpaceDE w:val="0"/>
        <w:autoSpaceDN w:val="0"/>
        <w:adjustRightInd w:val="0"/>
        <w:jc w:val="both"/>
        <w:rPr>
          <w:rFonts w:ascii="Arial" w:hAnsi="Arial" w:cs="Arial"/>
          <w:color w:val="808080" w:themeColor="background1" w:themeShade="80"/>
          <w:sz w:val="22"/>
          <w:szCs w:val="22"/>
          <w:lang w:val="en-GB"/>
        </w:rPr>
      </w:pPr>
      <w:r w:rsidRPr="003C21A1">
        <w:rPr>
          <w:rFonts w:ascii="Arial" w:hAnsi="Arial" w:cs="Arial"/>
          <w:color w:val="808080" w:themeColor="background1" w:themeShade="80"/>
          <w:sz w:val="22"/>
          <w:szCs w:val="22"/>
          <w:lang w:val="en-GB"/>
        </w:rPr>
        <w:t>It is possible</w:t>
      </w:r>
      <w:r w:rsidR="00904D89" w:rsidRPr="003C21A1">
        <w:rPr>
          <w:rFonts w:ascii="Arial" w:hAnsi="Arial" w:cs="Arial"/>
          <w:color w:val="808080" w:themeColor="background1" w:themeShade="80"/>
          <w:sz w:val="22"/>
          <w:szCs w:val="22"/>
          <w:lang w:val="en-GB"/>
        </w:rPr>
        <w:t>, since the enactment of Federal Law 14.112/2020 for creditors to present their own version of a recovery plan for the debtor, if the debtor’s plan isn’t approved. However, creditors w</w:t>
      </w:r>
      <w:r w:rsidR="003C21A1">
        <w:rPr>
          <w:rFonts w:ascii="Arial" w:hAnsi="Arial" w:cs="Arial"/>
          <w:color w:val="808080" w:themeColor="background1" w:themeShade="80"/>
          <w:sz w:val="22"/>
          <w:szCs w:val="22"/>
          <w:lang w:val="en-GB"/>
        </w:rPr>
        <w:t>ho</w:t>
      </w:r>
      <w:r w:rsidR="00904D89" w:rsidRPr="003C21A1">
        <w:rPr>
          <w:rFonts w:ascii="Arial" w:hAnsi="Arial" w:cs="Arial"/>
          <w:color w:val="808080" w:themeColor="background1" w:themeShade="80"/>
          <w:sz w:val="22"/>
          <w:szCs w:val="22"/>
          <w:lang w:val="en-GB"/>
        </w:rPr>
        <w:t xml:space="preserve"> support the plan would need to release personal guarantees from third party individuals. </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w:t>
      </w:r>
      <w:r w:rsidRPr="005E573F">
        <w:rPr>
          <w:rFonts w:ascii="Arial" w:hAnsi="Arial" w:cs="Arial"/>
          <w:color w:val="000000" w:themeColor="text1"/>
          <w:sz w:val="22"/>
          <w:szCs w:val="22"/>
          <w:lang w:val="en-GB"/>
        </w:rPr>
        <w:t xml:space="preserve">by </w:t>
      </w:r>
      <w:r w:rsidR="00FF15B4" w:rsidRPr="005E573F">
        <w:rPr>
          <w:rFonts w:ascii="Arial" w:hAnsi="Arial" w:cs="Arial"/>
          <w:color w:val="000000" w:themeColor="text1"/>
          <w:sz w:val="22"/>
          <w:szCs w:val="22"/>
          <w:lang w:val="en-GB"/>
        </w:rPr>
        <w:t xml:space="preserve">a </w:t>
      </w:r>
      <w:r w:rsidRPr="005E573F">
        <w:rPr>
          <w:rFonts w:ascii="Arial" w:hAnsi="Arial" w:cs="Arial"/>
          <w:color w:val="000000" w:themeColor="text1"/>
          <w:sz w:val="22"/>
          <w:szCs w:val="22"/>
          <w:lang w:val="en-GB"/>
        </w:rPr>
        <w:t>fiduciary title</w:t>
      </w:r>
      <w:r>
        <w:rPr>
          <w:rFonts w:ascii="Arial" w:hAnsi="Arial" w:cs="Arial"/>
          <w:color w:val="000000" w:themeColor="text1"/>
          <w:sz w:val="22"/>
          <w:szCs w:val="22"/>
          <w:lang w:val="en-GB"/>
        </w:rPr>
        <w:t xml:space="preserv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4344F63C" w14:textId="4A740A36" w:rsidR="00904D89" w:rsidRDefault="001E31EA" w:rsidP="001E31E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Braz Bank has</w:t>
      </w:r>
      <w:r w:rsidR="00904D89">
        <w:rPr>
          <w:rFonts w:ascii="Arial" w:hAnsi="Arial" w:cs="Arial"/>
          <w:color w:val="7B7B7B" w:themeColor="accent3" w:themeShade="BF"/>
          <w:sz w:val="22"/>
          <w:szCs w:val="22"/>
          <w:lang w:val="en-GB"/>
        </w:rPr>
        <w:t xml:space="preserve"> a fiduciary title on a given assets, </w:t>
      </w:r>
      <w:r>
        <w:rPr>
          <w:rFonts w:ascii="Arial" w:hAnsi="Arial" w:cs="Arial"/>
          <w:color w:val="7B7B7B" w:themeColor="accent3" w:themeShade="BF"/>
          <w:sz w:val="22"/>
          <w:szCs w:val="22"/>
          <w:lang w:val="en-GB"/>
        </w:rPr>
        <w:t>it</w:t>
      </w:r>
      <w:r w:rsidR="00904D89">
        <w:rPr>
          <w:rFonts w:ascii="Arial" w:hAnsi="Arial" w:cs="Arial"/>
          <w:color w:val="7B7B7B" w:themeColor="accent3" w:themeShade="BF"/>
          <w:sz w:val="22"/>
          <w:szCs w:val="22"/>
          <w:lang w:val="en-GB"/>
        </w:rPr>
        <w:t xml:space="preserve"> will be granted with immunity to any restructuring the company undertake</w:t>
      </w:r>
      <w:r>
        <w:rPr>
          <w:rFonts w:ascii="Arial" w:hAnsi="Arial" w:cs="Arial"/>
          <w:color w:val="7B7B7B" w:themeColor="accent3" w:themeShade="BF"/>
          <w:sz w:val="22"/>
          <w:szCs w:val="22"/>
          <w:lang w:val="en-GB"/>
        </w:rPr>
        <w:t>s</w:t>
      </w:r>
      <w:r w:rsidR="00904D8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Whilst Braz Bank will not be subject to the insolvency proceedings, it cann</w:t>
      </w:r>
      <w:r w:rsidR="00904D89">
        <w:rPr>
          <w:rFonts w:ascii="Arial" w:hAnsi="Arial" w:cs="Arial"/>
          <w:color w:val="7B7B7B" w:themeColor="accent3" w:themeShade="BF"/>
          <w:sz w:val="22"/>
          <w:szCs w:val="22"/>
          <w:lang w:val="en-GB"/>
        </w:rPr>
        <w:t xml:space="preserve">ot take possession of the </w:t>
      </w:r>
      <w:r>
        <w:rPr>
          <w:rFonts w:ascii="Arial" w:hAnsi="Arial" w:cs="Arial"/>
          <w:color w:val="7B7B7B" w:themeColor="accent3" w:themeShade="BF"/>
          <w:sz w:val="22"/>
          <w:szCs w:val="22"/>
          <w:lang w:val="en-GB"/>
        </w:rPr>
        <w:t>land</w:t>
      </w:r>
      <w:r w:rsidR="00904D89">
        <w:rPr>
          <w:rFonts w:ascii="Arial" w:hAnsi="Arial" w:cs="Arial"/>
          <w:color w:val="7B7B7B" w:themeColor="accent3" w:themeShade="BF"/>
          <w:sz w:val="22"/>
          <w:szCs w:val="22"/>
          <w:lang w:val="en-GB"/>
        </w:rPr>
        <w:t xml:space="preserve"> during the stay period of 180 days (noting </w:t>
      </w:r>
      <w:r>
        <w:rPr>
          <w:rFonts w:ascii="Arial" w:hAnsi="Arial" w:cs="Arial"/>
          <w:color w:val="7B7B7B" w:themeColor="accent3" w:themeShade="BF"/>
          <w:sz w:val="22"/>
          <w:szCs w:val="22"/>
          <w:lang w:val="en-GB"/>
        </w:rPr>
        <w:t>the timeframe</w:t>
      </w:r>
      <w:r w:rsidR="00904D89">
        <w:rPr>
          <w:rFonts w:ascii="Arial" w:hAnsi="Arial" w:cs="Arial"/>
          <w:color w:val="7B7B7B" w:themeColor="accent3" w:themeShade="BF"/>
          <w:sz w:val="22"/>
          <w:szCs w:val="22"/>
          <w:lang w:val="en-GB"/>
        </w:rPr>
        <w:t xml:space="preserve"> may be extended by the court as well)</w:t>
      </w:r>
      <w:r>
        <w:rPr>
          <w:rFonts w:ascii="Arial" w:hAnsi="Arial" w:cs="Arial"/>
          <w:color w:val="7B7B7B" w:themeColor="accent3" w:themeShade="BF"/>
          <w:sz w:val="22"/>
          <w:szCs w:val="22"/>
          <w:lang w:val="en-GB"/>
        </w:rPr>
        <w:t xml:space="preserve"> as it is assumed that the land is an essential good for Empreendimentos’ business as it is the land the main factory is in (per Article 49, Paragraph 3 of the Bankruptcy Law).</w:t>
      </w:r>
    </w:p>
    <w:p w14:paraId="60B88C1D" w14:textId="22E40DDA" w:rsidR="00D345CF" w:rsidRDefault="00D345CF" w:rsidP="001E31EA">
      <w:pPr>
        <w:ind w:left="720"/>
        <w:jc w:val="both"/>
        <w:rPr>
          <w:rFonts w:ascii="Arial" w:hAnsi="Arial" w:cs="Arial"/>
          <w:color w:val="7B7B7B" w:themeColor="accent3" w:themeShade="BF"/>
          <w:sz w:val="22"/>
          <w:szCs w:val="22"/>
          <w:lang w:val="en-GB"/>
        </w:rPr>
      </w:pPr>
    </w:p>
    <w:p w14:paraId="697510F3" w14:textId="4899FB68" w:rsidR="00BF5096" w:rsidRDefault="00BF5096" w:rsidP="001E31E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the above mentioned facts, we are 2 days into the 180 day stay. However, the court may give a one time addition 180 day (or less) stay again. </w:t>
      </w:r>
    </w:p>
    <w:p w14:paraId="7AD61A5F" w14:textId="77777777" w:rsidR="00BF5096" w:rsidRDefault="00BF5096" w:rsidP="001E31EA">
      <w:pPr>
        <w:ind w:left="720"/>
        <w:jc w:val="both"/>
        <w:rPr>
          <w:rFonts w:ascii="Arial" w:hAnsi="Arial" w:cs="Arial"/>
          <w:color w:val="7B7B7B" w:themeColor="accent3" w:themeShade="BF"/>
          <w:sz w:val="22"/>
          <w:szCs w:val="22"/>
          <w:lang w:val="en-GB"/>
        </w:rPr>
      </w:pPr>
    </w:p>
    <w:p w14:paraId="21F42B74" w14:textId="4B1835D5" w:rsidR="00D345CF" w:rsidRDefault="00D345CF" w:rsidP="001E31E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after the 180 days has passe</w:t>
      </w:r>
      <w:r w:rsidR="00BF5096">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it can be seen in prior cases</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that repossession should not occur without the consent of the Bankruptcy Court. </w:t>
      </w:r>
    </w:p>
    <w:p w14:paraId="1771B085" w14:textId="7F8DA93E" w:rsidR="001E31EA" w:rsidRDefault="001E31EA" w:rsidP="001E31EA">
      <w:pPr>
        <w:ind w:left="720"/>
        <w:jc w:val="both"/>
        <w:rPr>
          <w:rFonts w:ascii="Arial" w:hAnsi="Arial" w:cs="Arial"/>
          <w:color w:val="7B7B7B" w:themeColor="accent3" w:themeShade="BF"/>
          <w:sz w:val="22"/>
          <w:szCs w:val="22"/>
          <w:lang w:val="en-GB"/>
        </w:rPr>
      </w:pPr>
    </w:p>
    <w:p w14:paraId="78A2A1F0" w14:textId="02BEA13B" w:rsidR="001E31EA" w:rsidRDefault="001E31EA" w:rsidP="001E31E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This is a major issue and in particular, if the court determines this piece of land is fundamental for any restructuring, it may prevent Braz Bank from repossessing the land. It is likely this is what Empreendimentos would argue as a defence. </w:t>
      </w:r>
    </w:p>
    <w:p w14:paraId="663C0B81" w14:textId="77777777" w:rsidR="00BF5096" w:rsidRDefault="00BF5096" w:rsidP="001E31EA">
      <w:pPr>
        <w:ind w:left="720"/>
        <w:jc w:val="both"/>
        <w:rPr>
          <w:rFonts w:ascii="Arial" w:hAnsi="Arial" w:cs="Arial"/>
          <w:color w:val="7B7B7B" w:themeColor="accent3" w:themeShade="BF"/>
          <w:sz w:val="22"/>
          <w:szCs w:val="22"/>
          <w:lang w:val="en-GB"/>
        </w:rPr>
      </w:pPr>
    </w:p>
    <w:p w14:paraId="27C13220" w14:textId="3690DC45" w:rsidR="005E573F" w:rsidRPr="001E31EA" w:rsidRDefault="005E573F" w:rsidP="001E31E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may even request the stay is extended on the basis that a judicial recovery plan has not yet been approved – this would further delay any enforcement action. </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5067" w14:textId="77777777" w:rsidR="00131CB1" w:rsidRDefault="00131CB1" w:rsidP="00241B44">
      <w:r>
        <w:separator/>
      </w:r>
    </w:p>
  </w:endnote>
  <w:endnote w:type="continuationSeparator" w:id="0">
    <w:p w14:paraId="2137722B" w14:textId="77777777" w:rsidR="00131CB1" w:rsidRDefault="00131C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0F52B2E" w:rsidR="0068208B" w:rsidRPr="009B4976" w:rsidRDefault="007F5430" w:rsidP="009B4976">
    <w:pPr>
      <w:pStyle w:val="Footer"/>
      <w:ind w:right="360"/>
      <w:rPr>
        <w:rFonts w:ascii="Arial" w:hAnsi="Arial" w:cs="Arial"/>
        <w:sz w:val="18"/>
        <w:szCs w:val="18"/>
        <w:lang w:val="en-GB"/>
      </w:rPr>
    </w:pPr>
    <w:r>
      <w:rPr>
        <w:rFonts w:ascii="Arial" w:hAnsi="Arial" w:cs="Arial"/>
        <w:sz w:val="18"/>
        <w:szCs w:val="18"/>
        <w:lang w:val="en-GB"/>
      </w:rPr>
      <w:t>202122-496</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76D3" w14:textId="77777777" w:rsidR="007F5430" w:rsidRDefault="007F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E518" w14:textId="77777777" w:rsidR="00131CB1" w:rsidRDefault="00131CB1" w:rsidP="00241B44">
      <w:r>
        <w:separator/>
      </w:r>
    </w:p>
  </w:footnote>
  <w:footnote w:type="continuationSeparator" w:id="0">
    <w:p w14:paraId="04DAF0FE" w14:textId="77777777" w:rsidR="00131CB1" w:rsidRDefault="00131CB1" w:rsidP="00241B44">
      <w:r>
        <w:continuationSeparator/>
      </w:r>
    </w:p>
  </w:footnote>
  <w:footnote w:id="1">
    <w:p w14:paraId="436EF8DF" w14:textId="3AB589D6" w:rsidR="00D81778" w:rsidRPr="00D81778" w:rsidRDefault="00D81778">
      <w:pPr>
        <w:pStyle w:val="FootnoteText"/>
        <w:rPr>
          <w:lang w:val="en-GB"/>
        </w:rPr>
      </w:pPr>
      <w:r>
        <w:rPr>
          <w:rStyle w:val="FootnoteReference"/>
        </w:rPr>
        <w:footnoteRef/>
      </w:r>
      <w:r>
        <w:t xml:space="preserve"> </w:t>
      </w:r>
      <w:r>
        <w:rPr>
          <w:lang w:val="en-GB"/>
        </w:rPr>
        <w:t>Pursuant to Article 75, paragraphs 3 and 4, of Federal Law 4.728/1965</w:t>
      </w:r>
    </w:p>
  </w:footnote>
  <w:footnote w:id="2">
    <w:p w14:paraId="7189E41D" w14:textId="55456854" w:rsidR="00D345CF" w:rsidRPr="00D345CF" w:rsidRDefault="00D345CF">
      <w:pPr>
        <w:pStyle w:val="FootnoteText"/>
        <w:rPr>
          <w:lang w:val="en-GB"/>
        </w:rPr>
      </w:pPr>
      <w:r>
        <w:rPr>
          <w:rStyle w:val="FootnoteReference"/>
        </w:rPr>
        <w:footnoteRef/>
      </w:r>
      <w:r>
        <w:t xml:space="preserve"> </w:t>
      </w:r>
      <w:r>
        <w:rPr>
          <w:lang w:val="en-GB"/>
        </w:rPr>
        <w:t>STJ, AgRg on CC 127.629, Second Joint Panel, Reporting Justice Joao Otavio de Noronha, decided on April 23</w:t>
      </w:r>
      <w:r w:rsidRPr="00D345CF">
        <w:rPr>
          <w:vertAlign w:val="superscript"/>
          <w:lang w:val="en-GB"/>
        </w:rPr>
        <w:t>rd</w:t>
      </w:r>
      <w:r>
        <w:rPr>
          <w:lang w:val="en-GB"/>
        </w:rPr>
        <w:t xml:space="preserve"> 2014; STF, AgRg on CC 125.893, Second Joint Panel, Reporting Justice Nancy Andrighi, decided on March 13</w:t>
      </w:r>
      <w:r w:rsidRPr="00D345CF">
        <w:rPr>
          <w:vertAlign w:val="superscript"/>
          <w:lang w:val="en-GB"/>
        </w:rPr>
        <w:t>th</w:t>
      </w:r>
      <w:r>
        <w:rPr>
          <w:lang w:val="en-GB"/>
        </w:rPr>
        <w:t xml:space="preserv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ACE8" w14:textId="77777777" w:rsidR="007F5430" w:rsidRDefault="007F5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886F" w14:textId="77777777" w:rsidR="007F5430" w:rsidRDefault="007F5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5EC3" w14:textId="77777777" w:rsidR="007F5430" w:rsidRDefault="007F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1779" w:hanging="360"/>
      </w:pPr>
      <w:rPr>
        <w:rFonts w:hint="default"/>
        <w:i w:val="0"/>
        <w:iCs/>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03270"/>
    <w:multiLevelType w:val="hybridMultilevel"/>
    <w:tmpl w:val="5B36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33408"/>
    <w:multiLevelType w:val="hybridMultilevel"/>
    <w:tmpl w:val="AAB4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43968"/>
    <w:multiLevelType w:val="hybridMultilevel"/>
    <w:tmpl w:val="16AE8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0F94270"/>
    <w:multiLevelType w:val="hybridMultilevel"/>
    <w:tmpl w:val="155601AA"/>
    <w:lvl w:ilvl="0" w:tplc="3702B1DE">
      <w:start w:val="1"/>
      <w:numFmt w:val="bullet"/>
      <w:lvlText w:val=""/>
      <w:lvlJc w:val="left"/>
      <w:pPr>
        <w:ind w:left="1080" w:hanging="72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4F53418"/>
    <w:multiLevelType w:val="hybridMultilevel"/>
    <w:tmpl w:val="58541A2C"/>
    <w:lvl w:ilvl="0" w:tplc="5716639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C1D75FC"/>
    <w:multiLevelType w:val="hybridMultilevel"/>
    <w:tmpl w:val="28D0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25D1D39"/>
    <w:multiLevelType w:val="hybridMultilevel"/>
    <w:tmpl w:val="859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5AF7C25"/>
    <w:multiLevelType w:val="hybridMultilevel"/>
    <w:tmpl w:val="6D9EC008"/>
    <w:lvl w:ilvl="0" w:tplc="AEDA4EC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B1C27D6"/>
    <w:multiLevelType w:val="hybridMultilevel"/>
    <w:tmpl w:val="68481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22975"/>
    <w:multiLevelType w:val="hybridMultilevel"/>
    <w:tmpl w:val="89D8A788"/>
    <w:lvl w:ilvl="0" w:tplc="73ECAD80">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624C8E"/>
    <w:multiLevelType w:val="hybridMultilevel"/>
    <w:tmpl w:val="63C4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5"/>
  </w:num>
  <w:num w:numId="4">
    <w:abstractNumId w:val="26"/>
  </w:num>
  <w:num w:numId="5">
    <w:abstractNumId w:val="32"/>
  </w:num>
  <w:num w:numId="6">
    <w:abstractNumId w:val="18"/>
  </w:num>
  <w:num w:numId="7">
    <w:abstractNumId w:val="24"/>
  </w:num>
  <w:num w:numId="8">
    <w:abstractNumId w:val="22"/>
  </w:num>
  <w:num w:numId="9">
    <w:abstractNumId w:val="10"/>
  </w:num>
  <w:num w:numId="10">
    <w:abstractNumId w:val="17"/>
  </w:num>
  <w:num w:numId="11">
    <w:abstractNumId w:val="6"/>
  </w:num>
  <w:num w:numId="12">
    <w:abstractNumId w:val="5"/>
  </w:num>
  <w:num w:numId="13">
    <w:abstractNumId w:val="34"/>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
  </w:num>
  <w:num w:numId="29">
    <w:abstractNumId w:val="0"/>
  </w:num>
  <w:num w:numId="30">
    <w:abstractNumId w:val="27"/>
  </w:num>
  <w:num w:numId="31">
    <w:abstractNumId w:val="8"/>
  </w:num>
  <w:num w:numId="32">
    <w:abstractNumId w:val="13"/>
  </w:num>
  <w:num w:numId="33">
    <w:abstractNumId w:val="31"/>
  </w:num>
  <w:num w:numId="34">
    <w:abstractNumId w:val="14"/>
  </w:num>
  <w:num w:numId="35">
    <w:abstractNumId w:val="15"/>
  </w:num>
  <w:num w:numId="36">
    <w:abstractNumId w:val="30"/>
  </w:num>
  <w:num w:numId="37">
    <w:abstractNumId w:val="12"/>
  </w:num>
  <w:num w:numId="38">
    <w:abstractNumId w:val="20"/>
  </w:num>
  <w:num w:numId="39">
    <w:abstractNumId w:val="23"/>
  </w:num>
  <w:num w:numId="40">
    <w:abstractNumId w:val="19"/>
  </w:num>
  <w:num w:numId="41">
    <w:abstractNumId w:val="21"/>
  </w:num>
  <w:num w:numId="42">
    <w:abstractNumId w:val="9"/>
  </w:num>
  <w:num w:numId="43">
    <w:abstractNumId w:val="16"/>
  </w:num>
  <w:num w:numId="44">
    <w:abstractNumId w:val="3"/>
  </w:num>
  <w:num w:numId="45">
    <w:abstractNumId w:val="2"/>
  </w:num>
  <w:num w:numId="46">
    <w:abstractNumId w:val="28"/>
  </w:num>
  <w:num w:numId="47">
    <w:abstractNumId w:val="7"/>
  </w:num>
  <w:num w:numId="48">
    <w:abstractNumId w:val="4"/>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113B"/>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A7AB0"/>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31CB1"/>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862"/>
    <w:rsid w:val="001E25B9"/>
    <w:rsid w:val="001E31EA"/>
    <w:rsid w:val="001E49E0"/>
    <w:rsid w:val="001E7B5A"/>
    <w:rsid w:val="001F19EF"/>
    <w:rsid w:val="001F6614"/>
    <w:rsid w:val="001F7412"/>
    <w:rsid w:val="002000EE"/>
    <w:rsid w:val="0020090A"/>
    <w:rsid w:val="00202DFE"/>
    <w:rsid w:val="0020725B"/>
    <w:rsid w:val="002110F1"/>
    <w:rsid w:val="00216320"/>
    <w:rsid w:val="00230B9A"/>
    <w:rsid w:val="002356EA"/>
    <w:rsid w:val="00235A9D"/>
    <w:rsid w:val="00236415"/>
    <w:rsid w:val="0024116D"/>
    <w:rsid w:val="00241B44"/>
    <w:rsid w:val="00241FA3"/>
    <w:rsid w:val="00245EFB"/>
    <w:rsid w:val="0024726F"/>
    <w:rsid w:val="00250020"/>
    <w:rsid w:val="002528A2"/>
    <w:rsid w:val="0025386E"/>
    <w:rsid w:val="002638B0"/>
    <w:rsid w:val="0026647A"/>
    <w:rsid w:val="002668D3"/>
    <w:rsid w:val="00267BAC"/>
    <w:rsid w:val="0027299F"/>
    <w:rsid w:val="00274722"/>
    <w:rsid w:val="00283BB0"/>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C3612"/>
    <w:rsid w:val="002C4F2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217F2"/>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6924"/>
    <w:rsid w:val="003A7648"/>
    <w:rsid w:val="003B170F"/>
    <w:rsid w:val="003B3C5F"/>
    <w:rsid w:val="003C21A1"/>
    <w:rsid w:val="003C4471"/>
    <w:rsid w:val="003C673D"/>
    <w:rsid w:val="003D0A6D"/>
    <w:rsid w:val="003D79E1"/>
    <w:rsid w:val="003E0B16"/>
    <w:rsid w:val="003E5457"/>
    <w:rsid w:val="003E67D1"/>
    <w:rsid w:val="003F3F3C"/>
    <w:rsid w:val="003F7075"/>
    <w:rsid w:val="00404329"/>
    <w:rsid w:val="00405DC1"/>
    <w:rsid w:val="004131B6"/>
    <w:rsid w:val="00415F1F"/>
    <w:rsid w:val="004163A2"/>
    <w:rsid w:val="0042108F"/>
    <w:rsid w:val="00430FED"/>
    <w:rsid w:val="00434A8C"/>
    <w:rsid w:val="00437297"/>
    <w:rsid w:val="00444284"/>
    <w:rsid w:val="00445CE6"/>
    <w:rsid w:val="00450643"/>
    <w:rsid w:val="004534C2"/>
    <w:rsid w:val="0045446F"/>
    <w:rsid w:val="0045538F"/>
    <w:rsid w:val="0045683E"/>
    <w:rsid w:val="00457C65"/>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0277"/>
    <w:rsid w:val="00501204"/>
    <w:rsid w:val="00507C99"/>
    <w:rsid w:val="005177FE"/>
    <w:rsid w:val="0052263B"/>
    <w:rsid w:val="00524728"/>
    <w:rsid w:val="005331CA"/>
    <w:rsid w:val="00534637"/>
    <w:rsid w:val="00537970"/>
    <w:rsid w:val="00540E3A"/>
    <w:rsid w:val="00544127"/>
    <w:rsid w:val="005463A9"/>
    <w:rsid w:val="00553EB2"/>
    <w:rsid w:val="00560534"/>
    <w:rsid w:val="00563220"/>
    <w:rsid w:val="0056391B"/>
    <w:rsid w:val="005650E2"/>
    <w:rsid w:val="00567AD7"/>
    <w:rsid w:val="00574F47"/>
    <w:rsid w:val="00575B2D"/>
    <w:rsid w:val="005809ED"/>
    <w:rsid w:val="005833D0"/>
    <w:rsid w:val="005846F3"/>
    <w:rsid w:val="0058622F"/>
    <w:rsid w:val="00592F82"/>
    <w:rsid w:val="005A0CCA"/>
    <w:rsid w:val="005A5522"/>
    <w:rsid w:val="005A6FF2"/>
    <w:rsid w:val="005A726D"/>
    <w:rsid w:val="005B67AC"/>
    <w:rsid w:val="005B7491"/>
    <w:rsid w:val="005B79F4"/>
    <w:rsid w:val="005D16DD"/>
    <w:rsid w:val="005D43E0"/>
    <w:rsid w:val="005D58A3"/>
    <w:rsid w:val="005E1B79"/>
    <w:rsid w:val="005E573F"/>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6FE5"/>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0B3"/>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4FFA"/>
    <w:rsid w:val="007D7C92"/>
    <w:rsid w:val="007E1154"/>
    <w:rsid w:val="007E5707"/>
    <w:rsid w:val="007E6BA4"/>
    <w:rsid w:val="007F41F8"/>
    <w:rsid w:val="007F5430"/>
    <w:rsid w:val="007F659B"/>
    <w:rsid w:val="0080454E"/>
    <w:rsid w:val="00804C32"/>
    <w:rsid w:val="00806302"/>
    <w:rsid w:val="00807119"/>
    <w:rsid w:val="00811C19"/>
    <w:rsid w:val="00823549"/>
    <w:rsid w:val="008246B0"/>
    <w:rsid w:val="0082483F"/>
    <w:rsid w:val="00826BC3"/>
    <w:rsid w:val="008279C0"/>
    <w:rsid w:val="008673B7"/>
    <w:rsid w:val="00867402"/>
    <w:rsid w:val="00867701"/>
    <w:rsid w:val="008723F3"/>
    <w:rsid w:val="00876F56"/>
    <w:rsid w:val="00881DE6"/>
    <w:rsid w:val="008837A6"/>
    <w:rsid w:val="0089145D"/>
    <w:rsid w:val="00893E64"/>
    <w:rsid w:val="008A3335"/>
    <w:rsid w:val="008A4DF2"/>
    <w:rsid w:val="008A6CFE"/>
    <w:rsid w:val="008B28ED"/>
    <w:rsid w:val="008B5333"/>
    <w:rsid w:val="008B6223"/>
    <w:rsid w:val="008C3DC0"/>
    <w:rsid w:val="008C5A0B"/>
    <w:rsid w:val="008C66E0"/>
    <w:rsid w:val="008E3339"/>
    <w:rsid w:val="008F20FC"/>
    <w:rsid w:val="008F5FFE"/>
    <w:rsid w:val="00904D89"/>
    <w:rsid w:val="00905A43"/>
    <w:rsid w:val="00912C79"/>
    <w:rsid w:val="00921B8C"/>
    <w:rsid w:val="009258DC"/>
    <w:rsid w:val="009343E2"/>
    <w:rsid w:val="00942123"/>
    <w:rsid w:val="00943B87"/>
    <w:rsid w:val="00945C05"/>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0557C"/>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2BEF"/>
    <w:rsid w:val="00AD3D49"/>
    <w:rsid w:val="00AD4BE8"/>
    <w:rsid w:val="00AD5486"/>
    <w:rsid w:val="00AE2C54"/>
    <w:rsid w:val="00AF228E"/>
    <w:rsid w:val="00B016A8"/>
    <w:rsid w:val="00B14819"/>
    <w:rsid w:val="00B15E2F"/>
    <w:rsid w:val="00B1686B"/>
    <w:rsid w:val="00B173F8"/>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96"/>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656E"/>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561"/>
    <w:rsid w:val="00D17FDC"/>
    <w:rsid w:val="00D21D8C"/>
    <w:rsid w:val="00D345CF"/>
    <w:rsid w:val="00D4069F"/>
    <w:rsid w:val="00D51AA2"/>
    <w:rsid w:val="00D53719"/>
    <w:rsid w:val="00D56515"/>
    <w:rsid w:val="00D57E46"/>
    <w:rsid w:val="00D63EFD"/>
    <w:rsid w:val="00D732D3"/>
    <w:rsid w:val="00D81778"/>
    <w:rsid w:val="00D84752"/>
    <w:rsid w:val="00D86B3B"/>
    <w:rsid w:val="00D8748A"/>
    <w:rsid w:val="00D91939"/>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0C88"/>
    <w:rsid w:val="00E450A4"/>
    <w:rsid w:val="00E506BE"/>
    <w:rsid w:val="00E50CFC"/>
    <w:rsid w:val="00E55547"/>
    <w:rsid w:val="00E6302B"/>
    <w:rsid w:val="00E6452F"/>
    <w:rsid w:val="00E64F45"/>
    <w:rsid w:val="00E66247"/>
    <w:rsid w:val="00E6742D"/>
    <w:rsid w:val="00E702E1"/>
    <w:rsid w:val="00E71CB0"/>
    <w:rsid w:val="00E77C3D"/>
    <w:rsid w:val="00E81CE7"/>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4D1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12</Pages>
  <Words>3362</Words>
  <Characters>19168</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Watt, Ainsley</cp:lastModifiedBy>
  <cp:revision>40</cp:revision>
  <cp:lastPrinted>2019-08-27T05:42:00Z</cp:lastPrinted>
  <dcterms:created xsi:type="dcterms:W3CDTF">2022-04-04T12:36:00Z</dcterms:created>
  <dcterms:modified xsi:type="dcterms:W3CDTF">2022-07-29T20:24:00Z</dcterms:modified>
</cp:coreProperties>
</file>