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bookmarkStart w:id="0" w:name="_GoBack"/>
      <w:bookmarkEnd w:id="0"/>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DD3B6B" w:rsidRDefault="00831582" w:rsidP="00BE65AA">
      <w:pPr>
        <w:pStyle w:val="ListParagraph"/>
        <w:numPr>
          <w:ilvl w:val="0"/>
          <w:numId w:val="4"/>
        </w:numPr>
        <w:ind w:left="426"/>
        <w:jc w:val="both"/>
        <w:rPr>
          <w:rFonts w:ascii="Arial" w:hAnsi="Arial" w:cs="Arial"/>
          <w:sz w:val="22"/>
          <w:szCs w:val="22"/>
          <w:highlight w:val="yellow"/>
          <w:lang w:val="en-GB"/>
        </w:rPr>
      </w:pPr>
      <w:r w:rsidRPr="00DD3B6B">
        <w:rPr>
          <w:rFonts w:ascii="Arial" w:hAnsi="Arial" w:cs="Arial"/>
          <w:sz w:val="22"/>
          <w:szCs w:val="22"/>
          <w:highlight w:val="yellow"/>
          <w:lang w:val="en-GB"/>
        </w:rPr>
        <w:t>To</w:t>
      </w:r>
      <w:r w:rsidR="005E32B3" w:rsidRPr="00DD3B6B">
        <w:rPr>
          <w:rFonts w:ascii="Arial" w:hAnsi="Arial" w:cs="Arial"/>
          <w:sz w:val="22"/>
          <w:szCs w:val="22"/>
          <w:highlight w:val="yellow"/>
          <w:lang w:val="en-GB"/>
        </w:rPr>
        <w:t xml:space="preserve"> run the business of the </w:t>
      </w:r>
      <w:r w:rsidR="00787521" w:rsidRPr="00DD3B6B">
        <w:rPr>
          <w:rFonts w:ascii="Arial" w:hAnsi="Arial" w:cs="Arial"/>
          <w:sz w:val="22"/>
          <w:szCs w:val="22"/>
          <w:highlight w:val="yellow"/>
          <w:lang w:val="en-GB"/>
        </w:rPr>
        <w:t xml:space="preserve">debtor </w:t>
      </w:r>
      <w:r w:rsidR="005E32B3" w:rsidRPr="00DD3B6B">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053498" w:rsidRDefault="004C294D" w:rsidP="00BE65AA">
      <w:pPr>
        <w:pStyle w:val="ListParagraph"/>
        <w:numPr>
          <w:ilvl w:val="0"/>
          <w:numId w:val="5"/>
        </w:numPr>
        <w:ind w:left="426"/>
        <w:jc w:val="both"/>
        <w:rPr>
          <w:rFonts w:ascii="Arial" w:hAnsi="Arial" w:cs="Arial"/>
          <w:sz w:val="22"/>
          <w:szCs w:val="22"/>
          <w:highlight w:val="yellow"/>
          <w:lang w:val="en-GB"/>
        </w:rPr>
      </w:pPr>
      <w:r w:rsidRPr="00053498">
        <w:rPr>
          <w:rFonts w:ascii="Arial" w:hAnsi="Arial" w:cs="Arial"/>
          <w:sz w:val="22"/>
          <w:szCs w:val="22"/>
          <w:highlight w:val="yellow"/>
          <w:lang w:val="en-GB"/>
        </w:rPr>
        <w:t>A</w:t>
      </w:r>
      <w:r w:rsidR="00C041E8" w:rsidRPr="00053498">
        <w:rPr>
          <w:rFonts w:ascii="Arial" w:hAnsi="Arial" w:cs="Arial"/>
          <w:sz w:val="22"/>
          <w:szCs w:val="22"/>
          <w:highlight w:val="yellow"/>
          <w:lang w:val="en-GB"/>
        </w:rPr>
        <w:t xml:space="preserve"> </w:t>
      </w:r>
      <w:r w:rsidR="00DE0963" w:rsidRPr="00053498">
        <w:rPr>
          <w:rFonts w:ascii="Arial" w:hAnsi="Arial" w:cs="Arial"/>
          <w:sz w:val="22"/>
          <w:szCs w:val="22"/>
          <w:highlight w:val="yellow"/>
          <w:lang w:val="en-GB"/>
        </w:rPr>
        <w:t>pledge</w:t>
      </w:r>
      <w:r w:rsidR="0007291B" w:rsidRPr="00053498">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614401" w:rsidRDefault="00FC32B6" w:rsidP="00BE65AA">
      <w:pPr>
        <w:pStyle w:val="ListParagraph"/>
        <w:numPr>
          <w:ilvl w:val="0"/>
          <w:numId w:val="6"/>
        </w:numPr>
        <w:ind w:left="426"/>
        <w:jc w:val="both"/>
        <w:rPr>
          <w:rFonts w:ascii="Arial" w:hAnsi="Arial" w:cs="Arial"/>
          <w:sz w:val="22"/>
          <w:szCs w:val="22"/>
          <w:highlight w:val="yellow"/>
          <w:lang w:val="en-GB"/>
        </w:rPr>
      </w:pPr>
      <w:r w:rsidRPr="00614401">
        <w:rPr>
          <w:rFonts w:ascii="Arial" w:hAnsi="Arial" w:cs="Arial"/>
          <w:sz w:val="22"/>
          <w:szCs w:val="22"/>
          <w:highlight w:val="yellow"/>
          <w:lang w:val="en-GB"/>
        </w:rPr>
        <w:t>Any of the above</w:t>
      </w:r>
      <w:r w:rsidR="00EA6F96" w:rsidRPr="00614401">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BB2B08" w:rsidRDefault="0007291B" w:rsidP="00BE65AA">
      <w:pPr>
        <w:pStyle w:val="ListParagraph"/>
        <w:numPr>
          <w:ilvl w:val="0"/>
          <w:numId w:val="7"/>
        </w:numPr>
        <w:ind w:left="426"/>
        <w:jc w:val="both"/>
        <w:rPr>
          <w:rFonts w:ascii="Arial" w:hAnsi="Arial" w:cs="Arial"/>
          <w:sz w:val="22"/>
          <w:szCs w:val="22"/>
          <w:highlight w:val="yellow"/>
          <w:lang w:val="en-GB"/>
        </w:rPr>
      </w:pPr>
      <w:r w:rsidRPr="00BB2B08">
        <w:rPr>
          <w:rFonts w:ascii="Arial" w:hAnsi="Arial" w:cs="Arial"/>
          <w:sz w:val="22"/>
          <w:szCs w:val="22"/>
          <w:highlight w:val="yellow"/>
          <w:lang w:val="en-GB"/>
        </w:rPr>
        <w:t xml:space="preserve">75% or more in </w:t>
      </w:r>
      <w:r w:rsidR="00483BC6" w:rsidRPr="00BB2B08">
        <w:rPr>
          <w:rFonts w:ascii="Arial" w:hAnsi="Arial" w:cs="Arial"/>
          <w:sz w:val="22"/>
          <w:szCs w:val="22"/>
          <w:highlight w:val="yellow"/>
          <w:lang w:val="en-GB"/>
        </w:rPr>
        <w:t>value</w:t>
      </w:r>
      <w:r w:rsidR="00F50041" w:rsidRPr="00BB2B08">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5D653A" w:rsidRDefault="00FC32B6" w:rsidP="00BE65AA">
      <w:pPr>
        <w:pStyle w:val="ListParagraph"/>
        <w:numPr>
          <w:ilvl w:val="0"/>
          <w:numId w:val="8"/>
        </w:numPr>
        <w:ind w:left="426"/>
        <w:jc w:val="both"/>
        <w:rPr>
          <w:rFonts w:ascii="Arial" w:hAnsi="Arial" w:cs="Arial"/>
          <w:sz w:val="22"/>
          <w:szCs w:val="22"/>
          <w:highlight w:val="yellow"/>
          <w:lang w:val="en-GB"/>
        </w:rPr>
      </w:pPr>
      <w:r w:rsidRPr="005D653A">
        <w:rPr>
          <w:rFonts w:ascii="Arial" w:hAnsi="Arial" w:cs="Arial"/>
          <w:sz w:val="22"/>
          <w:szCs w:val="22"/>
          <w:highlight w:val="yellow"/>
          <w:lang w:val="en-GB"/>
        </w:rPr>
        <w:t>T</w:t>
      </w:r>
      <w:r w:rsidR="00DE2CD9" w:rsidRPr="005D653A">
        <w:rPr>
          <w:rFonts w:ascii="Arial" w:hAnsi="Arial" w:cs="Arial"/>
          <w:sz w:val="22"/>
          <w:szCs w:val="22"/>
          <w:highlight w:val="yellow"/>
          <w:lang w:val="en-GB"/>
        </w:rPr>
        <w:t>o not travel overseas under any circumstances whatsoever</w:t>
      </w:r>
      <w:r w:rsidR="00384F62" w:rsidRPr="005D653A">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9B39BA" w:rsidRDefault="00FA4DD1" w:rsidP="00C2645B">
      <w:pPr>
        <w:pStyle w:val="ListParagraph"/>
        <w:numPr>
          <w:ilvl w:val="0"/>
          <w:numId w:val="9"/>
        </w:numPr>
        <w:ind w:left="426"/>
        <w:jc w:val="both"/>
        <w:rPr>
          <w:rFonts w:ascii="Arial" w:hAnsi="Arial" w:cs="Arial"/>
          <w:sz w:val="22"/>
          <w:szCs w:val="22"/>
          <w:highlight w:val="yellow"/>
          <w:lang w:val="en-GB"/>
        </w:rPr>
      </w:pPr>
      <w:r w:rsidRPr="009B39BA">
        <w:rPr>
          <w:rFonts w:ascii="Arial" w:hAnsi="Arial" w:cs="Arial"/>
          <w:sz w:val="22"/>
          <w:szCs w:val="22"/>
          <w:highlight w:val="yellow"/>
          <w:lang w:val="en-GB"/>
        </w:rPr>
        <w:t>The court can deny recognition only if recognition is “manifestly contrary” to public policy</w:t>
      </w:r>
      <w:r w:rsidR="00EB7B75" w:rsidRPr="009B39BA">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D842A4" w:rsidRDefault="00C87FF9" w:rsidP="00BE65AA">
      <w:pPr>
        <w:pStyle w:val="ListParagraph"/>
        <w:numPr>
          <w:ilvl w:val="0"/>
          <w:numId w:val="10"/>
        </w:numPr>
        <w:ind w:left="426"/>
        <w:jc w:val="both"/>
        <w:rPr>
          <w:rFonts w:ascii="Arial" w:hAnsi="Arial" w:cs="Arial"/>
          <w:sz w:val="22"/>
          <w:szCs w:val="22"/>
          <w:highlight w:val="yellow"/>
          <w:lang w:val="en-GB"/>
        </w:rPr>
      </w:pPr>
      <w:r w:rsidRPr="00D842A4">
        <w:rPr>
          <w:rFonts w:ascii="Arial" w:hAnsi="Arial" w:cs="Arial"/>
          <w:sz w:val="22"/>
          <w:szCs w:val="22"/>
          <w:highlight w:val="yellow"/>
          <w:lang w:val="en-GB"/>
        </w:rPr>
        <w:t xml:space="preserve">Restrictions on </w:t>
      </w:r>
      <w:r w:rsidR="00BC2272" w:rsidRPr="00D842A4">
        <w:rPr>
          <w:rFonts w:ascii="Arial" w:hAnsi="Arial" w:cs="Arial"/>
          <w:i/>
          <w:iCs/>
          <w:sz w:val="22"/>
          <w:szCs w:val="22"/>
          <w:highlight w:val="yellow"/>
          <w:lang w:val="en-GB"/>
        </w:rPr>
        <w:t>ipso facto</w:t>
      </w:r>
      <w:r w:rsidR="00BC2272" w:rsidRPr="00D842A4">
        <w:rPr>
          <w:rFonts w:ascii="Arial" w:hAnsi="Arial" w:cs="Arial"/>
          <w:sz w:val="22"/>
          <w:szCs w:val="22"/>
          <w:highlight w:val="yellow"/>
          <w:lang w:val="en-GB"/>
        </w:rPr>
        <w:t xml:space="preserve"> clauses</w:t>
      </w:r>
      <w:r w:rsidR="00384F62" w:rsidRPr="00D842A4">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4E45B9" w:rsidRDefault="00C21EB5" w:rsidP="00BE65AA">
      <w:pPr>
        <w:pStyle w:val="ListParagraph"/>
        <w:numPr>
          <w:ilvl w:val="0"/>
          <w:numId w:val="11"/>
        </w:numPr>
        <w:ind w:left="426"/>
        <w:jc w:val="both"/>
        <w:rPr>
          <w:rFonts w:ascii="Arial" w:hAnsi="Arial" w:cs="Arial"/>
          <w:sz w:val="22"/>
          <w:szCs w:val="22"/>
          <w:highlight w:val="yellow"/>
          <w:lang w:val="en-GB"/>
        </w:rPr>
      </w:pPr>
      <w:r w:rsidRPr="004E45B9">
        <w:rPr>
          <w:rFonts w:ascii="Arial" w:hAnsi="Arial" w:cs="Arial"/>
          <w:sz w:val="22"/>
          <w:szCs w:val="22"/>
          <w:highlight w:val="yellow"/>
          <w:lang w:val="en-GB"/>
        </w:rPr>
        <w:t xml:space="preserve">The </w:t>
      </w:r>
      <w:r w:rsidR="00384F62" w:rsidRPr="004E45B9">
        <w:rPr>
          <w:rFonts w:ascii="Arial" w:hAnsi="Arial" w:cs="Arial"/>
          <w:sz w:val="22"/>
          <w:szCs w:val="22"/>
          <w:highlight w:val="yellow"/>
          <w:lang w:val="en-GB"/>
        </w:rPr>
        <w:t>l</w:t>
      </w:r>
      <w:r w:rsidRPr="004E45B9">
        <w:rPr>
          <w:rFonts w:ascii="Arial" w:hAnsi="Arial" w:cs="Arial"/>
          <w:sz w:val="22"/>
          <w:szCs w:val="22"/>
          <w:highlight w:val="yellow"/>
          <w:lang w:val="en-GB"/>
        </w:rPr>
        <w:t xml:space="preserve">iquidator by way of an application to </w:t>
      </w:r>
      <w:r w:rsidR="00384F62" w:rsidRPr="004E45B9">
        <w:rPr>
          <w:rFonts w:ascii="Arial" w:hAnsi="Arial" w:cs="Arial"/>
          <w:sz w:val="22"/>
          <w:szCs w:val="22"/>
          <w:highlight w:val="yellow"/>
          <w:lang w:val="en-GB"/>
        </w:rPr>
        <w:t>c</w:t>
      </w:r>
      <w:r w:rsidRPr="004E45B9">
        <w:rPr>
          <w:rFonts w:ascii="Arial" w:hAnsi="Arial" w:cs="Arial"/>
          <w:sz w:val="22"/>
          <w:szCs w:val="22"/>
          <w:highlight w:val="yellow"/>
          <w:lang w:val="en-GB"/>
        </w:rPr>
        <w:t>ourt</w:t>
      </w:r>
      <w:r w:rsidR="00384F62" w:rsidRPr="004E45B9">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BB27AE" w:rsidRDefault="00391426" w:rsidP="00BE65AA">
      <w:pPr>
        <w:pStyle w:val="ListParagraph"/>
        <w:numPr>
          <w:ilvl w:val="0"/>
          <w:numId w:val="12"/>
        </w:numPr>
        <w:ind w:left="426"/>
        <w:jc w:val="both"/>
        <w:rPr>
          <w:rFonts w:ascii="Arial" w:hAnsi="Arial" w:cs="Arial"/>
          <w:sz w:val="22"/>
          <w:szCs w:val="22"/>
          <w:highlight w:val="yellow"/>
          <w:lang w:val="en-GB"/>
        </w:rPr>
      </w:pPr>
      <w:r w:rsidRPr="00BB27AE">
        <w:rPr>
          <w:rFonts w:ascii="Arial" w:hAnsi="Arial" w:cs="Arial"/>
          <w:sz w:val="22"/>
          <w:szCs w:val="22"/>
          <w:highlight w:val="yellow"/>
          <w:lang w:val="en-GB"/>
        </w:rPr>
        <w:t>Not being able to travel overseas at all</w:t>
      </w:r>
      <w:r w:rsidR="00384F62" w:rsidRPr="00BB27AE">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4955A6AE" w:rsidR="008B16E7" w:rsidRPr="00B6324B" w:rsidRDefault="0007291B" w:rsidP="00384F62">
      <w:pPr>
        <w:pStyle w:val="ListParagraph"/>
        <w:numPr>
          <w:ilvl w:val="0"/>
          <w:numId w:val="16"/>
        </w:numPr>
        <w:ind w:left="426"/>
        <w:jc w:val="both"/>
        <w:rPr>
          <w:rFonts w:ascii="Arial" w:hAnsi="Arial" w:cs="Arial"/>
          <w:sz w:val="22"/>
          <w:szCs w:val="22"/>
          <w:highlight w:val="yellow"/>
          <w:lang w:val="en-GB"/>
        </w:rPr>
      </w:pPr>
      <w:r w:rsidRPr="00B6324B">
        <w:rPr>
          <w:rFonts w:ascii="Arial" w:hAnsi="Arial" w:cs="Arial"/>
          <w:sz w:val="22"/>
          <w:szCs w:val="22"/>
          <w:highlight w:val="yellow"/>
          <w:lang w:val="en-GB"/>
        </w:rPr>
        <w:t xml:space="preserve">The </w:t>
      </w:r>
      <w:r w:rsidR="008569B9" w:rsidRPr="00B6324B">
        <w:rPr>
          <w:rFonts w:ascii="Arial" w:hAnsi="Arial" w:cs="Arial"/>
          <w:sz w:val="22"/>
          <w:szCs w:val="22"/>
          <w:highlight w:val="yellow"/>
          <w:lang w:val="en-GB"/>
        </w:rPr>
        <w:t>more advantageous realisation of the property than in a liquidation</w:t>
      </w:r>
      <w:r w:rsidR="00384F62" w:rsidRPr="00B6324B">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15FE2B33" w14:textId="40870762" w:rsidR="00384F62" w:rsidRDefault="0076704E"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decision</w:t>
      </w:r>
      <w:r w:rsidR="0030205B">
        <w:rPr>
          <w:rFonts w:ascii="Arial" w:hAnsi="Arial" w:cs="Arial"/>
          <w:color w:val="7B7B7B" w:themeColor="accent3" w:themeShade="BF"/>
          <w:sz w:val="22"/>
          <w:szCs w:val="22"/>
        </w:rPr>
        <w:t xml:space="preserve"> of the Singapore Court of Appeal</w:t>
      </w:r>
      <w:r>
        <w:rPr>
          <w:rFonts w:ascii="Arial" w:hAnsi="Arial" w:cs="Arial"/>
          <w:color w:val="7B7B7B" w:themeColor="accent3" w:themeShade="BF"/>
          <w:sz w:val="22"/>
          <w:szCs w:val="22"/>
        </w:rPr>
        <w:t xml:space="preserve"> in </w:t>
      </w:r>
      <w:r w:rsidRPr="0076704E">
        <w:rPr>
          <w:rFonts w:ascii="Arial" w:hAnsi="Arial" w:cs="Arial"/>
          <w:i/>
          <w:color w:val="7B7B7B" w:themeColor="accent3" w:themeShade="BF"/>
          <w:sz w:val="22"/>
          <w:szCs w:val="22"/>
        </w:rPr>
        <w:t>Sun Electric Power</w:t>
      </w:r>
      <w:r>
        <w:rPr>
          <w:rFonts w:ascii="Arial" w:hAnsi="Arial" w:cs="Arial"/>
          <w:color w:val="7B7B7B" w:themeColor="accent3" w:themeShade="BF"/>
          <w:sz w:val="22"/>
          <w:szCs w:val="22"/>
        </w:rPr>
        <w:t xml:space="preserve"> clarified that the cash flow test should be the sole and determinative test under section 125(2)(c) of the </w:t>
      </w:r>
      <w:r w:rsidR="0030205B">
        <w:rPr>
          <w:rFonts w:ascii="Arial" w:hAnsi="Arial" w:cs="Arial"/>
          <w:color w:val="7B7B7B" w:themeColor="accent3" w:themeShade="BF"/>
          <w:sz w:val="22"/>
          <w:szCs w:val="22"/>
        </w:rPr>
        <w:t>IRD Act in determining whether a company is unable to pay its debts</w:t>
      </w:r>
      <w:r w:rsidR="00CA64DF">
        <w:rPr>
          <w:rStyle w:val="FootnoteReference"/>
          <w:rFonts w:ascii="Arial" w:hAnsi="Arial" w:cs="Arial"/>
          <w:color w:val="7B7B7B" w:themeColor="accent3" w:themeShade="BF"/>
          <w:sz w:val="22"/>
          <w:szCs w:val="22"/>
        </w:rPr>
        <w:footnoteReference w:id="1"/>
      </w:r>
      <w:r w:rsidR="0030205B">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 </w:t>
      </w:r>
    </w:p>
    <w:p w14:paraId="45529A94" w14:textId="72EFC83C" w:rsidR="001D2E24" w:rsidRDefault="001D2E24"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Singapore Court of Appeal also set out a non-exhaustive list of factors, which should be considered under the cash flow test: </w:t>
      </w:r>
    </w:p>
    <w:p w14:paraId="73E19091" w14:textId="1D65B5AC" w:rsidR="001D2E24" w:rsidRDefault="001D2E24" w:rsidP="001D2E24">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The quantum of all debts which are due or will be due in the reasonably near future;</w:t>
      </w:r>
    </w:p>
    <w:p w14:paraId="61F758DB" w14:textId="4C55AD93" w:rsidR="001D2E24" w:rsidRDefault="001D2E24" w:rsidP="001D2E24">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Whether payment is being demanded or is likely to be demanded for those debts'</w:t>
      </w:r>
    </w:p>
    <w:p w14:paraId="0DF0C928" w14:textId="4CE9769C" w:rsidR="001D2E24" w:rsidRDefault="001D2E24" w:rsidP="001D2E24">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Whether the company has failed to pay any of its debts, the quantum of such debt, and for how long the company has failed to pay it;</w:t>
      </w:r>
    </w:p>
    <w:p w14:paraId="33781F55" w14:textId="434536D1" w:rsidR="001D2E24" w:rsidRDefault="001D2E24" w:rsidP="001D2E24">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length of time that has passed since the commencement of the winding up proceedings;</w:t>
      </w:r>
    </w:p>
    <w:p w14:paraId="5154D7A0" w14:textId="62951454" w:rsidR="001D2E24" w:rsidRDefault="00D83A16" w:rsidP="001D2E24">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value of the company's current assets and assets that will be realisable in the reasonably near future;</w:t>
      </w:r>
    </w:p>
    <w:p w14:paraId="7E8CD88A" w14:textId="24CEF0F2" w:rsidR="00D83A16" w:rsidRDefault="00D83A16" w:rsidP="001D2E24">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state of the company's business, in order to determine its expected net cash flow from the business by deducting from projected future sales the cash expenses which would be necessary to generate those sales;</w:t>
      </w:r>
    </w:p>
    <w:p w14:paraId="53DCD67A" w14:textId="19F0ABEE" w:rsidR="00D83A16" w:rsidRDefault="00D83A16" w:rsidP="00D83A16">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Any other income or payment which the company may receive in the reasonably near future; and </w:t>
      </w:r>
    </w:p>
    <w:p w14:paraId="21ADF9A1" w14:textId="0272C389" w:rsidR="00384F62" w:rsidRPr="00CA64DF" w:rsidRDefault="00D83A16" w:rsidP="00384F62">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Arrangements between the company and prospective lenders, such as its bankers and shareholders, in order to determine whether any shortfall in liquid and realizable assets and cash flow could be made up by borrowings which would be repayable at a time later than the debts</w:t>
      </w:r>
      <w:r>
        <w:rPr>
          <w:rStyle w:val="FootnoteReference"/>
          <w:rFonts w:ascii="Arial" w:hAnsi="Arial" w:cs="Arial"/>
          <w:color w:val="7B7B7B" w:themeColor="accent3" w:themeShade="BF"/>
          <w:sz w:val="22"/>
          <w:szCs w:val="22"/>
        </w:rPr>
        <w:footnoteReference w:id="2"/>
      </w:r>
      <w:r w:rsidR="00CA64DF">
        <w:rPr>
          <w:rFonts w:ascii="Arial" w:hAnsi="Arial" w:cs="Arial"/>
          <w:color w:val="7B7B7B" w:themeColor="accent3" w:themeShade="BF"/>
          <w:sz w:val="22"/>
          <w:szCs w:val="22"/>
        </w:rPr>
        <w:t xml:space="preserve">. </w:t>
      </w:r>
    </w:p>
    <w:p w14:paraId="1AF57F03" w14:textId="5716661D" w:rsidR="00384F62" w:rsidRDefault="00384F62" w:rsidP="00384F62">
      <w:pPr>
        <w:jc w:val="both"/>
        <w:rPr>
          <w:rFonts w:ascii="Arial" w:hAnsi="Arial" w:cs="Arial"/>
          <w:sz w:val="22"/>
          <w:szCs w:val="22"/>
          <w:lang w:val="en-GB"/>
        </w:rPr>
      </w:pPr>
    </w:p>
    <w:p w14:paraId="11584014" w14:textId="77777777" w:rsidR="00384F62" w:rsidRPr="002A37BB" w:rsidRDefault="00384F62"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35946FE6" w14:textId="00060E0C" w:rsidR="00C1400C" w:rsidRDefault="00C206E7"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US Bankruptcy Code heavily influences four new features introduced in the IRDA. They provide</w:t>
      </w:r>
      <w:r w:rsidR="00C1400C">
        <w:rPr>
          <w:rFonts w:ascii="Arial" w:hAnsi="Arial" w:cs="Arial"/>
          <w:color w:val="7B7B7B" w:themeColor="accent3" w:themeShade="BF"/>
          <w:sz w:val="22"/>
          <w:szCs w:val="22"/>
        </w:rPr>
        <w:t xml:space="preserve"> that a Singapore Court, may on application by the debtor, make an order that any rescue financing obtained by a debtor will: </w:t>
      </w:r>
    </w:p>
    <w:p w14:paraId="401C07F4" w14:textId="77777777" w:rsidR="00C1400C" w:rsidRPr="00C1400C" w:rsidRDefault="00C1400C" w:rsidP="00C1400C">
      <w:pPr>
        <w:pStyle w:val="ListParagraph"/>
        <w:numPr>
          <w:ilvl w:val="0"/>
          <w:numId w:val="18"/>
        </w:numPr>
        <w:jc w:val="both"/>
        <w:rPr>
          <w:rFonts w:ascii="Arial" w:hAnsi="Arial" w:cs="Arial"/>
          <w:sz w:val="22"/>
          <w:szCs w:val="22"/>
        </w:rPr>
      </w:pPr>
      <w:r>
        <w:rPr>
          <w:rFonts w:ascii="Arial" w:hAnsi="Arial" w:cs="Arial"/>
          <w:color w:val="7B7B7B" w:themeColor="accent3" w:themeShade="BF"/>
          <w:sz w:val="22"/>
          <w:szCs w:val="22"/>
        </w:rPr>
        <w:t>Be treated as part of the costs and expenses of the winding-up if the debtor is later wound up;</w:t>
      </w:r>
    </w:p>
    <w:p w14:paraId="4ADF8258" w14:textId="77777777" w:rsidR="00B84EFA" w:rsidRPr="00B84EFA" w:rsidRDefault="00B84EFA" w:rsidP="00C1400C">
      <w:pPr>
        <w:pStyle w:val="ListParagraph"/>
        <w:numPr>
          <w:ilvl w:val="0"/>
          <w:numId w:val="18"/>
        </w:numPr>
        <w:jc w:val="both"/>
        <w:rPr>
          <w:rFonts w:ascii="Arial" w:hAnsi="Arial" w:cs="Arial"/>
          <w:sz w:val="22"/>
          <w:szCs w:val="22"/>
        </w:rPr>
      </w:pPr>
      <w:r>
        <w:rPr>
          <w:rFonts w:ascii="Arial" w:hAnsi="Arial" w:cs="Arial"/>
          <w:color w:val="7B7B7B" w:themeColor="accent3" w:themeShade="BF"/>
          <w:sz w:val="22"/>
          <w:szCs w:val="22"/>
        </w:rPr>
        <w:t>Enjoy priority over preferential debts if the debtor is later wound up;</w:t>
      </w:r>
    </w:p>
    <w:p w14:paraId="656FE841" w14:textId="77777777" w:rsidR="00B84EFA" w:rsidRPr="00B84EFA" w:rsidRDefault="00B84EFA" w:rsidP="00C1400C">
      <w:pPr>
        <w:pStyle w:val="ListParagraph"/>
        <w:numPr>
          <w:ilvl w:val="0"/>
          <w:numId w:val="18"/>
        </w:numPr>
        <w:jc w:val="both"/>
        <w:rPr>
          <w:rFonts w:ascii="Arial" w:hAnsi="Arial" w:cs="Arial"/>
          <w:sz w:val="22"/>
          <w:szCs w:val="22"/>
        </w:rPr>
      </w:pPr>
      <w:r>
        <w:rPr>
          <w:rFonts w:ascii="Arial" w:hAnsi="Arial" w:cs="Arial"/>
          <w:color w:val="7B7B7B" w:themeColor="accent3" w:themeShade="BF"/>
          <w:sz w:val="22"/>
          <w:szCs w:val="22"/>
        </w:rPr>
        <w:t xml:space="preserve">Be secured by a security interest on property of the debtor not otherwise subject to any security interest, or be secured by a subordinate security interest on property of the debtor that is subject to an existing security interest if the debtor would not have been able to obtain unsecured rescue financing from any other person; or </w:t>
      </w:r>
    </w:p>
    <w:p w14:paraId="63EBEC0C" w14:textId="68F00BD6" w:rsidR="009B07AD" w:rsidRPr="00C1400C" w:rsidRDefault="00B84EFA" w:rsidP="00C1400C">
      <w:pPr>
        <w:pStyle w:val="ListParagraph"/>
        <w:numPr>
          <w:ilvl w:val="0"/>
          <w:numId w:val="18"/>
        </w:numPr>
        <w:jc w:val="both"/>
        <w:rPr>
          <w:rFonts w:ascii="Arial" w:hAnsi="Arial" w:cs="Arial"/>
          <w:sz w:val="22"/>
          <w:szCs w:val="22"/>
        </w:rPr>
      </w:pPr>
      <w:r>
        <w:rPr>
          <w:rFonts w:ascii="Arial" w:hAnsi="Arial" w:cs="Arial"/>
          <w:color w:val="7B7B7B" w:themeColor="accent3" w:themeShade="BF"/>
          <w:sz w:val="22"/>
          <w:szCs w:val="22"/>
        </w:rPr>
        <w:t xml:space="preserve">Be secured by a security interest on property subject to an existing security interest, of the same or a higher priority than the existing security interest, if the debtor would not have </w:t>
      </w:r>
      <w:r w:rsidR="00C206E7">
        <w:rPr>
          <w:rFonts w:ascii="Arial" w:hAnsi="Arial" w:cs="Arial"/>
          <w:color w:val="7B7B7B" w:themeColor="accent3" w:themeShade="BF"/>
          <w:sz w:val="22"/>
          <w:szCs w:val="22"/>
        </w:rPr>
        <w:t xml:space="preserve">been able to obtain rescue financing from any other person unless it was secured in such a manner and there is adequate protection for the interests of the existing security interest. </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55DF930D" w14:textId="67544E1A" w:rsidR="009269F4" w:rsidRDefault="00EF5436" w:rsidP="009269F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arrangement is an alternative to formal bankruptcy. </w:t>
      </w:r>
      <w:r w:rsidR="001473E9">
        <w:rPr>
          <w:rFonts w:ascii="Arial" w:hAnsi="Arial" w:cs="Arial"/>
          <w:color w:val="7B7B7B" w:themeColor="accent3" w:themeShade="BF"/>
          <w:sz w:val="22"/>
          <w:szCs w:val="22"/>
          <w:lang w:val="en-GB"/>
        </w:rPr>
        <w:t>It is a formal arrangement made between a debtor and his creditors and overseen by a nominee. The aim of the arrangement is to see the relevant debts satisfied</w:t>
      </w:r>
      <w:r w:rsidR="001473E9">
        <w:rPr>
          <w:rStyle w:val="FootnoteReference"/>
          <w:rFonts w:ascii="Arial" w:hAnsi="Arial" w:cs="Arial"/>
          <w:color w:val="7B7B7B" w:themeColor="accent3" w:themeShade="BF"/>
          <w:sz w:val="22"/>
          <w:szCs w:val="22"/>
          <w:lang w:val="en-GB"/>
        </w:rPr>
        <w:footnoteReference w:id="3"/>
      </w:r>
      <w:r w:rsidR="009269F4">
        <w:rPr>
          <w:rFonts w:ascii="Arial" w:hAnsi="Arial" w:cs="Arial"/>
          <w:color w:val="7B7B7B" w:themeColor="accent3" w:themeShade="BF"/>
          <w:sz w:val="22"/>
          <w:szCs w:val="22"/>
          <w:lang w:val="en-GB"/>
        </w:rPr>
        <w:t>. The process is as follows:</w:t>
      </w:r>
    </w:p>
    <w:p w14:paraId="28451EE0" w14:textId="0E518D93" w:rsidR="009269F4" w:rsidRDefault="009269F4" w:rsidP="009269F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debtor must appoint a nominee </w:t>
      </w:r>
      <w:r w:rsidR="00FA2C21">
        <w:rPr>
          <w:rFonts w:ascii="Arial" w:hAnsi="Arial" w:cs="Arial"/>
          <w:color w:val="7B7B7B" w:themeColor="accent3" w:themeShade="BF"/>
          <w:sz w:val="22"/>
          <w:szCs w:val="22"/>
          <w:lang w:val="en-GB"/>
        </w:rPr>
        <w:t>as part of the proposal for a VA</w:t>
      </w:r>
      <w:r w:rsidR="00A64B16">
        <w:rPr>
          <w:rStyle w:val="FootnoteReference"/>
          <w:rFonts w:ascii="Arial" w:hAnsi="Arial" w:cs="Arial"/>
          <w:color w:val="7B7B7B" w:themeColor="accent3" w:themeShade="BF"/>
          <w:sz w:val="22"/>
          <w:szCs w:val="22"/>
          <w:lang w:val="en-GB"/>
        </w:rPr>
        <w:footnoteReference w:id="4"/>
      </w:r>
      <w:r w:rsidR="00FA2C21">
        <w:rPr>
          <w:rFonts w:ascii="Arial" w:hAnsi="Arial" w:cs="Arial"/>
          <w:color w:val="7B7B7B" w:themeColor="accent3" w:themeShade="BF"/>
          <w:sz w:val="22"/>
          <w:szCs w:val="22"/>
          <w:lang w:val="en-GB"/>
        </w:rPr>
        <w:t xml:space="preserve">. </w:t>
      </w:r>
    </w:p>
    <w:p w14:paraId="44794FBB" w14:textId="51CF3365" w:rsidR="00FA2C21" w:rsidRDefault="00FA2C21" w:rsidP="009269F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nominee must be a licenced insolvency practitioner. </w:t>
      </w:r>
    </w:p>
    <w:p w14:paraId="14F38C73" w14:textId="1F2C0A10" w:rsidR="00FA2C21" w:rsidRDefault="00FA2C21" w:rsidP="009269F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Where a debtor intends to propose a VA to its creditors, the Singapore Court may grant an interim moratorium order, pursuant to which: no bankruptcy application may be made or proceeded with against the debtor; and no other proceedings, execution or other legal process may be commended or continued against the person or property of the debtor without the leave of the court; and where the interim order is in respect of a firm- no bankruptcy application may be made or proceeded with against the firm or, except with the leave of the court, any partner therein; and no other proceedings, execution or other legal process may be commenced or continued against the firm or its property or against the person or property of any partner in the firm, without the leave of the court</w:t>
      </w:r>
      <w:r w:rsidR="00A64B16">
        <w:rPr>
          <w:rFonts w:ascii="Arial" w:hAnsi="Arial" w:cs="Arial"/>
          <w:color w:val="7B7B7B" w:themeColor="accent3" w:themeShade="BF"/>
          <w:sz w:val="22"/>
          <w:szCs w:val="22"/>
          <w:lang w:val="en-GB"/>
        </w:rPr>
        <w:t>.</w:t>
      </w:r>
      <w:r w:rsidR="00A64B16">
        <w:rPr>
          <w:rStyle w:val="FootnoteReference"/>
          <w:rFonts w:ascii="Arial" w:hAnsi="Arial" w:cs="Arial"/>
          <w:color w:val="7B7B7B" w:themeColor="accent3" w:themeShade="BF"/>
          <w:sz w:val="22"/>
          <w:szCs w:val="22"/>
          <w:lang w:val="en-GB"/>
        </w:rPr>
        <w:footnoteReference w:id="5"/>
      </w:r>
    </w:p>
    <w:p w14:paraId="778ACCF8" w14:textId="3DA9634A" w:rsidR="00400477" w:rsidRDefault="00400477" w:rsidP="009269F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an interim order has been made, the nominee must submit a report to the Court which states whether, in his opinion, a meeting of the debtor's creditors should be summoned, and if so, the date, time and place which the meeting should take place.</w:t>
      </w:r>
      <w:r>
        <w:rPr>
          <w:rStyle w:val="FootnoteReference"/>
          <w:rFonts w:ascii="Arial" w:hAnsi="Arial" w:cs="Arial"/>
          <w:color w:val="7B7B7B" w:themeColor="accent3" w:themeShade="BF"/>
          <w:sz w:val="22"/>
          <w:szCs w:val="22"/>
          <w:lang w:val="en-GB"/>
        </w:rPr>
        <w:footnoteReference w:id="6"/>
      </w:r>
    </w:p>
    <w:p w14:paraId="2652DF08" w14:textId="58854B70" w:rsidR="00400477" w:rsidRDefault="00400477" w:rsidP="009269F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Unless otherwise directed by the Court, the nominee then summons a creditors meeting.</w:t>
      </w:r>
      <w:r>
        <w:rPr>
          <w:rStyle w:val="FootnoteReference"/>
          <w:rFonts w:ascii="Arial" w:hAnsi="Arial" w:cs="Arial"/>
          <w:color w:val="7B7B7B" w:themeColor="accent3" w:themeShade="BF"/>
          <w:sz w:val="22"/>
          <w:szCs w:val="22"/>
          <w:lang w:val="en-GB"/>
        </w:rPr>
        <w:footnoteReference w:id="7"/>
      </w:r>
    </w:p>
    <w:p w14:paraId="0CABEAF9" w14:textId="58E25702" w:rsidR="00400477" w:rsidRDefault="00400477" w:rsidP="009269F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VA must then be approved by special resolution by the creditors at the creditors meeting. If the VA is approved by the requisite majority, it will then bind all creditors who have had notice of and were entitled to vote at the meeting.</w:t>
      </w:r>
      <w:r>
        <w:rPr>
          <w:rStyle w:val="FootnoteReference"/>
          <w:rFonts w:ascii="Arial" w:hAnsi="Arial" w:cs="Arial"/>
          <w:color w:val="7B7B7B" w:themeColor="accent3" w:themeShade="BF"/>
          <w:sz w:val="22"/>
          <w:szCs w:val="22"/>
          <w:lang w:val="en-GB"/>
        </w:rPr>
        <w:footnoteReference w:id="8"/>
      </w:r>
      <w:r>
        <w:rPr>
          <w:rFonts w:ascii="Arial" w:hAnsi="Arial" w:cs="Arial"/>
          <w:color w:val="7B7B7B" w:themeColor="accent3" w:themeShade="BF"/>
          <w:sz w:val="22"/>
          <w:szCs w:val="22"/>
          <w:lang w:val="en-GB"/>
        </w:rPr>
        <w:t xml:space="preserve"> </w:t>
      </w:r>
    </w:p>
    <w:p w14:paraId="7E30DB56" w14:textId="00456671" w:rsidR="001F2577" w:rsidRPr="00052208" w:rsidRDefault="00052208" w:rsidP="001A7BC4">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debtor fails to comply with any of the obligations under the VA, the nominee or any creditor bounds by the VA may bring a bankruptcy application against the debtor.</w:t>
      </w:r>
      <w:r>
        <w:rPr>
          <w:rStyle w:val="FootnoteReference"/>
          <w:rFonts w:ascii="Arial" w:hAnsi="Arial" w:cs="Arial"/>
          <w:color w:val="7B7B7B" w:themeColor="accent3" w:themeShade="BF"/>
          <w:sz w:val="22"/>
          <w:szCs w:val="22"/>
          <w:lang w:val="en-GB"/>
        </w:rPr>
        <w:footnoteReference w:id="9"/>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511FAC00" w14:textId="77777777" w:rsidR="00F776F4" w:rsidRDefault="008C6577"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liquidator</w:t>
      </w:r>
      <w:r w:rsidR="002A3B1C">
        <w:rPr>
          <w:rFonts w:ascii="Arial" w:hAnsi="Arial" w:cs="Arial"/>
          <w:color w:val="7B7B7B" w:themeColor="accent3" w:themeShade="BF"/>
          <w:sz w:val="22"/>
          <w:szCs w:val="22"/>
          <w:lang w:val="en-GB"/>
        </w:rPr>
        <w:t xml:space="preserve"> or judicial manager</w:t>
      </w:r>
      <w:r>
        <w:rPr>
          <w:rFonts w:ascii="Arial" w:hAnsi="Arial" w:cs="Arial"/>
          <w:color w:val="7B7B7B" w:themeColor="accent3" w:themeShade="BF"/>
          <w:sz w:val="22"/>
          <w:szCs w:val="22"/>
          <w:lang w:val="en-GB"/>
        </w:rPr>
        <w:t xml:space="preserve"> in Singapore </w:t>
      </w:r>
      <w:r w:rsidR="002A3B1C">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proceedings is empowered under the IRDA to bring or defend any action or other legal proceeding in the name and on behalf of the company. </w:t>
      </w:r>
    </w:p>
    <w:p w14:paraId="32BFC82D" w14:textId="77777777" w:rsidR="00F776F4" w:rsidRDefault="008C6577"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power is subject to the control of the Court and any creditor or contributory may apply to the Court with respect to any exercise or proposed exercise of the power.</w:t>
      </w:r>
      <w:r>
        <w:rPr>
          <w:rStyle w:val="FootnoteReference"/>
          <w:rFonts w:ascii="Arial" w:hAnsi="Arial" w:cs="Arial"/>
          <w:color w:val="7B7B7B" w:themeColor="accent3" w:themeShade="BF"/>
          <w:sz w:val="22"/>
          <w:szCs w:val="22"/>
          <w:lang w:val="en-GB"/>
        </w:rPr>
        <w:footnoteReference w:id="10"/>
      </w:r>
      <w:r>
        <w:rPr>
          <w:rFonts w:ascii="Arial" w:hAnsi="Arial" w:cs="Arial"/>
          <w:color w:val="7B7B7B" w:themeColor="accent3" w:themeShade="BF"/>
          <w:sz w:val="22"/>
          <w:szCs w:val="22"/>
          <w:lang w:val="en-GB"/>
        </w:rPr>
        <w:t xml:space="preserve"> </w:t>
      </w:r>
    </w:p>
    <w:p w14:paraId="4E6412EF" w14:textId="7E9845EE" w:rsidR="00544127" w:rsidRDefault="0067632C"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liquidator may appoint a solicitor to bring or defend any such action or legal proceeding in the name and on behalf of the company; and assign, in accordance with the regulations, the proceeds of an action arising under section 224</w:t>
      </w:r>
      <w:r w:rsidR="00B126A2">
        <w:rPr>
          <w:rFonts w:ascii="Arial" w:hAnsi="Arial" w:cs="Arial"/>
          <w:color w:val="7B7B7B" w:themeColor="accent3" w:themeShade="BF"/>
          <w:sz w:val="22"/>
          <w:szCs w:val="22"/>
          <w:lang w:val="en-GB"/>
        </w:rPr>
        <w:t>, 225, 228, 238, 239 or 240.</w:t>
      </w:r>
      <w:r w:rsidR="00B126A2">
        <w:rPr>
          <w:rStyle w:val="FootnoteReference"/>
          <w:rFonts w:ascii="Arial" w:hAnsi="Arial" w:cs="Arial"/>
          <w:color w:val="7B7B7B" w:themeColor="accent3" w:themeShade="BF"/>
          <w:sz w:val="22"/>
          <w:szCs w:val="22"/>
          <w:lang w:val="en-GB"/>
        </w:rPr>
        <w:footnoteReference w:id="11"/>
      </w:r>
    </w:p>
    <w:p w14:paraId="703729DF" w14:textId="30FF6118" w:rsidR="007E40F0" w:rsidRDefault="00F776F4" w:rsidP="00C325A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Taking two of the</w:t>
      </w:r>
      <w:r w:rsidR="00C325AA">
        <w:rPr>
          <w:rFonts w:ascii="Arial" w:hAnsi="Arial" w:cs="Arial"/>
          <w:color w:val="7B7B7B" w:themeColor="accent3" w:themeShade="BF"/>
          <w:sz w:val="22"/>
          <w:szCs w:val="22"/>
          <w:lang w:val="en-GB"/>
        </w:rPr>
        <w:t xml:space="preserve"> aforementioned sections in Division 3 of the IRDA</w:t>
      </w:r>
      <w:r>
        <w:rPr>
          <w:rFonts w:ascii="Arial" w:hAnsi="Arial" w:cs="Arial"/>
          <w:color w:val="7B7B7B" w:themeColor="accent3" w:themeShade="BF"/>
          <w:sz w:val="22"/>
          <w:szCs w:val="22"/>
          <w:lang w:val="en-GB"/>
        </w:rPr>
        <w:t>, which</w:t>
      </w:r>
      <w:r w:rsidR="00C325AA">
        <w:rPr>
          <w:rFonts w:ascii="Arial" w:hAnsi="Arial" w:cs="Arial"/>
          <w:color w:val="7B7B7B" w:themeColor="accent3" w:themeShade="BF"/>
          <w:sz w:val="22"/>
          <w:szCs w:val="22"/>
          <w:lang w:val="en-GB"/>
        </w:rPr>
        <w:t xml:space="preserve"> provide for a liquidator </w:t>
      </w:r>
      <w:r w:rsidR="003E7303">
        <w:rPr>
          <w:rFonts w:ascii="Arial" w:hAnsi="Arial" w:cs="Arial"/>
          <w:color w:val="7B7B7B" w:themeColor="accent3" w:themeShade="BF"/>
          <w:sz w:val="22"/>
          <w:szCs w:val="22"/>
          <w:lang w:val="en-GB"/>
        </w:rPr>
        <w:t xml:space="preserve">or judicial manager </w:t>
      </w:r>
      <w:r w:rsidR="00C325AA">
        <w:rPr>
          <w:rFonts w:ascii="Arial" w:hAnsi="Arial" w:cs="Arial"/>
          <w:color w:val="7B7B7B" w:themeColor="accent3" w:themeShade="BF"/>
          <w:sz w:val="22"/>
          <w:szCs w:val="22"/>
          <w:lang w:val="en-GB"/>
        </w:rPr>
        <w:t xml:space="preserve">to bring claims for: </w:t>
      </w:r>
    </w:p>
    <w:p w14:paraId="1695A568" w14:textId="77777777" w:rsidR="00F776F4" w:rsidRDefault="00972DD3" w:rsidP="00C325A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Transactions at undervalue.</w:t>
      </w:r>
      <w:r w:rsidR="00F776F4">
        <w:rPr>
          <w:rStyle w:val="FootnoteReference"/>
          <w:rFonts w:ascii="Arial" w:hAnsi="Arial" w:cs="Arial"/>
          <w:color w:val="7B7B7B" w:themeColor="accent3" w:themeShade="BF"/>
          <w:sz w:val="22"/>
          <w:szCs w:val="22"/>
          <w:lang w:val="en-GB"/>
        </w:rPr>
        <w:footnoteReference w:id="12"/>
      </w:r>
      <w:r>
        <w:rPr>
          <w:rFonts w:ascii="Arial" w:hAnsi="Arial" w:cs="Arial"/>
          <w:color w:val="7B7B7B" w:themeColor="accent3" w:themeShade="BF"/>
          <w:sz w:val="22"/>
          <w:szCs w:val="22"/>
          <w:lang w:val="en-GB"/>
        </w:rPr>
        <w:t xml:space="preserve"> </w:t>
      </w:r>
    </w:p>
    <w:p w14:paraId="1788AF8F" w14:textId="2E6C4658" w:rsidR="00C325AA" w:rsidRDefault="00972DD3" w:rsidP="00C325A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00C325AA">
        <w:rPr>
          <w:rFonts w:ascii="Arial" w:hAnsi="Arial" w:cs="Arial"/>
          <w:color w:val="7B7B7B" w:themeColor="accent3" w:themeShade="BF"/>
          <w:sz w:val="22"/>
          <w:szCs w:val="22"/>
          <w:lang w:val="en-GB"/>
        </w:rPr>
        <w:t xml:space="preserve">here a company is </w:t>
      </w:r>
      <w:r w:rsidR="00FF4BF9">
        <w:rPr>
          <w:rFonts w:ascii="Arial" w:hAnsi="Arial" w:cs="Arial"/>
          <w:color w:val="7B7B7B" w:themeColor="accent3" w:themeShade="BF"/>
          <w:sz w:val="22"/>
          <w:szCs w:val="22"/>
          <w:lang w:val="en-GB"/>
        </w:rPr>
        <w:t>being wound up or is under</w:t>
      </w:r>
      <w:r w:rsidR="00C325AA">
        <w:rPr>
          <w:rFonts w:ascii="Arial" w:hAnsi="Arial" w:cs="Arial"/>
          <w:color w:val="7B7B7B" w:themeColor="accent3" w:themeShade="BF"/>
          <w:sz w:val="22"/>
          <w:szCs w:val="22"/>
          <w:lang w:val="en-GB"/>
        </w:rPr>
        <w:t xml:space="preserve"> judicial management</w:t>
      </w:r>
      <w:r w:rsidR="000A0270">
        <w:rPr>
          <w:rFonts w:ascii="Arial" w:hAnsi="Arial" w:cs="Arial"/>
          <w:color w:val="7B7B7B" w:themeColor="accent3" w:themeShade="BF"/>
          <w:sz w:val="22"/>
          <w:szCs w:val="22"/>
          <w:lang w:val="en-GB"/>
        </w:rPr>
        <w:t>, and has</w:t>
      </w:r>
      <w:r w:rsidR="000D672F">
        <w:rPr>
          <w:rFonts w:ascii="Arial" w:hAnsi="Arial" w:cs="Arial"/>
          <w:color w:val="7B7B7B" w:themeColor="accent3" w:themeShade="BF"/>
          <w:sz w:val="22"/>
          <w:szCs w:val="22"/>
          <w:lang w:val="en-GB"/>
        </w:rPr>
        <w:t>,</w:t>
      </w:r>
      <w:r w:rsidR="000A0270">
        <w:rPr>
          <w:rFonts w:ascii="Arial" w:hAnsi="Arial" w:cs="Arial"/>
          <w:color w:val="7B7B7B" w:themeColor="accent3" w:themeShade="BF"/>
          <w:sz w:val="22"/>
          <w:szCs w:val="22"/>
          <w:lang w:val="en-GB"/>
        </w:rPr>
        <w:t xml:space="preserve"> at the relevant time</w:t>
      </w:r>
      <w:r w:rsidR="000D672F">
        <w:rPr>
          <w:rFonts w:ascii="Arial" w:hAnsi="Arial" w:cs="Arial"/>
          <w:color w:val="7B7B7B" w:themeColor="accent3" w:themeShade="BF"/>
          <w:sz w:val="22"/>
          <w:szCs w:val="22"/>
          <w:lang w:val="en-GB"/>
        </w:rPr>
        <w:t>,</w:t>
      </w:r>
      <w:r w:rsidR="000A0270">
        <w:rPr>
          <w:rFonts w:ascii="Arial" w:hAnsi="Arial" w:cs="Arial"/>
          <w:color w:val="7B7B7B" w:themeColor="accent3" w:themeShade="BF"/>
          <w:sz w:val="22"/>
          <w:szCs w:val="22"/>
          <w:lang w:val="en-GB"/>
        </w:rPr>
        <w:t xml:space="preserve"> entered into a transaction wi</w:t>
      </w:r>
      <w:r w:rsidR="000D672F">
        <w:rPr>
          <w:rFonts w:ascii="Arial" w:hAnsi="Arial" w:cs="Arial"/>
          <w:color w:val="7B7B7B" w:themeColor="accent3" w:themeShade="BF"/>
          <w:sz w:val="22"/>
          <w:szCs w:val="22"/>
          <w:lang w:val="en-GB"/>
        </w:rPr>
        <w:t>th any person at an undervalue. T</w:t>
      </w:r>
      <w:r w:rsidR="000A0270">
        <w:rPr>
          <w:rFonts w:ascii="Arial" w:hAnsi="Arial" w:cs="Arial"/>
          <w:color w:val="7B7B7B" w:themeColor="accent3" w:themeShade="BF"/>
          <w:sz w:val="22"/>
          <w:szCs w:val="22"/>
          <w:lang w:val="en-GB"/>
        </w:rPr>
        <w:t xml:space="preserve">he liquidator or judicial manager may apply to the Court for an order to restore the </w:t>
      </w:r>
      <w:r w:rsidR="000A0270">
        <w:rPr>
          <w:rFonts w:ascii="Arial" w:hAnsi="Arial" w:cs="Arial"/>
          <w:color w:val="7B7B7B" w:themeColor="accent3" w:themeShade="BF"/>
          <w:sz w:val="22"/>
          <w:szCs w:val="22"/>
          <w:lang w:val="en-GB"/>
        </w:rPr>
        <w:lastRenderedPageBreak/>
        <w:t xml:space="preserve">company to the position it would have been in, if the company had not entered into that transaction. </w:t>
      </w:r>
    </w:p>
    <w:p w14:paraId="63CC10E8" w14:textId="08B49B5B" w:rsidR="00F776F4" w:rsidRDefault="000D672F" w:rsidP="00C325A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Unfair preferences.</w:t>
      </w:r>
      <w:r>
        <w:rPr>
          <w:rStyle w:val="FootnoteReference"/>
          <w:rFonts w:ascii="Arial" w:hAnsi="Arial" w:cs="Arial"/>
          <w:color w:val="7B7B7B" w:themeColor="accent3" w:themeShade="BF"/>
          <w:sz w:val="22"/>
          <w:szCs w:val="22"/>
          <w:lang w:val="en-GB"/>
        </w:rPr>
        <w:footnoteReference w:id="13"/>
      </w:r>
    </w:p>
    <w:p w14:paraId="3B057494" w14:textId="50828534" w:rsidR="00972DD3" w:rsidRDefault="00972DD3" w:rsidP="00C325A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company is in judicial management or is being wound up, and has</w:t>
      </w:r>
      <w:r w:rsidR="000D672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at the relevant time</w:t>
      </w:r>
      <w:r w:rsidR="000D672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given an unfair preference to any per</w:t>
      </w:r>
      <w:r w:rsidR="000D672F">
        <w:rPr>
          <w:rFonts w:ascii="Arial" w:hAnsi="Arial" w:cs="Arial"/>
          <w:color w:val="7B7B7B" w:themeColor="accent3" w:themeShade="BF"/>
          <w:sz w:val="22"/>
          <w:szCs w:val="22"/>
          <w:lang w:val="en-GB"/>
        </w:rPr>
        <w:t>son. T</w:t>
      </w:r>
      <w:r>
        <w:rPr>
          <w:rFonts w:ascii="Arial" w:hAnsi="Arial" w:cs="Arial"/>
          <w:color w:val="7B7B7B" w:themeColor="accent3" w:themeShade="BF"/>
          <w:sz w:val="22"/>
          <w:szCs w:val="22"/>
          <w:lang w:val="en-GB"/>
        </w:rPr>
        <w:t xml:space="preserve">he liquidator </w:t>
      </w:r>
      <w:r w:rsidR="003E7303">
        <w:rPr>
          <w:rFonts w:ascii="Arial" w:hAnsi="Arial" w:cs="Arial"/>
          <w:color w:val="7B7B7B" w:themeColor="accent3" w:themeShade="BF"/>
          <w:sz w:val="22"/>
          <w:szCs w:val="22"/>
          <w:lang w:val="en-GB"/>
        </w:rPr>
        <w:t xml:space="preserve">or judicial manager </w:t>
      </w:r>
      <w:r w:rsidR="00C01C7B">
        <w:rPr>
          <w:rFonts w:ascii="Arial" w:hAnsi="Arial" w:cs="Arial"/>
          <w:color w:val="7B7B7B" w:themeColor="accent3" w:themeShade="BF"/>
          <w:sz w:val="22"/>
          <w:szCs w:val="22"/>
          <w:lang w:val="en-GB"/>
        </w:rPr>
        <w:t xml:space="preserve">may apply to the Court for an order to restore the company to the position it would have been in if the company had not given that unfair preference. </w:t>
      </w:r>
    </w:p>
    <w:p w14:paraId="56B590C5" w14:textId="0C5B3132" w:rsidR="008C1F77" w:rsidRDefault="008C1F77" w:rsidP="00C325A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Singapore company is deemed unable to pay its debts if a creditor to whom the company is indebted in a sum exceeding SG$15,000 has served </w:t>
      </w:r>
      <w:r w:rsidR="00E579F2">
        <w:rPr>
          <w:rFonts w:ascii="Arial" w:hAnsi="Arial" w:cs="Arial"/>
          <w:color w:val="7B7B7B" w:themeColor="accent3" w:themeShade="BF"/>
          <w:sz w:val="22"/>
          <w:szCs w:val="22"/>
          <w:lang w:val="en-GB"/>
        </w:rPr>
        <w:t>a written demand on the company, and the sum due has not been satisfied</w:t>
      </w:r>
      <w:r w:rsidR="00E579F2">
        <w:rPr>
          <w:rStyle w:val="FootnoteReference"/>
          <w:rFonts w:ascii="Arial" w:hAnsi="Arial" w:cs="Arial"/>
          <w:color w:val="7B7B7B" w:themeColor="accent3" w:themeShade="BF"/>
          <w:sz w:val="22"/>
          <w:szCs w:val="22"/>
          <w:lang w:val="en-GB"/>
        </w:rPr>
        <w:footnoteReference w:id="14"/>
      </w:r>
    </w:p>
    <w:p w14:paraId="46D5289A" w14:textId="72D0FE38" w:rsidR="00C01C7B" w:rsidRDefault="002447F3" w:rsidP="00C325A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com</w:t>
      </w:r>
      <w:r w:rsidR="008C1F77">
        <w:rPr>
          <w:rFonts w:ascii="Arial" w:hAnsi="Arial" w:cs="Arial"/>
          <w:color w:val="7B7B7B" w:themeColor="accent3" w:themeShade="BF"/>
          <w:sz w:val="22"/>
          <w:szCs w:val="22"/>
          <w:lang w:val="en-GB"/>
        </w:rPr>
        <w:t>pany is unable to pay its debts, c</w:t>
      </w:r>
      <w:r w:rsidR="00C01C7B">
        <w:rPr>
          <w:rFonts w:ascii="Arial" w:hAnsi="Arial" w:cs="Arial"/>
          <w:color w:val="7B7B7B" w:themeColor="accent3" w:themeShade="BF"/>
          <w:sz w:val="22"/>
          <w:szCs w:val="22"/>
          <w:lang w:val="en-GB"/>
        </w:rPr>
        <w:t>laims under sections 224 and 225 are subject to the limitation periods set out in section 226</w:t>
      </w:r>
      <w:r w:rsidR="008B1FF9">
        <w:rPr>
          <w:rFonts w:ascii="Arial" w:hAnsi="Arial" w:cs="Arial"/>
          <w:color w:val="7B7B7B" w:themeColor="accent3" w:themeShade="BF"/>
          <w:sz w:val="22"/>
          <w:szCs w:val="22"/>
          <w:lang w:val="en-GB"/>
        </w:rPr>
        <w:t xml:space="preserve"> of the IRDA. Namely, the time at which a company enters into a transaction at an undervalue or gives an unfair preference is a relevant time if the transaction is entered into or the preference given-</w:t>
      </w:r>
    </w:p>
    <w:p w14:paraId="06DEBB70" w14:textId="2B4E251D" w:rsidR="008B1FF9" w:rsidRDefault="008B1FF9" w:rsidP="008B1FF9">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of a transaction at undervalue-within the period starting 3 years before the commencement of the judicial management or </w:t>
      </w:r>
      <w:r w:rsidR="00FF4BF9">
        <w:rPr>
          <w:rFonts w:ascii="Arial" w:hAnsi="Arial" w:cs="Arial"/>
          <w:color w:val="7B7B7B" w:themeColor="accent3" w:themeShade="BF"/>
          <w:sz w:val="22"/>
          <w:szCs w:val="22"/>
          <w:lang w:val="en-GB"/>
        </w:rPr>
        <w:t xml:space="preserve">winding up </w:t>
      </w:r>
      <w:r>
        <w:rPr>
          <w:rFonts w:ascii="Arial" w:hAnsi="Arial" w:cs="Arial"/>
          <w:color w:val="7B7B7B" w:themeColor="accent3" w:themeShade="BF"/>
          <w:sz w:val="22"/>
          <w:szCs w:val="22"/>
          <w:lang w:val="en-GB"/>
        </w:rPr>
        <w:t xml:space="preserve">and ending on the date of the commencement of the judicial </w:t>
      </w:r>
      <w:r w:rsidR="002A3B1C">
        <w:rPr>
          <w:rFonts w:ascii="Arial" w:hAnsi="Arial" w:cs="Arial"/>
          <w:color w:val="7B7B7B" w:themeColor="accent3" w:themeShade="BF"/>
          <w:sz w:val="22"/>
          <w:szCs w:val="22"/>
          <w:lang w:val="en-GB"/>
        </w:rPr>
        <w:t xml:space="preserve">management or </w:t>
      </w:r>
      <w:r w:rsidR="00FF4BF9">
        <w:rPr>
          <w:rFonts w:ascii="Arial" w:hAnsi="Arial" w:cs="Arial"/>
          <w:color w:val="7B7B7B" w:themeColor="accent3" w:themeShade="BF"/>
          <w:sz w:val="22"/>
          <w:szCs w:val="22"/>
          <w:lang w:val="en-GB"/>
        </w:rPr>
        <w:t>winding up</w:t>
      </w:r>
      <w:r w:rsidR="002A3B1C">
        <w:rPr>
          <w:rFonts w:ascii="Arial" w:hAnsi="Arial" w:cs="Arial"/>
          <w:color w:val="7B7B7B" w:themeColor="accent3" w:themeShade="BF"/>
          <w:sz w:val="22"/>
          <w:szCs w:val="22"/>
          <w:lang w:val="en-GB"/>
        </w:rPr>
        <w:t>;</w:t>
      </w:r>
    </w:p>
    <w:p w14:paraId="657E6772" w14:textId="7B9CFD3E" w:rsidR="002A3B1C" w:rsidRDefault="002A3B1C" w:rsidP="008B1FF9">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case of an unfair preference which is not a transaction at an undervalue and which is given to a person who is connected with the company (otherwise than by reason only of being the company's employee)-within the period starting 2 years before the commencement of the judicial management or winding up</w:t>
      </w:r>
      <w:r w:rsidR="00FF4BF9">
        <w:rPr>
          <w:rFonts w:ascii="Arial" w:hAnsi="Arial" w:cs="Arial"/>
          <w:color w:val="7B7B7B" w:themeColor="accent3" w:themeShade="BF"/>
          <w:sz w:val="22"/>
          <w:szCs w:val="22"/>
          <w:lang w:val="en-GB"/>
        </w:rPr>
        <w:t xml:space="preserve">; and </w:t>
      </w:r>
    </w:p>
    <w:p w14:paraId="7417F366" w14:textId="7F94B973" w:rsidR="00FF4BF9" w:rsidRPr="008B1FF9" w:rsidRDefault="00FF4BF9" w:rsidP="008B1FF9">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any other case of an unfair preference-within the period starting one year before the commencement of the judicial management or winding up (as the case may be) and ending on the date of the commencement of the judicial management or </w:t>
      </w:r>
      <w:r w:rsidR="002447F3">
        <w:rPr>
          <w:rFonts w:ascii="Arial" w:hAnsi="Arial" w:cs="Arial"/>
          <w:color w:val="7B7B7B" w:themeColor="accent3" w:themeShade="BF"/>
          <w:sz w:val="22"/>
          <w:szCs w:val="22"/>
          <w:lang w:val="en-GB"/>
        </w:rPr>
        <w:t xml:space="preserve">winding up. </w:t>
      </w:r>
    </w:p>
    <w:p w14:paraId="6BB37469" w14:textId="77777777" w:rsidR="00972DD3" w:rsidRPr="00C325AA" w:rsidRDefault="00972DD3" w:rsidP="00C325AA">
      <w:pPr>
        <w:ind w:left="720" w:hanging="720"/>
        <w:jc w:val="both"/>
        <w:rPr>
          <w:rFonts w:ascii="Arial" w:hAnsi="Arial" w:cs="Arial"/>
          <w:color w:val="7B7B7B" w:themeColor="accent3" w:themeShade="BF"/>
          <w:sz w:val="22"/>
          <w:szCs w:val="22"/>
          <w:lang w:val="en-GB"/>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7EBF7E64" w14:textId="2317FC2B" w:rsidR="00E30816" w:rsidRDefault="00A27097" w:rsidP="007C54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Judicial management involves the appointment of an insolvency practitioner as a judicial manager to replace a company's directors and management and to take over responsibility for running the company. It is characterised as a corporate rescue tool, but has been criticised as being more of an insolvency process</w:t>
      </w:r>
      <w:r>
        <w:rPr>
          <w:rStyle w:val="FootnoteReference"/>
          <w:rFonts w:ascii="Arial" w:hAnsi="Arial" w:cs="Arial"/>
          <w:color w:val="7B7B7B" w:themeColor="accent3" w:themeShade="BF"/>
          <w:sz w:val="22"/>
          <w:szCs w:val="22"/>
          <w:lang w:val="en-GB"/>
        </w:rPr>
        <w:footnoteReference w:id="15"/>
      </w:r>
    </w:p>
    <w:p w14:paraId="390FDD25" w14:textId="20DF319E" w:rsidR="00DF75F8" w:rsidRDefault="00DB13EE" w:rsidP="007C54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94 (1) of the IRD introduced </w:t>
      </w:r>
      <w:r w:rsidR="007C5477">
        <w:rPr>
          <w:rFonts w:ascii="Arial" w:hAnsi="Arial" w:cs="Arial"/>
          <w:color w:val="7B7B7B" w:themeColor="accent3" w:themeShade="BF"/>
          <w:sz w:val="22"/>
          <w:szCs w:val="22"/>
          <w:lang w:val="en-GB"/>
        </w:rPr>
        <w:t>a new voluntary process for commencing judicial management without filing an application in court</w:t>
      </w:r>
      <w:r w:rsidR="007C5477">
        <w:rPr>
          <w:rStyle w:val="FootnoteReference"/>
          <w:rFonts w:ascii="Arial" w:hAnsi="Arial" w:cs="Arial"/>
          <w:color w:val="7B7B7B" w:themeColor="accent3" w:themeShade="BF"/>
          <w:sz w:val="22"/>
          <w:szCs w:val="22"/>
          <w:lang w:val="en-GB"/>
        </w:rPr>
        <w:footnoteReference w:id="16"/>
      </w:r>
      <w:r w:rsidR="008D1BD5">
        <w:rPr>
          <w:rFonts w:ascii="Arial" w:hAnsi="Arial" w:cs="Arial"/>
          <w:color w:val="7B7B7B" w:themeColor="accent3" w:themeShade="BF"/>
          <w:sz w:val="22"/>
          <w:szCs w:val="22"/>
          <w:lang w:val="en-GB"/>
        </w:rPr>
        <w:t xml:space="preserve">. </w:t>
      </w:r>
    </w:p>
    <w:p w14:paraId="5E018F49" w14:textId="4C2B9529" w:rsidR="008D1BD5" w:rsidRDefault="008D1BD5" w:rsidP="007C54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company </w:t>
      </w:r>
      <w:r w:rsidR="00E30816">
        <w:rPr>
          <w:rFonts w:ascii="Arial" w:hAnsi="Arial" w:cs="Arial"/>
          <w:color w:val="7B7B7B" w:themeColor="accent3" w:themeShade="BF"/>
          <w:sz w:val="22"/>
          <w:szCs w:val="22"/>
          <w:lang w:val="en-GB"/>
        </w:rPr>
        <w:t>may undertake the voluntary process if it is or is likely to become, unable to pay its debts; there is a reasonable probability of achieving one or more of the purposes of judicial management mentioned in section 89(1); and a resolution of its creditors is obtained</w:t>
      </w:r>
      <w:r w:rsidR="00E30816">
        <w:rPr>
          <w:rStyle w:val="FootnoteReference"/>
          <w:rFonts w:ascii="Arial" w:hAnsi="Arial" w:cs="Arial"/>
          <w:color w:val="7B7B7B" w:themeColor="accent3" w:themeShade="BF"/>
          <w:sz w:val="22"/>
          <w:szCs w:val="22"/>
          <w:lang w:val="en-GB"/>
        </w:rPr>
        <w:footnoteReference w:id="17"/>
      </w:r>
      <w:r w:rsidR="00E30816">
        <w:rPr>
          <w:rFonts w:ascii="Arial" w:hAnsi="Arial" w:cs="Arial"/>
          <w:color w:val="7B7B7B" w:themeColor="accent3" w:themeShade="BF"/>
          <w:sz w:val="22"/>
          <w:szCs w:val="22"/>
          <w:lang w:val="en-GB"/>
        </w:rPr>
        <w:t>.</w:t>
      </w:r>
    </w:p>
    <w:p w14:paraId="3F063337" w14:textId="61D56954" w:rsidR="00B6391D" w:rsidRDefault="00B6391D" w:rsidP="007C54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voluntary judicial management </w:t>
      </w:r>
      <w:r w:rsidR="00A65A84">
        <w:rPr>
          <w:rFonts w:ascii="Arial" w:hAnsi="Arial" w:cs="Arial"/>
          <w:color w:val="7B7B7B" w:themeColor="accent3" w:themeShade="BF"/>
          <w:sz w:val="22"/>
          <w:szCs w:val="22"/>
          <w:lang w:val="en-GB"/>
        </w:rPr>
        <w:t>application proce</w:t>
      </w:r>
      <w:r w:rsidR="00617A98">
        <w:rPr>
          <w:rFonts w:ascii="Arial" w:hAnsi="Arial" w:cs="Arial"/>
          <w:color w:val="7B7B7B" w:themeColor="accent3" w:themeShade="BF"/>
          <w:sz w:val="22"/>
          <w:szCs w:val="22"/>
          <w:lang w:val="en-GB"/>
        </w:rPr>
        <w:t>ss has similar requirements to the</w:t>
      </w:r>
      <w:r w:rsidR="00A65A84">
        <w:rPr>
          <w:rFonts w:ascii="Arial" w:hAnsi="Arial" w:cs="Arial"/>
          <w:color w:val="7B7B7B" w:themeColor="accent3" w:themeShade="BF"/>
          <w:sz w:val="22"/>
          <w:szCs w:val="22"/>
          <w:lang w:val="en-GB"/>
        </w:rPr>
        <w:t xml:space="preserve"> court ordered judicial management process, and can be summarised</w:t>
      </w:r>
      <w:r>
        <w:rPr>
          <w:rFonts w:ascii="Arial" w:hAnsi="Arial" w:cs="Arial"/>
          <w:color w:val="7B7B7B" w:themeColor="accent3" w:themeShade="BF"/>
          <w:sz w:val="22"/>
          <w:szCs w:val="22"/>
          <w:lang w:val="en-GB"/>
        </w:rPr>
        <w:t xml:space="preserve"> as follows: </w:t>
      </w:r>
    </w:p>
    <w:p w14:paraId="4D8F64BA" w14:textId="76332E7B" w:rsidR="0033653D" w:rsidRDefault="008C4CD1" w:rsidP="00CC643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Judicial management is </w:t>
      </w:r>
      <w:r w:rsidR="0033653D">
        <w:rPr>
          <w:rFonts w:ascii="Arial" w:hAnsi="Arial" w:cs="Arial"/>
          <w:color w:val="7B7B7B" w:themeColor="accent3" w:themeShade="BF"/>
          <w:sz w:val="22"/>
          <w:szCs w:val="22"/>
          <w:lang w:val="en-GB"/>
        </w:rPr>
        <w:t>commenced through a creditors' resolution by a majority in value of the total amount of the creditors' claims and in the number of creditors present and voting</w:t>
      </w:r>
      <w:r w:rsidR="00A65A84">
        <w:rPr>
          <w:rFonts w:ascii="Arial" w:hAnsi="Arial" w:cs="Arial"/>
          <w:color w:val="7B7B7B" w:themeColor="accent3" w:themeShade="BF"/>
          <w:sz w:val="22"/>
          <w:szCs w:val="22"/>
          <w:lang w:val="en-GB"/>
        </w:rPr>
        <w:t>- rather than just by a single creditor, the latter of which is possible with a court application for judicial management</w:t>
      </w:r>
      <w:r w:rsidR="00E5140B">
        <w:rPr>
          <w:rStyle w:val="FootnoteReference"/>
          <w:rFonts w:ascii="Arial" w:hAnsi="Arial" w:cs="Arial"/>
          <w:color w:val="7B7B7B" w:themeColor="accent3" w:themeShade="BF"/>
          <w:sz w:val="22"/>
          <w:szCs w:val="22"/>
          <w:lang w:val="en-GB"/>
        </w:rPr>
        <w:footnoteReference w:id="18"/>
      </w:r>
      <w:r w:rsidR="00A65A84">
        <w:rPr>
          <w:rFonts w:ascii="Arial" w:hAnsi="Arial" w:cs="Arial"/>
          <w:color w:val="7B7B7B" w:themeColor="accent3" w:themeShade="BF"/>
          <w:sz w:val="22"/>
          <w:szCs w:val="22"/>
          <w:lang w:val="en-GB"/>
        </w:rPr>
        <w:t>.</w:t>
      </w:r>
    </w:p>
    <w:p w14:paraId="1FC38E26" w14:textId="79FD557E" w:rsidR="008C4CD1" w:rsidRDefault="003C22FF" w:rsidP="00CC643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An interim judicial manager may</w:t>
      </w:r>
      <w:r w:rsidR="008C4CD1">
        <w:rPr>
          <w:rFonts w:ascii="Arial" w:hAnsi="Arial" w:cs="Arial"/>
          <w:color w:val="7B7B7B" w:themeColor="accent3" w:themeShade="BF"/>
          <w:sz w:val="22"/>
          <w:szCs w:val="22"/>
          <w:lang w:val="en-GB"/>
        </w:rPr>
        <w:t xml:space="preserve"> be appointed, if the conditions set out in s. 94 (3) are present. </w:t>
      </w:r>
      <w:r>
        <w:rPr>
          <w:rFonts w:ascii="Arial" w:hAnsi="Arial" w:cs="Arial"/>
          <w:color w:val="7B7B7B" w:themeColor="accent3" w:themeShade="BF"/>
          <w:sz w:val="22"/>
          <w:szCs w:val="22"/>
          <w:lang w:val="en-GB"/>
        </w:rPr>
        <w:t xml:space="preserve">An interim judicial manager </w:t>
      </w:r>
      <w:r w:rsidR="00D13800">
        <w:rPr>
          <w:rFonts w:ascii="Arial" w:hAnsi="Arial" w:cs="Arial"/>
          <w:color w:val="7B7B7B" w:themeColor="accent3" w:themeShade="BF"/>
          <w:sz w:val="22"/>
          <w:szCs w:val="22"/>
          <w:lang w:val="en-GB"/>
        </w:rPr>
        <w:t>is appointed either by filing a shareholder's resolution or board resolution for the appointment, and lodging statutory declarations with the Official Receiver and the ACRA, stating the interim judicial manager's consent to be appointed as such, and that the company intends to undergo judicial management</w:t>
      </w:r>
      <w:r w:rsidR="00D13800">
        <w:rPr>
          <w:rStyle w:val="FootnoteReference"/>
          <w:rFonts w:ascii="Arial" w:hAnsi="Arial" w:cs="Arial"/>
          <w:color w:val="7B7B7B" w:themeColor="accent3" w:themeShade="BF"/>
          <w:sz w:val="22"/>
          <w:szCs w:val="22"/>
          <w:lang w:val="en-GB"/>
        </w:rPr>
        <w:footnoteReference w:id="19"/>
      </w:r>
      <w:r w:rsidR="00D13800">
        <w:rPr>
          <w:rFonts w:ascii="Arial" w:hAnsi="Arial" w:cs="Arial"/>
          <w:color w:val="7B7B7B" w:themeColor="accent3" w:themeShade="BF"/>
          <w:sz w:val="22"/>
          <w:szCs w:val="22"/>
          <w:lang w:val="en-GB"/>
        </w:rPr>
        <w:t xml:space="preserve">. The interim judicial manager </w:t>
      </w:r>
      <w:r>
        <w:rPr>
          <w:rFonts w:ascii="Arial" w:hAnsi="Arial" w:cs="Arial"/>
          <w:color w:val="7B7B7B" w:themeColor="accent3" w:themeShade="BF"/>
          <w:sz w:val="22"/>
          <w:szCs w:val="22"/>
          <w:lang w:val="en-GB"/>
        </w:rPr>
        <w:t>must be appointed before the creditors meet to vote on the resolution for a formal judicial manager-there is no requirement for an interim judicial manager in a court application for judicial management</w:t>
      </w:r>
      <w:r>
        <w:rPr>
          <w:rStyle w:val="FootnoteReference"/>
          <w:rFonts w:ascii="Arial" w:hAnsi="Arial" w:cs="Arial"/>
          <w:color w:val="7B7B7B" w:themeColor="accent3" w:themeShade="BF"/>
          <w:sz w:val="22"/>
          <w:szCs w:val="22"/>
          <w:lang w:val="en-GB"/>
        </w:rPr>
        <w:footnoteReference w:id="20"/>
      </w:r>
      <w:r>
        <w:rPr>
          <w:rFonts w:ascii="Arial" w:hAnsi="Arial" w:cs="Arial"/>
          <w:color w:val="7B7B7B" w:themeColor="accent3" w:themeShade="BF"/>
          <w:sz w:val="22"/>
          <w:szCs w:val="22"/>
          <w:lang w:val="en-GB"/>
        </w:rPr>
        <w:t>.</w:t>
      </w:r>
    </w:p>
    <w:p w14:paraId="0924987B" w14:textId="0EBB96A8" w:rsidR="00CC6438" w:rsidRDefault="00CC6438" w:rsidP="00CC643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company that proposes to obtain a resolution of the company's creditors must comply with </w:t>
      </w:r>
      <w:r w:rsidR="00F61EBA">
        <w:rPr>
          <w:rFonts w:ascii="Arial" w:hAnsi="Arial" w:cs="Arial"/>
          <w:color w:val="7B7B7B" w:themeColor="accent3" w:themeShade="BF"/>
          <w:sz w:val="22"/>
          <w:szCs w:val="22"/>
          <w:lang w:val="en-GB"/>
        </w:rPr>
        <w:t xml:space="preserve">the 7 day written notice period set out in </w:t>
      </w:r>
      <w:r>
        <w:rPr>
          <w:rFonts w:ascii="Arial" w:hAnsi="Arial" w:cs="Arial"/>
          <w:color w:val="7B7B7B" w:themeColor="accent3" w:themeShade="BF"/>
          <w:sz w:val="22"/>
          <w:szCs w:val="22"/>
          <w:lang w:val="en-GB"/>
        </w:rPr>
        <w:t>s.94</w:t>
      </w:r>
      <w:r w:rsidR="00F61EB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(2</w:t>
      </w:r>
      <w:r w:rsidR="00F61EBA">
        <w:rPr>
          <w:rFonts w:ascii="Arial" w:hAnsi="Arial" w:cs="Arial"/>
          <w:color w:val="7B7B7B" w:themeColor="accent3" w:themeShade="BF"/>
          <w:sz w:val="22"/>
          <w:szCs w:val="22"/>
          <w:lang w:val="en-GB"/>
        </w:rPr>
        <w:t>).</w:t>
      </w:r>
    </w:p>
    <w:p w14:paraId="0D4DC283" w14:textId="3EDA1A9A" w:rsidR="00F61EBA" w:rsidRDefault="00AA0732" w:rsidP="00CC643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After the appointment, the company must lodge a notice of appointment with the Official Receiver and ACRA, and publish the notice in the Government Gazette and in  an English local daily newspaper</w:t>
      </w:r>
      <w:r>
        <w:rPr>
          <w:rStyle w:val="FootnoteReference"/>
          <w:rFonts w:ascii="Arial" w:hAnsi="Arial" w:cs="Arial"/>
          <w:color w:val="7B7B7B" w:themeColor="accent3" w:themeShade="BF"/>
          <w:sz w:val="22"/>
          <w:szCs w:val="22"/>
          <w:lang w:val="en-GB"/>
        </w:rPr>
        <w:footnoteReference w:id="21"/>
      </w:r>
      <w:r>
        <w:rPr>
          <w:rFonts w:ascii="Arial" w:hAnsi="Arial" w:cs="Arial"/>
          <w:color w:val="7B7B7B" w:themeColor="accent3" w:themeShade="BF"/>
          <w:sz w:val="22"/>
          <w:szCs w:val="22"/>
          <w:lang w:val="en-GB"/>
        </w:rPr>
        <w:t>.</w:t>
      </w:r>
    </w:p>
    <w:p w14:paraId="503B4E2D" w14:textId="7FCE2C0D" w:rsidR="00D34A15" w:rsidRPr="00CC6438" w:rsidRDefault="00F92F50" w:rsidP="00CC643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protect the company from creditors in the period before for</w:t>
      </w:r>
      <w:r w:rsidR="00983D5E">
        <w:rPr>
          <w:rFonts w:ascii="Arial" w:hAnsi="Arial" w:cs="Arial"/>
          <w:color w:val="7B7B7B" w:themeColor="accent3" w:themeShade="BF"/>
          <w:sz w:val="22"/>
          <w:szCs w:val="22"/>
          <w:lang w:val="en-GB"/>
        </w:rPr>
        <w:t xml:space="preserve">mal judicial management begins, </w:t>
      </w:r>
      <w:r>
        <w:rPr>
          <w:rFonts w:ascii="Arial" w:hAnsi="Arial" w:cs="Arial"/>
          <w:color w:val="7B7B7B" w:themeColor="accent3" w:themeShade="BF"/>
          <w:sz w:val="22"/>
          <w:szCs w:val="22"/>
          <w:lang w:val="en-GB"/>
        </w:rPr>
        <w:t>a</w:t>
      </w:r>
      <w:r w:rsidR="00D34A15">
        <w:rPr>
          <w:rFonts w:ascii="Arial" w:hAnsi="Arial" w:cs="Arial"/>
          <w:color w:val="7B7B7B" w:themeColor="accent3" w:themeShade="BF"/>
          <w:sz w:val="22"/>
          <w:szCs w:val="22"/>
          <w:lang w:val="en-GB"/>
        </w:rPr>
        <w:t xml:space="preserve">n interim moratorium operates for judicial management commenced by creditors' resolution, starting once the written notice is lodged and ending when either a formal judicial manager is appointed, the interim judicial manager's term has ended, or when the creditors reject the resolution for judicial management. </w:t>
      </w:r>
      <w:r w:rsidR="00DE158A">
        <w:rPr>
          <w:rFonts w:ascii="Arial" w:hAnsi="Arial" w:cs="Arial"/>
          <w:color w:val="7B7B7B" w:themeColor="accent3" w:themeShade="BF"/>
          <w:sz w:val="22"/>
          <w:szCs w:val="22"/>
          <w:lang w:val="en-GB"/>
        </w:rPr>
        <w:t>However, for judicial management commenced by a court order, an interim moratorium applies from the making of the application to the time when the court makes its decision on whether to grant the order</w:t>
      </w:r>
      <w:r w:rsidR="00DE158A">
        <w:rPr>
          <w:rStyle w:val="FootnoteReference"/>
          <w:rFonts w:ascii="Arial" w:hAnsi="Arial" w:cs="Arial"/>
          <w:color w:val="7B7B7B" w:themeColor="accent3" w:themeShade="BF"/>
          <w:sz w:val="22"/>
          <w:szCs w:val="22"/>
          <w:lang w:val="en-GB"/>
        </w:rPr>
        <w:footnoteReference w:id="22"/>
      </w:r>
      <w:r w:rsidR="00DE158A">
        <w:rPr>
          <w:rFonts w:ascii="Arial" w:hAnsi="Arial" w:cs="Arial"/>
          <w:color w:val="7B7B7B" w:themeColor="accent3" w:themeShade="BF"/>
          <w:sz w:val="22"/>
          <w:szCs w:val="22"/>
          <w:lang w:val="en-GB"/>
        </w:rPr>
        <w:t>.</w:t>
      </w:r>
    </w:p>
    <w:p w14:paraId="77D92B3A" w14:textId="77777777" w:rsidR="00B6391D" w:rsidRDefault="00B6391D" w:rsidP="007C5477">
      <w:pPr>
        <w:ind w:left="720" w:hanging="720"/>
        <w:jc w:val="both"/>
        <w:rPr>
          <w:rFonts w:ascii="Arial" w:hAnsi="Arial" w:cs="Arial"/>
          <w:color w:val="7B7B7B" w:themeColor="accent3" w:themeShade="BF"/>
          <w:sz w:val="22"/>
          <w:szCs w:val="22"/>
          <w:lang w:val="en-GB"/>
        </w:rPr>
      </w:pPr>
    </w:p>
    <w:p w14:paraId="19521D07" w14:textId="77777777" w:rsidR="00E30816" w:rsidRDefault="00E30816" w:rsidP="007C5477">
      <w:pPr>
        <w:ind w:left="720" w:hanging="720"/>
        <w:jc w:val="both"/>
        <w:rPr>
          <w:rFonts w:ascii="Arial" w:hAnsi="Arial" w:cs="Arial"/>
          <w:color w:val="7B7B7B" w:themeColor="accent3" w:themeShade="BF"/>
          <w:sz w:val="22"/>
          <w:szCs w:val="22"/>
          <w:lang w:val="en-GB"/>
        </w:rPr>
      </w:pPr>
    </w:p>
    <w:p w14:paraId="125CF88A" w14:textId="77777777" w:rsidR="007C5477" w:rsidRPr="002A37BB" w:rsidRDefault="007C5477" w:rsidP="002A37BB">
      <w:pPr>
        <w:jc w:val="both"/>
        <w:rPr>
          <w:rFonts w:ascii="Arial" w:hAnsi="Arial" w:cs="Arial"/>
          <w:sz w:val="22"/>
          <w:szCs w:val="22"/>
          <w:lang w:val="en-GB"/>
        </w:rPr>
      </w:pPr>
    </w:p>
    <w:p w14:paraId="1319C98E" w14:textId="5D58A058"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1" w:name="_Hlk17745211"/>
      <w:r>
        <w:rPr>
          <w:rFonts w:ascii="Arial" w:hAnsi="Arial" w:cs="Arial"/>
          <w:sz w:val="22"/>
          <w:szCs w:val="22"/>
          <w:lang w:val="en-GB"/>
        </w:rPr>
        <w:t>PT Angostura Textiles Tbk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w:t>
      </w:r>
      <w:r>
        <w:rPr>
          <w:rFonts w:ascii="Arial" w:hAnsi="Arial" w:cs="Arial"/>
          <w:sz w:val="22"/>
          <w:szCs w:val="22"/>
          <w:lang w:val="en-GB"/>
        </w:rPr>
        <w:lastRenderedPageBreak/>
        <w:t xml:space="preserve">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4AB376DE" w14:textId="7CB92494" w:rsidR="00E86087" w:rsidRPr="00E86087" w:rsidRDefault="00F9069F" w:rsidP="00E8608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company must present an application made pursuant to section 64 (1), only if all of </w:t>
      </w:r>
      <w:r w:rsidR="00E86087">
        <w:rPr>
          <w:rFonts w:ascii="Arial" w:hAnsi="Arial" w:cs="Arial"/>
          <w:color w:val="7B7B7B" w:themeColor="accent3" w:themeShade="BF"/>
          <w:sz w:val="22"/>
          <w:szCs w:val="22"/>
        </w:rPr>
        <w:t xml:space="preserve">conditions set out in section 64 (2) are satisfied, and must file with the Court together with the application: evidence of support from the company's creditors for the intended or proposed compromise or arrangement, together with an explanation of how such support would be important for the success of the intended or proposed </w:t>
      </w:r>
      <w:r w:rsidR="00A07673">
        <w:rPr>
          <w:rFonts w:ascii="Arial" w:hAnsi="Arial" w:cs="Arial"/>
          <w:color w:val="7B7B7B" w:themeColor="accent3" w:themeShade="BF"/>
          <w:sz w:val="22"/>
          <w:szCs w:val="22"/>
        </w:rPr>
        <w:t xml:space="preserve">compromise or arrangement; in a case where the company has not proposed the compromise or arrangement to the creditors or class of creditors yet, a brief description of the intended compromise or arrangement, containing sufficient particulars to enable the Court to assess whether the intended compromise or arrangement is feasible and merits consideration by the company's creditors when a statement mentioned in section 211 (1) (a) of the Companies Act 1967 or section 71 </w:t>
      </w:r>
      <w:r w:rsidR="00A07673">
        <w:rPr>
          <w:rFonts w:ascii="Arial" w:hAnsi="Arial" w:cs="Arial"/>
          <w:color w:val="7B7B7B" w:themeColor="accent3" w:themeShade="BF"/>
          <w:sz w:val="22"/>
          <w:szCs w:val="22"/>
        </w:rPr>
        <w:lastRenderedPageBreak/>
        <w:t xml:space="preserve">(3) (a) relating to the intended compromise or arrangement is placed before those creditors; a list of every secured creditor of the company; a list of all unsecured creditors who are not related to the company or, if there are more than 20 such unsecured creditors, a list of the 20 such unsecured creditors whose claims against the company are the largest among all such unsecured creditors. </w:t>
      </w:r>
    </w:p>
    <w:p w14:paraId="60D55860" w14:textId="70759C82" w:rsidR="00384F62" w:rsidRDefault="00384F62" w:rsidP="00384F62">
      <w:pPr>
        <w:jc w:val="both"/>
        <w:rPr>
          <w:rFonts w:ascii="Arial" w:hAnsi="Arial" w:cs="Arial"/>
          <w:sz w:val="22"/>
          <w:szCs w:val="22"/>
          <w:lang w:val="en-GB"/>
        </w:rPr>
      </w:pP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3CFEFA95" w14:textId="231E7B72" w:rsidR="00384F62" w:rsidRPr="002A37BB" w:rsidRDefault="009346EF" w:rsidP="00384F62">
      <w:pPr>
        <w:ind w:left="720" w:hanging="720"/>
        <w:jc w:val="both"/>
        <w:rPr>
          <w:rFonts w:ascii="Arial" w:hAnsi="Arial" w:cs="Arial"/>
          <w:sz w:val="22"/>
          <w:szCs w:val="22"/>
        </w:rPr>
      </w:pPr>
      <w:r>
        <w:rPr>
          <w:rFonts w:ascii="Arial" w:hAnsi="Arial" w:cs="Arial"/>
          <w:color w:val="7B7B7B" w:themeColor="accent3" w:themeShade="BF"/>
          <w:sz w:val="22"/>
          <w:szCs w:val="22"/>
        </w:rPr>
        <w:t>Where the Court has already made a moratorium order pursuant to section 64 (1) in relation to a company, a subsidiary, holding company or an ultimate holding company of the subject company (referred to as the "related company") may make an application pursuant to section 65 (1) if all of the conditions under section 65 (2) are satisfied and the notice provisions s</w:t>
      </w:r>
      <w:r w:rsidR="00467926">
        <w:rPr>
          <w:rFonts w:ascii="Arial" w:hAnsi="Arial" w:cs="Arial"/>
          <w:color w:val="7B7B7B" w:themeColor="accent3" w:themeShade="BF"/>
          <w:sz w:val="22"/>
          <w:szCs w:val="22"/>
        </w:rPr>
        <w:t xml:space="preserve">et out in section 65 (3) have been complied with. </w:t>
      </w:r>
    </w:p>
    <w:p w14:paraId="073CA7D3" w14:textId="77777777" w:rsidR="00384F62" w:rsidRDefault="00384F62" w:rsidP="00384F62">
      <w:pPr>
        <w:jc w:val="both"/>
        <w:rPr>
          <w:rFonts w:ascii="Arial" w:hAnsi="Arial" w:cs="Arial"/>
          <w:sz w:val="22"/>
          <w:szCs w:val="22"/>
          <w:lang w:val="en-GB"/>
        </w:rPr>
      </w:pPr>
    </w:p>
    <w:p w14:paraId="7B6370B2" w14:textId="30E7609D"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6729A5CF" w14:textId="49DA1D50" w:rsidR="00384F62" w:rsidRPr="002A37BB" w:rsidRDefault="00606E2D" w:rsidP="00606E2D">
      <w:pPr>
        <w:jc w:val="both"/>
        <w:rPr>
          <w:rFonts w:ascii="Arial" w:hAnsi="Arial" w:cs="Arial"/>
          <w:sz w:val="22"/>
          <w:szCs w:val="22"/>
        </w:rPr>
      </w:pPr>
      <w:r>
        <w:rPr>
          <w:rFonts w:ascii="Arial" w:hAnsi="Arial" w:cs="Arial"/>
          <w:color w:val="7B7B7B" w:themeColor="accent3" w:themeShade="BF"/>
          <w:sz w:val="22"/>
          <w:szCs w:val="22"/>
        </w:rPr>
        <w:t xml:space="preserve">If moratoria are granted pursuant to sections 64 (1) and 65 (1) of the IRDA, </w:t>
      </w:r>
      <w:r w:rsidR="008D0D5A">
        <w:rPr>
          <w:rFonts w:ascii="Arial" w:hAnsi="Arial" w:cs="Arial"/>
          <w:color w:val="7B7B7B" w:themeColor="accent3" w:themeShade="BF"/>
          <w:sz w:val="22"/>
          <w:szCs w:val="22"/>
        </w:rPr>
        <w:t>it</w:t>
      </w:r>
      <w:r>
        <w:rPr>
          <w:rFonts w:ascii="Arial" w:hAnsi="Arial" w:cs="Arial"/>
          <w:color w:val="7B7B7B" w:themeColor="accent3" w:themeShade="BF"/>
          <w:sz w:val="22"/>
          <w:szCs w:val="22"/>
        </w:rPr>
        <w:t xml:space="preserve"> will automatically apply to all claims </w:t>
      </w:r>
      <w:r w:rsidR="008D0D5A">
        <w:rPr>
          <w:rFonts w:ascii="Arial" w:hAnsi="Arial" w:cs="Arial"/>
          <w:color w:val="7B7B7B" w:themeColor="accent3" w:themeShade="BF"/>
          <w:sz w:val="22"/>
          <w:szCs w:val="22"/>
        </w:rPr>
        <w:t>worldwide</w:t>
      </w:r>
      <w:r w:rsidR="008426C3">
        <w:rPr>
          <w:rFonts w:ascii="Arial" w:hAnsi="Arial" w:cs="Arial"/>
          <w:color w:val="7B7B7B" w:themeColor="accent3" w:themeShade="BF"/>
          <w:sz w:val="22"/>
          <w:szCs w:val="22"/>
        </w:rPr>
        <w:t xml:space="preserve"> and will affect all creditors</w:t>
      </w:r>
      <w:r>
        <w:rPr>
          <w:rFonts w:ascii="Arial" w:hAnsi="Arial" w:cs="Arial"/>
          <w:color w:val="7B7B7B" w:themeColor="accent3" w:themeShade="BF"/>
          <w:sz w:val="22"/>
          <w:szCs w:val="22"/>
        </w:rPr>
        <w:t xml:space="preserve">. </w:t>
      </w:r>
      <w:r w:rsidR="008D0D5A">
        <w:rPr>
          <w:rFonts w:ascii="Arial" w:hAnsi="Arial" w:cs="Arial"/>
          <w:color w:val="7B7B7B" w:themeColor="accent3" w:themeShade="BF"/>
          <w:sz w:val="22"/>
          <w:szCs w:val="22"/>
        </w:rPr>
        <w:t xml:space="preserve">However, in effect, this will mean that any proceedings brought in Singapore will be automatically stayed, </w:t>
      </w:r>
      <w:r w:rsidR="00C21F89">
        <w:rPr>
          <w:rFonts w:ascii="Arial" w:hAnsi="Arial" w:cs="Arial"/>
          <w:color w:val="7B7B7B" w:themeColor="accent3" w:themeShade="BF"/>
          <w:sz w:val="22"/>
          <w:szCs w:val="22"/>
        </w:rPr>
        <w:t xml:space="preserve">that creditors will be unable to take actions against the companies in Singapore </w:t>
      </w:r>
      <w:r w:rsidR="008D0D5A">
        <w:rPr>
          <w:rFonts w:ascii="Arial" w:hAnsi="Arial" w:cs="Arial"/>
          <w:color w:val="7B7B7B" w:themeColor="accent3" w:themeShade="BF"/>
          <w:sz w:val="22"/>
          <w:szCs w:val="22"/>
        </w:rPr>
        <w:t xml:space="preserve">and that </w:t>
      </w:r>
      <w:r w:rsidR="00C21F89">
        <w:rPr>
          <w:rFonts w:ascii="Arial" w:hAnsi="Arial" w:cs="Arial"/>
          <w:color w:val="7B7B7B" w:themeColor="accent3" w:themeShade="BF"/>
          <w:sz w:val="22"/>
          <w:szCs w:val="22"/>
        </w:rPr>
        <w:t>the companies</w:t>
      </w:r>
      <w:r w:rsidR="002D102A">
        <w:rPr>
          <w:rFonts w:ascii="Arial" w:hAnsi="Arial" w:cs="Arial"/>
          <w:color w:val="7B7B7B" w:themeColor="accent3" w:themeShade="BF"/>
          <w:sz w:val="22"/>
          <w:szCs w:val="22"/>
        </w:rPr>
        <w:t xml:space="preserve"> would have to apply for the moratorium orders to be recognized in other jurisdictions, for example in Indonesia, should </w:t>
      </w:r>
      <w:r w:rsidR="00C21F89">
        <w:rPr>
          <w:rFonts w:ascii="Arial" w:hAnsi="Arial" w:cs="Arial"/>
          <w:color w:val="7B7B7B" w:themeColor="accent3" w:themeShade="BF"/>
          <w:sz w:val="22"/>
          <w:szCs w:val="22"/>
        </w:rPr>
        <w:t>the companies</w:t>
      </w:r>
      <w:r w:rsidR="002D102A">
        <w:rPr>
          <w:rFonts w:ascii="Arial" w:hAnsi="Arial" w:cs="Arial"/>
          <w:color w:val="7B7B7B" w:themeColor="accent3" w:themeShade="BF"/>
          <w:sz w:val="22"/>
          <w:szCs w:val="22"/>
        </w:rPr>
        <w:t xml:space="preserve"> wish for</w:t>
      </w:r>
      <w:r w:rsidR="00C21F89">
        <w:rPr>
          <w:rFonts w:ascii="Arial" w:hAnsi="Arial" w:cs="Arial"/>
          <w:color w:val="7B7B7B" w:themeColor="accent3" w:themeShade="BF"/>
          <w:sz w:val="22"/>
          <w:szCs w:val="22"/>
        </w:rPr>
        <w:t xml:space="preserve"> those proceedings to be stayed. The orders of the Singaporean Court will not have automatic extra-territorial effect.  </w:t>
      </w:r>
    </w:p>
    <w:p w14:paraId="6F9CA317" w14:textId="77777777" w:rsidR="00384F62" w:rsidRPr="00384F62" w:rsidRDefault="00384F62" w:rsidP="00384F62">
      <w:pPr>
        <w:jc w:val="both"/>
        <w:rPr>
          <w:rFonts w:ascii="Arial" w:hAnsi="Arial" w:cs="Arial"/>
          <w:sz w:val="22"/>
          <w:szCs w:val="22"/>
          <w:lang w:val="en-GB"/>
        </w:rPr>
      </w:pPr>
    </w:p>
    <w:p w14:paraId="6DDB3861" w14:textId="77777777" w:rsidR="00384F62" w:rsidRPr="004076F1" w:rsidRDefault="00384F62"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w:t>
      </w:r>
      <w:r>
        <w:rPr>
          <w:rFonts w:ascii="Arial" w:hAnsi="Arial" w:cs="Arial"/>
          <w:sz w:val="22"/>
          <w:szCs w:val="22"/>
          <w:lang w:val="en-GB"/>
        </w:rPr>
        <w:lastRenderedPageBreak/>
        <w:t>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3146E797" w14:textId="2250BC7E" w:rsidR="00384F62" w:rsidRDefault="000D23AD"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 company must issue an application pursuant to section 210 of the Companies</w:t>
      </w:r>
      <w:r w:rsidR="000A6668">
        <w:rPr>
          <w:rFonts w:ascii="Arial" w:hAnsi="Arial" w:cs="Arial"/>
          <w:color w:val="7B7B7B" w:themeColor="accent3" w:themeShade="BF"/>
          <w:sz w:val="22"/>
          <w:szCs w:val="22"/>
        </w:rPr>
        <w:t xml:space="preserve"> Act. That application should disclose all material information, including, for example, the classification of creditors. A company must then send out notices of meeting and statements explaining the proposed scheme to creditors. The chairman of the </w:t>
      </w:r>
      <w:r w:rsidR="00633FAA">
        <w:rPr>
          <w:rFonts w:ascii="Arial" w:hAnsi="Arial" w:cs="Arial"/>
          <w:color w:val="7B7B7B" w:themeColor="accent3" w:themeShade="BF"/>
          <w:sz w:val="22"/>
          <w:szCs w:val="22"/>
        </w:rPr>
        <w:t>creditors' meetings reviews proofs of debt sent in by prospective scheme creditors, and chooses which to admit. Creditors then vote on the scheme during their meetings. The following approval threshold must be met: at least 50% of the creditors or class of creditors (present and voting) in favour and these creditors must represent 75% of the value of the debt claims against the company. Once the court has approved of the proposed scheme, a copy of the order must be lodged with ACRA</w:t>
      </w:r>
      <w:r w:rsidR="00336F39">
        <w:rPr>
          <w:rStyle w:val="FootnoteReference"/>
          <w:rFonts w:ascii="Arial" w:hAnsi="Arial" w:cs="Arial"/>
          <w:color w:val="7B7B7B" w:themeColor="accent3" w:themeShade="BF"/>
          <w:sz w:val="22"/>
          <w:szCs w:val="22"/>
        </w:rPr>
        <w:footnoteReference w:id="23"/>
      </w:r>
      <w:r w:rsidR="00633FAA">
        <w:rPr>
          <w:rFonts w:ascii="Arial" w:hAnsi="Arial" w:cs="Arial"/>
          <w:color w:val="7B7B7B" w:themeColor="accent3" w:themeShade="BF"/>
          <w:sz w:val="22"/>
          <w:szCs w:val="22"/>
        </w:rPr>
        <w:t xml:space="preserve">. </w:t>
      </w:r>
    </w:p>
    <w:p w14:paraId="6504D987" w14:textId="0E89AE5D" w:rsidR="00336F39" w:rsidRDefault="00336F39" w:rsidP="00384F62">
      <w:pPr>
        <w:ind w:left="720" w:hanging="720"/>
        <w:jc w:val="both"/>
        <w:rPr>
          <w:rFonts w:ascii="Arial" w:hAnsi="Arial" w:cs="Arial"/>
          <w:color w:val="7B7B7B" w:themeColor="accent3" w:themeShade="BF"/>
          <w:sz w:val="22"/>
          <w:szCs w:val="22"/>
        </w:rPr>
      </w:pPr>
    </w:p>
    <w:p w14:paraId="52F2E8D8" w14:textId="40BD1C6A" w:rsidR="00336F39" w:rsidRDefault="00336F39"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above process differs from a "pre-packed" scheme of arrangement in that the court can approve a scheme that fulfills the requirements of a "pre-pack" scheme without the need for a creditors' meeting to vote on it.</w:t>
      </w:r>
      <w:r>
        <w:rPr>
          <w:rStyle w:val="FootnoteReference"/>
          <w:rFonts w:ascii="Arial" w:hAnsi="Arial" w:cs="Arial"/>
          <w:color w:val="7B7B7B" w:themeColor="accent3" w:themeShade="BF"/>
          <w:sz w:val="22"/>
          <w:szCs w:val="22"/>
        </w:rPr>
        <w:footnoteReference w:id="24"/>
      </w:r>
      <w:r>
        <w:rPr>
          <w:rFonts w:ascii="Arial" w:hAnsi="Arial" w:cs="Arial"/>
          <w:color w:val="7B7B7B" w:themeColor="accent3" w:themeShade="BF"/>
          <w:sz w:val="22"/>
          <w:szCs w:val="22"/>
        </w:rPr>
        <w:t xml:space="preserve"> </w:t>
      </w:r>
    </w:p>
    <w:p w14:paraId="31F7E1AE" w14:textId="77777777" w:rsidR="00336F39" w:rsidRPr="002A37BB" w:rsidRDefault="00336F39" w:rsidP="00384F62">
      <w:pPr>
        <w:ind w:left="720" w:hanging="720"/>
        <w:jc w:val="both"/>
        <w:rPr>
          <w:rFonts w:ascii="Arial" w:hAnsi="Arial" w:cs="Arial"/>
          <w:sz w:val="22"/>
          <w:szCs w:val="22"/>
        </w:rPr>
      </w:pPr>
    </w:p>
    <w:p w14:paraId="22C3169A" w14:textId="77777777" w:rsidR="00384F62" w:rsidRDefault="00384F62" w:rsidP="00384F62">
      <w:pPr>
        <w:jc w:val="both"/>
        <w:rPr>
          <w:rFonts w:ascii="Arial" w:hAnsi="Arial" w:cs="Arial"/>
          <w:b/>
          <w:bCs/>
          <w:sz w:val="22"/>
          <w:szCs w:val="22"/>
          <w:lang w:val="en-GB"/>
        </w:rPr>
      </w:pP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190EE287" w14:textId="0E7F1BF0" w:rsidR="00384F62" w:rsidRPr="00F5719B" w:rsidRDefault="00673375" w:rsidP="00F5719B">
      <w:pPr>
        <w:ind w:left="720" w:hanging="720"/>
        <w:jc w:val="both"/>
        <w:rPr>
          <w:rFonts w:ascii="Arial" w:hAnsi="Arial" w:cs="Arial"/>
          <w:sz w:val="22"/>
          <w:szCs w:val="22"/>
        </w:rPr>
      </w:pPr>
      <w:r>
        <w:rPr>
          <w:rFonts w:ascii="Arial" w:hAnsi="Arial" w:cs="Arial"/>
          <w:color w:val="7B7B7B" w:themeColor="accent3" w:themeShade="BF"/>
          <w:sz w:val="22"/>
          <w:szCs w:val="22"/>
        </w:rPr>
        <w:t xml:space="preserve">Where a company has made an application under section 64 (1) of the IRDA or section 210 (1) of the Companies Act to convene a meeting for the purposes of a scheme of arrangement, </w:t>
      </w:r>
      <w:r w:rsidR="00325ED7">
        <w:rPr>
          <w:rFonts w:ascii="Arial" w:hAnsi="Arial" w:cs="Arial"/>
          <w:color w:val="7B7B7B" w:themeColor="accent3" w:themeShade="BF"/>
          <w:sz w:val="22"/>
          <w:szCs w:val="22"/>
        </w:rPr>
        <w:t xml:space="preserve">it can access rescue financing. Additionally, </w:t>
      </w:r>
      <w:r>
        <w:rPr>
          <w:rFonts w:ascii="Arial" w:hAnsi="Arial" w:cs="Arial"/>
          <w:color w:val="7B7B7B" w:themeColor="accent3" w:themeShade="BF"/>
          <w:sz w:val="22"/>
          <w:szCs w:val="22"/>
        </w:rPr>
        <w:t>s</w:t>
      </w:r>
      <w:r w:rsidR="006261A8">
        <w:rPr>
          <w:rFonts w:ascii="Arial" w:hAnsi="Arial" w:cs="Arial"/>
          <w:color w:val="7B7B7B" w:themeColor="accent3" w:themeShade="BF"/>
          <w:sz w:val="22"/>
          <w:szCs w:val="22"/>
        </w:rPr>
        <w:t>ection 67 of IRDA allows the Court to grant an order that the rescue financing</w:t>
      </w:r>
      <w:r>
        <w:rPr>
          <w:rFonts w:ascii="Arial" w:hAnsi="Arial" w:cs="Arial"/>
          <w:color w:val="7B7B7B" w:themeColor="accent3" w:themeShade="BF"/>
          <w:sz w:val="22"/>
          <w:szCs w:val="22"/>
        </w:rPr>
        <w:t xml:space="preserve"> be afforded super priority status</w:t>
      </w:r>
      <w:r w:rsidR="00F71E6B">
        <w:rPr>
          <w:rStyle w:val="FootnoteReference"/>
          <w:rFonts w:ascii="Arial" w:hAnsi="Arial" w:cs="Arial"/>
          <w:color w:val="7B7B7B" w:themeColor="accent3" w:themeShade="BF"/>
          <w:sz w:val="22"/>
          <w:szCs w:val="22"/>
        </w:rPr>
        <w:footnoteReference w:id="25"/>
      </w:r>
      <w:r w:rsidR="00325ED7">
        <w:rPr>
          <w:rFonts w:ascii="Arial" w:hAnsi="Arial" w:cs="Arial"/>
          <w:color w:val="7B7B7B" w:themeColor="accent3" w:themeShade="BF"/>
          <w:sz w:val="22"/>
          <w:szCs w:val="22"/>
        </w:rPr>
        <w:t xml:space="preserve">. </w:t>
      </w:r>
    </w:p>
    <w:p w14:paraId="23674BCC" w14:textId="77777777" w:rsidR="00384F62" w:rsidRPr="00621D8F" w:rsidRDefault="00384F62" w:rsidP="00384F62">
      <w:pPr>
        <w:jc w:val="both"/>
        <w:rPr>
          <w:rFonts w:ascii="Arial" w:hAnsi="Arial" w:cs="Arial"/>
          <w:sz w:val="22"/>
          <w:szCs w:val="22"/>
          <w:lang w:val="en-GB"/>
        </w:rPr>
      </w:pP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4CD39A77" w14:textId="11F9B99B" w:rsidR="00384F62" w:rsidRPr="002A37BB" w:rsidRDefault="0085055F" w:rsidP="00384F62">
      <w:pPr>
        <w:ind w:left="720" w:hanging="720"/>
        <w:jc w:val="both"/>
        <w:rPr>
          <w:rFonts w:ascii="Arial" w:hAnsi="Arial" w:cs="Arial"/>
          <w:sz w:val="22"/>
          <w:szCs w:val="22"/>
        </w:rPr>
      </w:pPr>
      <w:r>
        <w:rPr>
          <w:rFonts w:ascii="Arial" w:hAnsi="Arial" w:cs="Arial"/>
          <w:color w:val="7B7B7B" w:themeColor="accent3" w:themeShade="BF"/>
          <w:sz w:val="22"/>
          <w:szCs w:val="22"/>
        </w:rPr>
        <w:t>Adoption of the Model Law via the Amendment Act now allows foreign representative</w:t>
      </w:r>
      <w:r w:rsidR="006D6BB7">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to apply to the High Court of Singapore for the recognition of foreign proceedings</w:t>
      </w:r>
      <w:r>
        <w:rPr>
          <w:rStyle w:val="FootnoteReference"/>
          <w:rFonts w:ascii="Arial" w:hAnsi="Arial" w:cs="Arial"/>
          <w:color w:val="7B7B7B" w:themeColor="accent3" w:themeShade="BF"/>
          <w:sz w:val="22"/>
          <w:szCs w:val="22"/>
        </w:rPr>
        <w:footnoteReference w:id="26"/>
      </w:r>
      <w:r>
        <w:rPr>
          <w:rFonts w:ascii="Arial" w:hAnsi="Arial" w:cs="Arial"/>
          <w:color w:val="7B7B7B" w:themeColor="accent3" w:themeShade="BF"/>
          <w:sz w:val="22"/>
          <w:szCs w:val="22"/>
        </w:rPr>
        <w:t xml:space="preserve">.  </w:t>
      </w:r>
      <w:r w:rsidR="006D6BB7">
        <w:rPr>
          <w:rFonts w:ascii="Arial" w:hAnsi="Arial" w:cs="Arial"/>
          <w:color w:val="7B7B7B" w:themeColor="accent3" w:themeShade="BF"/>
          <w:sz w:val="22"/>
          <w:szCs w:val="22"/>
        </w:rPr>
        <w:t xml:space="preserve">A judgment which has an in personam effect from a foreign court may be </w:t>
      </w:r>
      <w:r w:rsidR="0070080F">
        <w:rPr>
          <w:rFonts w:ascii="Arial" w:hAnsi="Arial" w:cs="Arial"/>
          <w:color w:val="7B7B7B" w:themeColor="accent3" w:themeShade="BF"/>
          <w:sz w:val="22"/>
          <w:szCs w:val="22"/>
        </w:rPr>
        <w:t>recognis</w:t>
      </w:r>
      <w:r w:rsidR="006D6BB7">
        <w:rPr>
          <w:rFonts w:ascii="Arial" w:hAnsi="Arial" w:cs="Arial"/>
          <w:color w:val="7B7B7B" w:themeColor="accent3" w:themeShade="BF"/>
          <w:sz w:val="22"/>
          <w:szCs w:val="22"/>
        </w:rPr>
        <w:t xml:space="preserve">ed in Singapore or enforced by an action at common law through the Singapore courts. </w:t>
      </w:r>
      <w:r w:rsidR="0070080F">
        <w:rPr>
          <w:rFonts w:ascii="Arial" w:hAnsi="Arial" w:cs="Arial"/>
          <w:color w:val="7B7B7B" w:themeColor="accent3" w:themeShade="BF"/>
          <w:sz w:val="22"/>
          <w:szCs w:val="22"/>
        </w:rPr>
        <w:t xml:space="preserve">Some qualifying foreign judgments may be registered under the statutory provisions of the Reciprocal Enforcement of Commonwealth Judgments Act </w:t>
      </w:r>
      <w:r w:rsidR="00394BBA">
        <w:rPr>
          <w:rFonts w:ascii="Arial" w:hAnsi="Arial" w:cs="Arial"/>
          <w:color w:val="7B7B7B" w:themeColor="accent3" w:themeShade="BF"/>
          <w:sz w:val="22"/>
          <w:szCs w:val="22"/>
        </w:rPr>
        <w:t>and the Reciprocal Enforcement of Foreign Judgments Act. If the judgment cannot be registered pursuant to the aforementioned statutory provisions, it may be recognized at common law if it is final and conclusive by the law of the foreign country and where that court had international jurisdiction over the parties</w:t>
      </w:r>
      <w:r w:rsidR="00394BBA">
        <w:rPr>
          <w:rStyle w:val="FootnoteReference"/>
          <w:rFonts w:ascii="Arial" w:hAnsi="Arial" w:cs="Arial"/>
          <w:color w:val="7B7B7B" w:themeColor="accent3" w:themeShade="BF"/>
          <w:sz w:val="22"/>
          <w:szCs w:val="22"/>
        </w:rPr>
        <w:footnoteReference w:id="27"/>
      </w:r>
      <w:r w:rsidR="00394BBA">
        <w:rPr>
          <w:rFonts w:ascii="Arial" w:hAnsi="Arial" w:cs="Arial"/>
          <w:color w:val="7B7B7B" w:themeColor="accent3" w:themeShade="BF"/>
          <w:sz w:val="22"/>
          <w:szCs w:val="22"/>
        </w:rPr>
        <w:t>.</w:t>
      </w:r>
    </w:p>
    <w:p w14:paraId="66D4B224" w14:textId="77777777" w:rsidR="00384F62" w:rsidRPr="004608D4" w:rsidRDefault="00384F62" w:rsidP="00384F62">
      <w:pPr>
        <w:pStyle w:val="BodyText"/>
        <w:rPr>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1"/>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85A77" w14:textId="77777777" w:rsidR="00B17582" w:rsidRDefault="00B17582">
      <w:r>
        <w:separator/>
      </w:r>
    </w:p>
  </w:endnote>
  <w:endnote w:type="continuationSeparator" w:id="0">
    <w:p w14:paraId="0C6FD1C5" w14:textId="77777777" w:rsidR="00B17582" w:rsidRDefault="00B1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6D6516DA"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42DD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266D17B5" w:rsidR="008569B9" w:rsidRPr="009B4976" w:rsidRDefault="00E87548" w:rsidP="009B4976">
    <w:pPr>
      <w:pStyle w:val="Footer"/>
      <w:ind w:right="360"/>
      <w:rPr>
        <w:rFonts w:ascii="Arial" w:hAnsi="Arial" w:cs="Arial"/>
        <w:sz w:val="18"/>
        <w:szCs w:val="18"/>
        <w:lang w:val="en-GB"/>
      </w:rPr>
    </w:pPr>
    <w:r>
      <w:rPr>
        <w:rFonts w:ascii="Arial" w:hAnsi="Arial" w:cs="Arial"/>
        <w:sz w:val="18"/>
        <w:szCs w:val="18"/>
        <w:lang w:val="en-GB"/>
      </w:rPr>
      <w:t>202122-348</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r w:rsidR="00542DDB">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8230D" w14:textId="77777777" w:rsidR="00B17582" w:rsidRDefault="00B17582">
      <w:r>
        <w:separator/>
      </w:r>
    </w:p>
  </w:footnote>
  <w:footnote w:type="continuationSeparator" w:id="0">
    <w:p w14:paraId="1D894BD8" w14:textId="77777777" w:rsidR="00B17582" w:rsidRDefault="00B17582">
      <w:r>
        <w:continuationSeparator/>
      </w:r>
    </w:p>
  </w:footnote>
  <w:footnote w:id="1">
    <w:p w14:paraId="17331724" w14:textId="1F03C3DD" w:rsidR="00CA64DF" w:rsidRDefault="00CA64DF">
      <w:pPr>
        <w:pStyle w:val="FootnoteText"/>
      </w:pPr>
      <w:r>
        <w:rPr>
          <w:rStyle w:val="FootnoteReference"/>
        </w:rPr>
        <w:footnoteRef/>
      </w:r>
      <w:r>
        <w:t xml:space="preserve"> INSOL Guidance Text Module 8E </w:t>
      </w:r>
      <w:r w:rsidR="00F404D5">
        <w:t>Singapore</w:t>
      </w:r>
      <w:r>
        <w:t>, chapter 6</w:t>
      </w:r>
    </w:p>
  </w:footnote>
  <w:footnote w:id="2">
    <w:p w14:paraId="37C0F5DF" w14:textId="652CEEB0" w:rsidR="00D83A16" w:rsidRDefault="00D83A16">
      <w:pPr>
        <w:pStyle w:val="FootnoteText"/>
      </w:pPr>
      <w:r>
        <w:rPr>
          <w:rStyle w:val="FootnoteReference"/>
        </w:rPr>
        <w:footnoteRef/>
      </w:r>
      <w:r>
        <w:t xml:space="preserve"> </w:t>
      </w:r>
      <w:r w:rsidR="00080837">
        <w:t xml:space="preserve">INSOL Guidance Text Module 8E </w:t>
      </w:r>
      <w:r w:rsidR="00F404D5">
        <w:t>Singapore</w:t>
      </w:r>
      <w:r w:rsidR="00080837">
        <w:t>, chapter 6</w:t>
      </w:r>
    </w:p>
  </w:footnote>
  <w:footnote w:id="3">
    <w:p w14:paraId="3C604C1E" w14:textId="054A90BE" w:rsidR="001473E9" w:rsidRDefault="001473E9">
      <w:pPr>
        <w:pStyle w:val="FootnoteText"/>
      </w:pPr>
      <w:r>
        <w:rPr>
          <w:rStyle w:val="FootnoteReference"/>
        </w:rPr>
        <w:footnoteRef/>
      </w:r>
      <w:r>
        <w:t xml:space="preserve"> 276 (1) </w:t>
      </w:r>
      <w:r w:rsidR="009269F4">
        <w:t>IRDA</w:t>
      </w:r>
    </w:p>
  </w:footnote>
  <w:footnote w:id="4">
    <w:p w14:paraId="69B0EAF6" w14:textId="43B0345D" w:rsidR="00A64B16" w:rsidRDefault="00A64B16">
      <w:pPr>
        <w:pStyle w:val="FootnoteText"/>
      </w:pPr>
      <w:r>
        <w:rPr>
          <w:rStyle w:val="FootnoteReference"/>
        </w:rPr>
        <w:footnoteRef/>
      </w:r>
      <w:r>
        <w:t xml:space="preserve"> Idem s 277</w:t>
      </w:r>
    </w:p>
  </w:footnote>
  <w:footnote w:id="5">
    <w:p w14:paraId="036F41BE" w14:textId="12AB03EA" w:rsidR="00A64B16" w:rsidRDefault="00A64B16">
      <w:pPr>
        <w:pStyle w:val="FootnoteText"/>
      </w:pPr>
      <w:r>
        <w:rPr>
          <w:rStyle w:val="FootnoteReference"/>
        </w:rPr>
        <w:footnoteRef/>
      </w:r>
      <w:r>
        <w:t xml:space="preserve"> Idem </w:t>
      </w:r>
      <w:r w:rsidR="001F2577">
        <w:t>s 276(3)</w:t>
      </w:r>
      <w:r w:rsidR="00052208">
        <w:t xml:space="preserve">; INSOL Guidance Text Module 8E </w:t>
      </w:r>
      <w:r w:rsidR="00F404D5">
        <w:t>Singapore</w:t>
      </w:r>
      <w:r w:rsidR="00052208">
        <w:t>, chapter 6</w:t>
      </w:r>
    </w:p>
  </w:footnote>
  <w:footnote w:id="6">
    <w:p w14:paraId="1D7067E1" w14:textId="7486C084" w:rsidR="00400477" w:rsidRDefault="00400477">
      <w:pPr>
        <w:pStyle w:val="FootnoteText"/>
      </w:pPr>
      <w:r>
        <w:rPr>
          <w:rStyle w:val="FootnoteReference"/>
        </w:rPr>
        <w:footnoteRef/>
      </w:r>
      <w:r>
        <w:t xml:space="preserve"> Idem s </w:t>
      </w:r>
      <w:r w:rsidR="001F2577">
        <w:t>280 (1)</w:t>
      </w:r>
      <w:r w:rsidR="00052208">
        <w:t>; Ibid</w:t>
      </w:r>
    </w:p>
  </w:footnote>
  <w:footnote w:id="7">
    <w:p w14:paraId="436ADF0E" w14:textId="573188A5" w:rsidR="00400477" w:rsidRDefault="00400477">
      <w:pPr>
        <w:pStyle w:val="FootnoteText"/>
      </w:pPr>
      <w:r>
        <w:rPr>
          <w:rStyle w:val="FootnoteReference"/>
        </w:rPr>
        <w:footnoteRef/>
      </w:r>
      <w:r>
        <w:t xml:space="preserve"> Idem s 281 (1)</w:t>
      </w:r>
      <w:r w:rsidR="00052208">
        <w:t>; Ibid</w:t>
      </w:r>
    </w:p>
  </w:footnote>
  <w:footnote w:id="8">
    <w:p w14:paraId="1B9C8F7A" w14:textId="3292096D" w:rsidR="00400477" w:rsidRDefault="00400477">
      <w:pPr>
        <w:pStyle w:val="FootnoteText"/>
      </w:pPr>
      <w:r>
        <w:rPr>
          <w:rStyle w:val="FootnoteReference"/>
        </w:rPr>
        <w:footnoteRef/>
      </w:r>
      <w:r>
        <w:t xml:space="preserve"> </w:t>
      </w:r>
      <w:r w:rsidR="001F2577">
        <w:t>Idem s 282 (1)</w:t>
      </w:r>
      <w:r w:rsidR="00052208">
        <w:t>; Ibid</w:t>
      </w:r>
    </w:p>
  </w:footnote>
  <w:footnote w:id="9">
    <w:p w14:paraId="0177BA92" w14:textId="2731773A" w:rsidR="00052208" w:rsidRDefault="00052208">
      <w:pPr>
        <w:pStyle w:val="FootnoteText"/>
      </w:pPr>
      <w:r>
        <w:rPr>
          <w:rStyle w:val="FootnoteReference"/>
        </w:rPr>
        <w:footnoteRef/>
      </w:r>
      <w:r>
        <w:t xml:space="preserve"> Idem s 287; Ibid</w:t>
      </w:r>
    </w:p>
  </w:footnote>
  <w:footnote w:id="10">
    <w:p w14:paraId="09D8903F" w14:textId="2526E3BA" w:rsidR="008C6577" w:rsidRDefault="008C6577">
      <w:pPr>
        <w:pStyle w:val="FootnoteText"/>
      </w:pPr>
      <w:r>
        <w:rPr>
          <w:rStyle w:val="FootnoteReference"/>
        </w:rPr>
        <w:footnoteRef/>
      </w:r>
      <w:r>
        <w:t xml:space="preserve"> </w:t>
      </w:r>
      <w:r w:rsidR="0067632C">
        <w:t>Idem s 144; Ibid</w:t>
      </w:r>
    </w:p>
  </w:footnote>
  <w:footnote w:id="11">
    <w:p w14:paraId="6ABF7180" w14:textId="251C6B56" w:rsidR="00B126A2" w:rsidRDefault="00B126A2">
      <w:pPr>
        <w:pStyle w:val="FootnoteText"/>
      </w:pPr>
      <w:r>
        <w:rPr>
          <w:rStyle w:val="FootnoteReference"/>
        </w:rPr>
        <w:footnoteRef/>
      </w:r>
      <w:r>
        <w:t xml:space="preserve"> Ibid</w:t>
      </w:r>
    </w:p>
  </w:footnote>
  <w:footnote w:id="12">
    <w:p w14:paraId="55DF5017" w14:textId="1B6FBF08" w:rsidR="00F776F4" w:rsidRDefault="00F776F4">
      <w:pPr>
        <w:pStyle w:val="FootnoteText"/>
      </w:pPr>
      <w:r>
        <w:rPr>
          <w:rStyle w:val="FootnoteReference"/>
        </w:rPr>
        <w:footnoteRef/>
      </w:r>
      <w:r>
        <w:t xml:space="preserve"> Idem s 224</w:t>
      </w:r>
    </w:p>
  </w:footnote>
  <w:footnote w:id="13">
    <w:p w14:paraId="13B89E1F" w14:textId="074E436D" w:rsidR="000D672F" w:rsidRDefault="000D672F">
      <w:pPr>
        <w:pStyle w:val="FootnoteText"/>
      </w:pPr>
      <w:r>
        <w:rPr>
          <w:rStyle w:val="FootnoteReference"/>
        </w:rPr>
        <w:footnoteRef/>
      </w:r>
      <w:r>
        <w:t xml:space="preserve"> Idem s 225</w:t>
      </w:r>
    </w:p>
  </w:footnote>
  <w:footnote w:id="14">
    <w:p w14:paraId="217B11AC" w14:textId="24F6251B" w:rsidR="00E579F2" w:rsidRDefault="00E579F2">
      <w:pPr>
        <w:pStyle w:val="FootnoteText"/>
      </w:pPr>
      <w:r>
        <w:rPr>
          <w:rStyle w:val="FootnoteReference"/>
        </w:rPr>
        <w:footnoteRef/>
      </w:r>
      <w:r>
        <w:t xml:space="preserve"> Idem s 125 (2)</w:t>
      </w:r>
    </w:p>
  </w:footnote>
  <w:footnote w:id="15">
    <w:p w14:paraId="6A31C6D3" w14:textId="6A04CD4F" w:rsidR="00A27097" w:rsidRDefault="00A27097">
      <w:pPr>
        <w:pStyle w:val="FootnoteText"/>
      </w:pPr>
      <w:r>
        <w:rPr>
          <w:rStyle w:val="FootnoteReference"/>
        </w:rPr>
        <w:footnoteRef/>
      </w:r>
      <w:r>
        <w:t xml:space="preserve"> INSOL Guidance Text Module 8E Singapore, chapter 6.1.3.2.</w:t>
      </w:r>
    </w:p>
  </w:footnote>
  <w:footnote w:id="16">
    <w:p w14:paraId="15587819" w14:textId="304862AC" w:rsidR="007C5477" w:rsidRDefault="007C5477">
      <w:pPr>
        <w:pStyle w:val="FootnoteText"/>
      </w:pPr>
      <w:r>
        <w:rPr>
          <w:rStyle w:val="FootnoteReference"/>
        </w:rPr>
        <w:footnoteRef/>
      </w:r>
      <w:r>
        <w:t xml:space="preserve"> Idem s 94(1), INSOL Guidance Text Module 8E Singapore, chapter 9.8</w:t>
      </w:r>
    </w:p>
  </w:footnote>
  <w:footnote w:id="17">
    <w:p w14:paraId="5E45583A" w14:textId="1B636624" w:rsidR="00E30816" w:rsidRDefault="00E30816">
      <w:pPr>
        <w:pStyle w:val="FootnoteText"/>
      </w:pPr>
      <w:r>
        <w:rPr>
          <w:rStyle w:val="FootnoteReference"/>
        </w:rPr>
        <w:footnoteRef/>
      </w:r>
      <w:r>
        <w:t xml:space="preserve"> [ibid]</w:t>
      </w:r>
    </w:p>
  </w:footnote>
  <w:footnote w:id="18">
    <w:p w14:paraId="248B1634" w14:textId="0A1C768E" w:rsidR="00E5140B" w:rsidRDefault="00E5140B">
      <w:pPr>
        <w:pStyle w:val="FootnoteText"/>
      </w:pPr>
      <w:r>
        <w:rPr>
          <w:rStyle w:val="FootnoteReference"/>
        </w:rPr>
        <w:footnoteRef/>
      </w:r>
      <w:r>
        <w:t xml:space="preserve"> [ibid]; </w:t>
      </w:r>
      <w:hyperlink r:id="rId1" w:anchor="resolution" w:history="1">
        <w:r w:rsidRPr="008D59A3">
          <w:rPr>
            <w:rStyle w:val="Hyperlink"/>
          </w:rPr>
          <w:t>https://singaporelegaladvice.com/law-articles/judicial-management#resolution</w:t>
        </w:r>
      </w:hyperlink>
      <w:r>
        <w:t xml:space="preserve"> </w:t>
      </w:r>
    </w:p>
  </w:footnote>
  <w:footnote w:id="19">
    <w:p w14:paraId="06C5C408" w14:textId="0E19F543" w:rsidR="00D13800" w:rsidRDefault="00D13800">
      <w:pPr>
        <w:pStyle w:val="FootnoteText"/>
      </w:pPr>
      <w:r>
        <w:rPr>
          <w:rStyle w:val="FootnoteReference"/>
        </w:rPr>
        <w:footnoteRef/>
      </w:r>
      <w:r>
        <w:t xml:space="preserve"> </w:t>
      </w:r>
      <w:hyperlink r:id="rId2" w:anchor="resolution" w:history="1">
        <w:r w:rsidRPr="008D59A3">
          <w:rPr>
            <w:rStyle w:val="Hyperlink"/>
          </w:rPr>
          <w:t>https://singaporelegaladvice.com/law-articles/judicial-management#resolution</w:t>
        </w:r>
      </w:hyperlink>
    </w:p>
  </w:footnote>
  <w:footnote w:id="20">
    <w:p w14:paraId="3CC61493" w14:textId="1C13BC3A" w:rsidR="003C22FF" w:rsidRDefault="003C22FF">
      <w:pPr>
        <w:pStyle w:val="FootnoteText"/>
      </w:pPr>
      <w:r>
        <w:rPr>
          <w:rStyle w:val="FootnoteReference"/>
        </w:rPr>
        <w:footnoteRef/>
      </w:r>
      <w:r>
        <w:t xml:space="preserve"> </w:t>
      </w:r>
      <w:hyperlink r:id="rId3" w:anchor="resolution" w:history="1">
        <w:r w:rsidRPr="008D59A3">
          <w:rPr>
            <w:rStyle w:val="Hyperlink"/>
          </w:rPr>
          <w:t>https://singaporelegaladvice.com/law-articles/judicial-management#resolution</w:t>
        </w:r>
      </w:hyperlink>
      <w:r>
        <w:t xml:space="preserve"> </w:t>
      </w:r>
    </w:p>
  </w:footnote>
  <w:footnote w:id="21">
    <w:p w14:paraId="0295667E" w14:textId="7964AFE2" w:rsidR="00AA0732" w:rsidRDefault="00AA0732">
      <w:pPr>
        <w:pStyle w:val="FootnoteText"/>
      </w:pPr>
      <w:r>
        <w:rPr>
          <w:rStyle w:val="FootnoteReference"/>
        </w:rPr>
        <w:footnoteRef/>
      </w:r>
      <w:r>
        <w:t xml:space="preserve"> [ibid]. </w:t>
      </w:r>
    </w:p>
  </w:footnote>
  <w:footnote w:id="22">
    <w:p w14:paraId="13300848" w14:textId="2EE9D01C" w:rsidR="00DE158A" w:rsidRDefault="00DE158A">
      <w:pPr>
        <w:pStyle w:val="FootnoteText"/>
      </w:pPr>
      <w:r>
        <w:rPr>
          <w:rStyle w:val="FootnoteReference"/>
        </w:rPr>
        <w:footnoteRef/>
      </w:r>
      <w:r>
        <w:t xml:space="preserve"> [ibid].</w:t>
      </w:r>
    </w:p>
  </w:footnote>
  <w:footnote w:id="23">
    <w:p w14:paraId="0E5BED04" w14:textId="2F275163" w:rsidR="00336F39" w:rsidRDefault="00336F39">
      <w:pPr>
        <w:pStyle w:val="FootnoteText"/>
      </w:pPr>
      <w:r>
        <w:rPr>
          <w:rStyle w:val="FootnoteReference"/>
        </w:rPr>
        <w:footnoteRef/>
      </w:r>
      <w:r w:rsidR="009B3EBC">
        <w:t xml:space="preserve"> Section 210 Companies Act; </w:t>
      </w:r>
      <w:r>
        <w:t xml:space="preserve"> </w:t>
      </w:r>
      <w:hyperlink r:id="rId4" w:anchor="process" w:history="1">
        <w:r>
          <w:rPr>
            <w:rStyle w:val="Hyperlink"/>
          </w:rPr>
          <w:t>Schemes of Arrangement: How They Work and How to Apply - SingaporeLegalAdvice.com</w:t>
        </w:r>
      </w:hyperlink>
      <w:r>
        <w:t xml:space="preserve"> </w:t>
      </w:r>
    </w:p>
  </w:footnote>
  <w:footnote w:id="24">
    <w:p w14:paraId="15326DCD" w14:textId="0C2A0061" w:rsidR="00336F39" w:rsidRDefault="00336F39">
      <w:pPr>
        <w:pStyle w:val="FootnoteText"/>
      </w:pPr>
      <w:r>
        <w:rPr>
          <w:rStyle w:val="FootnoteReference"/>
        </w:rPr>
        <w:footnoteRef/>
      </w:r>
      <w:r>
        <w:t xml:space="preserve"> [ibid]</w:t>
      </w:r>
      <w:r w:rsidR="009B3EBC">
        <w:t>; Section 71 IRDA</w:t>
      </w:r>
      <w:r w:rsidR="0085055F">
        <w:t>.</w:t>
      </w:r>
    </w:p>
  </w:footnote>
  <w:footnote w:id="25">
    <w:p w14:paraId="3D5F6DC0" w14:textId="46AD71E0" w:rsidR="00F71E6B" w:rsidRDefault="00F71E6B">
      <w:pPr>
        <w:pStyle w:val="FootnoteText"/>
      </w:pPr>
      <w:r>
        <w:rPr>
          <w:rStyle w:val="FootnoteReference"/>
        </w:rPr>
        <w:footnoteRef/>
      </w:r>
      <w:r>
        <w:t xml:space="preserve"> Section 64 (1) and 67 of the IRDA. </w:t>
      </w:r>
    </w:p>
  </w:footnote>
  <w:footnote w:id="26">
    <w:p w14:paraId="4E9B2EC6" w14:textId="18AFBAB3" w:rsidR="0085055F" w:rsidRDefault="0085055F">
      <w:pPr>
        <w:pStyle w:val="FootnoteText"/>
      </w:pPr>
      <w:r>
        <w:rPr>
          <w:rStyle w:val="FootnoteReference"/>
        </w:rPr>
        <w:footnoteRef/>
      </w:r>
      <w:r>
        <w:t xml:space="preserve"> INSOL Guidance Text Module 8E Singapore, chapter 7.</w:t>
      </w:r>
    </w:p>
  </w:footnote>
  <w:footnote w:id="27">
    <w:p w14:paraId="34522076" w14:textId="6260AE47" w:rsidR="00394BBA" w:rsidRDefault="00394BBA">
      <w:pPr>
        <w:pStyle w:val="FootnoteText"/>
      </w:pPr>
      <w:r>
        <w:rPr>
          <w:rStyle w:val="FootnoteReference"/>
        </w:rPr>
        <w:footnoteRef/>
      </w:r>
      <w:r>
        <w:t xml:space="preserve"> INSOL Guidance Text Module 8E Singapore, chapter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5FBD"/>
    <w:multiLevelType w:val="hybridMultilevel"/>
    <w:tmpl w:val="0726B344"/>
    <w:lvl w:ilvl="0" w:tplc="ABB6EC04">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1248C"/>
    <w:multiLevelType w:val="hybridMultilevel"/>
    <w:tmpl w:val="62F4A1B4"/>
    <w:lvl w:ilvl="0" w:tplc="FD0C72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5" w15:restartNumberingAfterBreak="0">
    <w:nsid w:val="25B137BA"/>
    <w:multiLevelType w:val="hybridMultilevel"/>
    <w:tmpl w:val="A3B87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7"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24B8D"/>
    <w:multiLevelType w:val="hybridMultilevel"/>
    <w:tmpl w:val="C5561622"/>
    <w:lvl w:ilvl="0" w:tplc="1CF64A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2"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337F82"/>
    <w:multiLevelType w:val="hybridMultilevel"/>
    <w:tmpl w:val="E308387A"/>
    <w:lvl w:ilvl="0" w:tplc="13DA1674">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426A15"/>
    <w:multiLevelType w:val="hybridMultilevel"/>
    <w:tmpl w:val="20FCD996"/>
    <w:lvl w:ilvl="0" w:tplc="F63C1B1A">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D90C62"/>
    <w:multiLevelType w:val="hybridMultilevel"/>
    <w:tmpl w:val="9F68012C"/>
    <w:lvl w:ilvl="0" w:tplc="B9CC5F7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AA7F51"/>
    <w:multiLevelType w:val="hybridMultilevel"/>
    <w:tmpl w:val="2074577E"/>
    <w:lvl w:ilvl="0" w:tplc="8F8A3504">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2E0C4A"/>
    <w:multiLevelType w:val="hybridMultilevel"/>
    <w:tmpl w:val="897CDFC6"/>
    <w:lvl w:ilvl="0" w:tplc="04465894">
      <w:start w:val="1"/>
      <w:numFmt w:val="lowerLetter"/>
      <w:lvlText w:val="(%1)"/>
      <w:lvlJc w:val="left"/>
      <w:pPr>
        <w:ind w:left="720" w:hanging="360"/>
      </w:pPr>
      <w:rPr>
        <w:rFonts w:hint="default"/>
        <w:color w:val="7B7B7B" w:themeColor="accent3"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1"/>
  </w:num>
  <w:num w:numId="5">
    <w:abstractNumId w:val="12"/>
  </w:num>
  <w:num w:numId="6">
    <w:abstractNumId w:val="24"/>
  </w:num>
  <w:num w:numId="7">
    <w:abstractNumId w:val="3"/>
  </w:num>
  <w:num w:numId="8">
    <w:abstractNumId w:val="21"/>
  </w:num>
  <w:num w:numId="9">
    <w:abstractNumId w:val="22"/>
  </w:num>
  <w:num w:numId="10">
    <w:abstractNumId w:val="10"/>
  </w:num>
  <w:num w:numId="11">
    <w:abstractNumId w:val="20"/>
  </w:num>
  <w:num w:numId="12">
    <w:abstractNumId w:val="13"/>
  </w:num>
  <w:num w:numId="13">
    <w:abstractNumId w:val="15"/>
  </w:num>
  <w:num w:numId="14">
    <w:abstractNumId w:val="23"/>
  </w:num>
  <w:num w:numId="15">
    <w:abstractNumId w:val="8"/>
  </w:num>
  <w:num w:numId="16">
    <w:abstractNumId w:val="7"/>
  </w:num>
  <w:num w:numId="17">
    <w:abstractNumId w:val="17"/>
  </w:num>
  <w:num w:numId="18">
    <w:abstractNumId w:val="14"/>
  </w:num>
  <w:num w:numId="19">
    <w:abstractNumId w:val="16"/>
  </w:num>
  <w:num w:numId="20">
    <w:abstractNumId w:val="5"/>
  </w:num>
  <w:num w:numId="21">
    <w:abstractNumId w:val="0"/>
  </w:num>
  <w:num w:numId="22">
    <w:abstractNumId w:val="9"/>
  </w:num>
  <w:num w:numId="23">
    <w:abstractNumId w:val="2"/>
  </w:num>
  <w:num w:numId="24">
    <w:abstractNumId w:val="19"/>
  </w:num>
  <w:num w:numId="2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774"/>
    <w:rsid w:val="000036E5"/>
    <w:rsid w:val="00010BA0"/>
    <w:rsid w:val="00015FF5"/>
    <w:rsid w:val="00020557"/>
    <w:rsid w:val="000214ED"/>
    <w:rsid w:val="00021FC2"/>
    <w:rsid w:val="000232A1"/>
    <w:rsid w:val="000250C7"/>
    <w:rsid w:val="00026F16"/>
    <w:rsid w:val="00033C8E"/>
    <w:rsid w:val="00037621"/>
    <w:rsid w:val="00044D46"/>
    <w:rsid w:val="00045088"/>
    <w:rsid w:val="00045904"/>
    <w:rsid w:val="00045F65"/>
    <w:rsid w:val="00046211"/>
    <w:rsid w:val="000502FD"/>
    <w:rsid w:val="00051719"/>
    <w:rsid w:val="00052208"/>
    <w:rsid w:val="00052B3C"/>
    <w:rsid w:val="00053498"/>
    <w:rsid w:val="00062F53"/>
    <w:rsid w:val="00065166"/>
    <w:rsid w:val="00067A22"/>
    <w:rsid w:val="0007291B"/>
    <w:rsid w:val="00080837"/>
    <w:rsid w:val="00082609"/>
    <w:rsid w:val="000851CC"/>
    <w:rsid w:val="00087F21"/>
    <w:rsid w:val="00093BE8"/>
    <w:rsid w:val="000A0270"/>
    <w:rsid w:val="000A407B"/>
    <w:rsid w:val="000A6668"/>
    <w:rsid w:val="000A68ED"/>
    <w:rsid w:val="000B4074"/>
    <w:rsid w:val="000B5FF1"/>
    <w:rsid w:val="000B609F"/>
    <w:rsid w:val="000D23AD"/>
    <w:rsid w:val="000D2BEC"/>
    <w:rsid w:val="000D55A8"/>
    <w:rsid w:val="000D672F"/>
    <w:rsid w:val="000E0D36"/>
    <w:rsid w:val="000E1246"/>
    <w:rsid w:val="000E4841"/>
    <w:rsid w:val="000F0B79"/>
    <w:rsid w:val="000F0CF2"/>
    <w:rsid w:val="000F1677"/>
    <w:rsid w:val="000F3D6C"/>
    <w:rsid w:val="00101707"/>
    <w:rsid w:val="00102CC9"/>
    <w:rsid w:val="0010593A"/>
    <w:rsid w:val="0011473D"/>
    <w:rsid w:val="00115C85"/>
    <w:rsid w:val="00123855"/>
    <w:rsid w:val="00124A1B"/>
    <w:rsid w:val="00126A4D"/>
    <w:rsid w:val="0013379E"/>
    <w:rsid w:val="0014171F"/>
    <w:rsid w:val="0014622C"/>
    <w:rsid w:val="001473E9"/>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957E8"/>
    <w:rsid w:val="00195E02"/>
    <w:rsid w:val="001966D9"/>
    <w:rsid w:val="001A007A"/>
    <w:rsid w:val="001A4484"/>
    <w:rsid w:val="001A7BC4"/>
    <w:rsid w:val="001A7E9A"/>
    <w:rsid w:val="001B0F70"/>
    <w:rsid w:val="001B5016"/>
    <w:rsid w:val="001B73FB"/>
    <w:rsid w:val="001C45FC"/>
    <w:rsid w:val="001D0469"/>
    <w:rsid w:val="001D29C0"/>
    <w:rsid w:val="001D2E24"/>
    <w:rsid w:val="001D4862"/>
    <w:rsid w:val="001E25B9"/>
    <w:rsid w:val="001E49E0"/>
    <w:rsid w:val="001E7B5A"/>
    <w:rsid w:val="001F2577"/>
    <w:rsid w:val="001F7412"/>
    <w:rsid w:val="0020090A"/>
    <w:rsid w:val="00202DFE"/>
    <w:rsid w:val="0020725B"/>
    <w:rsid w:val="002110F1"/>
    <w:rsid w:val="002208D9"/>
    <w:rsid w:val="00223CAE"/>
    <w:rsid w:val="002311E3"/>
    <w:rsid w:val="002356EA"/>
    <w:rsid w:val="00235D7D"/>
    <w:rsid w:val="00240B0E"/>
    <w:rsid w:val="0024116D"/>
    <w:rsid w:val="00241B44"/>
    <w:rsid w:val="00241FA3"/>
    <w:rsid w:val="002447F3"/>
    <w:rsid w:val="00245EFB"/>
    <w:rsid w:val="0024716F"/>
    <w:rsid w:val="00252DCF"/>
    <w:rsid w:val="0025386E"/>
    <w:rsid w:val="00255890"/>
    <w:rsid w:val="00262940"/>
    <w:rsid w:val="002638B0"/>
    <w:rsid w:val="0026425A"/>
    <w:rsid w:val="0026647A"/>
    <w:rsid w:val="002668D3"/>
    <w:rsid w:val="0027299F"/>
    <w:rsid w:val="00284EBE"/>
    <w:rsid w:val="002903A7"/>
    <w:rsid w:val="0029433F"/>
    <w:rsid w:val="00294829"/>
    <w:rsid w:val="0029690F"/>
    <w:rsid w:val="00297C8A"/>
    <w:rsid w:val="002A2A60"/>
    <w:rsid w:val="002A37BB"/>
    <w:rsid w:val="002A3B1C"/>
    <w:rsid w:val="002B1C45"/>
    <w:rsid w:val="002B1DED"/>
    <w:rsid w:val="002B2F9F"/>
    <w:rsid w:val="002C13C8"/>
    <w:rsid w:val="002C3547"/>
    <w:rsid w:val="002C72F3"/>
    <w:rsid w:val="002D0021"/>
    <w:rsid w:val="002D0C55"/>
    <w:rsid w:val="002D102A"/>
    <w:rsid w:val="002D299D"/>
    <w:rsid w:val="002D3473"/>
    <w:rsid w:val="002E38E2"/>
    <w:rsid w:val="002F1956"/>
    <w:rsid w:val="002F3440"/>
    <w:rsid w:val="002F75A3"/>
    <w:rsid w:val="002F7D0F"/>
    <w:rsid w:val="0030205B"/>
    <w:rsid w:val="00303C2F"/>
    <w:rsid w:val="003144EF"/>
    <w:rsid w:val="00323BF3"/>
    <w:rsid w:val="00325ED7"/>
    <w:rsid w:val="00326292"/>
    <w:rsid w:val="00326415"/>
    <w:rsid w:val="00330937"/>
    <w:rsid w:val="00330F31"/>
    <w:rsid w:val="00334648"/>
    <w:rsid w:val="0033653D"/>
    <w:rsid w:val="00336F39"/>
    <w:rsid w:val="0033768C"/>
    <w:rsid w:val="00337938"/>
    <w:rsid w:val="00340769"/>
    <w:rsid w:val="00341AA6"/>
    <w:rsid w:val="00342A74"/>
    <w:rsid w:val="003541EB"/>
    <w:rsid w:val="00357F02"/>
    <w:rsid w:val="00361A0A"/>
    <w:rsid w:val="00361BAA"/>
    <w:rsid w:val="00364836"/>
    <w:rsid w:val="0036565C"/>
    <w:rsid w:val="0036625E"/>
    <w:rsid w:val="0037465A"/>
    <w:rsid w:val="00376303"/>
    <w:rsid w:val="00380BAB"/>
    <w:rsid w:val="00382C98"/>
    <w:rsid w:val="00384F62"/>
    <w:rsid w:val="0038533C"/>
    <w:rsid w:val="00386568"/>
    <w:rsid w:val="00390B57"/>
    <w:rsid w:val="00391426"/>
    <w:rsid w:val="003948D5"/>
    <w:rsid w:val="00394BBA"/>
    <w:rsid w:val="00396821"/>
    <w:rsid w:val="00397D3A"/>
    <w:rsid w:val="003A051E"/>
    <w:rsid w:val="003B170F"/>
    <w:rsid w:val="003B3C5F"/>
    <w:rsid w:val="003B6014"/>
    <w:rsid w:val="003C22FF"/>
    <w:rsid w:val="003C4471"/>
    <w:rsid w:val="003D0A6D"/>
    <w:rsid w:val="003D1EF3"/>
    <w:rsid w:val="003D70A7"/>
    <w:rsid w:val="003E0B16"/>
    <w:rsid w:val="003E22E2"/>
    <w:rsid w:val="003E67D1"/>
    <w:rsid w:val="003E7303"/>
    <w:rsid w:val="003F6783"/>
    <w:rsid w:val="00400477"/>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67926"/>
    <w:rsid w:val="00477C72"/>
    <w:rsid w:val="00483BC6"/>
    <w:rsid w:val="00491675"/>
    <w:rsid w:val="00493855"/>
    <w:rsid w:val="00494E28"/>
    <w:rsid w:val="00495E79"/>
    <w:rsid w:val="004A2D83"/>
    <w:rsid w:val="004A57DD"/>
    <w:rsid w:val="004A7B51"/>
    <w:rsid w:val="004A7D71"/>
    <w:rsid w:val="004A7EF3"/>
    <w:rsid w:val="004B11FD"/>
    <w:rsid w:val="004B23A2"/>
    <w:rsid w:val="004C294D"/>
    <w:rsid w:val="004D1A5A"/>
    <w:rsid w:val="004D2FFF"/>
    <w:rsid w:val="004D363D"/>
    <w:rsid w:val="004D3721"/>
    <w:rsid w:val="004D64F9"/>
    <w:rsid w:val="004D7749"/>
    <w:rsid w:val="004E30B0"/>
    <w:rsid w:val="004E3A6B"/>
    <w:rsid w:val="004E45B9"/>
    <w:rsid w:val="004E622C"/>
    <w:rsid w:val="004E6D1C"/>
    <w:rsid w:val="004E7D70"/>
    <w:rsid w:val="004F5DE9"/>
    <w:rsid w:val="004F5FDF"/>
    <w:rsid w:val="004F716A"/>
    <w:rsid w:val="00510B34"/>
    <w:rsid w:val="00513A41"/>
    <w:rsid w:val="005177FE"/>
    <w:rsid w:val="0052263B"/>
    <w:rsid w:val="00524728"/>
    <w:rsid w:val="005312B3"/>
    <w:rsid w:val="00531721"/>
    <w:rsid w:val="005331CA"/>
    <w:rsid w:val="00537970"/>
    <w:rsid w:val="00540E3A"/>
    <w:rsid w:val="00542DDB"/>
    <w:rsid w:val="00544127"/>
    <w:rsid w:val="005463A9"/>
    <w:rsid w:val="00546D65"/>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975A3"/>
    <w:rsid w:val="005A0CCA"/>
    <w:rsid w:val="005A6ED5"/>
    <w:rsid w:val="005A6FF2"/>
    <w:rsid w:val="005A726D"/>
    <w:rsid w:val="005B5514"/>
    <w:rsid w:val="005B67AC"/>
    <w:rsid w:val="005B79F4"/>
    <w:rsid w:val="005C3B59"/>
    <w:rsid w:val="005C523F"/>
    <w:rsid w:val="005C529D"/>
    <w:rsid w:val="005C5B99"/>
    <w:rsid w:val="005D16DD"/>
    <w:rsid w:val="005D43E0"/>
    <w:rsid w:val="005D58A3"/>
    <w:rsid w:val="005D653A"/>
    <w:rsid w:val="005E1B79"/>
    <w:rsid w:val="005E32B3"/>
    <w:rsid w:val="005E6076"/>
    <w:rsid w:val="005E7008"/>
    <w:rsid w:val="005E7EC1"/>
    <w:rsid w:val="005F026D"/>
    <w:rsid w:val="005F2AEA"/>
    <w:rsid w:val="005F2D0B"/>
    <w:rsid w:val="005F4B31"/>
    <w:rsid w:val="00606E2D"/>
    <w:rsid w:val="00610388"/>
    <w:rsid w:val="00610AC7"/>
    <w:rsid w:val="00612CA5"/>
    <w:rsid w:val="00614401"/>
    <w:rsid w:val="006153EC"/>
    <w:rsid w:val="006155A9"/>
    <w:rsid w:val="00617A98"/>
    <w:rsid w:val="00621A17"/>
    <w:rsid w:val="00622586"/>
    <w:rsid w:val="006261A8"/>
    <w:rsid w:val="00627CC9"/>
    <w:rsid w:val="00627E7B"/>
    <w:rsid w:val="006302A0"/>
    <w:rsid w:val="00630542"/>
    <w:rsid w:val="00631DDB"/>
    <w:rsid w:val="00632E44"/>
    <w:rsid w:val="00633FAA"/>
    <w:rsid w:val="00634622"/>
    <w:rsid w:val="006358BA"/>
    <w:rsid w:val="00636808"/>
    <w:rsid w:val="00641515"/>
    <w:rsid w:val="006452E6"/>
    <w:rsid w:val="00645F3A"/>
    <w:rsid w:val="006532AA"/>
    <w:rsid w:val="00654AF0"/>
    <w:rsid w:val="00654C2F"/>
    <w:rsid w:val="00654C95"/>
    <w:rsid w:val="00657087"/>
    <w:rsid w:val="00661BA6"/>
    <w:rsid w:val="00661D51"/>
    <w:rsid w:val="006639DB"/>
    <w:rsid w:val="006661EF"/>
    <w:rsid w:val="00670CB1"/>
    <w:rsid w:val="00673375"/>
    <w:rsid w:val="0067632C"/>
    <w:rsid w:val="00677AEB"/>
    <w:rsid w:val="00680EF2"/>
    <w:rsid w:val="00684441"/>
    <w:rsid w:val="00687A1D"/>
    <w:rsid w:val="00695633"/>
    <w:rsid w:val="00697EA1"/>
    <w:rsid w:val="006A2646"/>
    <w:rsid w:val="006A6530"/>
    <w:rsid w:val="006B435A"/>
    <w:rsid w:val="006B4C64"/>
    <w:rsid w:val="006C03D4"/>
    <w:rsid w:val="006D2BBF"/>
    <w:rsid w:val="006D6BB7"/>
    <w:rsid w:val="006D6BD5"/>
    <w:rsid w:val="006E4183"/>
    <w:rsid w:val="006E481A"/>
    <w:rsid w:val="006E5298"/>
    <w:rsid w:val="006F2457"/>
    <w:rsid w:val="006F4A78"/>
    <w:rsid w:val="006F734A"/>
    <w:rsid w:val="0070080F"/>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603F5"/>
    <w:rsid w:val="00764DB0"/>
    <w:rsid w:val="0076704E"/>
    <w:rsid w:val="0076764D"/>
    <w:rsid w:val="0077498C"/>
    <w:rsid w:val="007809BC"/>
    <w:rsid w:val="00781734"/>
    <w:rsid w:val="007818AF"/>
    <w:rsid w:val="00784128"/>
    <w:rsid w:val="00784A74"/>
    <w:rsid w:val="00784E9B"/>
    <w:rsid w:val="00787521"/>
    <w:rsid w:val="00787BCC"/>
    <w:rsid w:val="00793173"/>
    <w:rsid w:val="00796810"/>
    <w:rsid w:val="007A0F86"/>
    <w:rsid w:val="007A2A33"/>
    <w:rsid w:val="007A50B0"/>
    <w:rsid w:val="007B5C89"/>
    <w:rsid w:val="007C1FCC"/>
    <w:rsid w:val="007C23F2"/>
    <w:rsid w:val="007C4A79"/>
    <w:rsid w:val="007C5477"/>
    <w:rsid w:val="007C6201"/>
    <w:rsid w:val="007C6CC7"/>
    <w:rsid w:val="007C7036"/>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26C3"/>
    <w:rsid w:val="0084683C"/>
    <w:rsid w:val="0085055F"/>
    <w:rsid w:val="00851178"/>
    <w:rsid w:val="00853901"/>
    <w:rsid w:val="008569B9"/>
    <w:rsid w:val="00856BD4"/>
    <w:rsid w:val="00867701"/>
    <w:rsid w:val="00870587"/>
    <w:rsid w:val="008723F3"/>
    <w:rsid w:val="00876F56"/>
    <w:rsid w:val="00881DE6"/>
    <w:rsid w:val="008837A6"/>
    <w:rsid w:val="0089145D"/>
    <w:rsid w:val="008A4DF2"/>
    <w:rsid w:val="008A6CFE"/>
    <w:rsid w:val="008B0F78"/>
    <w:rsid w:val="008B155E"/>
    <w:rsid w:val="008B16E7"/>
    <w:rsid w:val="008B1FF9"/>
    <w:rsid w:val="008B5333"/>
    <w:rsid w:val="008B6223"/>
    <w:rsid w:val="008B779D"/>
    <w:rsid w:val="008C1F77"/>
    <w:rsid w:val="008C2D8F"/>
    <w:rsid w:val="008C4CD1"/>
    <w:rsid w:val="008C6577"/>
    <w:rsid w:val="008C66E0"/>
    <w:rsid w:val="008D0D5A"/>
    <w:rsid w:val="008D1BD5"/>
    <w:rsid w:val="008E3339"/>
    <w:rsid w:val="008E3823"/>
    <w:rsid w:val="008F20FC"/>
    <w:rsid w:val="008F5FFE"/>
    <w:rsid w:val="00905A43"/>
    <w:rsid w:val="00912C79"/>
    <w:rsid w:val="00921B8C"/>
    <w:rsid w:val="009269F4"/>
    <w:rsid w:val="009346EF"/>
    <w:rsid w:val="00942123"/>
    <w:rsid w:val="0095207B"/>
    <w:rsid w:val="009532AB"/>
    <w:rsid w:val="00954F89"/>
    <w:rsid w:val="00962045"/>
    <w:rsid w:val="00972DD3"/>
    <w:rsid w:val="00980E61"/>
    <w:rsid w:val="00982D07"/>
    <w:rsid w:val="00983D5E"/>
    <w:rsid w:val="00987CB1"/>
    <w:rsid w:val="00991428"/>
    <w:rsid w:val="00992676"/>
    <w:rsid w:val="00992C4D"/>
    <w:rsid w:val="00994947"/>
    <w:rsid w:val="009954B2"/>
    <w:rsid w:val="00995576"/>
    <w:rsid w:val="00996691"/>
    <w:rsid w:val="009A3AB7"/>
    <w:rsid w:val="009B0723"/>
    <w:rsid w:val="009B07AD"/>
    <w:rsid w:val="009B0883"/>
    <w:rsid w:val="009B15E2"/>
    <w:rsid w:val="009B39BA"/>
    <w:rsid w:val="009B3EBC"/>
    <w:rsid w:val="009B4976"/>
    <w:rsid w:val="009C0B8E"/>
    <w:rsid w:val="009C1BC8"/>
    <w:rsid w:val="009C2442"/>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07673"/>
    <w:rsid w:val="00A2274A"/>
    <w:rsid w:val="00A235B7"/>
    <w:rsid w:val="00A27097"/>
    <w:rsid w:val="00A27A7A"/>
    <w:rsid w:val="00A33F8A"/>
    <w:rsid w:val="00A34ABE"/>
    <w:rsid w:val="00A407EF"/>
    <w:rsid w:val="00A46B4C"/>
    <w:rsid w:val="00A5117B"/>
    <w:rsid w:val="00A568A0"/>
    <w:rsid w:val="00A56D34"/>
    <w:rsid w:val="00A57528"/>
    <w:rsid w:val="00A60074"/>
    <w:rsid w:val="00A64900"/>
    <w:rsid w:val="00A64B16"/>
    <w:rsid w:val="00A65A84"/>
    <w:rsid w:val="00A6627C"/>
    <w:rsid w:val="00A71019"/>
    <w:rsid w:val="00A81029"/>
    <w:rsid w:val="00A83871"/>
    <w:rsid w:val="00A845F5"/>
    <w:rsid w:val="00A915E4"/>
    <w:rsid w:val="00A92054"/>
    <w:rsid w:val="00A94591"/>
    <w:rsid w:val="00A94F39"/>
    <w:rsid w:val="00A96489"/>
    <w:rsid w:val="00AA0732"/>
    <w:rsid w:val="00AB124F"/>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05EFA"/>
    <w:rsid w:val="00B126A2"/>
    <w:rsid w:val="00B14819"/>
    <w:rsid w:val="00B15E2F"/>
    <w:rsid w:val="00B17582"/>
    <w:rsid w:val="00B17AA9"/>
    <w:rsid w:val="00B30FB3"/>
    <w:rsid w:val="00B32DE4"/>
    <w:rsid w:val="00B40EA4"/>
    <w:rsid w:val="00B44713"/>
    <w:rsid w:val="00B44D9A"/>
    <w:rsid w:val="00B50EA0"/>
    <w:rsid w:val="00B51B95"/>
    <w:rsid w:val="00B54D7D"/>
    <w:rsid w:val="00B56103"/>
    <w:rsid w:val="00B6324B"/>
    <w:rsid w:val="00B6391D"/>
    <w:rsid w:val="00B64929"/>
    <w:rsid w:val="00B736DF"/>
    <w:rsid w:val="00B743D6"/>
    <w:rsid w:val="00B74FBD"/>
    <w:rsid w:val="00B77F46"/>
    <w:rsid w:val="00B81AE8"/>
    <w:rsid w:val="00B82586"/>
    <w:rsid w:val="00B829A3"/>
    <w:rsid w:val="00B84EFA"/>
    <w:rsid w:val="00B86DB1"/>
    <w:rsid w:val="00B87869"/>
    <w:rsid w:val="00B90079"/>
    <w:rsid w:val="00B9639B"/>
    <w:rsid w:val="00BB0F2B"/>
    <w:rsid w:val="00BB27AE"/>
    <w:rsid w:val="00BB2B08"/>
    <w:rsid w:val="00BC2272"/>
    <w:rsid w:val="00BE4FF3"/>
    <w:rsid w:val="00BE5B8E"/>
    <w:rsid w:val="00BE65AA"/>
    <w:rsid w:val="00BF42A8"/>
    <w:rsid w:val="00BF50F7"/>
    <w:rsid w:val="00C01C7B"/>
    <w:rsid w:val="00C02F29"/>
    <w:rsid w:val="00C041E8"/>
    <w:rsid w:val="00C0731E"/>
    <w:rsid w:val="00C1400C"/>
    <w:rsid w:val="00C17718"/>
    <w:rsid w:val="00C206E7"/>
    <w:rsid w:val="00C20AFE"/>
    <w:rsid w:val="00C21EB5"/>
    <w:rsid w:val="00C21F89"/>
    <w:rsid w:val="00C22A25"/>
    <w:rsid w:val="00C2645B"/>
    <w:rsid w:val="00C325AA"/>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87FF9"/>
    <w:rsid w:val="00C902C8"/>
    <w:rsid w:val="00C919D1"/>
    <w:rsid w:val="00C960CA"/>
    <w:rsid w:val="00C963D3"/>
    <w:rsid w:val="00CA64DF"/>
    <w:rsid w:val="00CB1983"/>
    <w:rsid w:val="00CB2480"/>
    <w:rsid w:val="00CB2CBB"/>
    <w:rsid w:val="00CB5FD0"/>
    <w:rsid w:val="00CB7CAC"/>
    <w:rsid w:val="00CC158E"/>
    <w:rsid w:val="00CC5335"/>
    <w:rsid w:val="00CC5BA4"/>
    <w:rsid w:val="00CC6438"/>
    <w:rsid w:val="00CD4998"/>
    <w:rsid w:val="00CE1035"/>
    <w:rsid w:val="00CE6E50"/>
    <w:rsid w:val="00CF14BE"/>
    <w:rsid w:val="00CF2819"/>
    <w:rsid w:val="00CF3A5A"/>
    <w:rsid w:val="00CF4F9D"/>
    <w:rsid w:val="00CF6E14"/>
    <w:rsid w:val="00CF70DC"/>
    <w:rsid w:val="00D0080B"/>
    <w:rsid w:val="00D13800"/>
    <w:rsid w:val="00D148DC"/>
    <w:rsid w:val="00D16390"/>
    <w:rsid w:val="00D17FDC"/>
    <w:rsid w:val="00D21D8C"/>
    <w:rsid w:val="00D21F25"/>
    <w:rsid w:val="00D23248"/>
    <w:rsid w:val="00D307FA"/>
    <w:rsid w:val="00D34A15"/>
    <w:rsid w:val="00D53719"/>
    <w:rsid w:val="00D63EFD"/>
    <w:rsid w:val="00D65741"/>
    <w:rsid w:val="00D73771"/>
    <w:rsid w:val="00D77884"/>
    <w:rsid w:val="00D80DC2"/>
    <w:rsid w:val="00D83A16"/>
    <w:rsid w:val="00D842A4"/>
    <w:rsid w:val="00D84752"/>
    <w:rsid w:val="00D86B3B"/>
    <w:rsid w:val="00D8748A"/>
    <w:rsid w:val="00D93196"/>
    <w:rsid w:val="00DA0DC0"/>
    <w:rsid w:val="00DA124D"/>
    <w:rsid w:val="00DB13EE"/>
    <w:rsid w:val="00DB243C"/>
    <w:rsid w:val="00DB482A"/>
    <w:rsid w:val="00DB50FB"/>
    <w:rsid w:val="00DB56F2"/>
    <w:rsid w:val="00DB6688"/>
    <w:rsid w:val="00DB6EEB"/>
    <w:rsid w:val="00DB6EF5"/>
    <w:rsid w:val="00DC3089"/>
    <w:rsid w:val="00DC4420"/>
    <w:rsid w:val="00DC7761"/>
    <w:rsid w:val="00DD0802"/>
    <w:rsid w:val="00DD2E11"/>
    <w:rsid w:val="00DD3B6B"/>
    <w:rsid w:val="00DD7F33"/>
    <w:rsid w:val="00DE03AF"/>
    <w:rsid w:val="00DE0963"/>
    <w:rsid w:val="00DE121C"/>
    <w:rsid w:val="00DE158A"/>
    <w:rsid w:val="00DE28CA"/>
    <w:rsid w:val="00DE2CD9"/>
    <w:rsid w:val="00DE6633"/>
    <w:rsid w:val="00DF75F8"/>
    <w:rsid w:val="00DF7A3A"/>
    <w:rsid w:val="00E00C00"/>
    <w:rsid w:val="00E07C5A"/>
    <w:rsid w:val="00E15BA9"/>
    <w:rsid w:val="00E23A7A"/>
    <w:rsid w:val="00E26E19"/>
    <w:rsid w:val="00E3041B"/>
    <w:rsid w:val="00E30816"/>
    <w:rsid w:val="00E30CC7"/>
    <w:rsid w:val="00E31DF3"/>
    <w:rsid w:val="00E40797"/>
    <w:rsid w:val="00E450A4"/>
    <w:rsid w:val="00E45264"/>
    <w:rsid w:val="00E45B05"/>
    <w:rsid w:val="00E506BE"/>
    <w:rsid w:val="00E5140B"/>
    <w:rsid w:val="00E522E3"/>
    <w:rsid w:val="00E534E3"/>
    <w:rsid w:val="00E55547"/>
    <w:rsid w:val="00E579F2"/>
    <w:rsid w:val="00E6001C"/>
    <w:rsid w:val="00E6302B"/>
    <w:rsid w:val="00E641E3"/>
    <w:rsid w:val="00E6452F"/>
    <w:rsid w:val="00E64F45"/>
    <w:rsid w:val="00E6742D"/>
    <w:rsid w:val="00E700E4"/>
    <w:rsid w:val="00E71CB0"/>
    <w:rsid w:val="00E73133"/>
    <w:rsid w:val="00E73C3B"/>
    <w:rsid w:val="00E77C3D"/>
    <w:rsid w:val="00E86087"/>
    <w:rsid w:val="00E87548"/>
    <w:rsid w:val="00E90991"/>
    <w:rsid w:val="00E909F0"/>
    <w:rsid w:val="00E90D47"/>
    <w:rsid w:val="00E91E1D"/>
    <w:rsid w:val="00E93993"/>
    <w:rsid w:val="00E956F2"/>
    <w:rsid w:val="00E9597C"/>
    <w:rsid w:val="00E95C42"/>
    <w:rsid w:val="00E966D9"/>
    <w:rsid w:val="00E96FB1"/>
    <w:rsid w:val="00EA0913"/>
    <w:rsid w:val="00EA5B00"/>
    <w:rsid w:val="00EA6F96"/>
    <w:rsid w:val="00EB146B"/>
    <w:rsid w:val="00EB45AC"/>
    <w:rsid w:val="00EB7B75"/>
    <w:rsid w:val="00EC1A1D"/>
    <w:rsid w:val="00EC441F"/>
    <w:rsid w:val="00EC4755"/>
    <w:rsid w:val="00EC6A65"/>
    <w:rsid w:val="00ED0BC4"/>
    <w:rsid w:val="00ED0EC6"/>
    <w:rsid w:val="00ED21C1"/>
    <w:rsid w:val="00ED29B3"/>
    <w:rsid w:val="00ED447D"/>
    <w:rsid w:val="00EE030D"/>
    <w:rsid w:val="00EE4971"/>
    <w:rsid w:val="00EE6CB0"/>
    <w:rsid w:val="00EF090E"/>
    <w:rsid w:val="00EF4D30"/>
    <w:rsid w:val="00EF4EE8"/>
    <w:rsid w:val="00EF5436"/>
    <w:rsid w:val="00EF5572"/>
    <w:rsid w:val="00F033DA"/>
    <w:rsid w:val="00F0392F"/>
    <w:rsid w:val="00F130CF"/>
    <w:rsid w:val="00F13691"/>
    <w:rsid w:val="00F13FB1"/>
    <w:rsid w:val="00F22C53"/>
    <w:rsid w:val="00F27CD8"/>
    <w:rsid w:val="00F30351"/>
    <w:rsid w:val="00F3323E"/>
    <w:rsid w:val="00F341F4"/>
    <w:rsid w:val="00F34F9D"/>
    <w:rsid w:val="00F35CCE"/>
    <w:rsid w:val="00F404D5"/>
    <w:rsid w:val="00F50041"/>
    <w:rsid w:val="00F5524B"/>
    <w:rsid w:val="00F5682A"/>
    <w:rsid w:val="00F5719B"/>
    <w:rsid w:val="00F60538"/>
    <w:rsid w:val="00F61548"/>
    <w:rsid w:val="00F61DD2"/>
    <w:rsid w:val="00F61EBA"/>
    <w:rsid w:val="00F66AFF"/>
    <w:rsid w:val="00F674C7"/>
    <w:rsid w:val="00F71433"/>
    <w:rsid w:val="00F7197D"/>
    <w:rsid w:val="00F71E6B"/>
    <w:rsid w:val="00F74EAE"/>
    <w:rsid w:val="00F776F4"/>
    <w:rsid w:val="00F83F59"/>
    <w:rsid w:val="00F860C9"/>
    <w:rsid w:val="00F9069F"/>
    <w:rsid w:val="00F927F0"/>
    <w:rsid w:val="00F92F50"/>
    <w:rsid w:val="00F97C5B"/>
    <w:rsid w:val="00FA2C21"/>
    <w:rsid w:val="00FA3D50"/>
    <w:rsid w:val="00FA4DD1"/>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4BF9"/>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 w:type="paragraph" w:styleId="EndnoteText">
    <w:name w:val="endnote text"/>
    <w:basedOn w:val="Normal"/>
    <w:link w:val="EndnoteTextChar"/>
    <w:uiPriority w:val="99"/>
    <w:semiHidden/>
    <w:unhideWhenUsed/>
    <w:rsid w:val="007C5477"/>
    <w:rPr>
      <w:szCs w:val="20"/>
    </w:rPr>
  </w:style>
  <w:style w:type="character" w:customStyle="1" w:styleId="EndnoteTextChar">
    <w:name w:val="Endnote Text Char"/>
    <w:basedOn w:val="DefaultParagraphFont"/>
    <w:link w:val="EndnoteText"/>
    <w:uiPriority w:val="99"/>
    <w:semiHidden/>
    <w:rsid w:val="007C5477"/>
    <w:rPr>
      <w:rFonts w:eastAsia="Times New Roman"/>
      <w:sz w:val="20"/>
      <w:szCs w:val="20"/>
    </w:rPr>
  </w:style>
  <w:style w:type="character" w:styleId="EndnoteReference">
    <w:name w:val="endnote reference"/>
    <w:basedOn w:val="DefaultParagraphFont"/>
    <w:uiPriority w:val="99"/>
    <w:semiHidden/>
    <w:unhideWhenUsed/>
    <w:rsid w:val="007C5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ingaporelegaladvice.com/law-articles/judicial-management" TargetMode="External"/><Relationship Id="rId2" Type="http://schemas.openxmlformats.org/officeDocument/2006/relationships/hyperlink" Target="https://singaporelegaladvice.com/law-articles/judicial-management" TargetMode="External"/><Relationship Id="rId1" Type="http://schemas.openxmlformats.org/officeDocument/2006/relationships/hyperlink" Target="https://singaporelegaladvice.com/law-articles/judicial-management" TargetMode="External"/><Relationship Id="rId4" Type="http://schemas.openxmlformats.org/officeDocument/2006/relationships/hyperlink" Target="https://singaporelegaladvice.com/law-articles/scheme-of-arran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A638481A-5C99-4515-8225-1550289D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2025</TotalTime>
  <Pages>13</Pages>
  <Words>4265</Words>
  <Characters>24316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Ramtahal</dc:creator>
  <cp:lastModifiedBy>Martha Ramtahal</cp:lastModifiedBy>
  <cp:revision>43</cp:revision>
  <dcterms:created xsi:type="dcterms:W3CDTF">2022-03-24T15:33:00Z</dcterms:created>
  <dcterms:modified xsi:type="dcterms:W3CDTF">2022-07-29T17:06:00Z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