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841B27" w:rsidRDefault="000F6063" w:rsidP="007E03FA">
      <w:pPr>
        <w:pStyle w:val="ListParagraph"/>
        <w:numPr>
          <w:ilvl w:val="0"/>
          <w:numId w:val="31"/>
        </w:numPr>
        <w:ind w:left="426"/>
        <w:rPr>
          <w:rFonts w:ascii="Arial" w:hAnsi="Arial" w:cs="Arial"/>
          <w:sz w:val="22"/>
          <w:szCs w:val="22"/>
          <w:highlight w:val="yellow"/>
          <w:lang w:val="en-GB"/>
        </w:rPr>
      </w:pPr>
      <w:r w:rsidRPr="00841B27">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FA33FC" w:rsidRDefault="000F6063" w:rsidP="007E03FA">
      <w:pPr>
        <w:pStyle w:val="ListParagraph"/>
        <w:numPr>
          <w:ilvl w:val="0"/>
          <w:numId w:val="32"/>
        </w:numPr>
        <w:ind w:left="426"/>
        <w:rPr>
          <w:rFonts w:ascii="Arial" w:hAnsi="Arial" w:cs="Arial"/>
          <w:sz w:val="22"/>
          <w:szCs w:val="22"/>
          <w:highlight w:val="yellow"/>
          <w:lang w:val="en-GB"/>
        </w:rPr>
      </w:pPr>
      <w:r w:rsidRPr="00FA33FC">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FA33FC"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FA33FC">
        <w:rPr>
          <w:rFonts w:ascii="Arial" w:hAnsi="Arial" w:cs="Arial"/>
          <w:color w:val="000000" w:themeColor="text1"/>
          <w:sz w:val="22"/>
          <w:szCs w:val="22"/>
          <w:highlight w:val="yellow"/>
          <w:lang w:val="en-GB"/>
        </w:rPr>
        <w:t>The company must cease trading except where it is necessary and beneficial to the liquidation</w:t>
      </w:r>
      <w:r w:rsidR="00A46FE2" w:rsidRPr="00FA33FC">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FA33FC" w:rsidRDefault="00CB2364" w:rsidP="00924973">
      <w:pPr>
        <w:pStyle w:val="ListParagraph"/>
        <w:numPr>
          <w:ilvl w:val="0"/>
          <w:numId w:val="34"/>
        </w:numPr>
        <w:ind w:left="426"/>
        <w:rPr>
          <w:rFonts w:ascii="Arial" w:hAnsi="Arial" w:cs="Arial"/>
          <w:sz w:val="22"/>
          <w:szCs w:val="22"/>
          <w:highlight w:val="yellow"/>
          <w:lang w:val="en-GB"/>
        </w:rPr>
      </w:pPr>
      <w:r w:rsidRPr="00FA33FC">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FA33FC" w:rsidRDefault="000F6063" w:rsidP="00924973">
      <w:pPr>
        <w:pStyle w:val="ListParagraph"/>
        <w:numPr>
          <w:ilvl w:val="0"/>
          <w:numId w:val="35"/>
        </w:numPr>
        <w:ind w:left="426"/>
        <w:rPr>
          <w:rFonts w:ascii="Arial" w:hAnsi="Arial" w:cs="Arial"/>
          <w:sz w:val="22"/>
          <w:szCs w:val="22"/>
          <w:highlight w:val="yellow"/>
          <w:lang w:val="en-GB"/>
        </w:rPr>
      </w:pPr>
      <w:r w:rsidRPr="00FA33FC">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1553B7" w:rsidRDefault="00E177F0" w:rsidP="00924973">
      <w:pPr>
        <w:pStyle w:val="ListParagraph"/>
        <w:numPr>
          <w:ilvl w:val="0"/>
          <w:numId w:val="36"/>
        </w:numPr>
        <w:ind w:left="426"/>
        <w:rPr>
          <w:rFonts w:ascii="Arial" w:hAnsi="Arial" w:cs="Arial"/>
          <w:sz w:val="22"/>
          <w:szCs w:val="22"/>
          <w:highlight w:val="yellow"/>
          <w:lang w:val="en-GB"/>
        </w:rPr>
      </w:pPr>
      <w:r w:rsidRPr="001553B7">
        <w:rPr>
          <w:rFonts w:ascii="Arial" w:hAnsi="Arial" w:cs="Arial"/>
          <w:sz w:val="22"/>
          <w:szCs w:val="22"/>
          <w:highlight w:val="yellow"/>
          <w:lang w:val="en-GB"/>
        </w:rPr>
        <w:t>May enforce their security without leave of the court</w:t>
      </w:r>
      <w:r w:rsidR="00803C72" w:rsidRPr="001553B7">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43EA5E7B"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11376828" w14:textId="77777777" w:rsidR="00816393" w:rsidRPr="00924973" w:rsidRDefault="00816393" w:rsidP="00816393">
      <w:pPr>
        <w:pStyle w:val="ListParagraph"/>
        <w:ind w:left="426"/>
        <w:jc w:val="both"/>
        <w:rPr>
          <w:rFonts w:ascii="Arial" w:hAnsi="Arial" w:cs="Arial"/>
          <w:sz w:val="22"/>
          <w:szCs w:val="22"/>
          <w:lang w:val="en-GB"/>
        </w:rPr>
      </w:pPr>
    </w:p>
    <w:p w14:paraId="61FEC1EF" w14:textId="7E872FDB" w:rsidR="000F6063" w:rsidRPr="00816393" w:rsidRDefault="000F6063" w:rsidP="00924973">
      <w:pPr>
        <w:pStyle w:val="ListParagraph"/>
        <w:numPr>
          <w:ilvl w:val="0"/>
          <w:numId w:val="37"/>
        </w:numPr>
        <w:ind w:left="426"/>
        <w:jc w:val="both"/>
        <w:rPr>
          <w:rFonts w:ascii="Arial" w:hAnsi="Arial" w:cs="Arial"/>
          <w:sz w:val="22"/>
          <w:szCs w:val="22"/>
          <w:highlight w:val="yellow"/>
          <w:lang w:val="en-GB"/>
        </w:rPr>
      </w:pPr>
      <w:r w:rsidRPr="00816393">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816393" w:rsidRDefault="00853B56" w:rsidP="00924973">
      <w:pPr>
        <w:pStyle w:val="ListParagraph"/>
        <w:numPr>
          <w:ilvl w:val="0"/>
          <w:numId w:val="38"/>
        </w:numPr>
        <w:ind w:left="426"/>
        <w:jc w:val="both"/>
        <w:rPr>
          <w:rFonts w:ascii="Arial" w:hAnsi="Arial" w:cs="Arial"/>
          <w:sz w:val="22"/>
          <w:szCs w:val="22"/>
          <w:highlight w:val="yellow"/>
          <w:lang w:val="en-GB"/>
        </w:rPr>
      </w:pPr>
      <w:r w:rsidRPr="00816393">
        <w:rPr>
          <w:rFonts w:ascii="Arial" w:hAnsi="Arial" w:cs="Arial"/>
          <w:sz w:val="22"/>
          <w:szCs w:val="22"/>
          <w:highlight w:val="yellow"/>
          <w:lang w:val="en-GB"/>
        </w:rPr>
        <w:t>Amounts due to p</w:t>
      </w:r>
      <w:r w:rsidR="005327B7" w:rsidRPr="00816393">
        <w:rPr>
          <w:rFonts w:ascii="Arial" w:hAnsi="Arial" w:cs="Arial"/>
          <w:sz w:val="22"/>
          <w:szCs w:val="22"/>
          <w:highlight w:val="yellow"/>
          <w:lang w:val="en-GB"/>
        </w:rPr>
        <w:t>referred shareholders</w:t>
      </w:r>
      <w:r w:rsidR="00803C72" w:rsidRPr="00816393">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352D89" w:rsidRDefault="005327B7" w:rsidP="00924973">
      <w:pPr>
        <w:pStyle w:val="ListParagraph"/>
        <w:numPr>
          <w:ilvl w:val="0"/>
          <w:numId w:val="39"/>
        </w:numPr>
        <w:ind w:left="426"/>
        <w:jc w:val="both"/>
        <w:rPr>
          <w:rFonts w:ascii="Arial" w:hAnsi="Arial" w:cs="Arial"/>
          <w:sz w:val="22"/>
          <w:szCs w:val="22"/>
          <w:highlight w:val="yellow"/>
          <w:lang w:val="en-GB"/>
        </w:rPr>
      </w:pPr>
      <w:r w:rsidRPr="00352D89">
        <w:rPr>
          <w:rFonts w:ascii="Arial" w:hAnsi="Arial" w:cs="Arial"/>
          <w:sz w:val="22"/>
          <w:szCs w:val="22"/>
          <w:highlight w:val="yellow"/>
          <w:lang w:val="en-GB"/>
        </w:rPr>
        <w:t>The board of directors decides it is “just and equitable” for the company to be wound up</w:t>
      </w:r>
      <w:r w:rsidR="00D06A87" w:rsidRPr="00352D89">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924973" w:rsidRDefault="000F6063" w:rsidP="00924973">
      <w:pPr>
        <w:pStyle w:val="ListParagraph"/>
        <w:numPr>
          <w:ilvl w:val="0"/>
          <w:numId w:val="40"/>
        </w:numPr>
        <w:ind w:left="426"/>
        <w:jc w:val="both"/>
        <w:rPr>
          <w:rFonts w:ascii="Arial" w:hAnsi="Arial" w:cs="Arial"/>
          <w:sz w:val="22"/>
          <w:szCs w:val="22"/>
          <w:lang w:val="en-GB"/>
        </w:rPr>
      </w:pPr>
      <w:r w:rsidRPr="00182755">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1B1B07AD" w:rsidR="002B3A96" w:rsidRDefault="00D32FBF"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You could file notice of such security with the centrally maintained registers for real estate, ships, aircrafts, motor vehicles or intellectual property. For all other property, </w:t>
      </w:r>
      <w:proofErr w:type="gramStart"/>
      <w:r>
        <w:rPr>
          <w:rFonts w:ascii="Arial" w:hAnsi="Arial" w:cs="Arial"/>
          <w:color w:val="808080" w:themeColor="background1" w:themeShade="80"/>
          <w:sz w:val="22"/>
          <w:szCs w:val="22"/>
          <w:lang w:val="en-GB"/>
        </w:rPr>
        <w:t>e.g.</w:t>
      </w:r>
      <w:proofErr w:type="gramEnd"/>
      <w:r>
        <w:rPr>
          <w:rFonts w:ascii="Arial" w:hAnsi="Arial" w:cs="Arial"/>
          <w:color w:val="808080" w:themeColor="background1" w:themeShade="80"/>
          <w:sz w:val="22"/>
          <w:szCs w:val="22"/>
          <w:lang w:val="en-GB"/>
        </w:rPr>
        <w:t xml:space="preserve"> shares, you should run checks of the Register of Mortgages to ensure it is clear and </w:t>
      </w:r>
      <w:r w:rsidR="00AF143F">
        <w:rPr>
          <w:rFonts w:ascii="Arial" w:hAnsi="Arial" w:cs="Arial"/>
          <w:color w:val="808080" w:themeColor="background1" w:themeShade="80"/>
          <w:sz w:val="22"/>
          <w:szCs w:val="22"/>
          <w:lang w:val="en-GB"/>
        </w:rPr>
        <w:t xml:space="preserve">you </w:t>
      </w:r>
      <w:r>
        <w:rPr>
          <w:rFonts w:ascii="Arial" w:hAnsi="Arial" w:cs="Arial"/>
          <w:color w:val="808080" w:themeColor="background1" w:themeShade="80"/>
          <w:sz w:val="22"/>
          <w:szCs w:val="22"/>
          <w:lang w:val="en-GB"/>
        </w:rPr>
        <w:t xml:space="preserve">can then update such with details of the charge. </w:t>
      </w:r>
    </w:p>
    <w:p w14:paraId="035BF59D" w14:textId="42886E3F" w:rsidR="00D32FBF" w:rsidRDefault="00D32FBF" w:rsidP="00D27CBC">
      <w:pPr>
        <w:jc w:val="both"/>
        <w:rPr>
          <w:rFonts w:ascii="Arial" w:hAnsi="Arial" w:cs="Arial"/>
          <w:color w:val="808080" w:themeColor="background1" w:themeShade="80"/>
          <w:sz w:val="22"/>
          <w:szCs w:val="22"/>
          <w:lang w:val="en-GB"/>
        </w:rPr>
      </w:pPr>
    </w:p>
    <w:p w14:paraId="06FA4274" w14:textId="1692BD01" w:rsidR="00D32FBF" w:rsidRDefault="00D32FBF"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effect of such</w:t>
      </w:r>
      <w:r w:rsidR="00AF143F">
        <w:rPr>
          <w:rFonts w:ascii="Arial" w:hAnsi="Arial" w:cs="Arial"/>
          <w:color w:val="808080" w:themeColor="background1" w:themeShade="80"/>
          <w:sz w:val="22"/>
          <w:szCs w:val="22"/>
          <w:lang w:val="en-GB"/>
        </w:rPr>
        <w:t xml:space="preserve"> registration</w:t>
      </w:r>
      <w:r>
        <w:rPr>
          <w:rFonts w:ascii="Arial" w:hAnsi="Arial" w:cs="Arial"/>
          <w:color w:val="808080" w:themeColor="background1" w:themeShade="80"/>
          <w:sz w:val="22"/>
          <w:szCs w:val="22"/>
          <w:lang w:val="en-GB"/>
        </w:rPr>
        <w:t xml:space="preserve"> is that any third party looking to purchase the secured asset will be deemed to have been given notice of your interest and</w:t>
      </w:r>
      <w:r w:rsidR="00AF143F">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therefore</w:t>
      </w:r>
      <w:r w:rsidR="00AF143F">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any purchase of the asset will </w:t>
      </w:r>
      <w:r w:rsidR="00AF143F">
        <w:rPr>
          <w:rFonts w:ascii="Arial" w:hAnsi="Arial" w:cs="Arial"/>
          <w:color w:val="808080" w:themeColor="background1" w:themeShade="80"/>
          <w:sz w:val="22"/>
          <w:szCs w:val="22"/>
          <w:lang w:val="en-GB"/>
        </w:rPr>
        <w:t>continue to</w:t>
      </w:r>
      <w:r>
        <w:rPr>
          <w:rFonts w:ascii="Arial" w:hAnsi="Arial" w:cs="Arial"/>
          <w:color w:val="808080" w:themeColor="background1" w:themeShade="80"/>
          <w:sz w:val="22"/>
          <w:szCs w:val="22"/>
          <w:lang w:val="en-GB"/>
        </w:rPr>
        <w:t xml:space="preserve"> be subject to your security interest.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4EFC1514" w:rsidR="00AB0E3A" w:rsidRPr="00AB0E3A" w:rsidRDefault="00FF1B2D"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w:t>
      </w:r>
      <w:r w:rsidR="00B479FD">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Foreign Bankruptcy Proceedings (International Cooperation) Rules 2018 </w:t>
      </w:r>
      <w:r w:rsidR="00B479FD">
        <w:rPr>
          <w:rFonts w:ascii="Arial" w:hAnsi="Arial" w:cs="Arial"/>
          <w:color w:val="808080" w:themeColor="background1" w:themeShade="80"/>
          <w:sz w:val="22"/>
          <w:szCs w:val="22"/>
          <w:lang w:val="en-GB"/>
        </w:rPr>
        <w:t xml:space="preserve">assists </w:t>
      </w:r>
      <w:r>
        <w:rPr>
          <w:rFonts w:ascii="Arial" w:hAnsi="Arial" w:cs="Arial"/>
          <w:color w:val="808080" w:themeColor="background1" w:themeShade="80"/>
          <w:sz w:val="22"/>
          <w:szCs w:val="22"/>
          <w:lang w:val="en-GB"/>
        </w:rPr>
        <w:t>w</w:t>
      </w:r>
      <w:r w:rsidR="00B479FD">
        <w:rPr>
          <w:rFonts w:ascii="Arial" w:hAnsi="Arial" w:cs="Arial"/>
          <w:color w:val="808080" w:themeColor="background1" w:themeShade="80"/>
          <w:sz w:val="22"/>
          <w:szCs w:val="22"/>
          <w:lang w:val="en-GB"/>
        </w:rPr>
        <w:t>h</w:t>
      </w:r>
      <w:r>
        <w:rPr>
          <w:rFonts w:ascii="Arial" w:hAnsi="Arial" w:cs="Arial"/>
          <w:color w:val="808080" w:themeColor="background1" w:themeShade="80"/>
          <w:sz w:val="22"/>
          <w:szCs w:val="22"/>
          <w:lang w:val="en-GB"/>
        </w:rPr>
        <w:t>ere there are foreign proceedings on foot for the purpose of reorganising and/or rehabilitating an insolvent debtor</w:t>
      </w:r>
      <w:r w:rsidR="00595714">
        <w:rPr>
          <w:rFonts w:ascii="Arial" w:hAnsi="Arial" w:cs="Arial"/>
          <w:color w:val="808080" w:themeColor="background1" w:themeShade="80"/>
          <w:sz w:val="22"/>
          <w:szCs w:val="22"/>
          <w:lang w:val="en-GB"/>
        </w:rPr>
        <w:t>,</w:t>
      </w:r>
      <w:r w:rsidR="00B479FD">
        <w:rPr>
          <w:rFonts w:ascii="Arial" w:hAnsi="Arial" w:cs="Arial"/>
          <w:color w:val="808080" w:themeColor="background1" w:themeShade="80"/>
          <w:sz w:val="22"/>
          <w:szCs w:val="22"/>
          <w:lang w:val="en-GB"/>
        </w:rPr>
        <w:t xml:space="preserve"> and</w:t>
      </w:r>
      <w:r w:rsidR="00595714">
        <w:rPr>
          <w:rFonts w:ascii="Arial" w:hAnsi="Arial" w:cs="Arial"/>
          <w:color w:val="808080" w:themeColor="background1" w:themeShade="80"/>
          <w:sz w:val="22"/>
          <w:szCs w:val="22"/>
          <w:lang w:val="en-GB"/>
        </w:rPr>
        <w:t xml:space="preserve"> where</w:t>
      </w:r>
      <w:r w:rsidR="00B479FD">
        <w:rPr>
          <w:rFonts w:ascii="Arial" w:hAnsi="Arial" w:cs="Arial"/>
          <w:color w:val="808080" w:themeColor="background1" w:themeShade="80"/>
          <w:sz w:val="22"/>
          <w:szCs w:val="22"/>
          <w:lang w:val="en-GB"/>
        </w:rPr>
        <w:t xml:space="preserve"> the foreign representative needs Cayman Islands Grand Court recognition and assistance</w:t>
      </w:r>
      <w:r w:rsidR="00595714">
        <w:rPr>
          <w:rFonts w:ascii="Arial" w:hAnsi="Arial" w:cs="Arial"/>
          <w:color w:val="808080" w:themeColor="background1" w:themeShade="80"/>
          <w:sz w:val="22"/>
          <w:szCs w:val="22"/>
          <w:lang w:val="en-GB"/>
        </w:rPr>
        <w:t>,</w:t>
      </w:r>
      <w:r w:rsidR="00B479FD">
        <w:rPr>
          <w:rFonts w:ascii="Arial" w:hAnsi="Arial" w:cs="Arial"/>
          <w:color w:val="808080" w:themeColor="background1" w:themeShade="80"/>
          <w:sz w:val="22"/>
          <w:szCs w:val="22"/>
          <w:lang w:val="en-GB"/>
        </w:rPr>
        <w:t xml:space="preserve"> </w:t>
      </w:r>
      <w:proofErr w:type="gramStart"/>
      <w:r w:rsidR="00B479FD">
        <w:rPr>
          <w:rFonts w:ascii="Arial" w:hAnsi="Arial" w:cs="Arial"/>
          <w:color w:val="808080" w:themeColor="background1" w:themeShade="80"/>
          <w:sz w:val="22"/>
          <w:szCs w:val="22"/>
          <w:lang w:val="en-GB"/>
        </w:rPr>
        <w:t>e.g.</w:t>
      </w:r>
      <w:proofErr w:type="gramEnd"/>
      <w:r w:rsidR="00B479FD">
        <w:rPr>
          <w:rFonts w:ascii="Arial" w:hAnsi="Arial" w:cs="Arial"/>
          <w:color w:val="808080" w:themeColor="background1" w:themeShade="80"/>
          <w:sz w:val="22"/>
          <w:szCs w:val="22"/>
          <w:lang w:val="en-GB"/>
        </w:rPr>
        <w:t xml:space="preserve"> an order to stay legal proceedings. </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63CFEEE8" w:rsidR="00E4294D" w:rsidRDefault="00B479F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 Reciprocal Enforcement Act (1996 Revision) provides a statutory scheme for recognition and enforcement of foreign judgements</w:t>
      </w:r>
      <w:r w:rsidR="009F7815">
        <w:rPr>
          <w:rFonts w:ascii="Arial" w:hAnsi="Arial" w:cs="Arial"/>
          <w:color w:val="808080" w:themeColor="background1" w:themeShade="80"/>
          <w:sz w:val="22"/>
          <w:szCs w:val="22"/>
          <w:lang w:val="en-GB"/>
        </w:rPr>
        <w:t>, only</w:t>
      </w:r>
      <w:r>
        <w:rPr>
          <w:rFonts w:ascii="Arial" w:hAnsi="Arial" w:cs="Arial"/>
          <w:color w:val="808080" w:themeColor="background1" w:themeShade="80"/>
          <w:sz w:val="22"/>
          <w:szCs w:val="22"/>
          <w:lang w:val="en-GB"/>
        </w:rPr>
        <w:t xml:space="preserve"> if the originating country provides reciprocity. </w:t>
      </w:r>
    </w:p>
    <w:p w14:paraId="0AE39A5F" w14:textId="77777777" w:rsidR="00B479FD" w:rsidRDefault="00B479FD" w:rsidP="00E4294D">
      <w:pPr>
        <w:jc w:val="both"/>
        <w:rPr>
          <w:rFonts w:ascii="Arial" w:hAnsi="Arial" w:cs="Arial"/>
          <w:color w:val="808080" w:themeColor="background1" w:themeShade="80"/>
          <w:sz w:val="22"/>
          <w:szCs w:val="22"/>
          <w:lang w:val="en-GB"/>
        </w:rPr>
      </w:pPr>
    </w:p>
    <w:p w14:paraId="41E14EC5" w14:textId="77777777" w:rsidR="0013009D" w:rsidRDefault="0013009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Order 71 of the Grand Court Rules further sets out the procedures. </w:t>
      </w:r>
    </w:p>
    <w:p w14:paraId="05DDAB0B" w14:textId="77777777" w:rsidR="0013009D" w:rsidRDefault="0013009D" w:rsidP="00E4294D">
      <w:pPr>
        <w:jc w:val="both"/>
        <w:rPr>
          <w:rFonts w:ascii="Arial" w:hAnsi="Arial" w:cs="Arial"/>
          <w:color w:val="808080" w:themeColor="background1" w:themeShade="80"/>
          <w:sz w:val="22"/>
          <w:szCs w:val="22"/>
          <w:lang w:val="en-GB"/>
        </w:rPr>
      </w:pPr>
    </w:p>
    <w:p w14:paraId="4D618E59" w14:textId="23F77DDE" w:rsidR="00B479FD" w:rsidRPr="00AB0E3A" w:rsidRDefault="0013009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B479FD">
        <w:rPr>
          <w:rFonts w:ascii="Arial" w:hAnsi="Arial" w:cs="Arial"/>
          <w:color w:val="808080" w:themeColor="background1" w:themeShade="80"/>
          <w:sz w:val="22"/>
          <w:szCs w:val="22"/>
          <w:lang w:val="en-GB"/>
        </w:rPr>
        <w:t xml:space="preserve">he judgment must be: (1) final, (2) a monetary judgment, and (3) made after the above-mentioned 1996 Act was extended to the relevant foreign country. </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w:t>
      </w:r>
      <w:r w:rsidR="00FE08A2" w:rsidRPr="00747C78">
        <w:rPr>
          <w:rFonts w:ascii="Arial" w:hAnsi="Arial" w:cs="Arial"/>
          <w:sz w:val="22"/>
          <w:szCs w:val="22"/>
          <w:lang w:val="en-GB"/>
        </w:rPr>
        <w:t xml:space="preserve">or creditors of </w:t>
      </w:r>
      <w:r w:rsidR="00633808" w:rsidRPr="00747C78">
        <w:rPr>
          <w:rFonts w:ascii="Arial" w:hAnsi="Arial" w:cs="Arial"/>
          <w:sz w:val="22"/>
          <w:szCs w:val="22"/>
          <w:lang w:val="en-GB"/>
        </w:rPr>
        <w:t>such a</w:t>
      </w:r>
      <w:r w:rsidR="00FE08A2" w:rsidRPr="00747C78">
        <w:rPr>
          <w:rFonts w:ascii="Arial" w:hAnsi="Arial" w:cs="Arial"/>
          <w:sz w:val="22"/>
          <w:szCs w:val="22"/>
          <w:lang w:val="en-GB"/>
        </w:rPr>
        <w:t xml:space="preserve"> company</w:t>
      </w:r>
      <w:r w:rsidR="00FE08A2">
        <w:rPr>
          <w:rFonts w:ascii="Arial" w:hAnsi="Arial" w:cs="Arial"/>
          <w:sz w:val="22"/>
          <w:szCs w:val="22"/>
          <w:lang w:val="en-GB"/>
        </w:rPr>
        <w:t xml:space="preserve">,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233DD087" w14:textId="5332B32C" w:rsidR="00747C78" w:rsidRPr="00747C78" w:rsidRDefault="00747C78" w:rsidP="00747C78">
      <w:pPr>
        <w:jc w:val="both"/>
        <w:rPr>
          <w:rFonts w:ascii="Arial" w:hAnsi="Arial" w:cs="Arial"/>
          <w:color w:val="808080" w:themeColor="background1" w:themeShade="80"/>
          <w:sz w:val="22"/>
          <w:szCs w:val="22"/>
          <w:u w:val="single"/>
          <w:lang w:val="en-GB"/>
        </w:rPr>
      </w:pPr>
      <w:r w:rsidRPr="00747C78">
        <w:rPr>
          <w:rFonts w:ascii="Arial" w:hAnsi="Arial" w:cs="Arial"/>
          <w:color w:val="808080" w:themeColor="background1" w:themeShade="80"/>
          <w:sz w:val="22"/>
          <w:szCs w:val="22"/>
          <w:u w:val="single"/>
          <w:lang w:val="en-GB"/>
        </w:rPr>
        <w:t>Holding directors accountable</w:t>
      </w:r>
    </w:p>
    <w:p w14:paraId="6FC4BE77" w14:textId="5AE1CB37" w:rsidR="008E0F8A" w:rsidRDefault="008E0F8A" w:rsidP="008E0F8A">
      <w:pPr>
        <w:pStyle w:val="ListParagraph"/>
        <w:numPr>
          <w:ilvl w:val="0"/>
          <w:numId w:val="42"/>
        </w:numPr>
        <w:jc w:val="both"/>
        <w:rPr>
          <w:rFonts w:ascii="Arial" w:hAnsi="Arial" w:cs="Arial"/>
          <w:color w:val="808080" w:themeColor="background1" w:themeShade="80"/>
          <w:sz w:val="22"/>
          <w:szCs w:val="22"/>
          <w:lang w:val="en-GB"/>
        </w:rPr>
      </w:pPr>
      <w:r w:rsidRPr="008E0F8A">
        <w:rPr>
          <w:rFonts w:ascii="Arial" w:hAnsi="Arial" w:cs="Arial"/>
          <w:color w:val="808080" w:themeColor="background1" w:themeShade="80"/>
          <w:sz w:val="22"/>
          <w:szCs w:val="22"/>
          <w:lang w:val="en-GB"/>
        </w:rPr>
        <w:t xml:space="preserve">Directors can be personally liable for any losses they cause to the company by acting in breach of their fiduciary duty to act in the company’s best interests. </w:t>
      </w:r>
    </w:p>
    <w:p w14:paraId="4983678A" w14:textId="53F907D1" w:rsidR="008E0F8A" w:rsidRDefault="008E0F8A" w:rsidP="008E0F8A">
      <w:pPr>
        <w:pStyle w:val="ListParagraph"/>
        <w:numPr>
          <w:ilvl w:val="0"/>
          <w:numId w:val="42"/>
        </w:numPr>
        <w:jc w:val="both"/>
        <w:rPr>
          <w:rFonts w:ascii="Arial" w:hAnsi="Arial" w:cs="Arial"/>
          <w:color w:val="808080" w:themeColor="background1" w:themeShade="80"/>
          <w:sz w:val="22"/>
          <w:szCs w:val="22"/>
          <w:lang w:val="en-GB"/>
        </w:rPr>
      </w:pPr>
      <w:r w:rsidRPr="008E0F8A">
        <w:rPr>
          <w:rFonts w:ascii="Arial" w:hAnsi="Arial" w:cs="Arial"/>
          <w:color w:val="808080" w:themeColor="background1" w:themeShade="80"/>
          <w:sz w:val="22"/>
          <w:szCs w:val="22"/>
          <w:lang w:val="en-GB"/>
        </w:rPr>
        <w:t xml:space="preserve">An official liquidator </w:t>
      </w:r>
      <w:r w:rsidR="005A7BF0">
        <w:rPr>
          <w:rFonts w:ascii="Arial" w:hAnsi="Arial" w:cs="Arial"/>
          <w:color w:val="808080" w:themeColor="background1" w:themeShade="80"/>
          <w:sz w:val="22"/>
          <w:szCs w:val="22"/>
          <w:lang w:val="en-GB"/>
        </w:rPr>
        <w:t>may</w:t>
      </w:r>
      <w:r w:rsidRPr="008E0F8A">
        <w:rPr>
          <w:rFonts w:ascii="Arial" w:hAnsi="Arial" w:cs="Arial"/>
          <w:color w:val="808080" w:themeColor="background1" w:themeShade="80"/>
          <w:sz w:val="22"/>
          <w:szCs w:val="22"/>
          <w:lang w:val="en-GB"/>
        </w:rPr>
        <w:t xml:space="preserve"> pursue such claims against the director in the name of the company. </w:t>
      </w:r>
    </w:p>
    <w:p w14:paraId="491CFAA3" w14:textId="3F4320EA" w:rsidR="00747C78" w:rsidRDefault="008E0F8A" w:rsidP="00747C78">
      <w:pPr>
        <w:pStyle w:val="ListParagraph"/>
        <w:numPr>
          <w:ilvl w:val="0"/>
          <w:numId w:val="42"/>
        </w:numPr>
        <w:jc w:val="both"/>
        <w:rPr>
          <w:rFonts w:ascii="Arial" w:hAnsi="Arial" w:cs="Arial"/>
          <w:color w:val="808080" w:themeColor="background1" w:themeShade="80"/>
          <w:sz w:val="22"/>
          <w:szCs w:val="22"/>
          <w:lang w:val="en-GB"/>
        </w:rPr>
      </w:pPr>
      <w:r w:rsidRPr="008E0F8A">
        <w:rPr>
          <w:rFonts w:ascii="Arial" w:hAnsi="Arial" w:cs="Arial"/>
          <w:color w:val="808080" w:themeColor="background1" w:themeShade="80"/>
          <w:sz w:val="22"/>
          <w:szCs w:val="22"/>
          <w:lang w:val="en-GB"/>
        </w:rPr>
        <w:t>In Prospect Properties v McNeil</w:t>
      </w:r>
      <w:r>
        <w:rPr>
          <w:rStyle w:val="FootnoteReference"/>
          <w:rFonts w:ascii="Arial" w:hAnsi="Arial" w:cs="Arial"/>
          <w:color w:val="808080" w:themeColor="background1" w:themeShade="80"/>
          <w:sz w:val="22"/>
          <w:szCs w:val="22"/>
          <w:lang w:val="en-GB"/>
        </w:rPr>
        <w:footnoteReference w:id="1"/>
      </w:r>
      <w:r w:rsidRPr="008E0F8A">
        <w:rPr>
          <w:rFonts w:ascii="Arial" w:hAnsi="Arial" w:cs="Arial"/>
          <w:color w:val="808080" w:themeColor="background1" w:themeShade="80"/>
          <w:sz w:val="22"/>
          <w:szCs w:val="22"/>
          <w:lang w:val="en-GB"/>
        </w:rPr>
        <w:t xml:space="preserve"> the Grand Court held that, where a company is insolvent, this fiduciary duty</w:t>
      </w:r>
      <w:r w:rsidR="005A7BF0">
        <w:rPr>
          <w:rFonts w:ascii="Arial" w:hAnsi="Arial" w:cs="Arial"/>
          <w:color w:val="808080" w:themeColor="background1" w:themeShade="80"/>
          <w:sz w:val="22"/>
          <w:szCs w:val="22"/>
          <w:lang w:val="en-GB"/>
        </w:rPr>
        <w:t xml:space="preserve"> to a company</w:t>
      </w:r>
      <w:r w:rsidRPr="008E0F8A">
        <w:rPr>
          <w:rFonts w:ascii="Arial" w:hAnsi="Arial" w:cs="Arial"/>
          <w:color w:val="808080" w:themeColor="background1" w:themeShade="80"/>
          <w:sz w:val="22"/>
          <w:szCs w:val="22"/>
          <w:lang w:val="en-GB"/>
        </w:rPr>
        <w:t xml:space="preserve"> extends to the interests of the creditors</w:t>
      </w:r>
      <w:r w:rsidR="005A7BF0">
        <w:rPr>
          <w:rFonts w:ascii="Arial" w:hAnsi="Arial" w:cs="Arial"/>
          <w:color w:val="808080" w:themeColor="background1" w:themeShade="80"/>
          <w:sz w:val="22"/>
          <w:szCs w:val="22"/>
          <w:lang w:val="en-GB"/>
        </w:rPr>
        <w:t xml:space="preserve"> as well. </w:t>
      </w:r>
    </w:p>
    <w:p w14:paraId="181BFAC3" w14:textId="188AB31F" w:rsidR="00747C78" w:rsidRPr="00747C78" w:rsidRDefault="00747C78" w:rsidP="00747C7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relation to fraudulent trading, per Section 147 of the Companies Act, if the company</w:t>
      </w:r>
      <w:r w:rsidR="005A7BF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intende</w:t>
      </w:r>
      <w:r w:rsidR="005A7BF0">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to defraud creditors, the liquidator may apply for an order requiring </w:t>
      </w:r>
      <w:r w:rsidR="005A7BF0">
        <w:rPr>
          <w:rFonts w:ascii="Arial" w:hAnsi="Arial" w:cs="Arial"/>
          <w:color w:val="808080" w:themeColor="background1" w:themeShade="80"/>
          <w:sz w:val="22"/>
          <w:szCs w:val="22"/>
          <w:lang w:val="en-GB"/>
        </w:rPr>
        <w:t>the director or a</w:t>
      </w:r>
      <w:r>
        <w:rPr>
          <w:rFonts w:ascii="Arial" w:hAnsi="Arial" w:cs="Arial"/>
          <w:color w:val="808080" w:themeColor="background1" w:themeShade="80"/>
          <w:sz w:val="22"/>
          <w:szCs w:val="22"/>
          <w:lang w:val="en-GB"/>
        </w:rPr>
        <w:t>ny</w:t>
      </w:r>
      <w:r w:rsidR="005A7BF0">
        <w:rPr>
          <w:rFonts w:ascii="Arial" w:hAnsi="Arial" w:cs="Arial"/>
          <w:color w:val="808080" w:themeColor="background1" w:themeShade="80"/>
          <w:sz w:val="22"/>
          <w:szCs w:val="22"/>
          <w:lang w:val="en-GB"/>
        </w:rPr>
        <w:t xml:space="preserve"> other</w:t>
      </w:r>
      <w:r>
        <w:rPr>
          <w:rFonts w:ascii="Arial" w:hAnsi="Arial" w:cs="Arial"/>
          <w:color w:val="808080" w:themeColor="background1" w:themeShade="80"/>
          <w:sz w:val="22"/>
          <w:szCs w:val="22"/>
          <w:lang w:val="en-GB"/>
        </w:rPr>
        <w:t xml:space="preserve"> persons</w:t>
      </w:r>
      <w:r w:rsidR="005A7BF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if they were knowing parties</w:t>
      </w:r>
      <w:r w:rsidR="005A7BF0">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to repay the company for its losses, or </w:t>
      </w:r>
      <w:r w:rsidR="005A7BF0">
        <w:rPr>
          <w:rFonts w:ascii="Arial" w:hAnsi="Arial" w:cs="Arial"/>
          <w:color w:val="808080" w:themeColor="background1" w:themeShade="80"/>
          <w:sz w:val="22"/>
          <w:szCs w:val="22"/>
          <w:lang w:val="en-GB"/>
        </w:rPr>
        <w:t xml:space="preserve">order </w:t>
      </w:r>
      <w:r>
        <w:rPr>
          <w:rFonts w:ascii="Arial" w:hAnsi="Arial" w:cs="Arial"/>
          <w:color w:val="808080" w:themeColor="background1" w:themeShade="80"/>
          <w:sz w:val="22"/>
          <w:szCs w:val="22"/>
          <w:lang w:val="en-GB"/>
        </w:rPr>
        <w:t xml:space="preserve">otherwise as the Grand Court thinks fit. </w:t>
      </w:r>
    </w:p>
    <w:p w14:paraId="525B6488" w14:textId="5B108E1A" w:rsidR="008E0F8A" w:rsidRDefault="008E0F8A" w:rsidP="008E0F8A">
      <w:pPr>
        <w:jc w:val="both"/>
        <w:rPr>
          <w:rFonts w:ascii="Arial" w:hAnsi="Arial" w:cs="Arial"/>
          <w:color w:val="808080" w:themeColor="background1" w:themeShade="80"/>
          <w:sz w:val="22"/>
          <w:szCs w:val="22"/>
          <w:lang w:val="en-GB"/>
        </w:rPr>
      </w:pPr>
    </w:p>
    <w:p w14:paraId="25286399" w14:textId="3DCFAD99" w:rsidR="00747C78" w:rsidRPr="00747C78" w:rsidRDefault="00747C78" w:rsidP="008E0F8A">
      <w:pPr>
        <w:jc w:val="both"/>
        <w:rPr>
          <w:rFonts w:ascii="Arial" w:hAnsi="Arial" w:cs="Arial"/>
          <w:color w:val="808080" w:themeColor="background1" w:themeShade="80"/>
          <w:sz w:val="22"/>
          <w:szCs w:val="22"/>
          <w:u w:val="single"/>
          <w:lang w:val="en-GB"/>
        </w:rPr>
      </w:pPr>
      <w:r w:rsidRPr="00747C78">
        <w:rPr>
          <w:rFonts w:ascii="Arial" w:hAnsi="Arial" w:cs="Arial"/>
          <w:color w:val="808080" w:themeColor="background1" w:themeShade="80"/>
          <w:sz w:val="22"/>
          <w:szCs w:val="22"/>
          <w:u w:val="single"/>
          <w:lang w:val="en-GB"/>
        </w:rPr>
        <w:t xml:space="preserve">Claw </w:t>
      </w:r>
      <w:r w:rsidR="005A7BF0">
        <w:rPr>
          <w:rFonts w:ascii="Arial" w:hAnsi="Arial" w:cs="Arial"/>
          <w:color w:val="808080" w:themeColor="background1" w:themeShade="80"/>
          <w:sz w:val="22"/>
          <w:szCs w:val="22"/>
          <w:u w:val="single"/>
          <w:lang w:val="en-GB"/>
        </w:rPr>
        <w:t>b</w:t>
      </w:r>
      <w:r w:rsidRPr="00747C78">
        <w:rPr>
          <w:rFonts w:ascii="Arial" w:hAnsi="Arial" w:cs="Arial"/>
          <w:color w:val="808080" w:themeColor="background1" w:themeShade="80"/>
          <w:sz w:val="22"/>
          <w:szCs w:val="22"/>
          <w:u w:val="single"/>
          <w:lang w:val="en-GB"/>
        </w:rPr>
        <w:t>ack from creditors</w:t>
      </w:r>
    </w:p>
    <w:p w14:paraId="3D98B03F" w14:textId="77777777" w:rsidR="006F0ED4" w:rsidRDefault="008E0F8A" w:rsidP="006F0ED4">
      <w:pPr>
        <w:pStyle w:val="ListParagraph"/>
        <w:numPr>
          <w:ilvl w:val="0"/>
          <w:numId w:val="42"/>
        </w:numPr>
        <w:jc w:val="both"/>
        <w:rPr>
          <w:rFonts w:ascii="Arial" w:hAnsi="Arial" w:cs="Arial"/>
          <w:color w:val="808080" w:themeColor="background1" w:themeShade="80"/>
          <w:sz w:val="22"/>
          <w:szCs w:val="22"/>
          <w:lang w:val="en-GB"/>
        </w:rPr>
      </w:pPr>
      <w:r w:rsidRPr="006F0ED4">
        <w:rPr>
          <w:rFonts w:ascii="Arial" w:hAnsi="Arial" w:cs="Arial"/>
          <w:color w:val="808080" w:themeColor="background1" w:themeShade="80"/>
          <w:sz w:val="22"/>
          <w:szCs w:val="22"/>
          <w:lang w:val="en-GB"/>
        </w:rPr>
        <w:t xml:space="preserve">If </w:t>
      </w:r>
      <w:r w:rsidR="006F0ED4" w:rsidRPr="006F0ED4">
        <w:rPr>
          <w:rFonts w:ascii="Arial" w:hAnsi="Arial" w:cs="Arial"/>
          <w:color w:val="808080" w:themeColor="background1" w:themeShade="80"/>
          <w:sz w:val="22"/>
          <w:szCs w:val="22"/>
          <w:lang w:val="en-GB"/>
        </w:rPr>
        <w:t>the company is placed into official liquidation, and there was a disposition of the company’s property after the ‘deemed’ commencement of the winding-up (</w:t>
      </w:r>
      <w:proofErr w:type="gramStart"/>
      <w:r w:rsidR="006F0ED4" w:rsidRPr="006F0ED4">
        <w:rPr>
          <w:rFonts w:ascii="Arial" w:hAnsi="Arial" w:cs="Arial"/>
          <w:color w:val="808080" w:themeColor="background1" w:themeShade="80"/>
          <w:sz w:val="22"/>
          <w:szCs w:val="22"/>
          <w:lang w:val="en-GB"/>
        </w:rPr>
        <w:t>e.g.</w:t>
      </w:r>
      <w:proofErr w:type="gramEnd"/>
      <w:r w:rsidR="006F0ED4" w:rsidRPr="006F0ED4">
        <w:rPr>
          <w:rFonts w:ascii="Arial" w:hAnsi="Arial" w:cs="Arial"/>
          <w:color w:val="808080" w:themeColor="background1" w:themeShade="80"/>
          <w:sz w:val="22"/>
          <w:szCs w:val="22"/>
          <w:lang w:val="en-GB"/>
        </w:rPr>
        <w:t xml:space="preserve"> date of filing of the petition), this transaction will be void and the liquidator is entitled to apply for relief to require the repayment of funds or the return of the asset. </w:t>
      </w:r>
    </w:p>
    <w:p w14:paraId="412EE5F2" w14:textId="0431AF31" w:rsidR="006F0ED4" w:rsidRPr="006F0ED4" w:rsidRDefault="006F0ED4" w:rsidP="006F0ED4">
      <w:pPr>
        <w:pStyle w:val="ListParagraph"/>
        <w:numPr>
          <w:ilvl w:val="0"/>
          <w:numId w:val="42"/>
        </w:numPr>
        <w:jc w:val="both"/>
        <w:rPr>
          <w:rFonts w:ascii="Arial" w:hAnsi="Arial" w:cs="Arial"/>
          <w:color w:val="808080" w:themeColor="background1" w:themeShade="80"/>
          <w:sz w:val="22"/>
          <w:szCs w:val="22"/>
          <w:lang w:val="en-GB"/>
        </w:rPr>
      </w:pPr>
      <w:r w:rsidRPr="006F0ED4">
        <w:rPr>
          <w:rFonts w:ascii="Arial" w:hAnsi="Arial" w:cs="Arial"/>
          <w:color w:val="808080" w:themeColor="background1" w:themeShade="80"/>
          <w:sz w:val="22"/>
          <w:szCs w:val="22"/>
          <w:lang w:val="en-GB"/>
        </w:rPr>
        <w:t>Further, if the disposition of property occurs in the six months before the deemed commencement date, the transaction may be a voidable preference only if</w:t>
      </w:r>
      <w:r>
        <w:rPr>
          <w:rStyle w:val="FootnoteReference"/>
          <w:rFonts w:ascii="Arial" w:hAnsi="Arial" w:cs="Arial"/>
          <w:color w:val="808080" w:themeColor="background1" w:themeShade="80"/>
          <w:sz w:val="22"/>
          <w:szCs w:val="22"/>
          <w:lang w:val="en-GB"/>
        </w:rPr>
        <w:footnoteReference w:id="2"/>
      </w:r>
      <w:r w:rsidRPr="006F0ED4">
        <w:rPr>
          <w:rFonts w:ascii="Arial" w:hAnsi="Arial" w:cs="Arial"/>
          <w:color w:val="808080" w:themeColor="background1" w:themeShade="80"/>
          <w:sz w:val="22"/>
          <w:szCs w:val="22"/>
          <w:lang w:val="en-GB"/>
        </w:rPr>
        <w:t>:</w:t>
      </w:r>
    </w:p>
    <w:p w14:paraId="263DD85E" w14:textId="2AC03C78" w:rsidR="006F0ED4" w:rsidRDefault="006F0ED4" w:rsidP="006F0E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transaction </w:t>
      </w:r>
      <w:r w:rsidR="00747C78">
        <w:rPr>
          <w:rFonts w:ascii="Arial" w:hAnsi="Arial" w:cs="Arial"/>
          <w:color w:val="808080" w:themeColor="background1" w:themeShade="80"/>
          <w:sz w:val="22"/>
          <w:szCs w:val="22"/>
          <w:lang w:val="en-GB"/>
        </w:rPr>
        <w:t xml:space="preserve">also </w:t>
      </w:r>
      <w:r>
        <w:rPr>
          <w:rFonts w:ascii="Arial" w:hAnsi="Arial" w:cs="Arial"/>
          <w:color w:val="808080" w:themeColor="background1" w:themeShade="80"/>
          <w:sz w:val="22"/>
          <w:szCs w:val="22"/>
          <w:lang w:val="en-GB"/>
        </w:rPr>
        <w:t>occurred at a time when the company was unable to pay its debts; and</w:t>
      </w:r>
    </w:p>
    <w:p w14:paraId="05FEA14D" w14:textId="36B60E9B" w:rsidR="006F0ED4" w:rsidRDefault="006F0ED4" w:rsidP="006F0E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director’s dominant intention was to give the creditor a preference by making the payment. </w:t>
      </w:r>
      <w:proofErr w:type="gramStart"/>
      <w:r>
        <w:rPr>
          <w:rFonts w:ascii="Arial" w:hAnsi="Arial" w:cs="Arial"/>
          <w:color w:val="808080" w:themeColor="background1" w:themeShade="80"/>
          <w:sz w:val="22"/>
          <w:szCs w:val="22"/>
          <w:lang w:val="en-GB"/>
        </w:rPr>
        <w:t>E.g.</w:t>
      </w:r>
      <w:proofErr w:type="gramEnd"/>
      <w:r>
        <w:rPr>
          <w:rFonts w:ascii="Arial" w:hAnsi="Arial" w:cs="Arial"/>
          <w:color w:val="808080" w:themeColor="background1" w:themeShade="80"/>
          <w:sz w:val="22"/>
          <w:szCs w:val="22"/>
          <w:lang w:val="en-GB"/>
        </w:rPr>
        <w:t xml:space="preserve"> can not simply be a payment to an essential service provider. </w:t>
      </w:r>
    </w:p>
    <w:p w14:paraId="13133C3A" w14:textId="2AD5F297" w:rsidR="006F0ED4" w:rsidRDefault="006F0ED4" w:rsidP="006F0ED4">
      <w:pPr>
        <w:pStyle w:val="ListParagraph"/>
        <w:numPr>
          <w:ilvl w:val="0"/>
          <w:numId w:val="44"/>
        </w:numPr>
        <w:jc w:val="both"/>
        <w:rPr>
          <w:rFonts w:ascii="Arial" w:hAnsi="Arial" w:cs="Arial"/>
          <w:color w:val="808080" w:themeColor="background1" w:themeShade="80"/>
          <w:sz w:val="22"/>
          <w:szCs w:val="22"/>
          <w:lang w:val="en-GB"/>
        </w:rPr>
      </w:pPr>
      <w:r w:rsidRPr="006F0ED4">
        <w:rPr>
          <w:rFonts w:ascii="Arial" w:hAnsi="Arial" w:cs="Arial"/>
          <w:color w:val="808080" w:themeColor="background1" w:themeShade="80"/>
          <w:sz w:val="22"/>
          <w:szCs w:val="22"/>
          <w:lang w:val="en-GB"/>
        </w:rPr>
        <w:t>Fur</w:t>
      </w:r>
      <w:r>
        <w:rPr>
          <w:rFonts w:ascii="Arial" w:hAnsi="Arial" w:cs="Arial"/>
          <w:color w:val="808080" w:themeColor="background1" w:themeShade="80"/>
          <w:sz w:val="22"/>
          <w:szCs w:val="22"/>
          <w:lang w:val="en-GB"/>
        </w:rPr>
        <w:t xml:space="preserve">ther, if this preference was made to a related party, this is automatically deemed to have satisfied the ‘giving the creditor a preference’ intention. </w:t>
      </w:r>
    </w:p>
    <w:p w14:paraId="103BC261" w14:textId="77777777" w:rsidR="008C137B" w:rsidRDefault="006F0ED4" w:rsidP="008C137B">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 would need to apply to the Grand Court to order the return of the funds from the creditor, who may then submit a proof of debt. </w:t>
      </w:r>
    </w:p>
    <w:p w14:paraId="7278445F" w14:textId="77777777" w:rsidR="008C137B" w:rsidRDefault="00747C78" w:rsidP="008C137B">
      <w:pPr>
        <w:pStyle w:val="ListParagraph"/>
        <w:numPr>
          <w:ilvl w:val="0"/>
          <w:numId w:val="44"/>
        </w:numPr>
        <w:jc w:val="both"/>
        <w:rPr>
          <w:rFonts w:ascii="Arial" w:hAnsi="Arial" w:cs="Arial"/>
          <w:color w:val="808080" w:themeColor="background1" w:themeShade="80"/>
          <w:sz w:val="22"/>
          <w:szCs w:val="22"/>
          <w:lang w:val="en-GB"/>
        </w:rPr>
      </w:pPr>
      <w:r w:rsidRPr="008C137B">
        <w:rPr>
          <w:rFonts w:ascii="Arial" w:hAnsi="Arial" w:cs="Arial"/>
          <w:color w:val="808080" w:themeColor="background1" w:themeShade="80"/>
          <w:sz w:val="22"/>
          <w:szCs w:val="22"/>
          <w:lang w:val="en-GB"/>
        </w:rPr>
        <w:t xml:space="preserve">In addition, if the disposition of property was at an undervalue, it may be voidable on applicable to the Grand Court by a liquidator per section 146 of the Companies Act. </w:t>
      </w:r>
    </w:p>
    <w:p w14:paraId="7435AC7B" w14:textId="77777777" w:rsidR="008C137B" w:rsidRDefault="008C137B" w:rsidP="008C137B">
      <w:pPr>
        <w:jc w:val="both"/>
        <w:rPr>
          <w:rFonts w:ascii="Arial" w:hAnsi="Arial" w:cs="Arial"/>
          <w:color w:val="808080" w:themeColor="background1" w:themeShade="80"/>
          <w:sz w:val="22"/>
          <w:szCs w:val="22"/>
          <w:lang w:val="en-GB"/>
        </w:rPr>
      </w:pPr>
    </w:p>
    <w:p w14:paraId="6F724901" w14:textId="0B59E924" w:rsidR="00D17FDC" w:rsidRPr="008C137B" w:rsidRDefault="008C137B" w:rsidP="008C137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general note to the above, </w:t>
      </w:r>
      <w:r w:rsidR="00747C78" w:rsidRPr="008C137B">
        <w:rPr>
          <w:rFonts w:ascii="Arial" w:hAnsi="Arial" w:cs="Arial"/>
          <w:color w:val="808080" w:themeColor="background1" w:themeShade="80"/>
          <w:sz w:val="22"/>
          <w:szCs w:val="22"/>
          <w:lang w:val="en-GB"/>
        </w:rPr>
        <w:t>Section 146 and 147 of the Companies Act</w:t>
      </w:r>
      <w:r>
        <w:rPr>
          <w:rFonts w:ascii="Arial" w:hAnsi="Arial" w:cs="Arial"/>
          <w:color w:val="808080" w:themeColor="background1" w:themeShade="80"/>
          <w:sz w:val="22"/>
          <w:szCs w:val="22"/>
          <w:lang w:val="en-GB"/>
        </w:rPr>
        <w:t xml:space="preserve">, </w:t>
      </w:r>
      <w:r w:rsidR="00747C78" w:rsidRPr="008C137B">
        <w:rPr>
          <w:rFonts w:ascii="Arial" w:hAnsi="Arial" w:cs="Arial"/>
          <w:color w:val="808080" w:themeColor="background1" w:themeShade="80"/>
          <w:sz w:val="22"/>
          <w:szCs w:val="22"/>
          <w:lang w:val="en-GB"/>
        </w:rPr>
        <w:t xml:space="preserve">are liquidator’s actions only and are not powers which are available to the company’s creditors or shareholders to pursue. </w:t>
      </w:r>
    </w:p>
    <w:p w14:paraId="633F7CD6" w14:textId="15A4F8B5" w:rsidR="00924973" w:rsidRDefault="00924973" w:rsidP="002A37BB">
      <w:pPr>
        <w:jc w:val="both"/>
        <w:rPr>
          <w:rFonts w:ascii="Arial" w:hAnsi="Arial" w:cs="Arial"/>
          <w:sz w:val="22"/>
          <w:szCs w:val="22"/>
          <w:shd w:val="clear" w:color="auto" w:fill="FFFFFF"/>
        </w:rPr>
      </w:pPr>
    </w:p>
    <w:p w14:paraId="74E5FEDC" w14:textId="0AE3F810" w:rsidR="00924973" w:rsidRDefault="00924973" w:rsidP="002A37BB">
      <w:pPr>
        <w:jc w:val="both"/>
        <w:rPr>
          <w:rFonts w:ascii="Arial" w:hAnsi="Arial" w:cs="Arial"/>
          <w:sz w:val="22"/>
          <w:szCs w:val="22"/>
          <w:shd w:val="clear" w:color="auto" w:fill="FFFFFF"/>
        </w:rPr>
      </w:pPr>
    </w:p>
    <w:p w14:paraId="66B0218D" w14:textId="77777777" w:rsidR="008C137B" w:rsidRDefault="008C137B"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3FBD817A" w14:textId="5B1BE201" w:rsidR="0054422D" w:rsidRDefault="006F0ED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This is incorrect.</w:t>
      </w:r>
      <w:r w:rsidR="00C52A85">
        <w:rPr>
          <w:rFonts w:ascii="Arial" w:hAnsi="Arial" w:cs="Arial"/>
          <w:color w:val="808080" w:themeColor="background1" w:themeShade="80"/>
          <w:sz w:val="22"/>
          <w:szCs w:val="22"/>
          <w:lang w:val="en-GB"/>
        </w:rPr>
        <w:t xml:space="preserve"> Whilst Receivers are not mentioned in the Cayman Islands </w:t>
      </w:r>
      <w:r w:rsidR="0054422D">
        <w:rPr>
          <w:rFonts w:ascii="Arial" w:hAnsi="Arial" w:cs="Arial"/>
          <w:color w:val="808080" w:themeColor="background1" w:themeShade="80"/>
          <w:sz w:val="22"/>
          <w:szCs w:val="22"/>
          <w:lang w:val="en-GB"/>
        </w:rPr>
        <w:t>statutory provisions dealing with insolvency, being the Companies Act and the Cayman Winding Up Rules, Receivers may be appointed by the Grand Court as indicated in the Grand Court Rules</w:t>
      </w:r>
      <w:r w:rsidR="00B4318C">
        <w:rPr>
          <w:rFonts w:ascii="Arial" w:hAnsi="Arial" w:cs="Arial"/>
          <w:color w:val="808080" w:themeColor="background1" w:themeShade="80"/>
          <w:sz w:val="22"/>
          <w:szCs w:val="22"/>
          <w:lang w:val="en-GB"/>
        </w:rPr>
        <w:t xml:space="preserve"> (“</w:t>
      </w:r>
      <w:r w:rsidR="00B4318C" w:rsidRPr="00B4318C">
        <w:rPr>
          <w:rFonts w:ascii="Arial" w:hAnsi="Arial" w:cs="Arial"/>
          <w:b/>
          <w:bCs/>
          <w:color w:val="808080" w:themeColor="background1" w:themeShade="80"/>
          <w:sz w:val="22"/>
          <w:szCs w:val="22"/>
          <w:lang w:val="en-GB"/>
        </w:rPr>
        <w:t>GCR</w:t>
      </w:r>
      <w:r w:rsidR="00B4318C">
        <w:rPr>
          <w:rFonts w:ascii="Arial" w:hAnsi="Arial" w:cs="Arial"/>
          <w:color w:val="808080" w:themeColor="background1" w:themeShade="80"/>
          <w:sz w:val="22"/>
          <w:szCs w:val="22"/>
          <w:lang w:val="en-GB"/>
        </w:rPr>
        <w:t>”)</w:t>
      </w:r>
      <w:r w:rsidR="0054422D">
        <w:rPr>
          <w:rFonts w:ascii="Arial" w:hAnsi="Arial" w:cs="Arial"/>
          <w:color w:val="808080" w:themeColor="background1" w:themeShade="80"/>
          <w:sz w:val="22"/>
          <w:szCs w:val="22"/>
          <w:lang w:val="en-GB"/>
        </w:rPr>
        <w:t>:</w:t>
      </w:r>
    </w:p>
    <w:p w14:paraId="622E8363" w14:textId="4C23A784" w:rsidR="0054422D" w:rsidRDefault="0054422D" w:rsidP="0054422D">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Order 30 GCR – appointment and duties of receivers generally.</w:t>
      </w:r>
    </w:p>
    <w:p w14:paraId="0EDE3F9C" w14:textId="2AD8ECCC" w:rsidR="0054422D" w:rsidRDefault="0054422D" w:rsidP="0054422D">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Order 45 GCR – appointment of receivers to enforce court orders for payment of money.</w:t>
      </w:r>
    </w:p>
    <w:p w14:paraId="7FB3F46B" w14:textId="5F011B0F" w:rsidR="0054422D" w:rsidRPr="0054422D" w:rsidRDefault="0054422D" w:rsidP="0054422D">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Order 51 GCR – appointment of receivers by way of equitable execution.</w:t>
      </w:r>
    </w:p>
    <w:p w14:paraId="48EB48C1" w14:textId="77777777" w:rsidR="0054422D" w:rsidRDefault="0054422D" w:rsidP="00E4294D">
      <w:pPr>
        <w:jc w:val="both"/>
        <w:rPr>
          <w:rFonts w:ascii="Arial" w:hAnsi="Arial" w:cs="Arial"/>
          <w:color w:val="808080" w:themeColor="background1" w:themeShade="80"/>
          <w:sz w:val="22"/>
          <w:szCs w:val="22"/>
          <w:lang w:val="en-GB"/>
        </w:rPr>
      </w:pPr>
    </w:p>
    <w:p w14:paraId="206FEF00" w14:textId="1743BBE2" w:rsidR="0054422D" w:rsidRDefault="0054422D" w:rsidP="00E4294D">
      <w:pPr>
        <w:jc w:val="both"/>
        <w:rPr>
          <w:rFonts w:ascii="Arial" w:hAnsi="Arial" w:cs="Arial"/>
          <w:color w:val="808080" w:themeColor="background1" w:themeShade="80"/>
          <w:sz w:val="22"/>
          <w:szCs w:val="22"/>
          <w:u w:val="single"/>
          <w:lang w:val="en-GB"/>
        </w:rPr>
      </w:pPr>
      <w:r w:rsidRPr="0054422D">
        <w:rPr>
          <w:rFonts w:ascii="Arial" w:hAnsi="Arial" w:cs="Arial"/>
          <w:color w:val="808080" w:themeColor="background1" w:themeShade="80"/>
          <w:sz w:val="22"/>
          <w:szCs w:val="22"/>
          <w:u w:val="single"/>
          <w:lang w:val="en-GB"/>
        </w:rPr>
        <w:t>SPC</w:t>
      </w:r>
    </w:p>
    <w:p w14:paraId="1C8B95A2" w14:textId="77777777" w:rsidR="0054422D" w:rsidRPr="0054422D" w:rsidRDefault="0054422D" w:rsidP="00E4294D">
      <w:pPr>
        <w:jc w:val="both"/>
        <w:rPr>
          <w:rFonts w:ascii="Arial" w:hAnsi="Arial" w:cs="Arial"/>
          <w:color w:val="808080" w:themeColor="background1" w:themeShade="80"/>
          <w:sz w:val="22"/>
          <w:szCs w:val="22"/>
          <w:u w:val="single"/>
          <w:lang w:val="en-GB"/>
        </w:rPr>
      </w:pPr>
    </w:p>
    <w:p w14:paraId="0847CADA" w14:textId="65773306" w:rsidR="00E4294D" w:rsidRDefault="006F0ED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 segregated portfolio company (“</w:t>
      </w:r>
      <w:r w:rsidRPr="006F0ED4">
        <w:rPr>
          <w:rFonts w:ascii="Arial" w:hAnsi="Arial" w:cs="Arial"/>
          <w:b/>
          <w:bCs/>
          <w:color w:val="808080" w:themeColor="background1" w:themeShade="80"/>
          <w:sz w:val="22"/>
          <w:szCs w:val="22"/>
          <w:lang w:val="en-GB"/>
        </w:rPr>
        <w:t>SPC</w:t>
      </w:r>
      <w:r>
        <w:rPr>
          <w:rFonts w:ascii="Arial" w:hAnsi="Arial" w:cs="Arial"/>
          <w:color w:val="808080" w:themeColor="background1" w:themeShade="80"/>
          <w:sz w:val="22"/>
          <w:szCs w:val="22"/>
          <w:lang w:val="en-GB"/>
        </w:rPr>
        <w:t>”) has an insolvent segregated portfolio (</w:t>
      </w:r>
      <w:r w:rsidR="0054422D">
        <w:rPr>
          <w:rFonts w:ascii="Arial" w:hAnsi="Arial" w:cs="Arial"/>
          <w:color w:val="808080" w:themeColor="background1" w:themeShade="80"/>
          <w:sz w:val="22"/>
          <w:szCs w:val="22"/>
          <w:lang w:val="en-GB"/>
        </w:rPr>
        <w:t>“</w:t>
      </w:r>
      <w:r w:rsidRPr="0054422D">
        <w:rPr>
          <w:rFonts w:ascii="Arial" w:hAnsi="Arial" w:cs="Arial"/>
          <w:b/>
          <w:bCs/>
          <w:color w:val="808080" w:themeColor="background1" w:themeShade="80"/>
          <w:sz w:val="22"/>
          <w:szCs w:val="22"/>
          <w:lang w:val="en-GB"/>
        </w:rPr>
        <w:t>SP</w:t>
      </w:r>
      <w:r w:rsidR="0054422D">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w:t>
      </w:r>
      <w:r w:rsidR="0054422D">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54422D">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 xml:space="preserve"> receiver must be appointed by the Cayman court to </w:t>
      </w:r>
      <w:r w:rsidR="0054422D">
        <w:rPr>
          <w:rFonts w:ascii="Arial" w:hAnsi="Arial" w:cs="Arial"/>
          <w:color w:val="808080" w:themeColor="background1" w:themeShade="80"/>
          <w:sz w:val="22"/>
          <w:szCs w:val="22"/>
          <w:lang w:val="en-GB"/>
        </w:rPr>
        <w:t xml:space="preserve">close down the business of the SP and distribute the SPs assets – </w:t>
      </w:r>
      <w:proofErr w:type="gramStart"/>
      <w:r w:rsidR="0054422D">
        <w:rPr>
          <w:rFonts w:ascii="Arial" w:hAnsi="Arial" w:cs="Arial"/>
          <w:color w:val="808080" w:themeColor="background1" w:themeShade="80"/>
          <w:sz w:val="22"/>
          <w:szCs w:val="22"/>
          <w:lang w:val="en-GB"/>
        </w:rPr>
        <w:t>i.e.</w:t>
      </w:r>
      <w:proofErr w:type="gramEnd"/>
      <w:r w:rsidR="0054422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winddown the SP</w:t>
      </w:r>
      <w:r w:rsidR="0054422D">
        <w:rPr>
          <w:rFonts w:ascii="Arial" w:hAnsi="Arial" w:cs="Arial"/>
          <w:color w:val="808080" w:themeColor="background1" w:themeShade="80"/>
          <w:sz w:val="22"/>
          <w:szCs w:val="22"/>
          <w:lang w:val="en-GB"/>
        </w:rPr>
        <w:t xml:space="preserve"> in a similar manner to an official liquidator. Also in a similar manner, the SPC director will have no powers in relation to the specific SP once a receiver is appointed. </w:t>
      </w:r>
    </w:p>
    <w:p w14:paraId="28ED6704" w14:textId="3695C544" w:rsidR="0054422D" w:rsidRDefault="0054422D" w:rsidP="00E4294D">
      <w:pPr>
        <w:jc w:val="both"/>
        <w:rPr>
          <w:rFonts w:ascii="Arial" w:hAnsi="Arial" w:cs="Arial"/>
          <w:color w:val="808080" w:themeColor="background1" w:themeShade="80"/>
          <w:sz w:val="22"/>
          <w:szCs w:val="22"/>
          <w:lang w:val="en-GB"/>
        </w:rPr>
      </w:pPr>
    </w:p>
    <w:p w14:paraId="2ABDA01D" w14:textId="248453A1" w:rsidR="0054422D" w:rsidRPr="0054422D" w:rsidRDefault="0054422D" w:rsidP="00E4294D">
      <w:pPr>
        <w:jc w:val="both"/>
        <w:rPr>
          <w:rFonts w:ascii="Arial" w:hAnsi="Arial" w:cs="Arial"/>
          <w:color w:val="808080" w:themeColor="background1" w:themeShade="80"/>
          <w:sz w:val="22"/>
          <w:szCs w:val="22"/>
          <w:u w:val="single"/>
          <w:lang w:val="en-GB"/>
        </w:rPr>
      </w:pPr>
      <w:r w:rsidRPr="0054422D">
        <w:rPr>
          <w:rFonts w:ascii="Arial" w:hAnsi="Arial" w:cs="Arial"/>
          <w:color w:val="808080" w:themeColor="background1" w:themeShade="80"/>
          <w:sz w:val="22"/>
          <w:szCs w:val="22"/>
          <w:u w:val="single"/>
          <w:lang w:val="en-GB"/>
        </w:rPr>
        <w:t>Security Instrument</w:t>
      </w:r>
    </w:p>
    <w:p w14:paraId="3C5801A4" w14:textId="77777777" w:rsidR="0054422D" w:rsidRDefault="0054422D" w:rsidP="00E4294D">
      <w:pPr>
        <w:jc w:val="both"/>
        <w:rPr>
          <w:rFonts w:ascii="Arial" w:hAnsi="Arial" w:cs="Arial"/>
          <w:color w:val="808080" w:themeColor="background1" w:themeShade="80"/>
          <w:sz w:val="22"/>
          <w:szCs w:val="22"/>
          <w:lang w:val="en-GB"/>
        </w:rPr>
      </w:pPr>
    </w:p>
    <w:p w14:paraId="2537A526" w14:textId="2448F1A7" w:rsidR="0054422D" w:rsidRPr="00AB0E3A" w:rsidRDefault="0054422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receivership </w:t>
      </w:r>
      <w:r w:rsidR="00B4318C">
        <w:rPr>
          <w:rFonts w:ascii="Arial" w:hAnsi="Arial" w:cs="Arial"/>
          <w:color w:val="808080" w:themeColor="background1" w:themeShade="80"/>
          <w:sz w:val="22"/>
          <w:szCs w:val="22"/>
          <w:lang w:val="en-GB"/>
        </w:rPr>
        <w:t>appointment may also be used by</w:t>
      </w:r>
      <w:r>
        <w:rPr>
          <w:rFonts w:ascii="Arial" w:hAnsi="Arial" w:cs="Arial"/>
          <w:color w:val="808080" w:themeColor="background1" w:themeShade="80"/>
          <w:sz w:val="22"/>
          <w:szCs w:val="22"/>
          <w:lang w:val="en-GB"/>
        </w:rPr>
        <w:t xml:space="preserve"> secured lenders when a debtor has defaulted. Under the term of the loan/security documents, a lender can often appoint an insolvency practitioner to act as a </w:t>
      </w:r>
      <w:r w:rsidR="00B4318C">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eceiver of a specific asset (or a whole entity) for the purposes of repaying the secured debt via the realisation of such asset. The Receivers powers are more specifically set out in the mortgage document and will typically include a right of sale. The </w:t>
      </w:r>
      <w:r w:rsidR="00B4318C">
        <w:rPr>
          <w:rFonts w:ascii="Arial" w:hAnsi="Arial" w:cs="Arial"/>
          <w:color w:val="808080" w:themeColor="background1" w:themeShade="80"/>
          <w:sz w:val="22"/>
          <w:szCs w:val="22"/>
          <w:lang w:val="en-GB"/>
        </w:rPr>
        <w:t>appointed r</w:t>
      </w:r>
      <w:r>
        <w:rPr>
          <w:rFonts w:ascii="Arial" w:hAnsi="Arial" w:cs="Arial"/>
          <w:color w:val="808080" w:themeColor="background1" w:themeShade="80"/>
          <w:sz w:val="22"/>
          <w:szCs w:val="22"/>
          <w:lang w:val="en-GB"/>
        </w:rPr>
        <w:t xml:space="preserve">eceiver is an agent of the creditor/lender and owes its duties to them, rather than the court or the debtor. </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3E9B3413"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0B0F0B">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w:t>
      </w:r>
      <w:r w:rsidR="00EE425D">
        <w:rPr>
          <w:rFonts w:ascii="Arial" w:hAnsi="Arial" w:cs="Arial"/>
          <w:sz w:val="22"/>
          <w:szCs w:val="22"/>
          <w:lang w:val="en-GB"/>
        </w:rPr>
        <w:lastRenderedPageBreak/>
        <w:t xml:space="preserve">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188C143A"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50F0A9BF" w14:textId="3BACD276" w:rsidR="001435B5" w:rsidRDefault="001435B5" w:rsidP="001435B5">
      <w:pPr>
        <w:pStyle w:val="ListParagraph"/>
        <w:ind w:left="426"/>
        <w:jc w:val="both"/>
        <w:rPr>
          <w:rFonts w:ascii="Arial" w:hAnsi="Arial" w:cs="Arial"/>
          <w:sz w:val="22"/>
          <w:szCs w:val="22"/>
          <w:lang w:val="en-GB"/>
        </w:rPr>
      </w:pPr>
    </w:p>
    <w:p w14:paraId="7012DD0B" w14:textId="00450B35" w:rsidR="001435B5" w:rsidRPr="001435B5" w:rsidRDefault="001435B5" w:rsidP="001435B5">
      <w:pPr>
        <w:pStyle w:val="ListParagraph"/>
        <w:numPr>
          <w:ilvl w:val="0"/>
          <w:numId w:val="46"/>
        </w:numPr>
        <w:jc w:val="both"/>
        <w:rPr>
          <w:rFonts w:ascii="Arial" w:hAnsi="Arial" w:cs="Arial"/>
          <w:color w:val="808080" w:themeColor="background1" w:themeShade="80"/>
          <w:sz w:val="22"/>
          <w:szCs w:val="22"/>
          <w:lang w:val="en-GB"/>
        </w:rPr>
      </w:pPr>
      <w:r w:rsidRPr="001435B5">
        <w:rPr>
          <w:rFonts w:ascii="Arial" w:hAnsi="Arial" w:cs="Arial"/>
          <w:color w:val="808080" w:themeColor="background1" w:themeShade="80"/>
          <w:sz w:val="22"/>
          <w:szCs w:val="22"/>
          <w:lang w:val="en-GB"/>
        </w:rPr>
        <w:t xml:space="preserve">Register its security interest </w:t>
      </w:r>
      <w:r w:rsidR="000B0F0B">
        <w:rPr>
          <w:rFonts w:ascii="Arial" w:hAnsi="Arial" w:cs="Arial"/>
          <w:color w:val="808080" w:themeColor="background1" w:themeShade="80"/>
          <w:sz w:val="22"/>
          <w:szCs w:val="22"/>
          <w:lang w:val="en-GB"/>
        </w:rPr>
        <w:t>as</w:t>
      </w:r>
      <w:r w:rsidRPr="001435B5">
        <w:rPr>
          <w:rFonts w:ascii="Arial" w:hAnsi="Arial" w:cs="Arial"/>
          <w:color w:val="808080" w:themeColor="background1" w:themeShade="80"/>
          <w:sz w:val="22"/>
          <w:szCs w:val="22"/>
          <w:lang w:val="en-GB"/>
        </w:rPr>
        <w:t xml:space="preserve"> Sparrow lent S&amp;C USD 200 million and of this, USD 80 million, is secured by a mortgage over four of S&amp;C’s largest party boats. </w:t>
      </w:r>
    </w:p>
    <w:p w14:paraId="78AA4FE4" w14:textId="4C534EC5" w:rsidR="001435B5" w:rsidRDefault="001435B5" w:rsidP="001435B5">
      <w:pPr>
        <w:pStyle w:val="ListParagraph"/>
        <w:numPr>
          <w:ilvl w:val="0"/>
          <w:numId w:val="46"/>
        </w:numPr>
        <w:jc w:val="both"/>
        <w:rPr>
          <w:rFonts w:ascii="Arial" w:hAnsi="Arial" w:cs="Arial"/>
          <w:color w:val="808080" w:themeColor="background1" w:themeShade="80"/>
          <w:sz w:val="22"/>
          <w:szCs w:val="22"/>
          <w:lang w:val="en-GB"/>
        </w:rPr>
      </w:pPr>
      <w:r w:rsidRPr="001435B5">
        <w:rPr>
          <w:rFonts w:ascii="Arial" w:hAnsi="Arial" w:cs="Arial"/>
          <w:color w:val="808080" w:themeColor="background1" w:themeShade="80"/>
          <w:sz w:val="22"/>
          <w:szCs w:val="22"/>
          <w:lang w:val="en-GB"/>
        </w:rPr>
        <w:t xml:space="preserve">There is a specific </w:t>
      </w:r>
      <w:r w:rsidR="000B0F0B">
        <w:rPr>
          <w:rFonts w:ascii="Arial" w:hAnsi="Arial" w:cs="Arial"/>
          <w:color w:val="808080" w:themeColor="background1" w:themeShade="80"/>
          <w:sz w:val="22"/>
          <w:szCs w:val="22"/>
          <w:lang w:val="en-GB"/>
        </w:rPr>
        <w:t xml:space="preserve">Cayman Islands </w:t>
      </w:r>
      <w:r w:rsidRPr="001435B5">
        <w:rPr>
          <w:rFonts w:ascii="Arial" w:hAnsi="Arial" w:cs="Arial"/>
          <w:color w:val="808080" w:themeColor="background1" w:themeShade="80"/>
          <w:sz w:val="22"/>
          <w:szCs w:val="22"/>
          <w:lang w:val="en-GB"/>
        </w:rPr>
        <w:t xml:space="preserve">vessel register to register mortgages so that if the boats are sold, the purchaser is deemed to have been aware of the mortgage and will inherit the obligation to repay the USD 80M. </w:t>
      </w:r>
    </w:p>
    <w:p w14:paraId="257A5902" w14:textId="625DB46B" w:rsidR="001435B5" w:rsidRDefault="001435B5" w:rsidP="001435B5">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S&amp;C has defaulted on the terms of the loan (</w:t>
      </w:r>
      <w:r w:rsidR="000B0F0B">
        <w:rPr>
          <w:rFonts w:ascii="Arial" w:hAnsi="Arial" w:cs="Arial"/>
          <w:color w:val="808080" w:themeColor="background1" w:themeShade="80"/>
          <w:sz w:val="22"/>
          <w:szCs w:val="22"/>
          <w:lang w:val="en-GB"/>
        </w:rPr>
        <w:t xml:space="preserve">by </w:t>
      </w:r>
      <w:r>
        <w:rPr>
          <w:rFonts w:ascii="Arial" w:hAnsi="Arial" w:cs="Arial"/>
          <w:color w:val="808080" w:themeColor="background1" w:themeShade="80"/>
          <w:sz w:val="22"/>
          <w:szCs w:val="22"/>
          <w:lang w:val="en-GB"/>
        </w:rPr>
        <w:t xml:space="preserve">falling behind on monthly repayments), depending on the loan documents, S&amp;C can likely appoint a Receiver to realise and sell the four boats. </w:t>
      </w:r>
    </w:p>
    <w:p w14:paraId="7724DC9E" w14:textId="7E7EC37B" w:rsidR="001435B5" w:rsidRPr="001435B5" w:rsidRDefault="001435B5" w:rsidP="001435B5">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Receiver is not </w:t>
      </w:r>
      <w:r w:rsidR="000B0F0B">
        <w:rPr>
          <w:rFonts w:ascii="Arial" w:hAnsi="Arial" w:cs="Arial"/>
          <w:color w:val="808080" w:themeColor="background1" w:themeShade="80"/>
          <w:sz w:val="22"/>
          <w:szCs w:val="22"/>
          <w:lang w:val="en-GB"/>
        </w:rPr>
        <w:t>impacted</w:t>
      </w:r>
      <w:r>
        <w:rPr>
          <w:rFonts w:ascii="Arial" w:hAnsi="Arial" w:cs="Arial"/>
          <w:color w:val="808080" w:themeColor="background1" w:themeShade="80"/>
          <w:sz w:val="22"/>
          <w:szCs w:val="22"/>
          <w:lang w:val="en-GB"/>
        </w:rPr>
        <w:t xml:space="preserve"> by any </w:t>
      </w:r>
      <w:r w:rsidR="000E4051">
        <w:rPr>
          <w:rFonts w:ascii="Arial" w:hAnsi="Arial" w:cs="Arial"/>
          <w:color w:val="808080" w:themeColor="background1" w:themeShade="80"/>
          <w:sz w:val="22"/>
          <w:szCs w:val="22"/>
          <w:lang w:val="en-GB"/>
        </w:rPr>
        <w:t>stay of proceedings</w:t>
      </w:r>
      <w:r w:rsidR="000B0F0B">
        <w:rPr>
          <w:rFonts w:ascii="Arial" w:hAnsi="Arial" w:cs="Arial"/>
          <w:color w:val="808080" w:themeColor="background1" w:themeShade="80"/>
          <w:sz w:val="22"/>
          <w:szCs w:val="22"/>
          <w:lang w:val="en-GB"/>
        </w:rPr>
        <w:t>,</w:t>
      </w:r>
      <w:r w:rsidR="000E4051">
        <w:rPr>
          <w:rFonts w:ascii="Arial" w:hAnsi="Arial" w:cs="Arial"/>
          <w:color w:val="808080" w:themeColor="background1" w:themeShade="80"/>
          <w:sz w:val="22"/>
          <w:szCs w:val="22"/>
          <w:lang w:val="en-GB"/>
        </w:rPr>
        <w:t xml:space="preserve"> should a winding up application be filed</w:t>
      </w:r>
      <w:r w:rsidR="000B0F0B">
        <w:rPr>
          <w:rFonts w:ascii="Arial" w:hAnsi="Arial" w:cs="Arial"/>
          <w:color w:val="808080" w:themeColor="background1" w:themeShade="80"/>
          <w:sz w:val="22"/>
          <w:szCs w:val="22"/>
          <w:lang w:val="en-GB"/>
        </w:rPr>
        <w:t xml:space="preserve"> by a </w:t>
      </w:r>
      <w:proofErr w:type="gramStart"/>
      <w:r w:rsidR="000B0F0B">
        <w:rPr>
          <w:rFonts w:ascii="Arial" w:hAnsi="Arial" w:cs="Arial"/>
          <w:color w:val="808080" w:themeColor="background1" w:themeShade="80"/>
          <w:sz w:val="22"/>
          <w:szCs w:val="22"/>
          <w:lang w:val="en-GB"/>
        </w:rPr>
        <w:t>third party</w:t>
      </w:r>
      <w:proofErr w:type="gramEnd"/>
      <w:r w:rsidR="000B0F0B">
        <w:rPr>
          <w:rFonts w:ascii="Arial" w:hAnsi="Arial" w:cs="Arial"/>
          <w:color w:val="808080" w:themeColor="background1" w:themeShade="80"/>
          <w:sz w:val="22"/>
          <w:szCs w:val="22"/>
          <w:lang w:val="en-GB"/>
        </w:rPr>
        <w:t xml:space="preserve"> creditor. </w:t>
      </w:r>
    </w:p>
    <w:p w14:paraId="60988ABD" w14:textId="77777777" w:rsidR="00952187" w:rsidRPr="00952187" w:rsidRDefault="00952187" w:rsidP="00924973">
      <w:pPr>
        <w:ind w:left="426"/>
        <w:jc w:val="both"/>
        <w:rPr>
          <w:rFonts w:ascii="Arial" w:hAnsi="Arial" w:cs="Arial"/>
          <w:sz w:val="22"/>
          <w:szCs w:val="22"/>
          <w:lang w:val="en-GB"/>
        </w:rPr>
      </w:pPr>
    </w:p>
    <w:p w14:paraId="2954EC21" w14:textId="4E2D0510"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Jolly</w:t>
      </w:r>
      <w:r w:rsidR="001435B5">
        <w:rPr>
          <w:rFonts w:ascii="Arial" w:hAnsi="Arial" w:cs="Arial"/>
          <w:sz w:val="22"/>
          <w:szCs w:val="22"/>
          <w:lang w:val="en-GB"/>
        </w:rPr>
        <w:t xml:space="preserve"> (“</w:t>
      </w:r>
      <w:r w:rsidR="001435B5" w:rsidRPr="001435B5">
        <w:rPr>
          <w:rFonts w:ascii="Arial" w:hAnsi="Arial" w:cs="Arial"/>
          <w:b/>
          <w:bCs/>
          <w:sz w:val="22"/>
          <w:szCs w:val="22"/>
          <w:lang w:val="en-GB"/>
        </w:rPr>
        <w:t>RJ</w:t>
      </w:r>
      <w:r w:rsidR="001435B5">
        <w:rPr>
          <w:rFonts w:ascii="Arial" w:hAnsi="Arial" w:cs="Arial"/>
          <w:sz w:val="22"/>
          <w:szCs w:val="22"/>
          <w:lang w:val="en-GB"/>
        </w:rPr>
        <w:t>”)</w:t>
      </w:r>
      <w:r w:rsidR="008D7C65" w:rsidRPr="00924973">
        <w:rPr>
          <w:rFonts w:ascii="Arial" w:hAnsi="Arial" w:cs="Arial"/>
          <w:sz w:val="22"/>
          <w:szCs w:val="22"/>
          <w:lang w:val="en-GB"/>
        </w:rPr>
        <w:t xml:space="preserve">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1D22A75E" w14:textId="5542A1FC" w:rsidR="001435B5" w:rsidRDefault="001435B5" w:rsidP="001435B5">
      <w:pPr>
        <w:jc w:val="both"/>
        <w:rPr>
          <w:rFonts w:ascii="Arial" w:hAnsi="Arial" w:cs="Arial"/>
          <w:sz w:val="22"/>
          <w:szCs w:val="22"/>
          <w:lang w:val="en-GB"/>
        </w:rPr>
      </w:pPr>
    </w:p>
    <w:p w14:paraId="05C16DA9" w14:textId="1075EDE9" w:rsidR="001435B5" w:rsidRPr="000B0F0B" w:rsidRDefault="001435B5" w:rsidP="00357737">
      <w:pPr>
        <w:pStyle w:val="ListParagraph"/>
        <w:numPr>
          <w:ilvl w:val="0"/>
          <w:numId w:val="46"/>
        </w:numPr>
        <w:jc w:val="both"/>
        <w:rPr>
          <w:rFonts w:ascii="Arial" w:hAnsi="Arial" w:cs="Arial"/>
          <w:sz w:val="22"/>
          <w:szCs w:val="22"/>
          <w:lang w:val="en-GB"/>
        </w:rPr>
      </w:pPr>
      <w:r w:rsidRPr="000B0F0B">
        <w:rPr>
          <w:rFonts w:ascii="Arial" w:hAnsi="Arial" w:cs="Arial"/>
          <w:color w:val="808080" w:themeColor="background1" w:themeShade="80"/>
          <w:sz w:val="22"/>
          <w:szCs w:val="22"/>
          <w:lang w:val="en-GB"/>
        </w:rPr>
        <w:t xml:space="preserve">RJ obtained an arbitration order that S&amp;C must pay damages of USD 50M by mid Feb 2022. RJ should look to have the foreign order recognised by the Grand Court under the Foreign Judgement Reciprocal Enforcement Act (1996 Revision). </w:t>
      </w:r>
    </w:p>
    <w:p w14:paraId="1E943BB6" w14:textId="1734B16E" w:rsidR="00C34E01" w:rsidRPr="00C34E01" w:rsidRDefault="001435B5" w:rsidP="00C34E01">
      <w:pPr>
        <w:pStyle w:val="ListParagraph"/>
        <w:numPr>
          <w:ilvl w:val="0"/>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 xml:space="preserve">However, given the provisions of the Act have only been extended to judgments in Australia to date, RJ could </w:t>
      </w:r>
      <w:r w:rsidR="00C34E01">
        <w:rPr>
          <w:rFonts w:ascii="Arial" w:hAnsi="Arial" w:cs="Arial"/>
          <w:color w:val="808080" w:themeColor="background1" w:themeShade="80"/>
          <w:sz w:val="22"/>
          <w:szCs w:val="22"/>
          <w:lang w:val="en-GB"/>
        </w:rPr>
        <w:t>look to commence an action in the Grand Court of the Cayman Islands based on the outstanding foreign judgment being an unpaid debt/obligation. This is on the assumption that the judgment is final, the foreign court had jurisdiction over S&amp;C, it was not obtained by fraud, it is not contrary to Cayman Islands public policy or to the rules of natural justice.</w:t>
      </w:r>
    </w:p>
    <w:p w14:paraId="622B2AAA" w14:textId="3D5BA478" w:rsidR="00C34E01" w:rsidRPr="00C34E01" w:rsidRDefault="00C34E01" w:rsidP="00C34E01">
      <w:pPr>
        <w:pStyle w:val="ListParagraph"/>
        <w:numPr>
          <w:ilvl w:val="0"/>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 xml:space="preserve">Once granted, RJ could look to appoint a Receiver to recover the debt (along with the full range of other insolvency remedies). </w:t>
      </w:r>
    </w:p>
    <w:p w14:paraId="5C96F779" w14:textId="77777777" w:rsidR="00952187" w:rsidRPr="00952187" w:rsidRDefault="00952187" w:rsidP="00924973">
      <w:pPr>
        <w:ind w:left="426"/>
        <w:jc w:val="both"/>
        <w:rPr>
          <w:rFonts w:ascii="Arial" w:hAnsi="Arial" w:cs="Arial"/>
          <w:sz w:val="22"/>
          <w:szCs w:val="22"/>
          <w:lang w:val="en-GB"/>
        </w:rPr>
      </w:pPr>
    </w:p>
    <w:p w14:paraId="786BD95B" w14:textId="52137129"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EE92462" w14:textId="22A23319" w:rsidR="00CE18C4" w:rsidRPr="00CE18C4" w:rsidRDefault="00CE18C4" w:rsidP="00CE18C4">
      <w:pPr>
        <w:pStyle w:val="ListParagraph"/>
        <w:numPr>
          <w:ilvl w:val="0"/>
          <w:numId w:val="46"/>
        </w:numPr>
        <w:jc w:val="both"/>
        <w:rPr>
          <w:rFonts w:ascii="Arial" w:hAnsi="Arial" w:cs="Arial"/>
          <w:color w:val="808080" w:themeColor="background1" w:themeShade="80"/>
          <w:sz w:val="22"/>
          <w:szCs w:val="22"/>
          <w:lang w:val="en-GB"/>
        </w:rPr>
      </w:pPr>
      <w:r w:rsidRPr="00CE18C4">
        <w:rPr>
          <w:rFonts w:ascii="Arial" w:hAnsi="Arial" w:cs="Arial"/>
          <w:color w:val="808080" w:themeColor="background1" w:themeShade="80"/>
          <w:sz w:val="22"/>
          <w:szCs w:val="22"/>
          <w:lang w:val="en-GB"/>
        </w:rPr>
        <w:t>The employees could look to wind</w:t>
      </w:r>
      <w:r w:rsidR="000E4051">
        <w:rPr>
          <w:rFonts w:ascii="Arial" w:hAnsi="Arial" w:cs="Arial"/>
          <w:color w:val="808080" w:themeColor="background1" w:themeShade="80"/>
          <w:sz w:val="22"/>
          <w:szCs w:val="22"/>
          <w:lang w:val="en-GB"/>
        </w:rPr>
        <w:t>-</w:t>
      </w:r>
      <w:r w:rsidRPr="00CE18C4">
        <w:rPr>
          <w:rFonts w:ascii="Arial" w:hAnsi="Arial" w:cs="Arial"/>
          <w:color w:val="808080" w:themeColor="background1" w:themeShade="80"/>
          <w:sz w:val="22"/>
          <w:szCs w:val="22"/>
          <w:lang w:val="en-GB"/>
        </w:rPr>
        <w:t>up S&amp;C</w:t>
      </w:r>
      <w:r w:rsidR="000E4051">
        <w:rPr>
          <w:rFonts w:ascii="Arial" w:hAnsi="Arial" w:cs="Arial"/>
          <w:color w:val="808080" w:themeColor="background1" w:themeShade="80"/>
          <w:sz w:val="22"/>
          <w:szCs w:val="22"/>
          <w:lang w:val="en-GB"/>
        </w:rPr>
        <w:t>,</w:t>
      </w:r>
      <w:r w:rsidRPr="00CE18C4">
        <w:rPr>
          <w:rFonts w:ascii="Arial" w:hAnsi="Arial" w:cs="Arial"/>
          <w:color w:val="808080" w:themeColor="background1" w:themeShade="80"/>
          <w:sz w:val="22"/>
          <w:szCs w:val="22"/>
          <w:lang w:val="en-GB"/>
        </w:rPr>
        <w:t xml:space="preserve"> as a preferential creditor</w:t>
      </w:r>
      <w:r w:rsidR="000E4051">
        <w:rPr>
          <w:rFonts w:ascii="Arial" w:hAnsi="Arial" w:cs="Arial"/>
          <w:color w:val="808080" w:themeColor="background1" w:themeShade="80"/>
          <w:sz w:val="22"/>
          <w:szCs w:val="22"/>
          <w:lang w:val="en-GB"/>
        </w:rPr>
        <w:t>,</w:t>
      </w:r>
      <w:r w:rsidRPr="00CE18C4">
        <w:rPr>
          <w:rFonts w:ascii="Arial" w:hAnsi="Arial" w:cs="Arial"/>
          <w:color w:val="808080" w:themeColor="background1" w:themeShade="80"/>
          <w:sz w:val="22"/>
          <w:szCs w:val="22"/>
          <w:lang w:val="en-GB"/>
        </w:rPr>
        <w:t xml:space="preserve"> </w:t>
      </w:r>
      <w:proofErr w:type="gramStart"/>
      <w:r w:rsidRPr="00CE18C4">
        <w:rPr>
          <w:rFonts w:ascii="Arial" w:hAnsi="Arial" w:cs="Arial"/>
          <w:color w:val="808080" w:themeColor="background1" w:themeShade="80"/>
          <w:sz w:val="22"/>
          <w:szCs w:val="22"/>
          <w:lang w:val="en-GB"/>
        </w:rPr>
        <w:t>on the basis of</w:t>
      </w:r>
      <w:proofErr w:type="gramEnd"/>
      <w:r w:rsidRPr="00CE18C4">
        <w:rPr>
          <w:rFonts w:ascii="Arial" w:hAnsi="Arial" w:cs="Arial"/>
          <w:color w:val="808080" w:themeColor="background1" w:themeShade="80"/>
          <w:sz w:val="22"/>
          <w:szCs w:val="22"/>
          <w:lang w:val="en-GB"/>
        </w:rPr>
        <w:t xml:space="preserve"> insolvency</w:t>
      </w:r>
      <w:r w:rsidR="000B0F0B">
        <w:rPr>
          <w:rFonts w:ascii="Arial" w:hAnsi="Arial" w:cs="Arial"/>
          <w:color w:val="808080" w:themeColor="background1" w:themeShade="80"/>
          <w:sz w:val="22"/>
          <w:szCs w:val="22"/>
          <w:lang w:val="en-GB"/>
        </w:rPr>
        <w:t>,</w:t>
      </w:r>
      <w:r w:rsidRPr="00CE18C4">
        <w:rPr>
          <w:rFonts w:ascii="Arial" w:hAnsi="Arial" w:cs="Arial"/>
          <w:color w:val="808080" w:themeColor="background1" w:themeShade="80"/>
          <w:sz w:val="22"/>
          <w:szCs w:val="22"/>
          <w:lang w:val="en-GB"/>
        </w:rPr>
        <w:t xml:space="preserve"> if their wages are unpaid. Should there any </w:t>
      </w:r>
      <w:r w:rsidR="000B0F0B">
        <w:rPr>
          <w:rFonts w:ascii="Arial" w:hAnsi="Arial" w:cs="Arial"/>
          <w:color w:val="808080" w:themeColor="background1" w:themeShade="80"/>
          <w:sz w:val="22"/>
          <w:szCs w:val="22"/>
          <w:lang w:val="en-GB"/>
        </w:rPr>
        <w:t xml:space="preserve">funds available for </w:t>
      </w:r>
      <w:r w:rsidRPr="00CE18C4">
        <w:rPr>
          <w:rFonts w:ascii="Arial" w:hAnsi="Arial" w:cs="Arial"/>
          <w:color w:val="808080" w:themeColor="background1" w:themeShade="80"/>
          <w:sz w:val="22"/>
          <w:szCs w:val="22"/>
          <w:lang w:val="en-GB"/>
        </w:rPr>
        <w:t xml:space="preserve">distribution, employees are paid </w:t>
      </w:r>
      <w:r w:rsidR="000B0F0B">
        <w:rPr>
          <w:rFonts w:ascii="Arial" w:hAnsi="Arial" w:cs="Arial"/>
          <w:color w:val="808080" w:themeColor="background1" w:themeShade="80"/>
          <w:sz w:val="22"/>
          <w:szCs w:val="22"/>
          <w:lang w:val="en-GB"/>
        </w:rPr>
        <w:t>in priority</w:t>
      </w:r>
      <w:r w:rsidRPr="00CE18C4">
        <w:rPr>
          <w:rFonts w:ascii="Arial" w:hAnsi="Arial" w:cs="Arial"/>
          <w:color w:val="808080" w:themeColor="background1" w:themeShade="80"/>
          <w:sz w:val="22"/>
          <w:szCs w:val="22"/>
          <w:lang w:val="en-GB"/>
        </w:rPr>
        <w:t xml:space="preserve"> to ordinary creditors. </w:t>
      </w:r>
    </w:p>
    <w:p w14:paraId="2D2F4E09" w14:textId="77777777" w:rsidR="00952187" w:rsidRPr="00952187" w:rsidRDefault="00952187" w:rsidP="00924973">
      <w:pPr>
        <w:ind w:left="426"/>
        <w:jc w:val="both"/>
        <w:rPr>
          <w:rFonts w:ascii="Arial" w:hAnsi="Arial" w:cs="Arial"/>
          <w:sz w:val="22"/>
          <w:szCs w:val="22"/>
          <w:lang w:val="en-GB"/>
        </w:rPr>
      </w:pPr>
    </w:p>
    <w:p w14:paraId="50895D5F" w14:textId="6040D350" w:rsidR="00F730FA"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31F792CF" w14:textId="6AA8B8D3" w:rsidR="00CE18C4" w:rsidRPr="00924973" w:rsidRDefault="00EE10B4" w:rsidP="00EE10B4">
      <w:pPr>
        <w:pStyle w:val="ListParagraph"/>
        <w:numPr>
          <w:ilvl w:val="0"/>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 xml:space="preserve">Yes, as S&amp;C is registered in the Cayman Islands. </w:t>
      </w:r>
    </w:p>
    <w:p w14:paraId="43E439C8" w14:textId="77777777" w:rsidR="00952187" w:rsidRPr="00952187" w:rsidRDefault="00952187" w:rsidP="00924973">
      <w:pPr>
        <w:ind w:left="426"/>
        <w:jc w:val="both"/>
        <w:rPr>
          <w:rFonts w:ascii="Arial" w:hAnsi="Arial" w:cs="Arial"/>
          <w:sz w:val="22"/>
          <w:szCs w:val="22"/>
          <w:lang w:val="en-GB"/>
        </w:rPr>
      </w:pPr>
    </w:p>
    <w:p w14:paraId="2ED4507E" w14:textId="77777777" w:rsidR="00EE10B4"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p>
    <w:p w14:paraId="5D41ADF3" w14:textId="77777777" w:rsidR="00EE10B4" w:rsidRDefault="00EE10B4" w:rsidP="00EE10B4">
      <w:pPr>
        <w:pStyle w:val="ListParagraph"/>
        <w:ind w:left="426"/>
        <w:jc w:val="both"/>
        <w:rPr>
          <w:rFonts w:ascii="Arial" w:hAnsi="Arial" w:cs="Arial"/>
          <w:sz w:val="22"/>
          <w:szCs w:val="22"/>
          <w:lang w:val="en-GB"/>
        </w:rPr>
      </w:pPr>
    </w:p>
    <w:p w14:paraId="24A6BD44" w14:textId="32240403" w:rsidR="00F730FA" w:rsidRDefault="00EE10B4" w:rsidP="00EE10B4">
      <w:pPr>
        <w:pStyle w:val="ListParagraph"/>
        <w:numPr>
          <w:ilvl w:val="0"/>
          <w:numId w:val="46"/>
        </w:numPr>
        <w:jc w:val="both"/>
        <w:rPr>
          <w:rFonts w:ascii="Arial" w:hAnsi="Arial" w:cs="Arial"/>
          <w:color w:val="808080" w:themeColor="background1" w:themeShade="80"/>
          <w:sz w:val="22"/>
          <w:szCs w:val="22"/>
          <w:lang w:val="en-GB"/>
        </w:rPr>
      </w:pPr>
      <w:r w:rsidRPr="00EE10B4">
        <w:rPr>
          <w:rFonts w:ascii="Arial" w:hAnsi="Arial" w:cs="Arial"/>
          <w:color w:val="808080" w:themeColor="background1" w:themeShade="80"/>
          <w:sz w:val="22"/>
          <w:szCs w:val="22"/>
          <w:lang w:val="en-GB"/>
        </w:rPr>
        <w:t xml:space="preserve">Yes, </w:t>
      </w:r>
      <w:r>
        <w:rPr>
          <w:rFonts w:ascii="Arial" w:hAnsi="Arial" w:cs="Arial"/>
          <w:color w:val="808080" w:themeColor="background1" w:themeShade="80"/>
          <w:sz w:val="22"/>
          <w:szCs w:val="22"/>
          <w:lang w:val="en-GB"/>
        </w:rPr>
        <w:t>the company can apply for it</w:t>
      </w:r>
      <w:r w:rsidR="00C7773B">
        <w:rPr>
          <w:rFonts w:ascii="Arial" w:hAnsi="Arial" w:cs="Arial"/>
          <w:color w:val="808080" w:themeColor="background1" w:themeShade="80"/>
          <w:sz w:val="22"/>
          <w:szCs w:val="22"/>
          <w:lang w:val="en-GB"/>
        </w:rPr>
        <w:t>self</w:t>
      </w:r>
      <w:r>
        <w:rPr>
          <w:rFonts w:ascii="Arial" w:hAnsi="Arial" w:cs="Arial"/>
          <w:color w:val="808080" w:themeColor="background1" w:themeShade="80"/>
          <w:sz w:val="22"/>
          <w:szCs w:val="22"/>
          <w:lang w:val="en-GB"/>
        </w:rPr>
        <w:t xml:space="preserve"> to be placed into </w:t>
      </w:r>
      <w:r w:rsidRPr="00EE10B4">
        <w:rPr>
          <w:rFonts w:ascii="Arial" w:hAnsi="Arial" w:cs="Arial"/>
          <w:color w:val="808080" w:themeColor="background1" w:themeShade="80"/>
          <w:sz w:val="22"/>
          <w:szCs w:val="22"/>
          <w:lang w:val="en-GB"/>
        </w:rPr>
        <w:t>provisional liquidation</w:t>
      </w:r>
      <w:r>
        <w:rPr>
          <w:rFonts w:ascii="Arial" w:hAnsi="Arial" w:cs="Arial"/>
          <w:color w:val="808080" w:themeColor="background1" w:themeShade="80"/>
          <w:sz w:val="22"/>
          <w:szCs w:val="22"/>
          <w:lang w:val="en-GB"/>
        </w:rPr>
        <w:t>. By doing so it will</w:t>
      </w:r>
      <w:r w:rsidRPr="00EE10B4">
        <w:rPr>
          <w:rFonts w:ascii="Arial" w:hAnsi="Arial" w:cs="Arial"/>
          <w:color w:val="808080" w:themeColor="background1" w:themeShade="80"/>
          <w:sz w:val="22"/>
          <w:szCs w:val="22"/>
          <w:lang w:val="en-GB"/>
        </w:rPr>
        <w:t xml:space="preserve"> obtain </w:t>
      </w:r>
      <w:r>
        <w:rPr>
          <w:rFonts w:ascii="Arial" w:hAnsi="Arial" w:cs="Arial"/>
          <w:color w:val="808080" w:themeColor="background1" w:themeShade="80"/>
          <w:sz w:val="22"/>
          <w:szCs w:val="22"/>
          <w:lang w:val="en-GB"/>
        </w:rPr>
        <w:t xml:space="preserve">automatic </w:t>
      </w:r>
      <w:r w:rsidRPr="00EE10B4">
        <w:rPr>
          <w:rFonts w:ascii="Arial" w:hAnsi="Arial" w:cs="Arial"/>
          <w:color w:val="808080" w:themeColor="background1" w:themeShade="80"/>
          <w:sz w:val="22"/>
          <w:szCs w:val="22"/>
          <w:lang w:val="en-GB"/>
        </w:rPr>
        <w:t xml:space="preserve">breathing space against any proceedings continuing or being commenced. </w:t>
      </w:r>
    </w:p>
    <w:p w14:paraId="3DC89B52" w14:textId="2ABAA774" w:rsidR="00EE10B4" w:rsidRDefault="00EE10B4" w:rsidP="00EE10B4">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S&amp;C could use the PL to propose a scheme of arrangement to its creditors.</w:t>
      </w:r>
    </w:p>
    <w:p w14:paraId="55B6E81A" w14:textId="0A7BE3FC" w:rsidR="00C7773B" w:rsidRDefault="00C7773B" w:rsidP="00EE10B4">
      <w:pPr>
        <w:pStyle w:val="ListParagraph"/>
        <w:numPr>
          <w:ilvl w:val="0"/>
          <w:numId w:val="46"/>
        </w:numPr>
        <w:jc w:val="both"/>
        <w:rPr>
          <w:rFonts w:ascii="Arial" w:hAnsi="Arial" w:cs="Arial"/>
          <w:color w:val="808080" w:themeColor="background1" w:themeShade="80"/>
          <w:sz w:val="22"/>
          <w:szCs w:val="22"/>
          <w:lang w:val="en-GB"/>
        </w:rPr>
      </w:pPr>
      <w:r w:rsidRPr="00EE10B4">
        <w:rPr>
          <w:rFonts w:ascii="Arial" w:hAnsi="Arial" w:cs="Arial"/>
          <w:color w:val="808080" w:themeColor="background1" w:themeShade="80"/>
          <w:sz w:val="22"/>
          <w:szCs w:val="22"/>
          <w:lang w:val="en-GB"/>
        </w:rPr>
        <w:lastRenderedPageBreak/>
        <w:t>However, this will not prevent a secured creditor enforcing</w:t>
      </w:r>
      <w:r w:rsidR="000B0F0B">
        <w:rPr>
          <w:rFonts w:ascii="Arial" w:hAnsi="Arial" w:cs="Arial"/>
          <w:color w:val="808080" w:themeColor="background1" w:themeShade="80"/>
          <w:sz w:val="22"/>
          <w:szCs w:val="22"/>
          <w:lang w:val="en-GB"/>
        </w:rPr>
        <w:t>,</w:t>
      </w:r>
      <w:r w:rsidRPr="00EE10B4">
        <w:rPr>
          <w:rFonts w:ascii="Arial" w:hAnsi="Arial" w:cs="Arial"/>
          <w:color w:val="808080" w:themeColor="background1" w:themeShade="80"/>
          <w:sz w:val="22"/>
          <w:szCs w:val="22"/>
          <w:lang w:val="en-GB"/>
        </w:rPr>
        <w:t xml:space="preserve"> </w:t>
      </w:r>
      <w:proofErr w:type="gramStart"/>
      <w:r w:rsidRPr="00EE10B4">
        <w:rPr>
          <w:rFonts w:ascii="Arial" w:hAnsi="Arial" w:cs="Arial"/>
          <w:color w:val="808080" w:themeColor="background1" w:themeShade="80"/>
          <w:sz w:val="22"/>
          <w:szCs w:val="22"/>
          <w:lang w:val="en-GB"/>
        </w:rPr>
        <w:t>e.g.</w:t>
      </w:r>
      <w:proofErr w:type="gramEnd"/>
      <w:r w:rsidRPr="00EE10B4">
        <w:rPr>
          <w:rFonts w:ascii="Arial" w:hAnsi="Arial" w:cs="Arial"/>
          <w:color w:val="808080" w:themeColor="background1" w:themeShade="80"/>
          <w:sz w:val="22"/>
          <w:szCs w:val="22"/>
          <w:lang w:val="en-GB"/>
        </w:rPr>
        <w:t xml:space="preserve"> Sparrow seizing the four largest boats</w:t>
      </w:r>
      <w:r>
        <w:rPr>
          <w:rFonts w:ascii="Arial" w:hAnsi="Arial" w:cs="Arial"/>
          <w:color w:val="808080" w:themeColor="background1" w:themeShade="80"/>
          <w:sz w:val="22"/>
          <w:szCs w:val="22"/>
          <w:lang w:val="en-GB"/>
        </w:rPr>
        <w:t>, which</w:t>
      </w:r>
      <w:r w:rsidR="000B0F0B">
        <w:rPr>
          <w:rFonts w:ascii="Arial" w:hAnsi="Arial" w:cs="Arial"/>
          <w:color w:val="808080" w:themeColor="background1" w:themeShade="80"/>
          <w:sz w:val="22"/>
          <w:szCs w:val="22"/>
          <w:lang w:val="en-GB"/>
        </w:rPr>
        <w:t xml:space="preserve"> would be </w:t>
      </w:r>
      <w:r>
        <w:rPr>
          <w:rFonts w:ascii="Arial" w:hAnsi="Arial" w:cs="Arial"/>
          <w:color w:val="808080" w:themeColor="background1" w:themeShade="80"/>
          <w:sz w:val="22"/>
          <w:szCs w:val="22"/>
          <w:lang w:val="en-GB"/>
        </w:rPr>
        <w:t>big issue</w:t>
      </w:r>
      <w:r w:rsidR="000B0F0B">
        <w:rPr>
          <w:rFonts w:ascii="Arial" w:hAnsi="Arial" w:cs="Arial"/>
          <w:color w:val="808080" w:themeColor="background1" w:themeShade="80"/>
          <w:sz w:val="22"/>
          <w:szCs w:val="22"/>
          <w:lang w:val="en-GB"/>
        </w:rPr>
        <w:t xml:space="preserve"> for the company wanted to propose a scheme. They would need to separately try to negotiation with Sparrow to prevent any enforcement which may compromise the restructuring.   </w:t>
      </w:r>
      <w:r>
        <w:rPr>
          <w:rFonts w:ascii="Arial" w:hAnsi="Arial" w:cs="Arial"/>
          <w:color w:val="808080" w:themeColor="background1" w:themeShade="80"/>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4B6514BB" w:rsidR="00927C9D"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FD9257E" w14:textId="00DD0B25" w:rsidR="00EE10B4" w:rsidRPr="00C7773B" w:rsidRDefault="00EE10B4" w:rsidP="00C7773B">
      <w:pPr>
        <w:pStyle w:val="ListParagraph"/>
        <w:numPr>
          <w:ilvl w:val="0"/>
          <w:numId w:val="46"/>
        </w:numPr>
        <w:jc w:val="both"/>
        <w:rPr>
          <w:rFonts w:ascii="Arial" w:hAnsi="Arial" w:cs="Arial"/>
          <w:color w:val="808080" w:themeColor="background1" w:themeShade="80"/>
          <w:sz w:val="22"/>
          <w:szCs w:val="22"/>
          <w:lang w:val="en-GB"/>
        </w:rPr>
      </w:pPr>
      <w:r w:rsidRPr="00C7773B">
        <w:rPr>
          <w:rFonts w:ascii="Arial" w:hAnsi="Arial" w:cs="Arial"/>
          <w:color w:val="808080" w:themeColor="background1" w:themeShade="80"/>
          <w:sz w:val="22"/>
          <w:szCs w:val="22"/>
          <w:lang w:val="en-GB"/>
        </w:rPr>
        <w:t>The court order will govern the director’s continued role in S&amp;C. Sometimes the court will order a light touch provisional liquidation, in which it is a more oversight role</w:t>
      </w:r>
      <w:r w:rsidR="00C7773B" w:rsidRPr="00C7773B">
        <w:rPr>
          <w:rFonts w:ascii="Arial" w:hAnsi="Arial" w:cs="Arial"/>
          <w:color w:val="808080" w:themeColor="background1" w:themeShade="80"/>
          <w:sz w:val="22"/>
          <w:szCs w:val="22"/>
          <w:lang w:val="en-GB"/>
        </w:rPr>
        <w:t xml:space="preserve"> and existing management stay in control of the company. </w:t>
      </w:r>
    </w:p>
    <w:p w14:paraId="7ADDA549" w14:textId="77777777" w:rsidR="00952187" w:rsidRPr="00952187" w:rsidRDefault="00952187" w:rsidP="00924973">
      <w:pPr>
        <w:ind w:left="426"/>
        <w:jc w:val="both"/>
        <w:rPr>
          <w:rFonts w:ascii="Arial" w:hAnsi="Arial" w:cs="Arial"/>
          <w:sz w:val="22"/>
          <w:szCs w:val="22"/>
          <w:lang w:val="en-GB"/>
        </w:rPr>
      </w:pPr>
    </w:p>
    <w:p w14:paraId="5144D848" w14:textId="3B0129FD"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6BAC97E1" w14:textId="77777777" w:rsidR="00C7773B" w:rsidRDefault="00C7773B" w:rsidP="00C7773B">
      <w:pPr>
        <w:pStyle w:val="ListParagraph"/>
        <w:ind w:left="426"/>
        <w:jc w:val="both"/>
        <w:rPr>
          <w:rFonts w:ascii="Arial" w:hAnsi="Arial" w:cs="Arial"/>
          <w:color w:val="808080" w:themeColor="background1" w:themeShade="80"/>
          <w:sz w:val="22"/>
          <w:szCs w:val="22"/>
          <w:lang w:val="en-GB"/>
        </w:rPr>
      </w:pPr>
    </w:p>
    <w:p w14:paraId="36B49472" w14:textId="7AC27B0E" w:rsidR="00C7773B" w:rsidRPr="00C7773B" w:rsidRDefault="000F1264" w:rsidP="00C7773B">
      <w:pPr>
        <w:pStyle w:val="ListParagraph"/>
        <w:numPr>
          <w:ilvl w:val="0"/>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Initially for the provisional liquidation appointment, t</w:t>
      </w:r>
      <w:r w:rsidR="00C7773B" w:rsidRPr="00C7773B">
        <w:rPr>
          <w:rFonts w:ascii="Arial" w:hAnsi="Arial" w:cs="Arial"/>
          <w:color w:val="808080" w:themeColor="background1" w:themeShade="80"/>
          <w:sz w:val="22"/>
          <w:szCs w:val="22"/>
          <w:lang w:val="en-GB"/>
        </w:rPr>
        <w:t>he court</w:t>
      </w:r>
      <w:r w:rsidR="00C7773B">
        <w:rPr>
          <w:rFonts w:ascii="Arial" w:hAnsi="Arial" w:cs="Arial"/>
          <w:color w:val="808080" w:themeColor="background1" w:themeShade="80"/>
          <w:sz w:val="22"/>
          <w:szCs w:val="22"/>
          <w:lang w:val="en-GB"/>
        </w:rPr>
        <w:t xml:space="preserve"> will need to ensure:</w:t>
      </w:r>
    </w:p>
    <w:p w14:paraId="13494C0E" w14:textId="7740AB0A" w:rsidR="00C7773B" w:rsidRPr="00C7773B" w:rsidRDefault="00C7773B" w:rsidP="00C7773B">
      <w:pPr>
        <w:pStyle w:val="ListParagraph"/>
        <w:numPr>
          <w:ilvl w:val="1"/>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There is a prima facie case for making the winding up order; and</w:t>
      </w:r>
    </w:p>
    <w:p w14:paraId="06EEA967" w14:textId="7B19CB66" w:rsidR="00C7773B" w:rsidRPr="000F1264" w:rsidRDefault="00C7773B" w:rsidP="00C7773B">
      <w:pPr>
        <w:pStyle w:val="ListParagraph"/>
        <w:numPr>
          <w:ilvl w:val="1"/>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 xml:space="preserve">The appointment of a provisional </w:t>
      </w:r>
      <w:r w:rsidR="000F1264">
        <w:rPr>
          <w:rFonts w:ascii="Arial" w:hAnsi="Arial" w:cs="Arial"/>
          <w:color w:val="808080" w:themeColor="background1" w:themeShade="80"/>
          <w:sz w:val="22"/>
          <w:szCs w:val="22"/>
          <w:lang w:val="en-GB"/>
        </w:rPr>
        <w:t>liquidator</w:t>
      </w:r>
      <w:r>
        <w:rPr>
          <w:rFonts w:ascii="Arial" w:hAnsi="Arial" w:cs="Arial"/>
          <w:color w:val="808080" w:themeColor="background1" w:themeShade="80"/>
          <w:sz w:val="22"/>
          <w:szCs w:val="22"/>
          <w:lang w:val="en-GB"/>
        </w:rPr>
        <w:t xml:space="preserve"> is necessary to</w:t>
      </w:r>
      <w:r w:rsidR="000F1264">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preserve and protect the company’s assets; </w:t>
      </w:r>
      <w:r w:rsidR="000F1264">
        <w:rPr>
          <w:rFonts w:ascii="Arial" w:hAnsi="Arial" w:cs="Arial"/>
          <w:color w:val="808080" w:themeColor="background1" w:themeShade="80"/>
          <w:sz w:val="22"/>
          <w:szCs w:val="22"/>
          <w:lang w:val="en-GB"/>
        </w:rPr>
        <w:t xml:space="preserve">prevent the oppression of minority shareholders; or prevent mismanagement. </w:t>
      </w:r>
    </w:p>
    <w:p w14:paraId="279D1314" w14:textId="24E59C3D" w:rsidR="000F1264" w:rsidRPr="000F1264" w:rsidRDefault="000F1264" w:rsidP="000F1264">
      <w:pPr>
        <w:pStyle w:val="ListParagraph"/>
        <w:numPr>
          <w:ilvl w:val="0"/>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The court will need to be satisfied that the company is, or is likely to become, unable to pay its debts per section 93</w:t>
      </w:r>
      <w:r w:rsidR="007A39E0">
        <w:rPr>
          <w:rFonts w:ascii="Arial" w:hAnsi="Arial" w:cs="Arial"/>
          <w:color w:val="808080" w:themeColor="background1" w:themeShade="80"/>
          <w:sz w:val="22"/>
          <w:szCs w:val="22"/>
          <w:lang w:val="en-GB"/>
        </w:rPr>
        <w:t xml:space="preserve"> of the Companies Act</w:t>
      </w:r>
      <w:r>
        <w:rPr>
          <w:rFonts w:ascii="Arial" w:hAnsi="Arial" w:cs="Arial"/>
          <w:color w:val="808080" w:themeColor="background1" w:themeShade="80"/>
          <w:sz w:val="22"/>
          <w:szCs w:val="22"/>
          <w:lang w:val="en-GB"/>
        </w:rPr>
        <w:t xml:space="preserve"> and per </w:t>
      </w:r>
      <w:r w:rsidR="007A39E0">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cash flow test. </w:t>
      </w:r>
    </w:p>
    <w:p w14:paraId="672DCED6" w14:textId="2B04B4DF" w:rsidR="000F1264" w:rsidRPr="000F1264" w:rsidRDefault="000F1264" w:rsidP="000F1264">
      <w:pPr>
        <w:pStyle w:val="ListParagraph"/>
        <w:numPr>
          <w:ilvl w:val="0"/>
          <w:numId w:val="46"/>
        </w:numPr>
        <w:jc w:val="both"/>
        <w:rPr>
          <w:rFonts w:ascii="Arial" w:hAnsi="Arial" w:cs="Arial"/>
          <w:sz w:val="22"/>
          <w:szCs w:val="22"/>
          <w:lang w:val="en-GB"/>
        </w:rPr>
      </w:pPr>
      <w:r w:rsidRPr="000F1264">
        <w:rPr>
          <w:rFonts w:ascii="Arial" w:hAnsi="Arial" w:cs="Arial"/>
          <w:color w:val="808080" w:themeColor="background1" w:themeShade="80"/>
          <w:sz w:val="22"/>
          <w:szCs w:val="22"/>
          <w:lang w:val="en-GB"/>
        </w:rPr>
        <w:t>The court will need to be satisfied that the company intends to propose to its creditors with a compromise or scheme</w:t>
      </w:r>
      <w:r>
        <w:rPr>
          <w:rFonts w:ascii="Arial" w:hAnsi="Arial" w:cs="Arial"/>
          <w:color w:val="808080" w:themeColor="background1" w:themeShade="80"/>
          <w:sz w:val="22"/>
          <w:szCs w:val="22"/>
          <w:lang w:val="en-GB"/>
        </w:rPr>
        <w:t>.</w:t>
      </w:r>
    </w:p>
    <w:p w14:paraId="6E9BA301" w14:textId="7B9BA069" w:rsidR="000F1264" w:rsidRPr="000F1264" w:rsidRDefault="000F1264" w:rsidP="000F1264">
      <w:pPr>
        <w:pStyle w:val="ListParagraph"/>
        <w:numPr>
          <w:ilvl w:val="0"/>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 xml:space="preserve">In relation to any proposed scheme of arrangement, this will need to be approved by the Grand Court per Order 102, rule 20 of the Grand Court Rules and Practice Direction 2/2010. </w:t>
      </w:r>
    </w:p>
    <w:p w14:paraId="1C65E3D8" w14:textId="3891B609" w:rsidR="000F1264" w:rsidRPr="000F1264" w:rsidRDefault="000F1264" w:rsidP="000F1264">
      <w:pPr>
        <w:pStyle w:val="ListParagraph"/>
        <w:numPr>
          <w:ilvl w:val="1"/>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 xml:space="preserve">An application needs to be made for an order that meetings of creditors/members be convened for the purposes of approving the scheme. </w:t>
      </w:r>
    </w:p>
    <w:p w14:paraId="49015C59" w14:textId="3FBC9B25" w:rsidR="000F1264" w:rsidRPr="000F1264" w:rsidRDefault="000F1264" w:rsidP="000F1264">
      <w:pPr>
        <w:pStyle w:val="ListParagraph"/>
        <w:numPr>
          <w:ilvl w:val="2"/>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At this hearing the court will consider any class composition issues or if there are jurisdictional issues.</w:t>
      </w:r>
    </w:p>
    <w:p w14:paraId="7B94DBE8" w14:textId="1D4315CB" w:rsidR="000F1264" w:rsidRPr="000F1264" w:rsidRDefault="000F1264" w:rsidP="000F1264">
      <w:pPr>
        <w:pStyle w:val="ListParagraph"/>
        <w:numPr>
          <w:ilvl w:val="2"/>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 xml:space="preserve">The court will further consider the scheme documents, notices, and explanatory statement to ensure it contains all information reasonably necessary for the creditors/members to make an informed decision. </w:t>
      </w:r>
    </w:p>
    <w:p w14:paraId="130DD3B1" w14:textId="17A79FE3" w:rsidR="000F1264" w:rsidRPr="00D12EAC" w:rsidRDefault="000F1264" w:rsidP="000F1264">
      <w:pPr>
        <w:pStyle w:val="ListParagraph"/>
        <w:numPr>
          <w:ilvl w:val="1"/>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 xml:space="preserve">If the scheme proposal is approved, </w:t>
      </w:r>
      <w:proofErr w:type="gramStart"/>
      <w:r>
        <w:rPr>
          <w:rFonts w:ascii="Arial" w:hAnsi="Arial" w:cs="Arial"/>
          <w:color w:val="808080" w:themeColor="background1" w:themeShade="80"/>
          <w:sz w:val="22"/>
          <w:szCs w:val="22"/>
          <w:lang w:val="en-GB"/>
        </w:rPr>
        <w:t>i.e.</w:t>
      </w:r>
      <w:proofErr w:type="gramEnd"/>
      <w:r>
        <w:rPr>
          <w:rFonts w:ascii="Arial" w:hAnsi="Arial" w:cs="Arial"/>
          <w:color w:val="808080" w:themeColor="background1" w:themeShade="80"/>
          <w:sz w:val="22"/>
          <w:szCs w:val="22"/>
          <w:lang w:val="en-GB"/>
        </w:rPr>
        <w:t xml:space="preserve"> </w:t>
      </w:r>
      <w:r w:rsidR="00D12EAC">
        <w:rPr>
          <w:rFonts w:ascii="Arial" w:hAnsi="Arial" w:cs="Arial"/>
          <w:color w:val="808080" w:themeColor="background1" w:themeShade="80"/>
          <w:sz w:val="22"/>
          <w:szCs w:val="22"/>
          <w:lang w:val="en-GB"/>
        </w:rPr>
        <w:t xml:space="preserve">by over 50% representing at least 75% in value of the creditors/members </w:t>
      </w:r>
      <w:r>
        <w:rPr>
          <w:rFonts w:ascii="Arial" w:hAnsi="Arial" w:cs="Arial"/>
          <w:color w:val="808080" w:themeColor="background1" w:themeShade="80"/>
          <w:sz w:val="22"/>
          <w:szCs w:val="22"/>
          <w:lang w:val="en-GB"/>
        </w:rPr>
        <w:t xml:space="preserve">at the scheme meeting, a further application needs to be made for sanction of the scheme. </w:t>
      </w:r>
      <w:r w:rsidR="00D12EAC">
        <w:rPr>
          <w:rFonts w:ascii="Arial" w:hAnsi="Arial" w:cs="Arial"/>
          <w:color w:val="808080" w:themeColor="background1" w:themeShade="80"/>
          <w:sz w:val="22"/>
          <w:szCs w:val="22"/>
          <w:lang w:val="en-GB"/>
        </w:rPr>
        <w:t xml:space="preserve">This will then make the scheme binding on all creditors, the </w:t>
      </w:r>
      <w:proofErr w:type="gramStart"/>
      <w:r w:rsidR="00D12EAC">
        <w:rPr>
          <w:rFonts w:ascii="Arial" w:hAnsi="Arial" w:cs="Arial"/>
          <w:color w:val="808080" w:themeColor="background1" w:themeShade="80"/>
          <w:sz w:val="22"/>
          <w:szCs w:val="22"/>
          <w:lang w:val="en-GB"/>
        </w:rPr>
        <w:t>company</w:t>
      </w:r>
      <w:proofErr w:type="gramEnd"/>
      <w:r w:rsidR="00D12EAC">
        <w:rPr>
          <w:rFonts w:ascii="Arial" w:hAnsi="Arial" w:cs="Arial"/>
          <w:color w:val="808080" w:themeColor="background1" w:themeShade="80"/>
          <w:sz w:val="22"/>
          <w:szCs w:val="22"/>
          <w:lang w:val="en-GB"/>
        </w:rPr>
        <w:t xml:space="preserve"> and its shareholders. </w:t>
      </w:r>
    </w:p>
    <w:p w14:paraId="0177B5AD" w14:textId="43A714FF" w:rsidR="00D12EAC" w:rsidRPr="00D12EAC" w:rsidRDefault="00D12EAC" w:rsidP="00D12EAC">
      <w:pPr>
        <w:pStyle w:val="ListParagraph"/>
        <w:numPr>
          <w:ilvl w:val="2"/>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 xml:space="preserve">The court would consider any input from a dissenting creditor/member. </w:t>
      </w:r>
    </w:p>
    <w:p w14:paraId="7BDD4137" w14:textId="578CEAF5" w:rsidR="00D12EAC" w:rsidRPr="00D12EAC" w:rsidRDefault="00D12EAC" w:rsidP="00D12EAC">
      <w:pPr>
        <w:pStyle w:val="ListParagraph"/>
        <w:numPr>
          <w:ilvl w:val="2"/>
          <w:numId w:val="46"/>
        </w:numPr>
        <w:jc w:val="both"/>
        <w:rPr>
          <w:rFonts w:ascii="Arial" w:hAnsi="Arial" w:cs="Arial"/>
          <w:sz w:val="22"/>
          <w:szCs w:val="22"/>
          <w:lang w:val="en-GB"/>
        </w:rPr>
      </w:pPr>
      <w:r>
        <w:rPr>
          <w:rFonts w:ascii="Arial" w:hAnsi="Arial" w:cs="Arial"/>
          <w:color w:val="808080" w:themeColor="background1" w:themeShade="80"/>
          <w:sz w:val="22"/>
          <w:szCs w:val="22"/>
          <w:lang w:val="en-GB"/>
        </w:rPr>
        <w:t xml:space="preserve">The court would also want to ensure the convening order was complied with, if the 50% majority was a fair representation, and that the scheme is one that someone should reasonably approve. </w:t>
      </w:r>
    </w:p>
    <w:bookmarkEnd w:id="0"/>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C386" w14:textId="77777777" w:rsidR="007E1F61" w:rsidRDefault="007E1F61" w:rsidP="00241B44">
      <w:r>
        <w:separator/>
      </w:r>
    </w:p>
  </w:endnote>
  <w:endnote w:type="continuationSeparator" w:id="0">
    <w:p w14:paraId="75DAD47E" w14:textId="77777777" w:rsidR="007E1F61" w:rsidRDefault="007E1F6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5BB88014"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7E1F61">
      <w:rPr>
        <w:rFonts w:ascii="Arial" w:hAnsi="Arial" w:cs="Arial"/>
        <w:sz w:val="18"/>
        <w:szCs w:val="18"/>
        <w:lang w:val="en-GB"/>
      </w:rPr>
      <w:fldChar w:fldCharType="separate"/>
    </w:r>
    <w:r>
      <w:rPr>
        <w:rFonts w:ascii="Arial" w:hAnsi="Arial" w:cs="Arial"/>
        <w:sz w:val="18"/>
        <w:szCs w:val="18"/>
        <w:lang w:val="en-GB"/>
      </w:rPr>
      <w:fldChar w:fldCharType="end"/>
    </w:r>
    <w:r w:rsidR="00841B27">
      <w:rPr>
        <w:rFonts w:ascii="Arial" w:hAnsi="Arial" w:cs="Arial"/>
        <w:sz w:val="18"/>
        <w:szCs w:val="18"/>
        <w:lang w:val="en-GB"/>
      </w:rPr>
      <w:t>202122-496</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8A1F" w14:textId="77777777" w:rsidR="00841B27" w:rsidRDefault="0084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EEC9" w14:textId="77777777" w:rsidR="007E1F61" w:rsidRDefault="007E1F61" w:rsidP="00241B44">
      <w:r>
        <w:separator/>
      </w:r>
    </w:p>
  </w:footnote>
  <w:footnote w:type="continuationSeparator" w:id="0">
    <w:p w14:paraId="2D03827F" w14:textId="77777777" w:rsidR="007E1F61" w:rsidRDefault="007E1F61" w:rsidP="00241B44">
      <w:r>
        <w:continuationSeparator/>
      </w:r>
    </w:p>
  </w:footnote>
  <w:footnote w:id="1">
    <w:p w14:paraId="73BC1A61" w14:textId="2887A9F7" w:rsidR="008E0F8A" w:rsidRPr="008E0F8A" w:rsidRDefault="008E0F8A">
      <w:pPr>
        <w:pStyle w:val="FootnoteText"/>
        <w:rPr>
          <w:lang w:val="en-GB"/>
        </w:rPr>
      </w:pPr>
      <w:r>
        <w:rPr>
          <w:rStyle w:val="FootnoteReference"/>
        </w:rPr>
        <w:footnoteRef/>
      </w:r>
      <w:r>
        <w:t xml:space="preserve"> </w:t>
      </w:r>
      <w:r>
        <w:rPr>
          <w:lang w:val="en-GB"/>
        </w:rPr>
        <w:t>[1990-91 CILR 171]</w:t>
      </w:r>
    </w:p>
  </w:footnote>
  <w:footnote w:id="2">
    <w:p w14:paraId="011AA5C6" w14:textId="3B25F290" w:rsidR="006F0ED4" w:rsidRPr="006F0ED4" w:rsidRDefault="006F0ED4">
      <w:pPr>
        <w:pStyle w:val="FootnoteText"/>
        <w:rPr>
          <w:lang w:val="en-GB"/>
        </w:rPr>
      </w:pPr>
      <w:r>
        <w:rPr>
          <w:rStyle w:val="FootnoteReference"/>
        </w:rPr>
        <w:footnoteRef/>
      </w:r>
      <w:r>
        <w:t xml:space="preserve"> </w:t>
      </w:r>
      <w:r>
        <w:rPr>
          <w:lang w:val="en-GB"/>
        </w:rPr>
        <w:t xml:space="preserve">As was applied in re Weavering Macro Fixed Income Fund Ltd (in Liquidation)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05F5" w14:textId="77777777" w:rsidR="00841B27" w:rsidRDefault="00841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94C1" w14:textId="77777777" w:rsidR="00841B27" w:rsidRDefault="00841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2962" w14:textId="77777777" w:rsidR="00841B27" w:rsidRDefault="0084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2246FD"/>
    <w:multiLevelType w:val="hybridMultilevel"/>
    <w:tmpl w:val="1F3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55D89506"/>
    <w:lvl w:ilvl="0" w:tplc="DDC6A722">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733E4F"/>
    <w:multiLevelType w:val="hybridMultilevel"/>
    <w:tmpl w:val="2E66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4E5A17"/>
    <w:multiLevelType w:val="hybridMultilevel"/>
    <w:tmpl w:val="AE940DA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4671F4"/>
    <w:multiLevelType w:val="hybridMultilevel"/>
    <w:tmpl w:val="DFE2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5D2624"/>
    <w:multiLevelType w:val="hybridMultilevel"/>
    <w:tmpl w:val="C838BCB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5035C4"/>
    <w:multiLevelType w:val="hybridMultilevel"/>
    <w:tmpl w:val="D71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19"/>
  </w:num>
  <w:num w:numId="4">
    <w:abstractNumId w:val="43"/>
  </w:num>
  <w:num w:numId="5">
    <w:abstractNumId w:val="20"/>
  </w:num>
  <w:num w:numId="6">
    <w:abstractNumId w:val="35"/>
  </w:num>
  <w:num w:numId="7">
    <w:abstractNumId w:val="44"/>
  </w:num>
  <w:num w:numId="8">
    <w:abstractNumId w:val="38"/>
  </w:num>
  <w:num w:numId="9">
    <w:abstractNumId w:val="17"/>
  </w:num>
  <w:num w:numId="10">
    <w:abstractNumId w:val="11"/>
  </w:num>
  <w:num w:numId="11">
    <w:abstractNumId w:val="13"/>
  </w:num>
  <w:num w:numId="12">
    <w:abstractNumId w:val="18"/>
  </w:num>
  <w:num w:numId="13">
    <w:abstractNumId w:val="28"/>
  </w:num>
  <w:num w:numId="14">
    <w:abstractNumId w:val="3"/>
  </w:num>
  <w:num w:numId="15">
    <w:abstractNumId w:val="14"/>
  </w:num>
  <w:num w:numId="16">
    <w:abstractNumId w:val="41"/>
  </w:num>
  <w:num w:numId="17">
    <w:abstractNumId w:val="7"/>
  </w:num>
  <w:num w:numId="18">
    <w:abstractNumId w:val="9"/>
  </w:num>
  <w:num w:numId="19">
    <w:abstractNumId w:val="31"/>
  </w:num>
  <w:num w:numId="20">
    <w:abstractNumId w:val="29"/>
  </w:num>
  <w:num w:numId="21">
    <w:abstractNumId w:val="2"/>
  </w:num>
  <w:num w:numId="22">
    <w:abstractNumId w:val="12"/>
  </w:num>
  <w:num w:numId="23">
    <w:abstractNumId w:val="46"/>
  </w:num>
  <w:num w:numId="24">
    <w:abstractNumId w:val="0"/>
  </w:num>
  <w:num w:numId="25">
    <w:abstractNumId w:val="36"/>
  </w:num>
  <w:num w:numId="26">
    <w:abstractNumId w:val="10"/>
  </w:num>
  <w:num w:numId="27">
    <w:abstractNumId w:val="15"/>
  </w:num>
  <w:num w:numId="28">
    <w:abstractNumId w:val="5"/>
  </w:num>
  <w:num w:numId="29">
    <w:abstractNumId w:val="8"/>
  </w:num>
  <w:num w:numId="30">
    <w:abstractNumId w:val="21"/>
  </w:num>
  <w:num w:numId="31">
    <w:abstractNumId w:val="30"/>
  </w:num>
  <w:num w:numId="32">
    <w:abstractNumId w:val="25"/>
  </w:num>
  <w:num w:numId="33">
    <w:abstractNumId w:val="32"/>
  </w:num>
  <w:num w:numId="34">
    <w:abstractNumId w:val="22"/>
  </w:num>
  <w:num w:numId="35">
    <w:abstractNumId w:val="16"/>
  </w:num>
  <w:num w:numId="36">
    <w:abstractNumId w:val="1"/>
  </w:num>
  <w:num w:numId="37">
    <w:abstractNumId w:val="33"/>
  </w:num>
  <w:num w:numId="38">
    <w:abstractNumId w:val="26"/>
  </w:num>
  <w:num w:numId="39">
    <w:abstractNumId w:val="40"/>
  </w:num>
  <w:num w:numId="40">
    <w:abstractNumId w:val="37"/>
  </w:num>
  <w:num w:numId="41">
    <w:abstractNumId w:val="6"/>
  </w:num>
  <w:num w:numId="42">
    <w:abstractNumId w:val="42"/>
  </w:num>
  <w:num w:numId="43">
    <w:abstractNumId w:val="39"/>
  </w:num>
  <w:num w:numId="44">
    <w:abstractNumId w:val="4"/>
  </w:num>
  <w:num w:numId="45">
    <w:abstractNumId w:val="23"/>
  </w:num>
  <w:num w:numId="46">
    <w:abstractNumId w:val="27"/>
  </w:num>
  <w:num w:numId="4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0F0B"/>
    <w:rsid w:val="000B5FF1"/>
    <w:rsid w:val="000B609F"/>
    <w:rsid w:val="000C3F26"/>
    <w:rsid w:val="000D33BB"/>
    <w:rsid w:val="000D55A8"/>
    <w:rsid w:val="000E4051"/>
    <w:rsid w:val="000E4841"/>
    <w:rsid w:val="000F1264"/>
    <w:rsid w:val="000F1677"/>
    <w:rsid w:val="000F3D6C"/>
    <w:rsid w:val="000F6063"/>
    <w:rsid w:val="00101707"/>
    <w:rsid w:val="00102CC9"/>
    <w:rsid w:val="0010593A"/>
    <w:rsid w:val="001108F8"/>
    <w:rsid w:val="0011473D"/>
    <w:rsid w:val="00115C85"/>
    <w:rsid w:val="00123855"/>
    <w:rsid w:val="00126A4D"/>
    <w:rsid w:val="0013009D"/>
    <w:rsid w:val="0014171F"/>
    <w:rsid w:val="001435B5"/>
    <w:rsid w:val="0014622C"/>
    <w:rsid w:val="001463D6"/>
    <w:rsid w:val="00152348"/>
    <w:rsid w:val="0015456D"/>
    <w:rsid w:val="001553B7"/>
    <w:rsid w:val="00155FA2"/>
    <w:rsid w:val="00161F1B"/>
    <w:rsid w:val="00162829"/>
    <w:rsid w:val="00163644"/>
    <w:rsid w:val="00180548"/>
    <w:rsid w:val="00180AC4"/>
    <w:rsid w:val="00180CCE"/>
    <w:rsid w:val="0018267A"/>
    <w:rsid w:val="00182755"/>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52D89"/>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422D"/>
    <w:rsid w:val="005463A9"/>
    <w:rsid w:val="00551038"/>
    <w:rsid w:val="00553EB2"/>
    <w:rsid w:val="00560534"/>
    <w:rsid w:val="0056391B"/>
    <w:rsid w:val="005650E2"/>
    <w:rsid w:val="00567AD7"/>
    <w:rsid w:val="00575B2D"/>
    <w:rsid w:val="005833D0"/>
    <w:rsid w:val="005846F3"/>
    <w:rsid w:val="0058622F"/>
    <w:rsid w:val="00592F82"/>
    <w:rsid w:val="00595714"/>
    <w:rsid w:val="005A0CCA"/>
    <w:rsid w:val="005A2E18"/>
    <w:rsid w:val="005A6FF2"/>
    <w:rsid w:val="005A726D"/>
    <w:rsid w:val="005A7BF0"/>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0ED4"/>
    <w:rsid w:val="006F4A78"/>
    <w:rsid w:val="006F734A"/>
    <w:rsid w:val="00700D83"/>
    <w:rsid w:val="00704852"/>
    <w:rsid w:val="007074E9"/>
    <w:rsid w:val="00713DA4"/>
    <w:rsid w:val="00714BF1"/>
    <w:rsid w:val="00721383"/>
    <w:rsid w:val="0073158B"/>
    <w:rsid w:val="00732632"/>
    <w:rsid w:val="007333CC"/>
    <w:rsid w:val="0073399A"/>
    <w:rsid w:val="00740DAD"/>
    <w:rsid w:val="00747C78"/>
    <w:rsid w:val="00756650"/>
    <w:rsid w:val="007603F5"/>
    <w:rsid w:val="00764DB0"/>
    <w:rsid w:val="0076764D"/>
    <w:rsid w:val="0077498C"/>
    <w:rsid w:val="00775E93"/>
    <w:rsid w:val="007808EB"/>
    <w:rsid w:val="007809BC"/>
    <w:rsid w:val="00784128"/>
    <w:rsid w:val="00787BCC"/>
    <w:rsid w:val="00793173"/>
    <w:rsid w:val="007A2A33"/>
    <w:rsid w:val="007A39E0"/>
    <w:rsid w:val="007B22CF"/>
    <w:rsid w:val="007B3A5E"/>
    <w:rsid w:val="007B5C89"/>
    <w:rsid w:val="007C1FCC"/>
    <w:rsid w:val="007C6201"/>
    <w:rsid w:val="007D11EE"/>
    <w:rsid w:val="007D7C92"/>
    <w:rsid w:val="007E03FA"/>
    <w:rsid w:val="007E1154"/>
    <w:rsid w:val="007E1F61"/>
    <w:rsid w:val="007E3906"/>
    <w:rsid w:val="007E6BA4"/>
    <w:rsid w:val="007F41F8"/>
    <w:rsid w:val="007F659B"/>
    <w:rsid w:val="00803C72"/>
    <w:rsid w:val="0080454E"/>
    <w:rsid w:val="00804C32"/>
    <w:rsid w:val="00806302"/>
    <w:rsid w:val="00807119"/>
    <w:rsid w:val="00816393"/>
    <w:rsid w:val="0082483F"/>
    <w:rsid w:val="008279C0"/>
    <w:rsid w:val="00841B27"/>
    <w:rsid w:val="00853516"/>
    <w:rsid w:val="00853B56"/>
    <w:rsid w:val="00867701"/>
    <w:rsid w:val="008723F3"/>
    <w:rsid w:val="00876F56"/>
    <w:rsid w:val="00881DE6"/>
    <w:rsid w:val="008837A6"/>
    <w:rsid w:val="00891116"/>
    <w:rsid w:val="0089145D"/>
    <w:rsid w:val="008A4DF2"/>
    <w:rsid w:val="008A6CFE"/>
    <w:rsid w:val="008B5333"/>
    <w:rsid w:val="008B6223"/>
    <w:rsid w:val="008C137B"/>
    <w:rsid w:val="008C66E0"/>
    <w:rsid w:val="008D7C65"/>
    <w:rsid w:val="008E0F8A"/>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9F7815"/>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3896"/>
    <w:rsid w:val="00AC43F8"/>
    <w:rsid w:val="00AC7082"/>
    <w:rsid w:val="00AD12C7"/>
    <w:rsid w:val="00AD4BE8"/>
    <w:rsid w:val="00AF143F"/>
    <w:rsid w:val="00AF228E"/>
    <w:rsid w:val="00B016A8"/>
    <w:rsid w:val="00B14819"/>
    <w:rsid w:val="00B15E2F"/>
    <w:rsid w:val="00B17AA9"/>
    <w:rsid w:val="00B4318C"/>
    <w:rsid w:val="00B44713"/>
    <w:rsid w:val="00B479FD"/>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50F7"/>
    <w:rsid w:val="00C02F29"/>
    <w:rsid w:val="00C17718"/>
    <w:rsid w:val="00C20AFE"/>
    <w:rsid w:val="00C22A25"/>
    <w:rsid w:val="00C34E01"/>
    <w:rsid w:val="00C35671"/>
    <w:rsid w:val="00C35B77"/>
    <w:rsid w:val="00C376EB"/>
    <w:rsid w:val="00C41A0C"/>
    <w:rsid w:val="00C46A92"/>
    <w:rsid w:val="00C46EC1"/>
    <w:rsid w:val="00C52796"/>
    <w:rsid w:val="00C52A85"/>
    <w:rsid w:val="00C53E2C"/>
    <w:rsid w:val="00C550C8"/>
    <w:rsid w:val="00C55824"/>
    <w:rsid w:val="00C56B61"/>
    <w:rsid w:val="00C606C3"/>
    <w:rsid w:val="00C620F4"/>
    <w:rsid w:val="00C72848"/>
    <w:rsid w:val="00C7736C"/>
    <w:rsid w:val="00C7773B"/>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18C4"/>
    <w:rsid w:val="00CE6E50"/>
    <w:rsid w:val="00CF2819"/>
    <w:rsid w:val="00CF4F9D"/>
    <w:rsid w:val="00CF70DC"/>
    <w:rsid w:val="00D063C2"/>
    <w:rsid w:val="00D06A87"/>
    <w:rsid w:val="00D12EAC"/>
    <w:rsid w:val="00D148DC"/>
    <w:rsid w:val="00D17FDC"/>
    <w:rsid w:val="00D21D8C"/>
    <w:rsid w:val="00D27CBC"/>
    <w:rsid w:val="00D32FBF"/>
    <w:rsid w:val="00D53719"/>
    <w:rsid w:val="00D6188D"/>
    <w:rsid w:val="00D63EFD"/>
    <w:rsid w:val="00D71095"/>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10B4"/>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3FC"/>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1B2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Watt, Ainsley</cp:lastModifiedBy>
  <cp:revision>25</cp:revision>
  <cp:lastPrinted>2019-08-27T05:42:00Z</cp:lastPrinted>
  <dcterms:created xsi:type="dcterms:W3CDTF">2022-02-07T18:44:00Z</dcterms:created>
  <dcterms:modified xsi:type="dcterms:W3CDTF">2022-07-29T06:15:00Z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