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354A7CBC"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66612A1C" w:rsidR="007E03FA" w:rsidRPr="001E23FD" w:rsidRDefault="008C202D" w:rsidP="00A10849">
      <w:pPr>
        <w:tabs>
          <w:tab w:val="left" w:pos="6505"/>
          <w:tab w:val="right" w:pos="9026"/>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A10849">
        <w:rPr>
          <w:rFonts w:ascii="Arial" w:hAnsi="Arial" w:cs="Arial"/>
          <w:sz w:val="22"/>
          <w:szCs w:val="22"/>
          <w:lang w:val="en-GB"/>
        </w:rPr>
        <w:tab/>
      </w: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387230" w:rsidRDefault="000F6063" w:rsidP="007E03FA">
      <w:pPr>
        <w:pStyle w:val="ListParagraph"/>
        <w:numPr>
          <w:ilvl w:val="0"/>
          <w:numId w:val="31"/>
        </w:numPr>
        <w:ind w:left="426"/>
        <w:rPr>
          <w:rFonts w:ascii="Arial" w:hAnsi="Arial" w:cs="Arial"/>
          <w:sz w:val="22"/>
          <w:szCs w:val="22"/>
          <w:highlight w:val="yellow"/>
          <w:lang w:val="en-GB"/>
        </w:rPr>
      </w:pPr>
      <w:r w:rsidRPr="00387230">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D731BB" w:rsidRDefault="000F6063" w:rsidP="000F6063">
      <w:pPr>
        <w:jc w:val="both"/>
        <w:rPr>
          <w:rFonts w:ascii="Arial" w:hAnsi="Arial" w:cs="Arial"/>
          <w:b/>
          <w:bCs/>
          <w:sz w:val="22"/>
          <w:szCs w:val="22"/>
        </w:rPr>
      </w:pPr>
      <w:r w:rsidRPr="00D731BB">
        <w:rPr>
          <w:rFonts w:ascii="Arial" w:hAnsi="Arial" w:cs="Arial"/>
          <w:b/>
          <w:bCs/>
          <w:sz w:val="22"/>
          <w:szCs w:val="22"/>
        </w:rPr>
        <w:t>Question 1.2</w:t>
      </w:r>
    </w:p>
    <w:p w14:paraId="6B108B0A" w14:textId="77777777" w:rsidR="000F6063" w:rsidRPr="00D731BB" w:rsidRDefault="000F6063" w:rsidP="000F6063">
      <w:pPr>
        <w:jc w:val="both"/>
        <w:rPr>
          <w:rFonts w:ascii="Arial" w:hAnsi="Arial" w:cs="Arial"/>
          <w:sz w:val="22"/>
          <w:szCs w:val="22"/>
        </w:rPr>
      </w:pPr>
    </w:p>
    <w:p w14:paraId="74B2F863" w14:textId="77777777" w:rsidR="000F6063" w:rsidRPr="00D731BB" w:rsidRDefault="000F6063" w:rsidP="000F6063">
      <w:pPr>
        <w:ind w:left="720" w:hanging="720"/>
        <w:rPr>
          <w:rFonts w:ascii="Arial" w:hAnsi="Arial" w:cs="Arial"/>
          <w:sz w:val="22"/>
          <w:szCs w:val="22"/>
          <w:lang w:val="en-GB"/>
        </w:rPr>
      </w:pPr>
      <w:r w:rsidRPr="00D731BB">
        <w:rPr>
          <w:rFonts w:ascii="Arial" w:hAnsi="Arial" w:cs="Arial"/>
          <w:sz w:val="22"/>
          <w:szCs w:val="22"/>
          <w:lang w:val="en-GB"/>
        </w:rPr>
        <w:t xml:space="preserve">Which of the following is </w:t>
      </w:r>
      <w:r w:rsidRPr="00D731BB">
        <w:rPr>
          <w:rFonts w:ascii="Arial" w:hAnsi="Arial" w:cs="Arial"/>
          <w:b/>
          <w:bCs/>
          <w:sz w:val="22"/>
          <w:szCs w:val="22"/>
          <w:u w:val="single"/>
          <w:lang w:val="en-GB"/>
        </w:rPr>
        <w:t>not</w:t>
      </w:r>
      <w:r w:rsidRPr="00D731BB">
        <w:rPr>
          <w:rFonts w:ascii="Arial" w:hAnsi="Arial" w:cs="Arial"/>
          <w:sz w:val="22"/>
          <w:szCs w:val="22"/>
          <w:lang w:val="en-GB"/>
        </w:rPr>
        <w:t xml:space="preserve"> available in the Cayman Islands?</w:t>
      </w:r>
    </w:p>
    <w:p w14:paraId="10EFF49D" w14:textId="77777777" w:rsidR="000F6063" w:rsidRPr="00D731BB" w:rsidRDefault="000F6063" w:rsidP="000F6063">
      <w:pPr>
        <w:ind w:left="720" w:hanging="720"/>
        <w:rPr>
          <w:rFonts w:ascii="Arial" w:hAnsi="Arial" w:cs="Arial"/>
          <w:sz w:val="22"/>
          <w:szCs w:val="22"/>
          <w:lang w:val="en-GB"/>
        </w:rPr>
      </w:pPr>
    </w:p>
    <w:p w14:paraId="6087EE3F" w14:textId="044D0F7A" w:rsidR="000F6063" w:rsidRPr="00D731BB" w:rsidRDefault="000F6063" w:rsidP="007E03FA">
      <w:pPr>
        <w:pStyle w:val="ListParagraph"/>
        <w:numPr>
          <w:ilvl w:val="0"/>
          <w:numId w:val="32"/>
        </w:numPr>
        <w:ind w:left="426"/>
        <w:rPr>
          <w:rFonts w:ascii="Arial" w:hAnsi="Arial" w:cs="Arial"/>
          <w:sz w:val="22"/>
          <w:szCs w:val="22"/>
          <w:highlight w:val="yellow"/>
          <w:lang w:val="en-GB"/>
        </w:rPr>
      </w:pPr>
      <w:r w:rsidRPr="00D731BB">
        <w:rPr>
          <w:rFonts w:ascii="Arial" w:hAnsi="Arial" w:cs="Arial"/>
          <w:sz w:val="22"/>
          <w:szCs w:val="22"/>
          <w:highlight w:val="yellow"/>
          <w:lang w:val="en-GB"/>
        </w:rPr>
        <w:t>Appointment of a receiver.</w:t>
      </w:r>
      <w:r w:rsidR="00D731BB" w:rsidRPr="00D731BB">
        <w:rPr>
          <w:rFonts w:ascii="Arial" w:hAnsi="Arial" w:cs="Arial"/>
          <w:sz w:val="22"/>
          <w:szCs w:val="22"/>
          <w:highlight w:val="yellow"/>
          <w:lang w:val="en-GB"/>
        </w:rPr>
        <w:t>*</w:t>
      </w:r>
    </w:p>
    <w:p w14:paraId="29FAFDB8" w14:textId="77777777" w:rsidR="007E03FA" w:rsidRPr="00D731BB" w:rsidRDefault="007E03FA" w:rsidP="007E03FA">
      <w:pPr>
        <w:rPr>
          <w:rFonts w:ascii="Arial" w:hAnsi="Arial" w:cs="Arial"/>
          <w:sz w:val="22"/>
          <w:szCs w:val="22"/>
          <w:lang w:val="en-GB"/>
        </w:rPr>
      </w:pPr>
    </w:p>
    <w:p w14:paraId="59CBBE1A" w14:textId="1CE4572F" w:rsidR="000F6063" w:rsidRPr="00D731BB" w:rsidRDefault="000F6063" w:rsidP="007E03FA">
      <w:pPr>
        <w:pStyle w:val="ListParagraph"/>
        <w:numPr>
          <w:ilvl w:val="0"/>
          <w:numId w:val="32"/>
        </w:numPr>
        <w:ind w:left="426"/>
        <w:rPr>
          <w:rFonts w:ascii="Arial" w:hAnsi="Arial" w:cs="Arial"/>
          <w:sz w:val="22"/>
          <w:szCs w:val="22"/>
          <w:lang w:val="en-GB"/>
        </w:rPr>
      </w:pPr>
      <w:r w:rsidRPr="00D731BB">
        <w:rPr>
          <w:rFonts w:ascii="Arial" w:hAnsi="Arial" w:cs="Arial"/>
          <w:sz w:val="22"/>
          <w:szCs w:val="22"/>
          <w:lang w:val="en-GB"/>
        </w:rPr>
        <w:t>Court-supervised liquidation.</w:t>
      </w:r>
    </w:p>
    <w:p w14:paraId="7EF169A8" w14:textId="77777777" w:rsidR="007E03FA" w:rsidRPr="00D731BB" w:rsidRDefault="007E03FA" w:rsidP="007E03FA">
      <w:pPr>
        <w:rPr>
          <w:rFonts w:ascii="Arial" w:hAnsi="Arial" w:cs="Arial"/>
          <w:sz w:val="22"/>
          <w:szCs w:val="22"/>
          <w:lang w:val="en-GB"/>
        </w:rPr>
      </w:pPr>
    </w:p>
    <w:p w14:paraId="7848D5C4" w14:textId="0E6F4C18" w:rsidR="000F6063" w:rsidRPr="00D731BB" w:rsidRDefault="000F6063" w:rsidP="007E03FA">
      <w:pPr>
        <w:pStyle w:val="ListParagraph"/>
        <w:numPr>
          <w:ilvl w:val="0"/>
          <w:numId w:val="32"/>
        </w:numPr>
        <w:ind w:left="426"/>
        <w:rPr>
          <w:rFonts w:ascii="Arial" w:hAnsi="Arial" w:cs="Arial"/>
          <w:sz w:val="22"/>
          <w:szCs w:val="22"/>
          <w:lang w:val="en-GB"/>
        </w:rPr>
      </w:pPr>
      <w:r w:rsidRPr="00D731BB">
        <w:rPr>
          <w:rFonts w:ascii="Arial" w:hAnsi="Arial" w:cs="Arial"/>
          <w:sz w:val="22"/>
          <w:szCs w:val="22"/>
          <w:lang w:val="en-GB"/>
        </w:rPr>
        <w:t>Official liquidation.</w:t>
      </w:r>
    </w:p>
    <w:p w14:paraId="5EC6E426" w14:textId="77777777" w:rsidR="007E03FA" w:rsidRPr="00D731BB" w:rsidRDefault="007E03FA" w:rsidP="007E03FA">
      <w:pPr>
        <w:rPr>
          <w:rFonts w:ascii="Arial" w:hAnsi="Arial" w:cs="Arial"/>
          <w:sz w:val="22"/>
          <w:szCs w:val="22"/>
          <w:lang w:val="en-GB"/>
        </w:rPr>
      </w:pPr>
    </w:p>
    <w:p w14:paraId="1D3DB6BE" w14:textId="4E425802" w:rsidR="000F6063" w:rsidRPr="00D731BB" w:rsidRDefault="000F6063" w:rsidP="007E03FA">
      <w:pPr>
        <w:pStyle w:val="ListParagraph"/>
        <w:numPr>
          <w:ilvl w:val="0"/>
          <w:numId w:val="32"/>
        </w:numPr>
        <w:ind w:left="426"/>
        <w:rPr>
          <w:rFonts w:ascii="Arial" w:hAnsi="Arial" w:cs="Arial"/>
          <w:sz w:val="22"/>
          <w:szCs w:val="22"/>
          <w:lang w:val="en-GB"/>
        </w:rPr>
      </w:pPr>
      <w:r w:rsidRPr="00D731BB">
        <w:rPr>
          <w:rFonts w:ascii="Arial" w:hAnsi="Arial" w:cs="Arial"/>
          <w:sz w:val="22"/>
          <w:szCs w:val="22"/>
          <w:lang w:val="en-GB"/>
        </w:rPr>
        <w:t>Deed of Company Arrangement.</w:t>
      </w:r>
    </w:p>
    <w:p w14:paraId="385539B3" w14:textId="7ECB6F7B" w:rsidR="00920BE7" w:rsidRDefault="00920BE7" w:rsidP="000659CF">
      <w:pPr>
        <w:rPr>
          <w:rFonts w:ascii="Arial" w:hAnsi="Arial" w:cs="Arial"/>
          <w:sz w:val="22"/>
          <w:szCs w:val="22"/>
          <w:lang w:val="en-GB"/>
        </w:rPr>
      </w:pPr>
    </w:p>
    <w:p w14:paraId="5D80B645" w14:textId="6713D1F1" w:rsidR="00D731BB" w:rsidRPr="00B14D0E" w:rsidRDefault="00D731BB" w:rsidP="000659CF">
      <w:pPr>
        <w:rPr>
          <w:rFonts w:ascii="Arial" w:hAnsi="Arial" w:cs="Arial"/>
          <w:sz w:val="18"/>
          <w:szCs w:val="18"/>
          <w:lang w:val="en-GB"/>
        </w:rPr>
      </w:pPr>
      <w:r w:rsidRPr="00B14D0E">
        <w:rPr>
          <w:rFonts w:ascii="Arial" w:hAnsi="Arial" w:cs="Arial"/>
          <w:sz w:val="18"/>
          <w:szCs w:val="18"/>
          <w:lang w:val="en-GB"/>
        </w:rPr>
        <w:t>*</w:t>
      </w:r>
      <w:r w:rsidRPr="00B14D0E">
        <w:rPr>
          <w:rFonts w:ascii="Arial" w:hAnsi="Arial" w:cs="Arial"/>
          <w:i/>
          <w:iCs/>
          <w:sz w:val="18"/>
          <w:szCs w:val="18"/>
          <w:lang w:val="en-GB"/>
        </w:rPr>
        <w:t xml:space="preserve">the appointment of a receiver is actually available in the Cayman Islands, albeit it is not explicitly mentioned in the Cayman Islands statutory provisions regarding insolvency. It should be noted that such appointments are provided for in the Grand Court Rules. </w:t>
      </w:r>
      <w:r w:rsidR="00B14D0E" w:rsidRPr="00B14D0E">
        <w:rPr>
          <w:rFonts w:ascii="Arial" w:hAnsi="Arial" w:cs="Arial"/>
          <w:i/>
          <w:iCs/>
          <w:sz w:val="18"/>
          <w:szCs w:val="18"/>
          <w:lang w:val="en-GB"/>
        </w:rPr>
        <w:t xml:space="preserve">The other three are available and codified in the Cayman Islands’ law. </w:t>
      </w:r>
      <w:r w:rsidRPr="00B14D0E">
        <w:rPr>
          <w:rFonts w:ascii="Arial" w:hAnsi="Arial" w:cs="Arial"/>
          <w:i/>
          <w:iCs/>
          <w:sz w:val="18"/>
          <w:szCs w:val="18"/>
          <w:lang w:val="en-GB"/>
        </w:rPr>
        <w:t xml:space="preserve">As such, all four are technically available </w:t>
      </w:r>
      <w:r w:rsidR="009954DA" w:rsidRPr="00B14D0E">
        <w:rPr>
          <w:rFonts w:ascii="Arial" w:hAnsi="Arial" w:cs="Arial"/>
          <w:i/>
          <w:iCs/>
          <w:sz w:val="18"/>
          <w:szCs w:val="18"/>
          <w:lang w:val="en-GB"/>
        </w:rPr>
        <w:t xml:space="preserve">tools </w:t>
      </w:r>
      <w:r w:rsidRPr="00B14D0E">
        <w:rPr>
          <w:rFonts w:ascii="Arial" w:hAnsi="Arial" w:cs="Arial"/>
          <w:i/>
          <w:iCs/>
          <w:sz w:val="18"/>
          <w:szCs w:val="18"/>
          <w:lang w:val="en-GB"/>
        </w:rPr>
        <w:t xml:space="preserve">in the </w:t>
      </w:r>
      <w:r w:rsidRPr="00B14D0E">
        <w:rPr>
          <w:rFonts w:ascii="Arial" w:hAnsi="Arial" w:cs="Arial"/>
          <w:i/>
          <w:iCs/>
          <w:sz w:val="18"/>
          <w:szCs w:val="18"/>
          <w:u w:val="single"/>
          <w:lang w:val="en-GB"/>
        </w:rPr>
        <w:t>Cayman Islands.</w:t>
      </w:r>
    </w:p>
    <w:p w14:paraId="30105CF8" w14:textId="77777777" w:rsidR="00D731BB" w:rsidRDefault="00D731BB"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4B68C9"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4B68C9">
        <w:rPr>
          <w:rFonts w:ascii="Arial" w:hAnsi="Arial" w:cs="Arial"/>
          <w:color w:val="000000" w:themeColor="text1"/>
          <w:sz w:val="22"/>
          <w:szCs w:val="22"/>
          <w:highlight w:val="yellow"/>
          <w:lang w:val="en-GB"/>
        </w:rPr>
        <w:t>The company must cease trading except where it is necessary and beneficial to the liquidation</w:t>
      </w:r>
      <w:r w:rsidR="00A46FE2" w:rsidRPr="004B68C9">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4B68C9" w:rsidRDefault="00CB2364" w:rsidP="00924973">
      <w:pPr>
        <w:pStyle w:val="ListParagraph"/>
        <w:numPr>
          <w:ilvl w:val="0"/>
          <w:numId w:val="34"/>
        </w:numPr>
        <w:ind w:left="426"/>
        <w:rPr>
          <w:rFonts w:ascii="Arial" w:hAnsi="Arial" w:cs="Arial"/>
          <w:sz w:val="22"/>
          <w:szCs w:val="22"/>
          <w:highlight w:val="yellow"/>
          <w:lang w:val="en-GB"/>
        </w:rPr>
      </w:pPr>
      <w:r w:rsidRPr="004B68C9">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383CA4" w:rsidRDefault="000F6063" w:rsidP="00924973">
      <w:pPr>
        <w:pStyle w:val="ListParagraph"/>
        <w:numPr>
          <w:ilvl w:val="0"/>
          <w:numId w:val="35"/>
        </w:numPr>
        <w:ind w:left="426"/>
        <w:rPr>
          <w:rFonts w:ascii="Arial" w:hAnsi="Arial" w:cs="Arial"/>
          <w:sz w:val="22"/>
          <w:szCs w:val="22"/>
          <w:highlight w:val="yellow"/>
          <w:lang w:val="en-GB"/>
        </w:rPr>
      </w:pPr>
      <w:r w:rsidRPr="00383CA4">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370408" w:rsidRDefault="00E177F0" w:rsidP="00924973">
      <w:pPr>
        <w:pStyle w:val="ListParagraph"/>
        <w:numPr>
          <w:ilvl w:val="0"/>
          <w:numId w:val="36"/>
        </w:numPr>
        <w:ind w:left="426"/>
        <w:rPr>
          <w:rFonts w:ascii="Arial" w:hAnsi="Arial" w:cs="Arial"/>
          <w:sz w:val="22"/>
          <w:szCs w:val="22"/>
          <w:highlight w:val="yellow"/>
          <w:lang w:val="en-GB"/>
        </w:rPr>
      </w:pPr>
      <w:r w:rsidRPr="00370408">
        <w:rPr>
          <w:rFonts w:ascii="Arial" w:hAnsi="Arial" w:cs="Arial"/>
          <w:sz w:val="22"/>
          <w:szCs w:val="22"/>
          <w:highlight w:val="yellow"/>
          <w:lang w:val="en-GB"/>
        </w:rPr>
        <w:t>May enforce their security without leave of the court</w:t>
      </w:r>
      <w:r w:rsidR="00803C72" w:rsidRPr="00370408">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25AD2D5A"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FB19AA0" w14:textId="77777777" w:rsidR="007F18D0" w:rsidRPr="00924973" w:rsidRDefault="007F18D0" w:rsidP="007F18D0">
      <w:pPr>
        <w:pStyle w:val="ListParagraph"/>
        <w:ind w:left="426"/>
        <w:jc w:val="both"/>
        <w:rPr>
          <w:rFonts w:ascii="Arial" w:hAnsi="Arial" w:cs="Arial"/>
          <w:sz w:val="22"/>
          <w:szCs w:val="22"/>
          <w:lang w:val="en-GB"/>
        </w:rPr>
      </w:pPr>
    </w:p>
    <w:p w14:paraId="61FEC1EF" w14:textId="7E872FDB" w:rsidR="000F6063" w:rsidRPr="007D2C0E" w:rsidRDefault="000F6063" w:rsidP="00924973">
      <w:pPr>
        <w:pStyle w:val="ListParagraph"/>
        <w:numPr>
          <w:ilvl w:val="0"/>
          <w:numId w:val="37"/>
        </w:numPr>
        <w:ind w:left="426"/>
        <w:jc w:val="both"/>
        <w:rPr>
          <w:rFonts w:ascii="Arial" w:hAnsi="Arial" w:cs="Arial"/>
          <w:sz w:val="22"/>
          <w:szCs w:val="22"/>
          <w:highlight w:val="yellow"/>
          <w:lang w:val="en-GB"/>
        </w:rPr>
      </w:pPr>
      <w:r w:rsidRPr="007D2C0E">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Default="00853B56" w:rsidP="00924973">
      <w:pPr>
        <w:pStyle w:val="ListParagraph"/>
        <w:numPr>
          <w:ilvl w:val="0"/>
          <w:numId w:val="38"/>
        </w:numPr>
        <w:ind w:left="426"/>
        <w:jc w:val="both"/>
        <w:rPr>
          <w:rFonts w:ascii="Arial" w:hAnsi="Arial" w:cs="Arial"/>
          <w:sz w:val="22"/>
          <w:szCs w:val="22"/>
          <w:lang w:val="en-GB"/>
        </w:rPr>
      </w:pPr>
      <w:r w:rsidRPr="0076388B">
        <w:rPr>
          <w:rFonts w:ascii="Arial" w:hAnsi="Arial" w:cs="Arial"/>
          <w:sz w:val="22"/>
          <w:szCs w:val="22"/>
          <w:highlight w:val="yellow"/>
          <w:lang w:val="en-GB"/>
        </w:rPr>
        <w:t>Amounts due to p</w:t>
      </w:r>
      <w:r w:rsidR="005327B7" w:rsidRPr="0076388B">
        <w:rPr>
          <w:rFonts w:ascii="Arial" w:hAnsi="Arial" w:cs="Arial"/>
          <w:sz w:val="22"/>
          <w:szCs w:val="22"/>
          <w:highlight w:val="yellow"/>
          <w:lang w:val="en-GB"/>
        </w:rPr>
        <w:t>referred shareholders</w:t>
      </w:r>
      <w:r w:rsidR="00803C72" w:rsidRPr="00924973">
        <w:rPr>
          <w:rFonts w:ascii="Arial" w:hAnsi="Arial" w:cs="Arial"/>
          <w:sz w:val="22"/>
          <w:szCs w:val="22"/>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0D3B77" w:rsidRDefault="005327B7" w:rsidP="00924973">
      <w:pPr>
        <w:pStyle w:val="ListParagraph"/>
        <w:numPr>
          <w:ilvl w:val="0"/>
          <w:numId w:val="39"/>
        </w:numPr>
        <w:ind w:left="426"/>
        <w:jc w:val="both"/>
        <w:rPr>
          <w:rFonts w:ascii="Arial" w:hAnsi="Arial" w:cs="Arial"/>
          <w:sz w:val="22"/>
          <w:szCs w:val="22"/>
          <w:highlight w:val="yellow"/>
          <w:lang w:val="en-GB"/>
        </w:rPr>
      </w:pPr>
      <w:r w:rsidRPr="000D3B77">
        <w:rPr>
          <w:rFonts w:ascii="Arial" w:hAnsi="Arial" w:cs="Arial"/>
          <w:sz w:val="22"/>
          <w:szCs w:val="22"/>
          <w:highlight w:val="yellow"/>
          <w:lang w:val="en-GB"/>
        </w:rPr>
        <w:t>The board of directors decides it is “just and equitable” for the company to be wound up</w:t>
      </w:r>
      <w:r w:rsidR="00D06A87" w:rsidRPr="000D3B77">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Pr="00B20875" w:rsidRDefault="000F6063" w:rsidP="00924973">
      <w:pPr>
        <w:pStyle w:val="ListParagraph"/>
        <w:numPr>
          <w:ilvl w:val="0"/>
          <w:numId w:val="40"/>
        </w:numPr>
        <w:ind w:left="426"/>
        <w:jc w:val="both"/>
        <w:rPr>
          <w:rFonts w:ascii="Arial" w:hAnsi="Arial" w:cs="Arial"/>
          <w:sz w:val="22"/>
          <w:szCs w:val="22"/>
          <w:highlight w:val="yellow"/>
          <w:lang w:val="en-GB"/>
        </w:rPr>
      </w:pPr>
      <w:r w:rsidRPr="00B20875">
        <w:rPr>
          <w:rFonts w:ascii="Arial" w:hAnsi="Arial" w:cs="Arial"/>
          <w:sz w:val="22"/>
          <w:szCs w:val="22"/>
          <w:highlight w:val="yellow"/>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92497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64E330DE" w14:textId="652073FA" w:rsidR="00640F34" w:rsidRDefault="00640F34" w:rsidP="00640F34">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Cayman Islands, there are several </w:t>
      </w:r>
      <w:r w:rsidRPr="00D138DA">
        <w:rPr>
          <w:rFonts w:ascii="Arial" w:hAnsi="Arial" w:cs="Arial"/>
          <w:b/>
          <w:bCs/>
          <w:color w:val="808080" w:themeColor="background1" w:themeShade="80"/>
          <w:sz w:val="22"/>
          <w:szCs w:val="22"/>
          <w:lang w:val="en-GB"/>
        </w:rPr>
        <w:t>ownership registers</w:t>
      </w:r>
      <w:r>
        <w:rPr>
          <w:rFonts w:ascii="Arial" w:hAnsi="Arial" w:cs="Arial"/>
          <w:color w:val="808080" w:themeColor="background1" w:themeShade="80"/>
          <w:sz w:val="22"/>
          <w:szCs w:val="22"/>
          <w:lang w:val="en-GB"/>
        </w:rPr>
        <w:t xml:space="preserve"> which are centrally held. These include registers for real estate, ships, aircrafts, motor vehicles, and intellectual properties. Mortgages and charges can be registered in these registers </w:t>
      </w:r>
      <w:r w:rsidRPr="00D138DA">
        <w:rPr>
          <w:rFonts w:ascii="Arial" w:hAnsi="Arial" w:cs="Arial"/>
          <w:b/>
          <w:bCs/>
          <w:color w:val="808080" w:themeColor="background1" w:themeShade="80"/>
          <w:sz w:val="22"/>
          <w:szCs w:val="22"/>
          <w:lang w:val="en-GB"/>
        </w:rPr>
        <w:t>by filing a notice</w:t>
      </w:r>
      <w:r>
        <w:rPr>
          <w:rFonts w:ascii="Arial" w:hAnsi="Arial" w:cs="Arial"/>
          <w:color w:val="808080" w:themeColor="background1" w:themeShade="80"/>
          <w:sz w:val="22"/>
          <w:szCs w:val="22"/>
          <w:lang w:val="en-GB"/>
        </w:rPr>
        <w:t xml:space="preserve"> of the security. Once </w:t>
      </w:r>
      <w:r w:rsidR="00B3618E">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 xml:space="preserve"> registration is complete, lender</w:t>
      </w:r>
      <w:r w:rsidR="00B3618E">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can ensure that other people will have notice of the secured position as they are </w:t>
      </w:r>
      <w:r w:rsidRPr="00D138DA">
        <w:rPr>
          <w:rFonts w:ascii="Arial" w:hAnsi="Arial" w:cs="Arial"/>
          <w:b/>
          <w:bCs/>
          <w:color w:val="808080" w:themeColor="background1" w:themeShade="80"/>
          <w:sz w:val="22"/>
          <w:szCs w:val="22"/>
          <w:lang w:val="en-GB"/>
        </w:rPr>
        <w:t>deemed to have notice</w:t>
      </w:r>
      <w:r>
        <w:rPr>
          <w:rFonts w:ascii="Arial" w:hAnsi="Arial" w:cs="Arial"/>
          <w:color w:val="808080" w:themeColor="background1" w:themeShade="80"/>
          <w:sz w:val="22"/>
          <w:szCs w:val="22"/>
          <w:lang w:val="en-GB"/>
        </w:rPr>
        <w:t>.</w:t>
      </w:r>
    </w:p>
    <w:p w14:paraId="16E19D36" w14:textId="4E1E5405" w:rsidR="002B3A96" w:rsidRDefault="00640F34" w:rsidP="00D138DA">
      <w:pPr>
        <w:ind w:firstLine="720"/>
        <w:jc w:val="both"/>
        <w:rPr>
          <w:rFonts w:ascii="Arial" w:hAnsi="Arial" w:cs="Arial"/>
          <w:color w:val="808080" w:themeColor="background1" w:themeShade="80"/>
          <w:sz w:val="22"/>
          <w:szCs w:val="22"/>
          <w:lang w:val="en-GB"/>
        </w:rPr>
      </w:pPr>
      <w:r w:rsidRPr="00D138DA">
        <w:rPr>
          <w:rFonts w:ascii="Arial" w:hAnsi="Arial" w:cs="Arial"/>
          <w:b/>
          <w:bCs/>
          <w:color w:val="808080" w:themeColor="background1" w:themeShade="80"/>
          <w:sz w:val="22"/>
          <w:szCs w:val="22"/>
          <w:lang w:val="en-GB"/>
        </w:rPr>
        <w:t>Other assets cannot be registered</w:t>
      </w:r>
      <w:r>
        <w:rPr>
          <w:rFonts w:ascii="Arial" w:hAnsi="Arial" w:cs="Arial"/>
          <w:color w:val="808080" w:themeColor="background1" w:themeShade="80"/>
          <w:sz w:val="22"/>
          <w:szCs w:val="22"/>
          <w:lang w:val="en-GB"/>
        </w:rPr>
        <w:t xml:space="preserve"> as such as these are not included in the public security registration regime.</w:t>
      </w:r>
      <w:r w:rsidR="00D138DA">
        <w:rPr>
          <w:rFonts w:ascii="Arial" w:hAnsi="Arial" w:cs="Arial"/>
          <w:color w:val="808080" w:themeColor="background1" w:themeShade="80"/>
          <w:sz w:val="22"/>
          <w:szCs w:val="22"/>
          <w:lang w:val="en-GB"/>
        </w:rPr>
        <w:t xml:space="preserve"> Security interests should be entered in the </w:t>
      </w:r>
      <w:r w:rsidR="00D138DA" w:rsidRPr="00D138DA">
        <w:rPr>
          <w:rFonts w:ascii="Arial" w:hAnsi="Arial" w:cs="Arial"/>
          <w:b/>
          <w:bCs/>
          <w:color w:val="808080" w:themeColor="background1" w:themeShade="80"/>
          <w:sz w:val="22"/>
          <w:szCs w:val="22"/>
          <w:lang w:val="en-GB"/>
        </w:rPr>
        <w:t>register of mortgages</w:t>
      </w:r>
      <w:r w:rsidR="00D138DA">
        <w:rPr>
          <w:rFonts w:ascii="Arial" w:hAnsi="Arial" w:cs="Arial"/>
          <w:color w:val="808080" w:themeColor="background1" w:themeShade="80"/>
          <w:sz w:val="22"/>
          <w:szCs w:val="22"/>
          <w:lang w:val="en-GB"/>
        </w:rPr>
        <w:t xml:space="preserve"> and charges of the debtor company itself, within its registered office. If the debtor does not register or update the information in its register, </w:t>
      </w:r>
      <w:r w:rsidR="005954D3">
        <w:rPr>
          <w:rFonts w:ascii="Arial" w:hAnsi="Arial" w:cs="Arial"/>
          <w:color w:val="808080" w:themeColor="background1" w:themeShade="80"/>
          <w:sz w:val="22"/>
          <w:szCs w:val="22"/>
          <w:lang w:val="en-GB"/>
        </w:rPr>
        <w:t xml:space="preserve">this </w:t>
      </w:r>
      <w:r w:rsidR="00D138DA">
        <w:rPr>
          <w:rFonts w:ascii="Arial" w:hAnsi="Arial" w:cs="Arial"/>
          <w:color w:val="808080" w:themeColor="background1" w:themeShade="80"/>
          <w:sz w:val="22"/>
          <w:szCs w:val="22"/>
          <w:lang w:val="en-GB"/>
        </w:rPr>
        <w:t xml:space="preserve">does not render the security interests invalid. The register is open for inspection and </w:t>
      </w:r>
      <w:r w:rsidR="00D138DA" w:rsidRPr="00D138DA">
        <w:rPr>
          <w:rFonts w:ascii="Arial" w:hAnsi="Arial" w:cs="Arial"/>
          <w:b/>
          <w:bCs/>
          <w:color w:val="808080" w:themeColor="background1" w:themeShade="80"/>
          <w:sz w:val="22"/>
          <w:szCs w:val="22"/>
          <w:lang w:val="en-GB"/>
        </w:rPr>
        <w:t>puts third parties on notice</w:t>
      </w:r>
      <w:r w:rsidR="00D138DA">
        <w:rPr>
          <w:rFonts w:ascii="Arial" w:hAnsi="Arial" w:cs="Arial"/>
          <w:color w:val="808080" w:themeColor="background1" w:themeShade="80"/>
          <w:sz w:val="22"/>
          <w:szCs w:val="22"/>
          <w:lang w:val="en-GB"/>
        </w:rPr>
        <w:t xml:space="preserve"> of the existence of a security. As such, a potential creditor </w:t>
      </w:r>
      <w:r w:rsidR="005954D3">
        <w:rPr>
          <w:rFonts w:ascii="Arial" w:hAnsi="Arial" w:cs="Arial"/>
          <w:color w:val="808080" w:themeColor="background1" w:themeShade="80"/>
          <w:sz w:val="22"/>
          <w:szCs w:val="22"/>
          <w:lang w:val="en-GB"/>
        </w:rPr>
        <w:t>can</w:t>
      </w:r>
      <w:r w:rsidR="00D138DA">
        <w:rPr>
          <w:rFonts w:ascii="Arial" w:hAnsi="Arial" w:cs="Arial"/>
          <w:color w:val="808080" w:themeColor="background1" w:themeShade="80"/>
          <w:sz w:val="22"/>
          <w:szCs w:val="22"/>
          <w:lang w:val="en-GB"/>
        </w:rPr>
        <w:t xml:space="preserve"> review the registers prior to making a loan.</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440C089C" w:rsidR="00D27CBC" w:rsidRDefault="00531982" w:rsidP="00531982">
      <w:pPr>
        <w:tabs>
          <w:tab w:val="left" w:pos="6568"/>
        </w:tabs>
        <w:jc w:val="both"/>
        <w:rPr>
          <w:rFonts w:ascii="Arial" w:hAnsi="Arial" w:cs="Arial"/>
          <w:b/>
          <w:bCs/>
          <w:sz w:val="22"/>
          <w:szCs w:val="22"/>
          <w:lang w:val="en-GB"/>
        </w:rPr>
      </w:pPr>
      <w:r>
        <w:rPr>
          <w:rFonts w:ascii="Arial" w:hAnsi="Arial" w:cs="Arial"/>
          <w:b/>
          <w:bCs/>
          <w:sz w:val="22"/>
          <w:szCs w:val="22"/>
          <w:lang w:val="en-GB"/>
        </w:rPr>
        <w:tab/>
      </w:r>
    </w:p>
    <w:p w14:paraId="357AC042" w14:textId="295E463F" w:rsidR="00CA1FCA" w:rsidRDefault="00CA1FCA" w:rsidP="00CA1FCA">
      <w:pPr>
        <w:ind w:firstLine="720"/>
        <w:jc w:val="both"/>
        <w:rPr>
          <w:rFonts w:ascii="Arial" w:hAnsi="Arial" w:cs="Arial"/>
          <w:b/>
          <w:bCs/>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Grand Court does have the </w:t>
      </w:r>
      <w:r>
        <w:rPr>
          <w:rFonts w:ascii="Arial" w:hAnsi="Arial" w:cs="Arial"/>
          <w:b/>
          <w:bCs/>
          <w:color w:val="808080" w:themeColor="background1" w:themeShade="80"/>
          <w:sz w:val="22"/>
          <w:szCs w:val="22"/>
          <w:lang w:val="en-GB"/>
        </w:rPr>
        <w:t>power to assist foreign bankruptcy proceedings</w:t>
      </w:r>
      <w:r>
        <w:rPr>
          <w:rFonts w:ascii="Arial" w:hAnsi="Arial" w:cs="Arial"/>
          <w:color w:val="808080" w:themeColor="background1" w:themeShade="80"/>
          <w:sz w:val="22"/>
          <w:szCs w:val="22"/>
          <w:lang w:val="en-GB"/>
        </w:rPr>
        <w:t xml:space="preserve">, as provided for under </w:t>
      </w:r>
      <w:r w:rsidRPr="00CA1FCA">
        <w:rPr>
          <w:rFonts w:ascii="Arial" w:hAnsi="Arial" w:cs="Arial"/>
          <w:b/>
          <w:bCs/>
          <w:color w:val="808080" w:themeColor="background1" w:themeShade="80"/>
          <w:sz w:val="22"/>
          <w:szCs w:val="22"/>
          <w:lang w:val="en-GB"/>
        </w:rPr>
        <w:t>Part XVII of the Companies Act</w:t>
      </w:r>
      <w:r>
        <w:rPr>
          <w:rFonts w:ascii="Arial" w:hAnsi="Arial" w:cs="Arial"/>
          <w:b/>
          <w:bCs/>
          <w:color w:val="808080" w:themeColor="background1" w:themeShade="80"/>
          <w:sz w:val="22"/>
          <w:szCs w:val="22"/>
          <w:lang w:val="en-GB"/>
        </w:rPr>
        <w:t xml:space="preserve">. </w:t>
      </w:r>
    </w:p>
    <w:p w14:paraId="5A591864" w14:textId="77777777" w:rsidR="0073076F" w:rsidRDefault="00CA1FCA" w:rsidP="000C5D16">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These powers, within the scope of Part XVII of the Companies Act, are exercised by the Court’s </w:t>
      </w:r>
      <w:r w:rsidRPr="009F50FD">
        <w:rPr>
          <w:rFonts w:ascii="Arial" w:hAnsi="Arial" w:cs="Arial"/>
          <w:b/>
          <w:bCs/>
          <w:color w:val="808080" w:themeColor="background1" w:themeShade="80"/>
          <w:sz w:val="22"/>
          <w:szCs w:val="22"/>
          <w:lang w:val="en-GB"/>
        </w:rPr>
        <w:t>discretion</w:t>
      </w:r>
      <w:r>
        <w:rPr>
          <w:rFonts w:ascii="Arial" w:hAnsi="Arial" w:cs="Arial"/>
          <w:color w:val="808080" w:themeColor="background1" w:themeShade="80"/>
          <w:sz w:val="22"/>
          <w:szCs w:val="22"/>
          <w:lang w:val="en-GB"/>
        </w:rPr>
        <w:t xml:space="preserve"> if the foreign representatives satisfy the Court that </w:t>
      </w:r>
      <w:r w:rsidR="0073076F">
        <w:rPr>
          <w:rFonts w:ascii="Arial" w:hAnsi="Arial" w:cs="Arial"/>
          <w:color w:val="808080" w:themeColor="background1" w:themeShade="80"/>
          <w:sz w:val="22"/>
          <w:szCs w:val="22"/>
          <w:lang w:val="en-GB"/>
        </w:rPr>
        <w:t xml:space="preserve">granting the relief that is being sought in the foreign representative’s application is appropriate. </w:t>
      </w:r>
    </w:p>
    <w:p w14:paraId="4987BF1D" w14:textId="7159EA76" w:rsidR="00CA1FCA" w:rsidRDefault="009F50FD" w:rsidP="000C5D16">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the Court should be guided by </w:t>
      </w:r>
      <w:r w:rsidRPr="000C5D16">
        <w:rPr>
          <w:rFonts w:ascii="Arial" w:hAnsi="Arial" w:cs="Arial"/>
          <w:b/>
          <w:bCs/>
          <w:color w:val="808080" w:themeColor="background1" w:themeShade="80"/>
          <w:sz w:val="22"/>
          <w:szCs w:val="22"/>
          <w:lang w:val="en-GB"/>
        </w:rPr>
        <w:t>certain factors</w:t>
      </w:r>
      <w:r>
        <w:rPr>
          <w:rFonts w:ascii="Arial" w:hAnsi="Arial" w:cs="Arial"/>
          <w:color w:val="808080" w:themeColor="background1" w:themeShade="80"/>
          <w:sz w:val="22"/>
          <w:szCs w:val="22"/>
          <w:lang w:val="en-GB"/>
        </w:rPr>
        <w:t xml:space="preserve"> in determining whether it should grant </w:t>
      </w:r>
      <w:r>
        <w:rPr>
          <w:rFonts w:ascii="Arial" w:hAnsi="Arial" w:cs="Arial"/>
          <w:b/>
          <w:bCs/>
          <w:color w:val="808080" w:themeColor="background1" w:themeShade="80"/>
          <w:sz w:val="22"/>
          <w:szCs w:val="22"/>
          <w:lang w:val="en-GB"/>
        </w:rPr>
        <w:t xml:space="preserve">ancillary orders </w:t>
      </w:r>
      <w:r>
        <w:rPr>
          <w:rFonts w:ascii="Arial" w:hAnsi="Arial" w:cs="Arial"/>
          <w:color w:val="808080" w:themeColor="background1" w:themeShade="80"/>
          <w:sz w:val="22"/>
          <w:szCs w:val="22"/>
          <w:lang w:val="en-GB"/>
        </w:rPr>
        <w:t xml:space="preserve">(ie assist the foreign bankruptcy proceedings). These factors ensure the relatively cost and time efficient options for administration of the debtor’s estate. These include: the just treatment of all holders of claims and the protection of claim holders </w:t>
      </w:r>
      <w:r w:rsidR="0073076F">
        <w:rPr>
          <w:rFonts w:ascii="Arial" w:hAnsi="Arial" w:cs="Arial"/>
          <w:color w:val="808080" w:themeColor="background1" w:themeShade="80"/>
          <w:sz w:val="22"/>
          <w:szCs w:val="22"/>
          <w:lang w:val="en-GB"/>
        </w:rPr>
        <w:t>in</w:t>
      </w:r>
      <w:r>
        <w:rPr>
          <w:rFonts w:ascii="Arial" w:hAnsi="Arial" w:cs="Arial"/>
          <w:color w:val="808080" w:themeColor="background1" w:themeShade="80"/>
          <w:sz w:val="22"/>
          <w:szCs w:val="22"/>
          <w:lang w:val="en-GB"/>
        </w:rPr>
        <w:t xml:space="preserve"> the Cayman Islands, prevention of fraudulent actions, distribution of the proceeds according to the statutory priority, recognition and enforcement of security interests,</w:t>
      </w:r>
      <w:r w:rsidR="000C5D16">
        <w:rPr>
          <w:rFonts w:ascii="Arial" w:hAnsi="Arial" w:cs="Arial"/>
          <w:color w:val="808080" w:themeColor="background1" w:themeShade="80"/>
          <w:sz w:val="22"/>
          <w:szCs w:val="22"/>
          <w:lang w:val="en-GB"/>
        </w:rPr>
        <w:t xml:space="preserve"> non-enforcement of foreign taxes, and comity.</w:t>
      </w:r>
    </w:p>
    <w:p w14:paraId="4A40458D" w14:textId="0988A86E" w:rsidR="00D27CBC" w:rsidRDefault="00D27CBC" w:rsidP="00D27CBC">
      <w:pPr>
        <w:jc w:val="both"/>
        <w:rPr>
          <w:rFonts w:ascii="Arial" w:hAnsi="Arial" w:cs="Arial"/>
          <w:color w:val="808080" w:themeColor="background1" w:themeShade="80"/>
          <w:sz w:val="22"/>
          <w:szCs w:val="22"/>
          <w:lang w:val="en-GB"/>
        </w:rPr>
      </w:pPr>
    </w:p>
    <w:p w14:paraId="5AB247EC" w14:textId="77777777" w:rsidR="000C5D16" w:rsidRDefault="000C5D16"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1C916F1" w14:textId="597EAA6F" w:rsidR="000C5D16" w:rsidRDefault="000C5D16" w:rsidP="000C5D16">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Firstly, it should be noted that the Cayman Islands has not entered into international agreements regarding reciprocal recognition, and is not signatory to international convention </w:t>
      </w:r>
      <w:r w:rsidR="005B2D68">
        <w:rPr>
          <w:rFonts w:ascii="Arial" w:hAnsi="Arial" w:cs="Arial"/>
          <w:color w:val="808080" w:themeColor="background1" w:themeShade="80"/>
          <w:sz w:val="22"/>
          <w:szCs w:val="22"/>
          <w:lang w:val="en-GB"/>
        </w:rPr>
        <w:t>regarding recognition and enforcement of civil and commercial judgements such as</w:t>
      </w:r>
      <w:r>
        <w:rPr>
          <w:rFonts w:ascii="Arial" w:hAnsi="Arial" w:cs="Arial"/>
          <w:color w:val="808080" w:themeColor="background1" w:themeShade="80"/>
          <w:sz w:val="22"/>
          <w:szCs w:val="22"/>
          <w:lang w:val="en-GB"/>
        </w:rPr>
        <w:t xml:space="preserve"> the Hague Convention on the Recognition and Enforcement of Foreign </w:t>
      </w:r>
      <w:r w:rsidR="005B2D68">
        <w:rPr>
          <w:rFonts w:ascii="Arial" w:hAnsi="Arial" w:cs="Arial"/>
          <w:color w:val="808080" w:themeColor="background1" w:themeShade="80"/>
          <w:sz w:val="22"/>
          <w:szCs w:val="22"/>
          <w:lang w:val="en-GB"/>
        </w:rPr>
        <w:t>Judgements in Civil and Commercial Matters</w:t>
      </w:r>
      <w:r>
        <w:rPr>
          <w:rFonts w:ascii="Arial" w:hAnsi="Arial" w:cs="Arial"/>
          <w:color w:val="808080" w:themeColor="background1" w:themeShade="80"/>
          <w:sz w:val="22"/>
          <w:szCs w:val="22"/>
          <w:lang w:val="en-GB"/>
        </w:rPr>
        <w:t xml:space="preserve">. </w:t>
      </w:r>
    </w:p>
    <w:p w14:paraId="6B5D4368" w14:textId="57BBA7D2" w:rsidR="005B2D68" w:rsidRDefault="005B2D68" w:rsidP="000C5D16">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Pr>
          <w:rFonts w:ascii="Arial" w:hAnsi="Arial" w:cs="Arial"/>
          <w:b/>
          <w:bCs/>
          <w:color w:val="808080" w:themeColor="background1" w:themeShade="80"/>
          <w:sz w:val="22"/>
          <w:szCs w:val="22"/>
          <w:lang w:val="en-GB"/>
        </w:rPr>
        <w:t>Foreign Judgments Reciprocal Enforcement Act (1996 Revision)</w:t>
      </w:r>
      <w:r>
        <w:rPr>
          <w:rFonts w:ascii="Arial" w:hAnsi="Arial" w:cs="Arial"/>
          <w:color w:val="808080" w:themeColor="background1" w:themeShade="80"/>
          <w:sz w:val="22"/>
          <w:szCs w:val="22"/>
          <w:lang w:val="en-GB"/>
        </w:rPr>
        <w:t xml:space="preserve"> provides a statutory scheme for such foreign judgments to be recognized and enforced in situations where the judgement originates from a country which assures substantial reciprocity of treatment regarding the enforcement of judgments originating from the Cayman Islands courts. The applicability of the Act is rather limited. </w:t>
      </w:r>
      <w:r w:rsidRPr="005B2D68">
        <w:rPr>
          <w:rFonts w:ascii="Arial" w:hAnsi="Arial" w:cs="Arial"/>
          <w:color w:val="808080" w:themeColor="background1" w:themeShade="80"/>
          <w:sz w:val="22"/>
          <w:szCs w:val="22"/>
          <w:lang w:val="en-GB"/>
        </w:rPr>
        <w:t>The criteri</w:t>
      </w:r>
      <w:r w:rsidR="00B12153">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 xml:space="preserve"> for enforcing a foreign judgement</w:t>
      </w:r>
      <w:r w:rsidR="00B12153">
        <w:rPr>
          <w:rFonts w:ascii="Arial" w:hAnsi="Arial" w:cs="Arial"/>
          <w:b/>
          <w:bCs/>
          <w:color w:val="808080" w:themeColor="background1" w:themeShade="80"/>
          <w:sz w:val="22"/>
          <w:szCs w:val="22"/>
          <w:lang w:val="en-GB"/>
        </w:rPr>
        <w:t xml:space="preserve"> </w:t>
      </w:r>
      <w:r w:rsidR="00B12153">
        <w:rPr>
          <w:rFonts w:ascii="Arial" w:hAnsi="Arial" w:cs="Arial"/>
          <w:color w:val="808080" w:themeColor="background1" w:themeShade="80"/>
          <w:sz w:val="22"/>
          <w:szCs w:val="22"/>
          <w:lang w:val="en-GB"/>
        </w:rPr>
        <w:t>are</w:t>
      </w:r>
      <w:r>
        <w:rPr>
          <w:rFonts w:ascii="Arial" w:hAnsi="Arial" w:cs="Arial"/>
          <w:color w:val="808080" w:themeColor="background1" w:themeShade="80"/>
          <w:sz w:val="22"/>
          <w:szCs w:val="22"/>
          <w:lang w:val="en-GB"/>
        </w:rPr>
        <w:t xml:space="preserve"> that it should be a money judgment that is final and made after the 1996 Act was extended to the </w:t>
      </w:r>
      <w:r w:rsidR="00B12153">
        <w:rPr>
          <w:rFonts w:ascii="Arial" w:hAnsi="Arial" w:cs="Arial"/>
          <w:color w:val="808080" w:themeColor="background1" w:themeShade="80"/>
          <w:sz w:val="22"/>
          <w:szCs w:val="22"/>
          <w:lang w:val="en-GB"/>
        </w:rPr>
        <w:t>subject</w:t>
      </w:r>
      <w:r>
        <w:rPr>
          <w:rFonts w:ascii="Arial" w:hAnsi="Arial" w:cs="Arial"/>
          <w:color w:val="808080" w:themeColor="background1" w:themeShade="80"/>
          <w:sz w:val="22"/>
          <w:szCs w:val="22"/>
          <w:lang w:val="en-GB"/>
        </w:rPr>
        <w:t xml:space="preserve"> foreign country.</w:t>
      </w:r>
    </w:p>
    <w:p w14:paraId="1F20D879" w14:textId="5FE777F8" w:rsidR="005B2D68" w:rsidRDefault="007B6D72" w:rsidP="000C5D16">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Enforcing a foreign judgment is often done in practice by </w:t>
      </w:r>
      <w:r>
        <w:rPr>
          <w:rFonts w:ascii="Arial" w:hAnsi="Arial" w:cs="Arial"/>
          <w:b/>
          <w:bCs/>
          <w:color w:val="808080" w:themeColor="background1" w:themeShade="80"/>
          <w:sz w:val="22"/>
          <w:szCs w:val="22"/>
          <w:lang w:val="en-GB"/>
        </w:rPr>
        <w:t xml:space="preserve">commencing a new action </w:t>
      </w:r>
      <w:r w:rsidR="00457702">
        <w:rPr>
          <w:rFonts w:ascii="Arial" w:hAnsi="Arial" w:cs="Arial"/>
          <w:b/>
          <w:bCs/>
          <w:color w:val="808080" w:themeColor="background1" w:themeShade="80"/>
          <w:sz w:val="22"/>
          <w:szCs w:val="22"/>
          <w:lang w:val="en-GB"/>
        </w:rPr>
        <w:t xml:space="preserve">under common law </w:t>
      </w:r>
      <w:r>
        <w:rPr>
          <w:rFonts w:ascii="Arial" w:hAnsi="Arial" w:cs="Arial"/>
          <w:color w:val="808080" w:themeColor="background1" w:themeShade="80"/>
          <w:sz w:val="22"/>
          <w:szCs w:val="22"/>
          <w:lang w:val="en-GB"/>
        </w:rPr>
        <w:t xml:space="preserve">in the Cayman Islands based on the foreign judgement under the regular procedural regime of the </w:t>
      </w:r>
      <w:r>
        <w:rPr>
          <w:rFonts w:ascii="Arial" w:hAnsi="Arial" w:cs="Arial"/>
          <w:b/>
          <w:bCs/>
          <w:color w:val="808080" w:themeColor="background1" w:themeShade="80"/>
          <w:sz w:val="22"/>
          <w:szCs w:val="22"/>
          <w:lang w:val="en-GB"/>
        </w:rPr>
        <w:t>Cayman Islands Grand Court Rules</w:t>
      </w:r>
      <w:r>
        <w:rPr>
          <w:rFonts w:ascii="Arial" w:hAnsi="Arial" w:cs="Arial"/>
          <w:color w:val="808080" w:themeColor="background1" w:themeShade="80"/>
          <w:sz w:val="22"/>
          <w:szCs w:val="22"/>
          <w:lang w:val="en-GB"/>
        </w:rPr>
        <w:t>. Th</w:t>
      </w:r>
      <w:r w:rsidR="00B12153">
        <w:rPr>
          <w:rFonts w:ascii="Arial" w:hAnsi="Arial" w:cs="Arial"/>
          <w:color w:val="808080" w:themeColor="background1" w:themeShade="80"/>
          <w:sz w:val="22"/>
          <w:szCs w:val="22"/>
          <w:lang w:val="en-GB"/>
        </w:rPr>
        <w:t>is</w:t>
      </w:r>
      <w:r>
        <w:rPr>
          <w:rFonts w:ascii="Arial" w:hAnsi="Arial" w:cs="Arial"/>
          <w:color w:val="808080" w:themeColor="background1" w:themeShade="80"/>
          <w:sz w:val="22"/>
          <w:szCs w:val="22"/>
          <w:lang w:val="en-GB"/>
        </w:rPr>
        <w:t xml:space="preserve"> would include money, non-money, and declaratory judgments which are enforceable if </w:t>
      </w:r>
      <w:r w:rsidR="00B12153">
        <w:rPr>
          <w:rFonts w:ascii="Arial" w:hAnsi="Arial" w:cs="Arial"/>
          <w:color w:val="808080" w:themeColor="background1" w:themeShade="80"/>
          <w:sz w:val="22"/>
          <w:szCs w:val="22"/>
          <w:lang w:val="en-GB"/>
        </w:rPr>
        <w:t>they are</w:t>
      </w:r>
      <w:r>
        <w:rPr>
          <w:rFonts w:ascii="Arial" w:hAnsi="Arial" w:cs="Arial"/>
          <w:color w:val="808080" w:themeColor="background1" w:themeShade="80"/>
          <w:sz w:val="22"/>
          <w:szCs w:val="22"/>
          <w:lang w:val="en-GB"/>
        </w:rPr>
        <w:t xml:space="preserve"> final,</w:t>
      </w:r>
      <w:r w:rsidR="00B12153">
        <w:rPr>
          <w:rFonts w:ascii="Arial" w:hAnsi="Arial" w:cs="Arial"/>
          <w:color w:val="808080" w:themeColor="background1" w:themeShade="80"/>
          <w:sz w:val="22"/>
          <w:szCs w:val="22"/>
          <w:lang w:val="en-GB"/>
        </w:rPr>
        <w:t xml:space="preserve"> if</w:t>
      </w:r>
      <w:r>
        <w:rPr>
          <w:rFonts w:ascii="Arial" w:hAnsi="Arial" w:cs="Arial"/>
          <w:color w:val="808080" w:themeColor="background1" w:themeShade="80"/>
          <w:sz w:val="22"/>
          <w:szCs w:val="22"/>
          <w:lang w:val="en-GB"/>
        </w:rPr>
        <w:t xml:space="preserve"> the foreign court had jurisdiction, </w:t>
      </w:r>
      <w:r w:rsidR="00B12153">
        <w:rPr>
          <w:rFonts w:ascii="Arial" w:hAnsi="Arial" w:cs="Arial"/>
          <w:color w:val="808080" w:themeColor="background1" w:themeShade="80"/>
          <w:sz w:val="22"/>
          <w:szCs w:val="22"/>
          <w:lang w:val="en-GB"/>
        </w:rPr>
        <w:t xml:space="preserve">if </w:t>
      </w:r>
      <w:r>
        <w:rPr>
          <w:rFonts w:ascii="Arial" w:hAnsi="Arial" w:cs="Arial"/>
          <w:color w:val="808080" w:themeColor="background1" w:themeShade="80"/>
          <w:sz w:val="22"/>
          <w:szCs w:val="22"/>
          <w:lang w:val="en-GB"/>
        </w:rPr>
        <w:t>foreign judgement was not obtained by fraud</w:t>
      </w:r>
      <w:r w:rsidR="00B12153">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and not contrary to the Cayman Islands public policy, nor contrary to the rules of natural justice.</w:t>
      </w:r>
    </w:p>
    <w:p w14:paraId="30F79B9E" w14:textId="7B12F37E" w:rsidR="00E4294D" w:rsidRPr="00AB0E3A" w:rsidRDefault="007B6D72" w:rsidP="00A246C7">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Both common law and 1996 Act enforcements of foreign judgements have a 6-year time constraint which runs from the date of the judgement.</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C63CD20" w14:textId="77777777" w:rsidR="0087602C" w:rsidRDefault="0087602C" w:rsidP="0087602C">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are several claw-back and/or directors’ liability options the creditors or the liquidators may resort to. </w:t>
      </w:r>
    </w:p>
    <w:p w14:paraId="791F7889" w14:textId="068A6F19" w:rsidR="0087602C" w:rsidRDefault="0087602C" w:rsidP="0087602C">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Firstly, under section 99</w:t>
      </w:r>
      <w:r w:rsidR="00497D0F">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of the Companies Act, any </w:t>
      </w:r>
      <w:r w:rsidRPr="00C51F9D">
        <w:rPr>
          <w:rFonts w:ascii="Arial" w:hAnsi="Arial" w:cs="Arial"/>
          <w:b/>
          <w:bCs/>
          <w:color w:val="808080" w:themeColor="background1" w:themeShade="80"/>
          <w:sz w:val="22"/>
          <w:szCs w:val="22"/>
          <w:lang w:val="en-GB"/>
        </w:rPr>
        <w:t>dispositions made by the debtor company after the commencement of the winding-up will be void</w:t>
      </w:r>
      <w:r>
        <w:rPr>
          <w:rFonts w:ascii="Arial" w:hAnsi="Arial" w:cs="Arial"/>
          <w:color w:val="808080" w:themeColor="background1" w:themeShade="80"/>
          <w:sz w:val="22"/>
          <w:szCs w:val="22"/>
          <w:lang w:val="en-GB"/>
        </w:rPr>
        <w:t>. The liquidator may apply for relie</w:t>
      </w:r>
      <w:r w:rsidR="00452F26">
        <w:rPr>
          <w:rFonts w:ascii="Arial" w:hAnsi="Arial" w:cs="Arial"/>
          <w:color w:val="808080" w:themeColor="background1" w:themeShade="80"/>
          <w:sz w:val="22"/>
          <w:szCs w:val="22"/>
          <w:lang w:val="en-GB"/>
        </w:rPr>
        <w:t xml:space="preserve">f to court </w:t>
      </w:r>
      <w:r>
        <w:rPr>
          <w:rFonts w:ascii="Arial" w:hAnsi="Arial" w:cs="Arial"/>
          <w:color w:val="808080" w:themeColor="background1" w:themeShade="80"/>
          <w:sz w:val="22"/>
          <w:szCs w:val="22"/>
          <w:lang w:val="en-GB"/>
        </w:rPr>
        <w:t>in order to require the repayment of the funds or return of assets, unless the Court validates a post-petition grant of security</w:t>
      </w:r>
      <w:r w:rsidR="00452F26">
        <w:rPr>
          <w:rFonts w:ascii="Arial" w:hAnsi="Arial" w:cs="Arial"/>
          <w:color w:val="808080" w:themeColor="background1" w:themeShade="80"/>
          <w:sz w:val="22"/>
          <w:szCs w:val="22"/>
          <w:lang w:val="en-GB"/>
        </w:rPr>
        <w:t xml:space="preserve"> upon the debtor’s petition for a validation order. </w:t>
      </w:r>
    </w:p>
    <w:p w14:paraId="633F7CD6" w14:textId="663AFCD6" w:rsidR="00924973" w:rsidRDefault="00452F26"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r>
      <w:r w:rsidR="00497D0F">
        <w:rPr>
          <w:rFonts w:ascii="Arial" w:hAnsi="Arial" w:cs="Arial"/>
          <w:color w:val="808080" w:themeColor="background1" w:themeShade="80"/>
          <w:sz w:val="22"/>
          <w:szCs w:val="22"/>
          <w:lang w:val="en-GB"/>
        </w:rPr>
        <w:t>Secondly, a</w:t>
      </w:r>
      <w:r>
        <w:rPr>
          <w:rFonts w:ascii="Arial" w:hAnsi="Arial" w:cs="Arial"/>
          <w:color w:val="808080" w:themeColor="background1" w:themeShade="80"/>
          <w:sz w:val="22"/>
          <w:szCs w:val="22"/>
          <w:lang w:val="en-GB"/>
        </w:rPr>
        <w:t xml:space="preserve">nother claw-back mechanism is the </w:t>
      </w:r>
      <w:r w:rsidRPr="00C51F9D">
        <w:rPr>
          <w:rFonts w:ascii="Arial" w:hAnsi="Arial" w:cs="Arial"/>
          <w:b/>
          <w:bCs/>
          <w:color w:val="808080" w:themeColor="background1" w:themeShade="80"/>
          <w:sz w:val="22"/>
          <w:szCs w:val="22"/>
          <w:lang w:val="en-GB"/>
        </w:rPr>
        <w:t>voidable preference</w:t>
      </w:r>
      <w:r>
        <w:rPr>
          <w:rFonts w:ascii="Arial" w:hAnsi="Arial" w:cs="Arial"/>
          <w:color w:val="808080" w:themeColor="background1" w:themeShade="80"/>
          <w:sz w:val="22"/>
          <w:szCs w:val="22"/>
          <w:lang w:val="en-GB"/>
        </w:rPr>
        <w:t xml:space="preserve"> under section 145 of the Companies Act, which stipulates that any payment or disposal of property to a creditor constitutes a voidable preference if it takes place six months before the commencement of the liquidation, during which the debtor company </w:t>
      </w:r>
      <w:r w:rsidR="008132DC">
        <w:rPr>
          <w:rFonts w:ascii="Arial" w:hAnsi="Arial" w:cs="Arial"/>
          <w:color w:val="808080" w:themeColor="background1" w:themeShade="80"/>
          <w:sz w:val="22"/>
          <w:szCs w:val="22"/>
          <w:lang w:val="en-GB"/>
        </w:rPr>
        <w:t>w</w:t>
      </w:r>
      <w:r>
        <w:rPr>
          <w:rFonts w:ascii="Arial" w:hAnsi="Arial" w:cs="Arial"/>
          <w:color w:val="808080" w:themeColor="background1" w:themeShade="80"/>
          <w:sz w:val="22"/>
          <w:szCs w:val="22"/>
          <w:lang w:val="en-GB"/>
        </w:rPr>
        <w:t xml:space="preserve">as unable to pay its debts, and </w:t>
      </w:r>
      <w:r w:rsidR="008132DC">
        <w:rPr>
          <w:rFonts w:ascii="Arial" w:hAnsi="Arial" w:cs="Arial"/>
          <w:color w:val="808080" w:themeColor="background1" w:themeShade="80"/>
          <w:sz w:val="22"/>
          <w:szCs w:val="22"/>
          <w:lang w:val="en-GB"/>
        </w:rPr>
        <w:t>its</w:t>
      </w:r>
      <w:r>
        <w:rPr>
          <w:rFonts w:ascii="Arial" w:hAnsi="Arial" w:cs="Arial"/>
          <w:color w:val="808080" w:themeColor="background1" w:themeShade="80"/>
          <w:sz w:val="22"/>
          <w:szCs w:val="22"/>
          <w:lang w:val="en-GB"/>
        </w:rPr>
        <w:t xml:space="preserve"> dominant intention was to give preference to the creditor above other creditors, see also </w:t>
      </w:r>
      <w:r>
        <w:rPr>
          <w:rFonts w:ascii="Arial" w:hAnsi="Arial" w:cs="Arial"/>
          <w:i/>
          <w:iCs/>
          <w:color w:val="808080" w:themeColor="background1" w:themeShade="80"/>
          <w:sz w:val="22"/>
          <w:szCs w:val="22"/>
          <w:lang w:val="en-GB"/>
        </w:rPr>
        <w:t>In re Weavering Macro Fixed Income Fund Ltd (in Liquidation) [2016 (2) CILR 514]</w:t>
      </w:r>
      <w:r>
        <w:rPr>
          <w:rFonts w:ascii="Arial" w:hAnsi="Arial" w:cs="Arial"/>
          <w:color w:val="808080" w:themeColor="background1" w:themeShade="80"/>
          <w:sz w:val="22"/>
          <w:szCs w:val="22"/>
          <w:lang w:val="en-GB"/>
        </w:rPr>
        <w:t xml:space="preserve">. </w:t>
      </w:r>
    </w:p>
    <w:p w14:paraId="7EB69DEE" w14:textId="79957741" w:rsidR="00452F26" w:rsidRPr="00452F26" w:rsidRDefault="00452F26"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t>Similarly, any transactions</w:t>
      </w:r>
      <w:r w:rsidR="00497D0F">
        <w:rPr>
          <w:rFonts w:ascii="Arial" w:hAnsi="Arial" w:cs="Arial"/>
          <w:color w:val="808080" w:themeColor="background1" w:themeShade="80"/>
          <w:sz w:val="22"/>
          <w:szCs w:val="22"/>
          <w:lang w:val="en-GB"/>
        </w:rPr>
        <w:t xml:space="preserve"> of assets</w:t>
      </w:r>
      <w:r>
        <w:rPr>
          <w:rFonts w:ascii="Arial" w:hAnsi="Arial" w:cs="Arial"/>
          <w:color w:val="808080" w:themeColor="background1" w:themeShade="80"/>
          <w:sz w:val="22"/>
          <w:szCs w:val="22"/>
          <w:lang w:val="en-GB"/>
        </w:rPr>
        <w:t xml:space="preserve"> </w:t>
      </w:r>
      <w:r w:rsidR="00497D0F">
        <w:rPr>
          <w:rFonts w:ascii="Arial" w:hAnsi="Arial" w:cs="Arial"/>
          <w:color w:val="808080" w:themeColor="background1" w:themeShade="80"/>
          <w:sz w:val="22"/>
          <w:szCs w:val="22"/>
          <w:lang w:val="en-GB"/>
        </w:rPr>
        <w:t xml:space="preserve">or dispositions </w:t>
      </w:r>
      <w:r>
        <w:rPr>
          <w:rFonts w:ascii="Arial" w:hAnsi="Arial" w:cs="Arial"/>
          <w:color w:val="808080" w:themeColor="background1" w:themeShade="80"/>
          <w:sz w:val="22"/>
          <w:szCs w:val="22"/>
          <w:lang w:val="en-GB"/>
        </w:rPr>
        <w:t xml:space="preserve">made at an </w:t>
      </w:r>
      <w:r w:rsidRPr="00C51F9D">
        <w:rPr>
          <w:rFonts w:ascii="Arial" w:hAnsi="Arial" w:cs="Arial"/>
          <w:b/>
          <w:bCs/>
          <w:color w:val="808080" w:themeColor="background1" w:themeShade="80"/>
          <w:sz w:val="22"/>
          <w:szCs w:val="22"/>
          <w:lang w:val="en-GB"/>
        </w:rPr>
        <w:t>undervalue</w:t>
      </w:r>
      <w:r w:rsidR="00497D0F">
        <w:rPr>
          <w:rFonts w:ascii="Arial" w:hAnsi="Arial" w:cs="Arial"/>
          <w:color w:val="808080" w:themeColor="background1" w:themeShade="80"/>
          <w:sz w:val="22"/>
          <w:szCs w:val="22"/>
          <w:lang w:val="en-GB"/>
        </w:rPr>
        <w:t xml:space="preserve"> and with the intention of wilfully defeating an obligation to a creditor (defrauding) is voidable by court order upon application by the liquidator within six years of the disposal. See section 146 of the Companies Act. </w:t>
      </w:r>
    </w:p>
    <w:p w14:paraId="4C41B604" w14:textId="65FA9ACF" w:rsidR="0087602C" w:rsidRDefault="00497D0F"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t xml:space="preserve">Furthermore, </w:t>
      </w:r>
      <w:r w:rsidR="007259BC">
        <w:rPr>
          <w:rFonts w:ascii="Arial" w:hAnsi="Arial" w:cs="Arial"/>
          <w:color w:val="808080" w:themeColor="background1" w:themeShade="80"/>
          <w:sz w:val="22"/>
          <w:szCs w:val="22"/>
          <w:lang w:val="en-GB"/>
        </w:rPr>
        <w:t>per</w:t>
      </w:r>
      <w:r>
        <w:rPr>
          <w:rFonts w:ascii="Arial" w:hAnsi="Arial" w:cs="Arial"/>
          <w:color w:val="808080" w:themeColor="background1" w:themeShade="80"/>
          <w:sz w:val="22"/>
          <w:szCs w:val="22"/>
          <w:lang w:val="en-GB"/>
        </w:rPr>
        <w:t xml:space="preserve"> section 147 of the Companies Act, if the business was carried out with fraudulent intentions, ie </w:t>
      </w:r>
      <w:r w:rsidRPr="00C51F9D">
        <w:rPr>
          <w:rFonts w:ascii="Arial" w:hAnsi="Arial" w:cs="Arial"/>
          <w:b/>
          <w:bCs/>
          <w:color w:val="808080" w:themeColor="background1" w:themeShade="80"/>
          <w:sz w:val="22"/>
          <w:szCs w:val="22"/>
          <w:lang w:val="en-GB"/>
        </w:rPr>
        <w:t>fraudulent trading</w:t>
      </w:r>
      <w:r>
        <w:rPr>
          <w:rFonts w:ascii="Arial" w:hAnsi="Arial" w:cs="Arial"/>
          <w:color w:val="808080" w:themeColor="background1" w:themeShade="80"/>
          <w:sz w:val="22"/>
          <w:szCs w:val="22"/>
          <w:lang w:val="en-GB"/>
        </w:rPr>
        <w:t>, the liquidator may apply for an order to impose the obligation on involved parties to make contributions to the insolvent estate.</w:t>
      </w:r>
    </w:p>
    <w:p w14:paraId="74E5FEDC" w14:textId="0DDB86A3" w:rsidR="00924973" w:rsidRPr="00B61CC7" w:rsidRDefault="00497D0F" w:rsidP="002A37BB">
      <w:pPr>
        <w:jc w:val="both"/>
        <w:rPr>
          <w:rFonts w:ascii="Arial" w:hAnsi="Arial" w:cs="Arial"/>
          <w:sz w:val="22"/>
          <w:szCs w:val="22"/>
          <w:shd w:val="clear" w:color="auto" w:fill="FFFFFF"/>
        </w:rPr>
      </w:pPr>
      <w:r>
        <w:rPr>
          <w:rFonts w:ascii="Arial" w:hAnsi="Arial" w:cs="Arial"/>
          <w:color w:val="808080" w:themeColor="background1" w:themeShade="80"/>
          <w:sz w:val="22"/>
          <w:szCs w:val="22"/>
          <w:lang w:val="en-GB"/>
        </w:rPr>
        <w:tab/>
        <w:t xml:space="preserve">Lastly, </w:t>
      </w:r>
      <w:r w:rsidR="00552623">
        <w:rPr>
          <w:rFonts w:ascii="Arial" w:hAnsi="Arial" w:cs="Arial"/>
          <w:color w:val="808080" w:themeColor="background1" w:themeShade="80"/>
          <w:sz w:val="22"/>
          <w:szCs w:val="22"/>
          <w:lang w:val="en-GB"/>
        </w:rPr>
        <w:t>although there is no statutory obligation</w:t>
      </w:r>
      <w:r w:rsidR="00B61CC7">
        <w:rPr>
          <w:rFonts w:ascii="Arial" w:hAnsi="Arial" w:cs="Arial"/>
          <w:color w:val="808080" w:themeColor="background1" w:themeShade="80"/>
          <w:sz w:val="22"/>
          <w:szCs w:val="22"/>
          <w:lang w:val="en-GB"/>
        </w:rPr>
        <w:t xml:space="preserve"> to file for insolvency nor a prohibition against wrongful trading during insolvency in the Companies Act, directors may be made </w:t>
      </w:r>
      <w:r w:rsidR="00B61CC7" w:rsidRPr="00C51F9D">
        <w:rPr>
          <w:rFonts w:ascii="Arial" w:hAnsi="Arial" w:cs="Arial"/>
          <w:b/>
          <w:bCs/>
          <w:color w:val="808080" w:themeColor="background1" w:themeShade="80"/>
          <w:sz w:val="22"/>
          <w:szCs w:val="22"/>
          <w:lang w:val="en-GB"/>
        </w:rPr>
        <w:t>personally liable</w:t>
      </w:r>
      <w:r w:rsidR="00B61CC7">
        <w:rPr>
          <w:rFonts w:ascii="Arial" w:hAnsi="Arial" w:cs="Arial"/>
          <w:color w:val="808080" w:themeColor="background1" w:themeShade="80"/>
          <w:sz w:val="22"/>
          <w:szCs w:val="22"/>
          <w:lang w:val="en-GB"/>
        </w:rPr>
        <w:t xml:space="preserve"> to the company for any losses incurred during the period in which they acted in breach of their fiduciary duty to act in the best interests of the company (which means to not continue trading during insolvency). The criteria of the “best interests of the company” during a state of insolvency requires the debtors to assess and have due regard to the interests of the creditors and safeguarding the company from entering a state in which it is unable to pay its debts, see</w:t>
      </w:r>
      <w:r w:rsidR="006A135B">
        <w:rPr>
          <w:rFonts w:ascii="Arial" w:hAnsi="Arial" w:cs="Arial"/>
          <w:color w:val="808080" w:themeColor="background1" w:themeShade="80"/>
          <w:sz w:val="22"/>
          <w:szCs w:val="22"/>
          <w:lang w:val="en-GB"/>
        </w:rPr>
        <w:t xml:space="preserve"> also</w:t>
      </w:r>
      <w:r w:rsidR="00B61CC7">
        <w:rPr>
          <w:rFonts w:ascii="Arial" w:hAnsi="Arial" w:cs="Arial"/>
          <w:color w:val="808080" w:themeColor="background1" w:themeShade="80"/>
          <w:sz w:val="22"/>
          <w:szCs w:val="22"/>
          <w:lang w:val="en-GB"/>
        </w:rPr>
        <w:t xml:space="preserve"> </w:t>
      </w:r>
      <w:r w:rsidR="00B61CC7">
        <w:rPr>
          <w:rFonts w:ascii="Arial" w:hAnsi="Arial" w:cs="Arial"/>
          <w:i/>
          <w:iCs/>
          <w:color w:val="808080" w:themeColor="background1" w:themeShade="80"/>
          <w:sz w:val="22"/>
          <w:szCs w:val="22"/>
          <w:lang w:val="en-GB"/>
        </w:rPr>
        <w:t>Prospects Properties v McNeil [1990-1991 CILR 1711].</w:t>
      </w: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406F3600" w14:textId="3AB48AC1" w:rsidR="00055E0F" w:rsidRDefault="00C4320B" w:rsidP="00055E0F">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w:t>
      </w:r>
      <w:r w:rsidR="00D41D4F">
        <w:rPr>
          <w:rFonts w:ascii="Arial" w:hAnsi="Arial" w:cs="Arial"/>
          <w:color w:val="808080" w:themeColor="background1" w:themeShade="80"/>
          <w:sz w:val="22"/>
          <w:szCs w:val="22"/>
          <w:lang w:val="en-GB"/>
        </w:rPr>
        <w:t xml:space="preserve"> receivership is not codified </w:t>
      </w:r>
      <w:r w:rsidR="00055E0F">
        <w:rPr>
          <w:rFonts w:ascii="Arial" w:hAnsi="Arial" w:cs="Arial"/>
          <w:color w:val="808080" w:themeColor="background1" w:themeShade="80"/>
          <w:sz w:val="22"/>
          <w:szCs w:val="22"/>
          <w:lang w:val="en-GB"/>
        </w:rPr>
        <w:t>and explicitly mentioned in the statutory provisions regarding insolvency. However, this statement is hardly true as receivership does play a role in an insolvency context, more specifically, it can provide creditors with an alternative.</w:t>
      </w:r>
    </w:p>
    <w:p w14:paraId="64E4AFFF" w14:textId="2033DFBE" w:rsidR="00055E0F" w:rsidRDefault="00055E0F" w:rsidP="00055E0F">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 begin</w:t>
      </w:r>
      <w:r w:rsidR="00C4320B">
        <w:rPr>
          <w:rFonts w:ascii="Arial" w:hAnsi="Arial" w:cs="Arial"/>
          <w:color w:val="808080" w:themeColor="background1" w:themeShade="80"/>
          <w:sz w:val="22"/>
          <w:szCs w:val="22"/>
          <w:lang w:val="en-GB"/>
        </w:rPr>
        <w:t xml:space="preserve"> with</w:t>
      </w:r>
      <w:r>
        <w:rPr>
          <w:rFonts w:ascii="Arial" w:hAnsi="Arial" w:cs="Arial"/>
          <w:color w:val="808080" w:themeColor="background1" w:themeShade="80"/>
          <w:sz w:val="22"/>
          <w:szCs w:val="22"/>
          <w:lang w:val="en-GB"/>
        </w:rPr>
        <w:t>, receivership should be defined. A receiver is a person who may be appointed by the Court for collecting money such as rent, or to carry ou</w:t>
      </w:r>
      <w:r w:rsidR="00C4320B">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 xml:space="preserve"> other acts such as the execution of a contract</w:t>
      </w:r>
      <w:r w:rsidR="004D53C7">
        <w:rPr>
          <w:rFonts w:ascii="Arial" w:hAnsi="Arial" w:cs="Arial"/>
          <w:color w:val="808080" w:themeColor="background1" w:themeShade="80"/>
          <w:sz w:val="22"/>
          <w:szCs w:val="22"/>
          <w:lang w:val="en-GB"/>
        </w:rPr>
        <w:t xml:space="preserve"> or a document of title. </w:t>
      </w:r>
    </w:p>
    <w:p w14:paraId="06413650" w14:textId="5F9A7EB9" w:rsidR="004D53C7" w:rsidRDefault="004D53C7" w:rsidP="00055E0F">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Receivership can have drastic effects on third parties. For example, after an application for receivership has been made and during the receivership process, no suit, action, or other proceeding may instituted against a segregated portfolio company, except by leave of the court. Receivers play an important role in dealing with such entities and have far-reaching powers, such as relieving the directors and taking over their powers regarding the business.</w:t>
      </w:r>
    </w:p>
    <w:p w14:paraId="44FC621D" w14:textId="09A7FB4F" w:rsidR="004D53C7" w:rsidRDefault="004D53C7" w:rsidP="00055E0F">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context of insolvency, receivership may offer an alternative option for creditors. Particularly, when no court-involvement</w:t>
      </w:r>
      <w:r w:rsidR="00116B39">
        <w:rPr>
          <w:rFonts w:ascii="Arial" w:hAnsi="Arial" w:cs="Arial"/>
          <w:color w:val="808080" w:themeColor="background1" w:themeShade="80"/>
          <w:sz w:val="22"/>
          <w:szCs w:val="22"/>
          <w:lang w:val="en-GB"/>
        </w:rPr>
        <w:t xml:space="preserve"> or supervision</w:t>
      </w:r>
      <w:r>
        <w:rPr>
          <w:rFonts w:ascii="Arial" w:hAnsi="Arial" w:cs="Arial"/>
          <w:color w:val="808080" w:themeColor="background1" w:themeShade="80"/>
          <w:sz w:val="22"/>
          <w:szCs w:val="22"/>
          <w:lang w:val="en-GB"/>
        </w:rPr>
        <w:t xml:space="preserve"> is desired, receivers may be appointed </w:t>
      </w:r>
      <w:r w:rsidR="00116B39">
        <w:rPr>
          <w:rFonts w:ascii="Arial" w:hAnsi="Arial" w:cs="Arial"/>
          <w:color w:val="808080" w:themeColor="background1" w:themeShade="80"/>
          <w:sz w:val="22"/>
          <w:szCs w:val="22"/>
          <w:lang w:val="en-GB"/>
        </w:rPr>
        <w:t>by the rights attached in a security</w:t>
      </w:r>
      <w:r w:rsidR="00916625">
        <w:rPr>
          <w:rFonts w:ascii="Arial" w:hAnsi="Arial" w:cs="Arial"/>
          <w:color w:val="808080" w:themeColor="background1" w:themeShade="80"/>
          <w:sz w:val="22"/>
          <w:szCs w:val="22"/>
          <w:lang w:val="en-GB"/>
        </w:rPr>
        <w:t xml:space="preserve"> i</w:t>
      </w:r>
      <w:r w:rsidR="00116B39">
        <w:rPr>
          <w:rFonts w:ascii="Arial" w:hAnsi="Arial" w:cs="Arial"/>
          <w:color w:val="808080" w:themeColor="background1" w:themeShade="80"/>
          <w:sz w:val="22"/>
          <w:szCs w:val="22"/>
          <w:lang w:val="en-GB"/>
        </w:rPr>
        <w:t>f the security holder, eg a fixed/floating charge holder, owns a charging document which provides for the right to appoint a receiver over the debtor company’s charged assets in case the debtor defaults.</w:t>
      </w:r>
    </w:p>
    <w:p w14:paraId="17A37D85" w14:textId="7D7AC30B" w:rsidR="00116B39" w:rsidRDefault="00116B39" w:rsidP="00055E0F">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duties and responsibilities, as well as the powers of the receiver are outlined in the charging document. It is common that the receiver has the right to sell the charged assets in order to pay the outstanding debts of the debtor to the creditor.</w:t>
      </w:r>
    </w:p>
    <w:p w14:paraId="4FFBAA48" w14:textId="041D6E13" w:rsidR="00055E0F" w:rsidRPr="007259BC" w:rsidRDefault="00116B39" w:rsidP="007259BC">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such, in specific circumstances as mentioned above, </w:t>
      </w:r>
      <w:r w:rsidR="002C15DC">
        <w:rPr>
          <w:rFonts w:ascii="Arial" w:hAnsi="Arial" w:cs="Arial"/>
          <w:color w:val="808080" w:themeColor="background1" w:themeShade="80"/>
          <w:sz w:val="22"/>
          <w:szCs w:val="22"/>
          <w:lang w:val="en-GB"/>
        </w:rPr>
        <w:t>receivership does play a role in an insolvency context, despite the fact that it is not explicitly mentioned in the statutory insolvency provisions.</w:t>
      </w: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44C4FF1C" w14:textId="020805B3" w:rsidR="00BB73D9" w:rsidRDefault="00BB73D9" w:rsidP="00952187">
      <w:pPr>
        <w:jc w:val="both"/>
        <w:rPr>
          <w:rFonts w:ascii="Arial" w:hAnsi="Arial" w:cs="Arial"/>
          <w:color w:val="808080" w:themeColor="background1" w:themeShade="80"/>
          <w:sz w:val="22"/>
          <w:szCs w:val="22"/>
          <w:lang w:val="en-GB"/>
        </w:rPr>
      </w:pPr>
    </w:p>
    <w:p w14:paraId="747ED746" w14:textId="3EA87C44" w:rsidR="00BB73D9" w:rsidRDefault="00BB73D9" w:rsidP="00BB73D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Each question will be addressed individually below by outlining the issue, presenting the relevant rules</w:t>
      </w:r>
      <w:r w:rsidR="00BC3BC2">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and applying to the case.</w:t>
      </w:r>
    </w:p>
    <w:p w14:paraId="745995DA" w14:textId="77777777" w:rsidR="00BB73D9" w:rsidRPr="00BB73D9" w:rsidRDefault="00BB73D9" w:rsidP="00BB73D9">
      <w:pPr>
        <w:jc w:val="both"/>
        <w:rPr>
          <w:rFonts w:ascii="Arial" w:hAnsi="Arial" w:cs="Arial"/>
          <w:color w:val="808080" w:themeColor="background1" w:themeShade="80"/>
          <w:sz w:val="22"/>
          <w:szCs w:val="22"/>
          <w:lang w:val="en-GB"/>
        </w:rPr>
      </w:pPr>
    </w:p>
    <w:p w14:paraId="7BC99AC8" w14:textId="20F5104B" w:rsidR="00BB73D9" w:rsidRPr="002354C1" w:rsidRDefault="00BB73D9" w:rsidP="00BB73D9">
      <w:pPr>
        <w:pStyle w:val="ListParagraph"/>
        <w:numPr>
          <w:ilvl w:val="0"/>
          <w:numId w:val="42"/>
        </w:numPr>
        <w:jc w:val="both"/>
        <w:rPr>
          <w:rFonts w:ascii="Arial" w:hAnsi="Arial" w:cs="Arial"/>
          <w:b/>
          <w:bCs/>
          <w:color w:val="808080" w:themeColor="background1" w:themeShade="80"/>
          <w:sz w:val="22"/>
          <w:szCs w:val="22"/>
          <w:lang w:val="en-GB"/>
        </w:rPr>
      </w:pPr>
      <w:r w:rsidRPr="002354C1">
        <w:rPr>
          <w:rFonts w:ascii="Arial" w:hAnsi="Arial" w:cs="Arial"/>
          <w:b/>
          <w:bCs/>
          <w:color w:val="808080" w:themeColor="background1" w:themeShade="80"/>
          <w:sz w:val="22"/>
          <w:szCs w:val="22"/>
          <w:lang w:val="en-GB"/>
        </w:rPr>
        <w:t>What action can Sparrow take to protect its interests?</w:t>
      </w:r>
    </w:p>
    <w:p w14:paraId="28745B99" w14:textId="77777777" w:rsidR="00BB73D9" w:rsidRPr="00BB73D9" w:rsidRDefault="00BB73D9" w:rsidP="00BB73D9">
      <w:pPr>
        <w:jc w:val="both"/>
        <w:rPr>
          <w:rFonts w:ascii="Arial" w:hAnsi="Arial" w:cs="Arial"/>
          <w:color w:val="808080" w:themeColor="background1" w:themeShade="80"/>
          <w:sz w:val="22"/>
          <w:szCs w:val="22"/>
          <w:lang w:val="en-GB"/>
        </w:rPr>
      </w:pPr>
    </w:p>
    <w:p w14:paraId="294E6399" w14:textId="3E67CF4B" w:rsidR="00BC3BC2" w:rsidRDefault="00BC3BC2" w:rsidP="00BC3BC2">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Sparrow’s Treasure Bank has lent out a total of 200 million USD to Skulls &amp; Crossbones Inc (“S&amp;C”). 80 million USD is secured under a mortgage</w:t>
      </w:r>
      <w:r w:rsidR="00A24AD8">
        <w:rPr>
          <w:rFonts w:ascii="Arial" w:hAnsi="Arial" w:cs="Arial"/>
          <w:color w:val="808080" w:themeColor="background1" w:themeShade="80"/>
          <w:sz w:val="22"/>
          <w:szCs w:val="22"/>
          <w:lang w:val="en-GB"/>
        </w:rPr>
        <w:t xml:space="preserve"> agreement</w:t>
      </w:r>
      <w:r>
        <w:rPr>
          <w:rFonts w:ascii="Arial" w:hAnsi="Arial" w:cs="Arial"/>
          <w:color w:val="808080" w:themeColor="background1" w:themeShade="80"/>
          <w:sz w:val="22"/>
          <w:szCs w:val="22"/>
          <w:lang w:val="en-GB"/>
        </w:rPr>
        <w:t>.</w:t>
      </w:r>
    </w:p>
    <w:p w14:paraId="6C74FE84" w14:textId="05B2DC33" w:rsidR="00BC3BC2" w:rsidRDefault="00BC3BC2" w:rsidP="00BC3BC2">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Cayman Islands’ law, mortgages are commonly vested on moveable property such as on ships. The mortgages need to be registered in the </w:t>
      </w:r>
      <w:r w:rsidR="007F7A03">
        <w:rPr>
          <w:rFonts w:ascii="Arial" w:hAnsi="Arial" w:cs="Arial"/>
          <w:color w:val="808080" w:themeColor="background1" w:themeShade="80"/>
          <w:sz w:val="22"/>
          <w:szCs w:val="22"/>
          <w:lang w:val="en-GB"/>
        </w:rPr>
        <w:t>centrally maintained v</w:t>
      </w:r>
      <w:r>
        <w:rPr>
          <w:rFonts w:ascii="Arial" w:hAnsi="Arial" w:cs="Arial"/>
          <w:color w:val="808080" w:themeColor="background1" w:themeShade="80"/>
          <w:sz w:val="22"/>
          <w:szCs w:val="22"/>
          <w:lang w:val="en-GB"/>
        </w:rPr>
        <w:t>essel</w:t>
      </w:r>
      <w:r w:rsidR="007F7A03">
        <w:rPr>
          <w:rFonts w:ascii="Arial" w:hAnsi="Arial" w:cs="Arial"/>
          <w:color w:val="808080" w:themeColor="background1" w:themeShade="80"/>
          <w:sz w:val="22"/>
          <w:szCs w:val="22"/>
          <w:lang w:val="en-GB"/>
        </w:rPr>
        <w:t xml:space="preserve"> ownership</w:t>
      </w:r>
      <w:r>
        <w:rPr>
          <w:rFonts w:ascii="Arial" w:hAnsi="Arial" w:cs="Arial"/>
          <w:color w:val="808080" w:themeColor="background1" w:themeShade="80"/>
          <w:sz w:val="22"/>
          <w:szCs w:val="22"/>
          <w:lang w:val="en-GB"/>
        </w:rPr>
        <w:t xml:space="preserve"> register</w:t>
      </w:r>
      <w:r w:rsidR="007F7A03">
        <w:rPr>
          <w:rFonts w:ascii="Arial" w:hAnsi="Arial" w:cs="Arial"/>
          <w:color w:val="808080" w:themeColor="background1" w:themeShade="80"/>
          <w:sz w:val="22"/>
          <w:szCs w:val="22"/>
          <w:lang w:val="en-GB"/>
        </w:rPr>
        <w:t>, see also Maritime Authority Law</w:t>
      </w:r>
      <w:r>
        <w:rPr>
          <w:rFonts w:ascii="Arial" w:hAnsi="Arial" w:cs="Arial"/>
          <w:color w:val="808080" w:themeColor="background1" w:themeShade="80"/>
          <w:sz w:val="22"/>
          <w:szCs w:val="22"/>
          <w:lang w:val="en-GB"/>
        </w:rPr>
        <w:t>.</w:t>
      </w:r>
      <w:r w:rsidR="007F7A03">
        <w:rPr>
          <w:rFonts w:ascii="Arial" w:hAnsi="Arial" w:cs="Arial"/>
          <w:color w:val="808080" w:themeColor="background1" w:themeShade="80"/>
          <w:sz w:val="22"/>
          <w:szCs w:val="22"/>
          <w:lang w:val="en-GB"/>
        </w:rPr>
        <w:t xml:space="preserve"> The ratio behind the prerequisite to register is that third parties are aware of the “burdened” asset ie the existence of a security.</w:t>
      </w:r>
    </w:p>
    <w:p w14:paraId="2388716C" w14:textId="77661682" w:rsidR="00A24AD8" w:rsidRDefault="00A24AD8" w:rsidP="00A24AD8">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Sparrow should therefore ensure that the mortgage is registered in the said register. In the event of a default, Sparrow can enforce its security. Regardless of whether the debtor enters into a provisional or official liquidation, a secured creditor is entitled to enforce its security, without the need for leave of the court or reference of the company’s liquidator.</w:t>
      </w:r>
    </w:p>
    <w:p w14:paraId="02C9EA02" w14:textId="2C7C1C7F" w:rsidR="005708E2" w:rsidRDefault="00A24AD8" w:rsidP="00A15962">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One should note that Sparrow also has 120 million USD unsecured loans.</w:t>
      </w:r>
      <w:r w:rsidR="00C84A51">
        <w:rPr>
          <w:rFonts w:ascii="Arial" w:hAnsi="Arial" w:cs="Arial"/>
          <w:color w:val="808080" w:themeColor="background1" w:themeShade="80"/>
          <w:sz w:val="22"/>
          <w:szCs w:val="22"/>
          <w:lang w:val="en-GB"/>
        </w:rPr>
        <w:t xml:space="preserve"> The bank </w:t>
      </w:r>
      <w:r w:rsidR="00052D84">
        <w:rPr>
          <w:rFonts w:ascii="Arial" w:hAnsi="Arial" w:cs="Arial"/>
          <w:color w:val="808080" w:themeColor="background1" w:themeShade="80"/>
          <w:sz w:val="22"/>
          <w:szCs w:val="22"/>
          <w:lang w:val="en-GB"/>
        </w:rPr>
        <w:t xml:space="preserve">could serve S&amp;C a summons in action in the Grand Court, claiming payment of a liquidated sum of </w:t>
      </w:r>
      <w:r w:rsidR="00646038">
        <w:rPr>
          <w:rFonts w:ascii="Arial" w:hAnsi="Arial" w:cs="Arial"/>
          <w:color w:val="808080" w:themeColor="background1" w:themeShade="80"/>
          <w:sz w:val="22"/>
          <w:szCs w:val="22"/>
          <w:lang w:val="en-GB"/>
        </w:rPr>
        <w:t>approximately 100 million</w:t>
      </w:r>
      <w:r w:rsidR="00052D84">
        <w:rPr>
          <w:rFonts w:ascii="Arial" w:hAnsi="Arial" w:cs="Arial"/>
          <w:color w:val="808080" w:themeColor="background1" w:themeShade="80"/>
          <w:sz w:val="22"/>
          <w:szCs w:val="22"/>
          <w:lang w:val="en-GB"/>
        </w:rPr>
        <w:t xml:space="preserve"> KYD</w:t>
      </w:r>
      <w:r w:rsidR="00706CD7">
        <w:rPr>
          <w:rFonts w:ascii="Arial" w:hAnsi="Arial" w:cs="Arial"/>
          <w:color w:val="808080" w:themeColor="background1" w:themeShade="80"/>
          <w:sz w:val="22"/>
          <w:szCs w:val="22"/>
          <w:lang w:val="en-GB"/>
        </w:rPr>
        <w:t xml:space="preserve"> in execution</w:t>
      </w:r>
      <w:r w:rsidR="00052D84">
        <w:rPr>
          <w:rFonts w:ascii="Arial" w:hAnsi="Arial" w:cs="Arial"/>
          <w:color w:val="808080" w:themeColor="background1" w:themeShade="80"/>
          <w:sz w:val="22"/>
          <w:szCs w:val="22"/>
          <w:lang w:val="en-GB"/>
        </w:rPr>
        <w:t xml:space="preserve"> [on 2022, July 27</w:t>
      </w:r>
      <w:r w:rsidR="00052D84" w:rsidRPr="00052D84">
        <w:rPr>
          <w:rFonts w:ascii="Arial" w:hAnsi="Arial" w:cs="Arial"/>
          <w:color w:val="808080" w:themeColor="background1" w:themeShade="80"/>
          <w:sz w:val="22"/>
          <w:szCs w:val="22"/>
          <w:vertAlign w:val="superscript"/>
          <w:lang w:val="en-GB"/>
        </w:rPr>
        <w:t>th</w:t>
      </w:r>
      <w:r w:rsidR="00052D84">
        <w:rPr>
          <w:rFonts w:ascii="Arial" w:hAnsi="Arial" w:cs="Arial"/>
          <w:color w:val="808080" w:themeColor="background1" w:themeShade="80"/>
          <w:sz w:val="22"/>
          <w:szCs w:val="22"/>
          <w:lang w:val="en-GB"/>
        </w:rPr>
        <w:t xml:space="preserve"> 1 KYD equals 1,20 USD]. Sparrow could then </w:t>
      </w:r>
      <w:r w:rsidR="00C84A51">
        <w:rPr>
          <w:rFonts w:ascii="Arial" w:hAnsi="Arial" w:cs="Arial"/>
          <w:color w:val="808080" w:themeColor="background1" w:themeShade="80"/>
          <w:sz w:val="22"/>
          <w:szCs w:val="22"/>
          <w:lang w:val="en-GB"/>
        </w:rPr>
        <w:t xml:space="preserve">present a bankruptcy petition of S&amp;C to the Grand Court, alleging its act of bankruptcy on the grounds of eg </w:t>
      </w:r>
      <w:r w:rsidR="00052D84">
        <w:rPr>
          <w:rFonts w:ascii="Arial" w:hAnsi="Arial" w:cs="Arial"/>
          <w:color w:val="808080" w:themeColor="background1" w:themeShade="80"/>
          <w:sz w:val="22"/>
          <w:szCs w:val="22"/>
          <w:lang w:val="en-GB"/>
        </w:rPr>
        <w:t xml:space="preserve">that Sparrow served on the debtor a summons in action in court wherein Sparrow claims payment of a liquidated sum of not less than KYD 40, and that within six months prior to the presentation of the </w:t>
      </w:r>
      <w:r w:rsidR="00A15962">
        <w:rPr>
          <w:rFonts w:ascii="Arial" w:hAnsi="Arial" w:cs="Arial"/>
          <w:color w:val="808080" w:themeColor="background1" w:themeShade="80"/>
          <w:sz w:val="22"/>
          <w:szCs w:val="22"/>
          <w:lang w:val="en-GB"/>
        </w:rPr>
        <w:t xml:space="preserve">bankruptcy </w:t>
      </w:r>
      <w:r w:rsidR="00052D84">
        <w:rPr>
          <w:rFonts w:ascii="Arial" w:hAnsi="Arial" w:cs="Arial"/>
          <w:color w:val="808080" w:themeColor="background1" w:themeShade="80"/>
          <w:sz w:val="22"/>
          <w:szCs w:val="22"/>
          <w:lang w:val="en-GB"/>
        </w:rPr>
        <w:t>petition</w:t>
      </w:r>
      <w:r w:rsidR="00A15962">
        <w:rPr>
          <w:rFonts w:ascii="Arial" w:hAnsi="Arial" w:cs="Arial"/>
          <w:color w:val="808080" w:themeColor="background1" w:themeShade="80"/>
          <w:sz w:val="22"/>
          <w:szCs w:val="22"/>
          <w:lang w:val="en-GB"/>
        </w:rPr>
        <w:t xml:space="preserve">. This could be a potential action to take as the </w:t>
      </w:r>
      <w:r w:rsidR="00646038">
        <w:rPr>
          <w:rFonts w:ascii="Arial" w:hAnsi="Arial" w:cs="Arial"/>
          <w:color w:val="808080" w:themeColor="background1" w:themeShade="80"/>
          <w:sz w:val="22"/>
          <w:szCs w:val="22"/>
          <w:lang w:val="en-GB"/>
        </w:rPr>
        <w:t>100 million</w:t>
      </w:r>
      <w:r w:rsidR="00A15962">
        <w:rPr>
          <w:rFonts w:ascii="Arial" w:hAnsi="Arial" w:cs="Arial"/>
          <w:color w:val="808080" w:themeColor="background1" w:themeShade="80"/>
          <w:sz w:val="22"/>
          <w:szCs w:val="22"/>
          <w:lang w:val="en-GB"/>
        </w:rPr>
        <w:t xml:space="preserve"> KYD is unsecured and a liquidated sum due. If all goes according to plan, Sparrow will have to file a claim </w:t>
      </w:r>
      <w:r w:rsidR="003E13CF">
        <w:rPr>
          <w:rFonts w:ascii="Arial" w:hAnsi="Arial" w:cs="Arial"/>
          <w:color w:val="808080" w:themeColor="background1" w:themeShade="80"/>
          <w:sz w:val="22"/>
          <w:szCs w:val="22"/>
          <w:lang w:val="en-GB"/>
        </w:rPr>
        <w:t>with</w:t>
      </w:r>
      <w:r w:rsidR="00A15962">
        <w:rPr>
          <w:rFonts w:ascii="Arial" w:hAnsi="Arial" w:cs="Arial"/>
          <w:color w:val="808080" w:themeColor="background1" w:themeShade="80"/>
          <w:sz w:val="22"/>
          <w:szCs w:val="22"/>
          <w:lang w:val="en-GB"/>
        </w:rPr>
        <w:t xml:space="preserve"> the liquidator and will most likely be ranked as preferential debt </w:t>
      </w:r>
      <w:r w:rsidR="003E13CF">
        <w:rPr>
          <w:rFonts w:ascii="Arial" w:hAnsi="Arial" w:cs="Arial"/>
          <w:color w:val="808080" w:themeColor="background1" w:themeShade="80"/>
          <w:sz w:val="22"/>
          <w:szCs w:val="22"/>
          <w:lang w:val="en-GB"/>
        </w:rPr>
        <w:t>as it is an</w:t>
      </w:r>
      <w:r w:rsidR="00A15962">
        <w:rPr>
          <w:rFonts w:ascii="Arial" w:hAnsi="Arial" w:cs="Arial"/>
          <w:color w:val="808080" w:themeColor="background1" w:themeShade="80"/>
          <w:sz w:val="22"/>
          <w:szCs w:val="22"/>
          <w:lang w:val="en-GB"/>
        </w:rPr>
        <w:t xml:space="preserve"> unsecured debt which is not subject to subordination agreements, as per Section 141 of the Companies Act.</w:t>
      </w:r>
    </w:p>
    <w:p w14:paraId="7962331C" w14:textId="71ECE948" w:rsidR="0087602C" w:rsidRDefault="0087602C" w:rsidP="00A15962">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Alternatively, if the Bank prefers non-involvement of the court, it may consider appointing a receiver for its mortgaged loan</w:t>
      </w:r>
      <w:r w:rsidR="00646038">
        <w:rPr>
          <w:rFonts w:ascii="Arial" w:hAnsi="Arial" w:cs="Arial"/>
          <w:color w:val="808080" w:themeColor="background1" w:themeShade="80"/>
          <w:sz w:val="22"/>
          <w:szCs w:val="22"/>
          <w:lang w:val="en-GB"/>
        </w:rPr>
        <w:t>,</w:t>
      </w:r>
      <w:r w:rsidR="00116B39">
        <w:rPr>
          <w:rFonts w:ascii="Arial" w:hAnsi="Arial" w:cs="Arial"/>
          <w:color w:val="808080" w:themeColor="background1" w:themeShade="80"/>
          <w:sz w:val="22"/>
          <w:szCs w:val="22"/>
          <w:lang w:val="en-GB"/>
        </w:rPr>
        <w:t xml:space="preserve"> if the mortgage document provides such right.</w:t>
      </w:r>
      <w:r>
        <w:rPr>
          <w:rFonts w:ascii="Arial" w:hAnsi="Arial" w:cs="Arial"/>
          <w:color w:val="808080" w:themeColor="background1" w:themeShade="80"/>
          <w:sz w:val="22"/>
          <w:szCs w:val="22"/>
          <w:lang w:val="en-GB"/>
        </w:rPr>
        <w:t xml:space="preserve"> </w:t>
      </w:r>
    </w:p>
    <w:p w14:paraId="791A6BBF" w14:textId="2E0D952E" w:rsidR="00A15962" w:rsidRDefault="00A15962" w:rsidP="00A15962">
      <w:pPr>
        <w:ind w:firstLine="360"/>
        <w:jc w:val="both"/>
        <w:rPr>
          <w:rFonts w:ascii="Arial" w:hAnsi="Arial" w:cs="Arial"/>
          <w:color w:val="808080" w:themeColor="background1" w:themeShade="80"/>
          <w:sz w:val="22"/>
          <w:szCs w:val="22"/>
          <w:lang w:val="en-GB"/>
        </w:rPr>
      </w:pPr>
    </w:p>
    <w:p w14:paraId="5A20DF53" w14:textId="77777777" w:rsidR="00965EB0" w:rsidRPr="00BB73D9" w:rsidRDefault="00965EB0" w:rsidP="00A15962">
      <w:pPr>
        <w:ind w:firstLine="360"/>
        <w:jc w:val="both"/>
        <w:rPr>
          <w:rFonts w:ascii="Arial" w:hAnsi="Arial" w:cs="Arial"/>
          <w:color w:val="808080" w:themeColor="background1" w:themeShade="80"/>
          <w:sz w:val="22"/>
          <w:szCs w:val="22"/>
          <w:lang w:val="en-GB"/>
        </w:rPr>
      </w:pPr>
    </w:p>
    <w:p w14:paraId="4892EBDF" w14:textId="1922ED93" w:rsidR="00BB73D9" w:rsidRPr="002354C1" w:rsidRDefault="00BB73D9" w:rsidP="00BB73D9">
      <w:pPr>
        <w:pStyle w:val="ListParagraph"/>
        <w:numPr>
          <w:ilvl w:val="0"/>
          <w:numId w:val="42"/>
        </w:numPr>
        <w:jc w:val="both"/>
        <w:rPr>
          <w:rFonts w:ascii="Arial" w:hAnsi="Arial" w:cs="Arial"/>
          <w:b/>
          <w:bCs/>
          <w:color w:val="808080" w:themeColor="background1" w:themeShade="80"/>
          <w:sz w:val="22"/>
          <w:szCs w:val="22"/>
          <w:lang w:val="en-GB"/>
        </w:rPr>
      </w:pPr>
      <w:r w:rsidRPr="002354C1">
        <w:rPr>
          <w:rFonts w:ascii="Arial" w:hAnsi="Arial" w:cs="Arial"/>
          <w:b/>
          <w:bCs/>
          <w:color w:val="808080" w:themeColor="background1" w:themeShade="80"/>
          <w:sz w:val="22"/>
          <w:szCs w:val="22"/>
          <w:lang w:val="en-GB"/>
        </w:rPr>
        <w:t>What action can Roger Jolly take to protect its interests?</w:t>
      </w:r>
    </w:p>
    <w:p w14:paraId="6C00E4A9" w14:textId="06A9AAC3" w:rsidR="005708E2" w:rsidRDefault="005708E2" w:rsidP="005708E2">
      <w:pPr>
        <w:jc w:val="both"/>
        <w:rPr>
          <w:rFonts w:ascii="Arial" w:hAnsi="Arial" w:cs="Arial"/>
          <w:color w:val="808080" w:themeColor="background1" w:themeShade="80"/>
          <w:sz w:val="22"/>
          <w:szCs w:val="22"/>
          <w:lang w:val="en-GB"/>
        </w:rPr>
      </w:pPr>
    </w:p>
    <w:p w14:paraId="20A2A030" w14:textId="19E81A32" w:rsidR="009D670B" w:rsidRDefault="009D670B" w:rsidP="009D670B">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Roger Jolly has a final award from the ICC in London. This matter concerns the recognition and enforcement of foreign judgments (or awards). </w:t>
      </w:r>
    </w:p>
    <w:p w14:paraId="445463FD" w14:textId="50AD0063" w:rsidR="009D670B" w:rsidRDefault="009D670B" w:rsidP="009D670B">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is not part of international treaties for reciprocal recognition or enforcement of foreign judgments, nor has the UK extended the ratification of the treaties to the Cayman Islands, as the country is a British Overseas Territory, by Order in Council. </w:t>
      </w:r>
      <w:r w:rsidR="00646038">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he New York Convention on the Recognition and Enforcement of Foreign Arbitral Awards</w:t>
      </w:r>
      <w:r w:rsidR="00646038">
        <w:rPr>
          <w:rFonts w:ascii="Arial" w:hAnsi="Arial" w:cs="Arial"/>
          <w:color w:val="808080" w:themeColor="background1" w:themeShade="80"/>
          <w:sz w:val="22"/>
          <w:szCs w:val="22"/>
          <w:lang w:val="en-GB"/>
        </w:rPr>
        <w:t xml:space="preserve"> is an exception</w:t>
      </w:r>
      <w:r>
        <w:rPr>
          <w:rFonts w:ascii="Arial" w:hAnsi="Arial" w:cs="Arial"/>
          <w:color w:val="808080" w:themeColor="background1" w:themeShade="80"/>
          <w:sz w:val="22"/>
          <w:szCs w:val="22"/>
          <w:lang w:val="en-GB"/>
        </w:rPr>
        <w:t xml:space="preserve">. </w:t>
      </w:r>
    </w:p>
    <w:p w14:paraId="6F3BAD85" w14:textId="3A63E477" w:rsidR="002354C1" w:rsidRDefault="009D670B" w:rsidP="009D670B">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Article III of the Convention, it is stipulated that each contracting state </w:t>
      </w:r>
      <w:r w:rsidRPr="009D670B">
        <w:rPr>
          <w:rFonts w:ascii="Arial" w:hAnsi="Arial" w:cs="Arial"/>
          <w:color w:val="808080" w:themeColor="background1" w:themeShade="80"/>
          <w:sz w:val="22"/>
          <w:szCs w:val="22"/>
        </w:rPr>
        <w:t xml:space="preserve">shall </w:t>
      </w:r>
      <w:r w:rsidR="002354C1">
        <w:rPr>
          <w:rFonts w:ascii="Arial" w:hAnsi="Arial" w:cs="Arial"/>
          <w:color w:val="808080" w:themeColor="background1" w:themeShade="80"/>
          <w:sz w:val="22"/>
          <w:szCs w:val="22"/>
          <w:lang w:val="en-GB"/>
        </w:rPr>
        <w:t>“</w:t>
      </w:r>
      <w:r w:rsidRPr="009D670B">
        <w:rPr>
          <w:rFonts w:ascii="Arial" w:hAnsi="Arial" w:cs="Arial"/>
          <w:color w:val="808080" w:themeColor="background1" w:themeShade="80"/>
          <w:sz w:val="22"/>
          <w:szCs w:val="22"/>
        </w:rPr>
        <w:t>recognize arbitral awards as binding and enforce them in accordance with the rules of procedure of the territory where the award is relied upon</w:t>
      </w:r>
      <w:r w:rsidR="002354C1">
        <w:rPr>
          <w:rFonts w:ascii="Arial" w:hAnsi="Arial" w:cs="Arial"/>
          <w:color w:val="808080" w:themeColor="background1" w:themeShade="80"/>
          <w:sz w:val="22"/>
          <w:szCs w:val="22"/>
          <w:lang w:val="en-GB"/>
        </w:rPr>
        <w:t>”.</w:t>
      </w:r>
    </w:p>
    <w:p w14:paraId="2BBB6665" w14:textId="2228D9D0" w:rsidR="002354C1" w:rsidRPr="002354C1" w:rsidRDefault="002354C1" w:rsidP="002354C1">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Roger Jolly is </w:t>
      </w:r>
      <w:r w:rsidR="00646038">
        <w:rPr>
          <w:rFonts w:ascii="Arial" w:hAnsi="Arial" w:cs="Arial"/>
          <w:color w:val="808080" w:themeColor="background1" w:themeShade="80"/>
          <w:sz w:val="22"/>
          <w:szCs w:val="22"/>
          <w:lang w:val="en-GB"/>
        </w:rPr>
        <w:t>fortunate</w:t>
      </w:r>
      <w:r>
        <w:rPr>
          <w:rFonts w:ascii="Arial" w:hAnsi="Arial" w:cs="Arial"/>
          <w:color w:val="808080" w:themeColor="background1" w:themeShade="80"/>
          <w:sz w:val="22"/>
          <w:szCs w:val="22"/>
          <w:lang w:val="en-GB"/>
        </w:rPr>
        <w:t xml:space="preserve"> that this is not a foreign court judgement (as the rules were more complicated should that have been the case, eg recognition by way of </w:t>
      </w:r>
      <w:r w:rsidR="00E67B2F">
        <w:rPr>
          <w:rFonts w:ascii="Arial" w:hAnsi="Arial" w:cs="Arial"/>
          <w:color w:val="808080" w:themeColor="background1" w:themeShade="80"/>
          <w:sz w:val="22"/>
          <w:szCs w:val="22"/>
          <w:lang w:val="en-GB"/>
        </w:rPr>
        <w:t>the Foreign Judgement Reciprocal Enforcement Act (in limited cases) or common law (commonly used in practice)).</w:t>
      </w:r>
      <w:r w:rsidR="00646038">
        <w:rPr>
          <w:rFonts w:ascii="Arial" w:hAnsi="Arial" w:cs="Arial"/>
          <w:color w:val="808080" w:themeColor="background1" w:themeShade="80"/>
          <w:sz w:val="22"/>
          <w:szCs w:val="22"/>
          <w:lang w:val="en-GB"/>
        </w:rPr>
        <w:t xml:space="preserve"> As such, he </w:t>
      </w:r>
      <w:r>
        <w:rPr>
          <w:rFonts w:ascii="Arial" w:hAnsi="Arial" w:cs="Arial"/>
          <w:color w:val="808080" w:themeColor="background1" w:themeShade="80"/>
          <w:sz w:val="22"/>
          <w:szCs w:val="22"/>
          <w:lang w:val="en-GB"/>
        </w:rPr>
        <w:t xml:space="preserve">should apply for recognition and enforcement in the Cayman Islands Grand Court and should per </w:t>
      </w:r>
      <w:r w:rsidRPr="002354C1">
        <w:rPr>
          <w:rFonts w:ascii="Arial" w:hAnsi="Arial" w:cs="Arial"/>
          <w:color w:val="808080" w:themeColor="background1" w:themeShade="80"/>
          <w:sz w:val="22"/>
          <w:szCs w:val="22"/>
        </w:rPr>
        <w:t>Article IV</w:t>
      </w:r>
      <w:r>
        <w:rPr>
          <w:rFonts w:ascii="Arial" w:hAnsi="Arial" w:cs="Arial"/>
          <w:color w:val="808080" w:themeColor="background1" w:themeShade="80"/>
          <w:sz w:val="22"/>
          <w:szCs w:val="22"/>
          <w:lang w:val="en-GB"/>
        </w:rPr>
        <w:t xml:space="preserve"> of the Convention, </w:t>
      </w:r>
      <w:r w:rsidRPr="002354C1">
        <w:rPr>
          <w:rFonts w:ascii="Arial" w:hAnsi="Arial" w:cs="Arial"/>
          <w:color w:val="808080" w:themeColor="background1" w:themeShade="80"/>
          <w:sz w:val="22"/>
          <w:szCs w:val="22"/>
        </w:rPr>
        <w:t>supply</w:t>
      </w:r>
      <w:r>
        <w:rPr>
          <w:rFonts w:ascii="Arial" w:hAnsi="Arial" w:cs="Arial"/>
          <w:color w:val="808080" w:themeColor="background1" w:themeShade="80"/>
          <w:sz w:val="22"/>
          <w:szCs w:val="22"/>
          <w:lang w:val="en-GB"/>
        </w:rPr>
        <w:t xml:space="preserve"> the court with a </w:t>
      </w:r>
      <w:r w:rsidRPr="002354C1">
        <w:rPr>
          <w:rFonts w:ascii="Arial" w:hAnsi="Arial" w:cs="Arial"/>
          <w:color w:val="808080" w:themeColor="background1" w:themeShade="80"/>
          <w:sz w:val="22"/>
          <w:szCs w:val="22"/>
        </w:rPr>
        <w:t xml:space="preserve">duly authenticated original award </w:t>
      </w:r>
      <w:r>
        <w:rPr>
          <w:rFonts w:ascii="Arial" w:hAnsi="Arial" w:cs="Arial"/>
          <w:color w:val="808080" w:themeColor="background1" w:themeShade="80"/>
          <w:sz w:val="22"/>
          <w:szCs w:val="22"/>
          <w:lang w:val="en-GB"/>
        </w:rPr>
        <w:t xml:space="preserve">and the </w:t>
      </w:r>
      <w:r w:rsidRPr="002354C1">
        <w:rPr>
          <w:rFonts w:ascii="Arial" w:hAnsi="Arial" w:cs="Arial"/>
          <w:color w:val="808080" w:themeColor="background1" w:themeShade="80"/>
          <w:sz w:val="22"/>
          <w:szCs w:val="22"/>
        </w:rPr>
        <w:t xml:space="preserve">original </w:t>
      </w:r>
      <w:r>
        <w:rPr>
          <w:rFonts w:ascii="Arial" w:hAnsi="Arial" w:cs="Arial"/>
          <w:color w:val="808080" w:themeColor="background1" w:themeShade="80"/>
          <w:sz w:val="22"/>
          <w:szCs w:val="22"/>
          <w:lang w:val="en-GB"/>
        </w:rPr>
        <w:t xml:space="preserve">arbitration </w:t>
      </w:r>
      <w:r w:rsidRPr="002354C1">
        <w:rPr>
          <w:rFonts w:ascii="Arial" w:hAnsi="Arial" w:cs="Arial"/>
          <w:color w:val="808080" w:themeColor="background1" w:themeShade="80"/>
          <w:sz w:val="22"/>
          <w:szCs w:val="22"/>
        </w:rPr>
        <w:t xml:space="preserve">agreement or </w:t>
      </w:r>
      <w:r w:rsidR="00646038">
        <w:rPr>
          <w:rFonts w:ascii="Arial" w:hAnsi="Arial" w:cs="Arial"/>
          <w:color w:val="808080" w:themeColor="background1" w:themeShade="80"/>
          <w:sz w:val="22"/>
          <w:szCs w:val="22"/>
        </w:rPr>
        <w:t>their</w:t>
      </w:r>
      <w:r w:rsidRPr="002354C1">
        <w:rPr>
          <w:rFonts w:ascii="Arial" w:hAnsi="Arial" w:cs="Arial"/>
          <w:color w:val="808080" w:themeColor="background1" w:themeShade="80"/>
          <w:sz w:val="22"/>
          <w:szCs w:val="22"/>
        </w:rPr>
        <w:t xml:space="preserve"> duly certified cop</w:t>
      </w:r>
      <w:r w:rsidR="00646038">
        <w:rPr>
          <w:rFonts w:ascii="Arial" w:hAnsi="Arial" w:cs="Arial"/>
          <w:color w:val="808080" w:themeColor="background1" w:themeShade="80"/>
          <w:sz w:val="22"/>
          <w:szCs w:val="22"/>
        </w:rPr>
        <w:t>ies.</w:t>
      </w:r>
    </w:p>
    <w:p w14:paraId="25408E20" w14:textId="77777777" w:rsidR="002354C1" w:rsidRDefault="002354C1" w:rsidP="009D670B">
      <w:pPr>
        <w:ind w:firstLine="360"/>
        <w:jc w:val="both"/>
        <w:rPr>
          <w:rFonts w:ascii="Arial" w:hAnsi="Arial" w:cs="Arial"/>
          <w:color w:val="808080" w:themeColor="background1" w:themeShade="80"/>
          <w:sz w:val="22"/>
          <w:szCs w:val="22"/>
          <w:lang w:val="en-GB"/>
        </w:rPr>
      </w:pPr>
    </w:p>
    <w:p w14:paraId="476FB576" w14:textId="77777777" w:rsidR="00BB73D9" w:rsidRPr="00BB73D9" w:rsidRDefault="00BB73D9" w:rsidP="00BB73D9">
      <w:pPr>
        <w:jc w:val="both"/>
        <w:rPr>
          <w:rFonts w:ascii="Arial" w:hAnsi="Arial" w:cs="Arial"/>
          <w:color w:val="808080" w:themeColor="background1" w:themeShade="80"/>
          <w:sz w:val="22"/>
          <w:szCs w:val="22"/>
          <w:lang w:val="en-GB"/>
        </w:rPr>
      </w:pPr>
    </w:p>
    <w:p w14:paraId="08863495" w14:textId="77777777" w:rsidR="00BB73D9" w:rsidRPr="005F2A79" w:rsidRDefault="00BB73D9" w:rsidP="00BB73D9">
      <w:pPr>
        <w:pStyle w:val="ListParagraph"/>
        <w:numPr>
          <w:ilvl w:val="0"/>
          <w:numId w:val="42"/>
        </w:numPr>
        <w:jc w:val="both"/>
        <w:rPr>
          <w:rFonts w:ascii="Arial" w:hAnsi="Arial" w:cs="Arial"/>
          <w:b/>
          <w:bCs/>
          <w:color w:val="808080" w:themeColor="background1" w:themeShade="80"/>
          <w:sz w:val="22"/>
          <w:szCs w:val="22"/>
          <w:lang w:val="en-GB"/>
        </w:rPr>
      </w:pPr>
      <w:r w:rsidRPr="005F2A79">
        <w:rPr>
          <w:rFonts w:ascii="Arial" w:hAnsi="Arial" w:cs="Arial"/>
          <w:b/>
          <w:bCs/>
          <w:color w:val="808080" w:themeColor="background1" w:themeShade="80"/>
          <w:sz w:val="22"/>
          <w:szCs w:val="22"/>
          <w:lang w:val="en-GB"/>
        </w:rPr>
        <w:t>What action can the unpaid employees take against S &amp; C?</w:t>
      </w:r>
    </w:p>
    <w:p w14:paraId="1F9BE04B" w14:textId="1F6647F2" w:rsidR="00BB73D9" w:rsidRDefault="00BB73D9" w:rsidP="005708E2">
      <w:pPr>
        <w:rPr>
          <w:rFonts w:ascii="Arial" w:hAnsi="Arial" w:cs="Arial"/>
          <w:color w:val="808080" w:themeColor="background1" w:themeShade="80"/>
          <w:sz w:val="22"/>
          <w:szCs w:val="22"/>
          <w:lang w:val="en-GB"/>
        </w:rPr>
      </w:pPr>
    </w:p>
    <w:p w14:paraId="31E2C05E" w14:textId="0BF76D3F" w:rsidR="005708E2" w:rsidRDefault="002C2818" w:rsidP="00965EB0">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event of an insolvency, employees fall under the category of preferential debts per Section 141 of the Companies Act. These are debts which are paid before all other debts with absolute priority unless the availability of funds are insufficient to do so. In such cases, they are distributed in equal portions.</w:t>
      </w:r>
      <w:r w:rsidR="00DC7CE0">
        <w:rPr>
          <w:rFonts w:ascii="Arial" w:hAnsi="Arial" w:cs="Arial"/>
          <w:color w:val="808080" w:themeColor="background1" w:themeShade="80"/>
          <w:sz w:val="22"/>
          <w:szCs w:val="22"/>
          <w:lang w:val="en-GB"/>
        </w:rPr>
        <w:t xml:space="preserve"> Under these rules, all wages of any labourer in respect of services rendered to the debtor for four months prior to the (provisional) order should be paid in priority.</w:t>
      </w:r>
    </w:p>
    <w:p w14:paraId="7C1EA3B0" w14:textId="27FEAD9C" w:rsidR="002C2818" w:rsidRDefault="002C2818" w:rsidP="00965EB0">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such, the employees should file their claims with the liquidator/administrator to secure their preferential position.</w:t>
      </w:r>
    </w:p>
    <w:p w14:paraId="60E33565" w14:textId="77777777" w:rsidR="002C2818" w:rsidRDefault="002C2818" w:rsidP="00965EB0">
      <w:pPr>
        <w:jc w:val="both"/>
        <w:rPr>
          <w:rFonts w:ascii="Arial" w:hAnsi="Arial" w:cs="Arial"/>
          <w:color w:val="808080" w:themeColor="background1" w:themeShade="80"/>
          <w:sz w:val="22"/>
          <w:szCs w:val="22"/>
          <w:lang w:val="en-GB"/>
        </w:rPr>
      </w:pPr>
    </w:p>
    <w:p w14:paraId="7F2BE960" w14:textId="77777777" w:rsidR="005708E2" w:rsidRPr="005708E2" w:rsidRDefault="005708E2" w:rsidP="005708E2">
      <w:pPr>
        <w:rPr>
          <w:rFonts w:ascii="Arial" w:hAnsi="Arial" w:cs="Arial"/>
          <w:color w:val="808080" w:themeColor="background1" w:themeShade="80"/>
          <w:sz w:val="22"/>
          <w:szCs w:val="22"/>
          <w:lang w:val="en-GB"/>
        </w:rPr>
      </w:pPr>
    </w:p>
    <w:p w14:paraId="6CBFF31D" w14:textId="77777777" w:rsidR="00BB73D9" w:rsidRPr="00706CD7" w:rsidRDefault="00BB73D9" w:rsidP="00BB73D9">
      <w:pPr>
        <w:pStyle w:val="ListParagraph"/>
        <w:numPr>
          <w:ilvl w:val="0"/>
          <w:numId w:val="42"/>
        </w:numPr>
        <w:jc w:val="both"/>
        <w:rPr>
          <w:rFonts w:ascii="Arial" w:hAnsi="Arial" w:cs="Arial"/>
          <w:b/>
          <w:bCs/>
          <w:color w:val="808080" w:themeColor="background1" w:themeShade="80"/>
          <w:sz w:val="22"/>
          <w:szCs w:val="22"/>
          <w:lang w:val="en-GB"/>
        </w:rPr>
      </w:pPr>
      <w:r w:rsidRPr="00DC7CE0">
        <w:rPr>
          <w:rFonts w:ascii="Arial" w:hAnsi="Arial" w:cs="Arial"/>
          <w:b/>
          <w:bCs/>
          <w:color w:val="808080" w:themeColor="background1" w:themeShade="80"/>
          <w:sz w:val="22"/>
          <w:szCs w:val="22"/>
          <w:lang w:val="en-GB"/>
        </w:rPr>
        <w:t>Does the Cayman Islands Court have jurisdiction over S &amp; C?</w:t>
      </w:r>
    </w:p>
    <w:p w14:paraId="6125E552" w14:textId="77777777" w:rsidR="004931F1" w:rsidRPr="00706CD7" w:rsidRDefault="004931F1" w:rsidP="005708E2">
      <w:pPr>
        <w:rPr>
          <w:rFonts w:ascii="Arial" w:hAnsi="Arial" w:cs="Arial"/>
          <w:b/>
          <w:bCs/>
          <w:color w:val="808080" w:themeColor="background1" w:themeShade="80"/>
          <w:sz w:val="22"/>
          <w:szCs w:val="22"/>
          <w:lang w:val="en-GB"/>
        </w:rPr>
      </w:pPr>
    </w:p>
    <w:p w14:paraId="1ADE8EBB" w14:textId="1F04B704" w:rsidR="00BB73D9" w:rsidRDefault="004931F1" w:rsidP="00965EB0">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Section 91 of the Bankruptcy Act, the Grand Court of the Cayman Islands has jurisdiction over a company if it is incorporated in the Cayman Islands, is incorporated elsewhere but subsequently registered within the Cayman Islands, is a foreign company with property located or carrying on business in the Cayman Islands, is a foreign company and a general partner of a limited partnership, or an overseas company as stipulated under Part IX.</w:t>
      </w:r>
    </w:p>
    <w:p w14:paraId="12EDD2A6" w14:textId="1BB5E987" w:rsidR="004931F1" w:rsidRDefault="004931F1" w:rsidP="00965EB0">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this case, S&amp;C carries out business </w:t>
      </w:r>
      <w:r w:rsidRPr="004931F1">
        <w:rPr>
          <w:rFonts w:ascii="Arial" w:hAnsi="Arial" w:cs="Arial"/>
          <w:color w:val="808080" w:themeColor="background1" w:themeShade="80"/>
          <w:sz w:val="22"/>
          <w:szCs w:val="22"/>
          <w:lang w:val="en-GB"/>
        </w:rPr>
        <w:t xml:space="preserve">across central America and the Caribbean </w:t>
      </w:r>
      <w:r>
        <w:rPr>
          <w:rFonts w:ascii="Arial" w:hAnsi="Arial" w:cs="Arial"/>
          <w:color w:val="808080" w:themeColor="background1" w:themeShade="80"/>
          <w:sz w:val="22"/>
          <w:szCs w:val="22"/>
          <w:lang w:val="en-GB"/>
        </w:rPr>
        <w:t>(which would include the Cayman Islands) but is in any case registered in the Cayman Islands. As such, the Grand Court does have jurisdiction.</w:t>
      </w:r>
    </w:p>
    <w:p w14:paraId="278CBDAC" w14:textId="77777777" w:rsidR="005708E2" w:rsidRPr="005708E2" w:rsidRDefault="005708E2" w:rsidP="005708E2">
      <w:pPr>
        <w:rPr>
          <w:rFonts w:ascii="Arial" w:hAnsi="Arial" w:cs="Arial"/>
          <w:color w:val="808080" w:themeColor="background1" w:themeShade="80"/>
          <w:sz w:val="22"/>
          <w:szCs w:val="22"/>
          <w:lang w:val="en-GB"/>
        </w:rPr>
      </w:pPr>
    </w:p>
    <w:p w14:paraId="7A78F9F5" w14:textId="77777777" w:rsidR="00BB73D9" w:rsidRPr="00E80835" w:rsidRDefault="00BB73D9" w:rsidP="00BB73D9">
      <w:pPr>
        <w:pStyle w:val="ListParagraph"/>
        <w:numPr>
          <w:ilvl w:val="0"/>
          <w:numId w:val="42"/>
        </w:numPr>
        <w:jc w:val="both"/>
        <w:rPr>
          <w:rFonts w:ascii="Arial" w:hAnsi="Arial" w:cs="Arial"/>
          <w:b/>
          <w:bCs/>
          <w:color w:val="808080" w:themeColor="background1" w:themeShade="80"/>
          <w:sz w:val="22"/>
          <w:szCs w:val="22"/>
          <w:lang w:val="en-GB"/>
        </w:rPr>
      </w:pPr>
      <w:r w:rsidRPr="00E80835">
        <w:rPr>
          <w:rFonts w:ascii="Arial" w:hAnsi="Arial" w:cs="Arial"/>
          <w:b/>
          <w:bCs/>
          <w:color w:val="808080" w:themeColor="background1" w:themeShade="80"/>
          <w:sz w:val="22"/>
          <w:szCs w:val="22"/>
          <w:lang w:val="en-GB"/>
        </w:rPr>
        <w:t xml:space="preserve">Is there a legal route via which S &amp; C can protect itself and seek to restructure? </w:t>
      </w:r>
    </w:p>
    <w:p w14:paraId="0E1A27CA" w14:textId="37359B05" w:rsidR="00BB73D9" w:rsidRDefault="00BB73D9" w:rsidP="005708E2">
      <w:pPr>
        <w:rPr>
          <w:rFonts w:ascii="Arial" w:hAnsi="Arial" w:cs="Arial"/>
          <w:color w:val="808080" w:themeColor="background1" w:themeShade="80"/>
          <w:sz w:val="22"/>
          <w:szCs w:val="22"/>
          <w:lang w:val="en-GB"/>
        </w:rPr>
      </w:pPr>
    </w:p>
    <w:p w14:paraId="1E88E1D7" w14:textId="2F1982DE" w:rsidR="005B5FBA" w:rsidRDefault="00965EB0" w:rsidP="00965EB0">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S&amp;C can opt for informal workouts. However, although it is commonly used in practice, these workouts could prove to be somewhat challenging as </w:t>
      </w:r>
      <w:r w:rsidR="00646038">
        <w:rPr>
          <w:rFonts w:ascii="Arial" w:hAnsi="Arial" w:cs="Arial"/>
          <w:color w:val="808080" w:themeColor="background1" w:themeShade="80"/>
          <w:sz w:val="22"/>
          <w:szCs w:val="22"/>
          <w:lang w:val="en-GB"/>
        </w:rPr>
        <w:t>they</w:t>
      </w:r>
      <w:r>
        <w:rPr>
          <w:rFonts w:ascii="Arial" w:hAnsi="Arial" w:cs="Arial"/>
          <w:color w:val="808080" w:themeColor="background1" w:themeShade="80"/>
          <w:sz w:val="22"/>
          <w:szCs w:val="22"/>
          <w:lang w:val="en-GB"/>
        </w:rPr>
        <w:t xml:space="preserve"> need the cooperation of the (major) creditors. </w:t>
      </w:r>
      <w:r>
        <w:rPr>
          <w:rFonts w:ascii="Arial" w:hAnsi="Arial" w:cs="Arial"/>
          <w:i/>
          <w:iCs/>
          <w:color w:val="808080" w:themeColor="background1" w:themeShade="80"/>
          <w:sz w:val="22"/>
          <w:szCs w:val="22"/>
          <w:lang w:val="en-GB"/>
        </w:rPr>
        <w:t xml:space="preserve">In casu, </w:t>
      </w:r>
      <w:r>
        <w:rPr>
          <w:rFonts w:ascii="Arial" w:hAnsi="Arial" w:cs="Arial"/>
          <w:color w:val="808080" w:themeColor="background1" w:themeShade="80"/>
          <w:sz w:val="22"/>
          <w:szCs w:val="22"/>
          <w:lang w:val="en-GB"/>
        </w:rPr>
        <w:t xml:space="preserve">S&amp;C seems to have </w:t>
      </w:r>
      <w:r w:rsidR="00646038">
        <w:rPr>
          <w:rFonts w:ascii="Arial" w:hAnsi="Arial" w:cs="Arial"/>
          <w:color w:val="808080" w:themeColor="background1" w:themeShade="80"/>
          <w:sz w:val="22"/>
          <w:szCs w:val="22"/>
          <w:lang w:val="en-GB"/>
        </w:rPr>
        <w:t>many</w:t>
      </w:r>
      <w:r>
        <w:rPr>
          <w:rFonts w:ascii="Arial" w:hAnsi="Arial" w:cs="Arial"/>
          <w:color w:val="808080" w:themeColor="background1" w:themeShade="80"/>
          <w:sz w:val="22"/>
          <w:szCs w:val="22"/>
          <w:lang w:val="en-GB"/>
        </w:rPr>
        <w:t xml:space="preserve"> creditors</w:t>
      </w:r>
      <w:r w:rsidR="00646038">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who</w:t>
      </w:r>
      <w:r w:rsidR="00646038">
        <w:rPr>
          <w:rFonts w:ascii="Arial" w:hAnsi="Arial" w:cs="Arial"/>
          <w:color w:val="808080" w:themeColor="background1" w:themeShade="80"/>
          <w:sz w:val="22"/>
          <w:szCs w:val="22"/>
          <w:lang w:val="en-GB"/>
        </w:rPr>
        <w:t xml:space="preserve"> it is </w:t>
      </w:r>
      <w:r>
        <w:rPr>
          <w:rFonts w:ascii="Arial" w:hAnsi="Arial" w:cs="Arial"/>
          <w:color w:val="808080" w:themeColor="background1" w:themeShade="80"/>
          <w:sz w:val="22"/>
          <w:szCs w:val="22"/>
          <w:lang w:val="en-GB"/>
        </w:rPr>
        <w:t>seriously indebted to. As such, this option may not be ideal in this case</w:t>
      </w:r>
      <w:r w:rsidR="005B78EF">
        <w:rPr>
          <w:rFonts w:ascii="Arial" w:hAnsi="Arial" w:cs="Arial"/>
          <w:color w:val="808080" w:themeColor="background1" w:themeShade="80"/>
          <w:sz w:val="22"/>
          <w:szCs w:val="22"/>
          <w:lang w:val="en-GB"/>
        </w:rPr>
        <w:t xml:space="preserve"> especially as it does not provide for any form of protection</w:t>
      </w:r>
      <w:r>
        <w:rPr>
          <w:rFonts w:ascii="Arial" w:hAnsi="Arial" w:cs="Arial"/>
          <w:color w:val="808080" w:themeColor="background1" w:themeShade="80"/>
          <w:sz w:val="22"/>
          <w:szCs w:val="22"/>
          <w:lang w:val="en-GB"/>
        </w:rPr>
        <w:t>.</w:t>
      </w:r>
    </w:p>
    <w:p w14:paraId="37C58DCD" w14:textId="60B8560B" w:rsidR="00965EB0" w:rsidRDefault="005B78EF" w:rsidP="00965EB0">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However, f</w:t>
      </w:r>
      <w:r w:rsidR="00965EB0">
        <w:rPr>
          <w:rFonts w:ascii="Arial" w:hAnsi="Arial" w:cs="Arial"/>
          <w:color w:val="808080" w:themeColor="background1" w:themeShade="80"/>
          <w:sz w:val="22"/>
          <w:szCs w:val="22"/>
          <w:lang w:val="en-GB"/>
        </w:rPr>
        <w:t>or</w:t>
      </w:r>
      <w:r>
        <w:rPr>
          <w:rFonts w:ascii="Arial" w:hAnsi="Arial" w:cs="Arial"/>
          <w:color w:val="808080" w:themeColor="background1" w:themeShade="80"/>
          <w:sz w:val="22"/>
          <w:szCs w:val="22"/>
          <w:lang w:val="en-GB"/>
        </w:rPr>
        <w:t xml:space="preserve"> the</w:t>
      </w:r>
      <w:r w:rsidR="00965EB0">
        <w:rPr>
          <w:rFonts w:ascii="Arial" w:hAnsi="Arial" w:cs="Arial"/>
          <w:color w:val="808080" w:themeColor="background1" w:themeShade="80"/>
          <w:sz w:val="22"/>
          <w:szCs w:val="22"/>
          <w:lang w:val="en-GB"/>
        </w:rPr>
        <w:t xml:space="preserve"> S&amp;C to protect itself, it can apply for a moratorium against any proceedings that are in continuation or are being commenced </w:t>
      </w:r>
      <w:r>
        <w:rPr>
          <w:rFonts w:ascii="Arial" w:hAnsi="Arial" w:cs="Arial"/>
          <w:color w:val="808080" w:themeColor="background1" w:themeShade="80"/>
          <w:sz w:val="22"/>
          <w:szCs w:val="22"/>
          <w:lang w:val="en-GB"/>
        </w:rPr>
        <w:t xml:space="preserve">against </w:t>
      </w:r>
      <w:r w:rsidR="005B53C3">
        <w:rPr>
          <w:rFonts w:ascii="Arial" w:hAnsi="Arial" w:cs="Arial"/>
          <w:color w:val="808080" w:themeColor="background1" w:themeShade="80"/>
          <w:sz w:val="22"/>
          <w:szCs w:val="22"/>
          <w:lang w:val="en-GB"/>
        </w:rPr>
        <w:t>it</w:t>
      </w:r>
      <w:r>
        <w:rPr>
          <w:rFonts w:ascii="Arial" w:hAnsi="Arial" w:cs="Arial"/>
          <w:color w:val="808080" w:themeColor="background1" w:themeShade="80"/>
          <w:sz w:val="22"/>
          <w:szCs w:val="22"/>
          <w:lang w:val="en-GB"/>
        </w:rPr>
        <w:t xml:space="preserve"> by entering into a provisional liquidation. This could provide </w:t>
      </w:r>
      <w:r w:rsidR="005B53C3">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 xml:space="preserve"> necessary breathing space for the negotiations to run smoothly and to achieve an agreement.</w:t>
      </w:r>
    </w:p>
    <w:p w14:paraId="56A5DB2D" w14:textId="1AC9D630" w:rsidR="005B78EF" w:rsidRPr="00243635" w:rsidRDefault="00243635" w:rsidP="00965EB0">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such, if the S&amp;C seeks to restructure, the provisional liquidation can be used in conjunction with a scheme of arrangement. This scheme is an agreement between S&amp;C and the creditors which is court approved and concerns </w:t>
      </w:r>
      <w:r>
        <w:rPr>
          <w:rFonts w:ascii="Arial" w:hAnsi="Arial" w:cs="Arial"/>
          <w:i/>
          <w:iCs/>
          <w:color w:val="808080" w:themeColor="background1" w:themeShade="80"/>
          <w:sz w:val="22"/>
          <w:szCs w:val="22"/>
          <w:lang w:val="en-GB"/>
        </w:rPr>
        <w:t xml:space="preserve">inter alia </w:t>
      </w:r>
      <w:r>
        <w:rPr>
          <w:rFonts w:ascii="Arial" w:hAnsi="Arial" w:cs="Arial"/>
          <w:color w:val="808080" w:themeColor="background1" w:themeShade="80"/>
          <w:sz w:val="22"/>
          <w:szCs w:val="22"/>
          <w:lang w:val="en-GB"/>
        </w:rPr>
        <w:t xml:space="preserve"> the restructuring of liabilities, reorganization of share capital, and change</w:t>
      </w:r>
      <w:r w:rsidR="005B53C3">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the distribution rights of shareholders and creditors, and which could include debt-for-equity swaps and pre-packaged sales.</w:t>
      </w:r>
    </w:p>
    <w:p w14:paraId="2B834B7B" w14:textId="77777777" w:rsidR="005708E2" w:rsidRPr="00BB73D9" w:rsidRDefault="005708E2" w:rsidP="00965EB0">
      <w:pPr>
        <w:pStyle w:val="ListParagraph"/>
        <w:jc w:val="both"/>
        <w:rPr>
          <w:rFonts w:ascii="Arial" w:hAnsi="Arial" w:cs="Arial"/>
          <w:color w:val="808080" w:themeColor="background1" w:themeShade="80"/>
          <w:sz w:val="22"/>
          <w:szCs w:val="22"/>
          <w:lang w:val="en-GB"/>
        </w:rPr>
      </w:pPr>
    </w:p>
    <w:p w14:paraId="7EF17535" w14:textId="77777777" w:rsidR="00BB73D9" w:rsidRPr="00EF33FC" w:rsidRDefault="00BB73D9" w:rsidP="00BB73D9">
      <w:pPr>
        <w:pStyle w:val="ListParagraph"/>
        <w:numPr>
          <w:ilvl w:val="0"/>
          <w:numId w:val="42"/>
        </w:numPr>
        <w:jc w:val="both"/>
        <w:rPr>
          <w:rFonts w:ascii="Arial" w:hAnsi="Arial" w:cs="Arial"/>
          <w:b/>
          <w:bCs/>
          <w:color w:val="808080" w:themeColor="background1" w:themeShade="80"/>
          <w:sz w:val="22"/>
          <w:szCs w:val="22"/>
          <w:lang w:val="en-GB"/>
        </w:rPr>
      </w:pPr>
      <w:r w:rsidRPr="00EF33FC">
        <w:rPr>
          <w:rFonts w:ascii="Arial" w:hAnsi="Arial" w:cs="Arial"/>
          <w:b/>
          <w:bCs/>
          <w:color w:val="808080" w:themeColor="background1" w:themeShade="80"/>
          <w:sz w:val="22"/>
          <w:szCs w:val="22"/>
          <w:lang w:val="en-GB"/>
        </w:rPr>
        <w:t>Following on from (e) above, can the Rackham family continue play a part in running S &amp; C during any restructuring process?</w:t>
      </w:r>
    </w:p>
    <w:p w14:paraId="102A7A41" w14:textId="216686AB" w:rsidR="00BB73D9" w:rsidRDefault="00BB73D9" w:rsidP="005708E2">
      <w:pPr>
        <w:rPr>
          <w:rFonts w:ascii="Arial" w:hAnsi="Arial" w:cs="Arial"/>
          <w:color w:val="808080" w:themeColor="background1" w:themeShade="80"/>
          <w:sz w:val="22"/>
          <w:szCs w:val="22"/>
          <w:lang w:val="en-GB"/>
        </w:rPr>
      </w:pPr>
    </w:p>
    <w:p w14:paraId="681A6763" w14:textId="1884A1A9" w:rsidR="005708E2" w:rsidRDefault="00EF33FC" w:rsidP="005B53C3">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answer to this question depends on the facts and details of the case, and on the route </w:t>
      </w:r>
      <w:r w:rsidR="00706CD7">
        <w:rPr>
          <w:rFonts w:ascii="Arial" w:hAnsi="Arial" w:cs="Arial"/>
          <w:color w:val="808080" w:themeColor="background1" w:themeShade="80"/>
          <w:sz w:val="22"/>
          <w:szCs w:val="22"/>
          <w:lang w:val="en-GB"/>
        </w:rPr>
        <w:t>Ş</w:t>
      </w:r>
      <w:r>
        <w:rPr>
          <w:rFonts w:ascii="Arial" w:hAnsi="Arial" w:cs="Arial"/>
          <w:color w:val="808080" w:themeColor="background1" w:themeShade="80"/>
          <w:sz w:val="22"/>
          <w:szCs w:val="22"/>
          <w:lang w:val="en-GB"/>
        </w:rPr>
        <w:t>&amp;C decides to take. If it does not enter in provisional liquidation, the Rackham family, being the managing body of the S&amp;C company, will continue to manage the business. If the provisional liquidator is appointed, the Grand Court determines the separation of powers between the Rackham family and the liquidator. Depending on the facts of the case, the liquidator may take over completely, or conversely, the Rackham family may retain most of their powers. The latter option is often referred to as “light touch” proceedings.</w:t>
      </w:r>
    </w:p>
    <w:p w14:paraId="321F14B3" w14:textId="77777777" w:rsidR="00EF33FC" w:rsidRDefault="00EF33FC" w:rsidP="00EF33FC">
      <w:pPr>
        <w:ind w:firstLine="360"/>
        <w:rPr>
          <w:rFonts w:ascii="Arial" w:hAnsi="Arial" w:cs="Arial"/>
          <w:color w:val="808080" w:themeColor="background1" w:themeShade="80"/>
          <w:sz w:val="22"/>
          <w:szCs w:val="22"/>
          <w:lang w:val="en-GB"/>
        </w:rPr>
      </w:pPr>
    </w:p>
    <w:p w14:paraId="6034F8A9" w14:textId="77777777" w:rsidR="00EF33FC" w:rsidRPr="005708E2" w:rsidRDefault="00EF33FC" w:rsidP="00EF33FC">
      <w:pPr>
        <w:ind w:firstLine="360"/>
        <w:rPr>
          <w:rFonts w:ascii="Arial" w:hAnsi="Arial" w:cs="Arial"/>
          <w:color w:val="808080" w:themeColor="background1" w:themeShade="80"/>
          <w:sz w:val="22"/>
          <w:szCs w:val="22"/>
          <w:lang w:val="en-GB"/>
        </w:rPr>
      </w:pPr>
    </w:p>
    <w:p w14:paraId="2683C548" w14:textId="77777777" w:rsidR="005708E2" w:rsidRPr="00EF33FC" w:rsidRDefault="00BB73D9" w:rsidP="00BB73D9">
      <w:pPr>
        <w:pStyle w:val="ListParagraph"/>
        <w:numPr>
          <w:ilvl w:val="0"/>
          <w:numId w:val="42"/>
        </w:numPr>
        <w:jc w:val="both"/>
        <w:rPr>
          <w:rFonts w:ascii="Arial" w:hAnsi="Arial" w:cs="Arial"/>
          <w:b/>
          <w:bCs/>
          <w:color w:val="808080" w:themeColor="background1" w:themeShade="80"/>
          <w:sz w:val="22"/>
          <w:szCs w:val="22"/>
          <w:lang w:val="en-GB"/>
        </w:rPr>
      </w:pPr>
      <w:r w:rsidRPr="00EF33FC">
        <w:rPr>
          <w:rFonts w:ascii="Arial" w:hAnsi="Arial" w:cs="Arial"/>
          <w:b/>
          <w:bCs/>
          <w:color w:val="808080" w:themeColor="background1" w:themeShade="80"/>
          <w:sz w:val="22"/>
          <w:szCs w:val="22"/>
          <w:lang w:val="en-GB"/>
        </w:rPr>
        <w:t>What factors will the Cayman Islands court take into consideration before approving any proposed restructuring?</w:t>
      </w:r>
    </w:p>
    <w:p w14:paraId="3058A7CA" w14:textId="77777777" w:rsidR="00EF33FC" w:rsidRDefault="00EF33FC" w:rsidP="005708E2">
      <w:pPr>
        <w:jc w:val="both"/>
        <w:rPr>
          <w:rFonts w:ascii="Arial" w:hAnsi="Arial" w:cs="Arial"/>
          <w:color w:val="808080" w:themeColor="background1" w:themeShade="80"/>
          <w:sz w:val="22"/>
          <w:szCs w:val="22"/>
          <w:lang w:val="en-GB"/>
        </w:rPr>
      </w:pPr>
    </w:p>
    <w:p w14:paraId="2FC2B74B" w14:textId="77777777" w:rsidR="00FE7345" w:rsidRDefault="00EF33FC" w:rsidP="00FE7345">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approval for a scheme is </w:t>
      </w:r>
      <w:r w:rsidR="00FE7345">
        <w:rPr>
          <w:rFonts w:ascii="Arial" w:hAnsi="Arial" w:cs="Arial"/>
          <w:color w:val="808080" w:themeColor="background1" w:themeShade="80"/>
          <w:sz w:val="22"/>
          <w:szCs w:val="22"/>
          <w:lang w:val="en-GB"/>
        </w:rPr>
        <w:t>codified in Order 102 (rule 20) of the Grand Court Rules and Practice Direction 2/2010.</w:t>
      </w:r>
    </w:p>
    <w:p w14:paraId="2796A2B0" w14:textId="77777777" w:rsidR="00FE7345" w:rsidRDefault="00FE7345" w:rsidP="00FE7345">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convening hearing, the Court will consider the issues surrounding its jurisdiction, the class composition and its possible rearrangement, administrative and formal issues such as scheme documentation, explanatory statements, and notices. </w:t>
      </w:r>
    </w:p>
    <w:p w14:paraId="394CA5D1" w14:textId="58D9F62A" w:rsidR="00952187" w:rsidRDefault="00FE7345" w:rsidP="006338D1">
      <w:pPr>
        <w:ind w:firstLine="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After the scheme meeting with the creditors, </w:t>
      </w:r>
      <w:r w:rsidR="005B53C3">
        <w:rPr>
          <w:rFonts w:ascii="Arial" w:hAnsi="Arial" w:cs="Arial"/>
          <w:color w:val="808080" w:themeColor="background1" w:themeShade="80"/>
          <w:sz w:val="22"/>
          <w:szCs w:val="22"/>
          <w:lang w:val="en-GB"/>
        </w:rPr>
        <w:t>the</w:t>
      </w:r>
      <w:r>
        <w:rPr>
          <w:rFonts w:ascii="Arial" w:hAnsi="Arial" w:cs="Arial"/>
          <w:color w:val="808080" w:themeColor="background1" w:themeShade="80"/>
          <w:sz w:val="22"/>
          <w:szCs w:val="22"/>
          <w:lang w:val="en-GB"/>
        </w:rPr>
        <w:t xml:space="preserve"> accept</w:t>
      </w:r>
      <w:r w:rsidR="005B53C3">
        <w:rPr>
          <w:rFonts w:ascii="Arial" w:hAnsi="Arial" w:cs="Arial"/>
          <w:color w:val="808080" w:themeColor="background1" w:themeShade="80"/>
          <w:sz w:val="22"/>
          <w:szCs w:val="22"/>
          <w:lang w:val="en-GB"/>
        </w:rPr>
        <w:t>ance of the</w:t>
      </w:r>
      <w:r>
        <w:rPr>
          <w:rFonts w:ascii="Arial" w:hAnsi="Arial" w:cs="Arial"/>
          <w:color w:val="808080" w:themeColor="background1" w:themeShade="80"/>
          <w:sz w:val="22"/>
          <w:szCs w:val="22"/>
          <w:lang w:val="en-GB"/>
        </w:rPr>
        <w:t xml:space="preserve"> restructuring (which occurs by majority </w:t>
      </w:r>
      <w:r w:rsidR="007A0E6A">
        <w:rPr>
          <w:rFonts w:ascii="Arial" w:hAnsi="Arial" w:cs="Arial"/>
          <w:color w:val="808080" w:themeColor="background1" w:themeShade="80"/>
          <w:sz w:val="22"/>
          <w:szCs w:val="22"/>
          <w:lang w:val="en-GB"/>
        </w:rPr>
        <w:t xml:space="preserve">of creditors </w:t>
      </w:r>
      <w:r>
        <w:rPr>
          <w:rFonts w:ascii="Arial" w:hAnsi="Arial" w:cs="Arial"/>
          <w:color w:val="808080" w:themeColor="background1" w:themeShade="80"/>
          <w:sz w:val="22"/>
          <w:szCs w:val="22"/>
          <w:lang w:val="en-GB"/>
        </w:rPr>
        <w:t>(over 50%)</w:t>
      </w:r>
      <w:r w:rsidR="007A0E6A">
        <w:rPr>
          <w:rFonts w:ascii="Arial" w:hAnsi="Arial" w:cs="Arial"/>
          <w:color w:val="808080" w:themeColor="background1" w:themeShade="80"/>
          <w:sz w:val="22"/>
          <w:szCs w:val="22"/>
          <w:lang w:val="en-GB"/>
        </w:rPr>
        <w:t xml:space="preserve"> representing at least 75% in value of the creditors</w:t>
      </w:r>
      <w:r w:rsidR="005B53C3">
        <w:rPr>
          <w:rFonts w:ascii="Arial" w:hAnsi="Arial" w:cs="Arial"/>
          <w:color w:val="808080" w:themeColor="background1" w:themeShade="80"/>
          <w:sz w:val="22"/>
          <w:szCs w:val="22"/>
          <w:lang w:val="en-GB"/>
        </w:rPr>
        <w:t>)</w:t>
      </w:r>
      <w:r w:rsidR="007A0E6A">
        <w:rPr>
          <w:rFonts w:ascii="Arial" w:hAnsi="Arial" w:cs="Arial"/>
          <w:color w:val="808080" w:themeColor="background1" w:themeShade="80"/>
          <w:sz w:val="22"/>
          <w:szCs w:val="22"/>
          <w:lang w:val="en-GB"/>
        </w:rPr>
        <w:t>, the proposed and accepted restructuring is presented to Court. In turn, the Court should scrutinize whether the voting took place according to the law and has sufficient creditor support. It will also consider whether the convening orders were complied with, whether the majority fairly represents the class</w:t>
      </w:r>
      <w:r w:rsidR="006338D1">
        <w:rPr>
          <w:rFonts w:ascii="Arial" w:hAnsi="Arial" w:cs="Arial"/>
          <w:color w:val="808080" w:themeColor="background1" w:themeShade="80"/>
          <w:sz w:val="22"/>
          <w:szCs w:val="22"/>
          <w:lang w:val="en-GB"/>
        </w:rPr>
        <w:t>, considering the alternatives whether a reasonable intelligent and honest member of the class which is acting in its own interests might reasonably approve such a scheme.</w:t>
      </w:r>
      <w:r w:rsidR="007A0E6A">
        <w:rPr>
          <w:rFonts w:ascii="Arial" w:hAnsi="Arial" w:cs="Arial"/>
          <w:color w:val="808080" w:themeColor="background1" w:themeShade="80"/>
          <w:sz w:val="22"/>
          <w:szCs w:val="22"/>
          <w:lang w:val="en-GB"/>
        </w:rPr>
        <w:t xml:space="preserve"> </w:t>
      </w:r>
      <w:r w:rsidR="006338D1">
        <w:rPr>
          <w:rFonts w:ascii="Arial" w:hAnsi="Arial" w:cs="Arial"/>
          <w:color w:val="808080" w:themeColor="background1" w:themeShade="80"/>
          <w:sz w:val="22"/>
          <w:szCs w:val="22"/>
          <w:lang w:val="en-GB"/>
        </w:rPr>
        <w:t>If the</w:t>
      </w:r>
      <w:r w:rsidR="007A0E6A">
        <w:rPr>
          <w:rFonts w:ascii="Arial" w:hAnsi="Arial" w:cs="Arial"/>
          <w:color w:val="808080" w:themeColor="background1" w:themeShade="80"/>
          <w:sz w:val="22"/>
          <w:szCs w:val="22"/>
          <w:lang w:val="en-GB"/>
        </w:rPr>
        <w:t xml:space="preserve"> Court </w:t>
      </w:r>
      <w:r w:rsidR="006338D1">
        <w:rPr>
          <w:rFonts w:ascii="Arial" w:hAnsi="Arial" w:cs="Arial"/>
          <w:color w:val="808080" w:themeColor="background1" w:themeShade="80"/>
          <w:sz w:val="22"/>
          <w:szCs w:val="22"/>
          <w:lang w:val="en-GB"/>
        </w:rPr>
        <w:t xml:space="preserve">is satisfied it </w:t>
      </w:r>
      <w:r w:rsidR="007A0E6A">
        <w:rPr>
          <w:rFonts w:ascii="Arial" w:hAnsi="Arial" w:cs="Arial"/>
          <w:color w:val="808080" w:themeColor="background1" w:themeShade="80"/>
          <w:sz w:val="22"/>
          <w:szCs w:val="22"/>
          <w:lang w:val="en-GB"/>
        </w:rPr>
        <w:t xml:space="preserve">may sanction the arrangement to make it binding on all stakeholders. </w:t>
      </w:r>
      <w:r>
        <w:rPr>
          <w:rFonts w:ascii="Arial" w:hAnsi="Arial" w:cs="Arial"/>
          <w:color w:val="808080" w:themeColor="background1" w:themeShade="80"/>
          <w:sz w:val="22"/>
          <w:szCs w:val="22"/>
          <w:lang w:val="en-GB"/>
        </w:rPr>
        <w:tab/>
      </w:r>
    </w:p>
    <w:p w14:paraId="051FA9FE" w14:textId="77777777" w:rsidR="00706CD7" w:rsidRDefault="00706CD7" w:rsidP="006338D1">
      <w:pPr>
        <w:ind w:firstLine="360"/>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8F9A" w14:textId="77777777" w:rsidR="0056178F" w:rsidRDefault="0056178F" w:rsidP="00241B44">
      <w:r>
        <w:separator/>
      </w:r>
    </w:p>
  </w:endnote>
  <w:endnote w:type="continuationSeparator" w:id="0">
    <w:p w14:paraId="299A4C63" w14:textId="77777777" w:rsidR="0056178F" w:rsidRDefault="0056178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688A99AD" w:rsidR="00920BE7" w:rsidRPr="009B4976" w:rsidRDefault="008C202D" w:rsidP="009B4976">
    <w:pPr>
      <w:pStyle w:val="Footer"/>
      <w:ind w:right="360"/>
      <w:rPr>
        <w:rFonts w:ascii="Arial" w:hAnsi="Arial" w:cs="Arial"/>
        <w:sz w:val="18"/>
        <w:szCs w:val="18"/>
        <w:lang w:val="en-GB"/>
      </w:rPr>
    </w:pPr>
    <w:r>
      <w:rPr>
        <w:rFonts w:ascii="Arial" w:hAnsi="Arial" w:cs="Arial"/>
        <w:sz w:val="18"/>
        <w:szCs w:val="18"/>
        <w:lang w:val="en-GB"/>
      </w:rPr>
      <w:t>202122-511</w:t>
    </w:r>
    <w:r w:rsidR="000D33BB">
      <w:rPr>
        <w:rFonts w:ascii="Arial" w:hAnsi="Arial" w:cs="Arial"/>
        <w:sz w:val="18"/>
        <w:szCs w:val="18"/>
        <w:lang w:val="en-GB"/>
      </w:rPr>
      <w:fldChar w:fldCharType="begin"/>
    </w:r>
    <w:r w:rsidR="000D33BB">
      <w:rPr>
        <w:rFonts w:ascii="Arial" w:hAnsi="Arial" w:cs="Arial"/>
        <w:sz w:val="18"/>
        <w:szCs w:val="18"/>
        <w:lang w:val="en-GB"/>
      </w:rPr>
      <w:instrText xml:space="preserve"> DOCPROPERTY iManageFooter \* MERGEFORMAT </w:instrText>
    </w:r>
    <w:r w:rsidR="00000000">
      <w:rPr>
        <w:rFonts w:ascii="Arial" w:hAnsi="Arial" w:cs="Arial"/>
        <w:sz w:val="18"/>
        <w:szCs w:val="18"/>
        <w:lang w:val="en-GB"/>
      </w:rPr>
      <w:fldChar w:fldCharType="separate"/>
    </w:r>
    <w:r w:rsidR="000D33BB">
      <w:rPr>
        <w:rFonts w:ascii="Arial" w:hAnsi="Arial" w:cs="Arial"/>
        <w:sz w:val="18"/>
        <w:szCs w:val="18"/>
        <w:lang w:val="en-GB"/>
      </w:rPr>
      <w:fldChar w:fldCharType="end"/>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2D2F" w14:textId="77777777" w:rsidR="0056178F" w:rsidRDefault="0056178F" w:rsidP="00241B44">
      <w:r>
        <w:separator/>
      </w:r>
    </w:p>
  </w:footnote>
  <w:footnote w:type="continuationSeparator" w:id="0">
    <w:p w14:paraId="1F3BA00B" w14:textId="77777777" w:rsidR="0056178F" w:rsidRDefault="0056178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982758D"/>
    <w:multiLevelType w:val="hybridMultilevel"/>
    <w:tmpl w:val="C3DA1C9C"/>
    <w:lvl w:ilvl="0" w:tplc="C77C9580">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089313">
    <w:abstractNumId w:val="40"/>
  </w:num>
  <w:num w:numId="2" w16cid:durableId="381058889">
    <w:abstractNumId w:val="22"/>
  </w:num>
  <w:num w:numId="3" w16cid:durableId="1021011867">
    <w:abstractNumId w:val="18"/>
  </w:num>
  <w:num w:numId="4" w16cid:durableId="744104281">
    <w:abstractNumId w:val="37"/>
  </w:num>
  <w:num w:numId="5" w16cid:durableId="599608994">
    <w:abstractNumId w:val="19"/>
  </w:num>
  <w:num w:numId="6" w16cid:durableId="664018753">
    <w:abstractNumId w:val="31"/>
  </w:num>
  <w:num w:numId="7" w16cid:durableId="655109414">
    <w:abstractNumId w:val="39"/>
  </w:num>
  <w:num w:numId="8" w16cid:durableId="201524917">
    <w:abstractNumId w:val="34"/>
  </w:num>
  <w:num w:numId="9" w16cid:durableId="2042628629">
    <w:abstractNumId w:val="16"/>
  </w:num>
  <w:num w:numId="10" w16cid:durableId="639648053">
    <w:abstractNumId w:val="10"/>
  </w:num>
  <w:num w:numId="11" w16cid:durableId="1247612475">
    <w:abstractNumId w:val="12"/>
  </w:num>
  <w:num w:numId="12" w16cid:durableId="1738670639">
    <w:abstractNumId w:val="17"/>
  </w:num>
  <w:num w:numId="13" w16cid:durableId="50420061">
    <w:abstractNumId w:val="25"/>
  </w:num>
  <w:num w:numId="14" w16cid:durableId="389618299">
    <w:abstractNumId w:val="3"/>
  </w:num>
  <w:num w:numId="15" w16cid:durableId="1968273692">
    <w:abstractNumId w:val="13"/>
  </w:num>
  <w:num w:numId="16" w16cid:durableId="769857403">
    <w:abstractNumId w:val="36"/>
  </w:num>
  <w:num w:numId="17" w16cid:durableId="137580373">
    <w:abstractNumId w:val="6"/>
  </w:num>
  <w:num w:numId="18" w16cid:durableId="1252854707">
    <w:abstractNumId w:val="8"/>
  </w:num>
  <w:num w:numId="19" w16cid:durableId="279847103">
    <w:abstractNumId w:val="28"/>
  </w:num>
  <w:num w:numId="20" w16cid:durableId="52198385">
    <w:abstractNumId w:val="26"/>
  </w:num>
  <w:num w:numId="21" w16cid:durableId="2090878761">
    <w:abstractNumId w:val="2"/>
  </w:num>
  <w:num w:numId="22" w16cid:durableId="101993083">
    <w:abstractNumId w:val="11"/>
  </w:num>
  <w:num w:numId="23" w16cid:durableId="772479708">
    <w:abstractNumId w:val="41"/>
  </w:num>
  <w:num w:numId="24" w16cid:durableId="1829979694">
    <w:abstractNumId w:val="0"/>
  </w:num>
  <w:num w:numId="25" w16cid:durableId="768694705">
    <w:abstractNumId w:val="32"/>
  </w:num>
  <w:num w:numId="26" w16cid:durableId="1589728625">
    <w:abstractNumId w:val="9"/>
  </w:num>
  <w:num w:numId="27" w16cid:durableId="550075756">
    <w:abstractNumId w:val="14"/>
  </w:num>
  <w:num w:numId="28" w16cid:durableId="1051349800">
    <w:abstractNumId w:val="4"/>
  </w:num>
  <w:num w:numId="29" w16cid:durableId="1881479008">
    <w:abstractNumId w:val="7"/>
  </w:num>
  <w:num w:numId="30" w16cid:durableId="1343436309">
    <w:abstractNumId w:val="20"/>
  </w:num>
  <w:num w:numId="31" w16cid:durableId="1776825738">
    <w:abstractNumId w:val="27"/>
  </w:num>
  <w:num w:numId="32" w16cid:durableId="1362126223">
    <w:abstractNumId w:val="23"/>
  </w:num>
  <w:num w:numId="33" w16cid:durableId="1288272779">
    <w:abstractNumId w:val="29"/>
  </w:num>
  <w:num w:numId="34" w16cid:durableId="1549224958">
    <w:abstractNumId w:val="21"/>
  </w:num>
  <w:num w:numId="35" w16cid:durableId="1399788261">
    <w:abstractNumId w:val="15"/>
  </w:num>
  <w:num w:numId="36" w16cid:durableId="1052121390">
    <w:abstractNumId w:val="1"/>
  </w:num>
  <w:num w:numId="37" w16cid:durableId="1787381355">
    <w:abstractNumId w:val="30"/>
  </w:num>
  <w:num w:numId="38" w16cid:durableId="494884473">
    <w:abstractNumId w:val="24"/>
  </w:num>
  <w:num w:numId="39" w16cid:durableId="827012639">
    <w:abstractNumId w:val="35"/>
  </w:num>
  <w:num w:numId="40" w16cid:durableId="368384760">
    <w:abstractNumId w:val="33"/>
  </w:num>
  <w:num w:numId="41" w16cid:durableId="1773695810">
    <w:abstractNumId w:val="5"/>
  </w:num>
  <w:num w:numId="42" w16cid:durableId="262996076">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4165"/>
    <w:rsid w:val="00016475"/>
    <w:rsid w:val="00020557"/>
    <w:rsid w:val="00021FC2"/>
    <w:rsid w:val="00023705"/>
    <w:rsid w:val="000250C7"/>
    <w:rsid w:val="00026F16"/>
    <w:rsid w:val="00037621"/>
    <w:rsid w:val="00044D46"/>
    <w:rsid w:val="00045088"/>
    <w:rsid w:val="00045904"/>
    <w:rsid w:val="000502FD"/>
    <w:rsid w:val="00052D84"/>
    <w:rsid w:val="00055E0F"/>
    <w:rsid w:val="000577D2"/>
    <w:rsid w:val="00065166"/>
    <w:rsid w:val="000659CF"/>
    <w:rsid w:val="00082609"/>
    <w:rsid w:val="000851CC"/>
    <w:rsid w:val="00087F21"/>
    <w:rsid w:val="00093BE8"/>
    <w:rsid w:val="000A407B"/>
    <w:rsid w:val="000A68ED"/>
    <w:rsid w:val="000A7BE7"/>
    <w:rsid w:val="000B5FF1"/>
    <w:rsid w:val="000B609F"/>
    <w:rsid w:val="000C3F26"/>
    <w:rsid w:val="000C5D16"/>
    <w:rsid w:val="000D33BB"/>
    <w:rsid w:val="000D3B77"/>
    <w:rsid w:val="000D55A8"/>
    <w:rsid w:val="000E4841"/>
    <w:rsid w:val="000F1677"/>
    <w:rsid w:val="000F3D6C"/>
    <w:rsid w:val="000F6063"/>
    <w:rsid w:val="00101707"/>
    <w:rsid w:val="00102CC9"/>
    <w:rsid w:val="0010593A"/>
    <w:rsid w:val="001108F8"/>
    <w:rsid w:val="0011473D"/>
    <w:rsid w:val="00115C85"/>
    <w:rsid w:val="00116B39"/>
    <w:rsid w:val="00123855"/>
    <w:rsid w:val="00126A4D"/>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4C1"/>
    <w:rsid w:val="002356EA"/>
    <w:rsid w:val="0024116D"/>
    <w:rsid w:val="00241B44"/>
    <w:rsid w:val="00241BC4"/>
    <w:rsid w:val="00241FA3"/>
    <w:rsid w:val="00243635"/>
    <w:rsid w:val="00245EFB"/>
    <w:rsid w:val="002476AF"/>
    <w:rsid w:val="0025386E"/>
    <w:rsid w:val="002638B0"/>
    <w:rsid w:val="0026647A"/>
    <w:rsid w:val="002668D3"/>
    <w:rsid w:val="0027299F"/>
    <w:rsid w:val="002838F1"/>
    <w:rsid w:val="00284EBE"/>
    <w:rsid w:val="002903A7"/>
    <w:rsid w:val="0029433F"/>
    <w:rsid w:val="00294829"/>
    <w:rsid w:val="0029690F"/>
    <w:rsid w:val="00297C8A"/>
    <w:rsid w:val="002A2A60"/>
    <w:rsid w:val="002A2C21"/>
    <w:rsid w:val="002A37BB"/>
    <w:rsid w:val="002A4B95"/>
    <w:rsid w:val="002B0928"/>
    <w:rsid w:val="002B1C45"/>
    <w:rsid w:val="002B3A96"/>
    <w:rsid w:val="002B5233"/>
    <w:rsid w:val="002C13C8"/>
    <w:rsid w:val="002C15DC"/>
    <w:rsid w:val="002C281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0408"/>
    <w:rsid w:val="0037465A"/>
    <w:rsid w:val="00377065"/>
    <w:rsid w:val="00382C98"/>
    <w:rsid w:val="00383CA4"/>
    <w:rsid w:val="0038533C"/>
    <w:rsid w:val="00386568"/>
    <w:rsid w:val="00387230"/>
    <w:rsid w:val="00390B57"/>
    <w:rsid w:val="00391C9D"/>
    <w:rsid w:val="003938A1"/>
    <w:rsid w:val="003948D5"/>
    <w:rsid w:val="00396821"/>
    <w:rsid w:val="00397D3A"/>
    <w:rsid w:val="003A051E"/>
    <w:rsid w:val="003A2780"/>
    <w:rsid w:val="003B170F"/>
    <w:rsid w:val="003B3C5F"/>
    <w:rsid w:val="003C4471"/>
    <w:rsid w:val="003D0A6D"/>
    <w:rsid w:val="003E0B16"/>
    <w:rsid w:val="003E13CF"/>
    <w:rsid w:val="003E67D1"/>
    <w:rsid w:val="003E7675"/>
    <w:rsid w:val="00403BD0"/>
    <w:rsid w:val="00404329"/>
    <w:rsid w:val="00405DC1"/>
    <w:rsid w:val="00406382"/>
    <w:rsid w:val="00415F1F"/>
    <w:rsid w:val="00416D2B"/>
    <w:rsid w:val="0042108F"/>
    <w:rsid w:val="00430FED"/>
    <w:rsid w:val="00434A8C"/>
    <w:rsid w:val="00437297"/>
    <w:rsid w:val="00444284"/>
    <w:rsid w:val="00445CE6"/>
    <w:rsid w:val="00452F26"/>
    <w:rsid w:val="004534C2"/>
    <w:rsid w:val="0045446F"/>
    <w:rsid w:val="0045683E"/>
    <w:rsid w:val="00457702"/>
    <w:rsid w:val="00460F33"/>
    <w:rsid w:val="00477C72"/>
    <w:rsid w:val="0048787C"/>
    <w:rsid w:val="00491675"/>
    <w:rsid w:val="004931F1"/>
    <w:rsid w:val="00493855"/>
    <w:rsid w:val="00495E79"/>
    <w:rsid w:val="00497D0F"/>
    <w:rsid w:val="004A2D83"/>
    <w:rsid w:val="004A57DD"/>
    <w:rsid w:val="004A7B51"/>
    <w:rsid w:val="004A7D71"/>
    <w:rsid w:val="004A7EF3"/>
    <w:rsid w:val="004B11FD"/>
    <w:rsid w:val="004B23A2"/>
    <w:rsid w:val="004B68C9"/>
    <w:rsid w:val="004C3CBB"/>
    <w:rsid w:val="004C5EAD"/>
    <w:rsid w:val="004D1A5A"/>
    <w:rsid w:val="004D2FFF"/>
    <w:rsid w:val="004D3721"/>
    <w:rsid w:val="004D4774"/>
    <w:rsid w:val="004D53C7"/>
    <w:rsid w:val="004D64F9"/>
    <w:rsid w:val="004E3A6B"/>
    <w:rsid w:val="004E622C"/>
    <w:rsid w:val="004F5FDF"/>
    <w:rsid w:val="00501EDC"/>
    <w:rsid w:val="005177FE"/>
    <w:rsid w:val="0052263B"/>
    <w:rsid w:val="00524728"/>
    <w:rsid w:val="00527EDC"/>
    <w:rsid w:val="00531982"/>
    <w:rsid w:val="00532230"/>
    <w:rsid w:val="005327B7"/>
    <w:rsid w:val="005331CA"/>
    <w:rsid w:val="00537970"/>
    <w:rsid w:val="00540E3A"/>
    <w:rsid w:val="00544127"/>
    <w:rsid w:val="005463A9"/>
    <w:rsid w:val="00551038"/>
    <w:rsid w:val="00552623"/>
    <w:rsid w:val="00553EB2"/>
    <w:rsid w:val="00560534"/>
    <w:rsid w:val="0056178F"/>
    <w:rsid w:val="0056391B"/>
    <w:rsid w:val="005650E2"/>
    <w:rsid w:val="00567AD7"/>
    <w:rsid w:val="005708E2"/>
    <w:rsid w:val="00571C5C"/>
    <w:rsid w:val="00575B2D"/>
    <w:rsid w:val="005833D0"/>
    <w:rsid w:val="005846F3"/>
    <w:rsid w:val="0058622F"/>
    <w:rsid w:val="00592F82"/>
    <w:rsid w:val="005954D3"/>
    <w:rsid w:val="005A0CCA"/>
    <w:rsid w:val="005A2E18"/>
    <w:rsid w:val="005A6FF2"/>
    <w:rsid w:val="005A726D"/>
    <w:rsid w:val="005B2D68"/>
    <w:rsid w:val="005B53C3"/>
    <w:rsid w:val="005B5FBA"/>
    <w:rsid w:val="005B67AC"/>
    <w:rsid w:val="005B78EF"/>
    <w:rsid w:val="005B79F4"/>
    <w:rsid w:val="005C5A6D"/>
    <w:rsid w:val="005D16DD"/>
    <w:rsid w:val="005D43E0"/>
    <w:rsid w:val="005D58A3"/>
    <w:rsid w:val="005E1B79"/>
    <w:rsid w:val="005E6076"/>
    <w:rsid w:val="005E7008"/>
    <w:rsid w:val="005F026D"/>
    <w:rsid w:val="005F2A79"/>
    <w:rsid w:val="005F2AEA"/>
    <w:rsid w:val="005F2D0B"/>
    <w:rsid w:val="005F4B31"/>
    <w:rsid w:val="00610388"/>
    <w:rsid w:val="00610AC7"/>
    <w:rsid w:val="00612CA5"/>
    <w:rsid w:val="006153EC"/>
    <w:rsid w:val="00621A17"/>
    <w:rsid w:val="00627CC9"/>
    <w:rsid w:val="00627E7B"/>
    <w:rsid w:val="00630542"/>
    <w:rsid w:val="00632E44"/>
    <w:rsid w:val="00633808"/>
    <w:rsid w:val="006338D1"/>
    <w:rsid w:val="00634622"/>
    <w:rsid w:val="00636808"/>
    <w:rsid w:val="00640F34"/>
    <w:rsid w:val="00641515"/>
    <w:rsid w:val="00646038"/>
    <w:rsid w:val="00650CB6"/>
    <w:rsid w:val="00650FE1"/>
    <w:rsid w:val="00654C2F"/>
    <w:rsid w:val="00657087"/>
    <w:rsid w:val="006574C0"/>
    <w:rsid w:val="00661556"/>
    <w:rsid w:val="006639DB"/>
    <w:rsid w:val="006661EF"/>
    <w:rsid w:val="00677AEB"/>
    <w:rsid w:val="00680EF2"/>
    <w:rsid w:val="00687A1D"/>
    <w:rsid w:val="00697EA1"/>
    <w:rsid w:val="006A135B"/>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6CD7"/>
    <w:rsid w:val="007074E9"/>
    <w:rsid w:val="00713DA4"/>
    <w:rsid w:val="00714BF1"/>
    <w:rsid w:val="00716A4F"/>
    <w:rsid w:val="00721383"/>
    <w:rsid w:val="007259BC"/>
    <w:rsid w:val="0073076F"/>
    <w:rsid w:val="0073158B"/>
    <w:rsid w:val="007333CC"/>
    <w:rsid w:val="0073399A"/>
    <w:rsid w:val="00740DAD"/>
    <w:rsid w:val="00756650"/>
    <w:rsid w:val="007603F5"/>
    <w:rsid w:val="0076388B"/>
    <w:rsid w:val="00764DB0"/>
    <w:rsid w:val="0076764D"/>
    <w:rsid w:val="0077498C"/>
    <w:rsid w:val="00775E93"/>
    <w:rsid w:val="007808EB"/>
    <w:rsid w:val="007809BC"/>
    <w:rsid w:val="00784128"/>
    <w:rsid w:val="00787BCC"/>
    <w:rsid w:val="00793173"/>
    <w:rsid w:val="007A0E6A"/>
    <w:rsid w:val="007A2A33"/>
    <w:rsid w:val="007B22CF"/>
    <w:rsid w:val="007B3A5E"/>
    <w:rsid w:val="007B5C89"/>
    <w:rsid w:val="007B6D72"/>
    <w:rsid w:val="007C1FCC"/>
    <w:rsid w:val="007C6201"/>
    <w:rsid w:val="007D11EE"/>
    <w:rsid w:val="007D2C0E"/>
    <w:rsid w:val="007D7C92"/>
    <w:rsid w:val="007E03FA"/>
    <w:rsid w:val="007E1154"/>
    <w:rsid w:val="007E3906"/>
    <w:rsid w:val="007E6BA4"/>
    <w:rsid w:val="007F18D0"/>
    <w:rsid w:val="007F41F8"/>
    <w:rsid w:val="007F659B"/>
    <w:rsid w:val="007F7A03"/>
    <w:rsid w:val="00803C72"/>
    <w:rsid w:val="0080454E"/>
    <w:rsid w:val="00804C32"/>
    <w:rsid w:val="00806302"/>
    <w:rsid w:val="00807119"/>
    <w:rsid w:val="008132DC"/>
    <w:rsid w:val="008163EC"/>
    <w:rsid w:val="0082483F"/>
    <w:rsid w:val="008279C0"/>
    <w:rsid w:val="00853516"/>
    <w:rsid w:val="00853B56"/>
    <w:rsid w:val="00867701"/>
    <w:rsid w:val="008723F3"/>
    <w:rsid w:val="0087602C"/>
    <w:rsid w:val="00876F56"/>
    <w:rsid w:val="00881DE6"/>
    <w:rsid w:val="008837A6"/>
    <w:rsid w:val="00891116"/>
    <w:rsid w:val="0089145D"/>
    <w:rsid w:val="008A4DF2"/>
    <w:rsid w:val="008A6CFE"/>
    <w:rsid w:val="008B5333"/>
    <w:rsid w:val="008B6223"/>
    <w:rsid w:val="008C202D"/>
    <w:rsid w:val="008C66E0"/>
    <w:rsid w:val="008D7C65"/>
    <w:rsid w:val="008E3339"/>
    <w:rsid w:val="008F20FC"/>
    <w:rsid w:val="008F5FFE"/>
    <w:rsid w:val="008F6CAB"/>
    <w:rsid w:val="00905A43"/>
    <w:rsid w:val="00912C79"/>
    <w:rsid w:val="00916625"/>
    <w:rsid w:val="00920BE7"/>
    <w:rsid w:val="00921B8C"/>
    <w:rsid w:val="00924973"/>
    <w:rsid w:val="00927C9D"/>
    <w:rsid w:val="00931FD7"/>
    <w:rsid w:val="00942123"/>
    <w:rsid w:val="0095207B"/>
    <w:rsid w:val="00952187"/>
    <w:rsid w:val="00957515"/>
    <w:rsid w:val="00962045"/>
    <w:rsid w:val="00965EB0"/>
    <w:rsid w:val="00970239"/>
    <w:rsid w:val="00980E61"/>
    <w:rsid w:val="00980EB5"/>
    <w:rsid w:val="009858FC"/>
    <w:rsid w:val="00991428"/>
    <w:rsid w:val="0099169D"/>
    <w:rsid w:val="00992676"/>
    <w:rsid w:val="009954B2"/>
    <w:rsid w:val="009954DA"/>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D670B"/>
    <w:rsid w:val="009E2AEB"/>
    <w:rsid w:val="009E2E27"/>
    <w:rsid w:val="009E45DF"/>
    <w:rsid w:val="009E4DE3"/>
    <w:rsid w:val="009F275E"/>
    <w:rsid w:val="009F50FD"/>
    <w:rsid w:val="00A02163"/>
    <w:rsid w:val="00A047EE"/>
    <w:rsid w:val="00A10849"/>
    <w:rsid w:val="00A15962"/>
    <w:rsid w:val="00A2274A"/>
    <w:rsid w:val="00A235B7"/>
    <w:rsid w:val="00A246C7"/>
    <w:rsid w:val="00A24AD8"/>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2153"/>
    <w:rsid w:val="00B14819"/>
    <w:rsid w:val="00B14D0E"/>
    <w:rsid w:val="00B15E2F"/>
    <w:rsid w:val="00B17AA9"/>
    <w:rsid w:val="00B20875"/>
    <w:rsid w:val="00B3618E"/>
    <w:rsid w:val="00B44713"/>
    <w:rsid w:val="00B51B95"/>
    <w:rsid w:val="00B53FBE"/>
    <w:rsid w:val="00B56103"/>
    <w:rsid w:val="00B61CC7"/>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73D9"/>
    <w:rsid w:val="00BC3A55"/>
    <w:rsid w:val="00BC3BC2"/>
    <w:rsid w:val="00BE4FF3"/>
    <w:rsid w:val="00BF50F7"/>
    <w:rsid w:val="00C02893"/>
    <w:rsid w:val="00C02F29"/>
    <w:rsid w:val="00C17718"/>
    <w:rsid w:val="00C20AFE"/>
    <w:rsid w:val="00C22A25"/>
    <w:rsid w:val="00C35671"/>
    <w:rsid w:val="00C35B77"/>
    <w:rsid w:val="00C376EB"/>
    <w:rsid w:val="00C41A0C"/>
    <w:rsid w:val="00C4320B"/>
    <w:rsid w:val="00C46A92"/>
    <w:rsid w:val="00C46EC1"/>
    <w:rsid w:val="00C51F9D"/>
    <w:rsid w:val="00C52796"/>
    <w:rsid w:val="00C53E2C"/>
    <w:rsid w:val="00C550C8"/>
    <w:rsid w:val="00C55824"/>
    <w:rsid w:val="00C56B61"/>
    <w:rsid w:val="00C606C3"/>
    <w:rsid w:val="00C620F4"/>
    <w:rsid w:val="00C72848"/>
    <w:rsid w:val="00C7736C"/>
    <w:rsid w:val="00C82D87"/>
    <w:rsid w:val="00C84A51"/>
    <w:rsid w:val="00C8712A"/>
    <w:rsid w:val="00C902C8"/>
    <w:rsid w:val="00C90E2D"/>
    <w:rsid w:val="00C919D1"/>
    <w:rsid w:val="00C963D3"/>
    <w:rsid w:val="00CA1FCA"/>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38DA"/>
    <w:rsid w:val="00D148DC"/>
    <w:rsid w:val="00D17FDC"/>
    <w:rsid w:val="00D21D8C"/>
    <w:rsid w:val="00D27CBC"/>
    <w:rsid w:val="00D41D4F"/>
    <w:rsid w:val="00D47B20"/>
    <w:rsid w:val="00D53719"/>
    <w:rsid w:val="00D6188D"/>
    <w:rsid w:val="00D63EFD"/>
    <w:rsid w:val="00D731BB"/>
    <w:rsid w:val="00D73E9C"/>
    <w:rsid w:val="00D84752"/>
    <w:rsid w:val="00D86B3B"/>
    <w:rsid w:val="00D8748A"/>
    <w:rsid w:val="00D93196"/>
    <w:rsid w:val="00DA0DC0"/>
    <w:rsid w:val="00DB243C"/>
    <w:rsid w:val="00DB482A"/>
    <w:rsid w:val="00DB50FB"/>
    <w:rsid w:val="00DB56F2"/>
    <w:rsid w:val="00DB6EF5"/>
    <w:rsid w:val="00DC3089"/>
    <w:rsid w:val="00DC4420"/>
    <w:rsid w:val="00DC7CE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67B2F"/>
    <w:rsid w:val="00E71CB0"/>
    <w:rsid w:val="00E77C3D"/>
    <w:rsid w:val="00E80835"/>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33FC"/>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E734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9D67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character" w:customStyle="1" w:styleId="Heading4Char">
    <w:name w:val="Heading 4 Char"/>
    <w:basedOn w:val="DefaultParagraphFont"/>
    <w:link w:val="Heading4"/>
    <w:uiPriority w:val="9"/>
    <w:semiHidden/>
    <w:rsid w:val="009D670B"/>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2205360">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1434460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7014350">
      <w:bodyDiv w:val="1"/>
      <w:marLeft w:val="0"/>
      <w:marRight w:val="0"/>
      <w:marTop w:val="0"/>
      <w:marBottom w:val="0"/>
      <w:divBdr>
        <w:top w:val="none" w:sz="0" w:space="0" w:color="auto"/>
        <w:left w:val="none" w:sz="0" w:space="0" w:color="auto"/>
        <w:bottom w:val="none" w:sz="0" w:space="0" w:color="auto"/>
        <w:right w:val="none" w:sz="0" w:space="0" w:color="auto"/>
      </w:divBdr>
    </w:div>
    <w:div w:id="1078139192">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4222</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Defne Tasman</cp:lastModifiedBy>
  <cp:revision>50</cp:revision>
  <cp:lastPrinted>2019-08-27T05:42:00Z</cp:lastPrinted>
  <dcterms:created xsi:type="dcterms:W3CDTF">2022-02-07T18:44:00Z</dcterms:created>
  <dcterms:modified xsi:type="dcterms:W3CDTF">2022-07-28T14:29:00Z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