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4F2244" w:rsidRDefault="00AE5B6F" w:rsidP="00B04033">
      <w:pPr>
        <w:pStyle w:val="ListParagraph"/>
        <w:numPr>
          <w:ilvl w:val="0"/>
          <w:numId w:val="1"/>
        </w:numPr>
        <w:ind w:left="426"/>
        <w:jc w:val="both"/>
        <w:rPr>
          <w:rFonts w:ascii="Arial" w:hAnsi="Arial" w:cs="Arial"/>
          <w:sz w:val="22"/>
          <w:szCs w:val="22"/>
          <w:highlight w:val="yellow"/>
          <w:lang w:val="en-GB"/>
        </w:rPr>
      </w:pPr>
      <w:r w:rsidRPr="004F2244">
        <w:rPr>
          <w:rFonts w:ascii="Arial" w:hAnsi="Arial" w:cs="Arial"/>
          <w:sz w:val="22"/>
          <w:szCs w:val="22"/>
          <w:highlight w:val="yellow"/>
          <w:lang w:val="en-GB"/>
        </w:rPr>
        <w:t>w</w:t>
      </w:r>
      <w:r w:rsidR="00C91062" w:rsidRPr="004F2244">
        <w:rPr>
          <w:rFonts w:ascii="Arial" w:hAnsi="Arial" w:cs="Arial"/>
          <w:sz w:val="22"/>
          <w:szCs w:val="22"/>
          <w:highlight w:val="yellow"/>
          <w:lang w:val="en-GB"/>
        </w:rPr>
        <w:t>ithin 8 weeks of the commencement of the administration</w:t>
      </w:r>
      <w:r w:rsidR="00763348" w:rsidRPr="004F2244">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B1DD5" w:rsidRDefault="00E443D7" w:rsidP="00B04033">
      <w:pPr>
        <w:pStyle w:val="ListParagraph"/>
        <w:numPr>
          <w:ilvl w:val="0"/>
          <w:numId w:val="2"/>
        </w:numPr>
        <w:ind w:left="426"/>
        <w:jc w:val="both"/>
        <w:rPr>
          <w:rFonts w:ascii="Arial" w:hAnsi="Arial" w:cs="Arial"/>
          <w:sz w:val="22"/>
          <w:szCs w:val="22"/>
          <w:highlight w:val="yellow"/>
          <w:lang w:val="en-GB"/>
        </w:rPr>
      </w:pPr>
      <w:r w:rsidRPr="00FB1DD5">
        <w:rPr>
          <w:rFonts w:ascii="Arial" w:hAnsi="Arial" w:cs="Arial"/>
          <w:sz w:val="22"/>
          <w:szCs w:val="22"/>
          <w:highlight w:val="yellow"/>
          <w:lang w:val="en-GB"/>
        </w:rPr>
        <w:t>One year</w:t>
      </w:r>
      <w:r w:rsidR="00763348" w:rsidRPr="00FB1DD5">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1E6BBD" w:rsidRDefault="00AE5B6F" w:rsidP="00B04033">
      <w:pPr>
        <w:pStyle w:val="ListParagraph"/>
        <w:numPr>
          <w:ilvl w:val="0"/>
          <w:numId w:val="3"/>
        </w:numPr>
        <w:ind w:left="426"/>
        <w:jc w:val="both"/>
        <w:rPr>
          <w:rFonts w:ascii="Arial" w:hAnsi="Arial" w:cs="Arial"/>
          <w:sz w:val="22"/>
          <w:szCs w:val="22"/>
          <w:highlight w:val="yellow"/>
          <w:lang w:val="en-GB"/>
        </w:rPr>
      </w:pPr>
      <w:r w:rsidRPr="001E6BBD">
        <w:rPr>
          <w:rFonts w:ascii="Arial" w:hAnsi="Arial" w:cs="Arial"/>
          <w:sz w:val="22"/>
          <w:szCs w:val="22"/>
          <w:highlight w:val="yellow"/>
          <w:lang w:val="en-GB"/>
        </w:rPr>
        <w:t>T</w:t>
      </w:r>
      <w:r w:rsidR="008D1616" w:rsidRPr="001E6BBD">
        <w:rPr>
          <w:rFonts w:ascii="Arial" w:hAnsi="Arial" w:cs="Arial"/>
          <w:sz w:val="22"/>
          <w:szCs w:val="22"/>
          <w:highlight w:val="yellow"/>
          <w:lang w:val="en-GB"/>
        </w:rPr>
        <w:t>he company is, or is likely to become, unable to pay their debts, as defined under s</w:t>
      </w:r>
      <w:r w:rsidR="00E833F4" w:rsidRPr="001E6BBD">
        <w:rPr>
          <w:rFonts w:ascii="Arial" w:hAnsi="Arial" w:cs="Arial"/>
          <w:sz w:val="22"/>
          <w:szCs w:val="22"/>
          <w:highlight w:val="yellow"/>
          <w:lang w:val="en-GB"/>
        </w:rPr>
        <w:t>ection</w:t>
      </w:r>
      <w:r w:rsidR="008D1616" w:rsidRPr="001E6BBD">
        <w:rPr>
          <w:rFonts w:ascii="Arial" w:hAnsi="Arial" w:cs="Arial"/>
          <w:sz w:val="22"/>
          <w:szCs w:val="22"/>
          <w:highlight w:val="yellow"/>
          <w:lang w:val="en-GB"/>
        </w:rPr>
        <w:t xml:space="preserve"> 123 of the Insolvency Act 1986</w:t>
      </w:r>
      <w:r w:rsidR="00763348" w:rsidRPr="001E6BB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1E6BBD" w:rsidRDefault="00C91062" w:rsidP="00B04033">
      <w:pPr>
        <w:pStyle w:val="ListParagraph"/>
        <w:numPr>
          <w:ilvl w:val="0"/>
          <w:numId w:val="4"/>
        </w:numPr>
        <w:ind w:left="426"/>
        <w:jc w:val="both"/>
        <w:rPr>
          <w:rFonts w:ascii="Arial" w:hAnsi="Arial" w:cs="Arial"/>
          <w:sz w:val="22"/>
          <w:szCs w:val="22"/>
          <w:highlight w:val="yellow"/>
          <w:lang w:val="en-GB"/>
        </w:rPr>
      </w:pPr>
      <w:r w:rsidRPr="001E6BBD">
        <w:rPr>
          <w:rFonts w:ascii="Arial" w:hAnsi="Arial" w:cs="Arial"/>
          <w:sz w:val="22"/>
          <w:szCs w:val="22"/>
          <w:highlight w:val="yellow"/>
          <w:lang w:val="en-GB"/>
        </w:rPr>
        <w:t>The administrator</w:t>
      </w:r>
      <w:r w:rsidR="00763348" w:rsidRPr="001E6BBD">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1E6BBD" w:rsidRDefault="00BA1CFD" w:rsidP="00B04033">
      <w:pPr>
        <w:pStyle w:val="ListParagraph"/>
        <w:numPr>
          <w:ilvl w:val="0"/>
          <w:numId w:val="5"/>
        </w:numPr>
        <w:ind w:left="426"/>
        <w:jc w:val="both"/>
        <w:rPr>
          <w:rFonts w:ascii="Arial" w:hAnsi="Arial" w:cs="Arial"/>
          <w:sz w:val="22"/>
          <w:szCs w:val="22"/>
          <w:highlight w:val="yellow"/>
          <w:lang w:val="en-GB"/>
        </w:rPr>
      </w:pPr>
      <w:r w:rsidRPr="001E6BBD">
        <w:rPr>
          <w:rFonts w:ascii="Arial" w:hAnsi="Arial" w:cs="Arial"/>
          <w:sz w:val="22"/>
          <w:szCs w:val="22"/>
          <w:highlight w:val="yellow"/>
          <w:lang w:val="en-GB"/>
        </w:rPr>
        <w:t>Administration</w:t>
      </w:r>
      <w:r w:rsidR="00763348" w:rsidRPr="001E6BB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EC6FB3" w:rsidRDefault="00BA1CFD" w:rsidP="00B04033">
      <w:pPr>
        <w:pStyle w:val="ListParagraph"/>
        <w:numPr>
          <w:ilvl w:val="0"/>
          <w:numId w:val="6"/>
        </w:numPr>
        <w:ind w:left="426"/>
        <w:jc w:val="both"/>
        <w:rPr>
          <w:rFonts w:ascii="Arial" w:hAnsi="Arial" w:cs="Arial"/>
          <w:sz w:val="22"/>
          <w:szCs w:val="22"/>
          <w:highlight w:val="yellow"/>
          <w:lang w:val="en-GB"/>
        </w:rPr>
      </w:pPr>
      <w:r w:rsidRPr="00EC6FB3">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412FC8" w:rsidRDefault="00BA1CFD" w:rsidP="00B04033">
      <w:pPr>
        <w:pStyle w:val="ListParagraph"/>
        <w:numPr>
          <w:ilvl w:val="0"/>
          <w:numId w:val="7"/>
        </w:numPr>
        <w:ind w:left="426"/>
        <w:jc w:val="both"/>
        <w:rPr>
          <w:rFonts w:ascii="Arial" w:hAnsi="Arial" w:cs="Arial"/>
          <w:sz w:val="22"/>
          <w:szCs w:val="22"/>
          <w:highlight w:val="yellow"/>
          <w:lang w:val="en-GB"/>
        </w:rPr>
      </w:pPr>
      <w:r w:rsidRPr="00412FC8">
        <w:rPr>
          <w:rFonts w:ascii="Arial" w:hAnsi="Arial" w:cs="Arial"/>
          <w:sz w:val="22"/>
          <w:szCs w:val="22"/>
          <w:highlight w:val="yellow"/>
          <w:lang w:val="en-GB"/>
        </w:rPr>
        <w:t>Breach of fiduciary duty</w:t>
      </w:r>
      <w:r w:rsidR="00763348" w:rsidRPr="00412FC8">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8940F4" w:rsidRDefault="00876F56" w:rsidP="00B04033">
      <w:pPr>
        <w:pStyle w:val="ListParagraph"/>
        <w:numPr>
          <w:ilvl w:val="0"/>
          <w:numId w:val="8"/>
        </w:numPr>
        <w:ind w:left="426"/>
        <w:jc w:val="both"/>
        <w:rPr>
          <w:rFonts w:ascii="Arial" w:hAnsi="Arial" w:cs="Arial"/>
          <w:sz w:val="22"/>
          <w:szCs w:val="22"/>
          <w:highlight w:val="yellow"/>
          <w:lang w:val="en-GB"/>
        </w:rPr>
      </w:pPr>
      <w:r w:rsidRPr="008940F4">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5E6537" w:rsidRDefault="00E833F4" w:rsidP="00B04033">
      <w:pPr>
        <w:pStyle w:val="ListParagraph"/>
        <w:numPr>
          <w:ilvl w:val="0"/>
          <w:numId w:val="9"/>
        </w:numPr>
        <w:ind w:left="426"/>
        <w:jc w:val="both"/>
        <w:rPr>
          <w:rFonts w:ascii="Arial" w:hAnsi="Arial" w:cs="Arial"/>
          <w:sz w:val="22"/>
          <w:szCs w:val="22"/>
          <w:highlight w:val="yellow"/>
          <w:lang w:val="en-GB"/>
        </w:rPr>
      </w:pPr>
      <w:r w:rsidRPr="005E6537">
        <w:rPr>
          <w:rFonts w:ascii="Arial" w:hAnsi="Arial" w:cs="Arial"/>
          <w:sz w:val="22"/>
          <w:szCs w:val="22"/>
          <w:highlight w:val="yellow"/>
          <w:lang w:val="en-GB"/>
        </w:rPr>
        <w:t>A</w:t>
      </w:r>
      <w:r w:rsidR="000D10C6" w:rsidRPr="005E6537">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532ACC" w:rsidRDefault="0020204E" w:rsidP="00B04033">
      <w:pPr>
        <w:pStyle w:val="ListParagraph"/>
        <w:numPr>
          <w:ilvl w:val="0"/>
          <w:numId w:val="10"/>
        </w:numPr>
        <w:ind w:left="426"/>
        <w:jc w:val="both"/>
        <w:rPr>
          <w:rFonts w:ascii="Arial" w:hAnsi="Arial" w:cs="Arial"/>
          <w:sz w:val="22"/>
          <w:szCs w:val="22"/>
          <w:highlight w:val="yellow"/>
          <w:lang w:val="en-GB"/>
        </w:rPr>
      </w:pPr>
      <w:r w:rsidRPr="00532ACC">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0C1DB346" w14:textId="255E4985" w:rsidR="00867DC0" w:rsidRDefault="00832E9E" w:rsidP="00867DC0">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parties allowed to bring action under </w:t>
      </w:r>
      <w:r w:rsidRPr="00867DC0">
        <w:rPr>
          <w:rFonts w:ascii="Arial" w:hAnsi="Arial" w:cs="Arial"/>
          <w:b/>
          <w:bCs/>
          <w:color w:val="7B7B7B" w:themeColor="accent3" w:themeShade="BF"/>
          <w:sz w:val="22"/>
          <w:szCs w:val="22"/>
          <w:lang w:val="en-GB"/>
        </w:rPr>
        <w:t>Section 423</w:t>
      </w:r>
      <w:r>
        <w:rPr>
          <w:rFonts w:ascii="Arial" w:hAnsi="Arial" w:cs="Arial"/>
          <w:b/>
          <w:bCs/>
          <w:color w:val="7B7B7B" w:themeColor="accent3" w:themeShade="BF"/>
          <w:sz w:val="22"/>
          <w:szCs w:val="22"/>
          <w:lang w:val="en-GB"/>
        </w:rPr>
        <w:t xml:space="preserve"> Insolvency Act (1986)</w:t>
      </w:r>
      <w:r>
        <w:rPr>
          <w:rFonts w:ascii="Arial" w:hAnsi="Arial" w:cs="Arial"/>
          <w:color w:val="7B7B7B" w:themeColor="accent3" w:themeShade="BF"/>
          <w:sz w:val="22"/>
          <w:szCs w:val="22"/>
          <w:lang w:val="en-GB"/>
        </w:rPr>
        <w:t>, ie right to attack transactions defrauding creditors, depend on the circumstances.</w:t>
      </w:r>
      <w:r w:rsidR="00867DC0">
        <w:rPr>
          <w:rFonts w:ascii="Arial" w:hAnsi="Arial" w:cs="Arial"/>
          <w:color w:val="7B7B7B" w:themeColor="accent3" w:themeShade="BF"/>
          <w:sz w:val="22"/>
          <w:szCs w:val="22"/>
          <w:lang w:val="en-GB"/>
        </w:rPr>
        <w:t xml:space="preserve"> The </w:t>
      </w:r>
      <w:r w:rsidR="00472B01">
        <w:rPr>
          <w:rFonts w:ascii="Arial" w:hAnsi="Arial" w:cs="Arial"/>
          <w:color w:val="7B7B7B" w:themeColor="accent3" w:themeShade="BF"/>
          <w:sz w:val="22"/>
          <w:szCs w:val="22"/>
          <w:lang w:val="en-GB"/>
        </w:rPr>
        <w:t>condition</w:t>
      </w:r>
      <w:r w:rsidR="00867DC0">
        <w:rPr>
          <w:rFonts w:ascii="Arial" w:hAnsi="Arial" w:cs="Arial"/>
          <w:color w:val="7B7B7B" w:themeColor="accent3" w:themeShade="BF"/>
          <w:sz w:val="22"/>
          <w:szCs w:val="22"/>
          <w:lang w:val="en-GB"/>
        </w:rPr>
        <w:t xml:space="preserve">s are provided in </w:t>
      </w:r>
      <w:hyperlink r:id="rId9" w:history="1">
        <w:r w:rsidR="00867DC0" w:rsidRPr="00867DC0">
          <w:rPr>
            <w:rStyle w:val="Hyperlink"/>
            <w:rFonts w:ascii="Arial" w:hAnsi="Arial" w:cs="Arial"/>
            <w:b/>
            <w:bCs/>
            <w:sz w:val="22"/>
            <w:szCs w:val="22"/>
            <w:lang w:val="en-GB"/>
          </w:rPr>
          <w:t>Section 424</w:t>
        </w:r>
      </w:hyperlink>
      <w:r w:rsidR="00867DC0">
        <w:rPr>
          <w:rFonts w:ascii="Arial" w:hAnsi="Arial" w:cs="Arial"/>
          <w:b/>
          <w:bCs/>
          <w:color w:val="7B7B7B" w:themeColor="accent3" w:themeShade="BF"/>
          <w:sz w:val="22"/>
          <w:szCs w:val="22"/>
          <w:lang w:val="en-GB"/>
        </w:rPr>
        <w:t xml:space="preserve"> Insolvency Act (1986). </w:t>
      </w:r>
      <w:r>
        <w:rPr>
          <w:rFonts w:ascii="Arial" w:hAnsi="Arial" w:cs="Arial"/>
          <w:color w:val="7B7B7B" w:themeColor="accent3" w:themeShade="BF"/>
          <w:sz w:val="22"/>
          <w:szCs w:val="22"/>
          <w:lang w:val="en-GB"/>
        </w:rPr>
        <w:t xml:space="preserve">If </w:t>
      </w:r>
      <w:r w:rsidR="00472B01">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company is in the process of winding up or in administration, the parties allowed are the official receiver, liquidator, administrator, and any victim of the transaction with leave of the court (eg a creditor). In </w:t>
      </w:r>
      <w:r w:rsidR="00472B01">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case of a company voluntary arrangement (“CVA”), the parties allowed are the supervisor (if the victim is bound by the CVA) </w:t>
      </w:r>
      <w:r w:rsidR="001F6501">
        <w:rPr>
          <w:rFonts w:ascii="Arial" w:hAnsi="Arial" w:cs="Arial"/>
          <w:color w:val="7B7B7B" w:themeColor="accent3" w:themeShade="BF"/>
          <w:sz w:val="22"/>
          <w:szCs w:val="22"/>
          <w:lang w:val="en-GB"/>
        </w:rPr>
        <w:t>or any victim of the transaction (regardless of whether it is a victim). In any other case, the victim of the transaction may always bring an action under this section.</w:t>
      </w:r>
    </w:p>
    <w:p w14:paraId="50764840" w14:textId="7A9C234B" w:rsidR="00867DC0" w:rsidRDefault="001F6501" w:rsidP="00DC3D81">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part</w:t>
      </w:r>
      <w:r w:rsidR="00867DC0">
        <w:rPr>
          <w:rFonts w:ascii="Arial" w:hAnsi="Arial" w:cs="Arial"/>
          <w:color w:val="7B7B7B" w:themeColor="accent3" w:themeShade="BF"/>
          <w:sz w:val="22"/>
          <w:szCs w:val="22"/>
          <w:lang w:val="en-GB"/>
        </w:rPr>
        <w:t>ies</w:t>
      </w:r>
      <w:r>
        <w:rPr>
          <w:rFonts w:ascii="Arial" w:hAnsi="Arial" w:cs="Arial"/>
          <w:color w:val="7B7B7B" w:themeColor="accent3" w:themeShade="BF"/>
          <w:sz w:val="22"/>
          <w:szCs w:val="22"/>
          <w:lang w:val="en-GB"/>
        </w:rPr>
        <w:t xml:space="preserve"> allowed to bring action under </w:t>
      </w:r>
      <w:r>
        <w:rPr>
          <w:rFonts w:ascii="Arial" w:hAnsi="Arial" w:cs="Arial"/>
          <w:b/>
          <w:bCs/>
          <w:color w:val="7B7B7B" w:themeColor="accent3" w:themeShade="BF"/>
          <w:sz w:val="22"/>
          <w:szCs w:val="22"/>
          <w:lang w:val="en-GB"/>
        </w:rPr>
        <w:t>Section 6 of the Company Directors Disqualification Act (1986)</w:t>
      </w:r>
      <w:r>
        <w:rPr>
          <w:rFonts w:ascii="Arial" w:hAnsi="Arial" w:cs="Arial"/>
          <w:color w:val="7B7B7B" w:themeColor="accent3" w:themeShade="BF"/>
          <w:sz w:val="22"/>
          <w:szCs w:val="22"/>
          <w:lang w:val="en-GB"/>
        </w:rPr>
        <w:t>, ie director disqualification,</w:t>
      </w:r>
      <w:r w:rsidR="00212F64">
        <w:rPr>
          <w:rFonts w:ascii="Arial" w:hAnsi="Arial" w:cs="Arial"/>
          <w:color w:val="7B7B7B" w:themeColor="accent3" w:themeShade="BF"/>
          <w:sz w:val="22"/>
          <w:szCs w:val="22"/>
          <w:lang w:val="en-GB"/>
        </w:rPr>
        <w:t xml:space="preserve"> </w:t>
      </w:r>
      <w:r w:rsidR="00DC3D81">
        <w:rPr>
          <w:rFonts w:ascii="Arial" w:hAnsi="Arial" w:cs="Arial"/>
          <w:color w:val="7B7B7B" w:themeColor="accent3" w:themeShade="BF"/>
          <w:sz w:val="22"/>
          <w:szCs w:val="22"/>
          <w:lang w:val="en-GB"/>
        </w:rPr>
        <w:t xml:space="preserve">are listed </w:t>
      </w:r>
      <w:hyperlink r:id="rId10" w:anchor=":~:text=If%20it%20appears,the%20official%20receiver." w:history="1">
        <w:r w:rsidR="00DC3D81" w:rsidRPr="00DC3D81">
          <w:rPr>
            <w:rStyle w:val="Hyperlink"/>
            <w:rFonts w:ascii="Arial" w:hAnsi="Arial" w:cs="Arial"/>
            <w:b/>
            <w:bCs/>
            <w:sz w:val="22"/>
            <w:szCs w:val="22"/>
            <w:lang w:val="en-GB"/>
          </w:rPr>
          <w:t>Section 7(1)</w:t>
        </w:r>
      </w:hyperlink>
      <w:r w:rsidR="00DC3D81">
        <w:rPr>
          <w:rFonts w:ascii="Arial" w:hAnsi="Arial" w:cs="Arial"/>
          <w:b/>
          <w:bCs/>
          <w:color w:val="7B7B7B" w:themeColor="accent3" w:themeShade="BF"/>
          <w:sz w:val="22"/>
          <w:szCs w:val="22"/>
          <w:lang w:val="en-GB"/>
        </w:rPr>
        <w:t xml:space="preserve"> </w:t>
      </w:r>
      <w:r w:rsidR="00DC3D81">
        <w:rPr>
          <w:rFonts w:ascii="Arial" w:hAnsi="Arial" w:cs="Arial"/>
          <w:color w:val="7B7B7B" w:themeColor="accent3" w:themeShade="BF"/>
          <w:sz w:val="22"/>
          <w:szCs w:val="22"/>
          <w:lang w:val="en-GB"/>
        </w:rPr>
        <w:t xml:space="preserve">of that Act. </w:t>
      </w:r>
      <w:r w:rsidR="00472B01">
        <w:rPr>
          <w:rFonts w:ascii="Arial" w:hAnsi="Arial" w:cs="Arial"/>
          <w:color w:val="7B7B7B" w:themeColor="accent3" w:themeShade="BF"/>
          <w:sz w:val="22"/>
          <w:szCs w:val="22"/>
          <w:lang w:val="en-GB"/>
        </w:rPr>
        <w:t>If t</w:t>
      </w:r>
      <w:r w:rsidR="00212F64">
        <w:rPr>
          <w:rFonts w:ascii="Arial" w:hAnsi="Arial" w:cs="Arial"/>
          <w:color w:val="7B7B7B" w:themeColor="accent3" w:themeShade="BF"/>
          <w:sz w:val="22"/>
          <w:szCs w:val="22"/>
          <w:lang w:val="en-GB"/>
        </w:rPr>
        <w:t>he Secretary of State</w:t>
      </w:r>
      <w:r w:rsidR="00DC3D81">
        <w:rPr>
          <w:rFonts w:ascii="Arial" w:hAnsi="Arial" w:cs="Arial"/>
          <w:color w:val="7B7B7B" w:themeColor="accent3" w:themeShade="BF"/>
          <w:sz w:val="22"/>
          <w:szCs w:val="22"/>
          <w:lang w:val="en-GB"/>
        </w:rPr>
        <w:t>,</w:t>
      </w:r>
      <w:r w:rsidR="00212F64">
        <w:rPr>
          <w:rFonts w:ascii="Arial" w:hAnsi="Arial" w:cs="Arial"/>
          <w:color w:val="7B7B7B" w:themeColor="accent3" w:themeShade="BF"/>
          <w:sz w:val="22"/>
          <w:szCs w:val="22"/>
          <w:lang w:val="en-GB"/>
        </w:rPr>
        <w:t xml:space="preserve"> based on the </w:t>
      </w:r>
      <w:r w:rsidR="00DC3D81">
        <w:rPr>
          <w:rFonts w:ascii="Arial" w:hAnsi="Arial" w:cs="Arial"/>
          <w:color w:val="7B7B7B" w:themeColor="accent3" w:themeShade="BF"/>
          <w:sz w:val="22"/>
          <w:szCs w:val="22"/>
          <w:lang w:val="en-GB"/>
        </w:rPr>
        <w:t xml:space="preserve">“unfitness” </w:t>
      </w:r>
      <w:r w:rsidR="00212F64">
        <w:rPr>
          <w:rFonts w:ascii="Arial" w:hAnsi="Arial" w:cs="Arial"/>
          <w:color w:val="7B7B7B" w:themeColor="accent3" w:themeShade="BF"/>
          <w:sz w:val="22"/>
          <w:szCs w:val="22"/>
          <w:lang w:val="en-GB"/>
        </w:rPr>
        <w:t>report of the liquidator or administrator</w:t>
      </w:r>
      <w:r w:rsidR="00DC3D81">
        <w:rPr>
          <w:rFonts w:ascii="Arial" w:hAnsi="Arial" w:cs="Arial"/>
          <w:color w:val="7B7B7B" w:themeColor="accent3" w:themeShade="BF"/>
          <w:sz w:val="22"/>
          <w:szCs w:val="22"/>
          <w:lang w:val="en-GB"/>
        </w:rPr>
        <w:t>, is of the opinion that a disqualification order should be made for the sake of public interest, the Secretary of State may apply to court</w:t>
      </w:r>
      <w:r w:rsidR="00212F64">
        <w:rPr>
          <w:rFonts w:ascii="Arial" w:hAnsi="Arial" w:cs="Arial"/>
          <w:color w:val="7B7B7B" w:themeColor="accent3" w:themeShade="BF"/>
          <w:sz w:val="22"/>
          <w:szCs w:val="22"/>
          <w:lang w:val="en-GB"/>
        </w:rPr>
        <w:t xml:space="preserve"> </w:t>
      </w:r>
      <w:r w:rsidR="00DC3D81">
        <w:rPr>
          <w:rFonts w:ascii="Arial" w:hAnsi="Arial" w:cs="Arial"/>
          <w:color w:val="7B7B7B" w:themeColor="accent3" w:themeShade="BF"/>
          <w:sz w:val="22"/>
          <w:szCs w:val="22"/>
          <w:lang w:val="en-GB"/>
        </w:rPr>
        <w:t xml:space="preserve">or – if the company is being or has been wound up – the official receiver. </w:t>
      </w:r>
    </w:p>
    <w:p w14:paraId="2F8FE0A1" w14:textId="641B1816" w:rsidR="00212F64" w:rsidRDefault="00212F64" w:rsidP="00867DC0">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parties allowed to bring action under </w:t>
      </w:r>
      <w:hyperlink r:id="rId11" w:anchor=":~:text=on%20the%20application%20of%20the%20administrator" w:history="1">
        <w:r w:rsidRPr="00EF0ED9">
          <w:rPr>
            <w:rStyle w:val="Hyperlink"/>
            <w:rFonts w:ascii="Arial" w:hAnsi="Arial" w:cs="Arial"/>
            <w:b/>
            <w:bCs/>
            <w:sz w:val="22"/>
            <w:szCs w:val="22"/>
            <w:lang w:val="en-GB"/>
          </w:rPr>
          <w:t>Section 246ZB</w:t>
        </w:r>
        <w:r w:rsidR="00EF0ED9" w:rsidRPr="00EF0ED9">
          <w:rPr>
            <w:rStyle w:val="Hyperlink"/>
            <w:rFonts w:ascii="Arial" w:hAnsi="Arial" w:cs="Arial"/>
            <w:b/>
            <w:bCs/>
            <w:sz w:val="22"/>
            <w:szCs w:val="22"/>
            <w:lang w:val="en-GB"/>
          </w:rPr>
          <w:t>(1)</w:t>
        </w:r>
      </w:hyperlink>
      <w:r w:rsidR="00EF0ED9">
        <w:rPr>
          <w:rFonts w:ascii="Arial" w:hAnsi="Arial" w:cs="Arial"/>
          <w:b/>
          <w:bCs/>
          <w:color w:val="7B7B7B" w:themeColor="accent3" w:themeShade="BF"/>
          <w:sz w:val="22"/>
          <w:szCs w:val="22"/>
          <w:lang w:val="en-GB"/>
        </w:rPr>
        <w:t xml:space="preserve"> </w:t>
      </w:r>
      <w:r>
        <w:rPr>
          <w:rFonts w:ascii="Arial" w:hAnsi="Arial" w:cs="Arial"/>
          <w:b/>
          <w:bCs/>
          <w:color w:val="7B7B7B" w:themeColor="accent3" w:themeShade="BF"/>
          <w:sz w:val="22"/>
          <w:szCs w:val="22"/>
          <w:lang w:val="en-GB"/>
        </w:rPr>
        <w:t>Insolvency Act (1986)</w:t>
      </w:r>
      <w:r>
        <w:rPr>
          <w:rFonts w:ascii="Arial" w:hAnsi="Arial" w:cs="Arial"/>
          <w:color w:val="7B7B7B" w:themeColor="accent3" w:themeShade="BF"/>
          <w:sz w:val="22"/>
          <w:szCs w:val="22"/>
          <w:lang w:val="en-GB"/>
        </w:rPr>
        <w:t>, ie fraudulent trading, are the administrator or the liquidator. They may bring a civil a</w:t>
      </w:r>
      <w:r w:rsidR="008C18D7">
        <w:rPr>
          <w:rFonts w:ascii="Arial" w:hAnsi="Arial" w:cs="Arial"/>
          <w:color w:val="7B7B7B" w:themeColor="accent3" w:themeShade="BF"/>
          <w:sz w:val="22"/>
          <w:szCs w:val="22"/>
          <w:lang w:val="en-GB"/>
        </w:rPr>
        <w:t>pplication for fraudulent trading for the benefit of all creditors – and not only the victims.</w:t>
      </w:r>
    </w:p>
    <w:p w14:paraId="68F3A59D" w14:textId="5560FC32" w:rsidR="00FF5098" w:rsidRDefault="00FF5098" w:rsidP="002A37BB">
      <w:pPr>
        <w:jc w:val="both"/>
        <w:rPr>
          <w:rFonts w:ascii="Arial" w:hAnsi="Arial" w:cs="Arial"/>
          <w:color w:val="7B7B7B" w:themeColor="accent3" w:themeShade="BF"/>
          <w:sz w:val="22"/>
          <w:szCs w:val="22"/>
          <w:lang w:val="en-GB"/>
        </w:rPr>
      </w:pPr>
    </w:p>
    <w:p w14:paraId="04B7F35E" w14:textId="77777777" w:rsidR="00524899" w:rsidRPr="002A37BB" w:rsidRDefault="00524899"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280B352B" w14:textId="372F91A7" w:rsidR="00B91B6C" w:rsidRDefault="008B290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Pr>
          <w:rFonts w:ascii="Arial" w:hAnsi="Arial" w:cs="Arial"/>
          <w:b/>
          <w:bCs/>
          <w:color w:val="7B7B7B" w:themeColor="accent3" w:themeShade="BF"/>
          <w:sz w:val="22"/>
          <w:szCs w:val="22"/>
          <w:lang w:val="en-GB"/>
        </w:rPr>
        <w:t>qualifying decision procedures</w:t>
      </w:r>
      <w:r w:rsidR="00577FBD">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are used when the </w:t>
      </w:r>
      <w:r>
        <w:rPr>
          <w:rFonts w:ascii="Arial" w:hAnsi="Arial" w:cs="Arial"/>
          <w:b/>
          <w:bCs/>
          <w:color w:val="7B7B7B" w:themeColor="accent3" w:themeShade="BF"/>
          <w:sz w:val="22"/>
          <w:szCs w:val="22"/>
          <w:lang w:val="en-GB"/>
        </w:rPr>
        <w:t xml:space="preserve">deemed consent procedure </w:t>
      </w:r>
      <w:r>
        <w:rPr>
          <w:rFonts w:ascii="Arial" w:hAnsi="Arial" w:cs="Arial"/>
          <w:color w:val="7B7B7B" w:themeColor="accent3" w:themeShade="BF"/>
          <w:sz w:val="22"/>
          <w:szCs w:val="22"/>
          <w:lang w:val="en-GB"/>
        </w:rPr>
        <w:t>cannot be used, is objected to, or where the office-holder</w:t>
      </w:r>
      <w:r w:rsidR="00B91B6C">
        <w:rPr>
          <w:rFonts w:ascii="Arial" w:hAnsi="Arial" w:cs="Arial"/>
          <w:color w:val="7B7B7B" w:themeColor="accent3" w:themeShade="BF"/>
          <w:sz w:val="22"/>
          <w:szCs w:val="22"/>
          <w:lang w:val="en-GB"/>
        </w:rPr>
        <w:t xml:space="preserve"> does not (want to) use it.</w:t>
      </w:r>
    </w:p>
    <w:p w14:paraId="4E1236F0" w14:textId="0D3D903F" w:rsidR="00FF5098" w:rsidRPr="00FF5098" w:rsidRDefault="00B91B6C" w:rsidP="00AA77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procedures are listed in </w:t>
      </w:r>
      <w:hyperlink r:id="rId12" w:history="1">
        <w:r w:rsidRPr="00EF0ED9">
          <w:rPr>
            <w:rStyle w:val="Hyperlink"/>
            <w:rFonts w:ascii="Arial" w:hAnsi="Arial" w:cs="Arial"/>
            <w:b/>
            <w:bCs/>
            <w:sz w:val="22"/>
            <w:szCs w:val="22"/>
            <w:lang w:val="en-GB"/>
          </w:rPr>
          <w:t>Rule 15.3</w:t>
        </w:r>
      </w:hyperlink>
      <w:r w:rsidRPr="00B91B6C">
        <w:rPr>
          <w:rFonts w:ascii="Arial" w:hAnsi="Arial" w:cs="Arial"/>
          <w:b/>
          <w:bCs/>
          <w:color w:val="7B7B7B" w:themeColor="accent3" w:themeShade="BF"/>
          <w:sz w:val="22"/>
          <w:szCs w:val="22"/>
          <w:lang w:val="en-GB"/>
        </w:rPr>
        <w:t xml:space="preserve"> of the Insolvency Rules 2016 SI 2016/1024</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and are as follows: (1) correspondence, (2) electronic voting</w:t>
      </w:r>
      <w:r w:rsidR="00577FBD">
        <w:rPr>
          <w:rFonts w:ascii="Arial" w:hAnsi="Arial" w:cs="Arial"/>
          <w:color w:val="7B7B7B" w:themeColor="accent3" w:themeShade="BF"/>
          <w:sz w:val="22"/>
          <w:szCs w:val="22"/>
          <w:lang w:val="en-GB"/>
        </w:rPr>
        <w:t xml:space="preserve"> (see Rule 15.4),</w:t>
      </w:r>
      <w:r>
        <w:rPr>
          <w:rFonts w:ascii="Arial" w:hAnsi="Arial" w:cs="Arial"/>
          <w:color w:val="7B7B7B" w:themeColor="accent3" w:themeShade="BF"/>
          <w:sz w:val="22"/>
          <w:szCs w:val="22"/>
          <w:lang w:val="en-GB"/>
        </w:rPr>
        <w:t xml:space="preserve"> (3) virtual meeting</w:t>
      </w:r>
      <w:r w:rsidR="00577FBD">
        <w:rPr>
          <w:rFonts w:ascii="Arial" w:hAnsi="Arial" w:cs="Arial"/>
          <w:color w:val="7B7B7B" w:themeColor="accent3" w:themeShade="BF"/>
          <w:sz w:val="22"/>
          <w:szCs w:val="22"/>
          <w:lang w:val="en-GB"/>
        </w:rPr>
        <w:t xml:space="preserve"> (see Rule 15.5)</w:t>
      </w:r>
      <w:r>
        <w:rPr>
          <w:rFonts w:ascii="Arial" w:hAnsi="Arial" w:cs="Arial"/>
          <w:color w:val="7B7B7B" w:themeColor="accent3" w:themeShade="BF"/>
          <w:sz w:val="22"/>
          <w:szCs w:val="22"/>
          <w:lang w:val="en-GB"/>
        </w:rPr>
        <w:t>, (4) physical meeting</w:t>
      </w:r>
      <w:r w:rsidR="00577FBD">
        <w:rPr>
          <w:rFonts w:ascii="Arial" w:hAnsi="Arial" w:cs="Arial"/>
          <w:color w:val="7B7B7B" w:themeColor="accent3" w:themeShade="BF"/>
          <w:sz w:val="22"/>
          <w:szCs w:val="22"/>
          <w:lang w:val="en-GB"/>
        </w:rPr>
        <w:t xml:space="preserve"> (15.6)</w:t>
      </w:r>
      <w:r>
        <w:rPr>
          <w:rFonts w:ascii="Arial" w:hAnsi="Arial" w:cs="Arial"/>
          <w:color w:val="7B7B7B" w:themeColor="accent3" w:themeShade="BF"/>
          <w:sz w:val="22"/>
          <w:szCs w:val="22"/>
          <w:lang w:val="en-GB"/>
        </w:rPr>
        <w:t>, and (5)</w:t>
      </w:r>
      <w:r w:rsidR="00AA77BD">
        <w:rPr>
          <w:rFonts w:ascii="Arial" w:hAnsi="Arial" w:cs="Arial"/>
          <w:color w:val="7B7B7B" w:themeColor="accent3" w:themeShade="BF"/>
          <w:sz w:val="22"/>
          <w:szCs w:val="22"/>
          <w:lang w:val="en-GB"/>
        </w:rPr>
        <w:t xml:space="preserve"> any other procedure which gives all creditors who are entitled to participate the opportunity to equally take part in the decision making procedure.</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9D53DD2" w14:textId="3EBB191F" w:rsidR="0064185A" w:rsidRDefault="0064185A" w:rsidP="0064185A">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an administration, the company’s executory contracts are not automatically terminated. </w:t>
      </w:r>
      <w:r w:rsidR="00FC1FC1">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ven contracts having </w:t>
      </w:r>
      <w:r>
        <w:rPr>
          <w:rFonts w:ascii="Arial" w:hAnsi="Arial" w:cs="Arial"/>
          <w:i/>
          <w:iCs/>
          <w:color w:val="7B7B7B" w:themeColor="accent3" w:themeShade="BF"/>
          <w:sz w:val="22"/>
          <w:szCs w:val="22"/>
          <w:lang w:val="en-GB"/>
        </w:rPr>
        <w:t xml:space="preserve">ipso facto </w:t>
      </w:r>
      <w:r w:rsidRPr="0064185A">
        <w:rPr>
          <w:rFonts w:ascii="Arial" w:hAnsi="Arial" w:cs="Arial"/>
          <w:color w:val="7B7B7B" w:themeColor="accent3" w:themeShade="BF"/>
          <w:sz w:val="22"/>
          <w:szCs w:val="22"/>
          <w:lang w:val="en-GB"/>
        </w:rPr>
        <w:t xml:space="preserve">clauses </w:t>
      </w:r>
      <w:r>
        <w:rPr>
          <w:rFonts w:ascii="Arial" w:hAnsi="Arial" w:cs="Arial"/>
          <w:color w:val="7B7B7B" w:themeColor="accent3" w:themeShade="BF"/>
          <w:sz w:val="22"/>
          <w:szCs w:val="22"/>
          <w:lang w:val="en-GB"/>
        </w:rPr>
        <w:t xml:space="preserve">do not lead to </w:t>
      </w:r>
      <w:r w:rsidR="00FC1FC1">
        <w:rPr>
          <w:rFonts w:ascii="Arial" w:hAnsi="Arial" w:cs="Arial"/>
          <w:color w:val="7B7B7B" w:themeColor="accent3" w:themeShade="BF"/>
          <w:sz w:val="22"/>
          <w:szCs w:val="22"/>
          <w:lang w:val="en-GB"/>
        </w:rPr>
        <w:t>their</w:t>
      </w:r>
      <w:r>
        <w:rPr>
          <w:rFonts w:ascii="Arial" w:hAnsi="Arial" w:cs="Arial"/>
          <w:color w:val="7B7B7B" w:themeColor="accent3" w:themeShade="BF"/>
          <w:sz w:val="22"/>
          <w:szCs w:val="22"/>
          <w:lang w:val="en-GB"/>
        </w:rPr>
        <w:t xml:space="preserve"> automatic termination </w:t>
      </w:r>
      <w:r w:rsidR="00FC1FC1">
        <w:rPr>
          <w:rFonts w:ascii="Arial" w:hAnsi="Arial" w:cs="Arial"/>
          <w:color w:val="7B7B7B" w:themeColor="accent3" w:themeShade="BF"/>
          <w:sz w:val="22"/>
          <w:szCs w:val="22"/>
          <w:lang w:val="en-GB"/>
        </w:rPr>
        <w:t xml:space="preserve">once the company has entered a formal insolvency proceeding, </w:t>
      </w:r>
      <w:r>
        <w:rPr>
          <w:rFonts w:ascii="Arial" w:hAnsi="Arial" w:cs="Arial"/>
          <w:color w:val="7B7B7B" w:themeColor="accent3" w:themeShade="BF"/>
          <w:sz w:val="22"/>
          <w:szCs w:val="22"/>
          <w:lang w:val="en-GB"/>
        </w:rPr>
        <w:t>as these clauses are often times subject to statutory exceptions. As such, these clauses are void.</w:t>
      </w:r>
    </w:p>
    <w:p w14:paraId="554BBB22" w14:textId="19FBED8A" w:rsidR="00E07E03" w:rsidRDefault="0064185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b/>
      </w:r>
      <w:r w:rsidR="00743462">
        <w:rPr>
          <w:rFonts w:ascii="Arial" w:hAnsi="Arial" w:cs="Arial"/>
          <w:color w:val="7B7B7B" w:themeColor="accent3" w:themeShade="BF"/>
          <w:sz w:val="22"/>
          <w:szCs w:val="22"/>
          <w:lang w:val="en-GB"/>
        </w:rPr>
        <w:t xml:space="preserve">Part VI of the Insolvency Act (1986) deals with management powers and duties of the administrator. </w:t>
      </w:r>
      <w:r w:rsidR="00743462">
        <w:rPr>
          <w:rFonts w:ascii="Arial" w:hAnsi="Arial" w:cs="Arial"/>
          <w:b/>
          <w:bCs/>
          <w:color w:val="7B7B7B" w:themeColor="accent3" w:themeShade="BF"/>
          <w:sz w:val="22"/>
          <w:szCs w:val="22"/>
          <w:lang w:val="en-GB"/>
        </w:rPr>
        <w:t xml:space="preserve">Section 233(3) and (3A) Insolvency Act </w:t>
      </w:r>
      <w:r w:rsidR="00743462">
        <w:rPr>
          <w:rFonts w:ascii="Arial" w:hAnsi="Arial" w:cs="Arial"/>
          <w:color w:val="7B7B7B" w:themeColor="accent3" w:themeShade="BF"/>
          <w:sz w:val="22"/>
          <w:szCs w:val="22"/>
          <w:lang w:val="en-GB"/>
        </w:rPr>
        <w:t xml:space="preserve">provide a list of the types of (essential) supplies of which the suppliers are prohibited from requiring payment of outstanding debts so that they can continue to supply to the company in administration. The same applies to new suppliers. </w:t>
      </w:r>
    </w:p>
    <w:p w14:paraId="2E450CAD" w14:textId="7A08B9C3" w:rsidR="00FF5098" w:rsidRDefault="00FC1FC1" w:rsidP="00E979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Looking into </w:t>
      </w:r>
      <w:hyperlink r:id="rId13" w:anchor=":~:text=(3),website%20hosting.%5D" w:history="1">
        <w:r w:rsidRPr="00E979E2">
          <w:rPr>
            <w:rStyle w:val="Hyperlink"/>
            <w:rFonts w:ascii="Arial" w:hAnsi="Arial" w:cs="Arial"/>
            <w:b/>
            <w:bCs/>
            <w:sz w:val="22"/>
            <w:szCs w:val="22"/>
            <w:lang w:val="en-GB"/>
          </w:rPr>
          <w:t>section 233</w:t>
        </w:r>
      </w:hyperlink>
      <w:r>
        <w:rPr>
          <w:rFonts w:ascii="Arial" w:hAnsi="Arial" w:cs="Arial"/>
          <w:color w:val="7B7B7B" w:themeColor="accent3" w:themeShade="BF"/>
          <w:sz w:val="22"/>
          <w:szCs w:val="22"/>
          <w:lang w:val="en-GB"/>
        </w:rPr>
        <w:t xml:space="preserve"> of the Act, the supplies are: gas, electricity, water, communication services, and </w:t>
      </w:r>
      <w:r w:rsidRPr="00FC1FC1">
        <w:rPr>
          <w:rFonts w:ascii="Arial" w:hAnsi="Arial" w:cs="Arial"/>
          <w:color w:val="7B7B7B" w:themeColor="accent3" w:themeShade="BF"/>
          <w:sz w:val="22"/>
          <w:szCs w:val="22"/>
        </w:rPr>
        <w:t xml:space="preserve">supply of goods or services </w:t>
      </w:r>
      <w:r>
        <w:rPr>
          <w:rFonts w:ascii="Arial" w:hAnsi="Arial" w:cs="Arial"/>
          <w:color w:val="7B7B7B" w:themeColor="accent3" w:themeShade="BF"/>
          <w:sz w:val="22"/>
          <w:szCs w:val="22"/>
          <w:lang w:val="en-GB"/>
        </w:rPr>
        <w:t xml:space="preserve">listed in </w:t>
      </w:r>
      <w:r>
        <w:rPr>
          <w:rFonts w:ascii="Arial" w:hAnsi="Arial" w:cs="Arial"/>
          <w:b/>
          <w:bCs/>
          <w:color w:val="7B7B7B" w:themeColor="accent3" w:themeShade="BF"/>
          <w:sz w:val="22"/>
          <w:szCs w:val="22"/>
          <w:lang w:val="en-GB"/>
        </w:rPr>
        <w:t>section 233(3A)</w:t>
      </w:r>
      <w:r>
        <w:rPr>
          <w:rFonts w:ascii="Arial" w:hAnsi="Arial" w:cs="Arial"/>
          <w:color w:val="7B7B7B" w:themeColor="accent3" w:themeShade="BF"/>
          <w:sz w:val="22"/>
          <w:szCs w:val="22"/>
          <w:lang w:val="en-GB"/>
        </w:rPr>
        <w:t xml:space="preserve"> which are </w:t>
      </w:r>
      <w:r w:rsidRPr="00FC1FC1">
        <w:rPr>
          <w:rFonts w:ascii="Arial" w:hAnsi="Arial" w:cs="Arial"/>
          <w:color w:val="7B7B7B" w:themeColor="accent3" w:themeShade="BF"/>
          <w:sz w:val="22"/>
          <w:szCs w:val="22"/>
        </w:rPr>
        <w:t>point of sale terminals</w:t>
      </w:r>
      <w:r w:rsidR="00E979E2">
        <w:rPr>
          <w:rFonts w:ascii="Arial" w:hAnsi="Arial" w:cs="Arial"/>
          <w:color w:val="7B7B7B" w:themeColor="accent3" w:themeShade="BF"/>
          <w:sz w:val="22"/>
          <w:szCs w:val="22"/>
          <w:lang w:val="en-GB"/>
        </w:rPr>
        <w:t>, c</w:t>
      </w:r>
      <w:proofErr w:type="spellStart"/>
      <w:r w:rsidRPr="00FC1FC1">
        <w:rPr>
          <w:rFonts w:ascii="Arial" w:hAnsi="Arial" w:cs="Arial"/>
          <w:color w:val="7B7B7B" w:themeColor="accent3" w:themeShade="BF"/>
          <w:sz w:val="22"/>
          <w:szCs w:val="22"/>
        </w:rPr>
        <w:t>omputer</w:t>
      </w:r>
      <w:proofErr w:type="spellEnd"/>
      <w:r w:rsidRPr="00FC1FC1">
        <w:rPr>
          <w:rFonts w:ascii="Arial" w:hAnsi="Arial" w:cs="Arial"/>
          <w:color w:val="7B7B7B" w:themeColor="accent3" w:themeShade="BF"/>
          <w:sz w:val="22"/>
          <w:szCs w:val="22"/>
        </w:rPr>
        <w:t xml:space="preserve"> hardware and software</w:t>
      </w:r>
      <w:r w:rsidR="00E979E2">
        <w:rPr>
          <w:rFonts w:ascii="Arial" w:hAnsi="Arial" w:cs="Arial"/>
          <w:color w:val="7B7B7B" w:themeColor="accent3" w:themeShade="BF"/>
          <w:sz w:val="22"/>
          <w:szCs w:val="22"/>
          <w:lang w:val="en-GB"/>
        </w:rPr>
        <w:t xml:space="preserve">, </w:t>
      </w:r>
      <w:r w:rsidRPr="00FC1FC1">
        <w:rPr>
          <w:rFonts w:ascii="Arial" w:hAnsi="Arial" w:cs="Arial"/>
          <w:color w:val="7B7B7B" w:themeColor="accent3" w:themeShade="BF"/>
          <w:sz w:val="22"/>
          <w:szCs w:val="22"/>
        </w:rPr>
        <w:t>information, advice and technical assistance in connection with the use of information technology</w:t>
      </w:r>
      <w:r w:rsidR="00E979E2">
        <w:rPr>
          <w:rFonts w:ascii="Arial" w:hAnsi="Arial" w:cs="Arial"/>
          <w:color w:val="7B7B7B" w:themeColor="accent3" w:themeShade="BF"/>
          <w:sz w:val="22"/>
          <w:szCs w:val="22"/>
          <w:lang w:val="en-GB"/>
        </w:rPr>
        <w:t xml:space="preserve">, </w:t>
      </w:r>
      <w:r w:rsidRPr="00FC1FC1">
        <w:rPr>
          <w:rFonts w:ascii="Arial" w:hAnsi="Arial" w:cs="Arial"/>
          <w:color w:val="7B7B7B" w:themeColor="accent3" w:themeShade="BF"/>
          <w:sz w:val="22"/>
          <w:szCs w:val="22"/>
        </w:rPr>
        <w:t>data storage and processing</w:t>
      </w:r>
      <w:r w:rsidR="00E979E2">
        <w:rPr>
          <w:rFonts w:ascii="Arial" w:hAnsi="Arial" w:cs="Arial"/>
          <w:color w:val="7B7B7B" w:themeColor="accent3" w:themeShade="BF"/>
          <w:sz w:val="22"/>
          <w:szCs w:val="22"/>
          <w:lang w:val="en-GB"/>
        </w:rPr>
        <w:t xml:space="preserve">, </w:t>
      </w:r>
      <w:r w:rsidRPr="00FC1FC1">
        <w:rPr>
          <w:rFonts w:ascii="Arial" w:hAnsi="Arial" w:cs="Arial"/>
          <w:color w:val="7B7B7B" w:themeColor="accent3" w:themeShade="BF"/>
          <w:sz w:val="22"/>
          <w:szCs w:val="22"/>
        </w:rPr>
        <w:t>website hosting</w:t>
      </w:r>
      <w:r w:rsidR="00E979E2">
        <w:rPr>
          <w:rFonts w:ascii="Arial" w:hAnsi="Arial" w:cs="Arial"/>
          <w:color w:val="7B7B7B" w:themeColor="accent3" w:themeShade="BF"/>
          <w:sz w:val="22"/>
          <w:szCs w:val="22"/>
          <w:lang w:val="en-GB"/>
        </w:rPr>
        <w:t>.</w:t>
      </w:r>
    </w:p>
    <w:p w14:paraId="5957C14C" w14:textId="498E931F" w:rsidR="00E979E2" w:rsidRDefault="00E979E2" w:rsidP="00E979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As such, the administrator may require the suppliers to secure the continuation or the commencement of supply to the company in administration.</w:t>
      </w:r>
      <w:r w:rsidR="00B82AFD">
        <w:rPr>
          <w:rFonts w:ascii="Arial" w:hAnsi="Arial" w:cs="Arial"/>
          <w:color w:val="7B7B7B" w:themeColor="accent3" w:themeShade="BF"/>
          <w:sz w:val="22"/>
          <w:szCs w:val="22"/>
          <w:lang w:val="en-GB"/>
        </w:rPr>
        <w:t xml:space="preserve"> In return, the administrator has to personally guarantee the payment of charges.</w:t>
      </w:r>
    </w:p>
    <w:p w14:paraId="6807D577" w14:textId="7B6D6F39" w:rsidR="00E979E2" w:rsidRPr="00E979E2" w:rsidRDefault="00E979E2" w:rsidP="00E979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An exception under </w:t>
      </w:r>
      <w:hyperlink r:id="rId14" w:anchor=":~:text=Where%20a%20provision,of%20the%20contract." w:history="1">
        <w:r w:rsidRPr="00B82AFD">
          <w:rPr>
            <w:rStyle w:val="Hyperlink"/>
            <w:rFonts w:ascii="Arial" w:hAnsi="Arial" w:cs="Arial"/>
            <w:b/>
            <w:bCs/>
            <w:sz w:val="22"/>
            <w:szCs w:val="22"/>
            <w:lang w:val="en-GB"/>
          </w:rPr>
          <w:t>section 233</w:t>
        </w:r>
        <w:r w:rsidR="00B82AFD">
          <w:rPr>
            <w:rStyle w:val="Hyperlink"/>
            <w:rFonts w:ascii="Arial" w:hAnsi="Arial" w:cs="Arial"/>
            <w:b/>
            <w:bCs/>
            <w:sz w:val="22"/>
            <w:szCs w:val="22"/>
            <w:lang w:val="en-GB"/>
          </w:rPr>
          <w:t>B(5)</w:t>
        </w:r>
      </w:hyperlink>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of the Act is that the contract may nonetheless be terminated by the supplier if the company or the administrator consents</w:t>
      </w:r>
      <w:r w:rsidR="00B82AFD">
        <w:rPr>
          <w:rFonts w:ascii="Arial" w:hAnsi="Arial" w:cs="Arial"/>
          <w:color w:val="7B7B7B" w:themeColor="accent3" w:themeShade="BF"/>
          <w:sz w:val="22"/>
          <w:szCs w:val="22"/>
          <w:lang w:val="en-GB"/>
        </w:rPr>
        <w:t xml:space="preserve"> to it</w:t>
      </w:r>
      <w:r>
        <w:rPr>
          <w:rFonts w:ascii="Arial" w:hAnsi="Arial" w:cs="Arial"/>
          <w:color w:val="7B7B7B" w:themeColor="accent3" w:themeShade="BF"/>
          <w:sz w:val="22"/>
          <w:szCs w:val="22"/>
          <w:lang w:val="en-GB"/>
        </w:rPr>
        <w:t xml:space="preserve">, or if the court grants permission upon application </w:t>
      </w:r>
      <w:r w:rsidR="00B82AFD">
        <w:rPr>
          <w:rFonts w:ascii="Arial" w:hAnsi="Arial" w:cs="Arial"/>
          <w:color w:val="7B7B7B" w:themeColor="accent3" w:themeShade="BF"/>
          <w:sz w:val="22"/>
          <w:szCs w:val="22"/>
          <w:lang w:val="en-GB"/>
        </w:rPr>
        <w:t>because it</w:t>
      </w:r>
      <w:r>
        <w:rPr>
          <w:rFonts w:ascii="Arial" w:hAnsi="Arial" w:cs="Arial"/>
          <w:color w:val="7B7B7B" w:themeColor="accent3" w:themeShade="BF"/>
          <w:sz w:val="22"/>
          <w:szCs w:val="22"/>
          <w:lang w:val="en-GB"/>
        </w:rPr>
        <w:t xml:space="preserve"> is satisfied that the continuation would cause the supplier hardship.</w:t>
      </w:r>
    </w:p>
    <w:p w14:paraId="5A87499D" w14:textId="77777777" w:rsidR="00E979E2" w:rsidRPr="00FF5098" w:rsidRDefault="00E979E2" w:rsidP="00E979E2">
      <w:pPr>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2982E7D4" w14:textId="7AD56693" w:rsidR="001E5709" w:rsidRDefault="001E5709" w:rsidP="001E5709">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begin with, the liquidator may only realise assets belonging to the insolvent company. As such, assets that are subject to eg </w:t>
      </w:r>
      <w:r w:rsidRPr="00B12F6E">
        <w:rPr>
          <w:rFonts w:ascii="Arial" w:hAnsi="Arial" w:cs="Arial"/>
          <w:b/>
          <w:bCs/>
          <w:color w:val="7B7B7B" w:themeColor="accent3" w:themeShade="BF"/>
          <w:sz w:val="22"/>
          <w:szCs w:val="22"/>
          <w:lang w:val="en-GB"/>
        </w:rPr>
        <w:t>hire purchase or retention of title</w:t>
      </w:r>
      <w:r>
        <w:rPr>
          <w:rFonts w:ascii="Arial" w:hAnsi="Arial" w:cs="Arial"/>
          <w:color w:val="7B7B7B" w:themeColor="accent3" w:themeShade="BF"/>
          <w:sz w:val="22"/>
          <w:szCs w:val="22"/>
          <w:lang w:val="en-GB"/>
        </w:rPr>
        <w:t xml:space="preserve"> contracts are not part of the insolvent estate. The same applies to debts which have been assigned to a </w:t>
      </w:r>
      <w:r w:rsidRPr="00B12F6E">
        <w:rPr>
          <w:rFonts w:ascii="Arial" w:hAnsi="Arial" w:cs="Arial"/>
          <w:b/>
          <w:bCs/>
          <w:color w:val="7B7B7B" w:themeColor="accent3" w:themeShade="BF"/>
          <w:sz w:val="22"/>
          <w:szCs w:val="22"/>
          <w:lang w:val="en-GB"/>
        </w:rPr>
        <w:t>receivable financier</w:t>
      </w:r>
      <w:r>
        <w:rPr>
          <w:rFonts w:ascii="Arial" w:hAnsi="Arial" w:cs="Arial"/>
          <w:color w:val="7B7B7B" w:themeColor="accent3" w:themeShade="BF"/>
          <w:sz w:val="22"/>
          <w:szCs w:val="22"/>
          <w:lang w:val="en-GB"/>
        </w:rPr>
        <w:t>.</w:t>
      </w:r>
    </w:p>
    <w:p w14:paraId="63182846" w14:textId="5F267E6E" w:rsidR="00B12F6E" w:rsidRDefault="00B12F6E" w:rsidP="00B12F6E">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should also note that holders of </w:t>
      </w:r>
      <w:r w:rsidRPr="00CB445F">
        <w:rPr>
          <w:rFonts w:ascii="Arial" w:hAnsi="Arial" w:cs="Arial"/>
          <w:b/>
          <w:bCs/>
          <w:color w:val="7B7B7B" w:themeColor="accent3" w:themeShade="BF"/>
          <w:sz w:val="22"/>
          <w:szCs w:val="22"/>
          <w:lang w:val="en-GB"/>
        </w:rPr>
        <w:t>fixed charges</w:t>
      </w:r>
      <w:r>
        <w:rPr>
          <w:rFonts w:ascii="Arial" w:hAnsi="Arial" w:cs="Arial"/>
          <w:color w:val="7B7B7B" w:themeColor="accent3" w:themeShade="BF"/>
          <w:sz w:val="22"/>
          <w:szCs w:val="22"/>
          <w:lang w:val="en-GB"/>
        </w:rPr>
        <w:t xml:space="preserve"> are paid outside of any formal insolvency. These are secured creditors who’s security attaches to a particular (class of) asset(s) and the debtor needs the consent of the creditor prior to dealing with the asset. Examples include mortgages and charge on assets. </w:t>
      </w:r>
    </w:p>
    <w:p w14:paraId="41BFB976" w14:textId="71B61362" w:rsidR="007E001D" w:rsidRDefault="007E001D" w:rsidP="00B12F6E">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w:t>
      </w:r>
      <w:r w:rsidR="00B12F6E">
        <w:rPr>
          <w:rFonts w:ascii="Arial" w:hAnsi="Arial" w:cs="Arial"/>
          <w:color w:val="7B7B7B" w:themeColor="accent3" w:themeShade="BF"/>
          <w:sz w:val="22"/>
          <w:szCs w:val="22"/>
          <w:lang w:val="en-GB"/>
        </w:rPr>
        <w:t xml:space="preserve"> speaking</w:t>
      </w:r>
      <w:r>
        <w:rPr>
          <w:rFonts w:ascii="Arial" w:hAnsi="Arial" w:cs="Arial"/>
          <w:color w:val="7B7B7B" w:themeColor="accent3" w:themeShade="BF"/>
          <w:sz w:val="22"/>
          <w:szCs w:val="22"/>
          <w:lang w:val="en-GB"/>
        </w:rPr>
        <w:t xml:space="preserve">, </w:t>
      </w:r>
      <w:r w:rsidR="009A695B">
        <w:rPr>
          <w:rFonts w:ascii="Arial" w:hAnsi="Arial" w:cs="Arial"/>
          <w:color w:val="7B7B7B" w:themeColor="accent3" w:themeShade="BF"/>
          <w:sz w:val="22"/>
          <w:szCs w:val="22"/>
          <w:lang w:val="en-GB"/>
        </w:rPr>
        <w:t xml:space="preserve">and if no </w:t>
      </w:r>
      <w:r w:rsidR="009A695B">
        <w:rPr>
          <w:rFonts w:ascii="Arial" w:hAnsi="Arial" w:cs="Arial"/>
          <w:b/>
          <w:bCs/>
          <w:color w:val="7B7B7B" w:themeColor="accent3" w:themeShade="BF"/>
          <w:sz w:val="22"/>
          <w:szCs w:val="22"/>
          <w:lang w:val="en-GB"/>
        </w:rPr>
        <w:t xml:space="preserve">subordination agreement </w:t>
      </w:r>
      <w:r w:rsidR="009A695B">
        <w:rPr>
          <w:rFonts w:ascii="Arial" w:hAnsi="Arial" w:cs="Arial"/>
          <w:color w:val="7B7B7B" w:themeColor="accent3" w:themeShade="BF"/>
          <w:sz w:val="22"/>
          <w:szCs w:val="22"/>
          <w:lang w:val="en-GB"/>
        </w:rPr>
        <w:t>between creditors are agreed</w:t>
      </w:r>
      <w:r w:rsidR="00E85A25">
        <w:rPr>
          <w:rFonts w:ascii="Arial" w:hAnsi="Arial" w:cs="Arial"/>
          <w:color w:val="7B7B7B" w:themeColor="accent3" w:themeShade="BF"/>
          <w:sz w:val="22"/>
          <w:szCs w:val="22"/>
          <w:lang w:val="en-GB"/>
        </w:rPr>
        <w:t xml:space="preserve"> (which varies their priority based on mutual consent)</w:t>
      </w:r>
      <w:r w:rsidR="009A695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order of priority of payments in a insolvency liquidation procedure is as follows.</w:t>
      </w:r>
    </w:p>
    <w:p w14:paraId="40F4A2DE" w14:textId="026D7E82" w:rsidR="004E348D" w:rsidRPr="004E348D" w:rsidRDefault="00B12F6E" w:rsidP="004E348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w:t>
      </w:r>
      <w:r w:rsidR="002F04CF">
        <w:rPr>
          <w:rFonts w:ascii="Arial" w:hAnsi="Arial" w:cs="Arial"/>
          <w:color w:val="7B7B7B" w:themeColor="accent3" w:themeShade="BF"/>
          <w:sz w:val="22"/>
          <w:szCs w:val="22"/>
          <w:lang w:val="en-GB"/>
        </w:rPr>
        <w:t xml:space="preserve">, the </w:t>
      </w:r>
      <w:r w:rsidR="002F04CF">
        <w:rPr>
          <w:rFonts w:ascii="Arial" w:hAnsi="Arial" w:cs="Arial"/>
          <w:b/>
          <w:bCs/>
          <w:color w:val="7B7B7B" w:themeColor="accent3" w:themeShade="BF"/>
          <w:sz w:val="22"/>
          <w:szCs w:val="22"/>
          <w:lang w:val="en-GB"/>
        </w:rPr>
        <w:t>expenses of the procedure</w:t>
      </w:r>
      <w:r w:rsidR="002F04CF">
        <w:rPr>
          <w:rFonts w:ascii="Arial" w:hAnsi="Arial" w:cs="Arial"/>
          <w:color w:val="7B7B7B" w:themeColor="accent3" w:themeShade="BF"/>
          <w:sz w:val="22"/>
          <w:szCs w:val="22"/>
          <w:lang w:val="en-GB"/>
        </w:rPr>
        <w:t>, which includes the remuneration of the liquidator</w:t>
      </w:r>
      <w:r>
        <w:rPr>
          <w:rFonts w:ascii="Arial" w:hAnsi="Arial" w:cs="Arial"/>
          <w:color w:val="7B7B7B" w:themeColor="accent3" w:themeShade="BF"/>
          <w:sz w:val="22"/>
          <w:szCs w:val="22"/>
          <w:lang w:val="en-GB"/>
        </w:rPr>
        <w:t>,</w:t>
      </w:r>
      <w:r w:rsidR="002F04CF">
        <w:rPr>
          <w:rFonts w:ascii="Arial" w:hAnsi="Arial" w:cs="Arial"/>
          <w:color w:val="7B7B7B" w:themeColor="accent3" w:themeShade="BF"/>
          <w:sz w:val="22"/>
          <w:szCs w:val="22"/>
          <w:lang w:val="en-GB"/>
        </w:rPr>
        <w:t xml:space="preserve"> are paid.</w:t>
      </w:r>
      <w:r>
        <w:rPr>
          <w:rFonts w:ascii="Arial" w:hAnsi="Arial" w:cs="Arial"/>
          <w:color w:val="7B7B7B" w:themeColor="accent3" w:themeShade="BF"/>
          <w:sz w:val="22"/>
          <w:szCs w:val="22"/>
          <w:lang w:val="en-GB"/>
        </w:rPr>
        <w:t xml:space="preserve"> </w:t>
      </w:r>
      <w:r w:rsidR="004E348D" w:rsidRPr="004E348D">
        <w:rPr>
          <w:rFonts w:ascii="Arial" w:hAnsi="Arial" w:cs="Arial"/>
          <w:color w:val="7B7B7B" w:themeColor="accent3" w:themeShade="BF"/>
          <w:sz w:val="22"/>
          <w:szCs w:val="22"/>
        </w:rPr>
        <w:t xml:space="preserve">All fees, costs, charges and other expenses incurred in the course of the winding </w:t>
      </w:r>
      <w:r w:rsidR="0076346E" w:rsidRPr="00B12F6E">
        <w:rPr>
          <w:rFonts w:ascii="Arial" w:hAnsi="Arial" w:cs="Arial"/>
          <w:color w:val="7B7B7B" w:themeColor="accent3" w:themeShade="BF"/>
          <w:sz w:val="22"/>
          <w:szCs w:val="22"/>
        </w:rPr>
        <w:t>up</w:t>
      </w:r>
      <w:r w:rsidR="0076346E">
        <w:rPr>
          <w:rFonts w:ascii="Arial" w:hAnsi="Arial" w:cs="Arial"/>
          <w:color w:val="7B7B7B" w:themeColor="accent3" w:themeShade="BF"/>
          <w:sz w:val="22"/>
          <w:szCs w:val="22"/>
        </w:rPr>
        <w:t xml:space="preserve"> </w:t>
      </w:r>
      <w:r w:rsidR="0076346E" w:rsidRPr="00B12F6E">
        <w:rPr>
          <w:rFonts w:ascii="Arial" w:hAnsi="Arial" w:cs="Arial"/>
          <w:color w:val="7B7B7B" w:themeColor="accent3" w:themeShade="BF"/>
          <w:sz w:val="22"/>
          <w:szCs w:val="22"/>
        </w:rPr>
        <w:t xml:space="preserve">are </w:t>
      </w:r>
      <w:r w:rsidR="0076346E">
        <w:rPr>
          <w:rFonts w:ascii="Arial" w:hAnsi="Arial" w:cs="Arial"/>
          <w:color w:val="7B7B7B" w:themeColor="accent3" w:themeShade="BF"/>
          <w:sz w:val="22"/>
          <w:szCs w:val="22"/>
        </w:rPr>
        <w:t xml:space="preserve">therefore </w:t>
      </w:r>
      <w:r w:rsidR="0076346E" w:rsidRPr="00B12F6E">
        <w:rPr>
          <w:rFonts w:ascii="Arial" w:hAnsi="Arial" w:cs="Arial"/>
          <w:color w:val="7B7B7B" w:themeColor="accent3" w:themeShade="BF"/>
          <w:sz w:val="22"/>
          <w:szCs w:val="22"/>
        </w:rPr>
        <w:t>payable out of the company’s assets in priority to all other claims</w:t>
      </w:r>
      <w:r w:rsidR="0076346E">
        <w:rPr>
          <w:rFonts w:ascii="Arial" w:hAnsi="Arial" w:cs="Arial"/>
          <w:color w:val="7B7B7B" w:themeColor="accent3" w:themeShade="BF"/>
          <w:sz w:val="22"/>
          <w:szCs w:val="22"/>
        </w:rPr>
        <w:t>, see</w:t>
      </w:r>
      <w:r w:rsidR="0076346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Section </w:t>
      </w:r>
      <w:hyperlink r:id="rId15" w:history="1">
        <w:r w:rsidRPr="00B12F6E">
          <w:rPr>
            <w:rStyle w:val="Hyperlink"/>
            <w:rFonts w:ascii="Arial" w:hAnsi="Arial" w:cs="Arial"/>
            <w:sz w:val="22"/>
            <w:szCs w:val="22"/>
            <w:lang w:val="en-GB"/>
          </w:rPr>
          <w:t>115</w:t>
        </w:r>
      </w:hyperlink>
      <w:r>
        <w:rPr>
          <w:rFonts w:ascii="Arial" w:hAnsi="Arial" w:cs="Arial"/>
          <w:color w:val="7B7B7B" w:themeColor="accent3" w:themeShade="BF"/>
          <w:sz w:val="22"/>
          <w:szCs w:val="22"/>
          <w:lang w:val="en-GB"/>
        </w:rPr>
        <w:t xml:space="preserve"> Insolvency Act (1986)</w:t>
      </w:r>
      <w:r w:rsidR="0076346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Rules </w:t>
      </w:r>
      <w:hyperlink r:id="rId16" w:history="1">
        <w:r w:rsidRPr="0076346E">
          <w:rPr>
            <w:rStyle w:val="Hyperlink"/>
            <w:rFonts w:ascii="Arial" w:hAnsi="Arial" w:cs="Arial"/>
            <w:sz w:val="22"/>
            <w:szCs w:val="22"/>
            <w:lang w:val="en-GB"/>
          </w:rPr>
          <w:t>6.42</w:t>
        </w:r>
      </w:hyperlink>
      <w:r w:rsidR="004E348D">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 xml:space="preserve"> and </w:t>
      </w:r>
      <w:hyperlink r:id="rId17" w:history="1">
        <w:r w:rsidRPr="0076346E">
          <w:rPr>
            <w:rStyle w:val="Hyperlink"/>
            <w:rFonts w:ascii="Arial" w:hAnsi="Arial" w:cs="Arial"/>
            <w:sz w:val="22"/>
            <w:szCs w:val="22"/>
            <w:lang w:val="en-GB"/>
          </w:rPr>
          <w:t>7.108</w:t>
        </w:r>
      </w:hyperlink>
      <w:r w:rsidR="004E348D">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 xml:space="preserve"> of the Insolvency Rules (2016) provide the following order</w:t>
      </w:r>
      <w:r w:rsidR="0076346E">
        <w:rPr>
          <w:rFonts w:ascii="Arial" w:hAnsi="Arial" w:cs="Arial"/>
          <w:color w:val="7B7B7B" w:themeColor="accent3" w:themeShade="BF"/>
          <w:sz w:val="22"/>
          <w:szCs w:val="22"/>
          <w:lang w:val="en-GB"/>
        </w:rPr>
        <w:t xml:space="preserve"> of payment</w:t>
      </w:r>
      <w:r>
        <w:rPr>
          <w:rFonts w:ascii="Arial" w:hAnsi="Arial" w:cs="Arial"/>
          <w:color w:val="7B7B7B" w:themeColor="accent3" w:themeShade="BF"/>
          <w:sz w:val="22"/>
          <w:szCs w:val="22"/>
          <w:lang w:val="en-GB"/>
        </w:rPr>
        <w:t>: (1)</w:t>
      </w:r>
      <w:r w:rsidR="0076346E">
        <w:rPr>
          <w:rFonts w:ascii="Arial" w:hAnsi="Arial" w:cs="Arial"/>
          <w:color w:val="7B7B7B" w:themeColor="accent3" w:themeShade="BF"/>
          <w:sz w:val="22"/>
          <w:szCs w:val="22"/>
          <w:lang w:val="en-GB"/>
        </w:rPr>
        <w:t xml:space="preserve"> expenses incurred by the liquidator in preserving, realising or getting in any of the company’s assets</w:t>
      </w:r>
      <w:r w:rsidR="004E348D">
        <w:rPr>
          <w:rFonts w:ascii="Arial" w:hAnsi="Arial" w:cs="Arial"/>
          <w:color w:val="7B7B7B" w:themeColor="accent3" w:themeShade="BF"/>
          <w:sz w:val="22"/>
          <w:szCs w:val="22"/>
          <w:lang w:val="en-GB"/>
        </w:rPr>
        <w:t xml:space="preserve">; (2) </w:t>
      </w:r>
      <w:r w:rsidR="004E348D" w:rsidRPr="004E348D">
        <w:rPr>
          <w:rFonts w:ascii="Arial" w:hAnsi="Arial" w:cs="Arial"/>
          <w:color w:val="7B7B7B" w:themeColor="accent3" w:themeShade="BF"/>
          <w:sz w:val="22"/>
          <w:szCs w:val="22"/>
        </w:rPr>
        <w:t>the cost of any security provided by the liquidator</w:t>
      </w:r>
      <w:r w:rsidR="004E348D">
        <w:rPr>
          <w:rFonts w:ascii="Arial" w:hAnsi="Arial" w:cs="Arial"/>
          <w:color w:val="7B7B7B" w:themeColor="accent3" w:themeShade="BF"/>
          <w:sz w:val="22"/>
          <w:szCs w:val="22"/>
          <w:lang w:val="en-GB"/>
        </w:rPr>
        <w:t xml:space="preserve">; (3) </w:t>
      </w:r>
      <w:r w:rsidR="004E348D" w:rsidRPr="004E348D">
        <w:rPr>
          <w:rFonts w:ascii="Arial" w:hAnsi="Arial" w:cs="Arial"/>
          <w:color w:val="7B7B7B" w:themeColor="accent3" w:themeShade="BF"/>
          <w:sz w:val="22"/>
          <w:szCs w:val="22"/>
        </w:rPr>
        <w:t>the remuneration of the special manager (if any)</w:t>
      </w:r>
      <w:r w:rsidR="004E348D">
        <w:rPr>
          <w:rFonts w:ascii="Arial" w:hAnsi="Arial" w:cs="Arial"/>
          <w:color w:val="7B7B7B" w:themeColor="accent3" w:themeShade="BF"/>
          <w:sz w:val="22"/>
          <w:szCs w:val="22"/>
          <w:lang w:val="en-GB"/>
        </w:rPr>
        <w:t xml:space="preserve">; (4) </w:t>
      </w:r>
      <w:r w:rsidR="004E348D" w:rsidRPr="004E348D">
        <w:rPr>
          <w:rFonts w:ascii="Arial" w:hAnsi="Arial" w:cs="Arial"/>
          <w:color w:val="7B7B7B" w:themeColor="accent3" w:themeShade="BF"/>
          <w:sz w:val="22"/>
          <w:szCs w:val="22"/>
        </w:rPr>
        <w:t xml:space="preserve">any amount payable to a person employed or </w:t>
      </w:r>
      <w:proofErr w:type="spellStart"/>
      <w:r w:rsidR="004E348D" w:rsidRPr="004E348D">
        <w:rPr>
          <w:rFonts w:ascii="Arial" w:hAnsi="Arial" w:cs="Arial"/>
          <w:color w:val="7B7B7B" w:themeColor="accent3" w:themeShade="BF"/>
          <w:sz w:val="22"/>
          <w:szCs w:val="22"/>
        </w:rPr>
        <w:t>authorised</w:t>
      </w:r>
      <w:proofErr w:type="spellEnd"/>
      <w:r w:rsidR="004E348D">
        <w:rPr>
          <w:rFonts w:ascii="Arial" w:hAnsi="Arial" w:cs="Arial"/>
          <w:color w:val="7B7B7B" w:themeColor="accent3" w:themeShade="BF"/>
          <w:sz w:val="22"/>
          <w:szCs w:val="22"/>
          <w:lang w:val="en-GB"/>
        </w:rPr>
        <w:t xml:space="preserve"> </w:t>
      </w:r>
      <w:r w:rsidR="004E348D" w:rsidRPr="004E348D">
        <w:rPr>
          <w:rFonts w:ascii="Arial" w:hAnsi="Arial" w:cs="Arial"/>
          <w:color w:val="7B7B7B" w:themeColor="accent3" w:themeShade="BF"/>
          <w:sz w:val="22"/>
          <w:szCs w:val="22"/>
        </w:rPr>
        <w:t>to assist in the preparation of a statement of affairs or of accounts;</w:t>
      </w:r>
      <w:r w:rsidR="004E348D">
        <w:rPr>
          <w:rFonts w:ascii="Arial" w:hAnsi="Arial" w:cs="Arial"/>
          <w:color w:val="7B7B7B" w:themeColor="accent3" w:themeShade="BF"/>
          <w:sz w:val="22"/>
          <w:szCs w:val="22"/>
          <w:lang w:val="en-GB"/>
        </w:rPr>
        <w:t xml:space="preserve"> (5) </w:t>
      </w:r>
      <w:r w:rsidR="004E348D" w:rsidRPr="004E348D">
        <w:rPr>
          <w:rFonts w:ascii="Arial" w:hAnsi="Arial" w:cs="Arial"/>
          <w:color w:val="7B7B7B" w:themeColor="accent3" w:themeShade="BF"/>
          <w:sz w:val="22"/>
          <w:szCs w:val="22"/>
        </w:rPr>
        <w:t>any necessary disbursements by the liquidator</w:t>
      </w:r>
      <w:r w:rsidR="004E348D">
        <w:rPr>
          <w:rFonts w:ascii="Arial" w:hAnsi="Arial" w:cs="Arial"/>
          <w:color w:val="7B7B7B" w:themeColor="accent3" w:themeShade="BF"/>
          <w:sz w:val="22"/>
          <w:szCs w:val="22"/>
          <w:lang w:val="en-GB"/>
        </w:rPr>
        <w:t xml:space="preserve">; </w:t>
      </w:r>
      <w:r w:rsidR="004E348D" w:rsidRPr="004E348D">
        <w:rPr>
          <w:rFonts w:ascii="Arial" w:hAnsi="Arial" w:cs="Arial"/>
          <w:color w:val="7B7B7B" w:themeColor="accent3" w:themeShade="BF"/>
          <w:sz w:val="22"/>
          <w:szCs w:val="22"/>
        </w:rPr>
        <w:t xml:space="preserve"> </w:t>
      </w:r>
      <w:r w:rsidR="004E348D">
        <w:rPr>
          <w:rFonts w:ascii="Arial" w:hAnsi="Arial" w:cs="Arial"/>
          <w:color w:val="7B7B7B" w:themeColor="accent3" w:themeShade="BF"/>
          <w:sz w:val="22"/>
          <w:szCs w:val="22"/>
          <w:lang w:val="en-GB"/>
        </w:rPr>
        <w:t xml:space="preserve">(6) </w:t>
      </w:r>
      <w:r w:rsidR="004E348D" w:rsidRPr="004E348D">
        <w:rPr>
          <w:rFonts w:ascii="Arial" w:hAnsi="Arial" w:cs="Arial"/>
          <w:color w:val="7B7B7B" w:themeColor="accent3" w:themeShade="BF"/>
          <w:sz w:val="22"/>
          <w:szCs w:val="22"/>
        </w:rPr>
        <w:t xml:space="preserve">the remuneration </w:t>
      </w:r>
      <w:r w:rsidR="004E348D">
        <w:rPr>
          <w:rFonts w:ascii="Arial" w:hAnsi="Arial" w:cs="Arial"/>
          <w:color w:val="7B7B7B" w:themeColor="accent3" w:themeShade="BF"/>
          <w:sz w:val="22"/>
          <w:szCs w:val="22"/>
          <w:lang w:val="en-GB"/>
        </w:rPr>
        <w:t>of</w:t>
      </w:r>
      <w:r w:rsidR="004E348D" w:rsidRPr="004E348D">
        <w:rPr>
          <w:rFonts w:ascii="Arial" w:hAnsi="Arial" w:cs="Arial"/>
          <w:color w:val="7B7B7B" w:themeColor="accent3" w:themeShade="BF"/>
          <w:sz w:val="22"/>
          <w:szCs w:val="22"/>
        </w:rPr>
        <w:t xml:space="preserve"> any person who has been employed by the liquidator to perform any services for the company</w:t>
      </w:r>
      <w:r w:rsidR="004E348D">
        <w:rPr>
          <w:rFonts w:ascii="Arial" w:hAnsi="Arial" w:cs="Arial"/>
          <w:color w:val="7B7B7B" w:themeColor="accent3" w:themeShade="BF"/>
          <w:sz w:val="22"/>
          <w:szCs w:val="22"/>
          <w:lang w:val="en-GB"/>
        </w:rPr>
        <w:t xml:space="preserve">; </w:t>
      </w:r>
      <w:r w:rsidR="004E348D" w:rsidRPr="004E348D">
        <w:rPr>
          <w:rFonts w:ascii="Arial" w:hAnsi="Arial" w:cs="Arial"/>
          <w:color w:val="7B7B7B" w:themeColor="accent3" w:themeShade="BF"/>
          <w:sz w:val="22"/>
          <w:szCs w:val="22"/>
        </w:rPr>
        <w:t>(h)</w:t>
      </w:r>
      <w:r w:rsidR="004E348D">
        <w:rPr>
          <w:rFonts w:ascii="Arial" w:hAnsi="Arial" w:cs="Arial"/>
          <w:color w:val="7B7B7B" w:themeColor="accent3" w:themeShade="BF"/>
          <w:sz w:val="22"/>
          <w:szCs w:val="22"/>
          <w:lang w:val="en-GB"/>
        </w:rPr>
        <w:t xml:space="preserve"> </w:t>
      </w:r>
      <w:r w:rsidR="004E348D" w:rsidRPr="004E348D">
        <w:rPr>
          <w:rFonts w:ascii="Arial" w:hAnsi="Arial" w:cs="Arial"/>
          <w:color w:val="7B7B7B" w:themeColor="accent3" w:themeShade="BF"/>
          <w:sz w:val="22"/>
          <w:szCs w:val="22"/>
        </w:rPr>
        <w:t>the remuneration of the liquidator;</w:t>
      </w:r>
      <w:r w:rsidR="004E348D">
        <w:rPr>
          <w:rFonts w:ascii="Arial" w:hAnsi="Arial" w:cs="Arial"/>
          <w:color w:val="7B7B7B" w:themeColor="accent3" w:themeShade="BF"/>
          <w:sz w:val="22"/>
          <w:szCs w:val="22"/>
          <w:lang w:val="en-GB"/>
        </w:rPr>
        <w:t xml:space="preserve"> (8) </w:t>
      </w:r>
      <w:r w:rsidR="004E348D" w:rsidRPr="004E348D">
        <w:rPr>
          <w:rFonts w:ascii="Arial" w:hAnsi="Arial" w:cs="Arial"/>
          <w:color w:val="7B7B7B" w:themeColor="accent3" w:themeShade="BF"/>
          <w:sz w:val="22"/>
          <w:szCs w:val="22"/>
        </w:rPr>
        <w:t xml:space="preserve">the amount of any corporation tax on chargeable gains accruing on the </w:t>
      </w:r>
      <w:proofErr w:type="spellStart"/>
      <w:r w:rsidR="004E348D" w:rsidRPr="004E348D">
        <w:rPr>
          <w:rFonts w:ascii="Arial" w:hAnsi="Arial" w:cs="Arial"/>
          <w:color w:val="7B7B7B" w:themeColor="accent3" w:themeShade="BF"/>
          <w:sz w:val="22"/>
          <w:szCs w:val="22"/>
        </w:rPr>
        <w:t>realisation</w:t>
      </w:r>
      <w:proofErr w:type="spellEnd"/>
      <w:r w:rsidR="004E348D" w:rsidRPr="004E348D">
        <w:rPr>
          <w:rFonts w:ascii="Arial" w:hAnsi="Arial" w:cs="Arial"/>
          <w:color w:val="7B7B7B" w:themeColor="accent3" w:themeShade="BF"/>
          <w:sz w:val="22"/>
          <w:szCs w:val="22"/>
        </w:rPr>
        <w:t xml:space="preserve"> of any asset of the company (irrespective of the person by whom the </w:t>
      </w:r>
      <w:proofErr w:type="spellStart"/>
      <w:r w:rsidR="004E348D" w:rsidRPr="004E348D">
        <w:rPr>
          <w:rFonts w:ascii="Arial" w:hAnsi="Arial" w:cs="Arial"/>
          <w:color w:val="7B7B7B" w:themeColor="accent3" w:themeShade="BF"/>
          <w:sz w:val="22"/>
          <w:szCs w:val="22"/>
        </w:rPr>
        <w:t>realisation</w:t>
      </w:r>
      <w:proofErr w:type="spellEnd"/>
      <w:r w:rsidR="004E348D" w:rsidRPr="004E348D">
        <w:rPr>
          <w:rFonts w:ascii="Arial" w:hAnsi="Arial" w:cs="Arial"/>
          <w:color w:val="7B7B7B" w:themeColor="accent3" w:themeShade="BF"/>
          <w:sz w:val="22"/>
          <w:szCs w:val="22"/>
        </w:rPr>
        <w:t xml:space="preserve"> is effected);</w:t>
      </w:r>
      <w:r w:rsidR="004E348D">
        <w:rPr>
          <w:rFonts w:ascii="Arial" w:hAnsi="Arial" w:cs="Arial"/>
          <w:color w:val="7B7B7B" w:themeColor="accent3" w:themeShade="BF"/>
          <w:sz w:val="22"/>
          <w:szCs w:val="22"/>
          <w:lang w:val="en-GB"/>
        </w:rPr>
        <w:t xml:space="preserve"> (9) </w:t>
      </w:r>
      <w:r w:rsidR="004E348D" w:rsidRPr="004E348D">
        <w:rPr>
          <w:rFonts w:ascii="Arial" w:hAnsi="Arial" w:cs="Arial"/>
          <w:color w:val="7B7B7B" w:themeColor="accent3" w:themeShade="BF"/>
          <w:sz w:val="22"/>
          <w:szCs w:val="22"/>
        </w:rPr>
        <w:t>any other expenses properly chargeable by the liquidator in carrying out the liquidator’s functions in the winding up.</w:t>
      </w:r>
    </w:p>
    <w:p w14:paraId="547822D8" w14:textId="0ED81A13" w:rsidR="004E348D" w:rsidRDefault="00853217" w:rsidP="007E001D">
      <w:pPr>
        <w:ind w:firstLine="72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P</w:t>
      </w:r>
      <w:r w:rsidR="002F04CF">
        <w:rPr>
          <w:rFonts w:ascii="Arial" w:hAnsi="Arial" w:cs="Arial"/>
          <w:b/>
          <w:bCs/>
          <w:color w:val="7B7B7B" w:themeColor="accent3" w:themeShade="BF"/>
          <w:sz w:val="22"/>
          <w:szCs w:val="22"/>
          <w:lang w:val="en-GB"/>
        </w:rPr>
        <w:t xml:space="preserve">referential creditors </w:t>
      </w:r>
      <w:r w:rsidR="002F04CF">
        <w:rPr>
          <w:rFonts w:ascii="Arial" w:hAnsi="Arial" w:cs="Arial"/>
          <w:color w:val="7B7B7B" w:themeColor="accent3" w:themeShade="BF"/>
          <w:sz w:val="22"/>
          <w:szCs w:val="22"/>
          <w:lang w:val="en-GB"/>
        </w:rPr>
        <w:t xml:space="preserve">are next in line. These </w:t>
      </w:r>
      <w:r w:rsidR="0073555B">
        <w:rPr>
          <w:rFonts w:ascii="Arial" w:hAnsi="Arial" w:cs="Arial"/>
          <w:color w:val="7B7B7B" w:themeColor="accent3" w:themeShade="BF"/>
          <w:sz w:val="22"/>
          <w:szCs w:val="22"/>
          <w:lang w:val="en-GB"/>
        </w:rPr>
        <w:t xml:space="preserve">are codified in sections </w:t>
      </w:r>
      <w:hyperlink r:id="rId18" w:history="1">
        <w:r w:rsidR="0073555B" w:rsidRPr="008F19EA">
          <w:rPr>
            <w:rStyle w:val="Hyperlink"/>
            <w:rFonts w:ascii="Arial" w:hAnsi="Arial" w:cs="Arial"/>
            <w:sz w:val="22"/>
            <w:szCs w:val="22"/>
            <w:lang w:val="en-GB"/>
          </w:rPr>
          <w:t>386-387</w:t>
        </w:r>
      </w:hyperlink>
      <w:r w:rsidR="0073555B">
        <w:rPr>
          <w:rFonts w:ascii="Arial" w:hAnsi="Arial" w:cs="Arial"/>
          <w:color w:val="7B7B7B" w:themeColor="accent3" w:themeShade="BF"/>
          <w:sz w:val="22"/>
          <w:szCs w:val="22"/>
          <w:lang w:val="en-GB"/>
        </w:rPr>
        <w:t xml:space="preserve"> and </w:t>
      </w:r>
      <w:hyperlink r:id="rId19" w:history="1">
        <w:r w:rsidR="0073555B" w:rsidRPr="008F19EA">
          <w:rPr>
            <w:rStyle w:val="Hyperlink"/>
            <w:rFonts w:ascii="Arial" w:hAnsi="Arial" w:cs="Arial"/>
            <w:sz w:val="22"/>
            <w:szCs w:val="22"/>
            <w:lang w:val="en-GB"/>
          </w:rPr>
          <w:t>Schedule 6</w:t>
        </w:r>
      </w:hyperlink>
      <w:r w:rsidR="0073555B">
        <w:rPr>
          <w:rFonts w:ascii="Arial" w:hAnsi="Arial" w:cs="Arial"/>
          <w:color w:val="7B7B7B" w:themeColor="accent3" w:themeShade="BF"/>
          <w:sz w:val="22"/>
          <w:szCs w:val="22"/>
          <w:lang w:val="en-GB"/>
        </w:rPr>
        <w:t xml:space="preserve"> </w:t>
      </w:r>
      <w:r w:rsidR="001C32CE">
        <w:rPr>
          <w:rFonts w:ascii="Arial" w:hAnsi="Arial" w:cs="Arial"/>
          <w:color w:val="7B7B7B" w:themeColor="accent3" w:themeShade="BF"/>
          <w:sz w:val="22"/>
          <w:szCs w:val="22"/>
          <w:lang w:val="en-GB"/>
        </w:rPr>
        <w:t xml:space="preserve">“the categories of preferential debts” of the </w:t>
      </w:r>
      <w:r w:rsidR="0073555B">
        <w:rPr>
          <w:rFonts w:ascii="Arial" w:hAnsi="Arial" w:cs="Arial"/>
          <w:color w:val="7B7B7B" w:themeColor="accent3" w:themeShade="BF"/>
          <w:sz w:val="22"/>
          <w:szCs w:val="22"/>
          <w:lang w:val="en-GB"/>
        </w:rPr>
        <w:t xml:space="preserve">Insolvency Act (1986) and largely </w:t>
      </w:r>
      <w:r w:rsidR="002F04CF">
        <w:rPr>
          <w:rFonts w:ascii="Arial" w:hAnsi="Arial" w:cs="Arial"/>
          <w:color w:val="7B7B7B" w:themeColor="accent3" w:themeShade="BF"/>
          <w:sz w:val="22"/>
          <w:szCs w:val="22"/>
          <w:lang w:val="en-GB"/>
        </w:rPr>
        <w:t>include employees</w:t>
      </w:r>
      <w:r w:rsidR="0073555B">
        <w:rPr>
          <w:rFonts w:ascii="Arial" w:hAnsi="Arial" w:cs="Arial"/>
          <w:color w:val="7B7B7B" w:themeColor="accent3" w:themeShade="BF"/>
          <w:sz w:val="22"/>
          <w:szCs w:val="22"/>
          <w:lang w:val="en-GB"/>
        </w:rPr>
        <w:t>’</w:t>
      </w:r>
      <w:r w:rsidR="002F04CF">
        <w:rPr>
          <w:rFonts w:ascii="Arial" w:hAnsi="Arial" w:cs="Arial"/>
          <w:color w:val="7B7B7B" w:themeColor="accent3" w:themeShade="BF"/>
          <w:sz w:val="22"/>
          <w:szCs w:val="22"/>
          <w:lang w:val="en-GB"/>
        </w:rPr>
        <w:t xml:space="preserve"> </w:t>
      </w:r>
      <w:r w:rsidR="0073555B">
        <w:rPr>
          <w:rFonts w:ascii="Arial" w:hAnsi="Arial" w:cs="Arial"/>
          <w:color w:val="7B7B7B" w:themeColor="accent3" w:themeShade="BF"/>
          <w:sz w:val="22"/>
          <w:szCs w:val="22"/>
          <w:lang w:val="en-GB"/>
        </w:rPr>
        <w:t>remuneration</w:t>
      </w:r>
      <w:r w:rsidR="002F04CF">
        <w:rPr>
          <w:rFonts w:ascii="Arial" w:hAnsi="Arial" w:cs="Arial"/>
          <w:color w:val="7B7B7B" w:themeColor="accent3" w:themeShade="BF"/>
          <w:sz w:val="22"/>
          <w:szCs w:val="22"/>
          <w:lang w:val="en-GB"/>
        </w:rPr>
        <w:t xml:space="preserve"> or taxation debts owed to the Government</w:t>
      </w:r>
      <w:r w:rsidR="0073555B">
        <w:rPr>
          <w:rFonts w:ascii="Arial" w:hAnsi="Arial" w:cs="Arial"/>
          <w:color w:val="7B7B7B" w:themeColor="accent3" w:themeShade="BF"/>
          <w:sz w:val="22"/>
          <w:szCs w:val="22"/>
          <w:lang w:val="en-GB"/>
        </w:rPr>
        <w:t xml:space="preserve"> (ie the Crown). The employees also enjoy significant protection under the Employment Rights Act (1996). Outstanding tax provisions are largely dealt with in the Finance Act (2020).</w:t>
      </w:r>
      <w:r w:rsidR="00FA7698">
        <w:rPr>
          <w:rFonts w:ascii="Arial" w:hAnsi="Arial" w:cs="Arial"/>
          <w:color w:val="7B7B7B" w:themeColor="accent3" w:themeShade="BF"/>
          <w:sz w:val="22"/>
          <w:szCs w:val="22"/>
          <w:lang w:val="en-GB"/>
        </w:rPr>
        <w:t xml:space="preserve"> The preferential debts can be split into “</w:t>
      </w:r>
      <w:r w:rsidR="00FA7698" w:rsidRPr="008F19EA">
        <w:rPr>
          <w:rFonts w:ascii="Arial" w:hAnsi="Arial" w:cs="Arial"/>
          <w:b/>
          <w:bCs/>
          <w:color w:val="7B7B7B" w:themeColor="accent3" w:themeShade="BF"/>
          <w:sz w:val="22"/>
          <w:szCs w:val="22"/>
          <w:lang w:val="en-GB"/>
        </w:rPr>
        <w:t>ordinary</w:t>
      </w:r>
      <w:r w:rsidR="00FA7698">
        <w:rPr>
          <w:rFonts w:ascii="Arial" w:hAnsi="Arial" w:cs="Arial"/>
          <w:color w:val="7B7B7B" w:themeColor="accent3" w:themeShade="BF"/>
          <w:sz w:val="22"/>
          <w:szCs w:val="22"/>
          <w:lang w:val="en-GB"/>
        </w:rPr>
        <w:t>” (paragraphs 8-15 Schedule 6) and “</w:t>
      </w:r>
      <w:r w:rsidR="00FA7698" w:rsidRPr="008F19EA">
        <w:rPr>
          <w:rFonts w:ascii="Arial" w:hAnsi="Arial" w:cs="Arial"/>
          <w:b/>
          <w:bCs/>
          <w:color w:val="7B7B7B" w:themeColor="accent3" w:themeShade="BF"/>
          <w:sz w:val="22"/>
          <w:szCs w:val="22"/>
          <w:lang w:val="en-GB"/>
        </w:rPr>
        <w:t>secondary</w:t>
      </w:r>
      <w:r w:rsidR="00FA7698">
        <w:rPr>
          <w:rFonts w:ascii="Arial" w:hAnsi="Arial" w:cs="Arial"/>
          <w:color w:val="7B7B7B" w:themeColor="accent3" w:themeShade="BF"/>
          <w:sz w:val="22"/>
          <w:szCs w:val="22"/>
          <w:lang w:val="en-GB"/>
        </w:rPr>
        <w:t>” (</w:t>
      </w:r>
      <w:r w:rsidR="00BB1E45">
        <w:rPr>
          <w:rFonts w:ascii="Arial" w:hAnsi="Arial" w:cs="Arial"/>
          <w:color w:val="7B7B7B" w:themeColor="accent3" w:themeShade="BF"/>
          <w:sz w:val="22"/>
          <w:szCs w:val="22"/>
          <w:lang w:val="en-GB"/>
        </w:rPr>
        <w:t xml:space="preserve">eg </w:t>
      </w:r>
      <w:r w:rsidR="008F19EA">
        <w:rPr>
          <w:rFonts w:ascii="Arial" w:hAnsi="Arial" w:cs="Arial"/>
          <w:color w:val="7B7B7B" w:themeColor="accent3" w:themeShade="BF"/>
          <w:sz w:val="22"/>
          <w:szCs w:val="22"/>
          <w:lang w:val="en-GB"/>
        </w:rPr>
        <w:t xml:space="preserve">paragraphs </w:t>
      </w:r>
      <w:r w:rsidR="00FA7698">
        <w:rPr>
          <w:rFonts w:ascii="Arial" w:hAnsi="Arial" w:cs="Arial"/>
          <w:color w:val="7B7B7B" w:themeColor="accent3" w:themeShade="BF"/>
          <w:sz w:val="22"/>
          <w:szCs w:val="22"/>
          <w:lang w:val="en-GB"/>
        </w:rPr>
        <w:t>15BA</w:t>
      </w:r>
      <w:r w:rsidR="00BB1E45">
        <w:rPr>
          <w:rFonts w:ascii="Arial" w:hAnsi="Arial" w:cs="Arial"/>
          <w:color w:val="7B7B7B" w:themeColor="accent3" w:themeShade="BF"/>
          <w:sz w:val="22"/>
          <w:szCs w:val="22"/>
          <w:lang w:val="en-GB"/>
        </w:rPr>
        <w:t>-15BB</w:t>
      </w:r>
      <w:r w:rsidR="00FA7698">
        <w:rPr>
          <w:rFonts w:ascii="Arial" w:hAnsi="Arial" w:cs="Arial"/>
          <w:color w:val="7B7B7B" w:themeColor="accent3" w:themeShade="BF"/>
          <w:sz w:val="22"/>
          <w:szCs w:val="22"/>
          <w:lang w:val="en-GB"/>
        </w:rPr>
        <w:t xml:space="preserve"> Schedule 6) preferential debts.</w:t>
      </w:r>
      <w:r w:rsidR="001C32CE">
        <w:rPr>
          <w:rFonts w:ascii="Arial" w:hAnsi="Arial" w:cs="Arial"/>
          <w:color w:val="7B7B7B" w:themeColor="accent3" w:themeShade="BF"/>
          <w:sz w:val="22"/>
          <w:szCs w:val="22"/>
          <w:lang w:val="en-GB"/>
        </w:rPr>
        <w:t xml:space="preserve"> Ordinary preferential debts include, </w:t>
      </w:r>
      <w:r w:rsidR="001C32CE">
        <w:rPr>
          <w:rFonts w:ascii="Arial" w:hAnsi="Arial" w:cs="Arial"/>
          <w:i/>
          <w:iCs/>
          <w:color w:val="7B7B7B" w:themeColor="accent3" w:themeShade="BF"/>
          <w:sz w:val="22"/>
          <w:szCs w:val="22"/>
          <w:lang w:val="en-GB"/>
        </w:rPr>
        <w:t>inter alia</w:t>
      </w:r>
      <w:r w:rsidR="001C32CE">
        <w:rPr>
          <w:rFonts w:ascii="Arial" w:hAnsi="Arial" w:cs="Arial"/>
          <w:color w:val="7B7B7B" w:themeColor="accent3" w:themeShade="BF"/>
          <w:sz w:val="22"/>
          <w:szCs w:val="22"/>
          <w:lang w:val="en-GB"/>
        </w:rPr>
        <w:t xml:space="preserve">: (1) employees’ contributions to an occupational pension scheme; (2) accrued holiday remuneration; (3) </w:t>
      </w:r>
      <w:r w:rsidR="00BB1E45">
        <w:rPr>
          <w:rFonts w:ascii="Arial" w:hAnsi="Arial" w:cs="Arial"/>
          <w:color w:val="7B7B7B" w:themeColor="accent3" w:themeShade="BF"/>
          <w:sz w:val="22"/>
          <w:szCs w:val="22"/>
          <w:lang w:val="en-GB"/>
        </w:rPr>
        <w:t>levies on the production of coal and steel etc… Secondary preferential debts include PAYE income tax deductions, student loan repayments, VAT payments etc…</w:t>
      </w:r>
    </w:p>
    <w:p w14:paraId="7BCDD685" w14:textId="028912A5" w:rsidR="00B521F4" w:rsidRPr="00B521F4" w:rsidRDefault="00F04252" w:rsidP="00B521F4">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002F04CF">
        <w:rPr>
          <w:rFonts w:ascii="Arial" w:hAnsi="Arial" w:cs="Arial"/>
          <w:color w:val="7B7B7B" w:themeColor="accent3" w:themeShade="BF"/>
          <w:sz w:val="22"/>
          <w:szCs w:val="22"/>
          <w:lang w:val="en-GB"/>
        </w:rPr>
        <w:t xml:space="preserve">olders of </w:t>
      </w:r>
      <w:r w:rsidR="002F04CF">
        <w:rPr>
          <w:rFonts w:ascii="Arial" w:hAnsi="Arial" w:cs="Arial"/>
          <w:b/>
          <w:bCs/>
          <w:color w:val="7B7B7B" w:themeColor="accent3" w:themeShade="BF"/>
          <w:sz w:val="22"/>
          <w:szCs w:val="22"/>
          <w:lang w:val="en-GB"/>
        </w:rPr>
        <w:t xml:space="preserve">floating charges </w:t>
      </w:r>
      <w:r w:rsidR="008F19EA">
        <w:rPr>
          <w:rFonts w:ascii="Arial" w:hAnsi="Arial" w:cs="Arial"/>
          <w:color w:val="7B7B7B" w:themeColor="accent3" w:themeShade="BF"/>
          <w:sz w:val="22"/>
          <w:szCs w:val="22"/>
          <w:lang w:val="en-GB"/>
        </w:rPr>
        <w:t xml:space="preserve">are next to </w:t>
      </w:r>
      <w:r w:rsidR="002F04CF">
        <w:rPr>
          <w:rFonts w:ascii="Arial" w:hAnsi="Arial" w:cs="Arial"/>
          <w:color w:val="7B7B7B" w:themeColor="accent3" w:themeShade="BF"/>
          <w:sz w:val="22"/>
          <w:szCs w:val="22"/>
          <w:lang w:val="en-GB"/>
        </w:rPr>
        <w:t>receive their payment. These are secured creditors who’s security “floats” above a class of assets which can be dealt with by the debtor in the normal course of business without the need for the creditor’s consent</w:t>
      </w:r>
      <w:r w:rsidR="009D02A6">
        <w:rPr>
          <w:rFonts w:ascii="Arial" w:hAnsi="Arial" w:cs="Arial"/>
          <w:color w:val="7B7B7B" w:themeColor="accent3" w:themeShade="BF"/>
          <w:sz w:val="22"/>
          <w:szCs w:val="22"/>
          <w:lang w:val="en-GB"/>
        </w:rPr>
        <w:t>.</w:t>
      </w:r>
      <w:r w:rsidR="00D626C1">
        <w:rPr>
          <w:rFonts w:ascii="Arial" w:hAnsi="Arial" w:cs="Arial"/>
          <w:color w:val="7B7B7B" w:themeColor="accent3" w:themeShade="BF"/>
          <w:sz w:val="22"/>
          <w:szCs w:val="22"/>
          <w:lang w:val="en-GB"/>
        </w:rPr>
        <w:t xml:space="preserve"> They are floating because </w:t>
      </w:r>
      <w:r>
        <w:rPr>
          <w:rFonts w:ascii="Arial" w:hAnsi="Arial" w:cs="Arial"/>
          <w:color w:val="7B7B7B" w:themeColor="accent3" w:themeShade="BF"/>
          <w:sz w:val="22"/>
          <w:szCs w:val="22"/>
          <w:lang w:val="en-GB"/>
        </w:rPr>
        <w:t>they are</w:t>
      </w:r>
      <w:r w:rsidR="00D626C1">
        <w:rPr>
          <w:rFonts w:ascii="Arial" w:hAnsi="Arial" w:cs="Arial"/>
          <w:color w:val="7B7B7B" w:themeColor="accent3" w:themeShade="BF"/>
          <w:sz w:val="22"/>
          <w:szCs w:val="22"/>
          <w:lang w:val="en-GB"/>
        </w:rPr>
        <w:t xml:space="preserve"> </w:t>
      </w:r>
      <w:r w:rsidR="00D626C1" w:rsidRPr="00D626C1">
        <w:rPr>
          <w:rFonts w:ascii="Arial" w:hAnsi="Arial" w:cs="Arial"/>
          <w:color w:val="7B7B7B" w:themeColor="accent3" w:themeShade="BF"/>
          <w:sz w:val="22"/>
          <w:szCs w:val="22"/>
        </w:rPr>
        <w:t xml:space="preserve">created over ascertained and definite property, </w:t>
      </w:r>
      <w:r w:rsidR="00D626C1">
        <w:rPr>
          <w:rFonts w:ascii="Arial" w:hAnsi="Arial" w:cs="Arial"/>
          <w:color w:val="7B7B7B" w:themeColor="accent3" w:themeShade="BF"/>
          <w:sz w:val="22"/>
          <w:szCs w:val="22"/>
        </w:rPr>
        <w:t>which has a shifting nature in value and quantity. Examples include receivables and stock</w:t>
      </w:r>
      <w:r w:rsidR="00D626C1" w:rsidRPr="00D626C1">
        <w:rPr>
          <w:rFonts w:ascii="Arial" w:hAnsi="Arial" w:cs="Arial"/>
          <w:color w:val="7B7B7B" w:themeColor="accent3" w:themeShade="BF"/>
          <w:sz w:val="22"/>
          <w:szCs w:val="22"/>
        </w:rPr>
        <w:t>.</w:t>
      </w:r>
      <w:r w:rsidR="005F363E">
        <w:rPr>
          <w:rFonts w:ascii="Arial" w:hAnsi="Arial" w:cs="Arial"/>
          <w:color w:val="7B7B7B" w:themeColor="accent3" w:themeShade="BF"/>
          <w:sz w:val="22"/>
          <w:szCs w:val="22"/>
          <w:lang w:val="en-GB"/>
        </w:rPr>
        <w:t xml:space="preserve"> The priority within this category is based on the date of creation. </w:t>
      </w:r>
      <w:r w:rsidR="00AB1A3C">
        <w:rPr>
          <w:rFonts w:ascii="Arial" w:hAnsi="Arial" w:cs="Arial"/>
          <w:color w:val="7B7B7B" w:themeColor="accent3" w:themeShade="BF"/>
          <w:sz w:val="22"/>
          <w:szCs w:val="22"/>
          <w:lang w:val="en-GB"/>
        </w:rPr>
        <w:t>T</w:t>
      </w:r>
      <w:r w:rsidR="005F363E">
        <w:rPr>
          <w:rFonts w:ascii="Arial" w:hAnsi="Arial" w:cs="Arial"/>
          <w:color w:val="7B7B7B" w:themeColor="accent3" w:themeShade="BF"/>
          <w:sz w:val="22"/>
          <w:szCs w:val="22"/>
          <w:lang w:val="en-GB"/>
        </w:rPr>
        <w:t xml:space="preserve">he charge </w:t>
      </w:r>
      <w:r w:rsidR="00AB1A3C">
        <w:rPr>
          <w:rFonts w:ascii="Arial" w:hAnsi="Arial" w:cs="Arial"/>
          <w:color w:val="7B7B7B" w:themeColor="accent3" w:themeShade="BF"/>
          <w:sz w:val="22"/>
          <w:szCs w:val="22"/>
          <w:lang w:val="en-GB"/>
        </w:rPr>
        <w:t xml:space="preserve">that </w:t>
      </w:r>
      <w:r w:rsidR="005F363E">
        <w:rPr>
          <w:rFonts w:ascii="Arial" w:hAnsi="Arial" w:cs="Arial"/>
          <w:color w:val="7B7B7B" w:themeColor="accent3" w:themeShade="BF"/>
          <w:sz w:val="22"/>
          <w:szCs w:val="22"/>
          <w:lang w:val="en-GB"/>
        </w:rPr>
        <w:t xml:space="preserve">was created first, will be </w:t>
      </w:r>
      <w:r w:rsidR="005F363E" w:rsidRPr="00D626C1">
        <w:rPr>
          <w:rFonts w:ascii="Arial" w:hAnsi="Arial" w:cs="Arial"/>
          <w:color w:val="7B7B7B" w:themeColor="accent3" w:themeShade="BF"/>
          <w:sz w:val="22"/>
          <w:szCs w:val="22"/>
          <w:lang w:val="en-GB"/>
        </w:rPr>
        <w:t>repaid first.</w:t>
      </w:r>
      <w:r w:rsidR="007C06F0" w:rsidRPr="00D626C1">
        <w:rPr>
          <w:rFonts w:ascii="Arial" w:hAnsi="Arial" w:cs="Arial"/>
          <w:color w:val="7B7B7B" w:themeColor="accent3" w:themeShade="BF"/>
          <w:sz w:val="22"/>
          <w:szCs w:val="22"/>
          <w:lang w:val="en-GB"/>
        </w:rPr>
        <w:t xml:space="preserve"> </w:t>
      </w:r>
      <w:r w:rsidR="00B521F4">
        <w:rPr>
          <w:rFonts w:ascii="Arial" w:hAnsi="Arial" w:cs="Arial"/>
          <w:color w:val="7B7B7B" w:themeColor="accent3" w:themeShade="BF"/>
          <w:sz w:val="22"/>
          <w:szCs w:val="22"/>
          <w:lang w:val="en-GB"/>
        </w:rPr>
        <w:t>It is important note that the liquidator is obliged to allocate a “</w:t>
      </w:r>
      <w:r w:rsidR="00B521F4">
        <w:rPr>
          <w:rFonts w:ascii="Arial" w:hAnsi="Arial" w:cs="Arial"/>
          <w:b/>
          <w:bCs/>
          <w:color w:val="7B7B7B" w:themeColor="accent3" w:themeShade="BF"/>
          <w:sz w:val="22"/>
          <w:szCs w:val="22"/>
          <w:lang w:val="en-GB"/>
        </w:rPr>
        <w:t>prescribed part</w:t>
      </w:r>
      <w:r w:rsidR="00B521F4">
        <w:rPr>
          <w:rFonts w:ascii="Arial" w:hAnsi="Arial" w:cs="Arial"/>
          <w:color w:val="7B7B7B" w:themeColor="accent3" w:themeShade="BF"/>
          <w:sz w:val="22"/>
          <w:szCs w:val="22"/>
          <w:lang w:val="en-GB"/>
        </w:rPr>
        <w:t>” of the company’s net property to unsecured creditors, before satisfying the claims of the floating charge holders. The calculations and allocation depend on the sum of the net property. If the sum is below a certain threshold (ie BP 10.000), the liquidator may make an exception if s/he considers a distribution to the unsecured creditors to be disproportionate to the benefits.</w:t>
      </w:r>
    </w:p>
    <w:p w14:paraId="6F8D666E" w14:textId="320B02FE" w:rsidR="009D02A6" w:rsidRDefault="009D02A6" w:rsidP="007E001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w:t>
      </w:r>
      <w:r>
        <w:rPr>
          <w:rFonts w:ascii="Arial" w:hAnsi="Arial" w:cs="Arial"/>
          <w:b/>
          <w:bCs/>
          <w:color w:val="7B7B7B" w:themeColor="accent3" w:themeShade="BF"/>
          <w:sz w:val="22"/>
          <w:szCs w:val="22"/>
          <w:lang w:val="en-GB"/>
        </w:rPr>
        <w:t xml:space="preserve">unsecured creditors </w:t>
      </w:r>
      <w:r>
        <w:rPr>
          <w:rFonts w:ascii="Arial" w:hAnsi="Arial" w:cs="Arial"/>
          <w:color w:val="7B7B7B" w:themeColor="accent3" w:themeShade="BF"/>
          <w:sz w:val="22"/>
          <w:szCs w:val="22"/>
          <w:lang w:val="en-GB"/>
        </w:rPr>
        <w:t>ie creditors without any form of security or title to assets are paid</w:t>
      </w:r>
      <w:r w:rsidR="007C06F0">
        <w:rPr>
          <w:rFonts w:ascii="Arial" w:hAnsi="Arial" w:cs="Arial"/>
          <w:color w:val="7B7B7B" w:themeColor="accent3" w:themeShade="BF"/>
          <w:sz w:val="22"/>
          <w:szCs w:val="22"/>
          <w:lang w:val="en-GB"/>
        </w:rPr>
        <w:t xml:space="preserve"> out last</w:t>
      </w:r>
      <w:r>
        <w:rPr>
          <w:rFonts w:ascii="Arial" w:hAnsi="Arial" w:cs="Arial"/>
          <w:color w:val="7B7B7B" w:themeColor="accent3" w:themeShade="BF"/>
          <w:sz w:val="22"/>
          <w:szCs w:val="22"/>
          <w:lang w:val="en-GB"/>
        </w:rPr>
        <w:t>. Examples could include ordinary trade suppliers and taxation liabilities that are excluded from the preferential category.</w:t>
      </w:r>
    </w:p>
    <w:p w14:paraId="50FCBFEB" w14:textId="0A0A28EB" w:rsidR="009D02A6" w:rsidRDefault="009D02A6" w:rsidP="007E001D">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any </w:t>
      </w:r>
      <w:r>
        <w:rPr>
          <w:rFonts w:ascii="Arial" w:hAnsi="Arial" w:cs="Arial"/>
          <w:b/>
          <w:bCs/>
          <w:color w:val="7B7B7B" w:themeColor="accent3" w:themeShade="BF"/>
          <w:sz w:val="22"/>
          <w:szCs w:val="22"/>
          <w:lang w:val="en-GB"/>
        </w:rPr>
        <w:t xml:space="preserve">surplus </w:t>
      </w:r>
      <w:r>
        <w:rPr>
          <w:rFonts w:ascii="Arial" w:hAnsi="Arial" w:cs="Arial"/>
          <w:color w:val="7B7B7B" w:themeColor="accent3" w:themeShade="BF"/>
          <w:sz w:val="22"/>
          <w:szCs w:val="22"/>
          <w:lang w:val="en-GB"/>
        </w:rPr>
        <w:t>remains, it will be returned to the members</w:t>
      </w:r>
      <w:r w:rsidR="00E85A25">
        <w:rPr>
          <w:rFonts w:ascii="Arial" w:hAnsi="Arial" w:cs="Arial"/>
          <w:color w:val="7B7B7B" w:themeColor="accent3" w:themeShade="BF"/>
          <w:sz w:val="22"/>
          <w:szCs w:val="22"/>
          <w:lang w:val="en-GB"/>
        </w:rPr>
        <w:t xml:space="preserve"> and shareholders </w:t>
      </w:r>
      <w:r>
        <w:rPr>
          <w:rFonts w:ascii="Arial" w:hAnsi="Arial" w:cs="Arial"/>
          <w:color w:val="7B7B7B" w:themeColor="accent3" w:themeShade="BF"/>
          <w:sz w:val="22"/>
          <w:szCs w:val="22"/>
          <w:lang w:val="en-GB"/>
        </w:rPr>
        <w:t>according to their rights under the company’s Articles of Association</w:t>
      </w:r>
      <w:r w:rsidR="00E85A25">
        <w:rPr>
          <w:rFonts w:ascii="Arial" w:hAnsi="Arial" w:cs="Arial"/>
          <w:color w:val="7B7B7B" w:themeColor="accent3" w:themeShade="BF"/>
          <w:sz w:val="22"/>
          <w:szCs w:val="22"/>
          <w:lang w:val="en-GB"/>
        </w:rPr>
        <w:t xml:space="preserve"> (which normally distributes the sum on a </w:t>
      </w:r>
      <w:r w:rsidR="00E85A25">
        <w:rPr>
          <w:rFonts w:ascii="Arial" w:hAnsi="Arial" w:cs="Arial"/>
          <w:i/>
          <w:iCs/>
          <w:color w:val="7B7B7B" w:themeColor="accent3" w:themeShade="BF"/>
          <w:sz w:val="22"/>
          <w:szCs w:val="22"/>
          <w:lang w:val="en-GB"/>
        </w:rPr>
        <w:t xml:space="preserve">pro rata </w:t>
      </w:r>
      <w:r w:rsidR="00E85A25">
        <w:rPr>
          <w:rFonts w:ascii="Arial" w:hAnsi="Arial" w:cs="Arial"/>
          <w:color w:val="7B7B7B" w:themeColor="accent3" w:themeShade="BF"/>
          <w:sz w:val="22"/>
          <w:szCs w:val="22"/>
          <w:lang w:val="en-GB"/>
        </w:rPr>
        <w:t>basis)</w:t>
      </w:r>
      <w:r>
        <w:rPr>
          <w:rFonts w:ascii="Arial" w:hAnsi="Arial" w:cs="Arial"/>
          <w:color w:val="7B7B7B" w:themeColor="accent3" w:themeShade="BF"/>
          <w:sz w:val="22"/>
          <w:szCs w:val="22"/>
          <w:lang w:val="en-GB"/>
        </w:rPr>
        <w:t>.</w:t>
      </w:r>
    </w:p>
    <w:p w14:paraId="4D2A9625" w14:textId="77777777" w:rsidR="004A0BC5" w:rsidRDefault="004A0BC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61081683" w:rsidR="007E2919" w:rsidRDefault="007E2919" w:rsidP="007E2919">
      <w:pPr>
        <w:rPr>
          <w:rFonts w:ascii="Arial" w:hAnsi="Arial" w:cs="Arial"/>
          <w:b/>
          <w:sz w:val="24"/>
        </w:rPr>
      </w:pPr>
    </w:p>
    <w:p w14:paraId="0794B0CA" w14:textId="18E29177" w:rsidR="00712E31" w:rsidRPr="00990B05" w:rsidRDefault="008B2E10" w:rsidP="00712E31">
      <w:pPr>
        <w:ind w:firstLine="72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w:t>
      </w:r>
      <w:r w:rsidR="00712E31">
        <w:rPr>
          <w:rFonts w:ascii="Arial" w:hAnsi="Arial" w:cs="Arial"/>
          <w:color w:val="7B7B7B" w:themeColor="accent3" w:themeShade="BF"/>
          <w:sz w:val="22"/>
          <w:szCs w:val="22"/>
          <w:lang w:val="en-GB"/>
        </w:rPr>
        <w:t xml:space="preserve">received a debenture which includes a floating charge on the whole of the undertaking of the </w:t>
      </w:r>
      <w:proofErr w:type="spellStart"/>
      <w:r w:rsidR="00712E31">
        <w:rPr>
          <w:rFonts w:ascii="Arial" w:hAnsi="Arial" w:cs="Arial"/>
          <w:color w:val="7B7B7B" w:themeColor="accent3" w:themeShade="BF"/>
          <w:sz w:val="22"/>
          <w:szCs w:val="22"/>
          <w:lang w:val="en-GB"/>
        </w:rPr>
        <w:t>Corfee</w:t>
      </w:r>
      <w:proofErr w:type="spellEnd"/>
      <w:r w:rsidR="00712E31">
        <w:rPr>
          <w:rFonts w:ascii="Arial" w:hAnsi="Arial" w:cs="Arial"/>
          <w:color w:val="7B7B7B" w:themeColor="accent3" w:themeShade="BF"/>
          <w:sz w:val="22"/>
          <w:szCs w:val="22"/>
          <w:lang w:val="en-GB"/>
        </w:rPr>
        <w:t xml:space="preserve"> Zero Limited company. This debenture was given on February 2021. The company enters into a compulsory liquidation procedure in December 2021</w:t>
      </w:r>
      <w:r w:rsidR="00990B05">
        <w:rPr>
          <w:rFonts w:ascii="Arial" w:hAnsi="Arial" w:cs="Arial"/>
          <w:color w:val="7B7B7B" w:themeColor="accent3" w:themeShade="BF"/>
          <w:sz w:val="22"/>
          <w:szCs w:val="22"/>
          <w:lang w:val="en-GB"/>
        </w:rPr>
        <w:t xml:space="preserve"> by the court’s winding up order. However, according to </w:t>
      </w:r>
      <w:r w:rsidR="00990B05">
        <w:rPr>
          <w:rFonts w:ascii="Arial" w:hAnsi="Arial" w:cs="Arial"/>
          <w:b/>
          <w:bCs/>
          <w:color w:val="7B7B7B" w:themeColor="accent3" w:themeShade="BF"/>
          <w:sz w:val="22"/>
          <w:szCs w:val="22"/>
          <w:lang w:val="en-GB"/>
        </w:rPr>
        <w:t xml:space="preserve">section </w:t>
      </w:r>
      <w:hyperlink r:id="rId20" w:anchor=":~:text=In%20any%20other%20case%2C%20the%20winding%20up%20of%20a%20company%20by%20the%20court%20is%20deemed%20to%20commence%20at%20the%20time%20of%20the%20presentation%20of%20the%20petition%20for%20winding%20up" w:history="1">
        <w:r w:rsidR="00990B05" w:rsidRPr="00990B05">
          <w:rPr>
            <w:rStyle w:val="Hyperlink"/>
            <w:rFonts w:ascii="Arial" w:hAnsi="Arial" w:cs="Arial"/>
            <w:b/>
            <w:bCs/>
            <w:sz w:val="22"/>
            <w:szCs w:val="22"/>
            <w:lang w:val="en-GB"/>
          </w:rPr>
          <w:t>129(2)</w:t>
        </w:r>
      </w:hyperlink>
      <w:r w:rsidR="00990B05">
        <w:rPr>
          <w:rFonts w:ascii="Arial" w:hAnsi="Arial" w:cs="Arial"/>
          <w:b/>
          <w:bCs/>
          <w:color w:val="7B7B7B" w:themeColor="accent3" w:themeShade="BF"/>
          <w:sz w:val="22"/>
          <w:szCs w:val="22"/>
          <w:lang w:val="en-GB"/>
        </w:rPr>
        <w:t xml:space="preserve"> </w:t>
      </w:r>
      <w:r w:rsidR="00990B05" w:rsidRPr="00990B05">
        <w:rPr>
          <w:rFonts w:ascii="Arial" w:hAnsi="Arial" w:cs="Arial"/>
          <w:color w:val="7B7B7B" w:themeColor="accent3" w:themeShade="BF"/>
          <w:sz w:val="22"/>
          <w:szCs w:val="22"/>
          <w:lang w:val="en-GB"/>
        </w:rPr>
        <w:t>of the Insolvency Act (1986),</w:t>
      </w:r>
      <w:r w:rsidR="00990B05">
        <w:rPr>
          <w:rFonts w:ascii="Arial" w:hAnsi="Arial" w:cs="Arial"/>
          <w:b/>
          <w:bCs/>
          <w:color w:val="7B7B7B" w:themeColor="accent3" w:themeShade="BF"/>
          <w:sz w:val="22"/>
          <w:szCs w:val="22"/>
          <w:lang w:val="en-GB"/>
        </w:rPr>
        <w:t xml:space="preserve"> </w:t>
      </w:r>
      <w:r w:rsidR="00990B05">
        <w:rPr>
          <w:rFonts w:ascii="Arial" w:hAnsi="Arial" w:cs="Arial"/>
          <w:color w:val="7B7B7B" w:themeColor="accent3" w:themeShade="BF"/>
          <w:sz w:val="22"/>
          <w:szCs w:val="22"/>
          <w:lang w:val="en-GB"/>
        </w:rPr>
        <w:t xml:space="preserve">the liquidation is deemed to have commenced </w:t>
      </w:r>
      <w:r w:rsidR="00990B05" w:rsidRPr="00990B05">
        <w:rPr>
          <w:rFonts w:ascii="Arial" w:hAnsi="Arial" w:cs="Arial"/>
          <w:b/>
          <w:bCs/>
          <w:color w:val="7B7B7B" w:themeColor="accent3" w:themeShade="BF"/>
          <w:sz w:val="22"/>
          <w:szCs w:val="22"/>
          <w:lang w:val="en-GB"/>
        </w:rPr>
        <w:t>at the date of the petition</w:t>
      </w:r>
      <w:r w:rsidR="00990B05">
        <w:rPr>
          <w:rFonts w:ascii="Arial" w:hAnsi="Arial" w:cs="Arial"/>
          <w:color w:val="7B7B7B" w:themeColor="accent3" w:themeShade="BF"/>
          <w:sz w:val="22"/>
          <w:szCs w:val="22"/>
          <w:lang w:val="en-GB"/>
        </w:rPr>
        <w:t xml:space="preserve"> (and not the date of the winding up order). As such, the liquidation commenced on</w:t>
      </w:r>
      <w:r w:rsidR="00924AE6">
        <w:rPr>
          <w:rFonts w:ascii="Arial" w:hAnsi="Arial" w:cs="Arial"/>
          <w:color w:val="7B7B7B" w:themeColor="accent3" w:themeShade="BF"/>
          <w:sz w:val="22"/>
          <w:szCs w:val="22"/>
          <w:lang w:val="en-GB"/>
        </w:rPr>
        <w:t xml:space="preserve"> the day the creditors’ winding up petition was filed, ie on</w:t>
      </w:r>
      <w:r w:rsidR="00990B05">
        <w:rPr>
          <w:rFonts w:ascii="Arial" w:hAnsi="Arial" w:cs="Arial"/>
          <w:color w:val="7B7B7B" w:themeColor="accent3" w:themeShade="BF"/>
          <w:sz w:val="22"/>
          <w:szCs w:val="22"/>
          <w:lang w:val="en-GB"/>
        </w:rPr>
        <w:t xml:space="preserve"> </w:t>
      </w:r>
      <w:r w:rsidR="00990B05">
        <w:rPr>
          <w:rFonts w:ascii="Arial" w:hAnsi="Arial" w:cs="Arial"/>
          <w:b/>
          <w:bCs/>
          <w:color w:val="7B7B7B" w:themeColor="accent3" w:themeShade="BF"/>
          <w:sz w:val="22"/>
          <w:szCs w:val="22"/>
          <w:lang w:val="en-GB"/>
        </w:rPr>
        <w:t>2021, October 14</w:t>
      </w:r>
      <w:r w:rsidR="00990B05" w:rsidRPr="00990B05">
        <w:rPr>
          <w:rFonts w:ascii="Arial" w:hAnsi="Arial" w:cs="Arial"/>
          <w:b/>
          <w:bCs/>
          <w:color w:val="7B7B7B" w:themeColor="accent3" w:themeShade="BF"/>
          <w:sz w:val="22"/>
          <w:szCs w:val="22"/>
          <w:vertAlign w:val="superscript"/>
          <w:lang w:val="en-GB"/>
        </w:rPr>
        <w:t>th</w:t>
      </w:r>
      <w:r w:rsidR="00990B05">
        <w:rPr>
          <w:rFonts w:ascii="Arial" w:hAnsi="Arial" w:cs="Arial"/>
          <w:b/>
          <w:bCs/>
          <w:color w:val="7B7B7B" w:themeColor="accent3" w:themeShade="BF"/>
          <w:sz w:val="22"/>
          <w:szCs w:val="22"/>
          <w:lang w:val="en-GB"/>
        </w:rPr>
        <w:t>.</w:t>
      </w:r>
      <w:r w:rsidR="00990B05">
        <w:rPr>
          <w:rFonts w:ascii="Arial" w:hAnsi="Arial" w:cs="Arial"/>
          <w:color w:val="7B7B7B" w:themeColor="accent3" w:themeShade="BF"/>
          <w:sz w:val="22"/>
          <w:szCs w:val="22"/>
          <w:lang w:val="en-GB"/>
        </w:rPr>
        <w:t xml:space="preserve"> </w:t>
      </w:r>
    </w:p>
    <w:p w14:paraId="64C0CC29" w14:textId="431ABFC2" w:rsidR="00712E31" w:rsidRPr="008D65FC" w:rsidRDefault="004A0BC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8D65FC">
        <w:rPr>
          <w:rFonts w:ascii="Arial" w:hAnsi="Arial" w:cs="Arial"/>
          <w:color w:val="7B7B7B" w:themeColor="accent3" w:themeShade="BF"/>
          <w:sz w:val="22"/>
          <w:szCs w:val="22"/>
          <w:lang w:val="en-GB"/>
        </w:rPr>
        <w:t xml:space="preserve">The question is whether the liquidator may take any action against the floating charge given to the bank. </w:t>
      </w:r>
      <w:r w:rsidR="008D65FC">
        <w:rPr>
          <w:rFonts w:ascii="Arial" w:hAnsi="Arial" w:cs="Arial"/>
          <w:b/>
          <w:bCs/>
          <w:color w:val="7B7B7B" w:themeColor="accent3" w:themeShade="BF"/>
          <w:sz w:val="22"/>
          <w:szCs w:val="22"/>
          <w:lang w:val="en-GB"/>
        </w:rPr>
        <w:t xml:space="preserve">Section </w:t>
      </w:r>
      <w:hyperlink r:id="rId21" w:history="1">
        <w:r w:rsidR="008D65FC" w:rsidRPr="00054490">
          <w:rPr>
            <w:rStyle w:val="Hyperlink"/>
            <w:rFonts w:ascii="Arial" w:hAnsi="Arial" w:cs="Arial"/>
            <w:b/>
            <w:bCs/>
            <w:sz w:val="22"/>
            <w:szCs w:val="22"/>
            <w:lang w:val="en-GB"/>
          </w:rPr>
          <w:t>245</w:t>
        </w:r>
      </w:hyperlink>
      <w:r w:rsidR="008D65FC">
        <w:rPr>
          <w:rFonts w:ascii="Arial" w:hAnsi="Arial" w:cs="Arial"/>
          <w:b/>
          <w:bCs/>
          <w:color w:val="7B7B7B" w:themeColor="accent3" w:themeShade="BF"/>
          <w:sz w:val="22"/>
          <w:szCs w:val="22"/>
          <w:lang w:val="en-GB"/>
        </w:rPr>
        <w:t xml:space="preserve"> </w:t>
      </w:r>
      <w:r w:rsidR="008D65FC">
        <w:rPr>
          <w:rFonts w:ascii="Arial" w:hAnsi="Arial" w:cs="Arial"/>
          <w:color w:val="7B7B7B" w:themeColor="accent3" w:themeShade="BF"/>
          <w:sz w:val="22"/>
          <w:szCs w:val="22"/>
          <w:lang w:val="en-GB"/>
        </w:rPr>
        <w:t xml:space="preserve">of the Insolvency Act (1986) is the relevant provision as it aims to prevent </w:t>
      </w:r>
      <w:r w:rsidR="008D5296">
        <w:rPr>
          <w:rFonts w:ascii="Arial" w:hAnsi="Arial" w:cs="Arial"/>
          <w:color w:val="7B7B7B" w:themeColor="accent3" w:themeShade="BF"/>
          <w:sz w:val="22"/>
          <w:szCs w:val="22"/>
          <w:lang w:val="en-GB"/>
        </w:rPr>
        <w:t xml:space="preserve">the adjustment of prior transactions, more specifically, it </w:t>
      </w:r>
      <w:r w:rsidR="008D5296" w:rsidRPr="00E02579">
        <w:rPr>
          <w:rFonts w:ascii="Arial" w:hAnsi="Arial" w:cs="Arial"/>
          <w:b/>
          <w:bCs/>
          <w:color w:val="7B7B7B" w:themeColor="accent3" w:themeShade="BF"/>
          <w:sz w:val="22"/>
          <w:szCs w:val="22"/>
          <w:lang w:val="en-GB"/>
        </w:rPr>
        <w:t xml:space="preserve">prevents </w:t>
      </w:r>
      <w:r w:rsidR="008D65FC" w:rsidRPr="00E02579">
        <w:rPr>
          <w:rFonts w:ascii="Arial" w:hAnsi="Arial" w:cs="Arial"/>
          <w:b/>
          <w:bCs/>
          <w:color w:val="7B7B7B" w:themeColor="accent3" w:themeShade="BF"/>
          <w:sz w:val="22"/>
          <w:szCs w:val="22"/>
          <w:lang w:val="en-GB"/>
        </w:rPr>
        <w:t xml:space="preserve">pre-existing unsecured creditors from obtaining a security – </w:t>
      </w:r>
      <w:r w:rsidR="008D5296" w:rsidRPr="00E02579">
        <w:rPr>
          <w:rFonts w:ascii="Arial" w:hAnsi="Arial" w:cs="Arial"/>
          <w:b/>
          <w:bCs/>
          <w:color w:val="7B7B7B" w:themeColor="accent3" w:themeShade="BF"/>
          <w:sz w:val="22"/>
          <w:szCs w:val="22"/>
          <w:lang w:val="en-GB"/>
        </w:rPr>
        <w:t>in the form of a floating charge</w:t>
      </w:r>
      <w:r w:rsidR="008D5296">
        <w:rPr>
          <w:rFonts w:ascii="Arial" w:hAnsi="Arial" w:cs="Arial"/>
          <w:color w:val="7B7B7B" w:themeColor="accent3" w:themeShade="BF"/>
          <w:sz w:val="22"/>
          <w:szCs w:val="22"/>
          <w:lang w:val="en-GB"/>
        </w:rPr>
        <w:t xml:space="preserve"> – prior to the commencement of a formal insolvency procedure. </w:t>
      </w:r>
    </w:p>
    <w:p w14:paraId="3FF9285C" w14:textId="77777777" w:rsidR="00290773" w:rsidRDefault="008D5296" w:rsidP="00290773">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Important factors are the </w:t>
      </w:r>
      <w:r>
        <w:rPr>
          <w:rFonts w:ascii="Arial" w:hAnsi="Arial" w:cs="Arial"/>
          <w:b/>
          <w:bCs/>
          <w:color w:val="7B7B7B" w:themeColor="accent3" w:themeShade="BF"/>
          <w:sz w:val="22"/>
          <w:szCs w:val="22"/>
          <w:lang w:val="en-GB"/>
        </w:rPr>
        <w:t xml:space="preserve">connectivity </w:t>
      </w:r>
      <w:r>
        <w:rPr>
          <w:rFonts w:ascii="Arial" w:hAnsi="Arial" w:cs="Arial"/>
          <w:color w:val="7B7B7B" w:themeColor="accent3" w:themeShade="BF"/>
          <w:sz w:val="22"/>
          <w:szCs w:val="22"/>
          <w:lang w:val="en-GB"/>
        </w:rPr>
        <w:t xml:space="preserve">of the floating charge holder and the company, as well as the </w:t>
      </w:r>
      <w:r>
        <w:rPr>
          <w:rFonts w:ascii="Arial" w:hAnsi="Arial" w:cs="Arial"/>
          <w:b/>
          <w:bCs/>
          <w:color w:val="7B7B7B" w:themeColor="accent3" w:themeShade="BF"/>
          <w:sz w:val="22"/>
          <w:szCs w:val="22"/>
          <w:lang w:val="en-GB"/>
        </w:rPr>
        <w:t xml:space="preserve">time </w:t>
      </w:r>
      <w:r>
        <w:rPr>
          <w:rFonts w:ascii="Arial" w:hAnsi="Arial" w:cs="Arial"/>
          <w:color w:val="7B7B7B" w:themeColor="accent3" w:themeShade="BF"/>
          <w:sz w:val="22"/>
          <w:szCs w:val="22"/>
          <w:lang w:val="en-GB"/>
        </w:rPr>
        <w:t xml:space="preserve">of the creation of the security. </w:t>
      </w:r>
      <w:r w:rsidR="00290773">
        <w:rPr>
          <w:rFonts w:ascii="Arial" w:hAnsi="Arial" w:cs="Arial"/>
          <w:color w:val="7B7B7B" w:themeColor="accent3" w:themeShade="BF"/>
          <w:sz w:val="22"/>
          <w:szCs w:val="22"/>
          <w:lang w:val="en-GB"/>
        </w:rPr>
        <w:t xml:space="preserve">It can be derived from the facts above that the bank is not connected with the company. </w:t>
      </w:r>
    </w:p>
    <w:p w14:paraId="6D34692D" w14:textId="3C7A8208" w:rsidR="008D5296" w:rsidRDefault="00290773" w:rsidP="00290773">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Therefore, </w:t>
      </w:r>
      <w:r>
        <w:rPr>
          <w:rFonts w:ascii="Arial" w:hAnsi="Arial" w:cs="Arial"/>
          <w:b/>
          <w:bCs/>
          <w:color w:val="7B7B7B" w:themeColor="accent3" w:themeShade="BF"/>
          <w:sz w:val="22"/>
          <w:szCs w:val="22"/>
          <w:lang w:val="en-GB"/>
        </w:rPr>
        <w:t xml:space="preserve">section 245(4) </w:t>
      </w:r>
      <w:r>
        <w:rPr>
          <w:rFonts w:ascii="Arial" w:hAnsi="Arial" w:cs="Arial"/>
          <w:color w:val="7B7B7B" w:themeColor="accent3" w:themeShade="BF"/>
          <w:sz w:val="22"/>
          <w:szCs w:val="22"/>
          <w:lang w:val="en-GB"/>
        </w:rPr>
        <w:t>applies, which states that where</w:t>
      </w:r>
      <w:r w:rsidR="008D5296" w:rsidRPr="008D5296">
        <w:rPr>
          <w:rFonts w:ascii="Arial" w:hAnsi="Arial" w:cs="Arial"/>
          <w:color w:val="7B7B7B" w:themeColor="accent3" w:themeShade="BF"/>
          <w:sz w:val="22"/>
          <w:szCs w:val="22"/>
        </w:rPr>
        <w:t xml:space="preserve"> a company creates a floating charge </w:t>
      </w:r>
      <w:r>
        <w:rPr>
          <w:rFonts w:ascii="Arial" w:hAnsi="Arial" w:cs="Arial"/>
          <w:color w:val="7B7B7B" w:themeColor="accent3" w:themeShade="BF"/>
          <w:sz w:val="22"/>
          <w:szCs w:val="22"/>
          <w:lang w:val="en-GB"/>
        </w:rPr>
        <w:t xml:space="preserve">maximum </w:t>
      </w:r>
      <w:r w:rsidRPr="0061747D">
        <w:rPr>
          <w:rFonts w:ascii="Arial" w:hAnsi="Arial" w:cs="Arial"/>
          <w:b/>
          <w:bCs/>
          <w:color w:val="7B7B7B" w:themeColor="accent3" w:themeShade="BF"/>
          <w:sz w:val="22"/>
          <w:szCs w:val="22"/>
          <w:lang w:val="en-GB"/>
        </w:rPr>
        <w:t>12 months prior</w:t>
      </w:r>
      <w:r>
        <w:rPr>
          <w:rFonts w:ascii="Arial" w:hAnsi="Arial" w:cs="Arial"/>
          <w:color w:val="7B7B7B" w:themeColor="accent3" w:themeShade="BF"/>
          <w:sz w:val="22"/>
          <w:szCs w:val="22"/>
          <w:lang w:val="en-GB"/>
        </w:rPr>
        <w:t xml:space="preserve"> to the onset of insolvency it may be invalid on the condition that at that time, </w:t>
      </w:r>
      <w:r w:rsidR="00F04252">
        <w:rPr>
          <w:rFonts w:ascii="Arial" w:hAnsi="Arial" w:cs="Arial"/>
          <w:color w:val="7B7B7B" w:themeColor="accent3" w:themeShade="BF"/>
          <w:sz w:val="22"/>
          <w:szCs w:val="22"/>
          <w:lang w:val="en-GB"/>
        </w:rPr>
        <w:t xml:space="preserve">the company </w:t>
      </w:r>
      <w:r>
        <w:rPr>
          <w:rFonts w:ascii="Arial" w:hAnsi="Arial" w:cs="Arial"/>
          <w:color w:val="7B7B7B" w:themeColor="accent3" w:themeShade="BF"/>
          <w:sz w:val="22"/>
          <w:szCs w:val="22"/>
          <w:lang w:val="en-GB"/>
        </w:rPr>
        <w:t xml:space="preserve">was </w:t>
      </w:r>
      <w:r w:rsidR="008D5296" w:rsidRPr="008D5296">
        <w:rPr>
          <w:rFonts w:ascii="Arial" w:hAnsi="Arial" w:cs="Arial"/>
          <w:b/>
          <w:bCs/>
          <w:color w:val="7B7B7B" w:themeColor="accent3" w:themeShade="BF"/>
          <w:sz w:val="22"/>
          <w:szCs w:val="22"/>
        </w:rPr>
        <w:t>unable to pay its debts</w:t>
      </w:r>
      <w:r w:rsidR="008D5296" w:rsidRPr="008D5296">
        <w:rPr>
          <w:rFonts w:ascii="Arial" w:hAnsi="Arial" w:cs="Arial"/>
          <w:color w:val="7B7B7B" w:themeColor="accent3" w:themeShade="BF"/>
          <w:sz w:val="22"/>
          <w:szCs w:val="22"/>
        </w:rPr>
        <w:t xml:space="preserve"> within the meaning of section 123 </w:t>
      </w:r>
      <w:r>
        <w:rPr>
          <w:rFonts w:ascii="Arial" w:hAnsi="Arial" w:cs="Arial"/>
          <w:color w:val="7B7B7B" w:themeColor="accent3" w:themeShade="BF"/>
          <w:sz w:val="22"/>
          <w:szCs w:val="22"/>
          <w:lang w:val="en-GB"/>
        </w:rPr>
        <w:t xml:space="preserve">Insolvency Act or </w:t>
      </w:r>
      <w:r w:rsidR="008D5296" w:rsidRPr="008D5296">
        <w:rPr>
          <w:rFonts w:ascii="Arial" w:hAnsi="Arial" w:cs="Arial"/>
          <w:color w:val="7B7B7B" w:themeColor="accent3" w:themeShade="BF"/>
          <w:sz w:val="22"/>
          <w:szCs w:val="22"/>
        </w:rPr>
        <w:t>becomes unable to pay its debts in consequence of the transaction under which the charge is created.</w:t>
      </w:r>
    </w:p>
    <w:p w14:paraId="31F49078" w14:textId="4C02B945" w:rsidR="00290773" w:rsidRDefault="00290773" w:rsidP="00290773">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Applying this to the our case, the company created the floating charge </w:t>
      </w:r>
      <w:r w:rsidRPr="00290773">
        <w:rPr>
          <w:rFonts w:ascii="Arial" w:hAnsi="Arial" w:cs="Arial"/>
          <w:color w:val="7B7B7B" w:themeColor="accent3" w:themeShade="BF"/>
          <w:sz w:val="22"/>
          <w:szCs w:val="22"/>
        </w:rPr>
        <w:t xml:space="preserve">under pressure from </w:t>
      </w:r>
      <w:r>
        <w:rPr>
          <w:rFonts w:ascii="Arial" w:hAnsi="Arial" w:cs="Arial"/>
          <w:color w:val="7B7B7B" w:themeColor="accent3" w:themeShade="BF"/>
          <w:sz w:val="22"/>
          <w:szCs w:val="22"/>
        </w:rPr>
        <w:t xml:space="preserve">the </w:t>
      </w:r>
      <w:proofErr w:type="spellStart"/>
      <w:r w:rsidRPr="00290773">
        <w:rPr>
          <w:rFonts w:ascii="Arial" w:hAnsi="Arial" w:cs="Arial"/>
          <w:color w:val="7B7B7B" w:themeColor="accent3" w:themeShade="BF"/>
          <w:sz w:val="22"/>
          <w:szCs w:val="22"/>
        </w:rPr>
        <w:t>Stercus</w:t>
      </w:r>
      <w:proofErr w:type="spellEnd"/>
      <w:r w:rsidRPr="00290773">
        <w:rPr>
          <w:rFonts w:ascii="Arial" w:hAnsi="Arial" w:cs="Arial"/>
          <w:color w:val="7B7B7B" w:themeColor="accent3" w:themeShade="BF"/>
          <w:sz w:val="22"/>
          <w:szCs w:val="22"/>
        </w:rPr>
        <w:t xml:space="preserve"> Bank plc</w:t>
      </w:r>
      <w:r>
        <w:rPr>
          <w:rFonts w:ascii="Arial" w:hAnsi="Arial" w:cs="Arial"/>
          <w:color w:val="7B7B7B" w:themeColor="accent3" w:themeShade="BF"/>
          <w:sz w:val="22"/>
          <w:szCs w:val="22"/>
        </w:rPr>
        <w:t xml:space="preserve"> and</w:t>
      </w:r>
      <w:r w:rsidRPr="00290773">
        <w:rPr>
          <w:rFonts w:ascii="Arial" w:hAnsi="Arial" w:cs="Arial"/>
          <w:color w:val="7B7B7B" w:themeColor="accent3" w:themeShade="BF"/>
          <w:sz w:val="22"/>
          <w:szCs w:val="22"/>
        </w:rPr>
        <w:t xml:space="preserve"> in order to prevent </w:t>
      </w:r>
      <w:r w:rsidR="0089165F">
        <w:rPr>
          <w:rFonts w:ascii="Arial" w:hAnsi="Arial" w:cs="Arial"/>
          <w:color w:val="7B7B7B" w:themeColor="accent3" w:themeShade="BF"/>
          <w:sz w:val="22"/>
          <w:szCs w:val="22"/>
        </w:rPr>
        <w:t>the Bank</w:t>
      </w:r>
      <w:r w:rsidRPr="00290773">
        <w:rPr>
          <w:rFonts w:ascii="Arial" w:hAnsi="Arial" w:cs="Arial"/>
          <w:color w:val="7B7B7B" w:themeColor="accent3" w:themeShade="BF"/>
          <w:sz w:val="22"/>
          <w:szCs w:val="22"/>
        </w:rPr>
        <w:t xml:space="preserve"> from demanding repayment of the company’s loans</w:t>
      </w:r>
      <w:r>
        <w:rPr>
          <w:rFonts w:ascii="Arial" w:hAnsi="Arial" w:cs="Arial"/>
          <w:color w:val="7B7B7B" w:themeColor="accent3" w:themeShade="BF"/>
          <w:sz w:val="22"/>
          <w:szCs w:val="22"/>
        </w:rPr>
        <w:t>. This shows the financial difficulties</w:t>
      </w:r>
      <w:r w:rsidR="006F3ED9">
        <w:rPr>
          <w:rFonts w:ascii="Arial" w:hAnsi="Arial" w:cs="Arial"/>
          <w:color w:val="7B7B7B" w:themeColor="accent3" w:themeShade="BF"/>
          <w:sz w:val="22"/>
          <w:szCs w:val="22"/>
        </w:rPr>
        <w:t xml:space="preserve"> of</w:t>
      </w:r>
      <w:r>
        <w:rPr>
          <w:rFonts w:ascii="Arial" w:hAnsi="Arial" w:cs="Arial"/>
          <w:color w:val="7B7B7B" w:themeColor="accent3" w:themeShade="BF"/>
          <w:sz w:val="22"/>
          <w:szCs w:val="22"/>
        </w:rPr>
        <w:t xml:space="preserve"> the company </w:t>
      </w:r>
      <w:r w:rsidR="006F3ED9">
        <w:rPr>
          <w:rFonts w:ascii="Arial" w:hAnsi="Arial" w:cs="Arial"/>
          <w:color w:val="7B7B7B" w:themeColor="accent3" w:themeShade="BF"/>
          <w:sz w:val="22"/>
          <w:szCs w:val="22"/>
        </w:rPr>
        <w:t xml:space="preserve">which </w:t>
      </w:r>
      <w:r>
        <w:rPr>
          <w:rFonts w:ascii="Arial" w:hAnsi="Arial" w:cs="Arial"/>
          <w:color w:val="7B7B7B" w:themeColor="accent3" w:themeShade="BF"/>
          <w:sz w:val="22"/>
          <w:szCs w:val="22"/>
        </w:rPr>
        <w:t xml:space="preserve">was </w:t>
      </w:r>
      <w:r w:rsidR="0061747D">
        <w:rPr>
          <w:rFonts w:ascii="Arial" w:hAnsi="Arial" w:cs="Arial"/>
          <w:color w:val="7B7B7B" w:themeColor="accent3" w:themeShade="BF"/>
          <w:sz w:val="22"/>
          <w:szCs w:val="22"/>
        </w:rPr>
        <w:t>unable to pay its debts as they fell due</w:t>
      </w:r>
      <w:r w:rsidR="000B4FC7">
        <w:rPr>
          <w:rFonts w:ascii="Arial" w:hAnsi="Arial" w:cs="Arial"/>
          <w:color w:val="7B7B7B" w:themeColor="accent3" w:themeShade="BF"/>
          <w:sz w:val="22"/>
          <w:szCs w:val="22"/>
        </w:rPr>
        <w:t xml:space="preserve"> within the meaning of section 123</w:t>
      </w:r>
      <w:r w:rsidR="0061747D">
        <w:rPr>
          <w:rFonts w:ascii="Arial" w:hAnsi="Arial" w:cs="Arial"/>
          <w:color w:val="7B7B7B" w:themeColor="accent3" w:themeShade="BF"/>
          <w:sz w:val="22"/>
          <w:szCs w:val="22"/>
        </w:rPr>
        <w:t xml:space="preserve">. Moreover, the charge was created in February, just </w:t>
      </w:r>
      <w:r w:rsidR="0061747D" w:rsidRPr="006F3ED9">
        <w:rPr>
          <w:rFonts w:ascii="Arial" w:hAnsi="Arial" w:cs="Arial"/>
          <w:b/>
          <w:bCs/>
          <w:color w:val="7B7B7B" w:themeColor="accent3" w:themeShade="BF"/>
          <w:sz w:val="22"/>
          <w:szCs w:val="22"/>
        </w:rPr>
        <w:t>eight (8) months</w:t>
      </w:r>
      <w:r w:rsidR="0061747D">
        <w:rPr>
          <w:rFonts w:ascii="Arial" w:hAnsi="Arial" w:cs="Arial"/>
          <w:color w:val="7B7B7B" w:themeColor="accent3" w:themeShade="BF"/>
          <w:sz w:val="22"/>
          <w:szCs w:val="22"/>
        </w:rPr>
        <w:t xml:space="preserve"> prior to the commencement of the liquidation procedure.</w:t>
      </w:r>
    </w:p>
    <w:p w14:paraId="1AC3DA3C" w14:textId="235BB0B5" w:rsidR="0061747D" w:rsidRDefault="0061747D" w:rsidP="00290773">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 exceptions listed under section 245(2) of the Act applies </w:t>
      </w:r>
      <w:r>
        <w:rPr>
          <w:rFonts w:ascii="Arial" w:hAnsi="Arial" w:cs="Arial"/>
          <w:i/>
          <w:iCs/>
          <w:color w:val="7B7B7B" w:themeColor="accent3" w:themeShade="BF"/>
          <w:sz w:val="22"/>
          <w:szCs w:val="22"/>
        </w:rPr>
        <w:t xml:space="preserve">in </w:t>
      </w:r>
      <w:proofErr w:type="spellStart"/>
      <w:r>
        <w:rPr>
          <w:rFonts w:ascii="Arial" w:hAnsi="Arial" w:cs="Arial"/>
          <w:i/>
          <w:iCs/>
          <w:color w:val="7B7B7B" w:themeColor="accent3" w:themeShade="BF"/>
          <w:sz w:val="22"/>
          <w:szCs w:val="22"/>
        </w:rPr>
        <w:t>casu</w:t>
      </w:r>
      <w:proofErr w:type="spellEnd"/>
      <w:r>
        <w:rPr>
          <w:rFonts w:ascii="Arial" w:hAnsi="Arial" w:cs="Arial"/>
          <w:color w:val="7B7B7B" w:themeColor="accent3" w:themeShade="BF"/>
          <w:sz w:val="22"/>
          <w:szCs w:val="22"/>
        </w:rPr>
        <w:t xml:space="preserve"> as the Bank did not give (“new”) consideration in return for the charge.</w:t>
      </w:r>
    </w:p>
    <w:p w14:paraId="0A188A55" w14:textId="5FE27733" w:rsidR="00FF5098" w:rsidRPr="00FF5098" w:rsidRDefault="0061747D" w:rsidP="00D3689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Therefore, the liquidator </w:t>
      </w:r>
      <w:r w:rsidRPr="00D36897">
        <w:rPr>
          <w:rFonts w:ascii="Arial" w:hAnsi="Arial" w:cs="Arial"/>
          <w:b/>
          <w:bCs/>
          <w:color w:val="7B7B7B" w:themeColor="accent3" w:themeShade="BF"/>
          <w:sz w:val="22"/>
          <w:szCs w:val="22"/>
        </w:rPr>
        <w:t>may take action</w:t>
      </w:r>
      <w:r>
        <w:rPr>
          <w:rFonts w:ascii="Arial" w:hAnsi="Arial" w:cs="Arial"/>
          <w:color w:val="7B7B7B" w:themeColor="accent3" w:themeShade="BF"/>
          <w:sz w:val="22"/>
          <w:szCs w:val="22"/>
        </w:rPr>
        <w:t xml:space="preserve"> against the charge</w:t>
      </w:r>
      <w:r w:rsidR="006C09CF">
        <w:rPr>
          <w:rFonts w:ascii="Arial" w:hAnsi="Arial" w:cs="Arial"/>
          <w:color w:val="7B7B7B" w:themeColor="accent3" w:themeShade="BF"/>
          <w:sz w:val="22"/>
          <w:szCs w:val="22"/>
        </w:rPr>
        <w:t>.</w:t>
      </w:r>
      <w:r w:rsidR="00D36897">
        <w:rPr>
          <w:rFonts w:ascii="Arial" w:hAnsi="Arial" w:cs="Arial"/>
          <w:color w:val="7B7B7B" w:themeColor="accent3" w:themeShade="BF"/>
          <w:sz w:val="22"/>
          <w:szCs w:val="22"/>
        </w:rPr>
        <w:t xml:space="preserve"> As soon as a floating charge is caught by this provision, it is rendered invalid (whilst the underlying debt remains valid).</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C064AFC" w14:textId="6CC17B8C" w:rsidR="006F3ED9" w:rsidRDefault="006F3ED9" w:rsidP="00D659FB">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sold five (5) coffee roasting machines to a director</w:t>
      </w:r>
      <w:r w:rsidR="00D659F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659FB">
        <w:rPr>
          <w:rFonts w:ascii="Arial" w:hAnsi="Arial" w:cs="Arial"/>
          <w:color w:val="7B7B7B" w:themeColor="accent3" w:themeShade="BF"/>
          <w:sz w:val="22"/>
          <w:szCs w:val="22"/>
          <w:lang w:val="en-GB"/>
        </w:rPr>
        <w:t xml:space="preserve">Ann Young, </w:t>
      </w:r>
      <w:r>
        <w:rPr>
          <w:rFonts w:ascii="Arial" w:hAnsi="Arial" w:cs="Arial"/>
          <w:color w:val="7B7B7B" w:themeColor="accent3" w:themeShade="BF"/>
          <w:sz w:val="22"/>
          <w:szCs w:val="22"/>
          <w:lang w:val="en-GB"/>
        </w:rPr>
        <w:t xml:space="preserve">for BP10.000 </w:t>
      </w:r>
      <w:r w:rsidR="00D659FB">
        <w:rPr>
          <w:rFonts w:ascii="Arial" w:hAnsi="Arial" w:cs="Arial"/>
          <w:color w:val="7B7B7B" w:themeColor="accent3" w:themeShade="BF"/>
          <w:sz w:val="22"/>
          <w:szCs w:val="22"/>
          <w:lang w:val="en-GB"/>
        </w:rPr>
        <w:t>in July 2021 which were bought for BP25.000 the year before. The question is whether the liquidator may take action against this transaction.</w:t>
      </w:r>
    </w:p>
    <w:p w14:paraId="3FF3E73C" w14:textId="1945D7EB" w:rsidR="00E51AEF" w:rsidRDefault="00D659FB" w:rsidP="00D659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The relevant provision is </w:t>
      </w:r>
      <w:r>
        <w:rPr>
          <w:rFonts w:ascii="Arial" w:hAnsi="Arial" w:cs="Arial"/>
          <w:b/>
          <w:bCs/>
          <w:color w:val="7B7B7B" w:themeColor="accent3" w:themeShade="BF"/>
          <w:sz w:val="22"/>
          <w:szCs w:val="22"/>
          <w:lang w:val="en-GB"/>
        </w:rPr>
        <w:t xml:space="preserve">section </w:t>
      </w:r>
      <w:hyperlink r:id="rId22" w:history="1">
        <w:r w:rsidRPr="00054490">
          <w:rPr>
            <w:rStyle w:val="Hyperlink"/>
            <w:rFonts w:ascii="Arial" w:hAnsi="Arial" w:cs="Arial"/>
            <w:b/>
            <w:bCs/>
            <w:sz w:val="22"/>
            <w:szCs w:val="22"/>
            <w:lang w:val="en-GB"/>
          </w:rPr>
          <w:t>238</w:t>
        </w:r>
      </w:hyperlink>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of the Insolvency Act (1986) which concerns </w:t>
      </w:r>
      <w:r w:rsidRPr="00E02579">
        <w:rPr>
          <w:rFonts w:ascii="Arial" w:hAnsi="Arial" w:cs="Arial"/>
          <w:b/>
          <w:bCs/>
          <w:color w:val="7B7B7B" w:themeColor="accent3" w:themeShade="BF"/>
          <w:sz w:val="22"/>
          <w:szCs w:val="22"/>
          <w:lang w:val="en-GB"/>
        </w:rPr>
        <w:t>transactions at an undervalue</w:t>
      </w:r>
      <w:r>
        <w:rPr>
          <w:rFonts w:ascii="Arial" w:hAnsi="Arial" w:cs="Arial"/>
          <w:color w:val="7B7B7B" w:themeColor="accent3" w:themeShade="BF"/>
          <w:sz w:val="22"/>
          <w:szCs w:val="22"/>
          <w:lang w:val="en-GB"/>
        </w:rPr>
        <w:t xml:space="preserve">. Under paragraph 2 of that section it stipulates that where a company has </w:t>
      </w:r>
      <w:r>
        <w:rPr>
          <w:rFonts w:ascii="Arial" w:hAnsi="Arial" w:cs="Arial"/>
          <w:b/>
          <w:bCs/>
          <w:color w:val="7B7B7B" w:themeColor="accent3" w:themeShade="BF"/>
          <w:sz w:val="22"/>
          <w:szCs w:val="22"/>
          <w:lang w:val="en-GB"/>
        </w:rPr>
        <w:t xml:space="preserve">at a relevant time </w:t>
      </w:r>
      <w:r>
        <w:rPr>
          <w:rFonts w:ascii="Arial" w:hAnsi="Arial" w:cs="Arial"/>
          <w:color w:val="7B7B7B" w:themeColor="accent3" w:themeShade="BF"/>
          <w:sz w:val="22"/>
          <w:szCs w:val="22"/>
          <w:lang w:val="en-GB"/>
        </w:rPr>
        <w:t xml:space="preserve">entered into a transaction with </w:t>
      </w:r>
      <w:r>
        <w:rPr>
          <w:rFonts w:ascii="Arial" w:hAnsi="Arial" w:cs="Arial"/>
          <w:b/>
          <w:bCs/>
          <w:color w:val="7B7B7B" w:themeColor="accent3" w:themeShade="BF"/>
          <w:sz w:val="22"/>
          <w:szCs w:val="22"/>
          <w:lang w:val="en-GB"/>
        </w:rPr>
        <w:t xml:space="preserve">any person at an undervalue, </w:t>
      </w:r>
      <w:r>
        <w:rPr>
          <w:rFonts w:ascii="Arial" w:hAnsi="Arial" w:cs="Arial"/>
          <w:color w:val="7B7B7B" w:themeColor="accent3" w:themeShade="BF"/>
          <w:sz w:val="22"/>
          <w:szCs w:val="22"/>
          <w:lang w:val="en-GB"/>
        </w:rPr>
        <w:t>the liquidator may apply to the court to attack said transaction.</w:t>
      </w:r>
      <w:r w:rsidR="00F64D18">
        <w:rPr>
          <w:rFonts w:ascii="Arial" w:hAnsi="Arial" w:cs="Arial"/>
          <w:color w:val="7B7B7B" w:themeColor="accent3" w:themeShade="BF"/>
          <w:sz w:val="22"/>
          <w:szCs w:val="22"/>
          <w:lang w:val="en-GB"/>
        </w:rPr>
        <w:t xml:space="preserve"> </w:t>
      </w:r>
      <w:r w:rsidR="00E51AEF">
        <w:rPr>
          <w:rFonts w:ascii="Arial" w:hAnsi="Arial" w:cs="Arial"/>
          <w:color w:val="7B7B7B" w:themeColor="accent3" w:themeShade="BF"/>
          <w:sz w:val="22"/>
          <w:szCs w:val="22"/>
          <w:lang w:val="en-GB"/>
        </w:rPr>
        <w:t xml:space="preserve">Paragraph (4)(b) of that section explains that </w:t>
      </w:r>
      <w:r w:rsidR="00E51AEF" w:rsidRPr="00E51AEF">
        <w:rPr>
          <w:rFonts w:ascii="Arial" w:hAnsi="Arial" w:cs="Arial"/>
          <w:color w:val="7B7B7B" w:themeColor="accent3" w:themeShade="BF"/>
          <w:sz w:val="22"/>
          <w:szCs w:val="22"/>
        </w:rPr>
        <w:t>the company enters into a transaction with th</w:t>
      </w:r>
      <w:r w:rsidR="00E51AEF">
        <w:rPr>
          <w:rFonts w:ascii="Arial" w:hAnsi="Arial" w:cs="Arial"/>
          <w:color w:val="7B7B7B" w:themeColor="accent3" w:themeShade="BF"/>
          <w:sz w:val="22"/>
          <w:szCs w:val="22"/>
        </w:rPr>
        <w:t>e</w:t>
      </w:r>
      <w:r w:rsidR="00E51AEF" w:rsidRPr="00E51AEF">
        <w:rPr>
          <w:rFonts w:ascii="Arial" w:hAnsi="Arial" w:cs="Arial"/>
          <w:color w:val="7B7B7B" w:themeColor="accent3" w:themeShade="BF"/>
          <w:sz w:val="22"/>
          <w:szCs w:val="22"/>
        </w:rPr>
        <w:t xml:space="preserve"> person for a consideration the value of which is </w:t>
      </w:r>
      <w:r w:rsidR="00E51AEF" w:rsidRPr="005509F3">
        <w:rPr>
          <w:rFonts w:ascii="Arial" w:hAnsi="Arial" w:cs="Arial"/>
          <w:b/>
          <w:bCs/>
          <w:color w:val="7B7B7B" w:themeColor="accent3" w:themeShade="BF"/>
          <w:sz w:val="22"/>
          <w:szCs w:val="22"/>
        </w:rPr>
        <w:t>significantly less than the value</w:t>
      </w:r>
      <w:r w:rsidR="00E51AEF" w:rsidRPr="00E51AEF">
        <w:rPr>
          <w:rFonts w:ascii="Arial" w:hAnsi="Arial" w:cs="Arial"/>
          <w:color w:val="7B7B7B" w:themeColor="accent3" w:themeShade="BF"/>
          <w:sz w:val="22"/>
          <w:szCs w:val="22"/>
        </w:rPr>
        <w:t xml:space="preserve"> of the consideration provided by the company.</w:t>
      </w:r>
    </w:p>
    <w:p w14:paraId="12EE6ACB" w14:textId="1F8A66F5" w:rsidR="008769B2" w:rsidRDefault="00F64D18" w:rsidP="00E51AEF">
      <w:pPr>
        <w:ind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relevant time is defined in </w:t>
      </w:r>
      <w:r>
        <w:rPr>
          <w:rFonts w:ascii="Arial" w:hAnsi="Arial" w:cs="Arial"/>
          <w:b/>
          <w:bCs/>
          <w:color w:val="7B7B7B" w:themeColor="accent3" w:themeShade="BF"/>
          <w:sz w:val="22"/>
          <w:szCs w:val="22"/>
          <w:lang w:val="en-GB"/>
        </w:rPr>
        <w:t xml:space="preserve">section </w:t>
      </w:r>
      <w:hyperlink r:id="rId23" w:history="1">
        <w:r w:rsidRPr="00054490">
          <w:rPr>
            <w:rStyle w:val="Hyperlink"/>
            <w:rFonts w:ascii="Arial" w:hAnsi="Arial" w:cs="Arial"/>
            <w:b/>
            <w:bCs/>
            <w:sz w:val="22"/>
            <w:szCs w:val="22"/>
            <w:lang w:val="en-GB"/>
          </w:rPr>
          <w:t>240</w:t>
        </w:r>
      </w:hyperlink>
      <w:r>
        <w:rPr>
          <w:rFonts w:ascii="Arial" w:hAnsi="Arial" w:cs="Arial"/>
          <w:color w:val="7B7B7B" w:themeColor="accent3" w:themeShade="BF"/>
          <w:sz w:val="22"/>
          <w:szCs w:val="22"/>
          <w:lang w:val="en-GB"/>
        </w:rPr>
        <w:t xml:space="preserve"> of the Act, which states under paragraph (1)(a) that </w:t>
      </w:r>
      <w:r w:rsidRPr="00F64D18">
        <w:rPr>
          <w:rFonts w:ascii="Arial" w:hAnsi="Arial" w:cs="Arial"/>
          <w:color w:val="7B7B7B" w:themeColor="accent3" w:themeShade="BF"/>
          <w:sz w:val="22"/>
          <w:szCs w:val="22"/>
        </w:rPr>
        <w:t xml:space="preserve">in the case of a transaction at an undervalue or of a preference which is given to a </w:t>
      </w:r>
      <w:r w:rsidRPr="00F64D18">
        <w:rPr>
          <w:rFonts w:ascii="Arial" w:hAnsi="Arial" w:cs="Arial"/>
          <w:b/>
          <w:bCs/>
          <w:color w:val="7B7B7B" w:themeColor="accent3" w:themeShade="BF"/>
          <w:sz w:val="22"/>
          <w:szCs w:val="22"/>
        </w:rPr>
        <w:t>person who is connected</w:t>
      </w:r>
      <w:r w:rsidRPr="00F64D18">
        <w:rPr>
          <w:rFonts w:ascii="Arial" w:hAnsi="Arial" w:cs="Arial"/>
          <w:color w:val="7B7B7B" w:themeColor="accent3" w:themeShade="BF"/>
          <w:sz w:val="22"/>
          <w:szCs w:val="22"/>
        </w:rPr>
        <w:t xml:space="preserve"> with the company (otherwise than by reason only of being its employee), </w:t>
      </w:r>
      <w:r>
        <w:rPr>
          <w:rFonts w:ascii="Arial" w:hAnsi="Arial" w:cs="Arial"/>
          <w:color w:val="7B7B7B" w:themeColor="accent3" w:themeShade="BF"/>
          <w:sz w:val="22"/>
          <w:szCs w:val="22"/>
        </w:rPr>
        <w:t>the relevant time period is</w:t>
      </w:r>
      <w:r w:rsidRPr="00F64D18">
        <w:rPr>
          <w:rFonts w:ascii="Arial" w:hAnsi="Arial" w:cs="Arial"/>
          <w:color w:val="7B7B7B" w:themeColor="accent3" w:themeShade="BF"/>
          <w:sz w:val="22"/>
          <w:szCs w:val="22"/>
        </w:rPr>
        <w:t xml:space="preserve"> </w:t>
      </w:r>
      <w:r w:rsidR="00FF067E">
        <w:rPr>
          <w:rFonts w:ascii="Arial" w:hAnsi="Arial" w:cs="Arial"/>
          <w:b/>
          <w:bCs/>
          <w:color w:val="7B7B7B" w:themeColor="accent3" w:themeShade="BF"/>
          <w:sz w:val="22"/>
          <w:szCs w:val="22"/>
        </w:rPr>
        <w:t>two (2)</w:t>
      </w:r>
      <w:r w:rsidRPr="00F64D18">
        <w:rPr>
          <w:rFonts w:ascii="Arial" w:hAnsi="Arial" w:cs="Arial"/>
          <w:b/>
          <w:bCs/>
          <w:color w:val="7B7B7B" w:themeColor="accent3" w:themeShade="BF"/>
          <w:sz w:val="22"/>
          <w:szCs w:val="22"/>
        </w:rPr>
        <w:t xml:space="preserve"> years ending with the onset of insolvency</w:t>
      </w:r>
      <w:r>
        <w:rPr>
          <w:rFonts w:ascii="Arial" w:hAnsi="Arial" w:cs="Arial"/>
          <w:color w:val="7B7B7B" w:themeColor="accent3" w:themeShade="BF"/>
          <w:sz w:val="22"/>
          <w:szCs w:val="22"/>
        </w:rPr>
        <w:t>.</w:t>
      </w:r>
      <w:r w:rsidR="005509F3">
        <w:rPr>
          <w:rFonts w:ascii="Arial" w:hAnsi="Arial" w:cs="Arial"/>
          <w:color w:val="7B7B7B" w:themeColor="accent3" w:themeShade="BF"/>
          <w:sz w:val="22"/>
          <w:szCs w:val="22"/>
        </w:rPr>
        <w:t xml:space="preserve"> Section 240(2) also adds the condition that </w:t>
      </w:r>
      <w:r w:rsidR="005509F3" w:rsidRPr="005509F3">
        <w:rPr>
          <w:rFonts w:ascii="Arial" w:hAnsi="Arial" w:cs="Arial"/>
          <w:color w:val="7B7B7B" w:themeColor="accent3" w:themeShade="BF"/>
          <w:sz w:val="22"/>
          <w:szCs w:val="22"/>
        </w:rPr>
        <w:t>at that time</w:t>
      </w:r>
      <w:r w:rsidR="005509F3">
        <w:rPr>
          <w:rFonts w:ascii="Arial" w:hAnsi="Arial" w:cs="Arial"/>
          <w:color w:val="7B7B7B" w:themeColor="accent3" w:themeShade="BF"/>
          <w:sz w:val="22"/>
          <w:szCs w:val="22"/>
          <w:lang w:val="en-GB"/>
        </w:rPr>
        <w:t>, the company was</w:t>
      </w:r>
      <w:r w:rsidR="005509F3" w:rsidRPr="005509F3">
        <w:rPr>
          <w:rFonts w:ascii="Arial" w:hAnsi="Arial" w:cs="Arial"/>
          <w:color w:val="7B7B7B" w:themeColor="accent3" w:themeShade="BF"/>
          <w:sz w:val="22"/>
          <w:szCs w:val="22"/>
        </w:rPr>
        <w:t xml:space="preserve"> unable to pay its debts within the meaning of section 123 </w:t>
      </w:r>
      <w:r w:rsidR="005509F3">
        <w:rPr>
          <w:rFonts w:ascii="Arial" w:hAnsi="Arial" w:cs="Arial"/>
          <w:color w:val="7B7B7B" w:themeColor="accent3" w:themeShade="BF"/>
          <w:sz w:val="22"/>
          <w:szCs w:val="22"/>
          <w:lang w:val="en-GB"/>
        </w:rPr>
        <w:t xml:space="preserve">of the Act or </w:t>
      </w:r>
      <w:r w:rsidR="005509F3" w:rsidRPr="005509F3">
        <w:rPr>
          <w:rFonts w:ascii="Arial" w:hAnsi="Arial" w:cs="Arial"/>
          <w:color w:val="7B7B7B" w:themeColor="accent3" w:themeShade="BF"/>
          <w:sz w:val="22"/>
          <w:szCs w:val="22"/>
        </w:rPr>
        <w:t xml:space="preserve">becomes unable to pay its debts </w:t>
      </w:r>
      <w:r w:rsidR="005509F3">
        <w:rPr>
          <w:rFonts w:ascii="Arial" w:hAnsi="Arial" w:cs="Arial"/>
          <w:color w:val="7B7B7B" w:themeColor="accent3" w:themeShade="BF"/>
          <w:sz w:val="22"/>
          <w:szCs w:val="22"/>
          <w:lang w:val="en-GB"/>
        </w:rPr>
        <w:t>as a</w:t>
      </w:r>
      <w:r w:rsidR="005509F3" w:rsidRPr="005509F3">
        <w:rPr>
          <w:rFonts w:ascii="Arial" w:hAnsi="Arial" w:cs="Arial"/>
          <w:color w:val="7B7B7B" w:themeColor="accent3" w:themeShade="BF"/>
          <w:sz w:val="22"/>
          <w:szCs w:val="22"/>
        </w:rPr>
        <w:t xml:space="preserve"> consequence of the transaction</w:t>
      </w:r>
      <w:r w:rsidR="005509F3">
        <w:rPr>
          <w:rFonts w:ascii="Arial" w:hAnsi="Arial" w:cs="Arial"/>
          <w:color w:val="7B7B7B" w:themeColor="accent3" w:themeShade="BF"/>
          <w:sz w:val="22"/>
          <w:szCs w:val="22"/>
          <w:lang w:val="en-GB"/>
        </w:rPr>
        <w:t xml:space="preserve">. </w:t>
      </w:r>
    </w:p>
    <w:p w14:paraId="67512DD6" w14:textId="0C1F0DAB" w:rsidR="00E51AEF" w:rsidRDefault="00E51AEF" w:rsidP="00D659F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t>Ann Young is, without a doubt, connected with the company</w:t>
      </w:r>
      <w:r w:rsidR="005509F3">
        <w:rPr>
          <w:rFonts w:ascii="Arial" w:hAnsi="Arial" w:cs="Arial"/>
          <w:color w:val="7B7B7B" w:themeColor="accent3" w:themeShade="BF"/>
          <w:sz w:val="22"/>
          <w:szCs w:val="22"/>
        </w:rPr>
        <w:t xml:space="preserve"> as she is the director. During that time, the company was still suffering from cash flow problems</w:t>
      </w:r>
      <w:r w:rsidR="00FF067E">
        <w:rPr>
          <w:rFonts w:ascii="Arial" w:hAnsi="Arial" w:cs="Arial"/>
          <w:color w:val="7B7B7B" w:themeColor="accent3" w:themeShade="BF"/>
          <w:sz w:val="22"/>
          <w:szCs w:val="22"/>
        </w:rPr>
        <w:t xml:space="preserve"> and was unable to pay its debts. Moreover, the transaction took place just four (4) months prior to the commencement of the proceeding. As such, the latter three criteria are satisfied.</w:t>
      </w:r>
    </w:p>
    <w:p w14:paraId="5DF3D0A4" w14:textId="7483E286" w:rsidR="00D659FB" w:rsidRPr="003F3625" w:rsidRDefault="00FF067E" w:rsidP="00D659F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ab/>
        <w:t xml:space="preserve">However, the main problem lays with the </w:t>
      </w:r>
      <w:r w:rsidRPr="00FF067E">
        <w:rPr>
          <w:rFonts w:ascii="Arial" w:hAnsi="Arial" w:cs="Arial"/>
          <w:b/>
          <w:bCs/>
          <w:color w:val="7B7B7B" w:themeColor="accent3" w:themeShade="BF"/>
          <w:sz w:val="22"/>
          <w:szCs w:val="22"/>
        </w:rPr>
        <w:t>assess</w:t>
      </w:r>
      <w:r>
        <w:rPr>
          <w:rFonts w:ascii="Arial" w:hAnsi="Arial" w:cs="Arial"/>
          <w:b/>
          <w:bCs/>
          <w:color w:val="7B7B7B" w:themeColor="accent3" w:themeShade="BF"/>
          <w:sz w:val="22"/>
          <w:szCs w:val="22"/>
        </w:rPr>
        <w:t>ment of</w:t>
      </w:r>
      <w:r w:rsidRPr="00FF067E">
        <w:rPr>
          <w:rFonts w:ascii="Arial" w:hAnsi="Arial" w:cs="Arial"/>
          <w:b/>
          <w:bCs/>
          <w:color w:val="7B7B7B" w:themeColor="accent3" w:themeShade="BF"/>
          <w:sz w:val="22"/>
          <w:szCs w:val="22"/>
        </w:rPr>
        <w:t xml:space="preserve"> the value</w:t>
      </w:r>
      <w:r>
        <w:rPr>
          <w:rFonts w:ascii="Arial" w:hAnsi="Arial" w:cs="Arial"/>
          <w:color w:val="7B7B7B" w:themeColor="accent3" w:themeShade="BF"/>
          <w:sz w:val="22"/>
          <w:szCs w:val="22"/>
        </w:rPr>
        <w:t xml:space="preserve"> of the coffee roasting machines at that time. Could there have been such a depreciation (from BP25.000 to 10.000) in just one year? Or should this transaction be categorized as a “transaction at undervalue”? </w:t>
      </w:r>
      <w:r w:rsidR="003F3625">
        <w:rPr>
          <w:rFonts w:ascii="Arial" w:hAnsi="Arial" w:cs="Arial"/>
          <w:color w:val="7B7B7B" w:themeColor="accent3" w:themeShade="BF"/>
          <w:sz w:val="22"/>
          <w:szCs w:val="22"/>
          <w:lang w:val="en-GB"/>
        </w:rPr>
        <w:t xml:space="preserve">In any case, the court will have to make an assessment also based on precedent (see eg </w:t>
      </w:r>
      <w:hyperlink r:id="rId24" w:history="1">
        <w:r w:rsidR="003F3625" w:rsidRPr="00054490">
          <w:rPr>
            <w:rStyle w:val="Hyperlink"/>
            <w:rFonts w:ascii="Arial" w:hAnsi="Arial" w:cs="Arial"/>
            <w:i/>
            <w:iCs/>
            <w:sz w:val="22"/>
            <w:szCs w:val="22"/>
            <w:lang w:val="en-GB"/>
          </w:rPr>
          <w:t xml:space="preserve">Philips v Brewin Dolphin Bell Lawrie Ltd </w:t>
        </w:r>
        <w:r w:rsidR="003F3625" w:rsidRPr="00054490">
          <w:rPr>
            <w:rStyle w:val="Hyperlink"/>
            <w:rFonts w:ascii="Arial" w:hAnsi="Arial" w:cs="Arial"/>
            <w:sz w:val="22"/>
            <w:szCs w:val="22"/>
            <w:lang w:val="en-GB"/>
          </w:rPr>
          <w:t>[2001] UKHL 2</w:t>
        </w:r>
      </w:hyperlink>
      <w:r w:rsidR="003F3625">
        <w:rPr>
          <w:rFonts w:ascii="Arial" w:hAnsi="Arial" w:cs="Arial"/>
          <w:color w:val="7B7B7B" w:themeColor="accent3" w:themeShade="BF"/>
          <w:sz w:val="22"/>
          <w:szCs w:val="22"/>
          <w:lang w:val="en-GB"/>
        </w:rPr>
        <w:t>).</w:t>
      </w:r>
    </w:p>
    <w:p w14:paraId="57C89965" w14:textId="2F8486DC" w:rsidR="005509F3" w:rsidRDefault="003F3625" w:rsidP="003F36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Also, under section 238(5) of the Insolvency Act, the court will have to consider whether the transaction was entered into in </w:t>
      </w:r>
      <w:r w:rsidRPr="00054490">
        <w:rPr>
          <w:rFonts w:ascii="Arial" w:hAnsi="Arial" w:cs="Arial"/>
          <w:b/>
          <w:bCs/>
          <w:color w:val="7B7B7B" w:themeColor="accent3" w:themeShade="BF"/>
          <w:sz w:val="22"/>
          <w:szCs w:val="22"/>
          <w:lang w:val="en-GB"/>
        </w:rPr>
        <w:t>good faith</w:t>
      </w:r>
      <w:r>
        <w:rPr>
          <w:rFonts w:ascii="Arial" w:hAnsi="Arial" w:cs="Arial"/>
          <w:color w:val="7B7B7B" w:themeColor="accent3" w:themeShade="BF"/>
          <w:sz w:val="22"/>
          <w:szCs w:val="22"/>
          <w:lang w:val="en-GB"/>
        </w:rPr>
        <w:t xml:space="preserve"> and for the purposes of carrying on the business and that there were </w:t>
      </w:r>
      <w:r w:rsidRPr="00054490">
        <w:rPr>
          <w:rFonts w:ascii="Arial" w:hAnsi="Arial" w:cs="Arial"/>
          <w:b/>
          <w:bCs/>
          <w:color w:val="7B7B7B" w:themeColor="accent3" w:themeShade="BF"/>
          <w:sz w:val="22"/>
          <w:szCs w:val="22"/>
          <w:lang w:val="en-GB"/>
        </w:rPr>
        <w:t>reasonable grounds</w:t>
      </w:r>
      <w:r>
        <w:rPr>
          <w:rFonts w:ascii="Arial" w:hAnsi="Arial" w:cs="Arial"/>
          <w:color w:val="7B7B7B" w:themeColor="accent3" w:themeShade="BF"/>
          <w:sz w:val="22"/>
          <w:szCs w:val="22"/>
          <w:lang w:val="en-GB"/>
        </w:rPr>
        <w:t xml:space="preserve"> for bel</w:t>
      </w:r>
      <w:proofErr w:type="spellStart"/>
      <w:r w:rsidR="005509F3" w:rsidRPr="005509F3">
        <w:rPr>
          <w:rFonts w:ascii="Arial" w:hAnsi="Arial" w:cs="Arial"/>
          <w:color w:val="7B7B7B" w:themeColor="accent3" w:themeShade="BF"/>
          <w:sz w:val="22"/>
          <w:szCs w:val="22"/>
        </w:rPr>
        <w:t>ieving</w:t>
      </w:r>
      <w:proofErr w:type="spellEnd"/>
      <w:r w:rsidR="005509F3" w:rsidRPr="005509F3">
        <w:rPr>
          <w:rFonts w:ascii="Arial" w:hAnsi="Arial" w:cs="Arial"/>
          <w:color w:val="7B7B7B" w:themeColor="accent3" w:themeShade="BF"/>
          <w:sz w:val="22"/>
          <w:szCs w:val="22"/>
        </w:rPr>
        <w:t xml:space="preserve"> that the transaction would benefit the company.</w:t>
      </w:r>
      <w:r>
        <w:rPr>
          <w:rFonts w:ascii="Arial" w:hAnsi="Arial" w:cs="Arial"/>
          <w:color w:val="7B7B7B" w:themeColor="accent3" w:themeShade="BF"/>
          <w:sz w:val="22"/>
          <w:szCs w:val="22"/>
          <w:lang w:val="en-GB"/>
        </w:rPr>
        <w:t xml:space="preserve"> If the court is satisfied that these cumulative criteria have been met, it may not make an order.</w:t>
      </w:r>
    </w:p>
    <w:p w14:paraId="0A3669A9" w14:textId="1237A4B7" w:rsidR="00C70AD1" w:rsidRPr="00C70AD1" w:rsidRDefault="00C70AD1" w:rsidP="003F3625">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ab/>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one might argue that the company entered into this transaction for the sake of having more liquidity at its disposal. Selling the machines (perhaps at an undervalue) would perhaps have helped solve the cash flow problem, at least for the short term. On the other hand, one might argue that the company foresaw its downfall and the director bought the coffee roasting machines</w:t>
      </w:r>
      <w:r w:rsidR="00716BB7">
        <w:rPr>
          <w:rFonts w:ascii="Arial" w:hAnsi="Arial" w:cs="Arial"/>
          <w:color w:val="7B7B7B" w:themeColor="accent3" w:themeShade="BF"/>
          <w:sz w:val="22"/>
          <w:szCs w:val="22"/>
          <w:lang w:val="en-GB"/>
        </w:rPr>
        <w:t xml:space="preserve"> (which are arguably essential to the business)</w:t>
      </w:r>
      <w:r>
        <w:rPr>
          <w:rFonts w:ascii="Arial" w:hAnsi="Arial" w:cs="Arial"/>
          <w:color w:val="7B7B7B" w:themeColor="accent3" w:themeShade="BF"/>
          <w:sz w:val="22"/>
          <w:szCs w:val="22"/>
          <w:lang w:val="en-GB"/>
        </w:rPr>
        <w:t xml:space="preserve"> with an attractive discount before it was included in the insolvent estate.</w:t>
      </w:r>
    </w:p>
    <w:p w14:paraId="42E20515" w14:textId="51C9E3E4" w:rsidR="003F3625" w:rsidRPr="005509F3" w:rsidRDefault="003F3625" w:rsidP="003F36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Regardless of the outcome, there are sufficient grounds for the liquidator to apply to court for an order</w:t>
      </w:r>
      <w:r w:rsidR="0042573E">
        <w:rPr>
          <w:rFonts w:ascii="Arial" w:hAnsi="Arial" w:cs="Arial"/>
          <w:color w:val="7B7B7B" w:themeColor="accent3" w:themeShade="BF"/>
          <w:sz w:val="22"/>
          <w:szCs w:val="22"/>
          <w:lang w:val="en-GB"/>
        </w:rPr>
        <w:t xml:space="preserve"> to attack the transaction. </w:t>
      </w:r>
      <w:r w:rsidR="00CC1910">
        <w:rPr>
          <w:rFonts w:ascii="Arial" w:hAnsi="Arial" w:cs="Arial"/>
          <w:color w:val="7B7B7B" w:themeColor="accent3" w:themeShade="BF"/>
          <w:sz w:val="22"/>
          <w:szCs w:val="22"/>
          <w:lang w:val="en-GB"/>
        </w:rPr>
        <w:t>In my opinion, this is a transaction at an undervalue and the exception would not apply in this case.</w:t>
      </w:r>
    </w:p>
    <w:p w14:paraId="6730B579" w14:textId="77777777" w:rsidR="005509F3" w:rsidRDefault="005509F3" w:rsidP="00D659FB">
      <w:pPr>
        <w:jc w:val="both"/>
        <w:rPr>
          <w:rFonts w:ascii="Arial" w:hAnsi="Arial" w:cs="Arial"/>
          <w:color w:val="7B7B7B" w:themeColor="accent3" w:themeShade="BF"/>
          <w:sz w:val="22"/>
          <w:szCs w:val="22"/>
          <w:lang w:val="en-GB"/>
        </w:rPr>
      </w:pPr>
    </w:p>
    <w:p w14:paraId="1CE01111" w14:textId="77777777" w:rsidR="006F3ED9" w:rsidRPr="00311816" w:rsidRDefault="006F3ED9"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5EAB5912" w14:textId="5E73E774" w:rsidR="00716BB7" w:rsidRDefault="00716BB7" w:rsidP="00716BB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month prior to the winding up order, Beans and Leaves demanded immediate payment of all outstanding debts and created new terms and conditions for the future supply of coffee beans, ie supplies are only made on a cash on delivery basis. The company needed the continued supply of the coffee beans as they were essential. Therefore the company paid a total of BP 11.000</w:t>
      </w:r>
      <w:r w:rsidR="00B4182C">
        <w:rPr>
          <w:rFonts w:ascii="Arial" w:hAnsi="Arial" w:cs="Arial"/>
          <w:color w:val="7B7B7B" w:themeColor="accent3" w:themeShade="BF"/>
          <w:sz w:val="22"/>
          <w:szCs w:val="22"/>
          <w:lang w:val="en-GB"/>
        </w:rPr>
        <w:t xml:space="preserve"> (BP 8.000 outstanding and 3.000 further payment)</w:t>
      </w:r>
      <w:r>
        <w:rPr>
          <w:rFonts w:ascii="Arial" w:hAnsi="Arial" w:cs="Arial"/>
          <w:color w:val="7B7B7B" w:themeColor="accent3" w:themeShade="BF"/>
          <w:sz w:val="22"/>
          <w:szCs w:val="22"/>
          <w:lang w:val="en-GB"/>
        </w:rPr>
        <w:t xml:space="preserve"> up to the date of the winding up order.</w:t>
      </w:r>
      <w:r w:rsidR="00B4182C">
        <w:rPr>
          <w:rFonts w:ascii="Arial" w:hAnsi="Arial" w:cs="Arial"/>
          <w:color w:val="7B7B7B" w:themeColor="accent3" w:themeShade="BF"/>
          <w:sz w:val="22"/>
          <w:szCs w:val="22"/>
          <w:lang w:val="en-GB"/>
        </w:rPr>
        <w:t xml:space="preserve"> The question is whether the liquidator may attack these payments.</w:t>
      </w:r>
    </w:p>
    <w:p w14:paraId="62CD45D8" w14:textId="69F24CD2" w:rsidR="00B4182C" w:rsidRDefault="00B4182C" w:rsidP="00B4182C">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provision is </w:t>
      </w:r>
      <w:r>
        <w:rPr>
          <w:rFonts w:ascii="Arial" w:hAnsi="Arial" w:cs="Arial"/>
          <w:b/>
          <w:bCs/>
          <w:color w:val="7B7B7B" w:themeColor="accent3" w:themeShade="BF"/>
          <w:sz w:val="22"/>
          <w:szCs w:val="22"/>
          <w:lang w:val="en-GB"/>
        </w:rPr>
        <w:t xml:space="preserve">section </w:t>
      </w:r>
      <w:hyperlink r:id="rId25" w:anchor=":~:text=In%20a%20winding%20up%20by%20the%20court%2C%20any%20disposition%20of%20the%20company%E2%80%99s%20property%2C%20and%20any%20transfer%20of%20shares%2C%20or%20alteration%20in%20the%20status%20of%20the%20company%E2%80%99s%20members%2C%20made%20after%20the%20commencement%20of%20the%20winding%20up%20is%2C%20unless%20the%20court%20otherwise%20orders%2C%20void." w:history="1">
        <w:r w:rsidRPr="00B4182C">
          <w:rPr>
            <w:rStyle w:val="Hyperlink"/>
            <w:rFonts w:ascii="Arial" w:hAnsi="Arial" w:cs="Arial"/>
            <w:b/>
            <w:bCs/>
            <w:sz w:val="22"/>
            <w:szCs w:val="22"/>
            <w:lang w:val="en-GB"/>
          </w:rPr>
          <w:t>127(1)</w:t>
        </w:r>
      </w:hyperlink>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of the Insolvency Act.</w:t>
      </w:r>
      <w:r w:rsidR="00AE4DF6">
        <w:rPr>
          <w:rFonts w:ascii="Arial" w:hAnsi="Arial" w:cs="Arial"/>
          <w:color w:val="7B7B7B" w:themeColor="accent3" w:themeShade="BF"/>
          <w:sz w:val="22"/>
          <w:szCs w:val="22"/>
          <w:lang w:val="en-GB"/>
        </w:rPr>
        <w:t xml:space="preserve"> </w:t>
      </w:r>
      <w:r w:rsidR="00E02579">
        <w:rPr>
          <w:rFonts w:ascii="Arial" w:hAnsi="Arial" w:cs="Arial"/>
          <w:color w:val="7B7B7B" w:themeColor="accent3" w:themeShade="BF"/>
          <w:sz w:val="22"/>
          <w:szCs w:val="22"/>
          <w:lang w:val="en-GB"/>
        </w:rPr>
        <w:t xml:space="preserve">This provision aims to avoid any </w:t>
      </w:r>
      <w:r w:rsidR="00E02579">
        <w:rPr>
          <w:rFonts w:ascii="Arial" w:hAnsi="Arial" w:cs="Arial"/>
          <w:b/>
          <w:bCs/>
          <w:color w:val="7B7B7B" w:themeColor="accent3" w:themeShade="BF"/>
          <w:sz w:val="22"/>
          <w:szCs w:val="22"/>
          <w:lang w:val="en-GB"/>
        </w:rPr>
        <w:t xml:space="preserve">disposition of property </w:t>
      </w:r>
      <w:r w:rsidR="00E02579">
        <w:rPr>
          <w:rFonts w:ascii="Arial" w:hAnsi="Arial" w:cs="Arial"/>
          <w:color w:val="7B7B7B" w:themeColor="accent3" w:themeShade="BF"/>
          <w:sz w:val="22"/>
          <w:szCs w:val="22"/>
          <w:lang w:val="en-GB"/>
        </w:rPr>
        <w:t>of the company made after the commencement of the winding up</w:t>
      </w:r>
      <w:r w:rsidR="000E1900">
        <w:rPr>
          <w:rFonts w:ascii="Arial" w:hAnsi="Arial" w:cs="Arial"/>
          <w:color w:val="7B7B7B" w:themeColor="accent3" w:themeShade="BF"/>
          <w:sz w:val="22"/>
          <w:szCs w:val="22"/>
          <w:lang w:val="en-GB"/>
        </w:rPr>
        <w:t xml:space="preserve">, which is the date of the presentation of the petition. Any disposition made during the interim period between the petition and the winding up order may be affected by section 127. The interpretation regarding disposition of property is wide and can affect any payment of money, sale or transfer of assets, and any form transferral eg sale, gift, assignment, lease, mortgage, etc… </w:t>
      </w:r>
    </w:p>
    <w:p w14:paraId="4802DC25" w14:textId="43509D6C" w:rsidR="000E1900" w:rsidRDefault="000E1900" w:rsidP="00B4182C">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Applying to our case, a month before the winding up order, </w:t>
      </w:r>
      <w:r w:rsidR="00F47D98">
        <w:rPr>
          <w:rFonts w:ascii="Arial" w:hAnsi="Arial" w:cs="Arial"/>
          <w:color w:val="7B7B7B" w:themeColor="accent3" w:themeShade="BF"/>
          <w:sz w:val="22"/>
          <w:szCs w:val="22"/>
          <w:lang w:val="en-GB"/>
        </w:rPr>
        <w:t xml:space="preserve">ie November 2021, the payments to Beans and Leaves Ltd were made. As such, this disposition by way of payment of money is conducted during the interim period between the petition and the order and is open </w:t>
      </w:r>
      <w:r w:rsidR="00323517">
        <w:rPr>
          <w:rFonts w:ascii="Arial" w:hAnsi="Arial" w:cs="Arial"/>
          <w:color w:val="7B7B7B" w:themeColor="accent3" w:themeShade="BF"/>
          <w:sz w:val="22"/>
          <w:szCs w:val="22"/>
          <w:lang w:val="en-GB"/>
        </w:rPr>
        <w:t>to</w:t>
      </w:r>
      <w:r w:rsidR="00F47D98">
        <w:rPr>
          <w:rFonts w:ascii="Arial" w:hAnsi="Arial" w:cs="Arial"/>
          <w:color w:val="7B7B7B" w:themeColor="accent3" w:themeShade="BF"/>
          <w:sz w:val="22"/>
          <w:szCs w:val="22"/>
          <w:lang w:val="en-GB"/>
        </w:rPr>
        <w:t xml:space="preserve"> attack under section 127 of the Insolvency Act. </w:t>
      </w:r>
    </w:p>
    <w:p w14:paraId="1027A58B" w14:textId="77777777" w:rsidR="00DC0ED2" w:rsidRDefault="00F47D98" w:rsidP="00B4182C">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impact of this section is also not fully encompassing. The court may via its wide discretionary power declare that certain dispositions are not void by way of a </w:t>
      </w:r>
      <w:r w:rsidRPr="00F47D98">
        <w:rPr>
          <w:rFonts w:ascii="Arial" w:hAnsi="Arial" w:cs="Arial"/>
          <w:b/>
          <w:bCs/>
          <w:color w:val="7B7B7B" w:themeColor="accent3" w:themeShade="BF"/>
          <w:sz w:val="22"/>
          <w:szCs w:val="22"/>
          <w:lang w:val="en-GB"/>
        </w:rPr>
        <w:t>validation order</w:t>
      </w:r>
      <w:r>
        <w:rPr>
          <w:rFonts w:ascii="Arial" w:hAnsi="Arial" w:cs="Arial"/>
          <w:color w:val="7B7B7B" w:themeColor="accent3" w:themeShade="BF"/>
          <w:sz w:val="22"/>
          <w:szCs w:val="22"/>
          <w:lang w:val="en-GB"/>
        </w:rPr>
        <w:t xml:space="preserve">. When applying for the validation order, the company carries the burden of proof. </w:t>
      </w:r>
      <w:r w:rsidR="00AB2936">
        <w:rPr>
          <w:rFonts w:ascii="Arial" w:hAnsi="Arial" w:cs="Arial"/>
          <w:color w:val="7B7B7B" w:themeColor="accent3" w:themeShade="BF"/>
          <w:sz w:val="22"/>
          <w:szCs w:val="22"/>
          <w:lang w:val="en-GB"/>
        </w:rPr>
        <w:t xml:space="preserve">This order will be given only in the circumstances in which the disposition is, will be, or has been made for the </w:t>
      </w:r>
      <w:r w:rsidR="00AB2936" w:rsidRPr="00AB2936">
        <w:rPr>
          <w:rFonts w:ascii="Arial" w:hAnsi="Arial" w:cs="Arial"/>
          <w:b/>
          <w:bCs/>
          <w:color w:val="7B7B7B" w:themeColor="accent3" w:themeShade="BF"/>
          <w:sz w:val="22"/>
          <w:szCs w:val="22"/>
          <w:lang w:val="en-GB"/>
        </w:rPr>
        <w:t>benefit of the general body of unsecured creditors</w:t>
      </w:r>
      <w:r w:rsidR="00AB2936">
        <w:rPr>
          <w:rFonts w:ascii="Arial" w:hAnsi="Arial" w:cs="Arial"/>
          <w:color w:val="7B7B7B" w:themeColor="accent3" w:themeShade="BF"/>
          <w:sz w:val="22"/>
          <w:szCs w:val="22"/>
          <w:lang w:val="en-GB"/>
        </w:rPr>
        <w:t xml:space="preserve">. The transaction should have been made </w:t>
      </w:r>
      <w:r w:rsidR="00AB2936" w:rsidRPr="00AB2936">
        <w:rPr>
          <w:rFonts w:ascii="Arial" w:hAnsi="Arial" w:cs="Arial"/>
          <w:b/>
          <w:bCs/>
          <w:color w:val="7B7B7B" w:themeColor="accent3" w:themeShade="BF"/>
          <w:sz w:val="22"/>
          <w:szCs w:val="22"/>
          <w:lang w:val="en-GB"/>
        </w:rPr>
        <w:t>honestly, in the ordinary course of business, and for the benefit of the company</w:t>
      </w:r>
      <w:r w:rsidR="00AB2936">
        <w:rPr>
          <w:rFonts w:ascii="Arial" w:hAnsi="Arial" w:cs="Arial"/>
          <w:color w:val="7B7B7B" w:themeColor="accent3" w:themeShade="BF"/>
          <w:sz w:val="22"/>
          <w:szCs w:val="22"/>
          <w:lang w:val="en-GB"/>
        </w:rPr>
        <w:t xml:space="preserve"> (to pay wages or suppliers), in order to fulfil a </w:t>
      </w:r>
      <w:r w:rsidR="00AB2936" w:rsidRPr="00AB2936">
        <w:rPr>
          <w:rFonts w:ascii="Arial" w:hAnsi="Arial" w:cs="Arial"/>
          <w:b/>
          <w:bCs/>
          <w:color w:val="7B7B7B" w:themeColor="accent3" w:themeShade="BF"/>
          <w:sz w:val="22"/>
          <w:szCs w:val="22"/>
          <w:lang w:val="en-GB"/>
        </w:rPr>
        <w:t>profitable</w:t>
      </w:r>
      <w:r w:rsidR="00AB2936">
        <w:rPr>
          <w:rFonts w:ascii="Arial" w:hAnsi="Arial" w:cs="Arial"/>
          <w:color w:val="7B7B7B" w:themeColor="accent3" w:themeShade="BF"/>
          <w:sz w:val="22"/>
          <w:szCs w:val="22"/>
          <w:lang w:val="en-GB"/>
        </w:rPr>
        <w:t xml:space="preserve">(-appearing) contract, for it to have a higher chance of receiving a validation order, unless the disposition benefits only one creditor to the detriment of others. </w:t>
      </w:r>
    </w:p>
    <w:p w14:paraId="01B19F3C" w14:textId="77777777" w:rsidR="00DC0ED2" w:rsidRDefault="00AB2936" w:rsidP="00B4182C">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payments</w:t>
      </w:r>
      <w:r w:rsidR="00DC0ED2">
        <w:rPr>
          <w:rFonts w:ascii="Arial" w:hAnsi="Arial" w:cs="Arial"/>
          <w:color w:val="7B7B7B" w:themeColor="accent3" w:themeShade="BF"/>
          <w:sz w:val="22"/>
          <w:szCs w:val="22"/>
          <w:lang w:val="en-GB"/>
        </w:rPr>
        <w:t xml:space="preserve"> that are</w:t>
      </w:r>
      <w:r>
        <w:rPr>
          <w:rFonts w:ascii="Arial" w:hAnsi="Arial" w:cs="Arial"/>
          <w:color w:val="7B7B7B" w:themeColor="accent3" w:themeShade="BF"/>
          <w:sz w:val="22"/>
          <w:szCs w:val="22"/>
          <w:lang w:val="en-GB"/>
        </w:rPr>
        <w:t xml:space="preserve"> </w:t>
      </w:r>
      <w:r w:rsidR="00DC0ED2">
        <w:rPr>
          <w:rFonts w:ascii="Arial" w:hAnsi="Arial" w:cs="Arial"/>
          <w:color w:val="7B7B7B" w:themeColor="accent3" w:themeShade="BF"/>
          <w:sz w:val="22"/>
          <w:szCs w:val="22"/>
          <w:lang w:val="en-GB"/>
        </w:rPr>
        <w:t xml:space="preserve">made to </w:t>
      </w:r>
      <w:r w:rsidR="00DC0ED2" w:rsidRPr="00DC0ED2">
        <w:rPr>
          <w:rFonts w:ascii="Arial" w:hAnsi="Arial" w:cs="Arial"/>
          <w:b/>
          <w:bCs/>
          <w:color w:val="7B7B7B" w:themeColor="accent3" w:themeShade="BF"/>
          <w:sz w:val="22"/>
          <w:szCs w:val="22"/>
          <w:lang w:val="en-GB"/>
        </w:rPr>
        <w:t>ensure continued supplies</w:t>
      </w:r>
      <w:r w:rsidR="00DC0ED2">
        <w:rPr>
          <w:rFonts w:ascii="Arial" w:hAnsi="Arial" w:cs="Arial"/>
          <w:color w:val="7B7B7B" w:themeColor="accent3" w:themeShade="BF"/>
          <w:sz w:val="22"/>
          <w:szCs w:val="22"/>
          <w:lang w:val="en-GB"/>
        </w:rPr>
        <w:t xml:space="preserve"> and enabling the company to continue trading – which was in the best interest of the creditors – are likely to receive such orders. </w:t>
      </w:r>
    </w:p>
    <w:p w14:paraId="598300C3" w14:textId="5C06888E" w:rsidR="00F47D98" w:rsidRDefault="00DC0ED2" w:rsidP="00B4182C">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when considering the goods that have been paid based </w:t>
      </w:r>
      <w:r>
        <w:rPr>
          <w:rFonts w:ascii="Arial" w:hAnsi="Arial" w:cs="Arial"/>
          <w:b/>
          <w:bCs/>
          <w:color w:val="7B7B7B" w:themeColor="accent3" w:themeShade="BF"/>
          <w:sz w:val="22"/>
          <w:szCs w:val="22"/>
          <w:lang w:val="en-GB"/>
        </w:rPr>
        <w:t>cash on delivery terms</w:t>
      </w:r>
      <w:r>
        <w:rPr>
          <w:rFonts w:ascii="Arial" w:hAnsi="Arial" w:cs="Arial"/>
          <w:color w:val="7B7B7B" w:themeColor="accent3" w:themeShade="BF"/>
          <w:sz w:val="22"/>
          <w:szCs w:val="22"/>
          <w:lang w:val="en-GB"/>
        </w:rPr>
        <w:t>, the court will assess the benefit to the company and whether the payment will enable further supplies to be delivered and enable business continuation.</w:t>
      </w:r>
    </w:p>
    <w:p w14:paraId="4D96014D" w14:textId="2C2A512D" w:rsidR="000E1900" w:rsidRDefault="00DC0ED2" w:rsidP="00B4182C">
      <w:pPr>
        <w:ind w:firstLine="720"/>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 xml:space="preserve">In </w:t>
      </w:r>
      <w:proofErr w:type="spellStart"/>
      <w:r>
        <w:rPr>
          <w:rFonts w:ascii="Arial" w:hAnsi="Arial" w:cs="Arial"/>
          <w:i/>
          <w:iCs/>
          <w:color w:val="7B7B7B" w:themeColor="accent3" w:themeShade="BF"/>
          <w:sz w:val="22"/>
          <w:szCs w:val="22"/>
          <w:lang w:val="en-GB"/>
        </w:rPr>
        <w:t>casu</w:t>
      </w:r>
      <w:proofErr w:type="spellEnd"/>
      <w:r>
        <w:rPr>
          <w:rFonts w:ascii="Arial" w:hAnsi="Arial" w:cs="Arial"/>
          <w:i/>
          <w:iCs/>
          <w:color w:val="7B7B7B" w:themeColor="accent3" w:themeShade="BF"/>
          <w:sz w:val="22"/>
          <w:szCs w:val="22"/>
          <w:lang w:val="en-GB"/>
        </w:rPr>
        <w:t>,</w:t>
      </w:r>
      <w:r>
        <w:rPr>
          <w:rFonts w:ascii="Arial" w:hAnsi="Arial" w:cs="Arial"/>
          <w:color w:val="7B7B7B" w:themeColor="accent3" w:themeShade="BF"/>
          <w:sz w:val="22"/>
          <w:szCs w:val="22"/>
          <w:lang w:val="en-GB"/>
        </w:rPr>
        <w:t xml:space="preserve"> the continued supply of coffee beans was seen as essential by the company, the payments of the outstanding debts and the agreement to the new (cash on delivery) terms have been made to ensure </w:t>
      </w:r>
      <w:r w:rsidR="00C62074">
        <w:rPr>
          <w:rFonts w:ascii="Arial" w:hAnsi="Arial" w:cs="Arial"/>
          <w:color w:val="7B7B7B" w:themeColor="accent3" w:themeShade="BF"/>
          <w:sz w:val="22"/>
          <w:szCs w:val="22"/>
          <w:lang w:val="en-GB"/>
        </w:rPr>
        <w:t>continued supplies and business continuation for the benefit of the creditors. Therefore, the chances for the company receiving a validation order is high.</w:t>
      </w:r>
    </w:p>
    <w:p w14:paraId="0D2DC34F" w14:textId="480B978D" w:rsidR="00B04033" w:rsidRDefault="00C62074" w:rsidP="004012BF">
      <w:pPr>
        <w:ind w:firstLine="720"/>
        <w:jc w:val="both"/>
        <w:rPr>
          <w:rFonts w:ascii="Arial" w:hAnsi="Arial" w:cs="Arial"/>
          <w:sz w:val="24"/>
        </w:rPr>
      </w:pPr>
      <w:r>
        <w:rPr>
          <w:rFonts w:ascii="Arial" w:hAnsi="Arial" w:cs="Arial"/>
          <w:color w:val="7B7B7B" w:themeColor="accent3" w:themeShade="BF"/>
          <w:sz w:val="22"/>
          <w:szCs w:val="22"/>
          <w:lang w:val="en-GB"/>
        </w:rPr>
        <w:t xml:space="preserve">In short, the liquidator </w:t>
      </w:r>
      <w:r w:rsidRPr="00C62074">
        <w:rPr>
          <w:rFonts w:ascii="Arial" w:hAnsi="Arial" w:cs="Arial"/>
          <w:b/>
          <w:bCs/>
          <w:color w:val="7B7B7B" w:themeColor="accent3" w:themeShade="BF"/>
          <w:sz w:val="22"/>
          <w:szCs w:val="22"/>
          <w:lang w:val="en-GB"/>
        </w:rPr>
        <w:t>may attack</w:t>
      </w:r>
      <w:r>
        <w:rPr>
          <w:rFonts w:ascii="Arial" w:hAnsi="Arial" w:cs="Arial"/>
          <w:color w:val="7B7B7B" w:themeColor="accent3" w:themeShade="BF"/>
          <w:sz w:val="22"/>
          <w:szCs w:val="22"/>
          <w:lang w:val="en-GB"/>
        </w:rPr>
        <w:t xml:space="preserve"> the payments made to Beans and Leaves Ltd, as the fall under the scope of section 127 of the Insolvency Act. However, the company may always attempt to apply for the </w:t>
      </w:r>
      <w:r w:rsidRPr="00C62074">
        <w:rPr>
          <w:rFonts w:ascii="Arial" w:hAnsi="Arial" w:cs="Arial"/>
          <w:b/>
          <w:bCs/>
          <w:color w:val="7B7B7B" w:themeColor="accent3" w:themeShade="BF"/>
          <w:sz w:val="22"/>
          <w:szCs w:val="22"/>
          <w:lang w:val="en-GB"/>
        </w:rPr>
        <w:t>validation order</w:t>
      </w:r>
      <w:r>
        <w:rPr>
          <w:rFonts w:ascii="Arial" w:hAnsi="Arial" w:cs="Arial"/>
          <w:b/>
          <w:b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as </w:t>
      </w:r>
      <w:r w:rsidR="004012BF">
        <w:rPr>
          <w:rFonts w:ascii="Arial" w:hAnsi="Arial" w:cs="Arial"/>
          <w:color w:val="7B7B7B" w:themeColor="accent3" w:themeShade="BF"/>
          <w:sz w:val="22"/>
          <w:szCs w:val="22"/>
          <w:lang w:val="en-GB"/>
        </w:rPr>
        <w:t>it seems to have</w:t>
      </w:r>
      <w:r>
        <w:rPr>
          <w:rFonts w:ascii="Arial" w:hAnsi="Arial" w:cs="Arial"/>
          <w:color w:val="7B7B7B" w:themeColor="accent3" w:themeShade="BF"/>
          <w:sz w:val="22"/>
          <w:szCs w:val="22"/>
          <w:lang w:val="en-GB"/>
        </w:rPr>
        <w:t xml:space="preserve"> sufficient grounds </w:t>
      </w:r>
      <w:r w:rsidR="004012BF">
        <w:rPr>
          <w:rFonts w:ascii="Arial" w:hAnsi="Arial" w:cs="Arial"/>
          <w:color w:val="7B7B7B" w:themeColor="accent3" w:themeShade="BF"/>
          <w:sz w:val="22"/>
          <w:szCs w:val="22"/>
          <w:lang w:val="en-GB"/>
        </w:rPr>
        <w:t>for convincing the court that it should receive such an order.</w:t>
      </w:r>
    </w:p>
    <w:p w14:paraId="643A858A" w14:textId="77777777" w:rsidR="004012BF" w:rsidRDefault="004012BF" w:rsidP="004012BF">
      <w:pPr>
        <w:ind w:firstLine="72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C1D7" w14:textId="77777777" w:rsidR="004600E1" w:rsidRDefault="004600E1" w:rsidP="00241B44">
      <w:r>
        <w:separator/>
      </w:r>
    </w:p>
  </w:endnote>
  <w:endnote w:type="continuationSeparator" w:id="0">
    <w:p w14:paraId="5C06AA8D" w14:textId="77777777" w:rsidR="004600E1" w:rsidRDefault="004600E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2314D1C1" w:rsidR="00241FA3" w:rsidRPr="009B4976" w:rsidRDefault="00585464" w:rsidP="009B4976">
    <w:pPr>
      <w:pStyle w:val="Footer"/>
      <w:ind w:right="360"/>
      <w:rPr>
        <w:rFonts w:ascii="Arial" w:hAnsi="Arial" w:cs="Arial"/>
        <w:sz w:val="18"/>
        <w:szCs w:val="18"/>
        <w:lang w:val="en-GB"/>
      </w:rPr>
    </w:pPr>
    <w:r w:rsidRPr="000C712A">
      <w:rPr>
        <w:rFonts w:ascii="Arial" w:hAnsi="Arial" w:cs="Arial"/>
        <w:sz w:val="18"/>
        <w:szCs w:val="18"/>
      </w:rPr>
      <w:t>202122-511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CE74" w14:textId="77777777" w:rsidR="00585464" w:rsidRDefault="0058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4CBB" w14:textId="77777777" w:rsidR="004600E1" w:rsidRDefault="004600E1" w:rsidP="00241B44">
      <w:r>
        <w:separator/>
      </w:r>
    </w:p>
  </w:footnote>
  <w:footnote w:type="continuationSeparator" w:id="0">
    <w:p w14:paraId="015F4DE9" w14:textId="77777777" w:rsidR="004600E1" w:rsidRDefault="004600E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EF" w14:textId="77777777" w:rsidR="00585464" w:rsidRDefault="0058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8841" w14:textId="77777777" w:rsidR="00585464" w:rsidRDefault="00585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47C0" w14:textId="77777777" w:rsidR="00585464" w:rsidRDefault="0058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5446843">
    <w:abstractNumId w:val="3"/>
  </w:num>
  <w:num w:numId="2" w16cid:durableId="437793144">
    <w:abstractNumId w:val="1"/>
  </w:num>
  <w:num w:numId="3" w16cid:durableId="1363480152">
    <w:abstractNumId w:val="0"/>
  </w:num>
  <w:num w:numId="4" w16cid:durableId="1917739472">
    <w:abstractNumId w:val="7"/>
  </w:num>
  <w:num w:numId="5" w16cid:durableId="1897471586">
    <w:abstractNumId w:val="10"/>
  </w:num>
  <w:num w:numId="6" w16cid:durableId="728655268">
    <w:abstractNumId w:val="2"/>
  </w:num>
  <w:num w:numId="7" w16cid:durableId="1321957456">
    <w:abstractNumId w:val="11"/>
  </w:num>
  <w:num w:numId="8" w16cid:durableId="956523486">
    <w:abstractNumId w:val="15"/>
  </w:num>
  <w:num w:numId="9" w16cid:durableId="1941135823">
    <w:abstractNumId w:val="8"/>
  </w:num>
  <w:num w:numId="10" w16cid:durableId="2001620625">
    <w:abstractNumId w:val="16"/>
  </w:num>
  <w:num w:numId="11" w16cid:durableId="811143954">
    <w:abstractNumId w:val="5"/>
  </w:num>
  <w:num w:numId="12" w16cid:durableId="2128040813">
    <w:abstractNumId w:val="13"/>
  </w:num>
  <w:num w:numId="13" w16cid:durableId="1057510558">
    <w:abstractNumId w:val="9"/>
  </w:num>
  <w:num w:numId="14" w16cid:durableId="1220939592">
    <w:abstractNumId w:val="4"/>
  </w:num>
  <w:num w:numId="15" w16cid:durableId="1001857995">
    <w:abstractNumId w:val="12"/>
  </w:num>
  <w:num w:numId="16" w16cid:durableId="538015525">
    <w:abstractNumId w:val="14"/>
  </w:num>
  <w:num w:numId="17" w16cid:durableId="13888711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proofState w:spelling="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4490"/>
    <w:rsid w:val="00065166"/>
    <w:rsid w:val="00082609"/>
    <w:rsid w:val="000851CC"/>
    <w:rsid w:val="00087F21"/>
    <w:rsid w:val="00093BE8"/>
    <w:rsid w:val="000A407B"/>
    <w:rsid w:val="000A68ED"/>
    <w:rsid w:val="000B4FC7"/>
    <w:rsid w:val="000B5FF1"/>
    <w:rsid w:val="000B609F"/>
    <w:rsid w:val="000D10C6"/>
    <w:rsid w:val="000D55A8"/>
    <w:rsid w:val="000E1900"/>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32CE"/>
    <w:rsid w:val="001C45FC"/>
    <w:rsid w:val="001D0469"/>
    <w:rsid w:val="001D29C0"/>
    <w:rsid w:val="001D4862"/>
    <w:rsid w:val="001E25B9"/>
    <w:rsid w:val="001E49E0"/>
    <w:rsid w:val="001E5709"/>
    <w:rsid w:val="001E6BBD"/>
    <w:rsid w:val="001E7B5A"/>
    <w:rsid w:val="001F6501"/>
    <w:rsid w:val="001F7412"/>
    <w:rsid w:val="0020090A"/>
    <w:rsid w:val="0020204E"/>
    <w:rsid w:val="00202DFE"/>
    <w:rsid w:val="0020725B"/>
    <w:rsid w:val="002110F1"/>
    <w:rsid w:val="00212F64"/>
    <w:rsid w:val="002356EA"/>
    <w:rsid w:val="0024116D"/>
    <w:rsid w:val="00241B44"/>
    <w:rsid w:val="00241FA3"/>
    <w:rsid w:val="00245EFB"/>
    <w:rsid w:val="0025386E"/>
    <w:rsid w:val="002638B0"/>
    <w:rsid w:val="00265EEA"/>
    <w:rsid w:val="0026647A"/>
    <w:rsid w:val="002668D3"/>
    <w:rsid w:val="0027299F"/>
    <w:rsid w:val="00284EBE"/>
    <w:rsid w:val="002903A7"/>
    <w:rsid w:val="00290773"/>
    <w:rsid w:val="0029433F"/>
    <w:rsid w:val="00294829"/>
    <w:rsid w:val="0029690F"/>
    <w:rsid w:val="00297C8A"/>
    <w:rsid w:val="002A2A60"/>
    <w:rsid w:val="002A37BB"/>
    <w:rsid w:val="002B1C45"/>
    <w:rsid w:val="002C13C8"/>
    <w:rsid w:val="002C3547"/>
    <w:rsid w:val="002C46CB"/>
    <w:rsid w:val="002D0021"/>
    <w:rsid w:val="002D299D"/>
    <w:rsid w:val="002D3473"/>
    <w:rsid w:val="002F04CF"/>
    <w:rsid w:val="002F1956"/>
    <w:rsid w:val="002F3440"/>
    <w:rsid w:val="002F75A3"/>
    <w:rsid w:val="002F77D6"/>
    <w:rsid w:val="00303C2F"/>
    <w:rsid w:val="00311816"/>
    <w:rsid w:val="003144EF"/>
    <w:rsid w:val="00314F32"/>
    <w:rsid w:val="00323517"/>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509A"/>
    <w:rsid w:val="00396821"/>
    <w:rsid w:val="00397D3A"/>
    <w:rsid w:val="003A051E"/>
    <w:rsid w:val="003A4482"/>
    <w:rsid w:val="003B170F"/>
    <w:rsid w:val="003B3C5F"/>
    <w:rsid w:val="003C4471"/>
    <w:rsid w:val="003D0A6D"/>
    <w:rsid w:val="003E0B16"/>
    <w:rsid w:val="003E67D1"/>
    <w:rsid w:val="003F3625"/>
    <w:rsid w:val="004012BF"/>
    <w:rsid w:val="00404329"/>
    <w:rsid w:val="00405DC1"/>
    <w:rsid w:val="00412FC8"/>
    <w:rsid w:val="00415F1F"/>
    <w:rsid w:val="0042108F"/>
    <w:rsid w:val="0042573E"/>
    <w:rsid w:val="00430FED"/>
    <w:rsid w:val="00434A8C"/>
    <w:rsid w:val="00435114"/>
    <w:rsid w:val="00437297"/>
    <w:rsid w:val="00444284"/>
    <w:rsid w:val="00445CE6"/>
    <w:rsid w:val="004534C2"/>
    <w:rsid w:val="0045446F"/>
    <w:rsid w:val="0045683E"/>
    <w:rsid w:val="004600E1"/>
    <w:rsid w:val="00461F95"/>
    <w:rsid w:val="00472B01"/>
    <w:rsid w:val="00474C2B"/>
    <w:rsid w:val="00477C72"/>
    <w:rsid w:val="00491675"/>
    <w:rsid w:val="00493855"/>
    <w:rsid w:val="00495E79"/>
    <w:rsid w:val="004A0BC5"/>
    <w:rsid w:val="004A2D83"/>
    <w:rsid w:val="004A57DD"/>
    <w:rsid w:val="004A7B51"/>
    <w:rsid w:val="004A7D71"/>
    <w:rsid w:val="004A7EF3"/>
    <w:rsid w:val="004B11FD"/>
    <w:rsid w:val="004B23A2"/>
    <w:rsid w:val="004D1A5A"/>
    <w:rsid w:val="004D2FFF"/>
    <w:rsid w:val="004D3721"/>
    <w:rsid w:val="004D64F9"/>
    <w:rsid w:val="004E348D"/>
    <w:rsid w:val="004E3A6B"/>
    <w:rsid w:val="004E622C"/>
    <w:rsid w:val="004F2244"/>
    <w:rsid w:val="004F5FDF"/>
    <w:rsid w:val="005177FE"/>
    <w:rsid w:val="0052263B"/>
    <w:rsid w:val="00524728"/>
    <w:rsid w:val="00524899"/>
    <w:rsid w:val="00532ACC"/>
    <w:rsid w:val="005331CA"/>
    <w:rsid w:val="00537970"/>
    <w:rsid w:val="00540E3A"/>
    <w:rsid w:val="00544127"/>
    <w:rsid w:val="005463A9"/>
    <w:rsid w:val="005509F3"/>
    <w:rsid w:val="00553EB2"/>
    <w:rsid w:val="00560534"/>
    <w:rsid w:val="0056391B"/>
    <w:rsid w:val="005650E2"/>
    <w:rsid w:val="00567AD7"/>
    <w:rsid w:val="00575B2D"/>
    <w:rsid w:val="00577FBD"/>
    <w:rsid w:val="005833D0"/>
    <w:rsid w:val="005846F3"/>
    <w:rsid w:val="00585464"/>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6537"/>
    <w:rsid w:val="005E7008"/>
    <w:rsid w:val="005F026D"/>
    <w:rsid w:val="005F2AEA"/>
    <w:rsid w:val="005F2D0B"/>
    <w:rsid w:val="005F363E"/>
    <w:rsid w:val="005F4B31"/>
    <w:rsid w:val="005F73A5"/>
    <w:rsid w:val="00610388"/>
    <w:rsid w:val="00610AC7"/>
    <w:rsid w:val="00612CA5"/>
    <w:rsid w:val="006153EC"/>
    <w:rsid w:val="0061747D"/>
    <w:rsid w:val="00621A17"/>
    <w:rsid w:val="00627CC9"/>
    <w:rsid w:val="00627E7B"/>
    <w:rsid w:val="00630542"/>
    <w:rsid w:val="00632E44"/>
    <w:rsid w:val="00634622"/>
    <w:rsid w:val="00636808"/>
    <w:rsid w:val="00641515"/>
    <w:rsid w:val="0064185A"/>
    <w:rsid w:val="00654C2F"/>
    <w:rsid w:val="00657087"/>
    <w:rsid w:val="006624AB"/>
    <w:rsid w:val="006639DB"/>
    <w:rsid w:val="006661EF"/>
    <w:rsid w:val="00677AEB"/>
    <w:rsid w:val="00680EF2"/>
    <w:rsid w:val="00687A1D"/>
    <w:rsid w:val="00697EA1"/>
    <w:rsid w:val="006A2646"/>
    <w:rsid w:val="006A6530"/>
    <w:rsid w:val="006B435A"/>
    <w:rsid w:val="006B4C64"/>
    <w:rsid w:val="006C09CF"/>
    <w:rsid w:val="006D282B"/>
    <w:rsid w:val="006D6BD5"/>
    <w:rsid w:val="006E481A"/>
    <w:rsid w:val="006E5298"/>
    <w:rsid w:val="006F3ED9"/>
    <w:rsid w:val="006F4A78"/>
    <w:rsid w:val="006F734A"/>
    <w:rsid w:val="00700D83"/>
    <w:rsid w:val="00704852"/>
    <w:rsid w:val="0070524B"/>
    <w:rsid w:val="007074E9"/>
    <w:rsid w:val="00712E31"/>
    <w:rsid w:val="00713DA4"/>
    <w:rsid w:val="00714BF1"/>
    <w:rsid w:val="00716BB7"/>
    <w:rsid w:val="00721383"/>
    <w:rsid w:val="00723DB1"/>
    <w:rsid w:val="0073158B"/>
    <w:rsid w:val="007333CC"/>
    <w:rsid w:val="0073399A"/>
    <w:rsid w:val="0073555B"/>
    <w:rsid w:val="00740DAD"/>
    <w:rsid w:val="00742AF3"/>
    <w:rsid w:val="00743462"/>
    <w:rsid w:val="007603F5"/>
    <w:rsid w:val="00763348"/>
    <w:rsid w:val="0076346E"/>
    <w:rsid w:val="00764DB0"/>
    <w:rsid w:val="0076764D"/>
    <w:rsid w:val="0077498C"/>
    <w:rsid w:val="007809BC"/>
    <w:rsid w:val="00784128"/>
    <w:rsid w:val="00787BCC"/>
    <w:rsid w:val="00793173"/>
    <w:rsid w:val="007A2A33"/>
    <w:rsid w:val="007A5171"/>
    <w:rsid w:val="007B5C89"/>
    <w:rsid w:val="007C06F0"/>
    <w:rsid w:val="007C1FCC"/>
    <w:rsid w:val="007C6201"/>
    <w:rsid w:val="007D7C92"/>
    <w:rsid w:val="007E001D"/>
    <w:rsid w:val="007E1154"/>
    <w:rsid w:val="007E2919"/>
    <w:rsid w:val="007E46A8"/>
    <w:rsid w:val="007E6BA4"/>
    <w:rsid w:val="007F41F8"/>
    <w:rsid w:val="007F659B"/>
    <w:rsid w:val="0080441E"/>
    <w:rsid w:val="0080454E"/>
    <w:rsid w:val="00804C32"/>
    <w:rsid w:val="00806302"/>
    <w:rsid w:val="00807119"/>
    <w:rsid w:val="0082483F"/>
    <w:rsid w:val="008279C0"/>
    <w:rsid w:val="00832E9E"/>
    <w:rsid w:val="00853217"/>
    <w:rsid w:val="00866D49"/>
    <w:rsid w:val="00867701"/>
    <w:rsid w:val="00867DC0"/>
    <w:rsid w:val="008723F3"/>
    <w:rsid w:val="008769B2"/>
    <w:rsid w:val="00876F56"/>
    <w:rsid w:val="00881DE6"/>
    <w:rsid w:val="008837A6"/>
    <w:rsid w:val="0089145D"/>
    <w:rsid w:val="0089165F"/>
    <w:rsid w:val="00891690"/>
    <w:rsid w:val="008940F4"/>
    <w:rsid w:val="008A4DF2"/>
    <w:rsid w:val="008A6CFE"/>
    <w:rsid w:val="008B290C"/>
    <w:rsid w:val="008B2E10"/>
    <w:rsid w:val="008B5333"/>
    <w:rsid w:val="008B6223"/>
    <w:rsid w:val="008B72B8"/>
    <w:rsid w:val="008C18D7"/>
    <w:rsid w:val="008C66E0"/>
    <w:rsid w:val="008D1616"/>
    <w:rsid w:val="008D5296"/>
    <w:rsid w:val="008D65FC"/>
    <w:rsid w:val="008E3339"/>
    <w:rsid w:val="008F19EA"/>
    <w:rsid w:val="008F20FC"/>
    <w:rsid w:val="008F5FFE"/>
    <w:rsid w:val="00905A43"/>
    <w:rsid w:val="00912C79"/>
    <w:rsid w:val="00921B8C"/>
    <w:rsid w:val="00924AE6"/>
    <w:rsid w:val="00924DAF"/>
    <w:rsid w:val="00931D14"/>
    <w:rsid w:val="00942123"/>
    <w:rsid w:val="00951AA8"/>
    <w:rsid w:val="0095207B"/>
    <w:rsid w:val="00962045"/>
    <w:rsid w:val="00980E61"/>
    <w:rsid w:val="00990B05"/>
    <w:rsid w:val="00991428"/>
    <w:rsid w:val="00992676"/>
    <w:rsid w:val="009954B2"/>
    <w:rsid w:val="00996691"/>
    <w:rsid w:val="009A3AB7"/>
    <w:rsid w:val="009A695B"/>
    <w:rsid w:val="009B0723"/>
    <w:rsid w:val="009B07AD"/>
    <w:rsid w:val="009B0883"/>
    <w:rsid w:val="009B15E2"/>
    <w:rsid w:val="009B4976"/>
    <w:rsid w:val="009C0B8E"/>
    <w:rsid w:val="009C1BC8"/>
    <w:rsid w:val="009C2442"/>
    <w:rsid w:val="009D02A6"/>
    <w:rsid w:val="009D0811"/>
    <w:rsid w:val="009D0EE1"/>
    <w:rsid w:val="009D584D"/>
    <w:rsid w:val="009E2AEB"/>
    <w:rsid w:val="009E2E27"/>
    <w:rsid w:val="009E45DF"/>
    <w:rsid w:val="009E4DE3"/>
    <w:rsid w:val="009F275E"/>
    <w:rsid w:val="00A02C08"/>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A77BD"/>
    <w:rsid w:val="00AB1A3C"/>
    <w:rsid w:val="00AB2425"/>
    <w:rsid w:val="00AB2936"/>
    <w:rsid w:val="00AB6725"/>
    <w:rsid w:val="00AB685C"/>
    <w:rsid w:val="00AB6C2D"/>
    <w:rsid w:val="00AC08F7"/>
    <w:rsid w:val="00AC317D"/>
    <w:rsid w:val="00AC3839"/>
    <w:rsid w:val="00AC7082"/>
    <w:rsid w:val="00AD1F69"/>
    <w:rsid w:val="00AD4BE8"/>
    <w:rsid w:val="00AE4DF6"/>
    <w:rsid w:val="00AE5B6F"/>
    <w:rsid w:val="00AF228E"/>
    <w:rsid w:val="00B016A8"/>
    <w:rsid w:val="00B04033"/>
    <w:rsid w:val="00B12F6E"/>
    <w:rsid w:val="00B14819"/>
    <w:rsid w:val="00B15E2F"/>
    <w:rsid w:val="00B17AA9"/>
    <w:rsid w:val="00B36FE4"/>
    <w:rsid w:val="00B4182C"/>
    <w:rsid w:val="00B44713"/>
    <w:rsid w:val="00B51B95"/>
    <w:rsid w:val="00B521F4"/>
    <w:rsid w:val="00B56103"/>
    <w:rsid w:val="00B64929"/>
    <w:rsid w:val="00B736DF"/>
    <w:rsid w:val="00B743D6"/>
    <w:rsid w:val="00B74FBD"/>
    <w:rsid w:val="00B77F46"/>
    <w:rsid w:val="00B82586"/>
    <w:rsid w:val="00B829A3"/>
    <w:rsid w:val="00B82AFD"/>
    <w:rsid w:val="00B86DB1"/>
    <w:rsid w:val="00B87869"/>
    <w:rsid w:val="00B91B6C"/>
    <w:rsid w:val="00B9639B"/>
    <w:rsid w:val="00BA1CFD"/>
    <w:rsid w:val="00BA361A"/>
    <w:rsid w:val="00BB0F2B"/>
    <w:rsid w:val="00BB1E45"/>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74"/>
    <w:rsid w:val="00C620F4"/>
    <w:rsid w:val="00C70AD1"/>
    <w:rsid w:val="00C72848"/>
    <w:rsid w:val="00C7736C"/>
    <w:rsid w:val="00C82D87"/>
    <w:rsid w:val="00C8712A"/>
    <w:rsid w:val="00C902C8"/>
    <w:rsid w:val="00C91062"/>
    <w:rsid w:val="00C919D1"/>
    <w:rsid w:val="00C963D3"/>
    <w:rsid w:val="00CB1983"/>
    <w:rsid w:val="00CB2CBB"/>
    <w:rsid w:val="00CB445F"/>
    <w:rsid w:val="00CB7CAC"/>
    <w:rsid w:val="00CC1910"/>
    <w:rsid w:val="00CC5335"/>
    <w:rsid w:val="00CC5BA4"/>
    <w:rsid w:val="00CD4998"/>
    <w:rsid w:val="00CE1035"/>
    <w:rsid w:val="00CE6E50"/>
    <w:rsid w:val="00CF2819"/>
    <w:rsid w:val="00CF4F9D"/>
    <w:rsid w:val="00CF70DC"/>
    <w:rsid w:val="00D148DC"/>
    <w:rsid w:val="00D17FDC"/>
    <w:rsid w:val="00D21D8C"/>
    <w:rsid w:val="00D36897"/>
    <w:rsid w:val="00D53719"/>
    <w:rsid w:val="00D626C1"/>
    <w:rsid w:val="00D63EFD"/>
    <w:rsid w:val="00D659FB"/>
    <w:rsid w:val="00D84752"/>
    <w:rsid w:val="00D86B3B"/>
    <w:rsid w:val="00D8748A"/>
    <w:rsid w:val="00D93196"/>
    <w:rsid w:val="00DA0DC0"/>
    <w:rsid w:val="00DB243C"/>
    <w:rsid w:val="00DB482A"/>
    <w:rsid w:val="00DB50FB"/>
    <w:rsid w:val="00DB56F2"/>
    <w:rsid w:val="00DB6EF5"/>
    <w:rsid w:val="00DC0ED2"/>
    <w:rsid w:val="00DC3089"/>
    <w:rsid w:val="00DC3D81"/>
    <w:rsid w:val="00DC4420"/>
    <w:rsid w:val="00DD0802"/>
    <w:rsid w:val="00DD2E11"/>
    <w:rsid w:val="00DE03AF"/>
    <w:rsid w:val="00DE121C"/>
    <w:rsid w:val="00DE6633"/>
    <w:rsid w:val="00DF75F8"/>
    <w:rsid w:val="00DF7A3A"/>
    <w:rsid w:val="00E00C00"/>
    <w:rsid w:val="00E02579"/>
    <w:rsid w:val="00E07C5A"/>
    <w:rsid w:val="00E07E03"/>
    <w:rsid w:val="00E15BA9"/>
    <w:rsid w:val="00E26E19"/>
    <w:rsid w:val="00E31DF3"/>
    <w:rsid w:val="00E443D7"/>
    <w:rsid w:val="00E450A4"/>
    <w:rsid w:val="00E506BE"/>
    <w:rsid w:val="00E51AEF"/>
    <w:rsid w:val="00E55547"/>
    <w:rsid w:val="00E6302B"/>
    <w:rsid w:val="00E6452F"/>
    <w:rsid w:val="00E64F45"/>
    <w:rsid w:val="00E6742D"/>
    <w:rsid w:val="00E71CB0"/>
    <w:rsid w:val="00E77C3D"/>
    <w:rsid w:val="00E833F4"/>
    <w:rsid w:val="00E85A25"/>
    <w:rsid w:val="00E90991"/>
    <w:rsid w:val="00E909F0"/>
    <w:rsid w:val="00E90D47"/>
    <w:rsid w:val="00E93993"/>
    <w:rsid w:val="00E94797"/>
    <w:rsid w:val="00E9597C"/>
    <w:rsid w:val="00E979E2"/>
    <w:rsid w:val="00EA0913"/>
    <w:rsid w:val="00EA5B00"/>
    <w:rsid w:val="00EB146B"/>
    <w:rsid w:val="00EB45AC"/>
    <w:rsid w:val="00EC441F"/>
    <w:rsid w:val="00EC4755"/>
    <w:rsid w:val="00EC6FB3"/>
    <w:rsid w:val="00ED0BC4"/>
    <w:rsid w:val="00ED447D"/>
    <w:rsid w:val="00EE4971"/>
    <w:rsid w:val="00EE6CB0"/>
    <w:rsid w:val="00EF090E"/>
    <w:rsid w:val="00EF0ED9"/>
    <w:rsid w:val="00EF5572"/>
    <w:rsid w:val="00F01D7D"/>
    <w:rsid w:val="00F033DA"/>
    <w:rsid w:val="00F04252"/>
    <w:rsid w:val="00F13691"/>
    <w:rsid w:val="00F13FB1"/>
    <w:rsid w:val="00F27CD8"/>
    <w:rsid w:val="00F30351"/>
    <w:rsid w:val="00F32D02"/>
    <w:rsid w:val="00F3323E"/>
    <w:rsid w:val="00F341F4"/>
    <w:rsid w:val="00F34F9D"/>
    <w:rsid w:val="00F35CCE"/>
    <w:rsid w:val="00F47D98"/>
    <w:rsid w:val="00F5524B"/>
    <w:rsid w:val="00F60538"/>
    <w:rsid w:val="00F61DD2"/>
    <w:rsid w:val="00F62E7A"/>
    <w:rsid w:val="00F64D18"/>
    <w:rsid w:val="00F66AFF"/>
    <w:rsid w:val="00F70126"/>
    <w:rsid w:val="00F71433"/>
    <w:rsid w:val="00F87B04"/>
    <w:rsid w:val="00F97C5B"/>
    <w:rsid w:val="00FA12B9"/>
    <w:rsid w:val="00FA3D50"/>
    <w:rsid w:val="00FA417D"/>
    <w:rsid w:val="00FA7698"/>
    <w:rsid w:val="00FB1DD5"/>
    <w:rsid w:val="00FB31D6"/>
    <w:rsid w:val="00FB7FBD"/>
    <w:rsid w:val="00FC1FC1"/>
    <w:rsid w:val="00FC374A"/>
    <w:rsid w:val="00FC74C8"/>
    <w:rsid w:val="00FC7B47"/>
    <w:rsid w:val="00FD035C"/>
    <w:rsid w:val="00FD1A35"/>
    <w:rsid w:val="00FD2EA4"/>
    <w:rsid w:val="00FD36C5"/>
    <w:rsid w:val="00FD6310"/>
    <w:rsid w:val="00FD7C7B"/>
    <w:rsid w:val="00FE1D12"/>
    <w:rsid w:val="00FE2122"/>
    <w:rsid w:val="00FE2A86"/>
    <w:rsid w:val="00FE2DE2"/>
    <w:rsid w:val="00FF067E"/>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64"/>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F0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7508">
      <w:bodyDiv w:val="1"/>
      <w:marLeft w:val="0"/>
      <w:marRight w:val="0"/>
      <w:marTop w:val="0"/>
      <w:marBottom w:val="0"/>
      <w:divBdr>
        <w:top w:val="none" w:sz="0" w:space="0" w:color="auto"/>
        <w:left w:val="none" w:sz="0" w:space="0" w:color="auto"/>
        <w:bottom w:val="none" w:sz="0" w:space="0" w:color="auto"/>
        <w:right w:val="none" w:sz="0" w:space="0" w:color="auto"/>
      </w:divBdr>
    </w:div>
    <w:div w:id="114688415">
      <w:bodyDiv w:val="1"/>
      <w:marLeft w:val="0"/>
      <w:marRight w:val="0"/>
      <w:marTop w:val="0"/>
      <w:marBottom w:val="0"/>
      <w:divBdr>
        <w:top w:val="none" w:sz="0" w:space="0" w:color="auto"/>
        <w:left w:val="none" w:sz="0" w:space="0" w:color="auto"/>
        <w:bottom w:val="none" w:sz="0" w:space="0" w:color="auto"/>
        <w:right w:val="none" w:sz="0" w:space="0" w:color="auto"/>
      </w:divBdr>
    </w:div>
    <w:div w:id="153420493">
      <w:bodyDiv w:val="1"/>
      <w:marLeft w:val="0"/>
      <w:marRight w:val="0"/>
      <w:marTop w:val="0"/>
      <w:marBottom w:val="0"/>
      <w:divBdr>
        <w:top w:val="none" w:sz="0" w:space="0" w:color="auto"/>
        <w:left w:val="none" w:sz="0" w:space="0" w:color="auto"/>
        <w:bottom w:val="none" w:sz="0" w:space="0" w:color="auto"/>
        <w:right w:val="none" w:sz="0" w:space="0" w:color="auto"/>
      </w:divBdr>
    </w:div>
    <w:div w:id="406390273">
      <w:bodyDiv w:val="1"/>
      <w:marLeft w:val="0"/>
      <w:marRight w:val="0"/>
      <w:marTop w:val="0"/>
      <w:marBottom w:val="0"/>
      <w:divBdr>
        <w:top w:val="none" w:sz="0" w:space="0" w:color="auto"/>
        <w:left w:val="none" w:sz="0" w:space="0" w:color="auto"/>
        <w:bottom w:val="none" w:sz="0" w:space="0" w:color="auto"/>
        <w:right w:val="none" w:sz="0" w:space="0" w:color="auto"/>
      </w:divBdr>
    </w:div>
    <w:div w:id="51225998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8047374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7827877">
      <w:bodyDiv w:val="1"/>
      <w:marLeft w:val="0"/>
      <w:marRight w:val="0"/>
      <w:marTop w:val="0"/>
      <w:marBottom w:val="0"/>
      <w:divBdr>
        <w:top w:val="none" w:sz="0" w:space="0" w:color="auto"/>
        <w:left w:val="none" w:sz="0" w:space="0" w:color="auto"/>
        <w:bottom w:val="none" w:sz="0" w:space="0" w:color="auto"/>
        <w:right w:val="none" w:sz="0" w:space="0" w:color="auto"/>
      </w:divBdr>
    </w:div>
    <w:div w:id="1082335333">
      <w:bodyDiv w:val="1"/>
      <w:marLeft w:val="0"/>
      <w:marRight w:val="0"/>
      <w:marTop w:val="0"/>
      <w:marBottom w:val="0"/>
      <w:divBdr>
        <w:top w:val="none" w:sz="0" w:space="0" w:color="auto"/>
        <w:left w:val="none" w:sz="0" w:space="0" w:color="auto"/>
        <w:bottom w:val="none" w:sz="0" w:space="0" w:color="auto"/>
        <w:right w:val="none" w:sz="0" w:space="0" w:color="auto"/>
      </w:divBdr>
    </w:div>
    <w:div w:id="1188831838">
      <w:bodyDiv w:val="1"/>
      <w:marLeft w:val="0"/>
      <w:marRight w:val="0"/>
      <w:marTop w:val="0"/>
      <w:marBottom w:val="0"/>
      <w:divBdr>
        <w:top w:val="none" w:sz="0" w:space="0" w:color="auto"/>
        <w:left w:val="none" w:sz="0" w:space="0" w:color="auto"/>
        <w:bottom w:val="none" w:sz="0" w:space="0" w:color="auto"/>
        <w:right w:val="none" w:sz="0" w:space="0" w:color="auto"/>
      </w:divBdr>
    </w:div>
    <w:div w:id="1226181093">
      <w:bodyDiv w:val="1"/>
      <w:marLeft w:val="0"/>
      <w:marRight w:val="0"/>
      <w:marTop w:val="0"/>
      <w:marBottom w:val="0"/>
      <w:divBdr>
        <w:top w:val="none" w:sz="0" w:space="0" w:color="auto"/>
        <w:left w:val="none" w:sz="0" w:space="0" w:color="auto"/>
        <w:bottom w:val="none" w:sz="0" w:space="0" w:color="auto"/>
        <w:right w:val="none" w:sz="0" w:space="0" w:color="auto"/>
      </w:divBdr>
    </w:div>
    <w:div w:id="1306427155">
      <w:bodyDiv w:val="1"/>
      <w:marLeft w:val="0"/>
      <w:marRight w:val="0"/>
      <w:marTop w:val="0"/>
      <w:marBottom w:val="0"/>
      <w:divBdr>
        <w:top w:val="none" w:sz="0" w:space="0" w:color="auto"/>
        <w:left w:val="none" w:sz="0" w:space="0" w:color="auto"/>
        <w:bottom w:val="none" w:sz="0" w:space="0" w:color="auto"/>
        <w:right w:val="none" w:sz="0" w:space="0" w:color="auto"/>
      </w:divBdr>
    </w:div>
    <w:div w:id="1443573059">
      <w:bodyDiv w:val="1"/>
      <w:marLeft w:val="0"/>
      <w:marRight w:val="0"/>
      <w:marTop w:val="0"/>
      <w:marBottom w:val="0"/>
      <w:divBdr>
        <w:top w:val="none" w:sz="0" w:space="0" w:color="auto"/>
        <w:left w:val="none" w:sz="0" w:space="0" w:color="auto"/>
        <w:bottom w:val="none" w:sz="0" w:space="0" w:color="auto"/>
        <w:right w:val="none" w:sz="0" w:space="0" w:color="auto"/>
      </w:divBdr>
    </w:div>
    <w:div w:id="1519730375">
      <w:bodyDiv w:val="1"/>
      <w:marLeft w:val="0"/>
      <w:marRight w:val="0"/>
      <w:marTop w:val="0"/>
      <w:marBottom w:val="0"/>
      <w:divBdr>
        <w:top w:val="none" w:sz="0" w:space="0" w:color="auto"/>
        <w:left w:val="none" w:sz="0" w:space="0" w:color="auto"/>
        <w:bottom w:val="none" w:sz="0" w:space="0" w:color="auto"/>
        <w:right w:val="none" w:sz="0" w:space="0" w:color="auto"/>
      </w:divBdr>
    </w:div>
    <w:div w:id="1718822514">
      <w:bodyDiv w:val="1"/>
      <w:marLeft w:val="0"/>
      <w:marRight w:val="0"/>
      <w:marTop w:val="0"/>
      <w:marBottom w:val="0"/>
      <w:divBdr>
        <w:top w:val="none" w:sz="0" w:space="0" w:color="auto"/>
        <w:left w:val="none" w:sz="0" w:space="0" w:color="auto"/>
        <w:bottom w:val="none" w:sz="0" w:space="0" w:color="auto"/>
        <w:right w:val="none" w:sz="0" w:space="0" w:color="auto"/>
      </w:divBdr>
    </w:div>
    <w:div w:id="189688631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47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6/45/section/233" TargetMode="External"/><Relationship Id="rId18" Type="http://schemas.openxmlformats.org/officeDocument/2006/relationships/hyperlink" Target="https://www.legislation.gov.uk/ukpga/1986/45/part/XI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lation.gov.uk/ukpga/1986/45/section/245" TargetMode="External"/><Relationship Id="rId7" Type="http://schemas.openxmlformats.org/officeDocument/2006/relationships/endnotes" Target="endnotes.xml"/><Relationship Id="rId12" Type="http://schemas.openxmlformats.org/officeDocument/2006/relationships/hyperlink" Target="https://www.legislation.gov.uk/uksi/2016/1024/article/15.3/made" TargetMode="External"/><Relationship Id="rId17" Type="http://schemas.openxmlformats.org/officeDocument/2006/relationships/hyperlink" Target="https://www.legislation.gov.uk/uksi/2016/1024/article/7.108/made" TargetMode="External"/><Relationship Id="rId25" Type="http://schemas.openxmlformats.org/officeDocument/2006/relationships/hyperlink" Target="https://www.legislation.gov.uk/ukpga/1986/45/section/12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si/2016/1024/article/6.42/made" TargetMode="External"/><Relationship Id="rId20" Type="http://schemas.openxmlformats.org/officeDocument/2006/relationships/hyperlink" Target="https://www.legislation.gov.uk/ukpga/1986/45/section/12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6/45/section/246ZB" TargetMode="External"/><Relationship Id="rId24" Type="http://schemas.openxmlformats.org/officeDocument/2006/relationships/hyperlink" Target="https://publications.parliament.uk/pa/ld200001/ldjudgmt/jd010118/intern-1.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uk/ukpga/1986/45/section/115" TargetMode="External"/><Relationship Id="rId23" Type="http://schemas.openxmlformats.org/officeDocument/2006/relationships/hyperlink" Target="https://www.legislation.gov.uk/ukpga/1986/45/section/240" TargetMode="External"/><Relationship Id="rId28" Type="http://schemas.openxmlformats.org/officeDocument/2006/relationships/footer" Target="footer1.xml"/><Relationship Id="rId10" Type="http://schemas.openxmlformats.org/officeDocument/2006/relationships/hyperlink" Target="https://www.legislation.gov.uk/ukpga/1986/46/section/7" TargetMode="External"/><Relationship Id="rId19" Type="http://schemas.openxmlformats.org/officeDocument/2006/relationships/hyperlink" Target="https://www.legislation.gov.uk/ukpga/1986/45/schedule/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gislation.gov.uk/ukpga/1986/45/section/424" TargetMode="External"/><Relationship Id="rId14" Type="http://schemas.openxmlformats.org/officeDocument/2006/relationships/hyperlink" Target="https://www.legislation.gov.uk/ukpga/1986/45/section/233B" TargetMode="External"/><Relationship Id="rId22" Type="http://schemas.openxmlformats.org/officeDocument/2006/relationships/hyperlink" Target="https://www.legislation.gov.uk/ukpga/1986/45/section/23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4583</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Defne Tasman</cp:lastModifiedBy>
  <cp:revision>47</cp:revision>
  <cp:lastPrinted>2019-08-27T05:42:00Z</cp:lastPrinted>
  <dcterms:created xsi:type="dcterms:W3CDTF">2021-08-17T11:41:00Z</dcterms:created>
  <dcterms:modified xsi:type="dcterms:W3CDTF">2022-07-28T14:55:00Z</dcterms:modified>
</cp:coreProperties>
</file>