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6332742A"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r w:rsidR="00F40B56">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FE7DD4"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FE7DD4">
        <w:rPr>
          <w:rFonts w:ascii="Arial" w:hAnsi="Arial" w:cs="Arial"/>
          <w:sz w:val="22"/>
          <w:szCs w:val="22"/>
          <w:highlight w:val="yellow"/>
          <w:lang w:val="en-GB"/>
        </w:rPr>
        <w:t xml:space="preserve">All of the above. </w:t>
      </w:r>
      <w:bookmarkEnd w:id="1"/>
      <w:r w:rsidRPr="00FE7DD4">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existence of a statutory basis in national (insolvency) laws for co</w:t>
      </w:r>
      <w:r w:rsidR="00B61419" w:rsidRPr="009B5832">
        <w:rPr>
          <w:rFonts w:ascii="Arial" w:hAnsi="Arial" w:cs="Arial"/>
          <w:sz w:val="22"/>
          <w:szCs w:val="22"/>
          <w:lang w:val="en-GB"/>
        </w:rPr>
        <w:t>-</w:t>
      </w:r>
      <w:r w:rsidRPr="009B5832">
        <w:rPr>
          <w:rFonts w:ascii="Arial" w:hAnsi="Arial" w:cs="Arial"/>
          <w:sz w:val="22"/>
          <w:szCs w:val="22"/>
          <w:lang w:val="en-GB"/>
        </w:rPr>
        <w:t>operation and co</w:t>
      </w:r>
      <w:r w:rsidR="00B61419" w:rsidRPr="009B5832">
        <w:rPr>
          <w:rFonts w:ascii="Arial" w:hAnsi="Arial" w:cs="Arial"/>
          <w:sz w:val="22"/>
          <w:szCs w:val="22"/>
          <w:lang w:val="en-GB"/>
        </w:rPr>
        <w:t>-</w:t>
      </w:r>
      <w:r w:rsidRPr="009B5832">
        <w:rPr>
          <w:rFonts w:ascii="Arial" w:hAnsi="Arial" w:cs="Arial"/>
          <w:sz w:val="22"/>
          <w:szCs w:val="22"/>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B016B8" w:rsidRDefault="005F21F4" w:rsidP="005F21F4">
      <w:pPr>
        <w:pStyle w:val="ListParagraph"/>
        <w:numPr>
          <w:ilvl w:val="0"/>
          <w:numId w:val="14"/>
        </w:numPr>
        <w:ind w:left="426"/>
        <w:jc w:val="both"/>
        <w:rPr>
          <w:rFonts w:ascii="Arial" w:hAnsi="Arial" w:cs="Arial"/>
          <w:sz w:val="22"/>
          <w:szCs w:val="22"/>
          <w:highlight w:val="yellow"/>
          <w:lang w:val="en-GB"/>
        </w:rPr>
      </w:pPr>
      <w:bookmarkStart w:id="2" w:name="_Hlk47080588"/>
      <w:r w:rsidRPr="00B016B8">
        <w:rPr>
          <w:rFonts w:ascii="Arial" w:hAnsi="Arial" w:cs="Arial"/>
          <w:sz w:val="22"/>
          <w:szCs w:val="22"/>
          <w:highlight w:val="yellow"/>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6EB9494D" w:rsidR="00853A74"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553E0E46" w14:textId="77777777" w:rsidR="00994FBB" w:rsidRPr="009B5832" w:rsidRDefault="00994FBB" w:rsidP="00994FBB">
      <w:pPr>
        <w:pStyle w:val="ListParagraph"/>
        <w:ind w:left="426"/>
        <w:jc w:val="both"/>
        <w:rPr>
          <w:rFonts w:ascii="Arial" w:hAnsi="Arial" w:cs="Arial"/>
          <w:sz w:val="22"/>
          <w:szCs w:val="22"/>
          <w:lang w:val="en-GB"/>
        </w:rPr>
      </w:pP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062C86" w:rsidRDefault="00853A74" w:rsidP="00853A74">
      <w:pPr>
        <w:pStyle w:val="ListParagraph"/>
        <w:numPr>
          <w:ilvl w:val="0"/>
          <w:numId w:val="16"/>
        </w:numPr>
        <w:ind w:left="426"/>
        <w:jc w:val="both"/>
        <w:rPr>
          <w:rFonts w:ascii="Arial" w:hAnsi="Arial" w:cs="Arial"/>
          <w:sz w:val="22"/>
          <w:szCs w:val="22"/>
          <w:highlight w:val="yellow"/>
          <w:lang w:val="en-GB"/>
        </w:rPr>
      </w:pPr>
      <w:r w:rsidRPr="00062C86">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DA2B26" w:rsidRDefault="00E57410" w:rsidP="00322F3B">
      <w:pPr>
        <w:pStyle w:val="ListParagraph"/>
        <w:numPr>
          <w:ilvl w:val="0"/>
          <w:numId w:val="18"/>
        </w:numPr>
        <w:ind w:left="426"/>
        <w:jc w:val="both"/>
        <w:rPr>
          <w:rFonts w:ascii="Arial" w:hAnsi="Arial" w:cs="Arial"/>
          <w:sz w:val="22"/>
          <w:szCs w:val="22"/>
          <w:highlight w:val="yellow"/>
          <w:lang w:val="en-GB"/>
        </w:rPr>
      </w:pPr>
      <w:r w:rsidRPr="00DA2B26">
        <w:rPr>
          <w:rFonts w:ascii="Arial" w:hAnsi="Arial" w:cs="Arial"/>
          <w:sz w:val="22"/>
          <w:szCs w:val="22"/>
          <w:highlight w:val="yellow"/>
          <w:lang w:val="en-GB"/>
        </w:rPr>
        <w:t xml:space="preserve">The </w:t>
      </w:r>
      <w:r w:rsidRPr="00DA2B26">
        <w:rPr>
          <w:rFonts w:ascii="Arial" w:hAnsi="Arial" w:cs="Arial"/>
          <w:i/>
          <w:iCs/>
          <w:sz w:val="22"/>
          <w:szCs w:val="22"/>
          <w:highlight w:val="yellow"/>
          <w:lang w:val="en-GB"/>
        </w:rPr>
        <w:t>locus standi</w:t>
      </w:r>
      <w:r w:rsidRPr="00DA2B26">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202E08" w:rsidRDefault="00E9597C" w:rsidP="00707FC8">
      <w:pPr>
        <w:jc w:val="both"/>
        <w:rPr>
          <w:rFonts w:ascii="Arial" w:hAnsi="Arial" w:cs="Arial"/>
          <w:b/>
          <w:bCs/>
          <w:sz w:val="22"/>
          <w:szCs w:val="22"/>
          <w:lang w:val="en-GB"/>
        </w:rPr>
      </w:pPr>
      <w:r w:rsidRPr="00202E08">
        <w:rPr>
          <w:rFonts w:ascii="Arial" w:hAnsi="Arial" w:cs="Arial"/>
          <w:b/>
          <w:bCs/>
          <w:sz w:val="22"/>
          <w:szCs w:val="22"/>
          <w:lang w:val="en-GB"/>
        </w:rPr>
        <w:t xml:space="preserve">Question 1.5 </w:t>
      </w:r>
    </w:p>
    <w:p w14:paraId="49262AAD" w14:textId="77777777" w:rsidR="00E9597C" w:rsidRPr="00202E08" w:rsidRDefault="00E9597C" w:rsidP="00707FC8">
      <w:pPr>
        <w:jc w:val="both"/>
        <w:rPr>
          <w:rFonts w:ascii="Arial" w:hAnsi="Arial" w:cs="Arial"/>
          <w:b/>
          <w:bCs/>
          <w:sz w:val="22"/>
          <w:szCs w:val="22"/>
          <w:lang w:val="en-GB"/>
        </w:rPr>
      </w:pPr>
    </w:p>
    <w:p w14:paraId="0BC3A6CF" w14:textId="77777777" w:rsidR="00C504E5" w:rsidRPr="00202E08" w:rsidRDefault="00C504E5" w:rsidP="00C504E5">
      <w:pPr>
        <w:jc w:val="both"/>
        <w:rPr>
          <w:rFonts w:ascii="Arial" w:hAnsi="Arial" w:cs="Arial"/>
          <w:sz w:val="22"/>
          <w:szCs w:val="22"/>
          <w:lang w:val="en-GB"/>
        </w:rPr>
      </w:pPr>
      <w:r w:rsidRPr="00202E08">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202E08">
        <w:rPr>
          <w:rFonts w:ascii="Arial" w:hAnsi="Arial" w:cs="Arial"/>
          <w:sz w:val="22"/>
          <w:szCs w:val="22"/>
          <w:lang w:val="en-GB"/>
        </w:rPr>
        <w:t>without any so-called principle of reciprocity</w:t>
      </w:r>
      <w:bookmarkEnd w:id="3"/>
      <w:r w:rsidRPr="00202E08">
        <w:rPr>
          <w:rFonts w:ascii="Arial" w:hAnsi="Arial" w:cs="Arial"/>
          <w:sz w:val="22"/>
          <w:szCs w:val="22"/>
          <w:lang w:val="en-GB"/>
        </w:rPr>
        <w:t xml:space="preserve">. In this scenario, </w:t>
      </w:r>
      <w:r w:rsidRPr="00202E08">
        <w:rPr>
          <w:rFonts w:ascii="Arial" w:hAnsi="Arial" w:cs="Arial"/>
          <w:b/>
          <w:bCs/>
          <w:sz w:val="22"/>
          <w:szCs w:val="22"/>
          <w:u w:val="single"/>
          <w:lang w:val="en-GB"/>
        </w:rPr>
        <w:t>which of the following statements is the most correct one</w:t>
      </w:r>
      <w:r w:rsidRPr="00202E08">
        <w:rPr>
          <w:rFonts w:ascii="Arial" w:hAnsi="Arial" w:cs="Arial"/>
          <w:sz w:val="22"/>
          <w:szCs w:val="22"/>
          <w:lang w:val="en-GB"/>
        </w:rPr>
        <w:t>?</w:t>
      </w:r>
    </w:p>
    <w:p w14:paraId="6BE30759" w14:textId="77777777" w:rsidR="00C504E5" w:rsidRPr="00202E08" w:rsidRDefault="00C504E5" w:rsidP="00C504E5">
      <w:pPr>
        <w:ind w:left="720" w:hanging="720"/>
        <w:jc w:val="both"/>
        <w:rPr>
          <w:rFonts w:ascii="Arial" w:hAnsi="Arial" w:cs="Arial"/>
          <w:sz w:val="22"/>
          <w:szCs w:val="22"/>
          <w:lang w:val="en-GB"/>
        </w:rPr>
      </w:pPr>
    </w:p>
    <w:p w14:paraId="7F9DCB5A" w14:textId="22A8F0B5" w:rsidR="00C504E5" w:rsidRPr="00202E08" w:rsidRDefault="00C504E5" w:rsidP="00C504E5">
      <w:pPr>
        <w:pStyle w:val="ListParagraph"/>
        <w:numPr>
          <w:ilvl w:val="0"/>
          <w:numId w:val="20"/>
        </w:numPr>
        <w:ind w:left="426"/>
        <w:jc w:val="both"/>
        <w:rPr>
          <w:rFonts w:ascii="Arial" w:hAnsi="Arial" w:cs="Arial"/>
          <w:sz w:val="22"/>
          <w:szCs w:val="22"/>
          <w:lang w:val="en-GB"/>
        </w:rPr>
      </w:pPr>
      <w:r w:rsidRPr="00202E08">
        <w:rPr>
          <w:rFonts w:ascii="Arial" w:hAnsi="Arial" w:cs="Arial"/>
          <w:sz w:val="22"/>
          <w:szCs w:val="22"/>
          <w:lang w:val="en-GB"/>
        </w:rPr>
        <w:t>The foreign main proceedings in South Africa will not be recognised in the UK because the UK is not a designated country under South Africa</w:t>
      </w:r>
      <w:r w:rsidR="001747C2" w:rsidRPr="00202E08">
        <w:rPr>
          <w:rFonts w:ascii="Arial" w:hAnsi="Arial" w:cs="Arial"/>
          <w:sz w:val="22"/>
          <w:szCs w:val="22"/>
          <w:lang w:val="en-GB"/>
        </w:rPr>
        <w:t>’</w:t>
      </w:r>
      <w:r w:rsidRPr="00202E08">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202E08" w:rsidRDefault="00C504E5" w:rsidP="00C504E5">
      <w:pPr>
        <w:jc w:val="both"/>
        <w:rPr>
          <w:rFonts w:ascii="Arial" w:hAnsi="Arial" w:cs="Arial"/>
          <w:sz w:val="22"/>
          <w:szCs w:val="22"/>
          <w:lang w:val="en-GB"/>
        </w:rPr>
      </w:pPr>
    </w:p>
    <w:p w14:paraId="638F3CCB" w14:textId="7BAC1CD7" w:rsidR="00C504E5" w:rsidRPr="00202E08" w:rsidRDefault="00C504E5" w:rsidP="00C504E5">
      <w:pPr>
        <w:pStyle w:val="ListParagraph"/>
        <w:numPr>
          <w:ilvl w:val="0"/>
          <w:numId w:val="20"/>
        </w:numPr>
        <w:ind w:left="426"/>
        <w:jc w:val="both"/>
        <w:rPr>
          <w:rFonts w:ascii="Arial" w:hAnsi="Arial" w:cs="Arial"/>
          <w:sz w:val="22"/>
          <w:szCs w:val="22"/>
          <w:lang w:val="en-GB"/>
        </w:rPr>
      </w:pPr>
      <w:r w:rsidRPr="00202E08">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202E08" w:rsidRDefault="00C504E5" w:rsidP="00C504E5">
      <w:pPr>
        <w:jc w:val="both"/>
        <w:rPr>
          <w:rFonts w:ascii="Arial" w:hAnsi="Arial" w:cs="Arial"/>
          <w:sz w:val="22"/>
          <w:szCs w:val="22"/>
          <w:lang w:val="en-GB"/>
        </w:rPr>
      </w:pPr>
    </w:p>
    <w:p w14:paraId="091C36C1" w14:textId="40A6C7BC" w:rsidR="00C504E5" w:rsidRPr="00202E08" w:rsidRDefault="00C504E5" w:rsidP="00C504E5">
      <w:pPr>
        <w:pStyle w:val="ListParagraph"/>
        <w:numPr>
          <w:ilvl w:val="0"/>
          <w:numId w:val="20"/>
        </w:numPr>
        <w:ind w:left="426"/>
        <w:jc w:val="both"/>
        <w:rPr>
          <w:rFonts w:ascii="Arial" w:hAnsi="Arial" w:cs="Arial"/>
          <w:sz w:val="22"/>
          <w:szCs w:val="22"/>
          <w:highlight w:val="yellow"/>
          <w:lang w:val="en-GB"/>
        </w:rPr>
      </w:pPr>
      <w:r w:rsidRPr="00202E08">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202E08" w:rsidRDefault="00C504E5" w:rsidP="00C504E5">
      <w:pPr>
        <w:jc w:val="both"/>
        <w:rPr>
          <w:rFonts w:ascii="Arial" w:hAnsi="Arial" w:cs="Arial"/>
          <w:sz w:val="22"/>
          <w:szCs w:val="22"/>
          <w:lang w:val="en-GB"/>
        </w:rPr>
      </w:pPr>
    </w:p>
    <w:p w14:paraId="1A6D3905" w14:textId="553D7429" w:rsidR="00C504E5" w:rsidRPr="00202E08" w:rsidRDefault="00C504E5" w:rsidP="00C504E5">
      <w:pPr>
        <w:pStyle w:val="ListParagraph"/>
        <w:numPr>
          <w:ilvl w:val="0"/>
          <w:numId w:val="20"/>
        </w:numPr>
        <w:ind w:left="426"/>
        <w:jc w:val="both"/>
        <w:rPr>
          <w:rFonts w:ascii="Arial" w:hAnsi="Arial" w:cs="Arial"/>
          <w:sz w:val="22"/>
          <w:szCs w:val="22"/>
          <w:lang w:val="en-GB"/>
        </w:rPr>
      </w:pPr>
      <w:r w:rsidRPr="00202E08">
        <w:rPr>
          <w:rFonts w:ascii="Arial" w:hAnsi="Arial" w:cs="Arial"/>
          <w:sz w:val="22"/>
          <w:szCs w:val="22"/>
          <w:lang w:val="en-GB"/>
        </w:rPr>
        <w:t xml:space="preserve">None of the statements in (a), (b) </w:t>
      </w:r>
      <w:r w:rsidR="002E00F8" w:rsidRPr="00202E08">
        <w:rPr>
          <w:rFonts w:ascii="Arial" w:hAnsi="Arial" w:cs="Arial"/>
          <w:sz w:val="22"/>
          <w:szCs w:val="22"/>
          <w:lang w:val="en-GB"/>
        </w:rPr>
        <w:t>or</w:t>
      </w:r>
      <w:r w:rsidRPr="00202E08">
        <w:rPr>
          <w:rFonts w:ascii="Arial" w:hAnsi="Arial" w:cs="Arial"/>
          <w:sz w:val="22"/>
          <w:szCs w:val="22"/>
          <w:lang w:val="en-GB"/>
        </w:rPr>
        <w:t xml:space="preserve"> (c) are correct.  </w:t>
      </w:r>
    </w:p>
    <w:p w14:paraId="1E676CC7" w14:textId="77777777" w:rsidR="005F3761" w:rsidRPr="005F3761" w:rsidRDefault="005F3761" w:rsidP="005F3761">
      <w:pPr>
        <w:pStyle w:val="ListParagraph"/>
        <w:rPr>
          <w:rFonts w:ascii="Arial" w:hAnsi="Arial" w:cs="Arial"/>
          <w:sz w:val="22"/>
          <w:szCs w:val="22"/>
          <w:lang w:val="en-GB"/>
        </w:rPr>
      </w:pPr>
    </w:p>
    <w:p w14:paraId="319E3BC3" w14:textId="77777777" w:rsidR="005F3761" w:rsidRPr="009B5832" w:rsidRDefault="005F3761" w:rsidP="005F3761">
      <w:pPr>
        <w:pStyle w:val="ListParagraph"/>
        <w:ind w:left="426"/>
        <w:jc w:val="both"/>
        <w:rPr>
          <w:rFonts w:ascii="Arial" w:hAnsi="Arial" w:cs="Arial"/>
          <w:sz w:val="22"/>
          <w:szCs w:val="22"/>
          <w:lang w:val="en-GB"/>
        </w:rPr>
      </w:pPr>
    </w:p>
    <w:p w14:paraId="462DBC77" w14:textId="41C248FC" w:rsidR="00E9597C" w:rsidRPr="00F12D91" w:rsidRDefault="00E9597C" w:rsidP="00707FC8">
      <w:pPr>
        <w:autoSpaceDE w:val="0"/>
        <w:autoSpaceDN w:val="0"/>
        <w:adjustRightInd w:val="0"/>
        <w:spacing w:line="276" w:lineRule="auto"/>
        <w:jc w:val="both"/>
        <w:rPr>
          <w:rFonts w:ascii="Arial" w:hAnsi="Arial" w:cs="Arial"/>
          <w:sz w:val="22"/>
          <w:szCs w:val="22"/>
          <w:lang w:val="en-GB"/>
        </w:rPr>
      </w:pPr>
      <w:r w:rsidRPr="00F12D91">
        <w:rPr>
          <w:rFonts w:ascii="Arial" w:hAnsi="Arial" w:cs="Arial"/>
          <w:b/>
          <w:bCs/>
          <w:sz w:val="22"/>
          <w:szCs w:val="22"/>
          <w:lang w:val="en-GB"/>
        </w:rPr>
        <w:t>Question 1.6</w:t>
      </w:r>
      <w:r w:rsidRPr="00F12D91">
        <w:rPr>
          <w:rFonts w:ascii="Arial" w:hAnsi="Arial" w:cs="Arial"/>
          <w:sz w:val="22"/>
          <w:szCs w:val="22"/>
          <w:lang w:val="en-GB"/>
        </w:rPr>
        <w:t xml:space="preserve"> </w:t>
      </w:r>
    </w:p>
    <w:p w14:paraId="2411DCA7" w14:textId="77777777" w:rsidR="00E9597C" w:rsidRPr="00F12D91"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F12D91" w:rsidRDefault="00B72F5F" w:rsidP="00114082">
      <w:pPr>
        <w:jc w:val="both"/>
        <w:rPr>
          <w:rFonts w:ascii="Arial" w:hAnsi="Arial" w:cs="Arial"/>
          <w:sz w:val="22"/>
          <w:szCs w:val="22"/>
          <w:lang w:val="en-GB"/>
        </w:rPr>
      </w:pPr>
      <w:r w:rsidRPr="00F12D91">
        <w:rPr>
          <w:rFonts w:ascii="Arial" w:hAnsi="Arial" w:cs="Arial"/>
          <w:sz w:val="22"/>
          <w:szCs w:val="22"/>
          <w:lang w:val="en-GB"/>
        </w:rPr>
        <w:t xml:space="preserve">Which of the following statements regarding concurrent proceedings under the Model Law </w:t>
      </w:r>
      <w:r w:rsidRPr="00F12D91">
        <w:rPr>
          <w:rFonts w:ascii="Arial" w:hAnsi="Arial" w:cs="Arial"/>
          <w:b/>
          <w:bCs/>
          <w:sz w:val="22"/>
          <w:szCs w:val="22"/>
          <w:u w:val="single"/>
          <w:lang w:val="en-GB"/>
        </w:rPr>
        <w:t>is true</w:t>
      </w:r>
      <w:r w:rsidRPr="00F12D91">
        <w:rPr>
          <w:rFonts w:ascii="Arial" w:hAnsi="Arial" w:cs="Arial"/>
          <w:sz w:val="22"/>
          <w:szCs w:val="22"/>
          <w:lang w:val="en-GB"/>
        </w:rPr>
        <w:t>?</w:t>
      </w:r>
    </w:p>
    <w:p w14:paraId="0A2E63C3" w14:textId="77777777" w:rsidR="00B72F5F" w:rsidRPr="00F12D91" w:rsidRDefault="00B72F5F" w:rsidP="00B72F5F">
      <w:pPr>
        <w:ind w:left="720" w:hanging="720"/>
        <w:jc w:val="both"/>
        <w:rPr>
          <w:rFonts w:ascii="Arial" w:hAnsi="Arial" w:cs="Arial"/>
          <w:sz w:val="22"/>
          <w:szCs w:val="22"/>
          <w:lang w:val="en-GB"/>
        </w:rPr>
      </w:pPr>
    </w:p>
    <w:p w14:paraId="30B5D767" w14:textId="6D38CB74" w:rsidR="00B72F5F" w:rsidRPr="00F12D91" w:rsidRDefault="00B72F5F" w:rsidP="00114082">
      <w:pPr>
        <w:pStyle w:val="ListParagraph"/>
        <w:numPr>
          <w:ilvl w:val="0"/>
          <w:numId w:val="26"/>
        </w:numPr>
        <w:ind w:left="426"/>
        <w:jc w:val="both"/>
        <w:rPr>
          <w:rFonts w:ascii="Arial" w:hAnsi="Arial" w:cs="Arial"/>
          <w:sz w:val="22"/>
          <w:szCs w:val="22"/>
          <w:lang w:val="en-GB"/>
        </w:rPr>
      </w:pPr>
      <w:r w:rsidRPr="00F12D91">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F12D91" w:rsidRDefault="00114082" w:rsidP="00114082">
      <w:pPr>
        <w:jc w:val="both"/>
        <w:rPr>
          <w:rFonts w:ascii="Arial" w:hAnsi="Arial" w:cs="Arial"/>
          <w:sz w:val="22"/>
          <w:szCs w:val="22"/>
          <w:lang w:val="en-GB"/>
        </w:rPr>
      </w:pPr>
    </w:p>
    <w:p w14:paraId="4B1560A9" w14:textId="1C87BA52" w:rsidR="00B72F5F" w:rsidRPr="00F12D91" w:rsidRDefault="00B72F5F" w:rsidP="00114082">
      <w:pPr>
        <w:pStyle w:val="ListParagraph"/>
        <w:numPr>
          <w:ilvl w:val="0"/>
          <w:numId w:val="26"/>
        </w:numPr>
        <w:ind w:left="426"/>
        <w:jc w:val="both"/>
        <w:rPr>
          <w:rFonts w:ascii="Arial" w:hAnsi="Arial" w:cs="Arial"/>
          <w:sz w:val="22"/>
          <w:szCs w:val="22"/>
          <w:lang w:val="en-GB"/>
        </w:rPr>
      </w:pPr>
      <w:r w:rsidRPr="00F12D91">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F12D91" w:rsidRDefault="00114082" w:rsidP="00114082">
      <w:pPr>
        <w:jc w:val="both"/>
        <w:rPr>
          <w:rFonts w:ascii="Arial" w:hAnsi="Arial" w:cs="Arial"/>
          <w:sz w:val="22"/>
          <w:szCs w:val="22"/>
          <w:lang w:val="en-GB"/>
        </w:rPr>
      </w:pPr>
    </w:p>
    <w:p w14:paraId="0E2A0FDC" w14:textId="0C95B31B" w:rsidR="00B72F5F" w:rsidRPr="00F12D91" w:rsidRDefault="00B72F5F" w:rsidP="00114082">
      <w:pPr>
        <w:pStyle w:val="ListParagraph"/>
        <w:numPr>
          <w:ilvl w:val="0"/>
          <w:numId w:val="26"/>
        </w:numPr>
        <w:ind w:left="426"/>
        <w:jc w:val="both"/>
        <w:rPr>
          <w:rFonts w:ascii="Arial" w:hAnsi="Arial" w:cs="Arial"/>
          <w:sz w:val="22"/>
          <w:szCs w:val="22"/>
          <w:lang w:val="en-GB"/>
        </w:rPr>
      </w:pPr>
      <w:r w:rsidRPr="00F12D91">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F12D91" w:rsidRDefault="00114082" w:rsidP="00114082">
      <w:pPr>
        <w:jc w:val="both"/>
        <w:rPr>
          <w:rFonts w:ascii="Arial" w:hAnsi="Arial" w:cs="Arial"/>
          <w:sz w:val="22"/>
          <w:szCs w:val="22"/>
          <w:lang w:val="en-GB"/>
        </w:rPr>
      </w:pPr>
    </w:p>
    <w:p w14:paraId="7EAF23F0" w14:textId="0AF2DDD5" w:rsidR="00B72F5F" w:rsidRPr="000C13FC" w:rsidRDefault="00B72F5F" w:rsidP="00114082">
      <w:pPr>
        <w:pStyle w:val="ListParagraph"/>
        <w:numPr>
          <w:ilvl w:val="0"/>
          <w:numId w:val="26"/>
        </w:numPr>
        <w:ind w:left="426"/>
        <w:jc w:val="both"/>
        <w:rPr>
          <w:rFonts w:ascii="Arial" w:hAnsi="Arial" w:cs="Arial"/>
          <w:sz w:val="22"/>
          <w:szCs w:val="22"/>
          <w:highlight w:val="yellow"/>
          <w:lang w:val="en-GB"/>
        </w:rPr>
      </w:pPr>
      <w:r w:rsidRPr="000C13FC">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0C13FC">
        <w:rPr>
          <w:rFonts w:ascii="Arial" w:hAnsi="Arial" w:cs="Arial"/>
          <w:sz w:val="22"/>
          <w:szCs w:val="22"/>
          <w:highlight w:val="yellow"/>
          <w:lang w:val="en-GB"/>
        </w:rPr>
        <w:t>will</w:t>
      </w:r>
      <w:r w:rsidRPr="000C13FC">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8E2E1C" w:rsidRDefault="0067294B" w:rsidP="00114082">
      <w:pPr>
        <w:pStyle w:val="ListParagraph"/>
        <w:numPr>
          <w:ilvl w:val="0"/>
          <w:numId w:val="27"/>
        </w:numPr>
        <w:ind w:left="426"/>
        <w:jc w:val="both"/>
        <w:rPr>
          <w:rFonts w:ascii="Arial" w:hAnsi="Arial" w:cs="Arial"/>
          <w:sz w:val="22"/>
          <w:szCs w:val="22"/>
          <w:highlight w:val="yellow"/>
          <w:lang w:val="en-GB"/>
        </w:rPr>
      </w:pPr>
      <w:r w:rsidRPr="008E2E1C">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4C54B3" w:rsidRDefault="004E0549" w:rsidP="00114082">
      <w:pPr>
        <w:pStyle w:val="ListParagraph"/>
        <w:numPr>
          <w:ilvl w:val="0"/>
          <w:numId w:val="28"/>
        </w:numPr>
        <w:ind w:left="426"/>
        <w:jc w:val="both"/>
        <w:rPr>
          <w:rFonts w:ascii="Arial" w:hAnsi="Arial" w:cs="Arial"/>
          <w:sz w:val="22"/>
          <w:szCs w:val="22"/>
          <w:highlight w:val="yellow"/>
          <w:lang w:val="en-GB"/>
        </w:rPr>
      </w:pPr>
      <w:r w:rsidRPr="004C54B3">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0C13FC" w:rsidRDefault="00E9597C" w:rsidP="00707FC8">
      <w:pPr>
        <w:spacing w:line="276" w:lineRule="auto"/>
        <w:jc w:val="both"/>
        <w:rPr>
          <w:rFonts w:ascii="Arial" w:hAnsi="Arial" w:cs="Arial"/>
          <w:sz w:val="22"/>
          <w:szCs w:val="22"/>
          <w:lang w:val="en-GB"/>
        </w:rPr>
      </w:pPr>
      <w:r w:rsidRPr="000C13FC">
        <w:rPr>
          <w:rFonts w:ascii="Arial" w:hAnsi="Arial" w:cs="Arial"/>
          <w:b/>
          <w:bCs/>
          <w:sz w:val="22"/>
          <w:szCs w:val="22"/>
          <w:lang w:val="en-GB"/>
        </w:rPr>
        <w:t>Question 1.9</w:t>
      </w:r>
      <w:r w:rsidRPr="000C13FC">
        <w:rPr>
          <w:rFonts w:ascii="Arial" w:hAnsi="Arial" w:cs="Arial"/>
          <w:sz w:val="22"/>
          <w:szCs w:val="22"/>
          <w:lang w:val="en-GB"/>
        </w:rPr>
        <w:t xml:space="preserve"> </w:t>
      </w:r>
    </w:p>
    <w:p w14:paraId="596C3F7D" w14:textId="77777777" w:rsidR="00E9597C" w:rsidRPr="000C13FC" w:rsidRDefault="00E9597C" w:rsidP="00707FC8">
      <w:pPr>
        <w:spacing w:line="276" w:lineRule="auto"/>
        <w:jc w:val="both"/>
        <w:rPr>
          <w:rFonts w:ascii="Arial" w:hAnsi="Arial" w:cs="Arial"/>
          <w:sz w:val="22"/>
          <w:szCs w:val="22"/>
          <w:lang w:val="en-GB"/>
        </w:rPr>
      </w:pPr>
    </w:p>
    <w:p w14:paraId="57970C00" w14:textId="268EA105" w:rsidR="00573E73" w:rsidRPr="000C13FC" w:rsidRDefault="00573E73" w:rsidP="00114082">
      <w:pPr>
        <w:jc w:val="both"/>
        <w:rPr>
          <w:rFonts w:ascii="Arial" w:hAnsi="Arial" w:cs="Arial"/>
          <w:sz w:val="22"/>
          <w:szCs w:val="22"/>
          <w:lang w:val="en-GB"/>
        </w:rPr>
      </w:pPr>
      <w:r w:rsidRPr="000C13FC">
        <w:rPr>
          <w:rFonts w:ascii="Arial" w:hAnsi="Arial" w:cs="Arial"/>
          <w:sz w:val="22"/>
          <w:szCs w:val="22"/>
          <w:lang w:val="en-GB"/>
        </w:rPr>
        <w:t>Which of the following types of relief have, prior to the adoption of the Model Law on Recognition and Enforcement of Insolvency</w:t>
      </w:r>
      <w:r w:rsidR="00C17111" w:rsidRPr="000C13FC">
        <w:rPr>
          <w:rFonts w:ascii="Arial" w:hAnsi="Arial" w:cs="Arial"/>
          <w:sz w:val="22"/>
          <w:szCs w:val="22"/>
          <w:lang w:val="en-GB"/>
        </w:rPr>
        <w:t>-</w:t>
      </w:r>
      <w:r w:rsidRPr="000C13FC">
        <w:rPr>
          <w:rFonts w:ascii="Arial" w:hAnsi="Arial" w:cs="Arial"/>
          <w:sz w:val="22"/>
          <w:szCs w:val="22"/>
          <w:lang w:val="en-GB"/>
        </w:rPr>
        <w:t>Related Judgments, been declared beyond the limits of the Model Law?</w:t>
      </w:r>
    </w:p>
    <w:p w14:paraId="58B44E7D" w14:textId="77777777" w:rsidR="00573E73" w:rsidRPr="000C13FC" w:rsidRDefault="00573E73" w:rsidP="00573E73">
      <w:pPr>
        <w:ind w:left="720" w:hanging="720"/>
        <w:jc w:val="both"/>
        <w:rPr>
          <w:rFonts w:ascii="Arial" w:hAnsi="Arial" w:cs="Arial"/>
          <w:sz w:val="22"/>
          <w:szCs w:val="22"/>
          <w:lang w:val="en-GB"/>
        </w:rPr>
      </w:pPr>
    </w:p>
    <w:p w14:paraId="1834003B" w14:textId="53DC44E7" w:rsidR="00573E73" w:rsidRPr="00367337" w:rsidRDefault="00573E73" w:rsidP="00114082">
      <w:pPr>
        <w:pStyle w:val="ListParagraph"/>
        <w:numPr>
          <w:ilvl w:val="0"/>
          <w:numId w:val="29"/>
        </w:numPr>
        <w:ind w:left="426"/>
        <w:jc w:val="both"/>
        <w:rPr>
          <w:rFonts w:ascii="Arial" w:hAnsi="Arial" w:cs="Arial"/>
          <w:sz w:val="22"/>
          <w:szCs w:val="22"/>
          <w:highlight w:val="yellow"/>
          <w:lang w:val="en-GB"/>
        </w:rPr>
      </w:pPr>
      <w:r w:rsidRPr="00367337">
        <w:rPr>
          <w:rFonts w:ascii="Arial" w:hAnsi="Arial" w:cs="Arial"/>
          <w:sz w:val="22"/>
          <w:szCs w:val="22"/>
          <w:highlight w:val="yellow"/>
          <w:lang w:val="en-GB"/>
        </w:rPr>
        <w:t>Enforcement of insolvency-related judgments.</w:t>
      </w:r>
    </w:p>
    <w:p w14:paraId="444C3F9D" w14:textId="77777777" w:rsidR="00114082" w:rsidRPr="000C13FC" w:rsidRDefault="00114082" w:rsidP="00114082">
      <w:pPr>
        <w:jc w:val="both"/>
        <w:rPr>
          <w:rFonts w:ascii="Arial" w:hAnsi="Arial" w:cs="Arial"/>
          <w:sz w:val="22"/>
          <w:szCs w:val="22"/>
          <w:lang w:val="en-GB"/>
        </w:rPr>
      </w:pPr>
    </w:p>
    <w:p w14:paraId="1DF9A3B7" w14:textId="3C3140E1" w:rsidR="00573E73" w:rsidRPr="000C13FC" w:rsidRDefault="00573E73" w:rsidP="00114082">
      <w:pPr>
        <w:pStyle w:val="ListParagraph"/>
        <w:numPr>
          <w:ilvl w:val="0"/>
          <w:numId w:val="29"/>
        </w:numPr>
        <w:ind w:left="426"/>
        <w:jc w:val="both"/>
        <w:rPr>
          <w:rFonts w:ascii="Arial" w:hAnsi="Arial" w:cs="Arial"/>
          <w:sz w:val="22"/>
          <w:szCs w:val="22"/>
          <w:lang w:val="en-GB"/>
        </w:rPr>
      </w:pPr>
      <w:r w:rsidRPr="000C13FC">
        <w:rPr>
          <w:rFonts w:ascii="Arial" w:hAnsi="Arial" w:cs="Arial"/>
          <w:sz w:val="22"/>
          <w:szCs w:val="22"/>
          <w:lang w:val="en-GB"/>
        </w:rPr>
        <w:t xml:space="preserve">An indefinite moratorium continuation.  </w:t>
      </w:r>
    </w:p>
    <w:p w14:paraId="4892BF38" w14:textId="77777777" w:rsidR="00114082" w:rsidRPr="000C13FC" w:rsidRDefault="00114082" w:rsidP="00114082">
      <w:pPr>
        <w:jc w:val="both"/>
        <w:rPr>
          <w:rFonts w:ascii="Arial" w:hAnsi="Arial" w:cs="Arial"/>
          <w:sz w:val="22"/>
          <w:szCs w:val="22"/>
          <w:lang w:val="en-GB"/>
        </w:rPr>
      </w:pPr>
    </w:p>
    <w:p w14:paraId="0D0A5383" w14:textId="68643E35" w:rsidR="00573E73" w:rsidRPr="000C13FC" w:rsidRDefault="00573E73" w:rsidP="00114082">
      <w:pPr>
        <w:pStyle w:val="ListParagraph"/>
        <w:numPr>
          <w:ilvl w:val="0"/>
          <w:numId w:val="29"/>
        </w:numPr>
        <w:ind w:left="426"/>
        <w:jc w:val="both"/>
        <w:rPr>
          <w:rFonts w:ascii="Arial" w:hAnsi="Arial" w:cs="Arial"/>
          <w:sz w:val="22"/>
          <w:szCs w:val="22"/>
          <w:lang w:val="en-GB"/>
        </w:rPr>
      </w:pPr>
      <w:r w:rsidRPr="000C13FC">
        <w:rPr>
          <w:rFonts w:ascii="Arial" w:hAnsi="Arial" w:cs="Arial"/>
          <w:sz w:val="22"/>
          <w:szCs w:val="22"/>
          <w:lang w:val="en-GB"/>
        </w:rPr>
        <w:t xml:space="preserve">Both </w:t>
      </w:r>
      <w:r w:rsidR="00114082" w:rsidRPr="000C13FC">
        <w:rPr>
          <w:rFonts w:ascii="Arial" w:hAnsi="Arial" w:cs="Arial"/>
          <w:sz w:val="22"/>
          <w:szCs w:val="22"/>
          <w:lang w:val="en-GB"/>
        </w:rPr>
        <w:t>(</w:t>
      </w:r>
      <w:r w:rsidRPr="000C13FC">
        <w:rPr>
          <w:rFonts w:ascii="Arial" w:hAnsi="Arial" w:cs="Arial"/>
          <w:sz w:val="22"/>
          <w:szCs w:val="22"/>
          <w:lang w:val="en-GB"/>
        </w:rPr>
        <w:t>a</w:t>
      </w:r>
      <w:r w:rsidR="00114082" w:rsidRPr="000C13FC">
        <w:rPr>
          <w:rFonts w:ascii="Arial" w:hAnsi="Arial" w:cs="Arial"/>
          <w:sz w:val="22"/>
          <w:szCs w:val="22"/>
          <w:lang w:val="en-GB"/>
        </w:rPr>
        <w:t>)</w:t>
      </w:r>
      <w:r w:rsidRPr="000C13FC">
        <w:rPr>
          <w:rFonts w:ascii="Arial" w:hAnsi="Arial" w:cs="Arial"/>
          <w:sz w:val="22"/>
          <w:szCs w:val="22"/>
          <w:lang w:val="en-GB"/>
        </w:rPr>
        <w:t xml:space="preserve"> and </w:t>
      </w:r>
      <w:r w:rsidR="00114082" w:rsidRPr="000C13FC">
        <w:rPr>
          <w:rFonts w:ascii="Arial" w:hAnsi="Arial" w:cs="Arial"/>
          <w:sz w:val="22"/>
          <w:szCs w:val="22"/>
          <w:lang w:val="en-GB"/>
        </w:rPr>
        <w:t>(</w:t>
      </w:r>
      <w:r w:rsidRPr="000C13FC">
        <w:rPr>
          <w:rFonts w:ascii="Arial" w:hAnsi="Arial" w:cs="Arial"/>
          <w:sz w:val="22"/>
          <w:szCs w:val="22"/>
          <w:lang w:val="en-GB"/>
        </w:rPr>
        <w:t>b</w:t>
      </w:r>
      <w:r w:rsidR="00114082" w:rsidRPr="000C13FC">
        <w:rPr>
          <w:rFonts w:ascii="Arial" w:hAnsi="Arial" w:cs="Arial"/>
          <w:sz w:val="22"/>
          <w:szCs w:val="22"/>
          <w:lang w:val="en-GB"/>
        </w:rPr>
        <w:t>)</w:t>
      </w:r>
      <w:r w:rsidRPr="000C13FC">
        <w:rPr>
          <w:rFonts w:ascii="Arial" w:hAnsi="Arial" w:cs="Arial"/>
          <w:sz w:val="22"/>
          <w:szCs w:val="22"/>
          <w:lang w:val="en-GB"/>
        </w:rPr>
        <w:t>.</w:t>
      </w:r>
    </w:p>
    <w:p w14:paraId="6DDE06DD" w14:textId="77777777" w:rsidR="00114082" w:rsidRPr="000C13FC" w:rsidRDefault="00114082" w:rsidP="00114082">
      <w:pPr>
        <w:jc w:val="both"/>
        <w:rPr>
          <w:rFonts w:ascii="Arial" w:hAnsi="Arial" w:cs="Arial"/>
          <w:sz w:val="22"/>
          <w:szCs w:val="22"/>
          <w:lang w:val="en-GB"/>
        </w:rPr>
      </w:pPr>
    </w:p>
    <w:p w14:paraId="60328CA0" w14:textId="53ABF5A4" w:rsidR="00573E73" w:rsidRPr="000C13FC" w:rsidRDefault="00573E73" w:rsidP="00114082">
      <w:pPr>
        <w:pStyle w:val="ListParagraph"/>
        <w:numPr>
          <w:ilvl w:val="0"/>
          <w:numId w:val="29"/>
        </w:numPr>
        <w:ind w:left="426"/>
        <w:jc w:val="both"/>
        <w:rPr>
          <w:rFonts w:ascii="Arial" w:hAnsi="Arial" w:cs="Arial"/>
          <w:sz w:val="22"/>
          <w:szCs w:val="22"/>
          <w:lang w:val="en-GB"/>
        </w:rPr>
      </w:pPr>
      <w:r w:rsidRPr="000C13FC">
        <w:rPr>
          <w:rFonts w:ascii="Arial" w:hAnsi="Arial" w:cs="Arial"/>
          <w:sz w:val="22"/>
          <w:szCs w:val="22"/>
          <w:lang w:val="en-GB"/>
        </w:rPr>
        <w:t xml:space="preserve">Neither </w:t>
      </w:r>
      <w:r w:rsidR="00114082" w:rsidRPr="000C13FC">
        <w:rPr>
          <w:rFonts w:ascii="Arial" w:hAnsi="Arial" w:cs="Arial"/>
          <w:sz w:val="22"/>
          <w:szCs w:val="22"/>
          <w:lang w:val="en-GB"/>
        </w:rPr>
        <w:t>(</w:t>
      </w:r>
      <w:r w:rsidRPr="000C13FC">
        <w:rPr>
          <w:rFonts w:ascii="Arial" w:hAnsi="Arial" w:cs="Arial"/>
          <w:sz w:val="22"/>
          <w:szCs w:val="22"/>
          <w:lang w:val="en-GB"/>
        </w:rPr>
        <w:t>a</w:t>
      </w:r>
      <w:r w:rsidR="00114082" w:rsidRPr="000C13FC">
        <w:rPr>
          <w:rFonts w:ascii="Arial" w:hAnsi="Arial" w:cs="Arial"/>
          <w:sz w:val="22"/>
          <w:szCs w:val="22"/>
          <w:lang w:val="en-GB"/>
        </w:rPr>
        <w:t>)</w:t>
      </w:r>
      <w:r w:rsidRPr="000C13FC">
        <w:rPr>
          <w:rFonts w:ascii="Arial" w:hAnsi="Arial" w:cs="Arial"/>
          <w:sz w:val="22"/>
          <w:szCs w:val="22"/>
          <w:lang w:val="en-GB"/>
        </w:rPr>
        <w:t xml:space="preserve"> nor </w:t>
      </w:r>
      <w:r w:rsidR="00114082" w:rsidRPr="000C13FC">
        <w:rPr>
          <w:rFonts w:ascii="Arial" w:hAnsi="Arial" w:cs="Arial"/>
          <w:sz w:val="22"/>
          <w:szCs w:val="22"/>
          <w:lang w:val="en-GB"/>
        </w:rPr>
        <w:t>(</w:t>
      </w:r>
      <w:r w:rsidRPr="000C13FC">
        <w:rPr>
          <w:rFonts w:ascii="Arial" w:hAnsi="Arial" w:cs="Arial"/>
          <w:sz w:val="22"/>
          <w:szCs w:val="22"/>
          <w:lang w:val="en-GB"/>
        </w:rPr>
        <w:t>b</w:t>
      </w:r>
      <w:r w:rsidR="00114082" w:rsidRPr="000C13FC">
        <w:rPr>
          <w:rFonts w:ascii="Arial" w:hAnsi="Arial" w:cs="Arial"/>
          <w:sz w:val="22"/>
          <w:szCs w:val="22"/>
          <w:lang w:val="en-GB"/>
        </w:rPr>
        <w:t>)</w:t>
      </w:r>
      <w:r w:rsidRPr="000C13FC">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1B79A7" w:rsidRDefault="00E9597C" w:rsidP="00707FC8">
      <w:pPr>
        <w:spacing w:line="276" w:lineRule="auto"/>
        <w:jc w:val="both"/>
        <w:rPr>
          <w:rFonts w:ascii="Arial" w:hAnsi="Arial" w:cs="Arial"/>
          <w:color w:val="FF0000"/>
          <w:sz w:val="22"/>
          <w:szCs w:val="22"/>
          <w:lang w:val="en-GB"/>
        </w:rPr>
      </w:pPr>
      <w:r w:rsidRPr="001B79A7">
        <w:rPr>
          <w:rFonts w:ascii="Arial" w:hAnsi="Arial" w:cs="Arial"/>
          <w:b/>
          <w:bCs/>
          <w:color w:val="FF0000"/>
          <w:sz w:val="22"/>
          <w:szCs w:val="22"/>
          <w:lang w:val="en-GB"/>
        </w:rPr>
        <w:t>Question 1.10</w:t>
      </w:r>
      <w:r w:rsidRPr="001B79A7">
        <w:rPr>
          <w:rFonts w:ascii="Arial" w:hAnsi="Arial" w:cs="Arial"/>
          <w:color w:val="FF0000"/>
          <w:sz w:val="22"/>
          <w:szCs w:val="22"/>
          <w:lang w:val="en-GB"/>
        </w:rPr>
        <w:t xml:space="preserve">  </w:t>
      </w:r>
    </w:p>
    <w:p w14:paraId="72785BD8" w14:textId="77777777" w:rsidR="00E9597C" w:rsidRPr="001B79A7" w:rsidRDefault="00E9597C" w:rsidP="00707FC8">
      <w:pPr>
        <w:spacing w:line="276" w:lineRule="auto"/>
        <w:jc w:val="both"/>
        <w:rPr>
          <w:rFonts w:ascii="Arial" w:hAnsi="Arial" w:cs="Arial"/>
          <w:color w:val="FF0000"/>
          <w:sz w:val="22"/>
          <w:szCs w:val="22"/>
          <w:lang w:val="en-GB"/>
        </w:rPr>
      </w:pPr>
    </w:p>
    <w:p w14:paraId="50081C50" w14:textId="1355B647" w:rsidR="00114082" w:rsidRPr="001B79A7" w:rsidRDefault="00114082" w:rsidP="00114082">
      <w:pPr>
        <w:jc w:val="both"/>
        <w:rPr>
          <w:rFonts w:ascii="Arial" w:hAnsi="Arial" w:cs="Arial"/>
          <w:color w:val="FF0000"/>
          <w:sz w:val="22"/>
          <w:szCs w:val="22"/>
          <w:lang w:val="en-GB"/>
        </w:rPr>
      </w:pPr>
      <w:r w:rsidRPr="001B79A7">
        <w:rPr>
          <w:rFonts w:ascii="Arial" w:hAnsi="Arial" w:cs="Arial"/>
          <w:color w:val="FF0000"/>
          <w:sz w:val="22"/>
          <w:szCs w:val="22"/>
          <w:lang w:val="en-GB"/>
        </w:rPr>
        <w:t xml:space="preserve">When for the interpretation of the Model Law </w:t>
      </w:r>
      <w:r w:rsidR="001747C2" w:rsidRPr="001B79A7">
        <w:rPr>
          <w:rFonts w:ascii="Arial" w:hAnsi="Arial" w:cs="Arial"/>
          <w:color w:val="FF0000"/>
          <w:sz w:val="22"/>
          <w:szCs w:val="22"/>
          <w:lang w:val="en-GB"/>
        </w:rPr>
        <w:t>“</w:t>
      </w:r>
      <w:r w:rsidRPr="001B79A7">
        <w:rPr>
          <w:rFonts w:ascii="Arial" w:hAnsi="Arial" w:cs="Arial"/>
          <w:color w:val="FF0000"/>
          <w:sz w:val="22"/>
          <w:szCs w:val="22"/>
          <w:lang w:val="en-GB"/>
        </w:rPr>
        <w:t>its original origin</w:t>
      </w:r>
      <w:r w:rsidR="001747C2" w:rsidRPr="001B79A7">
        <w:rPr>
          <w:rFonts w:ascii="Arial" w:hAnsi="Arial" w:cs="Arial"/>
          <w:color w:val="FF0000"/>
          <w:sz w:val="22"/>
          <w:szCs w:val="22"/>
          <w:lang w:val="en-GB"/>
        </w:rPr>
        <w:t>”</w:t>
      </w:r>
      <w:r w:rsidRPr="001B79A7">
        <w:rPr>
          <w:rFonts w:ascii="Arial" w:hAnsi="Arial" w:cs="Arial"/>
          <w:color w:val="FF0000"/>
          <w:sz w:val="22"/>
          <w:szCs w:val="22"/>
          <w:lang w:val="en-GB"/>
        </w:rPr>
        <w:t xml:space="preserve"> is to be considered in accordance with article 8 of the Model Law, which of the following texts is likely to be of relevance?  </w:t>
      </w:r>
    </w:p>
    <w:p w14:paraId="62330AB1" w14:textId="77777777" w:rsidR="00114082" w:rsidRPr="001B79A7" w:rsidRDefault="00114082" w:rsidP="00114082">
      <w:pPr>
        <w:ind w:left="720" w:hanging="720"/>
        <w:jc w:val="both"/>
        <w:rPr>
          <w:rFonts w:ascii="Arial" w:hAnsi="Arial" w:cs="Arial"/>
          <w:color w:val="FF0000"/>
          <w:sz w:val="22"/>
          <w:szCs w:val="22"/>
          <w:lang w:val="en-GB"/>
        </w:rPr>
      </w:pPr>
    </w:p>
    <w:p w14:paraId="5B2E1C23" w14:textId="0F4B49F0" w:rsidR="00114082" w:rsidRPr="001B79A7" w:rsidRDefault="00114082" w:rsidP="00114082">
      <w:pPr>
        <w:pStyle w:val="ListParagraph"/>
        <w:numPr>
          <w:ilvl w:val="0"/>
          <w:numId w:val="30"/>
        </w:numPr>
        <w:ind w:left="426"/>
        <w:jc w:val="both"/>
        <w:rPr>
          <w:rFonts w:ascii="Arial" w:hAnsi="Arial" w:cs="Arial"/>
          <w:color w:val="FF0000"/>
          <w:sz w:val="22"/>
          <w:szCs w:val="22"/>
          <w:lang w:val="en-GB"/>
        </w:rPr>
      </w:pPr>
      <w:r w:rsidRPr="001B79A7">
        <w:rPr>
          <w:rFonts w:ascii="Arial" w:hAnsi="Arial" w:cs="Arial"/>
          <w:color w:val="FF0000"/>
          <w:sz w:val="22"/>
          <w:szCs w:val="22"/>
          <w:lang w:val="en-GB"/>
        </w:rPr>
        <w:t>The UNCITRAL Guide of Enactment and the Practice Guide</w:t>
      </w:r>
      <w:r w:rsidR="00835FD1" w:rsidRPr="001B79A7">
        <w:rPr>
          <w:rFonts w:ascii="Arial" w:hAnsi="Arial" w:cs="Arial"/>
          <w:color w:val="FF0000"/>
          <w:sz w:val="22"/>
          <w:szCs w:val="22"/>
          <w:lang w:val="en-GB"/>
        </w:rPr>
        <w:t>.</w:t>
      </w:r>
    </w:p>
    <w:p w14:paraId="56603A60" w14:textId="77777777" w:rsidR="00835FD1" w:rsidRPr="001B79A7" w:rsidRDefault="00835FD1" w:rsidP="00835FD1">
      <w:pPr>
        <w:jc w:val="both"/>
        <w:rPr>
          <w:rFonts w:ascii="Arial" w:hAnsi="Arial" w:cs="Arial"/>
          <w:color w:val="FF0000"/>
          <w:sz w:val="22"/>
          <w:szCs w:val="22"/>
          <w:lang w:val="en-GB"/>
        </w:rPr>
      </w:pPr>
    </w:p>
    <w:p w14:paraId="12FA63E1" w14:textId="25B5A1B8" w:rsidR="00114082" w:rsidRPr="001B79A7" w:rsidRDefault="00114082" w:rsidP="00114082">
      <w:pPr>
        <w:pStyle w:val="ListParagraph"/>
        <w:numPr>
          <w:ilvl w:val="0"/>
          <w:numId w:val="30"/>
        </w:numPr>
        <w:ind w:left="426"/>
        <w:jc w:val="both"/>
        <w:rPr>
          <w:rFonts w:ascii="Arial" w:hAnsi="Arial" w:cs="Arial"/>
          <w:color w:val="FF0000"/>
          <w:sz w:val="22"/>
          <w:szCs w:val="22"/>
          <w:lang w:val="en-GB"/>
        </w:rPr>
      </w:pPr>
      <w:r w:rsidRPr="001B79A7">
        <w:rPr>
          <w:rFonts w:ascii="Arial" w:hAnsi="Arial" w:cs="Arial"/>
          <w:color w:val="FF0000"/>
          <w:sz w:val="22"/>
          <w:szCs w:val="22"/>
          <w:lang w:val="en-GB"/>
        </w:rPr>
        <w:t>The UNCITRAL Guide of Enactment and the Legislative Guide – Parts One, Two, Three and Four</w:t>
      </w:r>
      <w:r w:rsidR="00835FD1" w:rsidRPr="001B79A7">
        <w:rPr>
          <w:rFonts w:ascii="Arial" w:hAnsi="Arial" w:cs="Arial"/>
          <w:color w:val="FF0000"/>
          <w:sz w:val="22"/>
          <w:szCs w:val="22"/>
          <w:lang w:val="en-GB"/>
        </w:rPr>
        <w:t>.</w:t>
      </w:r>
    </w:p>
    <w:p w14:paraId="4409C6EB" w14:textId="77777777" w:rsidR="00835FD1" w:rsidRPr="001B79A7" w:rsidRDefault="00835FD1" w:rsidP="00835FD1">
      <w:pPr>
        <w:jc w:val="both"/>
        <w:rPr>
          <w:rFonts w:ascii="Arial" w:hAnsi="Arial" w:cs="Arial"/>
          <w:color w:val="FF0000"/>
          <w:sz w:val="22"/>
          <w:szCs w:val="22"/>
          <w:lang w:val="en-GB"/>
        </w:rPr>
      </w:pPr>
    </w:p>
    <w:p w14:paraId="7AA8D402" w14:textId="3DDB25EF" w:rsidR="00114082" w:rsidRPr="001B79A7" w:rsidRDefault="00114082" w:rsidP="00114082">
      <w:pPr>
        <w:pStyle w:val="ListParagraph"/>
        <w:numPr>
          <w:ilvl w:val="0"/>
          <w:numId w:val="30"/>
        </w:numPr>
        <w:spacing w:line="276" w:lineRule="auto"/>
        <w:ind w:left="426"/>
        <w:jc w:val="both"/>
        <w:rPr>
          <w:rFonts w:ascii="Arial" w:hAnsi="Arial" w:cs="Arial"/>
          <w:b/>
          <w:color w:val="FF0000"/>
          <w:sz w:val="22"/>
          <w:szCs w:val="22"/>
          <w:lang w:val="en-GB"/>
        </w:rPr>
      </w:pPr>
      <w:r w:rsidRPr="001B79A7">
        <w:rPr>
          <w:rFonts w:ascii="Arial" w:hAnsi="Arial" w:cs="Arial"/>
          <w:color w:val="FF0000"/>
          <w:sz w:val="22"/>
          <w:szCs w:val="22"/>
          <w:lang w:val="en-GB"/>
        </w:rPr>
        <w:t xml:space="preserve">The UNCITRAL Guide of Enactment and the </w:t>
      </w:r>
      <w:r w:rsidRPr="001B79A7">
        <w:rPr>
          <w:rFonts w:ascii="Arial" w:hAnsi="Arial" w:cs="Arial"/>
          <w:color w:val="FF0000"/>
          <w:sz w:val="22"/>
          <w:szCs w:val="22"/>
          <w:highlight w:val="yellow"/>
          <w:lang w:val="en-GB"/>
        </w:rPr>
        <w:t>Judicial Perspective</w:t>
      </w:r>
      <w:r w:rsidR="00835FD1" w:rsidRPr="001B79A7">
        <w:rPr>
          <w:rFonts w:ascii="Arial" w:hAnsi="Arial" w:cs="Arial"/>
          <w:color w:val="FF0000"/>
          <w:sz w:val="22"/>
          <w:szCs w:val="22"/>
          <w:lang w:val="en-GB"/>
        </w:rPr>
        <w:t>.</w:t>
      </w:r>
    </w:p>
    <w:p w14:paraId="1B4B245C" w14:textId="77777777" w:rsidR="00835FD1" w:rsidRPr="001B79A7" w:rsidRDefault="00835FD1" w:rsidP="00835FD1">
      <w:pPr>
        <w:spacing w:line="276" w:lineRule="auto"/>
        <w:jc w:val="both"/>
        <w:rPr>
          <w:rFonts w:ascii="Arial" w:hAnsi="Arial" w:cs="Arial"/>
          <w:b/>
          <w:color w:val="FF0000"/>
          <w:sz w:val="22"/>
          <w:szCs w:val="22"/>
          <w:lang w:val="en-GB"/>
        </w:rPr>
      </w:pPr>
    </w:p>
    <w:p w14:paraId="4F16EEC7" w14:textId="6C5E59D3" w:rsidR="00D17FDC" w:rsidRPr="001B79A7" w:rsidRDefault="00114082" w:rsidP="00114082">
      <w:pPr>
        <w:pStyle w:val="ListParagraph"/>
        <w:numPr>
          <w:ilvl w:val="0"/>
          <w:numId w:val="30"/>
        </w:numPr>
        <w:spacing w:line="276" w:lineRule="auto"/>
        <w:ind w:left="426"/>
        <w:jc w:val="both"/>
        <w:rPr>
          <w:rFonts w:ascii="Arial" w:hAnsi="Arial" w:cs="Arial"/>
          <w:b/>
          <w:color w:val="FF0000"/>
          <w:sz w:val="22"/>
          <w:szCs w:val="22"/>
          <w:highlight w:val="yellow"/>
          <w:lang w:val="en-GB"/>
        </w:rPr>
      </w:pPr>
      <w:r w:rsidRPr="001B79A7">
        <w:rPr>
          <w:rFonts w:ascii="Arial" w:hAnsi="Arial" w:cs="Arial"/>
          <w:color w:val="FF0000"/>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426793E9" w14:textId="77777777" w:rsidR="003F567F" w:rsidRDefault="009B07AD" w:rsidP="003F567F">
      <w:pPr>
        <w:ind w:left="720" w:hanging="720"/>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T</w:t>
      </w:r>
      <w:r w:rsidR="007B2CF8">
        <w:rPr>
          <w:rFonts w:ascii="Arial" w:hAnsi="Arial" w:cs="Arial"/>
          <w:color w:val="7B7B7B" w:themeColor="accent3" w:themeShade="BF"/>
          <w:sz w:val="22"/>
          <w:szCs w:val="22"/>
          <w:lang w:val="en-GB"/>
        </w:rPr>
        <w:t xml:space="preserve">he date for determining the existence of a COMI and/or establishment of a debtor is not expressly stated in the UNCITRAL Model Law on Cross-Border Insolvency (henceforth: MLCBI). This is also confirmed by the MLCBI Guide to Enactment and Interpretation of 2013 (henceforth: GEI) in paragraph 157 and the Judicial Perspective </w:t>
      </w:r>
      <w:r w:rsidR="003F567F">
        <w:rPr>
          <w:rFonts w:ascii="Arial" w:hAnsi="Arial" w:cs="Arial"/>
          <w:color w:val="7B7B7B" w:themeColor="accent3" w:themeShade="BF"/>
          <w:sz w:val="22"/>
          <w:szCs w:val="22"/>
          <w:lang w:val="en-GB"/>
        </w:rPr>
        <w:t xml:space="preserve">of 2011 </w:t>
      </w:r>
      <w:r w:rsidR="007B2CF8">
        <w:rPr>
          <w:rFonts w:ascii="Arial" w:hAnsi="Arial" w:cs="Arial"/>
          <w:color w:val="7B7B7B" w:themeColor="accent3" w:themeShade="BF"/>
          <w:sz w:val="22"/>
          <w:szCs w:val="22"/>
          <w:lang w:val="en-GB"/>
        </w:rPr>
        <w:t>(henceforth: JP) in paragraph 143.</w:t>
      </w:r>
    </w:p>
    <w:p w14:paraId="465AA5D6" w14:textId="0B252219" w:rsidR="00860344" w:rsidRDefault="003F567F" w:rsidP="00C823E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both the GEI and the JP that the appropriate date to make this assessment is at the </w:t>
      </w:r>
      <w:r w:rsidRPr="003F567F">
        <w:rPr>
          <w:rFonts w:ascii="Arial" w:hAnsi="Arial" w:cs="Arial"/>
          <w:b/>
          <w:bCs/>
          <w:color w:val="7B7B7B" w:themeColor="accent3" w:themeShade="BF"/>
          <w:sz w:val="22"/>
          <w:szCs w:val="22"/>
          <w:lang w:val="en-GB"/>
        </w:rPr>
        <w:t>date of the commencement of the foreign proceeding</w:t>
      </w:r>
      <w:r>
        <w:rPr>
          <w:rFonts w:ascii="Arial" w:hAnsi="Arial" w:cs="Arial"/>
          <w:color w:val="7B7B7B" w:themeColor="accent3" w:themeShade="BF"/>
          <w:sz w:val="22"/>
          <w:szCs w:val="22"/>
          <w:lang w:val="en-GB"/>
        </w:rPr>
        <w:t>, see paragraphs 159 GEI and 134 JP for the date for determining the location of the COMI, and paragraphs</w:t>
      </w:r>
      <w:r w:rsidR="007B2CF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160 GEI and 143 JP for the date for determining the existence of an establishment. </w:t>
      </w:r>
      <w:r w:rsidR="00C823E8">
        <w:rPr>
          <w:rFonts w:ascii="Arial" w:hAnsi="Arial" w:cs="Arial"/>
          <w:color w:val="7B7B7B" w:themeColor="accent3" w:themeShade="BF"/>
          <w:sz w:val="22"/>
          <w:szCs w:val="22"/>
          <w:lang w:val="en-GB"/>
        </w:rPr>
        <w:t>This conclusion is based on the weight that is given to (1) the evidence that should be submitted along with the application for recognition of the foreign proceeding and to (2) the decision commencing the foreign proceeding.</w:t>
      </w:r>
      <w:r w:rsidR="00C823E8">
        <w:rPr>
          <w:rFonts w:ascii="Arial" w:hAnsi="Arial" w:cs="Arial"/>
          <w:color w:val="7B7B7B" w:themeColor="accent3" w:themeShade="BF"/>
          <w:sz w:val="22"/>
          <w:szCs w:val="22"/>
        </w:rPr>
        <w:t xml:space="preserve"> </w:t>
      </w:r>
      <w:r w:rsidR="00A77C53">
        <w:rPr>
          <w:rFonts w:ascii="Arial" w:hAnsi="Arial" w:cs="Arial"/>
          <w:color w:val="7B7B7B" w:themeColor="accent3" w:themeShade="BF"/>
          <w:sz w:val="22"/>
          <w:szCs w:val="22"/>
        </w:rPr>
        <w:t>In the same paragraph, the GEI also mentions that the foreign proceeding may be the only indication of the location of the debtor’s COMI as the debtor’s activities may cease completely after the commencement of the foreign proceeding. As such the date on which the foreign insolvency proceeding commenced is the appropriate date to determine the location of the COMI and/or establishment of the debtor.</w:t>
      </w:r>
    </w:p>
    <w:p w14:paraId="72C41F0B" w14:textId="6AD1C3BE" w:rsidR="00C620F4" w:rsidRDefault="003F567F" w:rsidP="006A4A34">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Nevertheless, one should also consider the different approaches taken in</w:t>
      </w:r>
      <w:r w:rsidR="00F5517D">
        <w:rPr>
          <w:rFonts w:ascii="Arial" w:hAnsi="Arial" w:cs="Arial"/>
          <w:color w:val="7B7B7B" w:themeColor="accent3" w:themeShade="BF"/>
          <w:sz w:val="22"/>
          <w:szCs w:val="22"/>
          <w:lang w:val="en-GB"/>
        </w:rPr>
        <w:t xml:space="preserve"> depending of the</w:t>
      </w:r>
      <w:r w:rsidR="00640C96">
        <w:rPr>
          <w:rFonts w:ascii="Arial" w:hAnsi="Arial" w:cs="Arial"/>
          <w:color w:val="7B7B7B" w:themeColor="accent3" w:themeShade="BF"/>
          <w:sz w:val="22"/>
          <w:szCs w:val="22"/>
          <w:lang w:val="en-GB"/>
        </w:rPr>
        <w:t xml:space="preserve"> jurisdiction</w:t>
      </w:r>
      <w:r w:rsidR="00F5517D">
        <w:rPr>
          <w:rFonts w:ascii="Arial" w:hAnsi="Arial" w:cs="Arial"/>
          <w:color w:val="7B7B7B" w:themeColor="accent3" w:themeShade="BF"/>
          <w:sz w:val="22"/>
          <w:szCs w:val="22"/>
          <w:lang w:val="en-GB"/>
        </w:rPr>
        <w:t xml:space="preserve"> in question</w:t>
      </w:r>
      <w:r>
        <w:rPr>
          <w:rFonts w:ascii="Arial" w:hAnsi="Arial" w:cs="Arial"/>
          <w:color w:val="7B7B7B" w:themeColor="accent3" w:themeShade="BF"/>
          <w:sz w:val="22"/>
          <w:szCs w:val="22"/>
          <w:lang w:val="en-GB"/>
        </w:rPr>
        <w:t xml:space="preserve">. </w:t>
      </w:r>
      <w:r w:rsidR="00640C96">
        <w:rPr>
          <w:rFonts w:ascii="Arial" w:hAnsi="Arial" w:cs="Arial"/>
          <w:color w:val="7B7B7B" w:themeColor="accent3" w:themeShade="BF"/>
          <w:sz w:val="22"/>
          <w:szCs w:val="22"/>
          <w:lang w:val="en-GB"/>
        </w:rPr>
        <w:t xml:space="preserve">For example, in </w:t>
      </w:r>
      <w:r w:rsidR="00DE4D27">
        <w:rPr>
          <w:rFonts w:ascii="Arial" w:hAnsi="Arial" w:cs="Arial"/>
          <w:color w:val="7B7B7B" w:themeColor="accent3" w:themeShade="BF"/>
          <w:sz w:val="22"/>
          <w:szCs w:val="22"/>
          <w:lang w:val="en-GB"/>
        </w:rPr>
        <w:t>United States of America (“</w:t>
      </w:r>
      <w:r w:rsidR="00640C96">
        <w:rPr>
          <w:rFonts w:ascii="Arial" w:hAnsi="Arial" w:cs="Arial"/>
          <w:color w:val="7B7B7B" w:themeColor="accent3" w:themeShade="BF"/>
          <w:sz w:val="22"/>
          <w:szCs w:val="22"/>
          <w:lang w:val="en-GB"/>
        </w:rPr>
        <w:t>US</w:t>
      </w:r>
      <w:r w:rsidR="00DE4D27">
        <w:rPr>
          <w:rFonts w:ascii="Arial" w:hAnsi="Arial" w:cs="Arial"/>
          <w:color w:val="7B7B7B" w:themeColor="accent3" w:themeShade="BF"/>
          <w:sz w:val="22"/>
          <w:szCs w:val="22"/>
          <w:lang w:val="en-GB"/>
        </w:rPr>
        <w:t>”)</w:t>
      </w:r>
      <w:r w:rsidR="00640C96">
        <w:rPr>
          <w:rFonts w:ascii="Arial" w:hAnsi="Arial" w:cs="Arial"/>
          <w:color w:val="7B7B7B" w:themeColor="accent3" w:themeShade="BF"/>
          <w:sz w:val="22"/>
          <w:szCs w:val="22"/>
          <w:lang w:val="en-GB"/>
        </w:rPr>
        <w:t xml:space="preserve"> Bankruptcy Court caselaw, the court assessed the COMI or establishment from the date of filing of Chapter 15 petition (</w:t>
      </w:r>
      <w:r w:rsidR="00640C96">
        <w:rPr>
          <w:rFonts w:ascii="Arial" w:hAnsi="Arial" w:cs="Arial"/>
          <w:i/>
          <w:iCs/>
          <w:color w:val="7B7B7B" w:themeColor="accent3" w:themeShade="BF"/>
          <w:sz w:val="22"/>
          <w:szCs w:val="22"/>
          <w:lang w:val="en-GB"/>
        </w:rPr>
        <w:t>sidenote: chapter 15 is the US implementation of the MLCBI)</w:t>
      </w:r>
      <w:r w:rsidR="00640C96">
        <w:rPr>
          <w:rFonts w:ascii="Arial" w:hAnsi="Arial" w:cs="Arial"/>
          <w:color w:val="7B7B7B" w:themeColor="accent3" w:themeShade="BF"/>
          <w:sz w:val="22"/>
          <w:szCs w:val="22"/>
          <w:lang w:val="en-GB"/>
        </w:rPr>
        <w:t xml:space="preserve">, see </w:t>
      </w:r>
      <w:r w:rsidR="00640C96" w:rsidRPr="00640C96">
        <w:rPr>
          <w:rFonts w:ascii="Arial" w:hAnsi="Arial" w:cs="Arial"/>
          <w:i/>
          <w:iCs/>
          <w:color w:val="7B7B7B" w:themeColor="accent3" w:themeShade="BF"/>
          <w:sz w:val="22"/>
          <w:szCs w:val="22"/>
        </w:rPr>
        <w:t xml:space="preserve">Morning Mist Holdings Ltd. v. </w:t>
      </w:r>
      <w:proofErr w:type="spellStart"/>
      <w:r w:rsidR="00640C96" w:rsidRPr="00640C96">
        <w:rPr>
          <w:rFonts w:ascii="Arial" w:hAnsi="Arial" w:cs="Arial"/>
          <w:i/>
          <w:iCs/>
          <w:color w:val="7B7B7B" w:themeColor="accent3" w:themeShade="BF"/>
          <w:sz w:val="22"/>
          <w:szCs w:val="22"/>
        </w:rPr>
        <w:t>Krys</w:t>
      </w:r>
      <w:proofErr w:type="spellEnd"/>
      <w:r w:rsidR="00640C96" w:rsidRPr="00640C96">
        <w:rPr>
          <w:rFonts w:ascii="Arial" w:hAnsi="Arial" w:cs="Arial"/>
          <w:color w:val="7B7B7B" w:themeColor="accent3" w:themeShade="BF"/>
          <w:sz w:val="22"/>
          <w:szCs w:val="22"/>
        </w:rPr>
        <w:t xml:space="preserve"> (</w:t>
      </w:r>
      <w:r w:rsidR="00640C96" w:rsidRPr="00640C96">
        <w:rPr>
          <w:rFonts w:ascii="Arial" w:hAnsi="Arial" w:cs="Arial"/>
          <w:i/>
          <w:iCs/>
          <w:color w:val="7B7B7B" w:themeColor="accent3" w:themeShade="BF"/>
          <w:sz w:val="22"/>
          <w:szCs w:val="22"/>
        </w:rPr>
        <w:t>In re Fairfield Sentry Ltd.</w:t>
      </w:r>
      <w:r w:rsidR="00640C96" w:rsidRPr="00640C96">
        <w:rPr>
          <w:rFonts w:ascii="Arial" w:hAnsi="Arial" w:cs="Arial"/>
          <w:color w:val="7B7B7B" w:themeColor="accent3" w:themeShade="BF"/>
          <w:sz w:val="22"/>
          <w:szCs w:val="22"/>
        </w:rPr>
        <w:t>)</w:t>
      </w:r>
      <w:r w:rsidR="00640C96">
        <w:rPr>
          <w:rFonts w:ascii="Arial" w:hAnsi="Arial" w:cs="Arial"/>
          <w:color w:val="7B7B7B" w:themeColor="accent3" w:themeShade="BF"/>
          <w:sz w:val="22"/>
          <w:szCs w:val="22"/>
        </w:rPr>
        <w:t>,</w:t>
      </w:r>
      <w:r w:rsidR="00640C96" w:rsidRPr="00640C96">
        <w:rPr>
          <w:rFonts w:ascii="Arial" w:hAnsi="Arial" w:cs="Arial"/>
          <w:color w:val="7B7B7B" w:themeColor="accent3" w:themeShade="BF"/>
          <w:sz w:val="22"/>
          <w:szCs w:val="22"/>
        </w:rPr>
        <w:t xml:space="preserve"> 714 F.3d 127</w:t>
      </w:r>
      <w:r w:rsidR="00A14944">
        <w:rPr>
          <w:rFonts w:ascii="Arial" w:hAnsi="Arial" w:cs="Arial"/>
          <w:color w:val="7B7B7B" w:themeColor="accent3" w:themeShade="BF"/>
          <w:sz w:val="22"/>
          <w:szCs w:val="22"/>
        </w:rPr>
        <w:t>, 134-137</w:t>
      </w:r>
      <w:r w:rsidR="00640C96" w:rsidRPr="00640C96">
        <w:rPr>
          <w:rFonts w:ascii="Arial" w:hAnsi="Arial" w:cs="Arial"/>
          <w:color w:val="7B7B7B" w:themeColor="accent3" w:themeShade="BF"/>
          <w:sz w:val="22"/>
          <w:szCs w:val="22"/>
        </w:rPr>
        <w:t xml:space="preserve"> (2d Cir. 2013)</w:t>
      </w:r>
      <w:r w:rsidR="00640C96">
        <w:rPr>
          <w:rFonts w:ascii="Arial" w:hAnsi="Arial" w:cs="Arial"/>
          <w:color w:val="7B7B7B" w:themeColor="accent3" w:themeShade="BF"/>
          <w:sz w:val="22"/>
          <w:szCs w:val="22"/>
        </w:rPr>
        <w:t xml:space="preserve"> which makes reference to </w:t>
      </w:r>
      <w:r w:rsidR="00640C96">
        <w:rPr>
          <w:rFonts w:ascii="Arial" w:hAnsi="Arial" w:cs="Arial"/>
          <w:i/>
          <w:iCs/>
          <w:color w:val="7B7B7B" w:themeColor="accent3" w:themeShade="BF"/>
          <w:sz w:val="22"/>
          <w:szCs w:val="22"/>
        </w:rPr>
        <w:t xml:space="preserve">In re British Am. Ins. Co., </w:t>
      </w:r>
      <w:r w:rsidR="00640C96">
        <w:rPr>
          <w:rFonts w:ascii="Arial" w:hAnsi="Arial" w:cs="Arial"/>
          <w:color w:val="7B7B7B" w:themeColor="accent3" w:themeShade="BF"/>
          <w:sz w:val="22"/>
          <w:szCs w:val="22"/>
        </w:rPr>
        <w:t xml:space="preserve">425 B.R. 884, 909-10 (Bankr.S.D.Fla.2010) and </w:t>
      </w:r>
      <w:r w:rsidR="00640C96">
        <w:rPr>
          <w:rFonts w:ascii="Arial" w:hAnsi="Arial" w:cs="Arial"/>
          <w:i/>
          <w:iCs/>
          <w:color w:val="7B7B7B" w:themeColor="accent3" w:themeShade="BF"/>
          <w:sz w:val="22"/>
          <w:szCs w:val="22"/>
        </w:rPr>
        <w:t xml:space="preserve">In re </w:t>
      </w:r>
      <w:proofErr w:type="spellStart"/>
      <w:r w:rsidR="00640C96">
        <w:rPr>
          <w:rFonts w:ascii="Arial" w:hAnsi="Arial" w:cs="Arial"/>
          <w:i/>
          <w:iCs/>
          <w:color w:val="7B7B7B" w:themeColor="accent3" w:themeShade="BF"/>
          <w:sz w:val="22"/>
          <w:szCs w:val="22"/>
        </w:rPr>
        <w:t>Betcorp</w:t>
      </w:r>
      <w:proofErr w:type="spellEnd"/>
      <w:r w:rsidR="00640C96">
        <w:rPr>
          <w:rFonts w:ascii="Arial" w:hAnsi="Arial" w:cs="Arial"/>
          <w:i/>
          <w:iCs/>
          <w:color w:val="7B7B7B" w:themeColor="accent3" w:themeShade="BF"/>
          <w:sz w:val="22"/>
          <w:szCs w:val="22"/>
        </w:rPr>
        <w:t xml:space="preserve"> Ltd., </w:t>
      </w:r>
      <w:r w:rsidR="00640C96">
        <w:rPr>
          <w:rFonts w:ascii="Arial" w:hAnsi="Arial" w:cs="Arial"/>
          <w:color w:val="7B7B7B" w:themeColor="accent3" w:themeShade="BF"/>
          <w:sz w:val="22"/>
          <w:szCs w:val="22"/>
        </w:rPr>
        <w:t>400 B.R. 266, 290-92</w:t>
      </w:r>
      <w:r w:rsidR="00A14944">
        <w:rPr>
          <w:rFonts w:ascii="Arial" w:hAnsi="Arial" w:cs="Arial"/>
          <w:color w:val="7B7B7B" w:themeColor="accent3" w:themeShade="BF"/>
          <w:sz w:val="22"/>
          <w:szCs w:val="22"/>
        </w:rPr>
        <w:t xml:space="preserve"> (BankrD.Nev.2009). The Court in </w:t>
      </w:r>
      <w:r w:rsidR="00A14944">
        <w:rPr>
          <w:rFonts w:ascii="Arial" w:hAnsi="Arial" w:cs="Arial"/>
          <w:i/>
          <w:iCs/>
          <w:color w:val="7B7B7B" w:themeColor="accent3" w:themeShade="BF"/>
          <w:sz w:val="22"/>
          <w:szCs w:val="22"/>
        </w:rPr>
        <w:t xml:space="preserve">Fairfield </w:t>
      </w:r>
      <w:r w:rsidR="00A14944">
        <w:rPr>
          <w:rFonts w:ascii="Arial" w:hAnsi="Arial" w:cs="Arial"/>
          <w:color w:val="7B7B7B" w:themeColor="accent3" w:themeShade="BF"/>
          <w:sz w:val="22"/>
          <w:szCs w:val="22"/>
        </w:rPr>
        <w:t>held that the debtor’s COMI should be determined on the basis of its activities around the time of the Chapter 15 (recognition) petition of the foreign insolvency proceeding. It mentioned that the Court may opt for a broader temporal assessment</w:t>
      </w:r>
      <w:r w:rsidR="006A4A34">
        <w:rPr>
          <w:rFonts w:ascii="Arial" w:hAnsi="Arial" w:cs="Arial"/>
          <w:color w:val="7B7B7B" w:themeColor="accent3" w:themeShade="BF"/>
          <w:sz w:val="22"/>
          <w:szCs w:val="22"/>
        </w:rPr>
        <w:t xml:space="preserve"> to offset the risks of a debtor manipulating its COMI. As such, the Court may include the time period between the commencement of the foreign insolvency proceeding and the recognition proceeding.</w:t>
      </w:r>
    </w:p>
    <w:p w14:paraId="179E3AA0" w14:textId="77777777" w:rsidR="006A4A34" w:rsidRPr="009B5832" w:rsidRDefault="006A4A34" w:rsidP="006A4A34">
      <w:pPr>
        <w:ind w:left="720" w:hanging="720"/>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5110F794" w:rsidR="009B07AD" w:rsidRDefault="004A10E5"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1 relates to </w:t>
      </w:r>
      <w:r w:rsidRPr="00553BC8">
        <w:rPr>
          <w:rFonts w:ascii="Arial" w:hAnsi="Arial" w:cs="Arial"/>
          <w:b/>
          <w:bCs/>
          <w:color w:val="7B7B7B" w:themeColor="accent3" w:themeShade="BF"/>
          <w:sz w:val="22"/>
          <w:szCs w:val="22"/>
          <w:lang w:val="en-GB"/>
        </w:rPr>
        <w:t>Article 30</w:t>
      </w:r>
      <w:r w:rsidR="00553BC8" w:rsidRPr="00553BC8">
        <w:rPr>
          <w:rFonts w:ascii="Arial" w:hAnsi="Arial" w:cs="Arial"/>
          <w:b/>
          <w:bCs/>
          <w:color w:val="7B7B7B" w:themeColor="accent3" w:themeShade="BF"/>
          <w:sz w:val="22"/>
          <w:szCs w:val="22"/>
          <w:lang w:val="en-GB"/>
        </w:rPr>
        <w:t>(</w:t>
      </w:r>
      <w:r w:rsidR="00553BC8">
        <w:rPr>
          <w:rFonts w:ascii="Arial" w:hAnsi="Arial" w:cs="Arial"/>
          <w:b/>
          <w:bCs/>
          <w:color w:val="7B7B7B" w:themeColor="accent3" w:themeShade="BF"/>
          <w:sz w:val="22"/>
          <w:szCs w:val="22"/>
          <w:lang w:val="en-GB"/>
        </w:rPr>
        <w:t>c</w:t>
      </w:r>
      <w:r w:rsidR="00553BC8" w:rsidRPr="00553BC8">
        <w:rPr>
          <w:rFonts w:ascii="Arial" w:hAnsi="Arial" w:cs="Arial"/>
          <w:b/>
          <w:bCs/>
          <w:color w:val="7B7B7B" w:themeColor="accent3" w:themeShade="BF"/>
          <w:sz w:val="22"/>
          <w:szCs w:val="22"/>
          <w:lang w:val="en-GB"/>
        </w:rPr>
        <w:t>)</w:t>
      </w:r>
      <w:r>
        <w:rPr>
          <w:rFonts w:ascii="Arial" w:hAnsi="Arial" w:cs="Arial"/>
          <w:color w:val="7B7B7B" w:themeColor="accent3" w:themeShade="BF"/>
          <w:sz w:val="22"/>
          <w:szCs w:val="22"/>
          <w:lang w:val="en-GB"/>
        </w:rPr>
        <w:t xml:space="preserve"> of the MLCBI regarding the “coordination of more than one foreign proceeding”, </w:t>
      </w:r>
      <w:r w:rsidR="00553BC8">
        <w:rPr>
          <w:rFonts w:ascii="Arial" w:hAnsi="Arial" w:cs="Arial"/>
          <w:color w:val="7B7B7B" w:themeColor="accent3" w:themeShade="BF"/>
          <w:sz w:val="22"/>
          <w:szCs w:val="22"/>
          <w:lang w:val="en-GB"/>
        </w:rPr>
        <w:t xml:space="preserve">or </w:t>
      </w:r>
      <w:r>
        <w:rPr>
          <w:rFonts w:ascii="Arial" w:hAnsi="Arial" w:cs="Arial"/>
          <w:color w:val="7B7B7B" w:themeColor="accent3" w:themeShade="BF"/>
          <w:sz w:val="22"/>
          <w:szCs w:val="22"/>
          <w:lang w:val="en-GB"/>
        </w:rPr>
        <w:t>more specifically</w:t>
      </w:r>
      <w:r w:rsidR="0085577F">
        <w:rPr>
          <w:rFonts w:ascii="Arial" w:hAnsi="Arial" w:cs="Arial"/>
          <w:color w:val="7B7B7B" w:themeColor="accent3" w:themeShade="BF"/>
          <w:sz w:val="22"/>
          <w:szCs w:val="22"/>
          <w:lang w:val="en-GB"/>
        </w:rPr>
        <w:t>,</w:t>
      </w:r>
      <w:r>
        <w:rPr>
          <w:rFonts w:ascii="Arial" w:hAnsi="Arial" w:cs="Arial"/>
          <w:b/>
          <w:bCs/>
          <w:color w:val="7B7B7B" w:themeColor="accent3" w:themeShade="BF"/>
          <w:sz w:val="22"/>
          <w:szCs w:val="22"/>
          <w:lang w:val="en-GB"/>
        </w:rPr>
        <w:t xml:space="preserve"> </w:t>
      </w:r>
      <w:r>
        <w:rPr>
          <w:rFonts w:ascii="Arial" w:hAnsi="Arial" w:cs="Arial"/>
          <w:color w:val="7B7B7B" w:themeColor="accent3" w:themeShade="BF"/>
          <w:sz w:val="22"/>
          <w:szCs w:val="22"/>
          <w:lang w:val="en-GB"/>
        </w:rPr>
        <w:t>regarding the coordination of two foreign non-main proceedings.</w:t>
      </w:r>
    </w:p>
    <w:p w14:paraId="4D2E1F34" w14:textId="2DBE454D" w:rsidR="004A10E5" w:rsidRDefault="004A10E5"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2 relates to </w:t>
      </w:r>
      <w:r w:rsidR="0085577F">
        <w:rPr>
          <w:rFonts w:ascii="Arial" w:hAnsi="Arial" w:cs="Arial"/>
          <w:b/>
          <w:bCs/>
          <w:color w:val="7B7B7B" w:themeColor="accent3" w:themeShade="BF"/>
          <w:sz w:val="22"/>
          <w:szCs w:val="22"/>
          <w:lang w:val="en-GB"/>
        </w:rPr>
        <w:t xml:space="preserve">Article 32 </w:t>
      </w:r>
      <w:r w:rsidR="0085577F">
        <w:rPr>
          <w:rFonts w:ascii="Arial" w:hAnsi="Arial" w:cs="Arial"/>
          <w:color w:val="7B7B7B" w:themeColor="accent3" w:themeShade="BF"/>
          <w:sz w:val="22"/>
          <w:szCs w:val="22"/>
          <w:lang w:val="en-GB"/>
        </w:rPr>
        <w:t xml:space="preserve">of the MLCBI regarding the </w:t>
      </w:r>
      <w:r w:rsidR="0085577F">
        <w:rPr>
          <w:rFonts w:ascii="Arial" w:hAnsi="Arial" w:cs="Arial"/>
          <w:color w:val="7B7B7B" w:themeColor="accent3" w:themeShade="BF"/>
          <w:sz w:val="22"/>
          <w:szCs w:val="22"/>
        </w:rPr>
        <w:t>r</w:t>
      </w:r>
      <w:r w:rsidR="0085577F" w:rsidRPr="0085577F">
        <w:rPr>
          <w:rFonts w:ascii="Arial" w:hAnsi="Arial" w:cs="Arial"/>
          <w:color w:val="7B7B7B" w:themeColor="accent3" w:themeShade="BF"/>
          <w:sz w:val="22"/>
          <w:szCs w:val="22"/>
        </w:rPr>
        <w:t>ule of payment in concurrent proceedings</w:t>
      </w:r>
      <w:r w:rsidR="0085577F">
        <w:rPr>
          <w:rFonts w:ascii="Arial" w:hAnsi="Arial" w:cs="Arial"/>
          <w:color w:val="7B7B7B" w:themeColor="accent3" w:themeShade="BF"/>
          <w:sz w:val="22"/>
          <w:szCs w:val="22"/>
          <w:lang w:val="en-GB"/>
        </w:rPr>
        <w:t xml:space="preserve">, or better known as the </w:t>
      </w:r>
      <w:r w:rsidR="0085577F">
        <w:rPr>
          <w:rFonts w:ascii="Arial" w:hAnsi="Arial" w:cs="Arial"/>
          <w:b/>
          <w:bCs/>
          <w:color w:val="7B7B7B" w:themeColor="accent3" w:themeShade="BF"/>
          <w:sz w:val="22"/>
          <w:szCs w:val="22"/>
          <w:lang w:val="en-GB"/>
        </w:rPr>
        <w:t>“hotchpot rule”</w:t>
      </w:r>
      <w:r w:rsidR="0085577F">
        <w:rPr>
          <w:rFonts w:ascii="Arial" w:hAnsi="Arial" w:cs="Arial"/>
          <w:color w:val="7B7B7B" w:themeColor="accent3" w:themeShade="BF"/>
          <w:sz w:val="22"/>
          <w:szCs w:val="22"/>
          <w:lang w:val="en-GB"/>
        </w:rPr>
        <w:t xml:space="preserve">. </w:t>
      </w:r>
    </w:p>
    <w:p w14:paraId="79961E83" w14:textId="6FCBD18B" w:rsidR="00D17FDC" w:rsidRDefault="0085577F" w:rsidP="00553BC8">
      <w:pPr>
        <w:ind w:left="720" w:hanging="720"/>
        <w:jc w:val="both"/>
        <w:rPr>
          <w:rFonts w:ascii="Arial" w:hAnsi="Arial" w:cs="Arial"/>
          <w:sz w:val="22"/>
          <w:szCs w:val="22"/>
        </w:rPr>
      </w:pPr>
      <w:r>
        <w:rPr>
          <w:rFonts w:ascii="Arial" w:hAnsi="Arial" w:cs="Arial"/>
          <w:color w:val="7B7B7B" w:themeColor="accent3" w:themeShade="BF"/>
          <w:sz w:val="22"/>
          <w:szCs w:val="22"/>
          <w:lang w:val="en-GB"/>
        </w:rPr>
        <w:t xml:space="preserve">Statement 3 relates to </w:t>
      </w:r>
      <w:r w:rsidR="00553BC8">
        <w:rPr>
          <w:rFonts w:ascii="Arial" w:hAnsi="Arial" w:cs="Arial"/>
          <w:b/>
          <w:bCs/>
          <w:color w:val="7B7B7B" w:themeColor="accent3" w:themeShade="BF"/>
          <w:sz w:val="22"/>
          <w:szCs w:val="22"/>
          <w:lang w:val="en-GB"/>
        </w:rPr>
        <w:t xml:space="preserve">Article 16(3) </w:t>
      </w:r>
      <w:r w:rsidR="00553BC8">
        <w:rPr>
          <w:rFonts w:ascii="Arial" w:hAnsi="Arial" w:cs="Arial"/>
          <w:color w:val="7B7B7B" w:themeColor="accent3" w:themeShade="BF"/>
          <w:sz w:val="22"/>
          <w:szCs w:val="22"/>
          <w:lang w:val="en-GB"/>
        </w:rPr>
        <w:t>of the MLCBI regarding presumptions concerning recognition, and more specifically, regarding the</w:t>
      </w:r>
      <w:r w:rsidR="00384B8B">
        <w:rPr>
          <w:rFonts w:ascii="Arial" w:hAnsi="Arial" w:cs="Arial"/>
          <w:color w:val="7B7B7B" w:themeColor="accent3" w:themeShade="BF"/>
          <w:sz w:val="22"/>
          <w:szCs w:val="22"/>
          <w:lang w:val="en-GB"/>
        </w:rPr>
        <w:t xml:space="preserve"> (rebuttable)</w:t>
      </w:r>
      <w:r w:rsidR="00553BC8">
        <w:rPr>
          <w:rFonts w:ascii="Arial" w:hAnsi="Arial" w:cs="Arial"/>
          <w:color w:val="7B7B7B" w:themeColor="accent3" w:themeShade="BF"/>
          <w:sz w:val="22"/>
          <w:szCs w:val="22"/>
          <w:lang w:val="en-GB"/>
        </w:rPr>
        <w:t xml:space="preserve"> presumption of the location of a debtor’s COMI. </w:t>
      </w:r>
    </w:p>
    <w:p w14:paraId="5062897B" w14:textId="77777777" w:rsidR="00553BC8" w:rsidRPr="009B5832" w:rsidRDefault="00553BC8" w:rsidP="00553BC8">
      <w:pPr>
        <w:ind w:left="720" w:hanging="720"/>
        <w:jc w:val="both"/>
        <w:rPr>
          <w:rFonts w:ascii="Arial" w:hAnsi="Arial" w:cs="Arial"/>
          <w:sz w:val="22"/>
          <w:szCs w:val="22"/>
          <w:lang w:val="en-GB"/>
        </w:rPr>
      </w:pPr>
    </w:p>
    <w:p w14:paraId="34516371" w14:textId="1DF36367" w:rsidR="00C72848" w:rsidRPr="001066B6" w:rsidRDefault="00C72848" w:rsidP="00707FC8">
      <w:pPr>
        <w:ind w:left="720" w:hanging="720"/>
        <w:jc w:val="both"/>
        <w:rPr>
          <w:rFonts w:ascii="Arial" w:hAnsi="Arial" w:cs="Arial"/>
          <w:b/>
          <w:bCs/>
          <w:sz w:val="22"/>
          <w:szCs w:val="22"/>
          <w:lang w:val="en-GB"/>
        </w:rPr>
      </w:pPr>
      <w:r w:rsidRPr="001066B6">
        <w:rPr>
          <w:rFonts w:ascii="Arial" w:hAnsi="Arial" w:cs="Arial"/>
          <w:b/>
          <w:bCs/>
          <w:sz w:val="22"/>
          <w:szCs w:val="22"/>
          <w:lang w:val="en-GB"/>
        </w:rPr>
        <w:t xml:space="preserve">Question </w:t>
      </w:r>
      <w:r w:rsidR="00E6452F" w:rsidRPr="001066B6">
        <w:rPr>
          <w:rFonts w:ascii="Arial" w:hAnsi="Arial" w:cs="Arial"/>
          <w:b/>
          <w:bCs/>
          <w:sz w:val="22"/>
          <w:szCs w:val="22"/>
          <w:lang w:val="en-GB"/>
        </w:rPr>
        <w:t>2.3</w:t>
      </w:r>
      <w:r w:rsidR="00E6452F" w:rsidRPr="001066B6">
        <w:rPr>
          <w:rFonts w:ascii="Arial" w:hAnsi="Arial" w:cs="Arial"/>
          <w:b/>
          <w:bCs/>
          <w:sz w:val="22"/>
          <w:szCs w:val="22"/>
          <w:lang w:val="en-GB"/>
        </w:rPr>
        <w:tab/>
        <w:t>[</w:t>
      </w:r>
      <w:r w:rsidR="00067A88" w:rsidRPr="001066B6">
        <w:rPr>
          <w:rFonts w:ascii="Arial" w:hAnsi="Arial" w:cs="Arial"/>
          <w:b/>
          <w:bCs/>
          <w:sz w:val="22"/>
          <w:szCs w:val="22"/>
          <w:lang w:val="en-GB"/>
        </w:rPr>
        <w:t>2</w:t>
      </w:r>
      <w:r w:rsidR="00E6452F" w:rsidRPr="001066B6">
        <w:rPr>
          <w:rFonts w:ascii="Arial" w:hAnsi="Arial" w:cs="Arial"/>
          <w:b/>
          <w:bCs/>
          <w:sz w:val="22"/>
          <w:szCs w:val="22"/>
          <w:lang w:val="en-GB"/>
        </w:rPr>
        <w:t xml:space="preserve"> marks] </w:t>
      </w:r>
    </w:p>
    <w:p w14:paraId="64670543" w14:textId="77777777" w:rsidR="00C72848" w:rsidRPr="001066B6" w:rsidRDefault="00C72848" w:rsidP="00707FC8">
      <w:pPr>
        <w:ind w:left="720" w:hanging="720"/>
        <w:jc w:val="both"/>
        <w:rPr>
          <w:rFonts w:ascii="Arial" w:hAnsi="Arial" w:cs="Arial"/>
          <w:b/>
          <w:bCs/>
          <w:sz w:val="22"/>
          <w:szCs w:val="22"/>
          <w:lang w:val="en-GB"/>
        </w:rPr>
      </w:pPr>
    </w:p>
    <w:p w14:paraId="2252050D" w14:textId="72A4F274" w:rsidR="00530003" w:rsidRPr="001066B6" w:rsidRDefault="00D80DF2" w:rsidP="00530003">
      <w:pPr>
        <w:jc w:val="both"/>
        <w:rPr>
          <w:rFonts w:ascii="Arial" w:hAnsi="Arial" w:cs="Arial"/>
          <w:sz w:val="22"/>
          <w:szCs w:val="22"/>
          <w:lang w:val="en-GB"/>
        </w:rPr>
      </w:pPr>
      <w:r w:rsidRPr="001066B6">
        <w:rPr>
          <w:rFonts w:ascii="Arial" w:hAnsi="Arial" w:cs="Arial"/>
          <w:sz w:val="22"/>
          <w:szCs w:val="22"/>
          <w:lang w:val="en-GB"/>
        </w:rPr>
        <w:t xml:space="preserve">In the </w:t>
      </w:r>
      <w:r w:rsidRPr="001066B6">
        <w:rPr>
          <w:rFonts w:ascii="Arial" w:hAnsi="Arial" w:cs="Arial"/>
          <w:i/>
          <w:iCs/>
          <w:sz w:val="22"/>
          <w:szCs w:val="22"/>
          <w:lang w:val="en-GB"/>
        </w:rPr>
        <w:t>IBA</w:t>
      </w:r>
      <w:r w:rsidRPr="001066B6">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1066B6">
        <w:rPr>
          <w:rFonts w:ascii="Arial" w:hAnsi="Arial" w:cs="Arial"/>
          <w:b/>
          <w:bCs/>
          <w:sz w:val="22"/>
          <w:szCs w:val="22"/>
          <w:u w:val="single"/>
          <w:lang w:val="en-GB"/>
        </w:rPr>
        <w:t>Please explain</w:t>
      </w:r>
      <w:r w:rsidRPr="001066B6">
        <w:rPr>
          <w:rFonts w:ascii="Arial" w:hAnsi="Arial" w:cs="Arial"/>
          <w:sz w:val="22"/>
          <w:szCs w:val="22"/>
          <w:lang w:val="en-GB"/>
        </w:rPr>
        <w:t>.</w:t>
      </w:r>
    </w:p>
    <w:p w14:paraId="168EBB52" w14:textId="7B08F954" w:rsidR="00C82D87" w:rsidRPr="00384B8B" w:rsidRDefault="00C82D87" w:rsidP="00707FC8">
      <w:pPr>
        <w:jc w:val="both"/>
        <w:rPr>
          <w:rFonts w:ascii="Arial" w:hAnsi="Arial" w:cs="Arial"/>
          <w:color w:val="FF0000"/>
          <w:sz w:val="22"/>
          <w:szCs w:val="22"/>
          <w:lang w:val="en-GB"/>
        </w:rPr>
      </w:pPr>
    </w:p>
    <w:p w14:paraId="173AECA0" w14:textId="00C0C19F" w:rsidR="00457030" w:rsidRDefault="00E9467C"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w:t>
      </w:r>
      <w:r w:rsidR="00457030">
        <w:rPr>
          <w:rFonts w:ascii="Arial" w:hAnsi="Arial" w:cs="Arial"/>
          <w:color w:val="7B7B7B" w:themeColor="accent3" w:themeShade="BF"/>
          <w:sz w:val="22"/>
          <w:szCs w:val="22"/>
          <w:lang w:val="en-GB"/>
        </w:rPr>
        <w:t xml:space="preserve"> should be noted that the issue of jurisdiction in the </w:t>
      </w:r>
      <w:r w:rsidR="00457030">
        <w:rPr>
          <w:rFonts w:ascii="Arial" w:hAnsi="Arial" w:cs="Arial"/>
          <w:i/>
          <w:iCs/>
          <w:color w:val="7B7B7B" w:themeColor="accent3" w:themeShade="BF"/>
          <w:sz w:val="22"/>
          <w:szCs w:val="22"/>
          <w:lang w:val="en-GB"/>
        </w:rPr>
        <w:t xml:space="preserve">IBA </w:t>
      </w:r>
      <w:r w:rsidR="00457030">
        <w:rPr>
          <w:rFonts w:ascii="Arial" w:hAnsi="Arial" w:cs="Arial"/>
          <w:color w:val="7B7B7B" w:themeColor="accent3" w:themeShade="BF"/>
          <w:sz w:val="22"/>
          <w:szCs w:val="22"/>
          <w:lang w:val="en-GB"/>
        </w:rPr>
        <w:t xml:space="preserve">case did not concern having the power to deal with and/or decide on the matter. It is about whether or not the court should exercise its power to decide on the matter and to grant indefinite moratorium continuation. </w:t>
      </w:r>
    </w:p>
    <w:p w14:paraId="78DB9FD8" w14:textId="31687148" w:rsidR="00C72848" w:rsidRDefault="00457030"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of Appeal stated that in granting the moratorium, it would prevent the local (English) creditors from enforcing their rights provided by national law. </w:t>
      </w:r>
      <w:r w:rsidR="001066B6">
        <w:rPr>
          <w:rFonts w:ascii="Arial" w:hAnsi="Arial" w:cs="Arial"/>
          <w:color w:val="7B7B7B" w:themeColor="accent3" w:themeShade="BF"/>
          <w:sz w:val="22"/>
          <w:szCs w:val="22"/>
          <w:lang w:val="en-GB"/>
        </w:rPr>
        <w:t>Therefore, the court may only grant such moratorium if it is an appropriate measure and necessary for the protection of the interests of IBA’s creditors.</w:t>
      </w:r>
    </w:p>
    <w:p w14:paraId="38156BAB" w14:textId="77777777" w:rsidR="005D0139" w:rsidRDefault="001066B6"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also stated that granting the moratorium would lead to a </w:t>
      </w:r>
      <w:r w:rsidR="005D0139">
        <w:rPr>
          <w:rFonts w:ascii="Arial" w:hAnsi="Arial" w:cs="Arial"/>
          <w:color w:val="7B7B7B" w:themeColor="accent3" w:themeShade="BF"/>
          <w:sz w:val="22"/>
          <w:szCs w:val="22"/>
          <w:lang w:val="en-GB"/>
        </w:rPr>
        <w:t>prolonged</w:t>
      </w:r>
      <w:r>
        <w:rPr>
          <w:rFonts w:ascii="Arial" w:hAnsi="Arial" w:cs="Arial"/>
          <w:color w:val="7B7B7B" w:themeColor="accent3" w:themeShade="BF"/>
          <w:sz w:val="22"/>
          <w:szCs w:val="22"/>
          <w:lang w:val="en-GB"/>
        </w:rPr>
        <w:t xml:space="preserve"> </w:t>
      </w:r>
      <w:r w:rsidR="005D0139">
        <w:rPr>
          <w:rFonts w:ascii="Arial" w:hAnsi="Arial" w:cs="Arial"/>
          <w:color w:val="7B7B7B" w:themeColor="accent3" w:themeShade="BF"/>
          <w:sz w:val="22"/>
          <w:szCs w:val="22"/>
          <w:lang w:val="en-GB"/>
        </w:rPr>
        <w:t>stay, even after the foreign restructuring is completed.</w:t>
      </w:r>
    </w:p>
    <w:p w14:paraId="06D73E7D" w14:textId="3DB33A40" w:rsidR="001066B6" w:rsidRDefault="005D0139" w:rsidP="005D013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assessing whether the English court should grant the indefinite moratorium continuation, the Court of Appeal first applied the two conditions of </w:t>
      </w:r>
      <w:r>
        <w:rPr>
          <w:rFonts w:ascii="Arial" w:hAnsi="Arial" w:cs="Arial"/>
          <w:i/>
          <w:iCs/>
          <w:color w:val="7B7B7B" w:themeColor="accent3" w:themeShade="BF"/>
          <w:sz w:val="22"/>
          <w:szCs w:val="22"/>
          <w:lang w:val="en-GB"/>
        </w:rPr>
        <w:t xml:space="preserve">necessity </w:t>
      </w:r>
      <w:r>
        <w:rPr>
          <w:rFonts w:ascii="Arial" w:hAnsi="Arial" w:cs="Arial"/>
          <w:color w:val="7B7B7B" w:themeColor="accent3" w:themeShade="BF"/>
          <w:sz w:val="22"/>
          <w:szCs w:val="22"/>
          <w:lang w:val="en-GB"/>
        </w:rPr>
        <w:t xml:space="preserve">and </w:t>
      </w:r>
      <w:r>
        <w:rPr>
          <w:rFonts w:ascii="Arial" w:hAnsi="Arial" w:cs="Arial"/>
          <w:i/>
          <w:iCs/>
          <w:color w:val="7B7B7B" w:themeColor="accent3" w:themeShade="BF"/>
          <w:sz w:val="22"/>
          <w:szCs w:val="22"/>
          <w:lang w:val="en-GB"/>
        </w:rPr>
        <w:t xml:space="preserve">appropriateness </w:t>
      </w:r>
      <w:r>
        <w:rPr>
          <w:rFonts w:ascii="Arial" w:hAnsi="Arial" w:cs="Arial"/>
          <w:color w:val="7B7B7B" w:themeColor="accent3" w:themeShade="BF"/>
          <w:sz w:val="22"/>
          <w:szCs w:val="22"/>
          <w:lang w:val="en-GB"/>
        </w:rPr>
        <w:t>to the case and considered the implications of a prolonged stay after completion of the restructuring. Following the challenging creditors’ opinion, it found that</w:t>
      </w:r>
      <w:r w:rsidR="001066B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IBA creditors did not need more protection for the proceeding to achieve its objectives.</w:t>
      </w:r>
      <w:r w:rsidR="006A1B7D">
        <w:rPr>
          <w:rFonts w:ascii="Arial" w:hAnsi="Arial" w:cs="Arial"/>
          <w:color w:val="7B7B7B" w:themeColor="accent3" w:themeShade="BF"/>
          <w:sz w:val="22"/>
          <w:szCs w:val="22"/>
          <w:lang w:val="en-GB"/>
        </w:rPr>
        <w:t xml:space="preserve"> Moreover, it discussed IBA’s choice not to opt for the English (super-)scheme of arrangement was an important factor in deciding not to grant this moratorium. After all, one of the “weapons” under the scheme is the cross-class cram-down, which empowers the debtor-in-possession to still impose</w:t>
      </w:r>
      <w:r w:rsidR="00B22884">
        <w:rPr>
          <w:rFonts w:ascii="Arial" w:hAnsi="Arial" w:cs="Arial"/>
          <w:color w:val="7B7B7B" w:themeColor="accent3" w:themeShade="BF"/>
          <w:sz w:val="22"/>
          <w:szCs w:val="22"/>
          <w:lang w:val="en-GB"/>
        </w:rPr>
        <w:t xml:space="preserve"> and bind</w:t>
      </w:r>
      <w:r w:rsidR="006A1B7D">
        <w:rPr>
          <w:rFonts w:ascii="Arial" w:hAnsi="Arial" w:cs="Arial"/>
          <w:color w:val="7B7B7B" w:themeColor="accent3" w:themeShade="BF"/>
          <w:sz w:val="22"/>
          <w:szCs w:val="22"/>
          <w:lang w:val="en-GB"/>
        </w:rPr>
        <w:t xml:space="preserve"> the restructuring plan on dissenting creditors</w:t>
      </w:r>
      <w:r w:rsidR="00B22884">
        <w:rPr>
          <w:rFonts w:ascii="Arial" w:hAnsi="Arial" w:cs="Arial"/>
          <w:color w:val="7B7B7B" w:themeColor="accent3" w:themeShade="BF"/>
          <w:sz w:val="22"/>
          <w:szCs w:val="22"/>
          <w:lang w:val="en-GB"/>
        </w:rPr>
        <w:t xml:space="preserve"> when there is a majority vote.</w:t>
      </w:r>
    </w:p>
    <w:p w14:paraId="7D75DADB" w14:textId="77777777" w:rsidR="00BC6A61" w:rsidRDefault="00B22884" w:rsidP="005D013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Regarding the </w:t>
      </w:r>
      <w:r w:rsidR="00BC6A61">
        <w:rPr>
          <w:rFonts w:ascii="Arial" w:hAnsi="Arial" w:cs="Arial"/>
          <w:color w:val="7B7B7B" w:themeColor="accent3" w:themeShade="BF"/>
          <w:sz w:val="22"/>
          <w:szCs w:val="22"/>
          <w:lang w:val="en-GB"/>
        </w:rPr>
        <w:t>p</w:t>
      </w:r>
      <w:r>
        <w:rPr>
          <w:rFonts w:ascii="Arial" w:hAnsi="Arial" w:cs="Arial"/>
          <w:color w:val="7B7B7B" w:themeColor="accent3" w:themeShade="BF"/>
          <w:sz w:val="22"/>
          <w:szCs w:val="22"/>
          <w:lang w:val="en-GB"/>
        </w:rPr>
        <w:t>rolonged stay upon completion</w:t>
      </w:r>
      <w:r w:rsidR="00BC6A61">
        <w:rPr>
          <w:rFonts w:ascii="Arial" w:hAnsi="Arial" w:cs="Arial"/>
          <w:color w:val="7B7B7B" w:themeColor="accent3" w:themeShade="BF"/>
          <w:sz w:val="22"/>
          <w:szCs w:val="22"/>
          <w:lang w:val="en-GB"/>
        </w:rPr>
        <w:t xml:space="preserve"> of the restructuring</w:t>
      </w:r>
      <w:r>
        <w:rPr>
          <w:rFonts w:ascii="Arial" w:hAnsi="Arial" w:cs="Arial"/>
          <w:color w:val="7B7B7B" w:themeColor="accent3" w:themeShade="BF"/>
          <w:sz w:val="22"/>
          <w:szCs w:val="22"/>
          <w:lang w:val="en-GB"/>
        </w:rPr>
        <w:t>, the court considered t</w:t>
      </w:r>
      <w:r w:rsidR="00BC6A61">
        <w:rPr>
          <w:rFonts w:ascii="Arial" w:hAnsi="Arial" w:cs="Arial"/>
          <w:color w:val="7B7B7B" w:themeColor="accent3" w:themeShade="BF"/>
          <w:sz w:val="22"/>
          <w:szCs w:val="22"/>
          <w:lang w:val="en-GB"/>
        </w:rPr>
        <w:t xml:space="preserve">he </w:t>
      </w:r>
      <w:r w:rsidR="00BC6A61">
        <w:rPr>
          <w:rFonts w:ascii="Arial" w:hAnsi="Arial" w:cs="Arial"/>
          <w:color w:val="7B7B7B" w:themeColor="accent3" w:themeShade="BF"/>
          <w:sz w:val="22"/>
          <w:szCs w:val="22"/>
          <w:lang w:val="en-GB"/>
        </w:rPr>
        <w:t>implications due to</w:t>
      </w:r>
      <w:r>
        <w:rPr>
          <w:rFonts w:ascii="Arial" w:hAnsi="Arial" w:cs="Arial"/>
          <w:color w:val="7B7B7B" w:themeColor="accent3" w:themeShade="BF"/>
          <w:sz w:val="22"/>
          <w:szCs w:val="22"/>
          <w:lang w:val="en-GB"/>
        </w:rPr>
        <w:t xml:space="preserve"> the foreign proceeding </w:t>
      </w:r>
      <w:r w:rsidR="00BC6A61">
        <w:rPr>
          <w:rFonts w:ascii="Arial" w:hAnsi="Arial" w:cs="Arial"/>
          <w:color w:val="7B7B7B" w:themeColor="accent3" w:themeShade="BF"/>
          <w:sz w:val="22"/>
          <w:szCs w:val="22"/>
          <w:lang w:val="en-GB"/>
        </w:rPr>
        <w:t>having ended</w:t>
      </w:r>
      <w:r>
        <w:rPr>
          <w:rFonts w:ascii="Arial" w:hAnsi="Arial" w:cs="Arial"/>
          <w:color w:val="7B7B7B" w:themeColor="accent3" w:themeShade="BF"/>
          <w:sz w:val="22"/>
          <w:szCs w:val="22"/>
          <w:lang w:val="en-GB"/>
        </w:rPr>
        <w:t xml:space="preserve"> and the representative would complet</w:t>
      </w:r>
      <w:r w:rsidR="00BC6A61">
        <w:rPr>
          <w:rFonts w:ascii="Arial" w:hAnsi="Arial" w:cs="Arial"/>
          <w:color w:val="7B7B7B" w:themeColor="accent3" w:themeShade="BF"/>
          <w:sz w:val="22"/>
          <w:szCs w:val="22"/>
          <w:lang w:val="en-GB"/>
        </w:rPr>
        <w:t>ing its tasks</w:t>
      </w:r>
      <w:r>
        <w:rPr>
          <w:rFonts w:ascii="Arial" w:hAnsi="Arial" w:cs="Arial"/>
          <w:color w:val="7B7B7B" w:themeColor="accent3" w:themeShade="BF"/>
          <w:sz w:val="22"/>
          <w:szCs w:val="22"/>
          <w:lang w:val="en-GB"/>
        </w:rPr>
        <w:t xml:space="preserve">. This would lead to the obvious consequence that no court orders can be made in the future to modify or terminate the moratorium, because there is no proceeding in existence in the first place; it is completed. </w:t>
      </w:r>
      <w:r w:rsidR="00BC6A61">
        <w:rPr>
          <w:rFonts w:ascii="Arial" w:hAnsi="Arial" w:cs="Arial"/>
          <w:color w:val="7B7B7B" w:themeColor="accent3" w:themeShade="BF"/>
          <w:sz w:val="22"/>
          <w:szCs w:val="22"/>
          <w:lang w:val="en-GB"/>
        </w:rPr>
        <w:t>It ruled that the MLCBI would have given the necessary guidance and tools – in an explicit – way had it aimed at the continuance of the stay after the end of the foreign proceeding.</w:t>
      </w:r>
    </w:p>
    <w:p w14:paraId="1FCE8736" w14:textId="310E6729" w:rsidR="00B22884" w:rsidRPr="005D0139" w:rsidRDefault="00BC6A61" w:rsidP="005D013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these reasons, the English Court of Appeal decided to follow the decision of the court of first instance and ruled not to exercise its power to grant the indefinite moratorium continuation. </w:t>
      </w:r>
    </w:p>
    <w:p w14:paraId="572227E7" w14:textId="4F04867E"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6C6241B9" w14:textId="2EFE2370" w:rsidR="00F20B6D" w:rsidRDefault="00F20B6D"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 first part of the question, the most relevant provision is </w:t>
      </w:r>
      <w:r>
        <w:rPr>
          <w:rFonts w:ascii="Arial" w:hAnsi="Arial" w:cs="Arial"/>
          <w:b/>
          <w:bCs/>
          <w:color w:val="7B7B7B" w:themeColor="accent3" w:themeShade="BF"/>
          <w:sz w:val="22"/>
          <w:szCs w:val="22"/>
          <w:lang w:val="en-GB"/>
        </w:rPr>
        <w:t xml:space="preserve">Article 29(a) of the MLCBI. </w:t>
      </w:r>
      <w:r>
        <w:rPr>
          <w:rFonts w:ascii="Arial" w:hAnsi="Arial" w:cs="Arial"/>
          <w:color w:val="7B7B7B" w:themeColor="accent3" w:themeShade="BF"/>
          <w:sz w:val="22"/>
          <w:szCs w:val="22"/>
          <w:lang w:val="en-GB"/>
        </w:rPr>
        <w:t xml:space="preserve">According to this Article, automatic relief granted upon recognition of a foreign main proceeding under Article 20 MLCBI does not apply. Instead, the court of the enacting State should </w:t>
      </w:r>
      <w:r w:rsidR="0026733D">
        <w:rPr>
          <w:rFonts w:ascii="Arial" w:hAnsi="Arial" w:cs="Arial"/>
          <w:color w:val="7B7B7B" w:themeColor="accent3" w:themeShade="BF"/>
          <w:sz w:val="22"/>
          <w:szCs w:val="22"/>
          <w:lang w:val="en-GB"/>
        </w:rPr>
        <w:t xml:space="preserve">ensure </w:t>
      </w:r>
      <w:r>
        <w:rPr>
          <w:rFonts w:ascii="Arial" w:hAnsi="Arial" w:cs="Arial"/>
          <w:color w:val="7B7B7B" w:themeColor="accent3" w:themeShade="BF"/>
          <w:sz w:val="22"/>
          <w:szCs w:val="22"/>
          <w:lang w:val="en-GB"/>
        </w:rPr>
        <w:t xml:space="preserve">that any post-recognition relief </w:t>
      </w:r>
      <w:r w:rsidR="0026733D">
        <w:rPr>
          <w:rFonts w:ascii="Arial" w:hAnsi="Arial" w:cs="Arial"/>
          <w:color w:val="7B7B7B" w:themeColor="accent3" w:themeShade="BF"/>
          <w:sz w:val="22"/>
          <w:szCs w:val="22"/>
          <w:lang w:val="en-GB"/>
        </w:rPr>
        <w:t xml:space="preserve">granted </w:t>
      </w:r>
      <w:r>
        <w:rPr>
          <w:rFonts w:ascii="Arial" w:hAnsi="Arial" w:cs="Arial"/>
          <w:color w:val="7B7B7B" w:themeColor="accent3" w:themeShade="BF"/>
          <w:sz w:val="22"/>
          <w:szCs w:val="22"/>
          <w:lang w:val="en-GB"/>
        </w:rPr>
        <w:t xml:space="preserve">under Article 21 of the MLCBI (and also any interim </w:t>
      </w:r>
      <w:r w:rsidR="0026733D">
        <w:rPr>
          <w:rFonts w:ascii="Arial" w:hAnsi="Arial" w:cs="Arial"/>
          <w:color w:val="7B7B7B" w:themeColor="accent3" w:themeShade="BF"/>
          <w:sz w:val="22"/>
          <w:szCs w:val="22"/>
          <w:lang w:val="en-GB"/>
        </w:rPr>
        <w:t xml:space="preserve">relief prior-recognition </w:t>
      </w:r>
      <w:r>
        <w:rPr>
          <w:rFonts w:ascii="Arial" w:hAnsi="Arial" w:cs="Arial"/>
          <w:color w:val="7B7B7B" w:themeColor="accent3" w:themeShade="BF"/>
          <w:sz w:val="22"/>
          <w:szCs w:val="22"/>
          <w:lang w:val="en-GB"/>
        </w:rPr>
        <w:t>under Article 19 of the MLCBI)</w:t>
      </w:r>
      <w:r w:rsidR="0026733D">
        <w:rPr>
          <w:rFonts w:ascii="Arial" w:hAnsi="Arial" w:cs="Arial"/>
          <w:color w:val="7B7B7B" w:themeColor="accent3" w:themeShade="BF"/>
          <w:sz w:val="22"/>
          <w:szCs w:val="22"/>
          <w:lang w:val="en-GB"/>
        </w:rPr>
        <w:t xml:space="preserve"> is consistent with the domestic insolvency proceedings. </w:t>
      </w:r>
    </w:p>
    <w:p w14:paraId="678E4C01" w14:textId="4F441356" w:rsidR="00F17C87" w:rsidRDefault="0026733D" w:rsidP="00DF23CA">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For the second part of the question, the most relevant provision is </w:t>
      </w:r>
      <w:r>
        <w:rPr>
          <w:rFonts w:ascii="Arial" w:hAnsi="Arial" w:cs="Arial"/>
          <w:b/>
          <w:bCs/>
          <w:color w:val="7B7B7B" w:themeColor="accent3" w:themeShade="BF"/>
          <w:sz w:val="22"/>
          <w:szCs w:val="22"/>
          <w:lang w:val="en-GB"/>
        </w:rPr>
        <w:t xml:space="preserve">Article 18 of the MLCBI. </w:t>
      </w:r>
      <w:r>
        <w:rPr>
          <w:rFonts w:ascii="Arial" w:hAnsi="Arial" w:cs="Arial"/>
          <w:color w:val="7B7B7B" w:themeColor="accent3" w:themeShade="BF"/>
          <w:sz w:val="22"/>
          <w:szCs w:val="22"/>
          <w:lang w:val="en-GB"/>
        </w:rPr>
        <w:t>According to this Article,</w:t>
      </w:r>
      <w:r w:rsidR="008B1C94">
        <w:rPr>
          <w:rFonts w:ascii="Arial" w:hAnsi="Arial" w:cs="Arial"/>
          <w:color w:val="7B7B7B" w:themeColor="accent3" w:themeShade="BF"/>
          <w:sz w:val="22"/>
          <w:szCs w:val="22"/>
          <w:lang w:val="en-GB"/>
        </w:rPr>
        <w:t xml:space="preserve"> from the date of the filing for recognition of the foreign proceeding, the foreign representative has an ongoing duty to update and inform the court of the enacting state on any developments that may substantially change the status of the </w:t>
      </w:r>
      <w:r w:rsidR="00DF23CA">
        <w:rPr>
          <w:rFonts w:ascii="Arial" w:hAnsi="Arial" w:cs="Arial"/>
          <w:color w:val="7B7B7B" w:themeColor="accent3" w:themeShade="BF"/>
          <w:sz w:val="22"/>
          <w:szCs w:val="22"/>
          <w:lang w:val="en-GB"/>
        </w:rPr>
        <w:t xml:space="preserve">foreign </w:t>
      </w:r>
      <w:r w:rsidR="008B1C94">
        <w:rPr>
          <w:rFonts w:ascii="Arial" w:hAnsi="Arial" w:cs="Arial"/>
          <w:color w:val="7B7B7B" w:themeColor="accent3" w:themeShade="BF"/>
          <w:sz w:val="22"/>
          <w:szCs w:val="22"/>
          <w:lang w:val="en-GB"/>
        </w:rPr>
        <w:t>proceeding or of the representative</w:t>
      </w:r>
      <w:r w:rsidR="00DF23CA">
        <w:rPr>
          <w:rFonts w:ascii="Arial" w:hAnsi="Arial" w:cs="Arial"/>
          <w:color w:val="7B7B7B" w:themeColor="accent3" w:themeShade="BF"/>
          <w:sz w:val="22"/>
          <w:szCs w:val="22"/>
          <w:lang w:val="en-GB"/>
        </w:rPr>
        <w:t xml:space="preserve">, </w:t>
      </w:r>
      <w:r w:rsidR="008B1C94">
        <w:rPr>
          <w:rFonts w:ascii="Arial" w:hAnsi="Arial" w:cs="Arial"/>
          <w:color w:val="7B7B7B" w:themeColor="accent3" w:themeShade="BF"/>
          <w:sz w:val="22"/>
          <w:szCs w:val="22"/>
          <w:lang w:val="en-GB"/>
        </w:rPr>
        <w:t xml:space="preserve">and of </w:t>
      </w:r>
      <w:r w:rsidR="00DF23CA">
        <w:rPr>
          <w:rFonts w:ascii="Arial" w:hAnsi="Arial" w:cs="Arial"/>
          <w:color w:val="7B7B7B" w:themeColor="accent3" w:themeShade="BF"/>
          <w:sz w:val="22"/>
          <w:szCs w:val="22"/>
          <w:lang w:val="en-GB"/>
        </w:rPr>
        <w:t>any other foreign proceeding commenced against the same debtor that came to the knowledge of the representative.</w:t>
      </w:r>
    </w:p>
    <w:p w14:paraId="01A6B35F" w14:textId="77777777" w:rsidR="00DF23CA" w:rsidRPr="009B5832" w:rsidRDefault="00DF23CA" w:rsidP="00DF23CA">
      <w:pPr>
        <w:ind w:left="720" w:hanging="720"/>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FC5C8B8" w14:textId="6F8723B0" w:rsidR="00B9317A" w:rsidRPr="009F6099" w:rsidRDefault="00DF78E5" w:rsidP="00B9317A">
      <w:pPr>
        <w:jc w:val="both"/>
        <w:rPr>
          <w:rFonts w:ascii="Arial" w:hAnsi="Arial" w:cs="Arial"/>
          <w:color w:val="7B7B7B"/>
          <w:sz w:val="22"/>
          <w:szCs w:val="22"/>
          <w:lang w:val="en-GB"/>
        </w:rPr>
      </w:pPr>
      <w:r>
        <w:rPr>
          <w:rFonts w:ascii="Arial" w:hAnsi="Arial" w:cs="Arial"/>
          <w:color w:val="7B7B7B" w:themeColor="accent3" w:themeShade="BF"/>
          <w:sz w:val="22"/>
          <w:szCs w:val="22"/>
          <w:lang w:val="en-GB"/>
        </w:rPr>
        <w:tab/>
      </w:r>
      <w:r w:rsidRPr="009F6099">
        <w:rPr>
          <w:rFonts w:ascii="Arial" w:hAnsi="Arial" w:cs="Arial"/>
          <w:color w:val="7B7B7B"/>
          <w:sz w:val="22"/>
          <w:szCs w:val="22"/>
          <w:lang w:val="en-GB"/>
        </w:rPr>
        <w:t xml:space="preserve">Access and coordination rights of the foreign representative from foreign State (B) in the court of the enacting State (A) provides the representative with </w:t>
      </w:r>
      <w:r w:rsidRPr="009F6099">
        <w:rPr>
          <w:rFonts w:ascii="Arial" w:hAnsi="Arial" w:cs="Arial"/>
          <w:b/>
          <w:bCs/>
          <w:color w:val="7B7B7B"/>
          <w:sz w:val="22"/>
          <w:szCs w:val="22"/>
          <w:lang w:val="en-GB"/>
        </w:rPr>
        <w:t>legal standing</w:t>
      </w:r>
      <w:r w:rsidRPr="009F6099">
        <w:rPr>
          <w:rFonts w:ascii="Arial" w:hAnsi="Arial" w:cs="Arial"/>
          <w:color w:val="7B7B7B"/>
          <w:sz w:val="22"/>
          <w:szCs w:val="22"/>
          <w:lang w:val="en-GB"/>
        </w:rPr>
        <w:t xml:space="preserve"> in court prior to </w:t>
      </w:r>
      <w:r w:rsidR="008020D4" w:rsidRPr="009F6099">
        <w:rPr>
          <w:rFonts w:ascii="Arial" w:hAnsi="Arial" w:cs="Arial"/>
          <w:color w:val="7B7B7B"/>
          <w:sz w:val="22"/>
          <w:szCs w:val="22"/>
          <w:lang w:val="en-GB"/>
        </w:rPr>
        <w:t xml:space="preserve">making </w:t>
      </w:r>
      <w:r w:rsidRPr="009F6099">
        <w:rPr>
          <w:rFonts w:ascii="Arial" w:hAnsi="Arial" w:cs="Arial"/>
          <w:color w:val="7B7B7B"/>
          <w:sz w:val="22"/>
          <w:szCs w:val="22"/>
          <w:lang w:val="en-GB"/>
        </w:rPr>
        <w:t>any recognition</w:t>
      </w:r>
      <w:r w:rsidR="008020D4" w:rsidRPr="009F6099">
        <w:rPr>
          <w:rFonts w:ascii="Arial" w:hAnsi="Arial" w:cs="Arial"/>
          <w:color w:val="7B7B7B"/>
          <w:sz w:val="22"/>
          <w:szCs w:val="22"/>
          <w:lang w:val="en-GB"/>
        </w:rPr>
        <w:t xml:space="preserve"> </w:t>
      </w:r>
      <w:r w:rsidR="00813A09" w:rsidRPr="009F6099">
        <w:rPr>
          <w:rFonts w:ascii="Arial" w:hAnsi="Arial" w:cs="Arial"/>
          <w:color w:val="7B7B7B"/>
          <w:sz w:val="22"/>
          <w:szCs w:val="22"/>
          <w:lang w:val="en-GB"/>
        </w:rPr>
        <w:t xml:space="preserve">application </w:t>
      </w:r>
      <w:r w:rsidRPr="009F6099">
        <w:rPr>
          <w:rFonts w:ascii="Arial" w:hAnsi="Arial" w:cs="Arial"/>
          <w:color w:val="7B7B7B"/>
          <w:sz w:val="22"/>
          <w:szCs w:val="22"/>
          <w:lang w:val="en-GB"/>
        </w:rPr>
        <w:t>of the foreign proceeding</w:t>
      </w:r>
      <w:r w:rsidR="000A768D" w:rsidRPr="009F6099">
        <w:rPr>
          <w:rFonts w:ascii="Arial" w:hAnsi="Arial" w:cs="Arial"/>
          <w:color w:val="7B7B7B"/>
          <w:sz w:val="22"/>
          <w:szCs w:val="22"/>
          <w:lang w:val="en-GB"/>
        </w:rPr>
        <w:t xml:space="preserve">, </w:t>
      </w:r>
      <w:r w:rsidR="008020D4" w:rsidRPr="009F6099">
        <w:rPr>
          <w:rFonts w:ascii="Arial" w:hAnsi="Arial" w:cs="Arial"/>
          <w:color w:val="7B7B7B"/>
          <w:sz w:val="22"/>
          <w:szCs w:val="22"/>
          <w:lang w:val="en-GB"/>
        </w:rPr>
        <w:t xml:space="preserve">which </w:t>
      </w:r>
      <w:r w:rsidRPr="009F6099">
        <w:rPr>
          <w:rFonts w:ascii="Arial" w:hAnsi="Arial" w:cs="Arial"/>
          <w:color w:val="7B7B7B"/>
          <w:sz w:val="22"/>
          <w:szCs w:val="22"/>
          <w:lang w:val="en-GB"/>
        </w:rPr>
        <w:t>benefit</w:t>
      </w:r>
      <w:r w:rsidR="008020D4" w:rsidRPr="009F6099">
        <w:rPr>
          <w:rFonts w:ascii="Arial" w:hAnsi="Arial" w:cs="Arial"/>
          <w:color w:val="7B7B7B"/>
          <w:sz w:val="22"/>
          <w:szCs w:val="22"/>
          <w:lang w:val="en-GB"/>
        </w:rPr>
        <w:t>s</w:t>
      </w:r>
      <w:r w:rsidR="000A768D" w:rsidRPr="009F6099">
        <w:rPr>
          <w:rFonts w:ascii="Arial" w:hAnsi="Arial" w:cs="Arial"/>
          <w:color w:val="7B7B7B"/>
          <w:sz w:val="22"/>
          <w:szCs w:val="22"/>
          <w:lang w:val="en-GB"/>
        </w:rPr>
        <w:t xml:space="preserve"> </w:t>
      </w:r>
      <w:r w:rsidRPr="009F6099">
        <w:rPr>
          <w:rFonts w:ascii="Arial" w:hAnsi="Arial" w:cs="Arial"/>
          <w:color w:val="7B7B7B"/>
          <w:sz w:val="22"/>
          <w:szCs w:val="22"/>
          <w:lang w:val="en-GB"/>
        </w:rPr>
        <w:t>the representative in m</w:t>
      </w:r>
      <w:r w:rsidR="000A768D" w:rsidRPr="009F6099">
        <w:rPr>
          <w:rFonts w:ascii="Arial" w:hAnsi="Arial" w:cs="Arial"/>
          <w:color w:val="7B7B7B"/>
          <w:sz w:val="22"/>
          <w:szCs w:val="22"/>
          <w:lang w:val="en-GB"/>
        </w:rPr>
        <w:t xml:space="preserve">any </w:t>
      </w:r>
      <w:r w:rsidRPr="009F6099">
        <w:rPr>
          <w:rFonts w:ascii="Arial" w:hAnsi="Arial" w:cs="Arial"/>
          <w:color w:val="7B7B7B"/>
          <w:sz w:val="22"/>
          <w:szCs w:val="22"/>
          <w:lang w:val="en-GB"/>
        </w:rPr>
        <w:t>ways.</w:t>
      </w:r>
      <w:r w:rsidR="0006404E" w:rsidRPr="009F6099">
        <w:rPr>
          <w:rFonts w:ascii="Arial" w:hAnsi="Arial" w:cs="Arial"/>
          <w:color w:val="7B7B7B"/>
          <w:sz w:val="22"/>
          <w:szCs w:val="22"/>
          <w:lang w:val="en-GB"/>
        </w:rPr>
        <w:t xml:space="preserve"> These access rights are listed under </w:t>
      </w:r>
      <w:r w:rsidR="0006404E" w:rsidRPr="009F6099">
        <w:rPr>
          <w:rFonts w:ascii="Arial" w:hAnsi="Arial" w:cs="Arial"/>
          <w:b/>
          <w:bCs/>
          <w:color w:val="7B7B7B"/>
          <w:sz w:val="22"/>
          <w:szCs w:val="22"/>
          <w:lang w:val="en-GB"/>
        </w:rPr>
        <w:t>Chapter II</w:t>
      </w:r>
      <w:r w:rsidR="00EB7AAD" w:rsidRPr="009F6099">
        <w:rPr>
          <w:rFonts w:ascii="Arial" w:hAnsi="Arial" w:cs="Arial"/>
          <w:b/>
          <w:bCs/>
          <w:color w:val="7B7B7B"/>
          <w:sz w:val="22"/>
          <w:szCs w:val="22"/>
          <w:lang w:val="en-GB"/>
        </w:rPr>
        <w:t xml:space="preserve"> of the MLCBI.</w:t>
      </w:r>
      <w:r w:rsidRPr="009F6099">
        <w:rPr>
          <w:rFonts w:ascii="Arial" w:hAnsi="Arial" w:cs="Arial"/>
          <w:color w:val="7B7B7B"/>
          <w:sz w:val="22"/>
          <w:szCs w:val="22"/>
          <w:lang w:val="en-GB"/>
        </w:rPr>
        <w:t xml:space="preserve"> </w:t>
      </w:r>
    </w:p>
    <w:p w14:paraId="4A637290" w14:textId="3466C63D" w:rsidR="00544127" w:rsidRPr="009F6099" w:rsidRDefault="00DF78E5" w:rsidP="00B9317A">
      <w:pPr>
        <w:ind w:firstLine="720"/>
        <w:jc w:val="both"/>
        <w:rPr>
          <w:rFonts w:ascii="Arial" w:hAnsi="Arial" w:cs="Arial"/>
          <w:color w:val="7B7B7B"/>
          <w:sz w:val="22"/>
          <w:szCs w:val="22"/>
          <w:lang w:val="en-GB"/>
        </w:rPr>
      </w:pPr>
      <w:r w:rsidRPr="009F6099">
        <w:rPr>
          <w:rFonts w:ascii="Arial" w:hAnsi="Arial" w:cs="Arial"/>
          <w:color w:val="7B7B7B"/>
          <w:sz w:val="22"/>
          <w:szCs w:val="22"/>
          <w:lang w:val="en-GB"/>
        </w:rPr>
        <w:t xml:space="preserve">Firstly, </w:t>
      </w:r>
      <w:r w:rsidR="00B9317A" w:rsidRPr="009F6099">
        <w:rPr>
          <w:rFonts w:ascii="Arial" w:hAnsi="Arial" w:cs="Arial"/>
          <w:color w:val="7B7B7B"/>
          <w:sz w:val="22"/>
          <w:szCs w:val="22"/>
          <w:lang w:val="en-GB"/>
        </w:rPr>
        <w:t>the representative has standing without the need to satisfy legal formalities such as licenses or consular actions</w:t>
      </w:r>
      <w:r w:rsidR="006C0AB6" w:rsidRPr="009F6099">
        <w:rPr>
          <w:rFonts w:ascii="Arial" w:hAnsi="Arial" w:cs="Arial"/>
          <w:color w:val="7B7B7B"/>
          <w:sz w:val="22"/>
          <w:szCs w:val="22"/>
          <w:lang w:val="en-GB"/>
        </w:rPr>
        <w:t xml:space="preserve">, see </w:t>
      </w:r>
      <w:r w:rsidR="006C0AB6" w:rsidRPr="009F6099">
        <w:rPr>
          <w:rFonts w:ascii="Arial" w:hAnsi="Arial" w:cs="Arial"/>
          <w:b/>
          <w:bCs/>
          <w:color w:val="7B7B7B"/>
          <w:sz w:val="22"/>
          <w:szCs w:val="22"/>
          <w:lang w:val="en-GB"/>
        </w:rPr>
        <w:t>paragraph 108 GEI</w:t>
      </w:r>
      <w:r w:rsidR="00B9317A" w:rsidRPr="009F6099">
        <w:rPr>
          <w:rFonts w:ascii="Arial" w:hAnsi="Arial" w:cs="Arial"/>
          <w:color w:val="7B7B7B"/>
          <w:sz w:val="22"/>
          <w:szCs w:val="22"/>
          <w:lang w:val="en-GB"/>
        </w:rPr>
        <w:t xml:space="preserve">. This </w:t>
      </w:r>
      <w:r w:rsidR="00B9317A" w:rsidRPr="009F6099">
        <w:rPr>
          <w:rFonts w:ascii="Arial" w:hAnsi="Arial" w:cs="Arial"/>
          <w:b/>
          <w:bCs/>
          <w:color w:val="7B7B7B"/>
          <w:sz w:val="22"/>
          <w:szCs w:val="22"/>
          <w:lang w:val="en-GB"/>
        </w:rPr>
        <w:t xml:space="preserve">locus standi </w:t>
      </w:r>
      <w:r w:rsidR="00B9317A" w:rsidRPr="009F6099">
        <w:rPr>
          <w:rFonts w:ascii="Arial" w:hAnsi="Arial" w:cs="Arial"/>
          <w:color w:val="7B7B7B"/>
          <w:sz w:val="22"/>
          <w:szCs w:val="22"/>
          <w:lang w:val="en-GB"/>
        </w:rPr>
        <w:t xml:space="preserve">concept is stipulated in </w:t>
      </w:r>
      <w:r w:rsidR="00B9317A" w:rsidRPr="009F6099">
        <w:rPr>
          <w:rFonts w:ascii="Arial" w:hAnsi="Arial" w:cs="Arial"/>
          <w:b/>
          <w:bCs/>
          <w:color w:val="7B7B7B"/>
          <w:sz w:val="22"/>
          <w:szCs w:val="22"/>
          <w:lang w:val="en-GB"/>
        </w:rPr>
        <w:t xml:space="preserve">Article 9 </w:t>
      </w:r>
      <w:r w:rsidR="00B9317A" w:rsidRPr="009F6099">
        <w:rPr>
          <w:rFonts w:ascii="Arial" w:hAnsi="Arial" w:cs="Arial"/>
          <w:color w:val="7B7B7B"/>
          <w:sz w:val="22"/>
          <w:szCs w:val="22"/>
          <w:lang w:val="en-GB"/>
        </w:rPr>
        <w:t xml:space="preserve">of the MLCBI, in which it </w:t>
      </w:r>
      <w:r w:rsidR="008A1634" w:rsidRPr="009F6099">
        <w:rPr>
          <w:rFonts w:ascii="Arial" w:hAnsi="Arial" w:cs="Arial"/>
          <w:color w:val="7B7B7B"/>
          <w:sz w:val="22"/>
          <w:szCs w:val="22"/>
          <w:lang w:val="en-GB"/>
        </w:rPr>
        <w:t xml:space="preserve">is </w:t>
      </w:r>
      <w:r w:rsidR="00B9317A" w:rsidRPr="009F6099">
        <w:rPr>
          <w:rFonts w:ascii="Arial" w:hAnsi="Arial" w:cs="Arial"/>
          <w:color w:val="7B7B7B"/>
          <w:sz w:val="22"/>
          <w:szCs w:val="22"/>
          <w:lang w:val="en-GB"/>
        </w:rPr>
        <w:t>state</w:t>
      </w:r>
      <w:r w:rsidR="008A1634" w:rsidRPr="009F6099">
        <w:rPr>
          <w:rFonts w:ascii="Arial" w:hAnsi="Arial" w:cs="Arial"/>
          <w:color w:val="7B7B7B"/>
          <w:sz w:val="22"/>
          <w:szCs w:val="22"/>
          <w:lang w:val="en-GB"/>
        </w:rPr>
        <w:t>d</w:t>
      </w:r>
      <w:r w:rsidR="00B9317A" w:rsidRPr="009F6099">
        <w:rPr>
          <w:rFonts w:ascii="Arial" w:hAnsi="Arial" w:cs="Arial"/>
          <w:color w:val="7B7B7B"/>
          <w:sz w:val="22"/>
          <w:szCs w:val="22"/>
          <w:lang w:val="en-GB"/>
        </w:rPr>
        <w:t xml:space="preserve"> that a foreign representative is entitled to apply </w:t>
      </w:r>
      <w:r w:rsidR="00B9317A" w:rsidRPr="009F6099">
        <w:rPr>
          <w:rFonts w:ascii="Arial" w:hAnsi="Arial" w:cs="Arial"/>
          <w:i/>
          <w:iCs/>
          <w:color w:val="7B7B7B"/>
          <w:sz w:val="22"/>
          <w:szCs w:val="22"/>
          <w:lang w:val="en-GB"/>
        </w:rPr>
        <w:t xml:space="preserve">directly </w:t>
      </w:r>
      <w:r w:rsidR="00B9317A" w:rsidRPr="009F6099">
        <w:rPr>
          <w:rFonts w:ascii="Arial" w:hAnsi="Arial" w:cs="Arial"/>
          <w:color w:val="7B7B7B"/>
          <w:sz w:val="22"/>
          <w:szCs w:val="22"/>
          <w:lang w:val="en-GB"/>
        </w:rPr>
        <w:t xml:space="preserve">to the court of the enacting State. </w:t>
      </w:r>
    </w:p>
    <w:p w14:paraId="26CB0AA3" w14:textId="410050C3" w:rsidR="00B9317A" w:rsidRPr="009F6099" w:rsidRDefault="000A768D" w:rsidP="000A768D">
      <w:pPr>
        <w:ind w:firstLine="720"/>
        <w:jc w:val="both"/>
        <w:rPr>
          <w:rFonts w:ascii="Arial" w:hAnsi="Arial" w:cs="Arial"/>
          <w:color w:val="7B7B7B"/>
          <w:sz w:val="22"/>
          <w:szCs w:val="22"/>
        </w:rPr>
      </w:pPr>
      <w:r w:rsidRPr="009F6099">
        <w:rPr>
          <w:rFonts w:ascii="Arial" w:hAnsi="Arial" w:cs="Arial"/>
          <w:color w:val="7B7B7B"/>
          <w:sz w:val="22"/>
          <w:szCs w:val="22"/>
          <w:lang w:val="en-GB"/>
        </w:rPr>
        <w:t xml:space="preserve">Secondly, </w:t>
      </w:r>
      <w:r w:rsidRPr="009F6099">
        <w:rPr>
          <w:rFonts w:ascii="Arial" w:hAnsi="Arial" w:cs="Arial"/>
          <w:b/>
          <w:bCs/>
          <w:color w:val="7B7B7B"/>
          <w:sz w:val="22"/>
          <w:szCs w:val="22"/>
        </w:rPr>
        <w:t>Article 11</w:t>
      </w:r>
      <w:r w:rsidRPr="009F6099">
        <w:rPr>
          <w:rFonts w:ascii="Arial" w:hAnsi="Arial" w:cs="Arial"/>
          <w:color w:val="7B7B7B"/>
          <w:sz w:val="22"/>
          <w:szCs w:val="22"/>
        </w:rPr>
        <w:t xml:space="preserve"> of the MLCBI provides the foreign representative access rights to court to </w:t>
      </w:r>
      <w:r w:rsidRPr="009F6099">
        <w:rPr>
          <w:rFonts w:ascii="Arial" w:hAnsi="Arial" w:cs="Arial"/>
          <w:b/>
          <w:bCs/>
          <w:color w:val="7B7B7B"/>
          <w:sz w:val="22"/>
          <w:szCs w:val="22"/>
        </w:rPr>
        <w:t>apply for the commencement</w:t>
      </w:r>
      <w:r w:rsidRPr="009F6099">
        <w:rPr>
          <w:rFonts w:ascii="Arial" w:hAnsi="Arial" w:cs="Arial"/>
          <w:color w:val="7B7B7B"/>
          <w:sz w:val="22"/>
          <w:szCs w:val="22"/>
        </w:rPr>
        <w:t xml:space="preserve"> of a domestic insolvency proceeding prior to any recognition, on the condition that all domestic criteria for opening such proceedings are met</w:t>
      </w:r>
      <w:r w:rsidR="006C0AB6" w:rsidRPr="009F6099">
        <w:rPr>
          <w:rFonts w:ascii="Arial" w:hAnsi="Arial" w:cs="Arial"/>
          <w:color w:val="7B7B7B"/>
          <w:sz w:val="22"/>
          <w:szCs w:val="22"/>
        </w:rPr>
        <w:t xml:space="preserve">, see </w:t>
      </w:r>
      <w:r w:rsidR="006C0AB6" w:rsidRPr="009F6099">
        <w:rPr>
          <w:rFonts w:ascii="Arial" w:hAnsi="Arial" w:cs="Arial"/>
          <w:b/>
          <w:bCs/>
          <w:color w:val="7B7B7B"/>
          <w:sz w:val="22"/>
          <w:szCs w:val="22"/>
        </w:rPr>
        <w:t>paragraph 114 GEI</w:t>
      </w:r>
      <w:r w:rsidRPr="009F6099">
        <w:rPr>
          <w:rFonts w:ascii="Arial" w:hAnsi="Arial" w:cs="Arial"/>
          <w:color w:val="7B7B7B"/>
          <w:sz w:val="22"/>
          <w:szCs w:val="22"/>
        </w:rPr>
        <w:t>.</w:t>
      </w:r>
    </w:p>
    <w:p w14:paraId="7AA946A1" w14:textId="06FC3379" w:rsidR="00813A09" w:rsidRPr="009F6099" w:rsidRDefault="008020D4" w:rsidP="000A768D">
      <w:pPr>
        <w:ind w:firstLine="720"/>
        <w:jc w:val="both"/>
        <w:rPr>
          <w:rFonts w:ascii="Arial" w:hAnsi="Arial" w:cs="Arial"/>
          <w:color w:val="7B7B7B"/>
          <w:sz w:val="22"/>
          <w:szCs w:val="22"/>
        </w:rPr>
      </w:pPr>
      <w:r w:rsidRPr="009F6099">
        <w:rPr>
          <w:rFonts w:ascii="Arial" w:hAnsi="Arial" w:cs="Arial"/>
          <w:color w:val="7B7B7B"/>
          <w:sz w:val="22"/>
          <w:szCs w:val="22"/>
        </w:rPr>
        <w:t>Third</w:t>
      </w:r>
      <w:r w:rsidR="00813A09" w:rsidRPr="009F6099">
        <w:rPr>
          <w:rFonts w:ascii="Arial" w:hAnsi="Arial" w:cs="Arial"/>
          <w:color w:val="7B7B7B"/>
          <w:sz w:val="22"/>
          <w:szCs w:val="22"/>
        </w:rPr>
        <w:t xml:space="preserve">ly, the legal standing gives the foreign representative the opportunity to seek the needed </w:t>
      </w:r>
      <w:r w:rsidR="00813A09" w:rsidRPr="009F6099">
        <w:rPr>
          <w:rFonts w:ascii="Arial" w:hAnsi="Arial" w:cs="Arial"/>
          <w:b/>
          <w:bCs/>
          <w:color w:val="7B7B7B"/>
          <w:sz w:val="22"/>
          <w:szCs w:val="22"/>
        </w:rPr>
        <w:t>breathing space</w:t>
      </w:r>
      <w:r w:rsidR="00813A09" w:rsidRPr="009F6099">
        <w:rPr>
          <w:rFonts w:ascii="Arial" w:hAnsi="Arial" w:cs="Arial"/>
          <w:color w:val="7B7B7B"/>
          <w:sz w:val="22"/>
          <w:szCs w:val="22"/>
        </w:rPr>
        <w:t xml:space="preserve"> for temporary period of time.</w:t>
      </w:r>
    </w:p>
    <w:p w14:paraId="24649CDE" w14:textId="57434C6D" w:rsidR="00813A09" w:rsidRPr="00847034" w:rsidRDefault="00813A09" w:rsidP="000A768D">
      <w:pPr>
        <w:ind w:firstLine="720"/>
        <w:jc w:val="both"/>
        <w:rPr>
          <w:rFonts w:ascii="Arial" w:hAnsi="Arial" w:cs="Arial"/>
          <w:b/>
          <w:bCs/>
          <w:color w:val="7B7B7B"/>
          <w:sz w:val="24"/>
          <w:lang w:val="en-GB"/>
        </w:rPr>
      </w:pPr>
      <w:r w:rsidRPr="009F6099">
        <w:rPr>
          <w:rFonts w:ascii="Arial" w:hAnsi="Arial" w:cs="Arial"/>
          <w:color w:val="7B7B7B"/>
          <w:sz w:val="22"/>
          <w:szCs w:val="22"/>
        </w:rPr>
        <w:t xml:space="preserve">Lastly, the courts in the enacting State may also make use of the breathing space to </w:t>
      </w:r>
      <w:r w:rsidRPr="009F6099">
        <w:rPr>
          <w:rFonts w:ascii="Arial" w:hAnsi="Arial" w:cs="Arial"/>
          <w:b/>
          <w:bCs/>
          <w:color w:val="7B7B7B"/>
          <w:sz w:val="22"/>
          <w:szCs w:val="22"/>
        </w:rPr>
        <w:t xml:space="preserve">determine what coordination </w:t>
      </w:r>
      <w:r w:rsidR="0006404E" w:rsidRPr="009F6099">
        <w:rPr>
          <w:rFonts w:ascii="Arial" w:hAnsi="Arial" w:cs="Arial"/>
          <w:color w:val="7B7B7B"/>
          <w:sz w:val="22"/>
          <w:szCs w:val="22"/>
        </w:rPr>
        <w:t>(</w:t>
      </w:r>
      <w:r w:rsidRPr="009F6099">
        <w:rPr>
          <w:rFonts w:ascii="Arial" w:hAnsi="Arial" w:cs="Arial"/>
          <w:color w:val="7B7B7B"/>
          <w:sz w:val="22"/>
          <w:szCs w:val="22"/>
        </w:rPr>
        <w:t>or relief</w:t>
      </w:r>
      <w:r w:rsidR="0006404E" w:rsidRPr="009F6099">
        <w:rPr>
          <w:rFonts w:ascii="Arial" w:hAnsi="Arial" w:cs="Arial"/>
          <w:color w:val="7B7B7B"/>
          <w:sz w:val="22"/>
          <w:szCs w:val="22"/>
        </w:rPr>
        <w:t>)</w:t>
      </w:r>
      <w:r w:rsidRPr="009F6099">
        <w:rPr>
          <w:rFonts w:ascii="Arial" w:hAnsi="Arial" w:cs="Arial"/>
          <w:color w:val="7B7B7B"/>
          <w:sz w:val="22"/>
          <w:szCs w:val="22"/>
        </w:rPr>
        <w:t xml:space="preserve"> is necessary for </w:t>
      </w:r>
      <w:r w:rsidR="00EA7EDB" w:rsidRPr="009F6099">
        <w:rPr>
          <w:rFonts w:ascii="Arial" w:hAnsi="Arial" w:cs="Arial"/>
          <w:color w:val="7B7B7B"/>
          <w:sz w:val="22"/>
          <w:szCs w:val="22"/>
        </w:rPr>
        <w:t>administer</w:t>
      </w:r>
      <w:r w:rsidR="008A1634" w:rsidRPr="009F6099">
        <w:rPr>
          <w:rFonts w:ascii="Arial" w:hAnsi="Arial" w:cs="Arial"/>
          <w:color w:val="7B7B7B"/>
          <w:sz w:val="22"/>
          <w:szCs w:val="22"/>
        </w:rPr>
        <w:t>ing</w:t>
      </w:r>
      <w:r w:rsidR="00EA7EDB" w:rsidRPr="009F6099">
        <w:rPr>
          <w:rFonts w:ascii="Arial" w:hAnsi="Arial" w:cs="Arial"/>
          <w:color w:val="7B7B7B"/>
          <w:sz w:val="22"/>
          <w:szCs w:val="22"/>
        </w:rPr>
        <w:t xml:space="preserve"> the debtor’s insolvency</w:t>
      </w:r>
      <w:r w:rsidR="008A1634" w:rsidRPr="009F6099">
        <w:rPr>
          <w:rFonts w:ascii="Arial" w:hAnsi="Arial" w:cs="Arial"/>
          <w:color w:val="7B7B7B"/>
          <w:sz w:val="22"/>
          <w:szCs w:val="22"/>
        </w:rPr>
        <w:t xml:space="preserve"> in the best way.</w:t>
      </w:r>
      <w:r w:rsidR="00847034">
        <w:rPr>
          <w:rFonts w:ascii="Arial" w:hAnsi="Arial" w:cs="Arial"/>
          <w:color w:val="7B7B7B"/>
          <w:sz w:val="22"/>
          <w:szCs w:val="22"/>
        </w:rPr>
        <w:t xml:space="preserve"> </w:t>
      </w:r>
      <w:r w:rsidR="00847034" w:rsidRPr="00847034">
        <w:rPr>
          <w:rFonts w:ascii="Arial" w:hAnsi="Arial" w:cs="Arial"/>
          <w:color w:val="7B7B7B"/>
          <w:sz w:val="22"/>
          <w:szCs w:val="22"/>
        </w:rPr>
        <w:t>Several</w:t>
      </w:r>
      <w:r w:rsidR="00847034">
        <w:rPr>
          <w:rFonts w:ascii="Arial" w:hAnsi="Arial" w:cs="Arial"/>
          <w:color w:val="7B7B7B"/>
          <w:sz w:val="22"/>
          <w:szCs w:val="22"/>
        </w:rPr>
        <w:t xml:space="preserve"> MLCBI</w:t>
      </w:r>
      <w:r w:rsidR="00847034" w:rsidRPr="00847034">
        <w:rPr>
          <w:rFonts w:ascii="Arial" w:hAnsi="Arial" w:cs="Arial"/>
          <w:color w:val="7B7B7B"/>
          <w:sz w:val="22"/>
          <w:szCs w:val="22"/>
        </w:rPr>
        <w:t xml:space="preserve"> provisions </w:t>
      </w:r>
      <w:r w:rsidR="00847034">
        <w:rPr>
          <w:rFonts w:ascii="Arial" w:hAnsi="Arial" w:cs="Arial"/>
          <w:color w:val="7B7B7B"/>
          <w:sz w:val="22"/>
          <w:szCs w:val="22"/>
        </w:rPr>
        <w:t>concern the</w:t>
      </w:r>
      <w:r w:rsidR="00847034" w:rsidRPr="00847034">
        <w:rPr>
          <w:rFonts w:ascii="Arial" w:hAnsi="Arial" w:cs="Arial"/>
          <w:color w:val="7B7B7B"/>
          <w:sz w:val="22"/>
          <w:szCs w:val="22"/>
        </w:rPr>
        <w:t xml:space="preserve"> coordination of concurrent proceedings</w:t>
      </w:r>
      <w:r w:rsidR="00847034">
        <w:rPr>
          <w:rFonts w:ascii="Arial" w:hAnsi="Arial" w:cs="Arial"/>
          <w:color w:val="7B7B7B"/>
          <w:sz w:val="22"/>
          <w:szCs w:val="22"/>
        </w:rPr>
        <w:t>, which</w:t>
      </w:r>
      <w:r w:rsidR="00847034" w:rsidRPr="00847034">
        <w:rPr>
          <w:rFonts w:ascii="Arial" w:hAnsi="Arial" w:cs="Arial"/>
          <w:color w:val="7B7B7B"/>
          <w:sz w:val="22"/>
          <w:szCs w:val="22"/>
        </w:rPr>
        <w:t xml:space="preserve"> aim to foster </w:t>
      </w:r>
      <w:r w:rsidR="00847034">
        <w:rPr>
          <w:rFonts w:ascii="Arial" w:hAnsi="Arial" w:cs="Arial"/>
          <w:color w:val="7B7B7B"/>
          <w:sz w:val="22"/>
          <w:szCs w:val="22"/>
        </w:rPr>
        <w:t xml:space="preserve">court </w:t>
      </w:r>
      <w:r w:rsidR="00847034" w:rsidRPr="00847034">
        <w:rPr>
          <w:rFonts w:ascii="Arial" w:hAnsi="Arial" w:cs="Arial"/>
          <w:color w:val="7B7B7B"/>
          <w:sz w:val="22"/>
          <w:szCs w:val="22"/>
        </w:rPr>
        <w:t>decisions that would best achieve the</w:t>
      </w:r>
      <w:r w:rsidR="00847034">
        <w:rPr>
          <w:rFonts w:ascii="Arial" w:hAnsi="Arial" w:cs="Arial"/>
          <w:color w:val="7B7B7B"/>
          <w:sz w:val="22"/>
          <w:szCs w:val="22"/>
        </w:rPr>
        <w:t xml:space="preserve"> aims</w:t>
      </w:r>
      <w:r w:rsidR="00847034" w:rsidRPr="00847034">
        <w:rPr>
          <w:rFonts w:ascii="Arial" w:hAnsi="Arial" w:cs="Arial"/>
          <w:color w:val="7B7B7B"/>
          <w:sz w:val="22"/>
          <w:szCs w:val="22"/>
        </w:rPr>
        <w:t xml:space="preserve"> of </w:t>
      </w:r>
      <w:r w:rsidR="00847034">
        <w:rPr>
          <w:rFonts w:ascii="Arial" w:hAnsi="Arial" w:cs="Arial"/>
          <w:color w:val="7B7B7B"/>
          <w:sz w:val="22"/>
          <w:szCs w:val="22"/>
        </w:rPr>
        <w:t>all</w:t>
      </w:r>
      <w:r w:rsidR="00847034" w:rsidRPr="00847034">
        <w:rPr>
          <w:rFonts w:ascii="Arial" w:hAnsi="Arial" w:cs="Arial"/>
          <w:color w:val="7B7B7B"/>
          <w:sz w:val="22"/>
          <w:szCs w:val="22"/>
        </w:rPr>
        <w:t xml:space="preserve"> proceedings</w:t>
      </w:r>
      <w:r w:rsidR="00847034">
        <w:rPr>
          <w:rFonts w:ascii="Arial" w:hAnsi="Arial" w:cs="Arial"/>
          <w:color w:val="7B7B7B"/>
          <w:sz w:val="22"/>
          <w:szCs w:val="22"/>
        </w:rPr>
        <w:t xml:space="preserve">, see </w:t>
      </w:r>
      <w:r w:rsidR="00847034">
        <w:rPr>
          <w:rFonts w:ascii="Arial" w:hAnsi="Arial" w:cs="Arial"/>
          <w:b/>
          <w:bCs/>
          <w:color w:val="7B7B7B"/>
          <w:sz w:val="22"/>
          <w:szCs w:val="22"/>
        </w:rPr>
        <w:t>paragraph 42 GEI.</w:t>
      </w: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42B98BBA" w14:textId="25604793" w:rsidR="00BA44CC" w:rsidRDefault="00BA44CC" w:rsidP="00BA44CC">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For the successful application for the recognition of a foreign proceeding, the criteria listed in </w:t>
      </w:r>
      <w:r>
        <w:rPr>
          <w:rFonts w:ascii="Arial" w:hAnsi="Arial" w:cs="Arial"/>
          <w:b/>
          <w:bCs/>
          <w:color w:val="7B7B7B" w:themeColor="accent3" w:themeShade="BF"/>
          <w:sz w:val="22"/>
          <w:szCs w:val="22"/>
          <w:lang w:val="en-GB"/>
        </w:rPr>
        <w:t>Article</w:t>
      </w:r>
      <w:r>
        <w:rPr>
          <w:rFonts w:ascii="Arial" w:hAnsi="Arial" w:cs="Arial"/>
          <w:color w:val="7B7B7B" w:themeColor="accent3" w:themeShade="BF"/>
          <w:sz w:val="22"/>
          <w:szCs w:val="22"/>
          <w:lang w:val="en-GB"/>
        </w:rPr>
        <w:t xml:space="preserve"> </w:t>
      </w:r>
      <w:r>
        <w:rPr>
          <w:rFonts w:ascii="Arial" w:hAnsi="Arial" w:cs="Arial"/>
          <w:b/>
          <w:bCs/>
          <w:color w:val="7B7B7B" w:themeColor="accent3" w:themeShade="BF"/>
          <w:sz w:val="22"/>
          <w:szCs w:val="22"/>
          <w:lang w:val="en-GB"/>
        </w:rPr>
        <w:t xml:space="preserve">17 </w:t>
      </w:r>
      <w:r>
        <w:rPr>
          <w:rFonts w:ascii="Arial" w:hAnsi="Arial" w:cs="Arial"/>
          <w:color w:val="7B7B7B" w:themeColor="accent3" w:themeShade="BF"/>
          <w:sz w:val="22"/>
          <w:szCs w:val="22"/>
          <w:lang w:val="en-GB"/>
        </w:rPr>
        <w:t xml:space="preserve">of the MLCBI must be satisfied. </w:t>
      </w:r>
      <w:r w:rsidR="00862384">
        <w:rPr>
          <w:rFonts w:ascii="Arial" w:hAnsi="Arial" w:cs="Arial"/>
          <w:color w:val="7B7B7B" w:themeColor="accent3" w:themeShade="BF"/>
          <w:sz w:val="22"/>
          <w:szCs w:val="22"/>
          <w:lang w:val="en-GB"/>
        </w:rPr>
        <w:t>Article 17</w:t>
      </w:r>
      <w:r w:rsidR="00EF636B">
        <w:rPr>
          <w:rFonts w:ascii="Arial" w:hAnsi="Arial" w:cs="Arial"/>
          <w:color w:val="7B7B7B" w:themeColor="accent3" w:themeShade="BF"/>
          <w:sz w:val="22"/>
          <w:szCs w:val="22"/>
          <w:lang w:val="en-GB"/>
        </w:rPr>
        <w:t>(1)</w:t>
      </w:r>
      <w:r w:rsidR="0065036A">
        <w:rPr>
          <w:rFonts w:ascii="Arial" w:hAnsi="Arial" w:cs="Arial"/>
          <w:color w:val="7B7B7B" w:themeColor="accent3" w:themeShade="BF"/>
          <w:sz w:val="22"/>
          <w:szCs w:val="22"/>
          <w:lang w:val="en-GB"/>
        </w:rPr>
        <w:t>(a) and (b)</w:t>
      </w:r>
      <w:r w:rsidR="00862384">
        <w:rPr>
          <w:rFonts w:ascii="Arial" w:hAnsi="Arial" w:cs="Arial"/>
          <w:color w:val="7B7B7B" w:themeColor="accent3" w:themeShade="BF"/>
          <w:sz w:val="22"/>
          <w:szCs w:val="22"/>
          <w:lang w:val="en-GB"/>
        </w:rPr>
        <w:t xml:space="preserve"> states that</w:t>
      </w:r>
      <w:r w:rsidR="0065036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foreign proceeding is a proceeding as stipulated under Article 2(a) and the foreign representative is a representative under the meaning of Article 2(d) of the MLCBI. The question above mention</w:t>
      </w:r>
      <w:r w:rsidR="0065036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that these criteria should be assumed to have been met.</w:t>
      </w:r>
    </w:p>
    <w:p w14:paraId="59D38D32" w14:textId="0FD045E8" w:rsidR="0065036A" w:rsidRDefault="0065036A" w:rsidP="0065036A">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00BA44CC">
        <w:rPr>
          <w:rFonts w:ascii="Arial" w:hAnsi="Arial" w:cs="Arial"/>
          <w:color w:val="7B7B7B" w:themeColor="accent3" w:themeShade="BF"/>
          <w:sz w:val="22"/>
          <w:szCs w:val="22"/>
        </w:rPr>
        <w:t xml:space="preserve">he Court of the enacting State </w:t>
      </w:r>
      <w:r>
        <w:rPr>
          <w:rFonts w:ascii="Arial" w:hAnsi="Arial" w:cs="Arial"/>
          <w:color w:val="7B7B7B" w:themeColor="accent3" w:themeShade="BF"/>
          <w:sz w:val="22"/>
          <w:szCs w:val="22"/>
        </w:rPr>
        <w:t xml:space="preserve">should also </w:t>
      </w:r>
      <w:r w:rsidR="00BA44CC">
        <w:rPr>
          <w:rFonts w:ascii="Arial" w:hAnsi="Arial" w:cs="Arial"/>
          <w:color w:val="7B7B7B" w:themeColor="accent3" w:themeShade="BF"/>
          <w:sz w:val="22"/>
          <w:szCs w:val="22"/>
        </w:rPr>
        <w:t xml:space="preserve">scrutinize whether </w:t>
      </w:r>
      <w:r>
        <w:rPr>
          <w:rFonts w:ascii="Arial" w:hAnsi="Arial" w:cs="Arial"/>
          <w:color w:val="7B7B7B" w:themeColor="accent3" w:themeShade="BF"/>
          <w:sz w:val="22"/>
          <w:szCs w:val="22"/>
        </w:rPr>
        <w:t xml:space="preserve">it is prevented from recognizing the foreign proceeding under the </w:t>
      </w:r>
      <w:r>
        <w:rPr>
          <w:rFonts w:ascii="Arial" w:hAnsi="Arial" w:cs="Arial"/>
          <w:b/>
          <w:bCs/>
          <w:color w:val="7B7B7B" w:themeColor="accent3" w:themeShade="BF"/>
          <w:sz w:val="22"/>
          <w:szCs w:val="22"/>
        </w:rPr>
        <w:t xml:space="preserve">public policy exception </w:t>
      </w:r>
      <w:r>
        <w:rPr>
          <w:rFonts w:ascii="Arial" w:hAnsi="Arial" w:cs="Arial"/>
          <w:color w:val="7B7B7B" w:themeColor="accent3" w:themeShade="BF"/>
          <w:sz w:val="22"/>
          <w:szCs w:val="22"/>
        </w:rPr>
        <w:t xml:space="preserve">under </w:t>
      </w:r>
      <w:r>
        <w:rPr>
          <w:rFonts w:ascii="Arial" w:hAnsi="Arial" w:cs="Arial"/>
          <w:b/>
          <w:bCs/>
          <w:color w:val="7B7B7B" w:themeColor="accent3" w:themeShade="BF"/>
          <w:sz w:val="22"/>
          <w:szCs w:val="22"/>
        </w:rPr>
        <w:t xml:space="preserve">Article 6 </w:t>
      </w:r>
      <w:r>
        <w:rPr>
          <w:rFonts w:ascii="Arial" w:hAnsi="Arial" w:cs="Arial"/>
          <w:color w:val="7B7B7B" w:themeColor="accent3" w:themeShade="BF"/>
          <w:sz w:val="22"/>
          <w:szCs w:val="22"/>
        </w:rPr>
        <w:t xml:space="preserve">of the MLCBI, as the recognition would be </w:t>
      </w:r>
      <w:r>
        <w:rPr>
          <w:rFonts w:ascii="Arial" w:hAnsi="Arial" w:cs="Arial"/>
          <w:i/>
          <w:iCs/>
          <w:color w:val="7B7B7B" w:themeColor="accent3" w:themeShade="BF"/>
          <w:sz w:val="22"/>
          <w:szCs w:val="22"/>
        </w:rPr>
        <w:t xml:space="preserve">manifestly contrary </w:t>
      </w:r>
      <w:r>
        <w:rPr>
          <w:rFonts w:ascii="Arial" w:hAnsi="Arial" w:cs="Arial"/>
          <w:color w:val="7B7B7B" w:themeColor="accent3" w:themeShade="BF"/>
          <w:sz w:val="22"/>
          <w:szCs w:val="22"/>
        </w:rPr>
        <w:t>to the public policy of the enacting State.</w:t>
      </w:r>
    </w:p>
    <w:p w14:paraId="08A9FBBC" w14:textId="6F91AA19" w:rsidR="0065036A" w:rsidRDefault="0065036A" w:rsidP="00D82D02">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Article 17</w:t>
      </w:r>
      <w:r w:rsidR="00EF636B">
        <w:rPr>
          <w:rFonts w:ascii="Arial" w:hAnsi="Arial" w:cs="Arial"/>
          <w:color w:val="7B7B7B" w:themeColor="accent3" w:themeShade="BF"/>
          <w:sz w:val="22"/>
          <w:szCs w:val="22"/>
        </w:rPr>
        <w:t>(1)</w:t>
      </w:r>
      <w:r>
        <w:rPr>
          <w:rFonts w:ascii="Arial" w:hAnsi="Arial" w:cs="Arial"/>
          <w:color w:val="7B7B7B" w:themeColor="accent3" w:themeShade="BF"/>
          <w:sz w:val="22"/>
          <w:szCs w:val="22"/>
        </w:rPr>
        <w:t xml:space="preserve">(c) of the MLCBI states that </w:t>
      </w:r>
      <w:r w:rsidR="007A68AD">
        <w:rPr>
          <w:rFonts w:ascii="Arial" w:hAnsi="Arial" w:cs="Arial"/>
          <w:color w:val="7B7B7B" w:themeColor="accent3" w:themeShade="BF"/>
          <w:sz w:val="22"/>
          <w:szCs w:val="22"/>
        </w:rPr>
        <w:t xml:space="preserve">the application should meet the requirements of </w:t>
      </w:r>
      <w:r w:rsidR="007A68AD">
        <w:rPr>
          <w:rFonts w:ascii="Arial" w:hAnsi="Arial" w:cs="Arial"/>
          <w:b/>
          <w:bCs/>
          <w:color w:val="7B7B7B" w:themeColor="accent3" w:themeShade="BF"/>
          <w:sz w:val="22"/>
          <w:szCs w:val="22"/>
        </w:rPr>
        <w:t xml:space="preserve">Article 15(2) </w:t>
      </w:r>
      <w:r w:rsidR="007A68AD">
        <w:rPr>
          <w:rFonts w:ascii="Arial" w:hAnsi="Arial" w:cs="Arial"/>
          <w:color w:val="7B7B7B" w:themeColor="accent3" w:themeShade="BF"/>
          <w:sz w:val="22"/>
          <w:szCs w:val="22"/>
        </w:rPr>
        <w:t xml:space="preserve">of the MLCBI, which lists the </w:t>
      </w:r>
      <w:r w:rsidR="007A68AD" w:rsidRPr="00EF636B">
        <w:rPr>
          <w:rFonts w:ascii="Arial" w:hAnsi="Arial" w:cs="Arial"/>
          <w:b/>
          <w:bCs/>
          <w:color w:val="7B7B7B" w:themeColor="accent3" w:themeShade="BF"/>
          <w:sz w:val="22"/>
          <w:szCs w:val="22"/>
        </w:rPr>
        <w:t xml:space="preserve">necessary </w:t>
      </w:r>
      <w:r w:rsidR="00FA6FF1">
        <w:rPr>
          <w:rFonts w:ascii="Arial" w:hAnsi="Arial" w:cs="Arial"/>
          <w:b/>
          <w:bCs/>
          <w:color w:val="7B7B7B" w:themeColor="accent3" w:themeShade="BF"/>
          <w:sz w:val="22"/>
          <w:szCs w:val="22"/>
        </w:rPr>
        <w:t xml:space="preserve">evidentiary </w:t>
      </w:r>
      <w:r w:rsidR="007A68AD" w:rsidRPr="00EF636B">
        <w:rPr>
          <w:rFonts w:ascii="Arial" w:hAnsi="Arial" w:cs="Arial"/>
          <w:b/>
          <w:bCs/>
          <w:color w:val="7B7B7B" w:themeColor="accent3" w:themeShade="BF"/>
          <w:sz w:val="22"/>
          <w:szCs w:val="22"/>
        </w:rPr>
        <w:t>documents</w:t>
      </w:r>
      <w:r w:rsidR="007A68AD">
        <w:rPr>
          <w:rFonts w:ascii="Arial" w:hAnsi="Arial" w:cs="Arial"/>
          <w:color w:val="7B7B7B" w:themeColor="accent3" w:themeShade="BF"/>
          <w:sz w:val="22"/>
          <w:szCs w:val="22"/>
        </w:rPr>
        <w:t xml:space="preserve"> that should be accompanied with the application. The alternative options are (1) a certified copy of the decision commencing the foreign proceeding and the appointment of the representative, (2) a certificate from the foreign court attesting to the existence of the proceeding and appointment of the foreign representative, or (3) any other </w:t>
      </w:r>
      <w:r w:rsidR="00D82D02">
        <w:rPr>
          <w:rFonts w:ascii="Arial" w:hAnsi="Arial" w:cs="Arial"/>
          <w:color w:val="7B7B7B" w:themeColor="accent3" w:themeShade="BF"/>
          <w:sz w:val="22"/>
          <w:szCs w:val="22"/>
        </w:rPr>
        <w:t xml:space="preserve">acceptable </w:t>
      </w:r>
      <w:r w:rsidR="007A68AD">
        <w:rPr>
          <w:rFonts w:ascii="Arial" w:hAnsi="Arial" w:cs="Arial"/>
          <w:color w:val="7B7B7B" w:themeColor="accent3" w:themeShade="BF"/>
          <w:sz w:val="22"/>
          <w:szCs w:val="22"/>
        </w:rPr>
        <w:t>evidence</w:t>
      </w:r>
      <w:r w:rsidR="00D82D02">
        <w:rPr>
          <w:rFonts w:ascii="Arial" w:hAnsi="Arial" w:cs="Arial"/>
          <w:color w:val="7B7B7B" w:themeColor="accent3" w:themeShade="BF"/>
          <w:sz w:val="22"/>
          <w:szCs w:val="22"/>
        </w:rPr>
        <w:t xml:space="preserve"> in case the first to alternatives are absent. </w:t>
      </w:r>
    </w:p>
    <w:p w14:paraId="0FB32820" w14:textId="1D6F84BA" w:rsidR="00D82D02" w:rsidRDefault="00D82D02" w:rsidP="00D82D02">
      <w:pPr>
        <w:ind w:firstLine="720"/>
        <w:jc w:val="both"/>
        <w:rPr>
          <w:rFonts w:ascii="Arial" w:hAnsi="Arial" w:cs="Arial"/>
          <w:i/>
          <w:iCs/>
          <w:color w:val="7B7B7B" w:themeColor="accent3" w:themeShade="BF"/>
          <w:sz w:val="22"/>
          <w:szCs w:val="22"/>
        </w:rPr>
      </w:pPr>
      <w:r>
        <w:rPr>
          <w:rFonts w:ascii="Arial" w:hAnsi="Arial" w:cs="Arial"/>
          <w:color w:val="7B7B7B" w:themeColor="accent3" w:themeShade="BF"/>
          <w:sz w:val="22"/>
          <w:szCs w:val="22"/>
        </w:rPr>
        <w:t xml:space="preserve">Interestingly, Article 17 specifically mentions Article 15(2) without mentioning </w:t>
      </w:r>
      <w:r w:rsidRPr="00D82D02">
        <w:rPr>
          <w:rFonts w:ascii="Arial" w:hAnsi="Arial" w:cs="Arial"/>
          <w:b/>
          <w:bCs/>
          <w:color w:val="7B7B7B" w:themeColor="accent3" w:themeShade="BF"/>
          <w:sz w:val="22"/>
          <w:szCs w:val="22"/>
        </w:rPr>
        <w:t>Article 15(3)</w:t>
      </w:r>
      <w:r>
        <w:rPr>
          <w:rFonts w:ascii="Arial" w:hAnsi="Arial" w:cs="Arial"/>
          <w:color w:val="7B7B7B" w:themeColor="accent3" w:themeShade="BF"/>
          <w:sz w:val="22"/>
          <w:szCs w:val="22"/>
        </w:rPr>
        <w:t xml:space="preserve"> of the MLCBI. This Article should not be overlooked as it imposes the duty on the foreign representative to include a statement which identifies all foreign proceedings against the debtor that are known to him/her. (</w:t>
      </w:r>
      <w:r>
        <w:rPr>
          <w:rFonts w:ascii="Arial" w:hAnsi="Arial" w:cs="Arial"/>
          <w:i/>
          <w:iCs/>
          <w:color w:val="7B7B7B" w:themeColor="accent3" w:themeShade="BF"/>
          <w:sz w:val="22"/>
          <w:szCs w:val="22"/>
        </w:rPr>
        <w:t>as a side note: this is an ongoing duty under Article 18 of the MLCBI).</w:t>
      </w:r>
    </w:p>
    <w:p w14:paraId="5A43A47E" w14:textId="3082D62D" w:rsidR="005F3604" w:rsidRPr="005F3604" w:rsidRDefault="005F3604" w:rsidP="00D82D02">
      <w:pPr>
        <w:ind w:firstLine="720"/>
        <w:jc w:val="both"/>
        <w:rPr>
          <w:rFonts w:ascii="Arial" w:hAnsi="Arial" w:cs="Arial"/>
          <w:color w:val="7B7B7B" w:themeColor="accent3" w:themeShade="BF"/>
          <w:sz w:val="22"/>
          <w:szCs w:val="22"/>
        </w:rPr>
      </w:pPr>
      <w:r>
        <w:rPr>
          <w:rFonts w:ascii="Arial" w:hAnsi="Arial" w:cs="Arial"/>
          <w:b/>
          <w:bCs/>
          <w:color w:val="7B7B7B" w:themeColor="accent3" w:themeShade="BF"/>
          <w:sz w:val="22"/>
          <w:szCs w:val="22"/>
        </w:rPr>
        <w:t xml:space="preserve">Article 16(1) and (2) </w:t>
      </w:r>
      <w:r>
        <w:rPr>
          <w:rFonts w:ascii="Arial" w:hAnsi="Arial" w:cs="Arial"/>
          <w:color w:val="7B7B7B" w:themeColor="accent3" w:themeShade="BF"/>
          <w:sz w:val="22"/>
          <w:szCs w:val="22"/>
        </w:rPr>
        <w:t>of the MLCBI provides the Court with a set of presumptions, including that the Court may presume that the provided documents are authentic.</w:t>
      </w:r>
    </w:p>
    <w:p w14:paraId="05967AAA" w14:textId="7CE4BB51" w:rsidR="00CE46AE" w:rsidRDefault="00CE46AE" w:rsidP="00D82D02">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A</w:t>
      </w:r>
      <w:r w:rsidR="00EF636B">
        <w:rPr>
          <w:rFonts w:ascii="Arial" w:hAnsi="Arial" w:cs="Arial"/>
          <w:color w:val="7B7B7B" w:themeColor="accent3" w:themeShade="BF"/>
          <w:sz w:val="22"/>
          <w:szCs w:val="22"/>
          <w:lang w:val="en-GB"/>
        </w:rPr>
        <w:t>s a final legal formality</w:t>
      </w:r>
      <w:r w:rsidR="00FB01F8">
        <w:rPr>
          <w:rFonts w:ascii="Arial" w:hAnsi="Arial" w:cs="Arial"/>
          <w:color w:val="7B7B7B" w:themeColor="accent3" w:themeShade="BF"/>
          <w:sz w:val="22"/>
          <w:szCs w:val="22"/>
          <w:lang w:val="en-GB"/>
        </w:rPr>
        <w:t xml:space="preserve"> under Article 17(1), paragraph </w:t>
      </w:r>
      <w:r>
        <w:rPr>
          <w:rFonts w:ascii="Arial" w:hAnsi="Arial" w:cs="Arial"/>
          <w:color w:val="7B7B7B" w:themeColor="accent3" w:themeShade="BF"/>
          <w:sz w:val="22"/>
          <w:szCs w:val="22"/>
          <w:lang w:val="en-GB"/>
        </w:rPr>
        <w:t>(d)</w:t>
      </w:r>
      <w:r w:rsidR="00EF636B">
        <w:rPr>
          <w:rFonts w:ascii="Arial" w:hAnsi="Arial" w:cs="Arial"/>
          <w:color w:val="7B7B7B" w:themeColor="accent3" w:themeShade="BF"/>
          <w:sz w:val="22"/>
          <w:szCs w:val="22"/>
          <w:lang w:val="en-GB"/>
        </w:rPr>
        <w:t xml:space="preserve"> states</w:t>
      </w:r>
      <w:r>
        <w:rPr>
          <w:rFonts w:ascii="Arial" w:hAnsi="Arial" w:cs="Arial"/>
          <w:color w:val="7B7B7B" w:themeColor="accent3" w:themeShade="BF"/>
          <w:sz w:val="22"/>
          <w:szCs w:val="22"/>
          <w:lang w:val="en-GB"/>
        </w:rPr>
        <w:t xml:space="preserve"> that the application must be </w:t>
      </w:r>
      <w:r w:rsidRPr="00EF636B">
        <w:rPr>
          <w:rFonts w:ascii="Arial" w:hAnsi="Arial" w:cs="Arial"/>
          <w:b/>
          <w:bCs/>
          <w:color w:val="7B7B7B" w:themeColor="accent3" w:themeShade="BF"/>
          <w:sz w:val="22"/>
          <w:szCs w:val="22"/>
          <w:lang w:val="en-GB"/>
        </w:rPr>
        <w:t>submitted</w:t>
      </w:r>
      <w:r w:rsidRPr="00EF636B">
        <w:rPr>
          <w:rFonts w:ascii="Arial" w:hAnsi="Arial" w:cs="Arial"/>
          <w:b/>
          <w:bCs/>
          <w:color w:val="7B7B7B" w:themeColor="accent3" w:themeShade="BF"/>
          <w:sz w:val="22"/>
          <w:szCs w:val="22"/>
        </w:rPr>
        <w:t xml:space="preserve"> to the designated Court</w:t>
      </w:r>
      <w:r>
        <w:rPr>
          <w:rFonts w:ascii="Arial" w:hAnsi="Arial" w:cs="Arial"/>
          <w:color w:val="7B7B7B" w:themeColor="accent3" w:themeShade="BF"/>
          <w:sz w:val="22"/>
          <w:szCs w:val="22"/>
        </w:rPr>
        <w:t>.</w:t>
      </w:r>
    </w:p>
    <w:p w14:paraId="7F4C988B" w14:textId="77777777" w:rsidR="00FB01F8" w:rsidRDefault="00FB01F8" w:rsidP="00D82D02">
      <w:pPr>
        <w:ind w:firstLine="720"/>
        <w:jc w:val="both"/>
        <w:rPr>
          <w:rFonts w:ascii="Arial" w:hAnsi="Arial" w:cs="Arial"/>
          <w:color w:val="7B7B7B" w:themeColor="accent3" w:themeShade="BF"/>
          <w:sz w:val="22"/>
          <w:szCs w:val="22"/>
        </w:rPr>
      </w:pPr>
    </w:p>
    <w:p w14:paraId="0D2C8C64" w14:textId="5FE35890" w:rsidR="00CE46AE" w:rsidRPr="00C36D35" w:rsidRDefault="00EF636B" w:rsidP="00D82D02">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Looking at the next set of criteria</w:t>
      </w:r>
      <w:r w:rsidR="00FB01F8">
        <w:rPr>
          <w:rFonts w:ascii="Arial" w:hAnsi="Arial" w:cs="Arial"/>
          <w:color w:val="7B7B7B" w:themeColor="accent3" w:themeShade="BF"/>
          <w:sz w:val="22"/>
          <w:szCs w:val="22"/>
        </w:rPr>
        <w:t>, which is</w:t>
      </w:r>
      <w:r>
        <w:rPr>
          <w:rFonts w:ascii="Arial" w:hAnsi="Arial" w:cs="Arial"/>
          <w:color w:val="7B7B7B" w:themeColor="accent3" w:themeShade="BF"/>
          <w:sz w:val="22"/>
          <w:szCs w:val="22"/>
        </w:rPr>
        <w:t xml:space="preserve"> listed under Article 17(2) of the MLCBI</w:t>
      </w:r>
      <w:r w:rsidR="00FA6FF1">
        <w:rPr>
          <w:rFonts w:ascii="Arial" w:hAnsi="Arial" w:cs="Arial"/>
          <w:color w:val="7B7B7B" w:themeColor="accent3" w:themeShade="BF"/>
          <w:sz w:val="22"/>
          <w:szCs w:val="22"/>
        </w:rPr>
        <w:t>, t</w:t>
      </w:r>
      <w:r>
        <w:rPr>
          <w:rFonts w:ascii="Arial" w:hAnsi="Arial" w:cs="Arial"/>
          <w:color w:val="7B7B7B" w:themeColor="accent3" w:themeShade="BF"/>
          <w:sz w:val="22"/>
          <w:szCs w:val="22"/>
        </w:rPr>
        <w:t xml:space="preserve">he foreign proceeding shall be recognized on the condition that it is either a </w:t>
      </w:r>
      <w:r w:rsidRPr="00EF636B">
        <w:rPr>
          <w:rFonts w:ascii="Arial" w:hAnsi="Arial" w:cs="Arial"/>
          <w:b/>
          <w:bCs/>
          <w:color w:val="7B7B7B" w:themeColor="accent3" w:themeShade="BF"/>
          <w:sz w:val="22"/>
          <w:szCs w:val="22"/>
        </w:rPr>
        <w:t>foreign main proceeding</w:t>
      </w:r>
      <w:r>
        <w:rPr>
          <w:rFonts w:ascii="Arial" w:hAnsi="Arial" w:cs="Arial"/>
          <w:b/>
          <w:bCs/>
          <w:color w:val="7B7B7B" w:themeColor="accent3" w:themeShade="BF"/>
          <w:sz w:val="22"/>
          <w:szCs w:val="22"/>
        </w:rPr>
        <w:t xml:space="preserve"> under Article 17(2)(a)</w:t>
      </w:r>
      <w:r>
        <w:rPr>
          <w:rFonts w:ascii="Arial" w:hAnsi="Arial" w:cs="Arial"/>
          <w:color w:val="7B7B7B" w:themeColor="accent3" w:themeShade="BF"/>
          <w:sz w:val="22"/>
          <w:szCs w:val="22"/>
        </w:rPr>
        <w:t xml:space="preserve"> or a </w:t>
      </w:r>
      <w:r>
        <w:rPr>
          <w:rFonts w:ascii="Arial" w:hAnsi="Arial" w:cs="Arial"/>
          <w:b/>
          <w:bCs/>
          <w:color w:val="7B7B7B" w:themeColor="accent3" w:themeShade="BF"/>
          <w:sz w:val="22"/>
          <w:szCs w:val="22"/>
        </w:rPr>
        <w:t>foreign non-main proceeding under Article 17(2)(b)</w:t>
      </w:r>
      <w:r w:rsidR="00FA6FF1">
        <w:rPr>
          <w:rFonts w:ascii="Arial" w:hAnsi="Arial" w:cs="Arial"/>
          <w:b/>
          <w:bCs/>
          <w:color w:val="7B7B7B" w:themeColor="accent3" w:themeShade="BF"/>
          <w:sz w:val="22"/>
          <w:szCs w:val="22"/>
        </w:rPr>
        <w:t xml:space="preserve"> </w:t>
      </w:r>
      <w:r w:rsidR="00FA6FF1">
        <w:rPr>
          <w:rFonts w:ascii="Arial" w:hAnsi="Arial" w:cs="Arial"/>
          <w:color w:val="7B7B7B" w:themeColor="accent3" w:themeShade="BF"/>
          <w:sz w:val="22"/>
          <w:szCs w:val="22"/>
        </w:rPr>
        <w:t>of the MLCBI.</w:t>
      </w:r>
      <w:r w:rsidR="00C36D35">
        <w:rPr>
          <w:rFonts w:ascii="Arial" w:hAnsi="Arial" w:cs="Arial"/>
          <w:color w:val="7B7B7B" w:themeColor="accent3" w:themeShade="BF"/>
          <w:sz w:val="22"/>
          <w:szCs w:val="22"/>
        </w:rPr>
        <w:t xml:space="preserve"> This distinction is important for the implementation of the type of relief, see </w:t>
      </w:r>
      <w:r w:rsidR="00C36D35">
        <w:rPr>
          <w:rFonts w:ascii="Arial" w:hAnsi="Arial" w:cs="Arial"/>
          <w:b/>
          <w:bCs/>
          <w:color w:val="7B7B7B" w:themeColor="accent3" w:themeShade="BF"/>
          <w:sz w:val="22"/>
          <w:szCs w:val="22"/>
        </w:rPr>
        <w:t>paragraph 154 of the GEI.</w:t>
      </w:r>
    </w:p>
    <w:p w14:paraId="0C2BF7E0" w14:textId="0DD10AA5" w:rsidR="00FA6FF1" w:rsidRDefault="00FA6FF1" w:rsidP="00FA6FF1">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foreign proceeding only qualifies as a foreign main proceeding if the debtor’s </w:t>
      </w:r>
      <w:proofErr w:type="spellStart"/>
      <w:r>
        <w:rPr>
          <w:rFonts w:ascii="Arial" w:hAnsi="Arial" w:cs="Arial"/>
          <w:color w:val="7B7B7B" w:themeColor="accent3" w:themeShade="BF"/>
          <w:sz w:val="22"/>
          <w:szCs w:val="22"/>
        </w:rPr>
        <w:t>centre</w:t>
      </w:r>
      <w:proofErr w:type="spellEnd"/>
      <w:r>
        <w:rPr>
          <w:rFonts w:ascii="Arial" w:hAnsi="Arial" w:cs="Arial"/>
          <w:color w:val="7B7B7B" w:themeColor="accent3" w:themeShade="BF"/>
          <w:sz w:val="22"/>
          <w:szCs w:val="22"/>
        </w:rPr>
        <w:t xml:space="preserve"> of main interests (</w:t>
      </w:r>
      <w:r w:rsidRPr="00FA6FF1">
        <w:rPr>
          <w:rFonts w:ascii="Arial" w:hAnsi="Arial" w:cs="Arial"/>
          <w:b/>
          <w:bCs/>
          <w:color w:val="7B7B7B" w:themeColor="accent3" w:themeShade="BF"/>
          <w:sz w:val="22"/>
          <w:szCs w:val="22"/>
        </w:rPr>
        <w:t>COMI</w:t>
      </w:r>
      <w:r>
        <w:rPr>
          <w:rFonts w:ascii="Arial" w:hAnsi="Arial" w:cs="Arial"/>
          <w:color w:val="7B7B7B" w:themeColor="accent3" w:themeShade="BF"/>
          <w:sz w:val="22"/>
          <w:szCs w:val="22"/>
        </w:rPr>
        <w:t xml:space="preserve">) </w:t>
      </w:r>
      <w:r w:rsidRPr="00FA6FF1">
        <w:rPr>
          <w:rFonts w:ascii="Arial" w:hAnsi="Arial" w:cs="Arial"/>
          <w:color w:val="7B7B7B" w:themeColor="accent3" w:themeShade="BF"/>
          <w:sz w:val="22"/>
          <w:szCs w:val="22"/>
        </w:rPr>
        <w:t>is</w:t>
      </w:r>
      <w:r>
        <w:rPr>
          <w:rFonts w:ascii="Arial" w:hAnsi="Arial" w:cs="Arial"/>
          <w:color w:val="7B7B7B" w:themeColor="accent3" w:themeShade="BF"/>
          <w:sz w:val="22"/>
          <w:szCs w:val="22"/>
        </w:rPr>
        <w:t xml:space="preserve"> located in that State, see</w:t>
      </w:r>
      <w:r>
        <w:rPr>
          <w:rFonts w:ascii="Arial" w:hAnsi="Arial" w:cs="Arial"/>
          <w:b/>
          <w:bCs/>
          <w:color w:val="7B7B7B" w:themeColor="accent3" w:themeShade="BF"/>
          <w:sz w:val="22"/>
          <w:szCs w:val="22"/>
        </w:rPr>
        <w:t xml:space="preserve"> Article 2(b)</w:t>
      </w:r>
      <w:r>
        <w:rPr>
          <w:rFonts w:ascii="Arial" w:hAnsi="Arial" w:cs="Arial"/>
          <w:color w:val="7B7B7B" w:themeColor="accent3" w:themeShade="BF"/>
          <w:sz w:val="22"/>
          <w:szCs w:val="22"/>
        </w:rPr>
        <w:t>. The proceeding is a foreign non-main proceeding if the debtor has an establishment within the meaning of</w:t>
      </w:r>
      <w:r>
        <w:rPr>
          <w:rFonts w:ascii="Arial" w:hAnsi="Arial" w:cs="Arial"/>
          <w:b/>
          <w:bCs/>
          <w:color w:val="7B7B7B" w:themeColor="accent3" w:themeShade="BF"/>
          <w:sz w:val="22"/>
          <w:szCs w:val="22"/>
        </w:rPr>
        <w:t xml:space="preserve"> Article 2(f) </w:t>
      </w:r>
      <w:r>
        <w:rPr>
          <w:rFonts w:ascii="Arial" w:hAnsi="Arial" w:cs="Arial"/>
          <w:color w:val="7B7B7B" w:themeColor="accent3" w:themeShade="BF"/>
          <w:sz w:val="22"/>
          <w:szCs w:val="22"/>
        </w:rPr>
        <w:t>of the MLCBI located in that State.</w:t>
      </w:r>
    </w:p>
    <w:p w14:paraId="485B1E60" w14:textId="0241C3EF" w:rsidR="005F3604" w:rsidRDefault="005F3604" w:rsidP="005F3604">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To assist with the assessment of the type of proceeding, the MLCBI provides the Court with </w:t>
      </w:r>
      <w:r w:rsidRPr="00C36D35">
        <w:rPr>
          <w:rFonts w:ascii="Arial" w:hAnsi="Arial" w:cs="Arial"/>
          <w:b/>
          <w:bCs/>
          <w:color w:val="7B7B7B" w:themeColor="accent3" w:themeShade="BF"/>
          <w:sz w:val="22"/>
          <w:szCs w:val="22"/>
        </w:rPr>
        <w:t>presumptions under A</w:t>
      </w:r>
      <w:r>
        <w:rPr>
          <w:rFonts w:ascii="Arial" w:hAnsi="Arial" w:cs="Arial"/>
          <w:b/>
          <w:bCs/>
          <w:color w:val="7B7B7B" w:themeColor="accent3" w:themeShade="BF"/>
          <w:sz w:val="22"/>
          <w:szCs w:val="22"/>
        </w:rPr>
        <w:t xml:space="preserve">rticle 16(3) </w:t>
      </w:r>
      <w:r>
        <w:rPr>
          <w:rFonts w:ascii="Arial" w:hAnsi="Arial" w:cs="Arial"/>
          <w:color w:val="7B7B7B" w:themeColor="accent3" w:themeShade="BF"/>
          <w:sz w:val="22"/>
          <w:szCs w:val="22"/>
        </w:rPr>
        <w:t xml:space="preserve">of the MLCBI. Unless proven otherwise, the Court may presume that the debtor’s COMI is located where the debtor has its registered office (or in case of an individual, the habitual residence). </w:t>
      </w:r>
    </w:p>
    <w:p w14:paraId="38A96DFC" w14:textId="77777777" w:rsidR="00EF636B" w:rsidRPr="009B5832" w:rsidRDefault="00EF636B"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1B213DCA" w14:textId="77777777" w:rsidR="00B628F5" w:rsidRDefault="00B628F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types of relief that are mentioned in the MLCBI are listed in </w:t>
      </w:r>
      <w:r w:rsidRPr="00B628F5">
        <w:rPr>
          <w:rFonts w:ascii="Arial" w:hAnsi="Arial" w:cs="Arial"/>
          <w:b/>
          <w:bCs/>
          <w:color w:val="7B7B7B" w:themeColor="accent3" w:themeShade="BF"/>
          <w:sz w:val="22"/>
          <w:szCs w:val="22"/>
          <w:lang w:val="en-GB"/>
        </w:rPr>
        <w:t>Article</w:t>
      </w:r>
      <w:r>
        <w:rPr>
          <w:rFonts w:ascii="Arial" w:hAnsi="Arial" w:cs="Arial"/>
          <w:b/>
          <w:bCs/>
          <w:color w:val="7B7B7B" w:themeColor="accent3" w:themeShade="BF"/>
          <w:sz w:val="22"/>
          <w:szCs w:val="22"/>
          <w:lang w:val="en-GB"/>
        </w:rPr>
        <w:t>s</w:t>
      </w:r>
      <w:r w:rsidRPr="00B628F5">
        <w:rPr>
          <w:rFonts w:ascii="Arial" w:hAnsi="Arial" w:cs="Arial"/>
          <w:b/>
          <w:bCs/>
          <w:color w:val="7B7B7B" w:themeColor="accent3" w:themeShade="BF"/>
          <w:sz w:val="22"/>
          <w:szCs w:val="22"/>
          <w:lang w:val="en-GB"/>
        </w:rPr>
        <w:t xml:space="preserve"> 19-21</w:t>
      </w:r>
      <w:r>
        <w:rPr>
          <w:rFonts w:ascii="Arial" w:hAnsi="Arial" w:cs="Arial"/>
          <w:color w:val="7B7B7B" w:themeColor="accent3" w:themeShade="BF"/>
          <w:sz w:val="22"/>
          <w:szCs w:val="22"/>
          <w:lang w:val="en-GB"/>
        </w:rPr>
        <w:t xml:space="preserve">. </w:t>
      </w:r>
    </w:p>
    <w:p w14:paraId="5551A59C" w14:textId="7CA97016" w:rsidR="00323712" w:rsidRDefault="00323712" w:rsidP="00323712">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With regard to the discretionary relief, </w:t>
      </w:r>
      <w:r>
        <w:rPr>
          <w:rFonts w:ascii="Arial" w:hAnsi="Arial" w:cs="Arial"/>
          <w:b/>
          <w:bCs/>
          <w:color w:val="7B7B7B" w:themeColor="accent3" w:themeShade="BF"/>
          <w:sz w:val="22"/>
          <w:szCs w:val="22"/>
        </w:rPr>
        <w:t xml:space="preserve">Article 19 </w:t>
      </w:r>
      <w:r>
        <w:rPr>
          <w:rFonts w:ascii="Arial" w:hAnsi="Arial" w:cs="Arial"/>
          <w:color w:val="7B7B7B" w:themeColor="accent3" w:themeShade="BF"/>
          <w:sz w:val="22"/>
          <w:szCs w:val="22"/>
        </w:rPr>
        <w:t xml:space="preserve">of the MLCBI states that a relief may be </w:t>
      </w:r>
      <w:r w:rsidRPr="00FC319A">
        <w:rPr>
          <w:rFonts w:ascii="Arial" w:hAnsi="Arial" w:cs="Arial"/>
          <w:color w:val="7B7B7B" w:themeColor="accent3" w:themeShade="BF"/>
          <w:sz w:val="22"/>
          <w:szCs w:val="22"/>
        </w:rPr>
        <w:t>upon application for recognition</w:t>
      </w:r>
      <w:r>
        <w:rPr>
          <w:rFonts w:ascii="Arial" w:hAnsi="Arial" w:cs="Arial"/>
          <w:color w:val="7B7B7B" w:themeColor="accent3" w:themeShade="BF"/>
          <w:sz w:val="22"/>
          <w:szCs w:val="22"/>
        </w:rPr>
        <w:t xml:space="preserve"> </w:t>
      </w:r>
      <w:r w:rsidRPr="00FC319A">
        <w:rPr>
          <w:rFonts w:ascii="Arial" w:hAnsi="Arial" w:cs="Arial"/>
          <w:color w:val="7B7B7B" w:themeColor="accent3" w:themeShade="BF"/>
          <w:sz w:val="22"/>
          <w:szCs w:val="22"/>
        </w:rPr>
        <w:t>of a foreign proceeding</w:t>
      </w:r>
      <w:r>
        <w:rPr>
          <w:rFonts w:ascii="Arial" w:hAnsi="Arial" w:cs="Arial"/>
          <w:color w:val="7B7B7B" w:themeColor="accent3" w:themeShade="BF"/>
          <w:sz w:val="22"/>
          <w:szCs w:val="22"/>
        </w:rPr>
        <w:t xml:space="preserve"> – ie </w:t>
      </w:r>
      <w:r w:rsidRPr="005B1381">
        <w:rPr>
          <w:rFonts w:ascii="Arial" w:hAnsi="Arial" w:cs="Arial"/>
          <w:b/>
          <w:bCs/>
          <w:color w:val="7B7B7B" w:themeColor="accent3" w:themeShade="BF"/>
          <w:sz w:val="22"/>
          <w:szCs w:val="22"/>
        </w:rPr>
        <w:t>pre-recognition relief</w:t>
      </w:r>
      <w:r>
        <w:rPr>
          <w:rFonts w:ascii="Arial" w:hAnsi="Arial" w:cs="Arial"/>
          <w:color w:val="7B7B7B" w:themeColor="accent3" w:themeShade="BF"/>
          <w:sz w:val="22"/>
          <w:szCs w:val="22"/>
        </w:rPr>
        <w:t xml:space="preserve">. The relief can be granted from the time of the filing for recognition until the application is decided upon. The foreign representative may request the Court, which will assess the </w:t>
      </w:r>
      <w:r w:rsidRPr="005B1381">
        <w:rPr>
          <w:rFonts w:ascii="Arial" w:hAnsi="Arial" w:cs="Arial"/>
          <w:b/>
          <w:bCs/>
          <w:color w:val="7B7B7B" w:themeColor="accent3" w:themeShade="BF"/>
          <w:sz w:val="22"/>
          <w:szCs w:val="22"/>
        </w:rPr>
        <w:t>urgency and necessity</w:t>
      </w:r>
      <w:r>
        <w:rPr>
          <w:rFonts w:ascii="Arial" w:hAnsi="Arial" w:cs="Arial"/>
          <w:color w:val="7B7B7B" w:themeColor="accent3" w:themeShade="BF"/>
          <w:sz w:val="22"/>
          <w:szCs w:val="22"/>
        </w:rPr>
        <w:t xml:space="preserve"> of the provisional relief for protecting the assets of the debtor or the creditors’ interests</w:t>
      </w:r>
      <w:r w:rsidR="00845FBB">
        <w:rPr>
          <w:rFonts w:ascii="Arial" w:hAnsi="Arial" w:cs="Arial"/>
          <w:color w:val="7B7B7B" w:themeColor="accent3" w:themeShade="BF"/>
          <w:sz w:val="22"/>
          <w:szCs w:val="22"/>
        </w:rPr>
        <w:t xml:space="preserve">, see </w:t>
      </w:r>
      <w:r w:rsidR="00845FBB">
        <w:rPr>
          <w:rFonts w:ascii="Arial" w:hAnsi="Arial" w:cs="Arial"/>
          <w:b/>
          <w:bCs/>
          <w:color w:val="7B7B7B" w:themeColor="accent3" w:themeShade="BF"/>
          <w:sz w:val="22"/>
          <w:szCs w:val="22"/>
        </w:rPr>
        <w:t>paragraph 172 GEI</w:t>
      </w:r>
      <w:r>
        <w:rPr>
          <w:rFonts w:ascii="Arial" w:hAnsi="Arial" w:cs="Arial"/>
          <w:color w:val="7B7B7B" w:themeColor="accent3" w:themeShade="BF"/>
          <w:sz w:val="22"/>
          <w:szCs w:val="22"/>
        </w:rPr>
        <w:t xml:space="preserve">. Article 19(1) lists the following: (1) staying execution against the debtor’s assets, (2) entrusting the foreign representative with the administration of the debtor’s local assets for the sake of preserving their value, (3) the reliefs mentioned in Article 21(1)(c), (d), and (g). </w:t>
      </w:r>
    </w:p>
    <w:p w14:paraId="3E52696B" w14:textId="77777777" w:rsidR="000B03EA" w:rsidRDefault="00323712" w:rsidP="005B622B">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mentioned above, the relief terminates as soon as the application is decided upon under Article 19(3) of the MLCBI. </w:t>
      </w:r>
      <w:r w:rsidR="00692E62">
        <w:rPr>
          <w:rFonts w:ascii="Arial" w:hAnsi="Arial" w:cs="Arial"/>
          <w:color w:val="7B7B7B" w:themeColor="accent3" w:themeShade="BF"/>
          <w:sz w:val="22"/>
          <w:szCs w:val="22"/>
        </w:rPr>
        <w:t xml:space="preserve">However, according to </w:t>
      </w:r>
      <w:r w:rsidR="00692E62">
        <w:rPr>
          <w:rFonts w:ascii="Arial" w:hAnsi="Arial" w:cs="Arial"/>
          <w:b/>
          <w:bCs/>
          <w:color w:val="7B7B7B" w:themeColor="accent3" w:themeShade="BF"/>
          <w:sz w:val="22"/>
          <w:szCs w:val="22"/>
        </w:rPr>
        <w:t xml:space="preserve">paragraph 174 GEI, </w:t>
      </w:r>
      <w:r w:rsidR="00692E62">
        <w:rPr>
          <w:rFonts w:ascii="Arial" w:hAnsi="Arial" w:cs="Arial"/>
          <w:color w:val="7B7B7B" w:themeColor="accent3" w:themeShade="BF"/>
          <w:sz w:val="22"/>
          <w:szCs w:val="22"/>
        </w:rPr>
        <w:t>the</w:t>
      </w:r>
      <w:r w:rsidR="00692E62" w:rsidRPr="00692E62">
        <w:rPr>
          <w:rFonts w:ascii="Arial" w:hAnsi="Arial" w:cs="Arial"/>
          <w:color w:val="7B7B7B" w:themeColor="accent3" w:themeShade="BF"/>
          <w:sz w:val="22"/>
          <w:szCs w:val="22"/>
        </w:rPr>
        <w:t xml:space="preserve"> </w:t>
      </w:r>
      <w:r w:rsidR="00692E62">
        <w:rPr>
          <w:rFonts w:ascii="Arial" w:hAnsi="Arial" w:cs="Arial"/>
          <w:color w:val="7B7B7B" w:themeColor="accent3" w:themeShade="BF"/>
          <w:sz w:val="22"/>
          <w:szCs w:val="22"/>
        </w:rPr>
        <w:t>C</w:t>
      </w:r>
      <w:r w:rsidR="00692E62" w:rsidRPr="00692E62">
        <w:rPr>
          <w:rFonts w:ascii="Arial" w:hAnsi="Arial" w:cs="Arial"/>
          <w:color w:val="7B7B7B" w:themeColor="accent3" w:themeShade="BF"/>
          <w:sz w:val="22"/>
          <w:szCs w:val="22"/>
        </w:rPr>
        <w:t xml:space="preserve">ourt </w:t>
      </w:r>
      <w:r w:rsidR="00692E62">
        <w:rPr>
          <w:rFonts w:ascii="Arial" w:hAnsi="Arial" w:cs="Arial"/>
          <w:color w:val="7B7B7B" w:themeColor="accent3" w:themeShade="BF"/>
          <w:sz w:val="22"/>
          <w:szCs w:val="22"/>
        </w:rPr>
        <w:t>has the opportunity to e</w:t>
      </w:r>
      <w:r w:rsidR="00692E62" w:rsidRPr="00692E62">
        <w:rPr>
          <w:rFonts w:ascii="Arial" w:hAnsi="Arial" w:cs="Arial"/>
          <w:color w:val="7B7B7B" w:themeColor="accent3" w:themeShade="BF"/>
          <w:sz w:val="22"/>
          <w:szCs w:val="22"/>
        </w:rPr>
        <w:t>xtend the measure</w:t>
      </w:r>
      <w:r w:rsidR="00692E62">
        <w:rPr>
          <w:rFonts w:ascii="Arial" w:hAnsi="Arial" w:cs="Arial"/>
          <w:color w:val="7B7B7B" w:themeColor="accent3" w:themeShade="BF"/>
          <w:sz w:val="22"/>
          <w:szCs w:val="22"/>
        </w:rPr>
        <w:t xml:space="preserve"> </w:t>
      </w:r>
      <w:r w:rsidR="00692E62" w:rsidRPr="00692E62">
        <w:rPr>
          <w:rFonts w:ascii="Arial" w:hAnsi="Arial" w:cs="Arial"/>
          <w:color w:val="7B7B7B" w:themeColor="accent3" w:themeShade="BF"/>
          <w:sz w:val="22"/>
          <w:szCs w:val="22"/>
        </w:rPr>
        <w:t>to</w:t>
      </w:r>
      <w:r w:rsidR="00692E62">
        <w:rPr>
          <w:rFonts w:ascii="Arial" w:hAnsi="Arial" w:cs="Arial"/>
          <w:color w:val="7B7B7B" w:themeColor="accent3" w:themeShade="BF"/>
          <w:sz w:val="22"/>
          <w:szCs w:val="22"/>
        </w:rPr>
        <w:t xml:space="preserve"> eg </w:t>
      </w:r>
      <w:r w:rsidR="00692E62" w:rsidRPr="00692E62">
        <w:rPr>
          <w:rFonts w:ascii="Arial" w:hAnsi="Arial" w:cs="Arial"/>
          <w:color w:val="7B7B7B" w:themeColor="accent3" w:themeShade="BF"/>
          <w:sz w:val="22"/>
          <w:szCs w:val="22"/>
        </w:rPr>
        <w:t>avoid a</w:t>
      </w:r>
      <w:r w:rsidR="00692E62">
        <w:rPr>
          <w:rFonts w:ascii="Arial" w:hAnsi="Arial" w:cs="Arial"/>
          <w:color w:val="7B7B7B" w:themeColor="accent3" w:themeShade="BF"/>
          <w:sz w:val="22"/>
          <w:szCs w:val="22"/>
        </w:rPr>
        <w:t>n</w:t>
      </w:r>
      <w:r w:rsidR="00692E62" w:rsidRPr="00692E62">
        <w:rPr>
          <w:rFonts w:ascii="Arial" w:hAnsi="Arial" w:cs="Arial"/>
          <w:color w:val="7B7B7B" w:themeColor="accent3" w:themeShade="BF"/>
          <w:sz w:val="22"/>
          <w:szCs w:val="22"/>
        </w:rPr>
        <w:t xml:space="preserve"> interruption between the provisional measure issued before recognition and the measure issued after recognition</w:t>
      </w:r>
      <w:r w:rsidR="00692E62">
        <w:rPr>
          <w:rFonts w:ascii="Arial" w:hAnsi="Arial" w:cs="Arial"/>
          <w:color w:val="7B7B7B" w:themeColor="accent3" w:themeShade="BF"/>
          <w:sz w:val="22"/>
          <w:szCs w:val="22"/>
        </w:rPr>
        <w:t xml:space="preserve"> under Article 21 (more below)</w:t>
      </w:r>
      <w:r w:rsidR="00692E62" w:rsidRPr="00692E62">
        <w:rPr>
          <w:rFonts w:ascii="Arial" w:hAnsi="Arial" w:cs="Arial"/>
          <w:color w:val="7B7B7B" w:themeColor="accent3" w:themeShade="BF"/>
          <w:sz w:val="22"/>
          <w:szCs w:val="22"/>
        </w:rPr>
        <w:t>.</w:t>
      </w:r>
      <w:r w:rsidR="00692E62">
        <w:rPr>
          <w:rFonts w:ascii="Arial" w:hAnsi="Arial" w:cs="Arial"/>
          <w:color w:val="7B7B7B" w:themeColor="accent3" w:themeShade="BF"/>
          <w:sz w:val="22"/>
          <w:szCs w:val="22"/>
        </w:rPr>
        <w:t xml:space="preserve"> </w:t>
      </w:r>
    </w:p>
    <w:p w14:paraId="00B774F7" w14:textId="638D49BB" w:rsidR="005B622B" w:rsidRDefault="00323712" w:rsidP="005B622B">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According to Article 19(4), the Court may also refuse to grant relief if it would interfere with the administration of a foreign main proceeding.</w:t>
      </w:r>
      <w:r w:rsidR="00692E62">
        <w:rPr>
          <w:rFonts w:ascii="Arial" w:hAnsi="Arial" w:cs="Arial"/>
          <w:color w:val="7B7B7B" w:themeColor="accent3" w:themeShade="BF"/>
          <w:sz w:val="22"/>
          <w:szCs w:val="22"/>
        </w:rPr>
        <w:t xml:space="preserve"> </w:t>
      </w:r>
      <w:r w:rsidR="00692E62">
        <w:rPr>
          <w:rFonts w:ascii="Arial" w:hAnsi="Arial" w:cs="Arial"/>
          <w:b/>
          <w:bCs/>
          <w:color w:val="7B7B7B" w:themeColor="accent3" w:themeShade="BF"/>
          <w:sz w:val="22"/>
          <w:szCs w:val="22"/>
        </w:rPr>
        <w:t xml:space="preserve">Paragraph 175 GEI </w:t>
      </w:r>
      <w:r w:rsidR="00692E62">
        <w:rPr>
          <w:rFonts w:ascii="Arial" w:hAnsi="Arial" w:cs="Arial"/>
          <w:color w:val="7B7B7B" w:themeColor="accent3" w:themeShade="BF"/>
          <w:sz w:val="22"/>
          <w:szCs w:val="22"/>
        </w:rPr>
        <w:t>clarifies that this Article pursues the same objectives as Article 30(a)</w:t>
      </w:r>
      <w:r w:rsidR="005B622B">
        <w:rPr>
          <w:rFonts w:ascii="Arial" w:hAnsi="Arial" w:cs="Arial"/>
          <w:color w:val="7B7B7B" w:themeColor="accent3" w:themeShade="BF"/>
          <w:sz w:val="22"/>
          <w:szCs w:val="22"/>
        </w:rPr>
        <w:t xml:space="preserve"> MLCBI</w:t>
      </w:r>
      <w:r w:rsidR="00692E62">
        <w:rPr>
          <w:rFonts w:ascii="Arial" w:hAnsi="Arial" w:cs="Arial"/>
          <w:color w:val="7B7B7B" w:themeColor="accent3" w:themeShade="BF"/>
          <w:sz w:val="22"/>
          <w:szCs w:val="22"/>
        </w:rPr>
        <w:t xml:space="preserve"> as the relief granted to the foreign proceeding should not interfere with the pending foreign main proceeding. This is why the </w:t>
      </w:r>
      <w:r w:rsidR="005B622B">
        <w:rPr>
          <w:rFonts w:ascii="Arial" w:hAnsi="Arial" w:cs="Arial"/>
          <w:color w:val="7B7B7B" w:themeColor="accent3" w:themeShade="BF"/>
          <w:sz w:val="22"/>
          <w:szCs w:val="22"/>
        </w:rPr>
        <w:t xml:space="preserve">representative is also required, under Article 15(3) MLCBI, to include a statement of all foreign proceedings against the debtor that are known to him/her in the application for recognition. </w:t>
      </w:r>
    </w:p>
    <w:p w14:paraId="6AD6C819" w14:textId="77777777" w:rsidR="005B622B" w:rsidRDefault="005B622B" w:rsidP="005B622B">
      <w:pPr>
        <w:ind w:firstLine="720"/>
        <w:jc w:val="both"/>
        <w:rPr>
          <w:rFonts w:ascii="Arial" w:hAnsi="Arial" w:cs="Arial"/>
          <w:color w:val="7B7B7B" w:themeColor="accent3" w:themeShade="BF"/>
          <w:sz w:val="22"/>
          <w:szCs w:val="22"/>
        </w:rPr>
      </w:pPr>
    </w:p>
    <w:p w14:paraId="1BE7D0D2" w14:textId="190EE0E7" w:rsidR="00B628F5" w:rsidRDefault="007A138D" w:rsidP="005B622B">
      <w:pPr>
        <w:ind w:firstLine="720"/>
        <w:jc w:val="both"/>
        <w:rPr>
          <w:rFonts w:ascii="Arial" w:hAnsi="Arial" w:cs="Arial"/>
          <w:color w:val="7B7B7B" w:themeColor="accent3" w:themeShade="BF"/>
          <w:sz w:val="22"/>
          <w:szCs w:val="22"/>
          <w:lang w:val="en-GB"/>
        </w:rPr>
      </w:pPr>
      <w:r w:rsidRPr="005B1381">
        <w:rPr>
          <w:rFonts w:ascii="Arial" w:hAnsi="Arial" w:cs="Arial"/>
          <w:b/>
          <w:bCs/>
          <w:color w:val="7B7B7B" w:themeColor="accent3" w:themeShade="BF"/>
          <w:sz w:val="22"/>
          <w:szCs w:val="22"/>
          <w:lang w:val="en-GB"/>
        </w:rPr>
        <w:t>Post-recognition a</w:t>
      </w:r>
      <w:r w:rsidR="00B628F5" w:rsidRPr="005B1381">
        <w:rPr>
          <w:rFonts w:ascii="Arial" w:hAnsi="Arial" w:cs="Arial"/>
          <w:b/>
          <w:bCs/>
          <w:color w:val="7B7B7B" w:themeColor="accent3" w:themeShade="BF"/>
          <w:sz w:val="22"/>
          <w:szCs w:val="22"/>
          <w:lang w:val="en-GB"/>
        </w:rPr>
        <w:t>utomatic re</w:t>
      </w:r>
      <w:r w:rsidRPr="005B1381">
        <w:rPr>
          <w:rFonts w:ascii="Arial" w:hAnsi="Arial" w:cs="Arial"/>
          <w:b/>
          <w:bCs/>
          <w:color w:val="7B7B7B" w:themeColor="accent3" w:themeShade="BF"/>
          <w:sz w:val="22"/>
          <w:szCs w:val="22"/>
          <w:lang w:val="en-GB"/>
        </w:rPr>
        <w:t>lief</w:t>
      </w:r>
      <w:r w:rsidR="00B628F5">
        <w:rPr>
          <w:rFonts w:ascii="Arial" w:hAnsi="Arial" w:cs="Arial"/>
          <w:color w:val="7B7B7B" w:themeColor="accent3" w:themeShade="BF"/>
          <w:sz w:val="22"/>
          <w:szCs w:val="22"/>
          <w:lang w:val="en-GB"/>
        </w:rPr>
        <w:t xml:space="preserve">, under </w:t>
      </w:r>
      <w:r w:rsidR="00B628F5">
        <w:rPr>
          <w:rFonts w:ascii="Arial" w:hAnsi="Arial" w:cs="Arial"/>
          <w:b/>
          <w:bCs/>
          <w:color w:val="7B7B7B" w:themeColor="accent3" w:themeShade="BF"/>
          <w:sz w:val="22"/>
          <w:szCs w:val="22"/>
          <w:lang w:val="en-GB"/>
        </w:rPr>
        <w:t xml:space="preserve">Article 20 </w:t>
      </w:r>
      <w:r w:rsidR="00B628F5">
        <w:rPr>
          <w:rFonts w:ascii="Arial" w:hAnsi="Arial" w:cs="Arial"/>
          <w:color w:val="7B7B7B" w:themeColor="accent3" w:themeShade="BF"/>
          <w:sz w:val="22"/>
          <w:szCs w:val="22"/>
          <w:lang w:val="en-GB"/>
        </w:rPr>
        <w:t>of the MLCBI</w:t>
      </w:r>
      <w:r>
        <w:rPr>
          <w:rFonts w:ascii="Arial" w:hAnsi="Arial" w:cs="Arial"/>
          <w:color w:val="7B7B7B" w:themeColor="accent3" w:themeShade="BF"/>
          <w:sz w:val="22"/>
          <w:szCs w:val="22"/>
          <w:lang w:val="en-GB"/>
        </w:rPr>
        <w:t>,</w:t>
      </w:r>
      <w:r w:rsidR="00B628F5">
        <w:rPr>
          <w:rFonts w:ascii="Arial" w:hAnsi="Arial" w:cs="Arial"/>
          <w:color w:val="7B7B7B" w:themeColor="accent3" w:themeShade="BF"/>
          <w:sz w:val="22"/>
          <w:szCs w:val="22"/>
          <w:lang w:val="en-GB"/>
        </w:rPr>
        <w:t xml:space="preserve"> is only granted </w:t>
      </w:r>
      <w:r>
        <w:rPr>
          <w:rFonts w:ascii="Arial" w:hAnsi="Arial" w:cs="Arial"/>
          <w:color w:val="7B7B7B" w:themeColor="accent3" w:themeShade="BF"/>
          <w:sz w:val="22"/>
          <w:szCs w:val="22"/>
          <w:lang w:val="en-GB"/>
        </w:rPr>
        <w:t>on the condition that</w:t>
      </w:r>
      <w:r w:rsidR="00B628F5">
        <w:rPr>
          <w:rFonts w:ascii="Arial" w:hAnsi="Arial" w:cs="Arial"/>
          <w:color w:val="7B7B7B" w:themeColor="accent3" w:themeShade="BF"/>
          <w:sz w:val="22"/>
          <w:szCs w:val="22"/>
          <w:lang w:val="en-GB"/>
        </w:rPr>
        <w:t xml:space="preserve"> the foreign proceeding in question is recognized as a </w:t>
      </w:r>
      <w:r w:rsidR="00B628F5" w:rsidRPr="005B1381">
        <w:rPr>
          <w:rFonts w:ascii="Arial" w:hAnsi="Arial" w:cs="Arial"/>
          <w:b/>
          <w:bCs/>
          <w:color w:val="7B7B7B" w:themeColor="accent3" w:themeShade="BF"/>
          <w:sz w:val="22"/>
          <w:szCs w:val="22"/>
          <w:lang w:val="en-GB"/>
        </w:rPr>
        <w:t>foreign main proceeding</w:t>
      </w:r>
      <w:r w:rsidR="00B628F5">
        <w:rPr>
          <w:rFonts w:ascii="Arial" w:hAnsi="Arial" w:cs="Arial"/>
          <w:color w:val="7B7B7B" w:themeColor="accent3" w:themeShade="BF"/>
          <w:sz w:val="22"/>
          <w:szCs w:val="22"/>
          <w:lang w:val="en-GB"/>
        </w:rPr>
        <w:t xml:space="preserve">, ie the debtor’s COMI is located in the foreign state where the insolvency proceedings are taking place. As such, the direct effects of recognizing a foreign main proceeding are (1) staying the commencement or the continuation of individual actions and proceedings </w:t>
      </w:r>
      <w:r w:rsidR="00C042CB">
        <w:rPr>
          <w:rFonts w:ascii="Arial" w:hAnsi="Arial" w:cs="Arial"/>
          <w:color w:val="7B7B7B" w:themeColor="accent3" w:themeShade="BF"/>
          <w:sz w:val="22"/>
          <w:szCs w:val="22"/>
          <w:lang w:val="en-GB"/>
        </w:rPr>
        <w:t>(</w:t>
      </w:r>
      <w:r w:rsidR="00AC0528">
        <w:rPr>
          <w:rFonts w:ascii="Arial" w:hAnsi="Arial" w:cs="Arial"/>
          <w:color w:val="7B7B7B" w:themeColor="accent3" w:themeShade="BF"/>
          <w:sz w:val="22"/>
          <w:szCs w:val="22"/>
          <w:lang w:val="en-GB"/>
        </w:rPr>
        <w:t xml:space="preserve">according to </w:t>
      </w:r>
      <w:r w:rsidR="00AC0528">
        <w:rPr>
          <w:rFonts w:ascii="Arial" w:hAnsi="Arial" w:cs="Arial"/>
          <w:b/>
          <w:bCs/>
          <w:color w:val="7B7B7B" w:themeColor="accent3" w:themeShade="BF"/>
          <w:sz w:val="22"/>
          <w:szCs w:val="22"/>
          <w:lang w:val="en-GB"/>
        </w:rPr>
        <w:t xml:space="preserve">paragraph 179 GEI, </w:t>
      </w:r>
      <w:r w:rsidR="00AC0528">
        <w:rPr>
          <w:rFonts w:ascii="Arial" w:hAnsi="Arial" w:cs="Arial"/>
          <w:color w:val="7B7B7B" w:themeColor="accent3" w:themeShade="BF"/>
          <w:sz w:val="22"/>
          <w:szCs w:val="22"/>
          <w:lang w:val="en-GB"/>
        </w:rPr>
        <w:t xml:space="preserve">this includes interim proceedings as these should not be distinguished from other insolvency proceedings, and according to </w:t>
      </w:r>
      <w:r w:rsidR="00AC0528">
        <w:rPr>
          <w:rFonts w:ascii="Arial" w:hAnsi="Arial" w:cs="Arial"/>
          <w:b/>
          <w:bCs/>
          <w:color w:val="7B7B7B" w:themeColor="accent3" w:themeShade="BF"/>
          <w:sz w:val="22"/>
          <w:szCs w:val="22"/>
          <w:lang w:val="en-GB"/>
        </w:rPr>
        <w:t>paragraph 180 GEI,</w:t>
      </w:r>
      <w:r w:rsidR="00AC0528">
        <w:rPr>
          <w:rFonts w:ascii="Arial" w:hAnsi="Arial" w:cs="Arial"/>
          <w:color w:val="7B7B7B" w:themeColor="accent3" w:themeShade="BF"/>
          <w:sz w:val="22"/>
          <w:szCs w:val="22"/>
          <w:lang w:val="en-GB"/>
        </w:rPr>
        <w:t xml:space="preserve"> includes arbitral proceedings</w:t>
      </w:r>
      <w:r w:rsidR="00C042CB">
        <w:rPr>
          <w:rFonts w:ascii="Arial" w:hAnsi="Arial" w:cs="Arial"/>
          <w:color w:val="7B7B7B" w:themeColor="accent3" w:themeShade="BF"/>
          <w:sz w:val="22"/>
          <w:szCs w:val="22"/>
          <w:lang w:val="en-GB"/>
        </w:rPr>
        <w:t>)</w:t>
      </w:r>
      <w:r w:rsidR="00AC0528">
        <w:rPr>
          <w:rFonts w:ascii="Arial" w:hAnsi="Arial" w:cs="Arial"/>
          <w:color w:val="7B7B7B" w:themeColor="accent3" w:themeShade="BF"/>
          <w:sz w:val="22"/>
          <w:szCs w:val="22"/>
          <w:lang w:val="en-GB"/>
        </w:rPr>
        <w:t xml:space="preserve"> </w:t>
      </w:r>
      <w:r w:rsidR="00B628F5">
        <w:rPr>
          <w:rFonts w:ascii="Arial" w:hAnsi="Arial" w:cs="Arial"/>
          <w:color w:val="7B7B7B" w:themeColor="accent3" w:themeShade="BF"/>
          <w:sz w:val="22"/>
          <w:szCs w:val="22"/>
          <w:lang w:val="en-GB"/>
        </w:rPr>
        <w:t>against the debtor’s assets</w:t>
      </w:r>
      <w:r>
        <w:rPr>
          <w:rFonts w:ascii="Arial" w:hAnsi="Arial" w:cs="Arial"/>
          <w:color w:val="7B7B7B" w:themeColor="accent3" w:themeShade="BF"/>
          <w:sz w:val="22"/>
          <w:szCs w:val="22"/>
          <w:lang w:val="en-GB"/>
        </w:rPr>
        <w:t xml:space="preserve"> or liabilities</w:t>
      </w:r>
      <w:r w:rsidR="00AC052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(2) staying execution against the debtor’s assets</w:t>
      </w:r>
      <w:r w:rsidR="00C042CB">
        <w:rPr>
          <w:rFonts w:ascii="Arial" w:hAnsi="Arial" w:cs="Arial"/>
          <w:color w:val="7B7B7B" w:themeColor="accent3" w:themeShade="BF"/>
          <w:sz w:val="22"/>
          <w:szCs w:val="22"/>
          <w:lang w:val="en-GB"/>
        </w:rPr>
        <w:t xml:space="preserve"> (</w:t>
      </w:r>
      <w:r w:rsidR="00C042CB">
        <w:rPr>
          <w:rFonts w:ascii="Arial" w:hAnsi="Arial" w:cs="Arial"/>
          <w:b/>
          <w:bCs/>
          <w:color w:val="7B7B7B" w:themeColor="accent3" w:themeShade="BF"/>
          <w:sz w:val="22"/>
          <w:szCs w:val="22"/>
          <w:lang w:val="en-GB"/>
        </w:rPr>
        <w:t xml:space="preserve">paragraph 181 GEI </w:t>
      </w:r>
      <w:r w:rsidR="00C042CB">
        <w:rPr>
          <w:rFonts w:ascii="Arial" w:hAnsi="Arial" w:cs="Arial"/>
          <w:color w:val="7B7B7B" w:themeColor="accent3" w:themeShade="BF"/>
          <w:sz w:val="22"/>
          <w:szCs w:val="22"/>
          <w:lang w:val="en-GB"/>
        </w:rPr>
        <w:t>stipulates that the relief includes out-of-court processes)</w:t>
      </w:r>
      <w:r>
        <w:rPr>
          <w:rFonts w:ascii="Arial" w:hAnsi="Arial" w:cs="Arial"/>
          <w:color w:val="7B7B7B" w:themeColor="accent3" w:themeShade="BF"/>
          <w:sz w:val="22"/>
          <w:szCs w:val="22"/>
          <w:lang w:val="en-GB"/>
        </w:rPr>
        <w:t xml:space="preserve">, and (3) suspending the right to transfer, encumber or dispose of the debtor’s assets. </w:t>
      </w:r>
    </w:p>
    <w:p w14:paraId="14B4F613" w14:textId="18A3810C" w:rsidR="007A138D" w:rsidRDefault="007A138D" w:rsidP="00AC0528">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This automatic relief does not affect individual actions or proceedings if they are necessary to preserve a claim, as stipulated under Article 20(3), or does not affect the right to request the commencement of a proceeding as specified under the insolvency laws of the enacting States, under Article 20(4) of the MLCBI.</w:t>
      </w:r>
      <w:r w:rsidR="00AC0528">
        <w:rPr>
          <w:rFonts w:ascii="Arial" w:hAnsi="Arial" w:cs="Arial"/>
          <w:color w:val="7B7B7B" w:themeColor="accent3" w:themeShade="BF"/>
          <w:sz w:val="22"/>
          <w:szCs w:val="22"/>
        </w:rPr>
        <w:t xml:space="preserve"> According to </w:t>
      </w:r>
      <w:r w:rsidR="00AC0528">
        <w:rPr>
          <w:rFonts w:ascii="Arial" w:hAnsi="Arial" w:cs="Arial"/>
          <w:b/>
          <w:bCs/>
          <w:color w:val="7B7B7B" w:themeColor="accent3" w:themeShade="BF"/>
          <w:sz w:val="22"/>
          <w:szCs w:val="22"/>
        </w:rPr>
        <w:t xml:space="preserve">paragraph 188 GEI, </w:t>
      </w:r>
      <w:r w:rsidR="00AC0528">
        <w:rPr>
          <w:rFonts w:ascii="Arial" w:hAnsi="Arial" w:cs="Arial"/>
          <w:color w:val="7B7B7B" w:themeColor="accent3" w:themeShade="BF"/>
          <w:sz w:val="22"/>
          <w:szCs w:val="22"/>
        </w:rPr>
        <w:t>this means that anyone, including the foreign representative may request the commencement of, or participate in, local insolvency proceedings. In that case, the coordination of concurrent proceedings is dealt with under Article 29</w:t>
      </w:r>
      <w:r w:rsidR="00E4584C">
        <w:rPr>
          <w:rFonts w:ascii="Arial" w:hAnsi="Arial" w:cs="Arial"/>
          <w:color w:val="7B7B7B" w:themeColor="accent3" w:themeShade="BF"/>
          <w:sz w:val="22"/>
          <w:szCs w:val="22"/>
        </w:rPr>
        <w:t>, which states that automatic relief does not apply</w:t>
      </w:r>
      <w:r w:rsidR="00AC0528">
        <w:rPr>
          <w:rFonts w:ascii="Arial" w:hAnsi="Arial" w:cs="Arial"/>
          <w:color w:val="7B7B7B" w:themeColor="accent3" w:themeShade="BF"/>
          <w:sz w:val="22"/>
          <w:szCs w:val="22"/>
        </w:rPr>
        <w:t>.</w:t>
      </w:r>
      <w:r w:rsidR="00E4584C">
        <w:rPr>
          <w:rFonts w:ascii="Arial" w:hAnsi="Arial" w:cs="Arial"/>
          <w:color w:val="7B7B7B" w:themeColor="accent3" w:themeShade="BF"/>
          <w:sz w:val="22"/>
          <w:szCs w:val="22"/>
        </w:rPr>
        <w:t xml:space="preserve"> However, as stated in the question above, concurrent proceedings are left out of the scope in this answer.</w:t>
      </w:r>
      <w:r>
        <w:rPr>
          <w:rFonts w:ascii="Arial" w:hAnsi="Arial" w:cs="Arial"/>
          <w:color w:val="7B7B7B" w:themeColor="accent3" w:themeShade="BF"/>
          <w:sz w:val="22"/>
          <w:szCs w:val="22"/>
        </w:rPr>
        <w:t xml:space="preserve"> </w:t>
      </w:r>
    </w:p>
    <w:p w14:paraId="32B1502E" w14:textId="2F8C4E36" w:rsidR="002F5B6B" w:rsidRPr="002F5B6B" w:rsidRDefault="002F5B6B" w:rsidP="00AC0528">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Furthermore, the scope of effects of the automatic relief </w:t>
      </w:r>
      <w:r>
        <w:rPr>
          <w:rFonts w:ascii="Arial" w:hAnsi="Arial" w:cs="Arial"/>
          <w:b/>
          <w:bCs/>
          <w:color w:val="7B7B7B" w:themeColor="accent3" w:themeShade="BF"/>
          <w:sz w:val="22"/>
          <w:szCs w:val="22"/>
        </w:rPr>
        <w:t>depend on the law of the enacting State</w:t>
      </w:r>
      <w:r>
        <w:rPr>
          <w:rFonts w:ascii="Arial" w:hAnsi="Arial" w:cs="Arial"/>
          <w:color w:val="7B7B7B" w:themeColor="accent3" w:themeShade="BF"/>
          <w:sz w:val="22"/>
          <w:szCs w:val="22"/>
        </w:rPr>
        <w:t xml:space="preserve">. According to </w:t>
      </w:r>
      <w:r>
        <w:rPr>
          <w:rFonts w:ascii="Arial" w:hAnsi="Arial" w:cs="Arial"/>
          <w:b/>
          <w:bCs/>
          <w:color w:val="7B7B7B" w:themeColor="accent3" w:themeShade="BF"/>
          <w:sz w:val="22"/>
          <w:szCs w:val="22"/>
        </w:rPr>
        <w:t>paragraph 183 GEI,</w:t>
      </w:r>
      <w:r>
        <w:rPr>
          <w:rFonts w:ascii="Arial" w:hAnsi="Arial" w:cs="Arial"/>
          <w:color w:val="7B7B7B" w:themeColor="accent3" w:themeShade="BF"/>
          <w:sz w:val="22"/>
          <w:szCs w:val="22"/>
        </w:rPr>
        <w:t xml:space="preserve"> the limits and exceptions are stated by the law and may include, among others, the enforcement of secured claims.</w:t>
      </w:r>
    </w:p>
    <w:p w14:paraId="1270CFCF" w14:textId="3032BFC3" w:rsidR="00E4584C" w:rsidRDefault="00E4584C" w:rsidP="00AC0528">
      <w:pPr>
        <w:ind w:firstLine="720"/>
        <w:jc w:val="both"/>
        <w:rPr>
          <w:rFonts w:ascii="Arial" w:hAnsi="Arial" w:cs="Arial"/>
          <w:color w:val="7B7B7B" w:themeColor="accent3" w:themeShade="BF"/>
          <w:sz w:val="22"/>
          <w:szCs w:val="22"/>
        </w:rPr>
      </w:pPr>
    </w:p>
    <w:p w14:paraId="266E5FAD" w14:textId="54E6400A" w:rsidR="00EE7B32" w:rsidRDefault="00D26064" w:rsidP="006413AF">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Lastl</w:t>
      </w:r>
      <w:r w:rsidR="000B03EA">
        <w:rPr>
          <w:rFonts w:ascii="Arial" w:hAnsi="Arial" w:cs="Arial"/>
          <w:color w:val="7B7B7B" w:themeColor="accent3" w:themeShade="BF"/>
          <w:sz w:val="22"/>
          <w:szCs w:val="22"/>
        </w:rPr>
        <w:t xml:space="preserve">y, </w:t>
      </w:r>
      <w:r w:rsidR="000B03EA">
        <w:rPr>
          <w:rFonts w:ascii="Arial" w:hAnsi="Arial" w:cs="Arial"/>
          <w:b/>
          <w:bCs/>
          <w:color w:val="7B7B7B" w:themeColor="accent3" w:themeShade="BF"/>
          <w:sz w:val="22"/>
          <w:szCs w:val="22"/>
        </w:rPr>
        <w:t xml:space="preserve">Article 21 </w:t>
      </w:r>
      <w:r w:rsidR="006413AF">
        <w:rPr>
          <w:rFonts w:ascii="Arial" w:hAnsi="Arial" w:cs="Arial"/>
          <w:color w:val="7B7B7B" w:themeColor="accent3" w:themeShade="BF"/>
          <w:sz w:val="22"/>
          <w:szCs w:val="22"/>
        </w:rPr>
        <w:t xml:space="preserve">MLCBI provides for the option to grant </w:t>
      </w:r>
      <w:r w:rsidR="006413AF">
        <w:rPr>
          <w:rFonts w:ascii="Arial" w:hAnsi="Arial" w:cs="Arial"/>
          <w:b/>
          <w:bCs/>
          <w:color w:val="7B7B7B" w:themeColor="accent3" w:themeShade="BF"/>
          <w:sz w:val="22"/>
          <w:szCs w:val="22"/>
        </w:rPr>
        <w:t>post-recognition discretionary relief</w:t>
      </w:r>
      <w:r w:rsidR="006413AF">
        <w:rPr>
          <w:rFonts w:ascii="Arial" w:hAnsi="Arial" w:cs="Arial"/>
          <w:color w:val="7B7B7B" w:themeColor="accent3" w:themeShade="BF"/>
          <w:sz w:val="22"/>
          <w:szCs w:val="22"/>
        </w:rPr>
        <w:t xml:space="preserve"> upon recognizing a </w:t>
      </w:r>
      <w:r w:rsidR="006413AF" w:rsidRPr="00EE7B32">
        <w:rPr>
          <w:rFonts w:ascii="Arial" w:hAnsi="Arial" w:cs="Arial"/>
          <w:b/>
          <w:bCs/>
          <w:color w:val="7B7B7B" w:themeColor="accent3" w:themeShade="BF"/>
          <w:sz w:val="22"/>
          <w:szCs w:val="22"/>
        </w:rPr>
        <w:t>foreign main or non</w:t>
      </w:r>
      <w:r w:rsidR="006413AF">
        <w:rPr>
          <w:rFonts w:ascii="Arial" w:hAnsi="Arial" w:cs="Arial"/>
          <w:b/>
          <w:bCs/>
          <w:color w:val="7B7B7B" w:themeColor="accent3" w:themeShade="BF"/>
          <w:sz w:val="22"/>
          <w:szCs w:val="22"/>
        </w:rPr>
        <w:t>-main proceeding</w:t>
      </w:r>
      <w:r w:rsidR="006413AF">
        <w:rPr>
          <w:rFonts w:ascii="Arial" w:hAnsi="Arial" w:cs="Arial"/>
          <w:color w:val="7B7B7B" w:themeColor="accent3" w:themeShade="BF"/>
          <w:sz w:val="22"/>
          <w:szCs w:val="22"/>
        </w:rPr>
        <w:t xml:space="preserve">. Under Article 21(1) MLCBI, if </w:t>
      </w:r>
      <w:r w:rsidR="00EE7B32">
        <w:rPr>
          <w:rFonts w:ascii="Arial" w:hAnsi="Arial" w:cs="Arial"/>
          <w:color w:val="7B7B7B" w:themeColor="accent3" w:themeShade="BF"/>
          <w:sz w:val="22"/>
          <w:szCs w:val="22"/>
        </w:rPr>
        <w:t>it is n</w:t>
      </w:r>
      <w:r w:rsidR="006413AF" w:rsidRPr="006413AF">
        <w:rPr>
          <w:rFonts w:ascii="Arial" w:hAnsi="Arial" w:cs="Arial"/>
          <w:color w:val="7B7B7B" w:themeColor="accent3" w:themeShade="BF"/>
          <w:sz w:val="22"/>
          <w:szCs w:val="22"/>
        </w:rPr>
        <w:t xml:space="preserve">ecessary to protect the assets of the debtor or the interests of the creditors, </w:t>
      </w:r>
      <w:r w:rsidR="00EE7B32">
        <w:rPr>
          <w:rFonts w:ascii="Arial" w:hAnsi="Arial" w:cs="Arial"/>
          <w:color w:val="7B7B7B" w:themeColor="accent3" w:themeShade="BF"/>
          <w:sz w:val="22"/>
          <w:szCs w:val="22"/>
        </w:rPr>
        <w:t xml:space="preserve">the court may grant such relief upon request of the representative. These include the following: (1) stay </w:t>
      </w:r>
      <w:r w:rsidR="006413AF" w:rsidRPr="006413AF">
        <w:rPr>
          <w:rFonts w:ascii="Arial" w:hAnsi="Arial" w:cs="Arial"/>
          <w:color w:val="7B7B7B" w:themeColor="accent3" w:themeShade="BF"/>
          <w:sz w:val="22"/>
          <w:szCs w:val="22"/>
        </w:rPr>
        <w:t xml:space="preserve">the commencement or continuation of individual actions or proceedings concerning the debtor’s assets, rights, obligations or liabilities, </w:t>
      </w:r>
      <w:r w:rsidR="00EE7B32">
        <w:rPr>
          <w:rFonts w:ascii="Arial" w:hAnsi="Arial" w:cs="Arial"/>
          <w:color w:val="7B7B7B" w:themeColor="accent3" w:themeShade="BF"/>
          <w:sz w:val="22"/>
          <w:szCs w:val="22"/>
        </w:rPr>
        <w:t>(2) stay the</w:t>
      </w:r>
      <w:r w:rsidR="006413AF" w:rsidRPr="006413AF">
        <w:rPr>
          <w:rFonts w:ascii="Arial" w:hAnsi="Arial" w:cs="Arial"/>
          <w:color w:val="7B7B7B" w:themeColor="accent3" w:themeShade="BF"/>
          <w:sz w:val="22"/>
          <w:szCs w:val="22"/>
        </w:rPr>
        <w:t xml:space="preserve"> execution against the debtor’s assets</w:t>
      </w:r>
      <w:r w:rsidR="00EE7B32">
        <w:rPr>
          <w:rFonts w:ascii="Arial" w:hAnsi="Arial" w:cs="Arial"/>
          <w:color w:val="7B7B7B" w:themeColor="accent3" w:themeShade="BF"/>
          <w:sz w:val="22"/>
          <w:szCs w:val="22"/>
        </w:rPr>
        <w:t xml:space="preserve">, (3) </w:t>
      </w:r>
      <w:r w:rsidR="006413AF" w:rsidRPr="006413AF">
        <w:rPr>
          <w:rFonts w:ascii="Arial" w:hAnsi="Arial" w:cs="Arial"/>
          <w:color w:val="7B7B7B" w:themeColor="accent3" w:themeShade="BF"/>
          <w:sz w:val="22"/>
          <w:szCs w:val="22"/>
        </w:rPr>
        <w:t xml:space="preserve"> </w:t>
      </w:r>
      <w:r w:rsidR="00EE7B32">
        <w:rPr>
          <w:rFonts w:ascii="Arial" w:hAnsi="Arial" w:cs="Arial"/>
          <w:color w:val="7B7B7B" w:themeColor="accent3" w:themeShade="BF"/>
          <w:sz w:val="22"/>
          <w:szCs w:val="22"/>
        </w:rPr>
        <w:t xml:space="preserve">suspend </w:t>
      </w:r>
      <w:r w:rsidR="006413AF" w:rsidRPr="006413AF">
        <w:rPr>
          <w:rFonts w:ascii="Arial" w:hAnsi="Arial" w:cs="Arial"/>
          <w:color w:val="7B7B7B" w:themeColor="accent3" w:themeShade="BF"/>
          <w:sz w:val="22"/>
          <w:szCs w:val="22"/>
        </w:rPr>
        <w:t>the right to transfer, encumber or dispose of</w:t>
      </w:r>
      <w:r w:rsidR="00EE7B32">
        <w:rPr>
          <w:rFonts w:ascii="Arial" w:hAnsi="Arial" w:cs="Arial"/>
          <w:color w:val="7B7B7B" w:themeColor="accent3" w:themeShade="BF"/>
          <w:sz w:val="22"/>
          <w:szCs w:val="22"/>
        </w:rPr>
        <w:t xml:space="preserve"> the debtor’s </w:t>
      </w:r>
      <w:r w:rsidR="006413AF" w:rsidRPr="006413AF">
        <w:rPr>
          <w:rFonts w:ascii="Arial" w:hAnsi="Arial" w:cs="Arial"/>
          <w:color w:val="7B7B7B" w:themeColor="accent3" w:themeShade="BF"/>
          <w:sz w:val="22"/>
          <w:szCs w:val="22"/>
        </w:rPr>
        <w:t>assets</w:t>
      </w:r>
      <w:r w:rsidR="00EE7B32">
        <w:rPr>
          <w:rFonts w:ascii="Arial" w:hAnsi="Arial" w:cs="Arial"/>
          <w:color w:val="7B7B7B" w:themeColor="accent3" w:themeShade="BF"/>
          <w:sz w:val="22"/>
          <w:szCs w:val="22"/>
        </w:rPr>
        <w:t>, (4) provide for examination of witnesses, taking information, or providing information regarding the debtor’s assets, (5) entrust</w:t>
      </w:r>
      <w:r w:rsidR="006413AF" w:rsidRPr="006413AF">
        <w:rPr>
          <w:rFonts w:ascii="Arial" w:hAnsi="Arial" w:cs="Arial"/>
          <w:color w:val="7B7B7B" w:themeColor="accent3" w:themeShade="BF"/>
          <w:sz w:val="22"/>
          <w:szCs w:val="22"/>
        </w:rPr>
        <w:t xml:space="preserve"> the administration </w:t>
      </w:r>
      <w:r w:rsidR="00EE7B32">
        <w:rPr>
          <w:rFonts w:ascii="Arial" w:hAnsi="Arial" w:cs="Arial"/>
          <w:color w:val="7B7B7B" w:themeColor="accent3" w:themeShade="BF"/>
          <w:sz w:val="22"/>
          <w:szCs w:val="22"/>
        </w:rPr>
        <w:t>of local assets</w:t>
      </w:r>
      <w:r w:rsidR="00615A8A">
        <w:rPr>
          <w:rFonts w:ascii="Arial" w:hAnsi="Arial" w:cs="Arial"/>
          <w:color w:val="7B7B7B" w:themeColor="accent3" w:themeShade="BF"/>
          <w:sz w:val="22"/>
          <w:szCs w:val="22"/>
        </w:rPr>
        <w:t xml:space="preserve"> – ie turnover of assets –</w:t>
      </w:r>
      <w:r w:rsidR="00EE7B32">
        <w:rPr>
          <w:rFonts w:ascii="Arial" w:hAnsi="Arial" w:cs="Arial"/>
          <w:color w:val="7B7B7B" w:themeColor="accent3" w:themeShade="BF"/>
          <w:sz w:val="22"/>
          <w:szCs w:val="22"/>
        </w:rPr>
        <w:t xml:space="preserve"> to</w:t>
      </w:r>
      <w:r w:rsidR="00615A8A">
        <w:rPr>
          <w:rFonts w:ascii="Arial" w:hAnsi="Arial" w:cs="Arial"/>
          <w:color w:val="7B7B7B" w:themeColor="accent3" w:themeShade="BF"/>
          <w:sz w:val="22"/>
          <w:szCs w:val="22"/>
        </w:rPr>
        <w:t xml:space="preserve"> </w:t>
      </w:r>
      <w:r w:rsidR="00EE7B32">
        <w:rPr>
          <w:rFonts w:ascii="Arial" w:hAnsi="Arial" w:cs="Arial"/>
          <w:color w:val="7B7B7B" w:themeColor="accent3" w:themeShade="BF"/>
          <w:sz w:val="22"/>
          <w:szCs w:val="22"/>
        </w:rPr>
        <w:t xml:space="preserve">the foreign representative, (6) extend the relief granted under Article 19 MLCBI, or (7) grant any additional relief. </w:t>
      </w:r>
      <w:r w:rsidR="00615A8A">
        <w:rPr>
          <w:rFonts w:ascii="Arial" w:hAnsi="Arial" w:cs="Arial"/>
          <w:color w:val="7B7B7B" w:themeColor="accent3" w:themeShade="BF"/>
          <w:sz w:val="22"/>
          <w:szCs w:val="22"/>
        </w:rPr>
        <w:t xml:space="preserve">It is clear from the above that the relief is really tailored to the case at hand. </w:t>
      </w:r>
      <w:r w:rsidR="00615A8A" w:rsidRPr="00615A8A">
        <w:rPr>
          <w:rFonts w:ascii="Arial" w:hAnsi="Arial" w:cs="Arial"/>
          <w:color w:val="7B7B7B" w:themeColor="accent3" w:themeShade="BF"/>
          <w:sz w:val="22"/>
          <w:szCs w:val="22"/>
        </w:rPr>
        <w:t xml:space="preserve">It is in the nature of discretionary relief that the court may tailor it to the case at hand. </w:t>
      </w:r>
      <w:r w:rsidR="00615A8A">
        <w:rPr>
          <w:rFonts w:ascii="Arial" w:hAnsi="Arial" w:cs="Arial"/>
          <w:color w:val="7B7B7B" w:themeColor="accent3" w:themeShade="BF"/>
          <w:sz w:val="22"/>
          <w:szCs w:val="22"/>
        </w:rPr>
        <w:t>This tailor-made relief is once more confirmed in Article 22 MLCBI, which states that the court may subject the relief to the conditions it deems appropriate.</w:t>
      </w:r>
    </w:p>
    <w:p w14:paraId="1C8BA7C5" w14:textId="2AF468DD" w:rsidR="00615A8A" w:rsidRDefault="00615A8A" w:rsidP="006413AF">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limit to the turnover of assets as stipulated in Article 21(1)(e) is stated in Article 21(2) MLCBI. The safeguard regarding </w:t>
      </w:r>
      <w:r w:rsidR="00CA0DF2">
        <w:rPr>
          <w:rFonts w:ascii="Arial" w:hAnsi="Arial" w:cs="Arial"/>
          <w:color w:val="7B7B7B" w:themeColor="accent3" w:themeShade="BF"/>
          <w:sz w:val="22"/>
          <w:szCs w:val="22"/>
        </w:rPr>
        <w:t xml:space="preserve">the protections of local interests </w:t>
      </w:r>
      <w:r w:rsidR="00A902DD">
        <w:rPr>
          <w:rFonts w:ascii="Arial" w:hAnsi="Arial" w:cs="Arial"/>
          <w:color w:val="7B7B7B" w:themeColor="accent3" w:themeShade="BF"/>
          <w:sz w:val="22"/>
          <w:szCs w:val="22"/>
        </w:rPr>
        <w:t>need to be</w:t>
      </w:r>
      <w:r w:rsidR="00CA0DF2">
        <w:rPr>
          <w:rFonts w:ascii="Arial" w:hAnsi="Arial" w:cs="Arial"/>
          <w:color w:val="7B7B7B" w:themeColor="accent3" w:themeShade="BF"/>
          <w:sz w:val="22"/>
          <w:szCs w:val="22"/>
        </w:rPr>
        <w:t xml:space="preserve"> satisfied, before the Court authorizes the turnover of assets.</w:t>
      </w:r>
    </w:p>
    <w:p w14:paraId="317BEB3C" w14:textId="6B32ACA1" w:rsidR="00A902DD" w:rsidRDefault="00A902DD" w:rsidP="00A902DD">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According to </w:t>
      </w:r>
      <w:r>
        <w:rPr>
          <w:rFonts w:ascii="Arial" w:hAnsi="Arial" w:cs="Arial"/>
          <w:b/>
          <w:bCs/>
          <w:color w:val="7B7B7B" w:themeColor="accent3" w:themeShade="BF"/>
          <w:sz w:val="22"/>
          <w:szCs w:val="22"/>
        </w:rPr>
        <w:t>paragraph 193 GEI</w:t>
      </w:r>
      <w:r>
        <w:rPr>
          <w:rFonts w:ascii="Arial" w:hAnsi="Arial" w:cs="Arial"/>
          <w:color w:val="7B7B7B" w:themeColor="accent3" w:themeShade="BF"/>
          <w:sz w:val="22"/>
          <w:szCs w:val="22"/>
        </w:rPr>
        <w:t xml:space="preserve"> the interests and foreign representative of a non-main proceeding are narrower than in a main proceeding. As such, Article 21(3) MLCBI provides that a relief granted to a non-main proceeding should be limited to the assets that need to be administered in that proceeding and that if the representative seeks information, it should be limited to the information required for that proceeding. </w:t>
      </w:r>
    </w:p>
    <w:p w14:paraId="12158E9B" w14:textId="77777777" w:rsidR="00A902DD" w:rsidRPr="009B5832" w:rsidRDefault="00A902DD" w:rsidP="00A902DD">
      <w:pPr>
        <w:ind w:firstLine="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358387E4" w:rsidR="00980314" w:rsidRDefault="00D26064" w:rsidP="00D26064">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reason for a worldwide freezing order under Article 19 MLCBI as a the pre-recognition interim relief not to continue under the post-recognition relief granted on the basis of Article 21 MLCBI is due to the </w:t>
      </w:r>
      <w:r w:rsidRPr="00D26064">
        <w:rPr>
          <w:rFonts w:ascii="Arial" w:hAnsi="Arial" w:cs="Arial"/>
          <w:b/>
          <w:bCs/>
          <w:color w:val="7B7B7B" w:themeColor="accent3" w:themeShade="BF"/>
          <w:sz w:val="22"/>
          <w:szCs w:val="22"/>
          <w:lang w:val="en-GB"/>
        </w:rPr>
        <w:t>safeguard clauses</w:t>
      </w:r>
      <w:r>
        <w:rPr>
          <w:rFonts w:ascii="Arial" w:hAnsi="Arial" w:cs="Arial"/>
          <w:color w:val="7B7B7B" w:themeColor="accent3" w:themeShade="BF"/>
          <w:sz w:val="22"/>
          <w:szCs w:val="22"/>
          <w:lang w:val="en-GB"/>
        </w:rPr>
        <w:t>.</w:t>
      </w:r>
    </w:p>
    <w:p w14:paraId="5B3CC2E8" w14:textId="1E91CEE7" w:rsidR="00E62817" w:rsidRPr="00E62817" w:rsidRDefault="00D26064" w:rsidP="00E62817">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These safeguard clauses are codified under </w:t>
      </w:r>
      <w:r w:rsidRPr="00D26064">
        <w:rPr>
          <w:rFonts w:ascii="Arial" w:hAnsi="Arial" w:cs="Arial"/>
          <w:b/>
          <w:bCs/>
          <w:color w:val="7B7B7B" w:themeColor="accent3" w:themeShade="BF"/>
          <w:sz w:val="22"/>
          <w:szCs w:val="22"/>
          <w:lang w:val="en-GB"/>
        </w:rPr>
        <w:t>Article 21(2)</w:t>
      </w:r>
      <w:r>
        <w:rPr>
          <w:rFonts w:ascii="Arial" w:hAnsi="Arial" w:cs="Arial"/>
          <w:b/>
          <w:bCs/>
          <w:color w:val="7B7B7B" w:themeColor="accent3" w:themeShade="BF"/>
          <w:sz w:val="22"/>
          <w:szCs w:val="22"/>
          <w:lang w:val="en-GB"/>
        </w:rPr>
        <w:t xml:space="preserve"> and 22 MLCBI.</w:t>
      </w:r>
      <w:r w:rsidR="004A422D">
        <w:rPr>
          <w:rFonts w:ascii="Arial" w:hAnsi="Arial" w:cs="Arial"/>
          <w:color w:val="7B7B7B" w:themeColor="accent3" w:themeShade="BF"/>
          <w:sz w:val="22"/>
          <w:szCs w:val="22"/>
          <w:lang w:val="en-GB"/>
        </w:rPr>
        <w:t xml:space="preserve"> When granting tailored made relief, a </w:t>
      </w:r>
      <w:r w:rsidR="004A422D">
        <w:rPr>
          <w:rFonts w:ascii="Arial" w:hAnsi="Arial" w:cs="Arial"/>
          <w:b/>
          <w:bCs/>
          <w:color w:val="7B7B7B" w:themeColor="accent3" w:themeShade="BF"/>
          <w:sz w:val="22"/>
          <w:szCs w:val="22"/>
          <w:lang w:val="en-GB"/>
        </w:rPr>
        <w:t xml:space="preserve">balance of interests </w:t>
      </w:r>
      <w:r w:rsidR="004A422D">
        <w:rPr>
          <w:rFonts w:ascii="Arial" w:hAnsi="Arial" w:cs="Arial"/>
          <w:color w:val="7B7B7B" w:themeColor="accent3" w:themeShade="BF"/>
          <w:sz w:val="22"/>
          <w:szCs w:val="22"/>
          <w:lang w:val="en-GB"/>
        </w:rPr>
        <w:t>should be ensured</w:t>
      </w:r>
      <w:r w:rsidR="007D08F0">
        <w:rPr>
          <w:rFonts w:ascii="Arial" w:hAnsi="Arial" w:cs="Arial"/>
          <w:color w:val="7B7B7B" w:themeColor="accent3" w:themeShade="BF"/>
          <w:sz w:val="22"/>
          <w:szCs w:val="22"/>
          <w:lang w:val="en-GB"/>
        </w:rPr>
        <w:t xml:space="preserve">, namely a balance between </w:t>
      </w:r>
      <w:r w:rsidR="007D08F0">
        <w:rPr>
          <w:rFonts w:ascii="Arial" w:hAnsi="Arial" w:cs="Arial"/>
          <w:color w:val="7B7B7B" w:themeColor="accent3" w:themeShade="BF"/>
          <w:sz w:val="22"/>
          <w:szCs w:val="22"/>
        </w:rPr>
        <w:t>the</w:t>
      </w:r>
      <w:r w:rsidR="007D08F0" w:rsidRPr="007D08F0">
        <w:rPr>
          <w:rFonts w:ascii="Arial" w:hAnsi="Arial" w:cs="Arial"/>
          <w:color w:val="7B7B7B" w:themeColor="accent3" w:themeShade="BF"/>
          <w:sz w:val="22"/>
          <w:szCs w:val="22"/>
        </w:rPr>
        <w:t xml:space="preserve"> relief granted to the foreign representative and the interests of the persons that may be affected </w:t>
      </w:r>
      <w:r w:rsidR="007D08F0">
        <w:rPr>
          <w:rFonts w:ascii="Arial" w:hAnsi="Arial" w:cs="Arial"/>
          <w:color w:val="7B7B7B" w:themeColor="accent3" w:themeShade="BF"/>
          <w:sz w:val="22"/>
          <w:szCs w:val="22"/>
        </w:rPr>
        <w:t xml:space="preserve">it, see </w:t>
      </w:r>
      <w:r w:rsidR="007D08F0">
        <w:rPr>
          <w:rFonts w:ascii="Arial" w:hAnsi="Arial" w:cs="Arial"/>
          <w:b/>
          <w:bCs/>
          <w:color w:val="7B7B7B" w:themeColor="accent3" w:themeShade="BF"/>
          <w:sz w:val="22"/>
          <w:szCs w:val="22"/>
        </w:rPr>
        <w:t xml:space="preserve">paragraph 196 GEI. </w:t>
      </w:r>
      <w:r w:rsidR="004A422D">
        <w:rPr>
          <w:rFonts w:ascii="Arial" w:hAnsi="Arial" w:cs="Arial"/>
          <w:color w:val="7B7B7B" w:themeColor="accent3" w:themeShade="BF"/>
          <w:sz w:val="22"/>
          <w:szCs w:val="22"/>
          <w:lang w:val="en-GB"/>
        </w:rPr>
        <w:t>The court should assess whether the (local) interests of creditors and other interested persons are sufficiently protected</w:t>
      </w:r>
      <w:r w:rsidR="00E62817">
        <w:rPr>
          <w:rFonts w:ascii="Arial" w:hAnsi="Arial" w:cs="Arial"/>
          <w:color w:val="7B7B7B" w:themeColor="accent3" w:themeShade="BF"/>
          <w:sz w:val="22"/>
          <w:szCs w:val="22"/>
          <w:lang w:val="en-GB"/>
        </w:rPr>
        <w:t xml:space="preserve"> when granting the relief</w:t>
      </w:r>
      <w:r w:rsidR="007D08F0">
        <w:rPr>
          <w:rFonts w:ascii="Arial" w:hAnsi="Arial" w:cs="Arial"/>
          <w:color w:val="7B7B7B" w:themeColor="accent3" w:themeShade="BF"/>
          <w:sz w:val="22"/>
          <w:szCs w:val="22"/>
          <w:lang w:val="en-GB"/>
        </w:rPr>
        <w:t xml:space="preserve">, see </w:t>
      </w:r>
      <w:r w:rsidR="007D08F0">
        <w:rPr>
          <w:rFonts w:ascii="Arial" w:hAnsi="Arial" w:cs="Arial"/>
          <w:b/>
          <w:bCs/>
          <w:color w:val="7B7B7B" w:themeColor="accent3" w:themeShade="BF"/>
          <w:sz w:val="22"/>
          <w:szCs w:val="22"/>
          <w:lang w:val="en-GB"/>
        </w:rPr>
        <w:t>paragraph 19</w:t>
      </w:r>
      <w:r w:rsidR="00F21E32">
        <w:rPr>
          <w:rFonts w:ascii="Arial" w:hAnsi="Arial" w:cs="Arial"/>
          <w:b/>
          <w:bCs/>
          <w:color w:val="7B7B7B" w:themeColor="accent3" w:themeShade="BF"/>
          <w:sz w:val="22"/>
          <w:szCs w:val="22"/>
          <w:lang w:val="en-GB"/>
        </w:rPr>
        <w:t>8-19</w:t>
      </w:r>
      <w:r w:rsidR="007D08F0">
        <w:rPr>
          <w:rFonts w:ascii="Arial" w:hAnsi="Arial" w:cs="Arial"/>
          <w:b/>
          <w:bCs/>
          <w:color w:val="7B7B7B" w:themeColor="accent3" w:themeShade="BF"/>
          <w:sz w:val="22"/>
          <w:szCs w:val="22"/>
          <w:lang w:val="en-GB"/>
        </w:rPr>
        <w:t>9 GEI</w:t>
      </w:r>
      <w:r w:rsidR="004A422D">
        <w:rPr>
          <w:rFonts w:ascii="Arial" w:hAnsi="Arial" w:cs="Arial"/>
          <w:color w:val="7B7B7B" w:themeColor="accent3" w:themeShade="BF"/>
          <w:sz w:val="22"/>
          <w:szCs w:val="22"/>
          <w:lang w:val="en-GB"/>
        </w:rPr>
        <w:t xml:space="preserve">.  </w:t>
      </w:r>
      <w:r w:rsidR="00E62817">
        <w:rPr>
          <w:rFonts w:ascii="Arial" w:hAnsi="Arial" w:cs="Arial"/>
          <w:color w:val="7B7B7B" w:themeColor="accent3" w:themeShade="BF"/>
          <w:sz w:val="22"/>
          <w:szCs w:val="22"/>
          <w:lang w:val="en-GB"/>
        </w:rPr>
        <w:t>T</w:t>
      </w:r>
      <w:r w:rsidR="00E62817">
        <w:rPr>
          <w:rFonts w:ascii="Arial" w:hAnsi="Arial" w:cs="Arial"/>
          <w:color w:val="7B7B7B" w:themeColor="accent3" w:themeShade="BF"/>
          <w:sz w:val="22"/>
          <w:szCs w:val="22"/>
        </w:rPr>
        <w:t>he court may subject the relief granted under Article 19 and 21 to conditions it deems appropriate, see Article 22(2) MLCBI.</w:t>
      </w:r>
    </w:p>
    <w:p w14:paraId="5962A9BC" w14:textId="139F4DF1" w:rsidR="00980314" w:rsidRDefault="00E62817" w:rsidP="00E62817">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Furthermore, under Article 22(3) MLCBI, t</w:t>
      </w:r>
      <w:r w:rsidR="004A422D" w:rsidRPr="004A422D">
        <w:rPr>
          <w:rFonts w:ascii="Arial" w:hAnsi="Arial" w:cs="Arial"/>
          <w:color w:val="7B7B7B" w:themeColor="accent3" w:themeShade="BF"/>
          <w:sz w:val="22"/>
          <w:szCs w:val="22"/>
        </w:rPr>
        <w:t>he court may</w:t>
      </w:r>
      <w:r>
        <w:rPr>
          <w:rFonts w:ascii="Arial" w:hAnsi="Arial" w:cs="Arial"/>
          <w:color w:val="7B7B7B" w:themeColor="accent3" w:themeShade="BF"/>
          <w:sz w:val="22"/>
          <w:szCs w:val="22"/>
        </w:rPr>
        <w:t xml:space="preserve"> at its own motion or upon the request of (the foreign representative</w:t>
      </w:r>
      <w:r w:rsidR="0028216D">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or</w:t>
      </w:r>
      <w:r w:rsidR="0028216D">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the person affected by the granted relief, modify or terminate the relief.</w:t>
      </w:r>
    </w:p>
    <w:p w14:paraId="6A45DBB4" w14:textId="2AB5D504" w:rsidR="00E62817" w:rsidRPr="009B5832" w:rsidRDefault="00E62817" w:rsidP="00E62817">
      <w:pPr>
        <w:ind w:firstLine="720"/>
        <w:jc w:val="both"/>
        <w:rPr>
          <w:rFonts w:ascii="Arial" w:hAnsi="Arial" w:cs="Arial"/>
          <w:sz w:val="22"/>
          <w:szCs w:val="22"/>
          <w:lang w:val="en-GB"/>
        </w:rPr>
      </w:pPr>
      <w:r>
        <w:rPr>
          <w:rFonts w:ascii="Arial" w:hAnsi="Arial" w:cs="Arial"/>
          <w:color w:val="7B7B7B" w:themeColor="accent3" w:themeShade="BF"/>
          <w:sz w:val="22"/>
          <w:szCs w:val="22"/>
        </w:rPr>
        <w:t>A worldwide freezing order is a serious relief with a potentially large impact on creditors and hence it is highly unlikely that such a balance of interests can be achieved. In any case, an affected creditor may always request the court to modify or terminate such a</w:t>
      </w:r>
      <w:r w:rsidR="00A240B8">
        <w:rPr>
          <w:rFonts w:ascii="Arial" w:hAnsi="Arial" w:cs="Arial"/>
          <w:color w:val="7B7B7B" w:themeColor="accent3" w:themeShade="BF"/>
          <w:sz w:val="22"/>
          <w:szCs w:val="22"/>
        </w:rPr>
        <w:t xml:space="preserve"> freezing order. As such, for the sake of protecting and balancing interested of all stakeholders, the worldwide freezing order is unlikely to continue post-recognition.</w:t>
      </w: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7410CF48" w14:textId="77777777" w:rsidR="00647A4F" w:rsidRDefault="00647A4F" w:rsidP="008A7470">
      <w:pPr>
        <w:jc w:val="both"/>
        <w:rPr>
          <w:rFonts w:ascii="Arial" w:hAnsi="Arial" w:cs="Arial"/>
          <w:b/>
          <w:bCs/>
          <w:sz w:val="22"/>
          <w:szCs w:val="22"/>
          <w:lang w:val="en-GB"/>
        </w:rPr>
      </w:pPr>
    </w:p>
    <w:p w14:paraId="5199ECB1" w14:textId="7D7E5F09"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2B8679E6" w14:textId="77777777" w:rsidR="00847034" w:rsidRDefault="00847034" w:rsidP="00707FC8">
      <w:pPr>
        <w:jc w:val="both"/>
        <w:rPr>
          <w:rFonts w:ascii="Arial" w:hAnsi="Arial" w:cs="Arial"/>
          <w:sz w:val="22"/>
          <w:szCs w:val="22"/>
          <w:lang w:val="en-GB"/>
        </w:rPr>
      </w:pPr>
    </w:p>
    <w:p w14:paraId="6EA56D79" w14:textId="67274F29" w:rsidR="005A051A" w:rsidRDefault="005A051A" w:rsidP="0018709F">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This essay will take the following structure: (1) identify the relevant provisions of the MLCBI, </w:t>
      </w:r>
      <w:r w:rsidR="00EE167B">
        <w:rPr>
          <w:rFonts w:ascii="Arial" w:hAnsi="Arial" w:cs="Arial"/>
          <w:color w:val="7B7B7B" w:themeColor="accent3" w:themeShade="BF"/>
          <w:sz w:val="22"/>
          <w:szCs w:val="22"/>
          <w:lang w:val="en-GB"/>
        </w:rPr>
        <w:t>list</w:t>
      </w:r>
      <w:r>
        <w:rPr>
          <w:rFonts w:ascii="Arial" w:hAnsi="Arial" w:cs="Arial"/>
          <w:color w:val="7B7B7B" w:themeColor="accent3" w:themeShade="BF"/>
          <w:sz w:val="22"/>
          <w:szCs w:val="22"/>
          <w:lang w:val="en-GB"/>
        </w:rPr>
        <w:t xml:space="preserve"> the clarifications in t</w:t>
      </w:r>
      <w:r>
        <w:rPr>
          <w:rFonts w:ascii="Arial" w:hAnsi="Arial" w:cs="Arial"/>
          <w:color w:val="7B7B7B" w:themeColor="accent3" w:themeShade="BF"/>
          <w:sz w:val="22"/>
          <w:szCs w:val="22"/>
        </w:rPr>
        <w:t>he Guide to Enactment and Interpretation (</w:t>
      </w:r>
      <w:r w:rsidR="00EE167B">
        <w:rPr>
          <w:rFonts w:ascii="Arial" w:hAnsi="Arial" w:cs="Arial"/>
          <w:color w:val="7B7B7B" w:themeColor="accent3" w:themeShade="BF"/>
          <w:sz w:val="22"/>
          <w:szCs w:val="22"/>
        </w:rPr>
        <w:t>“</w:t>
      </w:r>
      <w:r>
        <w:rPr>
          <w:rFonts w:ascii="Arial" w:hAnsi="Arial" w:cs="Arial"/>
          <w:color w:val="7B7B7B" w:themeColor="accent3" w:themeShade="BF"/>
          <w:sz w:val="22"/>
          <w:szCs w:val="22"/>
        </w:rPr>
        <w:t>GEI</w:t>
      </w:r>
      <w:r w:rsidR="00EE167B">
        <w:rPr>
          <w:rFonts w:ascii="Arial" w:hAnsi="Arial" w:cs="Arial"/>
          <w:color w:val="7B7B7B" w:themeColor="accent3" w:themeShade="BF"/>
          <w:sz w:val="22"/>
          <w:szCs w:val="22"/>
        </w:rPr>
        <w:t>”</w:t>
      </w:r>
      <w:r>
        <w:rPr>
          <w:rFonts w:ascii="Arial" w:hAnsi="Arial" w:cs="Arial"/>
          <w:color w:val="7B7B7B" w:themeColor="accent3" w:themeShade="BF"/>
          <w:sz w:val="22"/>
          <w:szCs w:val="22"/>
        </w:rPr>
        <w:t>) and the Judicial Perspective (“JP”) for further guidance, and use examples from caselaw</w:t>
      </w:r>
      <w:r w:rsidR="00EE167B">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004E78DA">
        <w:rPr>
          <w:rFonts w:ascii="Arial" w:hAnsi="Arial" w:cs="Arial"/>
          <w:color w:val="7B7B7B" w:themeColor="accent3" w:themeShade="BF"/>
          <w:sz w:val="22"/>
          <w:szCs w:val="22"/>
        </w:rPr>
        <w:t>(2)</w:t>
      </w:r>
      <w:r>
        <w:rPr>
          <w:rFonts w:ascii="Arial" w:hAnsi="Arial" w:cs="Arial"/>
          <w:color w:val="7B7B7B" w:themeColor="accent3" w:themeShade="BF"/>
          <w:sz w:val="22"/>
          <w:szCs w:val="22"/>
        </w:rPr>
        <w:t xml:space="preserve"> per criteri</w:t>
      </w:r>
      <w:r w:rsidR="004E78DA">
        <w:rPr>
          <w:rFonts w:ascii="Arial" w:hAnsi="Arial" w:cs="Arial"/>
          <w:color w:val="7B7B7B" w:themeColor="accent3" w:themeShade="BF"/>
          <w:sz w:val="22"/>
          <w:szCs w:val="22"/>
        </w:rPr>
        <w:t>um</w:t>
      </w:r>
      <w:r>
        <w:rPr>
          <w:rFonts w:ascii="Arial" w:hAnsi="Arial" w:cs="Arial"/>
          <w:color w:val="7B7B7B" w:themeColor="accent3" w:themeShade="BF"/>
          <w:sz w:val="22"/>
          <w:szCs w:val="22"/>
        </w:rPr>
        <w:t>, apply this knowledge to the facts of the case</w:t>
      </w:r>
      <w:r w:rsidR="004E78DA">
        <w:rPr>
          <w:rFonts w:ascii="Arial" w:hAnsi="Arial" w:cs="Arial"/>
          <w:color w:val="7B7B7B" w:themeColor="accent3" w:themeShade="BF"/>
          <w:sz w:val="22"/>
          <w:szCs w:val="22"/>
        </w:rPr>
        <w:t xml:space="preserve">, (3) </w:t>
      </w:r>
      <w:r w:rsidR="00EE167B">
        <w:rPr>
          <w:rFonts w:ascii="Arial" w:hAnsi="Arial" w:cs="Arial"/>
          <w:color w:val="7B7B7B" w:themeColor="accent3" w:themeShade="BF"/>
          <w:sz w:val="22"/>
          <w:szCs w:val="22"/>
        </w:rPr>
        <w:t xml:space="preserve">present </w:t>
      </w:r>
      <w:r w:rsidR="004E78DA">
        <w:rPr>
          <w:rFonts w:ascii="Arial" w:hAnsi="Arial" w:cs="Arial"/>
          <w:color w:val="7B7B7B" w:themeColor="accent3" w:themeShade="BF"/>
          <w:sz w:val="22"/>
          <w:szCs w:val="22"/>
        </w:rPr>
        <w:t xml:space="preserve">conclusion </w:t>
      </w:r>
      <w:r w:rsidR="005B153B">
        <w:rPr>
          <w:rFonts w:ascii="Arial" w:hAnsi="Arial" w:cs="Arial"/>
          <w:color w:val="7B7B7B" w:themeColor="accent3" w:themeShade="BF"/>
          <w:sz w:val="22"/>
          <w:szCs w:val="22"/>
        </w:rPr>
        <w:t xml:space="preserve">on </w:t>
      </w:r>
      <w:r w:rsidR="004E78DA">
        <w:rPr>
          <w:rFonts w:ascii="Arial" w:hAnsi="Arial" w:cs="Arial"/>
          <w:color w:val="7B7B7B" w:themeColor="accent3" w:themeShade="BF"/>
          <w:sz w:val="22"/>
          <w:szCs w:val="22"/>
        </w:rPr>
        <w:t>whether the conditions are satisfied.</w:t>
      </w:r>
    </w:p>
    <w:p w14:paraId="0D7EE68F" w14:textId="77777777" w:rsidR="004E78DA" w:rsidRPr="005A051A" w:rsidRDefault="004E78DA" w:rsidP="0018709F">
      <w:pPr>
        <w:ind w:firstLine="720"/>
        <w:jc w:val="both"/>
        <w:rPr>
          <w:rFonts w:ascii="Arial" w:hAnsi="Arial" w:cs="Arial"/>
          <w:color w:val="7B7B7B" w:themeColor="accent3" w:themeShade="BF"/>
          <w:sz w:val="22"/>
          <w:szCs w:val="22"/>
          <w:lang w:val="en-GB"/>
        </w:rPr>
      </w:pPr>
    </w:p>
    <w:p w14:paraId="0C1ECF3A" w14:textId="5D12B24D" w:rsidR="00BB7262" w:rsidRDefault="00F17976" w:rsidP="0018709F">
      <w:pPr>
        <w:ind w:firstLine="720"/>
        <w:jc w:val="both"/>
        <w:rPr>
          <w:rFonts w:ascii="Arial" w:hAnsi="Arial" w:cs="Arial"/>
          <w:color w:val="7B7B7B" w:themeColor="accent3" w:themeShade="BF"/>
          <w:sz w:val="22"/>
          <w:szCs w:val="22"/>
        </w:rPr>
      </w:pPr>
      <w:r>
        <w:rPr>
          <w:rFonts w:ascii="Arial" w:hAnsi="Arial" w:cs="Arial"/>
          <w:b/>
          <w:bCs/>
          <w:color w:val="7B7B7B" w:themeColor="accent3" w:themeShade="BF"/>
          <w:sz w:val="22"/>
          <w:szCs w:val="22"/>
          <w:u w:val="single"/>
          <w:lang w:val="en-GB"/>
        </w:rPr>
        <w:t>General scope:</w:t>
      </w:r>
      <w:r>
        <w:rPr>
          <w:rFonts w:ascii="Arial" w:hAnsi="Arial" w:cs="Arial"/>
          <w:color w:val="7B7B7B" w:themeColor="accent3" w:themeShade="BF"/>
          <w:sz w:val="22"/>
          <w:szCs w:val="22"/>
          <w:lang w:val="en-GB"/>
        </w:rPr>
        <w:t xml:space="preserve"> </w:t>
      </w:r>
      <w:r w:rsidR="00387106" w:rsidRPr="009B5832">
        <w:rPr>
          <w:rFonts w:ascii="Arial" w:hAnsi="Arial" w:cs="Arial"/>
          <w:color w:val="7B7B7B" w:themeColor="accent3" w:themeShade="BF"/>
          <w:sz w:val="22"/>
          <w:szCs w:val="22"/>
          <w:lang w:val="en-GB"/>
        </w:rPr>
        <w:t>T</w:t>
      </w:r>
      <w:r w:rsidR="00847034">
        <w:rPr>
          <w:rFonts w:ascii="Arial" w:hAnsi="Arial" w:cs="Arial"/>
          <w:color w:val="7B7B7B" w:themeColor="accent3" w:themeShade="BF"/>
          <w:sz w:val="22"/>
          <w:szCs w:val="22"/>
          <w:lang w:val="en-GB"/>
        </w:rPr>
        <w:t xml:space="preserve">o decide whether this particular case falls within the </w:t>
      </w:r>
      <w:r w:rsidR="00EE167B">
        <w:rPr>
          <w:rFonts w:ascii="Arial" w:hAnsi="Arial" w:cs="Arial"/>
          <w:color w:val="7B7B7B" w:themeColor="accent3" w:themeShade="BF"/>
          <w:sz w:val="22"/>
          <w:szCs w:val="22"/>
          <w:lang w:val="en-GB"/>
        </w:rPr>
        <w:t>ambit</w:t>
      </w:r>
      <w:r w:rsidR="00847034">
        <w:rPr>
          <w:rFonts w:ascii="Arial" w:hAnsi="Arial" w:cs="Arial"/>
          <w:color w:val="7B7B7B" w:themeColor="accent3" w:themeShade="BF"/>
          <w:sz w:val="22"/>
          <w:szCs w:val="22"/>
          <w:lang w:val="en-GB"/>
        </w:rPr>
        <w:t xml:space="preserve"> of the MLCBI, one must begin by assessing the scope of application provided for in </w:t>
      </w:r>
      <w:r w:rsidR="00847034" w:rsidRPr="00BB7262">
        <w:rPr>
          <w:rFonts w:ascii="Arial" w:hAnsi="Arial" w:cs="Arial"/>
          <w:b/>
          <w:bCs/>
          <w:color w:val="7B7B7B" w:themeColor="accent3" w:themeShade="BF"/>
          <w:sz w:val="22"/>
          <w:szCs w:val="22"/>
          <w:lang w:val="en-GB"/>
        </w:rPr>
        <w:t>Article 1(1) MLCBI</w:t>
      </w:r>
      <w:r w:rsidR="00847034">
        <w:rPr>
          <w:rFonts w:ascii="Arial" w:hAnsi="Arial" w:cs="Arial"/>
          <w:color w:val="7B7B7B" w:themeColor="accent3" w:themeShade="BF"/>
          <w:sz w:val="22"/>
          <w:szCs w:val="22"/>
          <w:lang w:val="en-GB"/>
        </w:rPr>
        <w:t xml:space="preserve">. Under subparagraph </w:t>
      </w:r>
      <w:r w:rsidR="00847034" w:rsidRPr="00BB7262">
        <w:rPr>
          <w:rFonts w:ascii="Arial" w:hAnsi="Arial" w:cs="Arial"/>
          <w:b/>
          <w:bCs/>
          <w:color w:val="7B7B7B" w:themeColor="accent3" w:themeShade="BF"/>
          <w:sz w:val="22"/>
          <w:szCs w:val="22"/>
          <w:lang w:val="en-GB"/>
        </w:rPr>
        <w:t>(a)</w:t>
      </w:r>
      <w:r w:rsidR="00847034">
        <w:rPr>
          <w:rFonts w:ascii="Arial" w:hAnsi="Arial" w:cs="Arial"/>
          <w:color w:val="7B7B7B" w:themeColor="accent3" w:themeShade="BF"/>
          <w:sz w:val="22"/>
          <w:szCs w:val="22"/>
          <w:lang w:val="en-GB"/>
        </w:rPr>
        <w:t xml:space="preserve"> of that Article, </w:t>
      </w:r>
      <w:r w:rsidR="00BB7262">
        <w:rPr>
          <w:rFonts w:ascii="Arial" w:hAnsi="Arial" w:cs="Arial"/>
          <w:color w:val="7B7B7B" w:themeColor="accent3" w:themeShade="BF"/>
          <w:sz w:val="22"/>
          <w:szCs w:val="22"/>
          <w:lang w:val="en-GB"/>
        </w:rPr>
        <w:t xml:space="preserve">it is stated that the MLCBI applies where assistance is sought by a foreign court or representative in connection with a foreign proceeding in the enacting State. </w:t>
      </w:r>
      <w:r w:rsidR="00BB7262" w:rsidRPr="00FF6716">
        <w:rPr>
          <w:rFonts w:ascii="Arial" w:hAnsi="Arial" w:cs="Arial"/>
          <w:color w:val="7B7B7B" w:themeColor="accent3" w:themeShade="BF"/>
          <w:sz w:val="22"/>
          <w:szCs w:val="22"/>
          <w:lang w:val="en-GB"/>
        </w:rPr>
        <w:t>Subparagraph (b) of</w:t>
      </w:r>
      <w:r w:rsidR="00BB7262">
        <w:rPr>
          <w:rFonts w:ascii="Arial" w:hAnsi="Arial" w:cs="Arial"/>
          <w:color w:val="7B7B7B" w:themeColor="accent3" w:themeShade="BF"/>
          <w:sz w:val="22"/>
          <w:szCs w:val="22"/>
          <w:lang w:val="en-GB"/>
        </w:rPr>
        <w:t xml:space="preserve"> the same Article states that</w:t>
      </w:r>
      <w:r w:rsidR="00F9575A">
        <w:rPr>
          <w:rFonts w:ascii="Arial" w:hAnsi="Arial" w:cs="Arial"/>
          <w:color w:val="7B7B7B" w:themeColor="accent3" w:themeShade="BF"/>
          <w:sz w:val="22"/>
          <w:szCs w:val="22"/>
          <w:lang w:val="en-GB"/>
        </w:rPr>
        <w:t xml:space="preserve"> the MLCBI also applies to a situation where a foreign proceeding and a domestic proceeding against the same debtor are taking place concurrently.</w:t>
      </w:r>
      <w:r w:rsidR="00B3712A">
        <w:rPr>
          <w:rFonts w:ascii="Arial" w:hAnsi="Arial" w:cs="Arial"/>
          <w:color w:val="7B7B7B" w:themeColor="accent3" w:themeShade="BF"/>
          <w:sz w:val="22"/>
          <w:szCs w:val="22"/>
          <w:lang w:val="en-GB"/>
        </w:rPr>
        <w:t xml:space="preserve"> </w:t>
      </w:r>
      <w:r w:rsidR="0018709F">
        <w:rPr>
          <w:rFonts w:ascii="Arial" w:hAnsi="Arial" w:cs="Arial"/>
          <w:color w:val="7B7B7B" w:themeColor="accent3" w:themeShade="BF"/>
          <w:sz w:val="22"/>
          <w:szCs w:val="22"/>
        </w:rPr>
        <w:t xml:space="preserve">According to </w:t>
      </w:r>
      <w:r w:rsidR="0018709F">
        <w:rPr>
          <w:rFonts w:ascii="Arial" w:hAnsi="Arial" w:cs="Arial"/>
          <w:b/>
          <w:bCs/>
          <w:color w:val="7B7B7B" w:themeColor="accent3" w:themeShade="BF"/>
          <w:sz w:val="22"/>
          <w:szCs w:val="22"/>
        </w:rPr>
        <w:t>paragraph 54 GEI,</w:t>
      </w:r>
      <w:r w:rsidR="0018709F">
        <w:rPr>
          <w:rFonts w:ascii="Arial" w:hAnsi="Arial" w:cs="Arial"/>
          <w:color w:val="7B7B7B" w:themeColor="accent3" w:themeShade="BF"/>
          <w:sz w:val="22"/>
          <w:szCs w:val="22"/>
        </w:rPr>
        <w:t xml:space="preserve"> Article </w:t>
      </w:r>
      <w:r w:rsidR="00B3712A">
        <w:rPr>
          <w:rFonts w:ascii="Arial" w:hAnsi="Arial" w:cs="Arial"/>
          <w:color w:val="7B7B7B" w:themeColor="accent3" w:themeShade="BF"/>
          <w:sz w:val="22"/>
          <w:szCs w:val="22"/>
        </w:rPr>
        <w:t xml:space="preserve">1(1) </w:t>
      </w:r>
      <w:r w:rsidR="0018709F" w:rsidRPr="00BB7262">
        <w:rPr>
          <w:rFonts w:ascii="Arial" w:hAnsi="Arial" w:cs="Arial"/>
          <w:color w:val="7B7B7B" w:themeColor="accent3" w:themeShade="BF"/>
          <w:sz w:val="22"/>
          <w:szCs w:val="22"/>
        </w:rPr>
        <w:t>outlines the types of issue for which the Model Law provides solutions</w:t>
      </w:r>
      <w:r w:rsidR="0018709F">
        <w:rPr>
          <w:rFonts w:ascii="Arial" w:hAnsi="Arial" w:cs="Arial"/>
          <w:color w:val="7B7B7B" w:themeColor="accent3" w:themeShade="BF"/>
          <w:sz w:val="22"/>
          <w:szCs w:val="22"/>
        </w:rPr>
        <w:t>, and describes the situation described in subparagraph (a) as an</w:t>
      </w:r>
      <w:r w:rsidR="00BB7262" w:rsidRPr="00BB7262">
        <w:rPr>
          <w:rFonts w:ascii="Arial" w:hAnsi="Arial" w:cs="Arial"/>
          <w:color w:val="7B7B7B" w:themeColor="accent3" w:themeShade="BF"/>
          <w:sz w:val="22"/>
          <w:szCs w:val="22"/>
        </w:rPr>
        <w:t xml:space="preserve"> inward-bound requests for recognition of a foreign proceeding</w:t>
      </w:r>
      <w:r w:rsidR="0018709F">
        <w:rPr>
          <w:rFonts w:ascii="Arial" w:hAnsi="Arial" w:cs="Arial"/>
          <w:color w:val="7B7B7B" w:themeColor="accent3" w:themeShade="BF"/>
          <w:sz w:val="22"/>
          <w:szCs w:val="22"/>
        </w:rPr>
        <w:t>.</w:t>
      </w:r>
    </w:p>
    <w:p w14:paraId="12AF4982" w14:textId="5FF8D131" w:rsidR="0018709F" w:rsidRDefault="0018709F" w:rsidP="0018709F">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Article 1(2) MLCBI will be ignored as the question above indicates that the Bank is not excluded from the scope.</w:t>
      </w:r>
    </w:p>
    <w:p w14:paraId="4065F013" w14:textId="27891A1F" w:rsidR="00D21CD5" w:rsidRDefault="00F17976" w:rsidP="00862C6B">
      <w:pPr>
        <w:ind w:firstLine="720"/>
        <w:jc w:val="both"/>
        <w:rPr>
          <w:rFonts w:ascii="Arial" w:hAnsi="Arial" w:cs="Arial"/>
          <w:color w:val="7B7B7B" w:themeColor="accent3" w:themeShade="BF"/>
          <w:sz w:val="22"/>
          <w:szCs w:val="22"/>
        </w:rPr>
      </w:pPr>
      <w:r>
        <w:rPr>
          <w:rFonts w:ascii="Arial" w:hAnsi="Arial" w:cs="Arial"/>
          <w:b/>
          <w:bCs/>
          <w:color w:val="7B7B7B" w:themeColor="accent3" w:themeShade="BF"/>
          <w:sz w:val="22"/>
          <w:szCs w:val="22"/>
          <w:u w:val="single"/>
        </w:rPr>
        <w:t>Criteria for “foreign proceeding”:</w:t>
      </w:r>
      <w:r>
        <w:rPr>
          <w:rFonts w:ascii="Arial" w:hAnsi="Arial" w:cs="Arial"/>
          <w:color w:val="7B7B7B" w:themeColor="accent3" w:themeShade="BF"/>
          <w:sz w:val="22"/>
          <w:szCs w:val="22"/>
        </w:rPr>
        <w:t xml:space="preserve"> </w:t>
      </w:r>
      <w:r w:rsidR="007B0291">
        <w:rPr>
          <w:rFonts w:ascii="Arial" w:hAnsi="Arial" w:cs="Arial"/>
          <w:color w:val="7B7B7B" w:themeColor="accent3" w:themeShade="BF"/>
          <w:sz w:val="22"/>
          <w:szCs w:val="22"/>
        </w:rPr>
        <w:t>As a next step</w:t>
      </w:r>
      <w:r w:rsidR="00F07828">
        <w:rPr>
          <w:rFonts w:ascii="Arial" w:hAnsi="Arial" w:cs="Arial"/>
          <w:color w:val="7B7B7B" w:themeColor="accent3" w:themeShade="BF"/>
          <w:sz w:val="22"/>
          <w:szCs w:val="22"/>
        </w:rPr>
        <w:t xml:space="preserve">, it should be assessed whether the Bank’s liquidation procedure in Country A concerns a foreign proceeding under </w:t>
      </w:r>
      <w:r w:rsidR="00F07828" w:rsidRPr="00F07828">
        <w:rPr>
          <w:rFonts w:ascii="Arial" w:hAnsi="Arial" w:cs="Arial"/>
          <w:b/>
          <w:bCs/>
          <w:color w:val="7B7B7B" w:themeColor="accent3" w:themeShade="BF"/>
          <w:sz w:val="22"/>
          <w:szCs w:val="22"/>
        </w:rPr>
        <w:t>Article 2(a) MLCBI</w:t>
      </w:r>
      <w:r w:rsidR="00F07828">
        <w:rPr>
          <w:rFonts w:ascii="Arial" w:hAnsi="Arial" w:cs="Arial"/>
          <w:color w:val="7B7B7B" w:themeColor="accent3" w:themeShade="BF"/>
          <w:sz w:val="22"/>
          <w:szCs w:val="22"/>
        </w:rPr>
        <w:t>.</w:t>
      </w:r>
      <w:r w:rsidR="00D21CD5">
        <w:rPr>
          <w:rFonts w:ascii="Arial" w:hAnsi="Arial" w:cs="Arial"/>
          <w:color w:val="7B7B7B" w:themeColor="accent3" w:themeShade="BF"/>
          <w:sz w:val="22"/>
          <w:szCs w:val="22"/>
        </w:rPr>
        <w:t xml:space="preserve"> </w:t>
      </w:r>
      <w:r w:rsidR="00862C6B">
        <w:rPr>
          <w:rFonts w:ascii="Arial" w:hAnsi="Arial" w:cs="Arial"/>
          <w:b/>
          <w:bCs/>
          <w:color w:val="7B7B7B" w:themeColor="accent3" w:themeShade="BF"/>
          <w:sz w:val="22"/>
          <w:szCs w:val="22"/>
        </w:rPr>
        <w:t xml:space="preserve">Paragraph 63-64 GEI </w:t>
      </w:r>
      <w:r w:rsidR="00862C6B">
        <w:rPr>
          <w:rFonts w:ascii="Arial" w:hAnsi="Arial" w:cs="Arial"/>
          <w:color w:val="7B7B7B" w:themeColor="accent3" w:themeShade="BF"/>
          <w:sz w:val="22"/>
          <w:szCs w:val="22"/>
        </w:rPr>
        <w:t>mentions that the foreign proceeding is only fit for recognition or cooperation under the MLCBI if it possesses the cumulative characteristics listed under this Article, as p</w:t>
      </w:r>
      <w:r w:rsidR="00862C6B" w:rsidRPr="000F44BE">
        <w:rPr>
          <w:rFonts w:ascii="Arial" w:hAnsi="Arial" w:cs="Arial"/>
          <w:color w:val="7B7B7B" w:themeColor="accent3" w:themeShade="BF"/>
          <w:sz w:val="22"/>
          <w:szCs w:val="22"/>
        </w:rPr>
        <w:t xml:space="preserve">roceedings </w:t>
      </w:r>
      <w:r w:rsidR="00862C6B">
        <w:rPr>
          <w:rFonts w:ascii="Arial" w:hAnsi="Arial" w:cs="Arial"/>
          <w:color w:val="7B7B7B" w:themeColor="accent3" w:themeShade="BF"/>
          <w:sz w:val="22"/>
          <w:szCs w:val="22"/>
        </w:rPr>
        <w:t>that</w:t>
      </w:r>
      <w:r w:rsidR="00862C6B" w:rsidRPr="000F44BE">
        <w:rPr>
          <w:rFonts w:ascii="Arial" w:hAnsi="Arial" w:cs="Arial"/>
          <w:color w:val="7B7B7B" w:themeColor="accent3" w:themeShade="BF"/>
          <w:sz w:val="22"/>
          <w:szCs w:val="22"/>
        </w:rPr>
        <w:t xml:space="preserve"> do not have those attributes </w:t>
      </w:r>
      <w:r w:rsidR="00862C6B">
        <w:rPr>
          <w:rFonts w:ascii="Arial" w:hAnsi="Arial" w:cs="Arial"/>
          <w:color w:val="7B7B7B" w:themeColor="accent3" w:themeShade="BF"/>
          <w:sz w:val="22"/>
          <w:szCs w:val="22"/>
        </w:rPr>
        <w:t xml:space="preserve">are </w:t>
      </w:r>
      <w:r w:rsidR="00862C6B" w:rsidRPr="000F44BE">
        <w:rPr>
          <w:rFonts w:ascii="Arial" w:hAnsi="Arial" w:cs="Arial"/>
          <w:color w:val="7B7B7B" w:themeColor="accent3" w:themeShade="BF"/>
          <w:sz w:val="22"/>
          <w:szCs w:val="22"/>
        </w:rPr>
        <w:t>not eligible for recognition</w:t>
      </w:r>
      <w:r w:rsidR="00862C6B">
        <w:rPr>
          <w:rFonts w:ascii="Arial" w:hAnsi="Arial" w:cs="Arial"/>
          <w:color w:val="7B7B7B" w:themeColor="accent3" w:themeShade="BF"/>
          <w:sz w:val="22"/>
          <w:szCs w:val="22"/>
        </w:rPr>
        <w:t xml:space="preserve">. </w:t>
      </w:r>
      <w:r w:rsidR="005D5CE3">
        <w:rPr>
          <w:rFonts w:ascii="Arial" w:hAnsi="Arial" w:cs="Arial"/>
          <w:color w:val="7B7B7B" w:themeColor="accent3" w:themeShade="BF"/>
          <w:sz w:val="22"/>
          <w:szCs w:val="22"/>
        </w:rPr>
        <w:t xml:space="preserve">This Article explains a foreign proceeding as (1) a </w:t>
      </w:r>
      <w:r w:rsidR="005D5CE3" w:rsidRPr="007B0291">
        <w:rPr>
          <w:rFonts w:ascii="Arial" w:hAnsi="Arial" w:cs="Arial"/>
          <w:color w:val="7B7B7B" w:themeColor="accent3" w:themeShade="BF"/>
          <w:sz w:val="22"/>
          <w:szCs w:val="22"/>
        </w:rPr>
        <w:t>judicial or administrative proceeding</w:t>
      </w:r>
      <w:r w:rsidR="005D5CE3">
        <w:rPr>
          <w:rFonts w:ascii="Arial" w:hAnsi="Arial" w:cs="Arial"/>
          <w:color w:val="7B7B7B" w:themeColor="accent3" w:themeShade="BF"/>
          <w:sz w:val="22"/>
          <w:szCs w:val="22"/>
        </w:rPr>
        <w:t xml:space="preserve">, </w:t>
      </w:r>
      <w:r w:rsidR="005D5CE3" w:rsidRPr="007B0291">
        <w:rPr>
          <w:rFonts w:ascii="Arial" w:hAnsi="Arial" w:cs="Arial"/>
          <w:color w:val="7B7B7B" w:themeColor="accent3" w:themeShade="BF"/>
          <w:sz w:val="22"/>
          <w:szCs w:val="22"/>
        </w:rPr>
        <w:t>including an interim proceeding</w:t>
      </w:r>
      <w:r w:rsidR="005D5CE3">
        <w:rPr>
          <w:rFonts w:ascii="Arial" w:hAnsi="Arial" w:cs="Arial"/>
          <w:color w:val="7B7B7B" w:themeColor="accent3" w:themeShade="BF"/>
          <w:sz w:val="22"/>
          <w:szCs w:val="22"/>
        </w:rPr>
        <w:t xml:space="preserve">, having a </w:t>
      </w:r>
      <w:r w:rsidR="007B0291" w:rsidRPr="007B0291">
        <w:rPr>
          <w:rFonts w:ascii="Arial" w:hAnsi="Arial" w:cs="Arial"/>
          <w:color w:val="7B7B7B" w:themeColor="accent3" w:themeShade="BF"/>
          <w:sz w:val="22"/>
          <w:szCs w:val="22"/>
        </w:rPr>
        <w:t xml:space="preserve">collective </w:t>
      </w:r>
      <w:r w:rsidR="005D5CE3">
        <w:rPr>
          <w:rFonts w:ascii="Arial" w:hAnsi="Arial" w:cs="Arial"/>
          <w:color w:val="7B7B7B" w:themeColor="accent3" w:themeShade="BF"/>
          <w:sz w:val="22"/>
          <w:szCs w:val="22"/>
        </w:rPr>
        <w:t xml:space="preserve">nature, (2) </w:t>
      </w:r>
      <w:r w:rsidR="007B0291" w:rsidRPr="007B0291">
        <w:rPr>
          <w:rFonts w:ascii="Arial" w:hAnsi="Arial" w:cs="Arial"/>
          <w:color w:val="7B7B7B" w:themeColor="accent3" w:themeShade="BF"/>
          <w:sz w:val="22"/>
          <w:szCs w:val="22"/>
        </w:rPr>
        <w:t>pursuant to a</w:t>
      </w:r>
      <w:r w:rsidR="005D5CE3">
        <w:rPr>
          <w:rFonts w:ascii="Arial" w:hAnsi="Arial" w:cs="Arial"/>
          <w:color w:val="7B7B7B" w:themeColor="accent3" w:themeShade="BF"/>
          <w:sz w:val="22"/>
          <w:szCs w:val="22"/>
        </w:rPr>
        <w:t>n insolvency-related</w:t>
      </w:r>
      <w:r w:rsidR="007B0291" w:rsidRPr="007B0291">
        <w:rPr>
          <w:rFonts w:ascii="Arial" w:hAnsi="Arial" w:cs="Arial"/>
          <w:color w:val="7B7B7B" w:themeColor="accent3" w:themeShade="BF"/>
          <w:sz w:val="22"/>
          <w:szCs w:val="22"/>
        </w:rPr>
        <w:t xml:space="preserve"> </w:t>
      </w:r>
      <w:r w:rsidR="005D5CE3">
        <w:rPr>
          <w:rFonts w:ascii="Arial" w:hAnsi="Arial" w:cs="Arial"/>
          <w:color w:val="7B7B7B" w:themeColor="accent3" w:themeShade="BF"/>
          <w:sz w:val="22"/>
          <w:szCs w:val="22"/>
        </w:rPr>
        <w:t xml:space="preserve">law, (3) </w:t>
      </w:r>
      <w:r w:rsidR="007B0291" w:rsidRPr="007B0291">
        <w:rPr>
          <w:rFonts w:ascii="Arial" w:hAnsi="Arial" w:cs="Arial"/>
          <w:color w:val="7B7B7B" w:themeColor="accent3" w:themeShade="BF"/>
          <w:sz w:val="22"/>
          <w:szCs w:val="22"/>
        </w:rPr>
        <w:t xml:space="preserve">in which </w:t>
      </w:r>
      <w:r w:rsidR="005D5CE3">
        <w:rPr>
          <w:rFonts w:ascii="Arial" w:hAnsi="Arial" w:cs="Arial"/>
          <w:color w:val="7B7B7B" w:themeColor="accent3" w:themeShade="BF"/>
          <w:sz w:val="22"/>
          <w:szCs w:val="22"/>
        </w:rPr>
        <w:t xml:space="preserve">the debtor’s </w:t>
      </w:r>
      <w:r w:rsidR="007B0291" w:rsidRPr="007B0291">
        <w:rPr>
          <w:rFonts w:ascii="Arial" w:hAnsi="Arial" w:cs="Arial"/>
          <w:color w:val="7B7B7B" w:themeColor="accent3" w:themeShade="BF"/>
          <w:sz w:val="22"/>
          <w:szCs w:val="22"/>
        </w:rPr>
        <w:t>assets and affairs are subject</w:t>
      </w:r>
      <w:r w:rsidR="005D5CE3">
        <w:rPr>
          <w:rFonts w:ascii="Arial" w:hAnsi="Arial" w:cs="Arial"/>
          <w:color w:val="7B7B7B" w:themeColor="accent3" w:themeShade="BF"/>
          <w:sz w:val="22"/>
          <w:szCs w:val="22"/>
        </w:rPr>
        <w:t>ed</w:t>
      </w:r>
      <w:r w:rsidR="007B0291" w:rsidRPr="007B0291">
        <w:rPr>
          <w:rFonts w:ascii="Arial" w:hAnsi="Arial" w:cs="Arial"/>
          <w:color w:val="7B7B7B" w:themeColor="accent3" w:themeShade="BF"/>
          <w:sz w:val="22"/>
          <w:szCs w:val="22"/>
        </w:rPr>
        <w:t xml:space="preserve"> to control or supervision by </w:t>
      </w:r>
      <w:r w:rsidR="005D5CE3">
        <w:rPr>
          <w:rFonts w:ascii="Arial" w:hAnsi="Arial" w:cs="Arial"/>
          <w:color w:val="7B7B7B" w:themeColor="accent3" w:themeShade="BF"/>
          <w:sz w:val="22"/>
          <w:szCs w:val="22"/>
        </w:rPr>
        <w:t>the</w:t>
      </w:r>
      <w:r w:rsidR="007B0291" w:rsidRPr="007B0291">
        <w:rPr>
          <w:rFonts w:ascii="Arial" w:hAnsi="Arial" w:cs="Arial"/>
          <w:color w:val="7B7B7B" w:themeColor="accent3" w:themeShade="BF"/>
          <w:sz w:val="22"/>
          <w:szCs w:val="22"/>
        </w:rPr>
        <w:t xml:space="preserve"> foreign court, </w:t>
      </w:r>
      <w:r w:rsidR="005D5CE3">
        <w:rPr>
          <w:rFonts w:ascii="Arial" w:hAnsi="Arial" w:cs="Arial"/>
          <w:color w:val="7B7B7B" w:themeColor="accent3" w:themeShade="BF"/>
          <w:sz w:val="22"/>
          <w:szCs w:val="22"/>
        </w:rPr>
        <w:t xml:space="preserve">(4) with the aim of </w:t>
      </w:r>
      <w:r w:rsidR="007B0291" w:rsidRPr="007B0291">
        <w:rPr>
          <w:rFonts w:ascii="Arial" w:hAnsi="Arial" w:cs="Arial"/>
          <w:color w:val="7B7B7B" w:themeColor="accent3" w:themeShade="BF"/>
          <w:sz w:val="22"/>
          <w:szCs w:val="22"/>
        </w:rPr>
        <w:t>reorga</w:t>
      </w:r>
      <w:r w:rsidR="005D5CE3">
        <w:rPr>
          <w:rFonts w:ascii="Arial" w:hAnsi="Arial" w:cs="Arial"/>
          <w:color w:val="7B7B7B" w:themeColor="accent3" w:themeShade="BF"/>
          <w:sz w:val="22"/>
          <w:szCs w:val="22"/>
        </w:rPr>
        <w:t>niza</w:t>
      </w:r>
      <w:r w:rsidR="007B0291" w:rsidRPr="007B0291">
        <w:rPr>
          <w:rFonts w:ascii="Arial" w:hAnsi="Arial" w:cs="Arial"/>
          <w:color w:val="7B7B7B" w:themeColor="accent3" w:themeShade="BF"/>
          <w:sz w:val="22"/>
          <w:szCs w:val="22"/>
        </w:rPr>
        <w:t>tion or liquidation</w:t>
      </w:r>
      <w:r w:rsidR="005D5CE3">
        <w:rPr>
          <w:rFonts w:ascii="Arial" w:hAnsi="Arial" w:cs="Arial"/>
          <w:color w:val="7B7B7B" w:themeColor="accent3" w:themeShade="BF"/>
          <w:sz w:val="22"/>
          <w:szCs w:val="22"/>
        </w:rPr>
        <w:t xml:space="preserve">. </w:t>
      </w:r>
    </w:p>
    <w:p w14:paraId="3D2099A8" w14:textId="0D52E69E" w:rsidR="00880603" w:rsidRDefault="00862C6B" w:rsidP="00862C6B">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According to </w:t>
      </w:r>
      <w:r>
        <w:rPr>
          <w:rFonts w:ascii="Arial" w:hAnsi="Arial" w:cs="Arial"/>
          <w:b/>
          <w:bCs/>
          <w:color w:val="7B7B7B" w:themeColor="accent3" w:themeShade="BF"/>
          <w:sz w:val="22"/>
          <w:szCs w:val="22"/>
        </w:rPr>
        <w:t xml:space="preserve">paragraph 66 GEI, </w:t>
      </w:r>
      <w:r>
        <w:rPr>
          <w:rFonts w:ascii="Arial" w:hAnsi="Arial" w:cs="Arial"/>
          <w:color w:val="7B7B7B" w:themeColor="accent3" w:themeShade="BF"/>
          <w:sz w:val="22"/>
          <w:szCs w:val="22"/>
        </w:rPr>
        <w:t>the appropriate time to examine w</w:t>
      </w:r>
      <w:r w:rsidRPr="000F44BE">
        <w:rPr>
          <w:rFonts w:ascii="Arial" w:hAnsi="Arial" w:cs="Arial"/>
          <w:color w:val="7B7B7B" w:themeColor="accent3" w:themeShade="BF"/>
          <w:sz w:val="22"/>
          <w:szCs w:val="22"/>
        </w:rPr>
        <w:t>hether a foreign proceeding possesses or possessed th</w:t>
      </w:r>
      <w:r>
        <w:rPr>
          <w:rFonts w:ascii="Arial" w:hAnsi="Arial" w:cs="Arial"/>
          <w:color w:val="7B7B7B" w:themeColor="accent3" w:themeShade="BF"/>
          <w:sz w:val="22"/>
          <w:szCs w:val="22"/>
        </w:rPr>
        <w:t xml:space="preserve">ese attributes is </w:t>
      </w:r>
      <w:r w:rsidRPr="000F44BE">
        <w:rPr>
          <w:rFonts w:ascii="Arial" w:hAnsi="Arial" w:cs="Arial"/>
          <w:color w:val="7B7B7B" w:themeColor="accent3" w:themeShade="BF"/>
          <w:sz w:val="22"/>
          <w:szCs w:val="22"/>
        </w:rPr>
        <w:t>at the time</w:t>
      </w:r>
      <w:r>
        <w:rPr>
          <w:rFonts w:ascii="Arial" w:hAnsi="Arial" w:cs="Arial"/>
          <w:color w:val="7B7B7B" w:themeColor="accent3" w:themeShade="BF"/>
          <w:sz w:val="22"/>
          <w:szCs w:val="22"/>
        </w:rPr>
        <w:t xml:space="preserve"> when</w:t>
      </w:r>
      <w:r w:rsidRPr="000F44BE">
        <w:rPr>
          <w:rFonts w:ascii="Arial" w:hAnsi="Arial" w:cs="Arial"/>
          <w:color w:val="7B7B7B" w:themeColor="accent3" w:themeShade="BF"/>
          <w:sz w:val="22"/>
          <w:szCs w:val="22"/>
        </w:rPr>
        <w:t xml:space="preserve"> the application for recognition is considered. </w:t>
      </w:r>
      <w:r w:rsidR="00880603">
        <w:rPr>
          <w:rFonts w:ascii="Arial" w:hAnsi="Arial" w:cs="Arial"/>
          <w:b/>
          <w:bCs/>
          <w:color w:val="7B7B7B" w:themeColor="accent3" w:themeShade="BF"/>
          <w:sz w:val="22"/>
          <w:szCs w:val="22"/>
        </w:rPr>
        <w:t xml:space="preserve">Paragraphs 50 and 65 GEI </w:t>
      </w:r>
      <w:r w:rsidR="00880603">
        <w:rPr>
          <w:rFonts w:ascii="Arial" w:hAnsi="Arial" w:cs="Arial"/>
          <w:color w:val="7B7B7B" w:themeColor="accent3" w:themeShade="BF"/>
          <w:sz w:val="22"/>
          <w:szCs w:val="22"/>
        </w:rPr>
        <w:t xml:space="preserve">explain that the term </w:t>
      </w:r>
      <w:r w:rsidR="000F44BE" w:rsidRPr="000F44BE">
        <w:rPr>
          <w:rFonts w:ascii="Arial" w:hAnsi="Arial" w:cs="Arial"/>
          <w:color w:val="7B7B7B" w:themeColor="accent3" w:themeShade="BF"/>
          <w:sz w:val="22"/>
          <w:szCs w:val="22"/>
        </w:rPr>
        <w:t xml:space="preserve">“insolvency proceedings” is intended in </w:t>
      </w:r>
      <w:r w:rsidR="00880603">
        <w:rPr>
          <w:rFonts w:ascii="Arial" w:hAnsi="Arial" w:cs="Arial"/>
          <w:color w:val="7B7B7B" w:themeColor="accent3" w:themeShade="BF"/>
          <w:sz w:val="22"/>
          <w:szCs w:val="22"/>
        </w:rPr>
        <w:t>Article 2</w:t>
      </w:r>
      <w:r w:rsidR="000F44BE" w:rsidRPr="000F44BE">
        <w:rPr>
          <w:rFonts w:ascii="Arial" w:hAnsi="Arial" w:cs="Arial"/>
          <w:color w:val="7B7B7B" w:themeColor="accent3" w:themeShade="BF"/>
          <w:sz w:val="22"/>
          <w:szCs w:val="22"/>
        </w:rPr>
        <w:t>(a)</w:t>
      </w:r>
      <w:r w:rsidR="00880603">
        <w:rPr>
          <w:rFonts w:ascii="Arial" w:hAnsi="Arial" w:cs="Arial"/>
          <w:color w:val="7B7B7B" w:themeColor="accent3" w:themeShade="BF"/>
          <w:sz w:val="22"/>
          <w:szCs w:val="22"/>
        </w:rPr>
        <w:t xml:space="preserve"> MLCBI</w:t>
      </w:r>
      <w:r w:rsidR="000F44BE" w:rsidRPr="000F44BE">
        <w:rPr>
          <w:rFonts w:ascii="Arial" w:hAnsi="Arial" w:cs="Arial"/>
          <w:color w:val="7B7B7B" w:themeColor="accent3" w:themeShade="BF"/>
          <w:sz w:val="22"/>
          <w:szCs w:val="22"/>
        </w:rPr>
        <w:t xml:space="preserve"> to refer </w:t>
      </w:r>
      <w:r w:rsidR="000F44BE" w:rsidRPr="00880603">
        <w:rPr>
          <w:rFonts w:ascii="Arial" w:hAnsi="Arial" w:cs="Arial"/>
          <w:i/>
          <w:iCs/>
          <w:color w:val="7B7B7B" w:themeColor="accent3" w:themeShade="BF"/>
          <w:sz w:val="22"/>
          <w:szCs w:val="22"/>
        </w:rPr>
        <w:t>broadly</w:t>
      </w:r>
      <w:r w:rsidR="000F44BE" w:rsidRPr="000F44BE">
        <w:rPr>
          <w:rFonts w:ascii="Arial" w:hAnsi="Arial" w:cs="Arial"/>
          <w:color w:val="7B7B7B" w:themeColor="accent3" w:themeShade="BF"/>
          <w:sz w:val="22"/>
          <w:szCs w:val="22"/>
        </w:rPr>
        <w:t xml:space="preserve"> to proceedings involving </w:t>
      </w:r>
      <w:r w:rsidR="00880603">
        <w:rPr>
          <w:rFonts w:ascii="Arial" w:hAnsi="Arial" w:cs="Arial"/>
          <w:color w:val="7B7B7B" w:themeColor="accent3" w:themeShade="BF"/>
          <w:sz w:val="22"/>
          <w:szCs w:val="22"/>
        </w:rPr>
        <w:t xml:space="preserve">insolvent </w:t>
      </w:r>
      <w:r w:rsidR="000F44BE" w:rsidRPr="000F44BE">
        <w:rPr>
          <w:rFonts w:ascii="Arial" w:hAnsi="Arial" w:cs="Arial"/>
          <w:color w:val="7B7B7B" w:themeColor="accent3" w:themeShade="BF"/>
          <w:sz w:val="22"/>
          <w:szCs w:val="22"/>
        </w:rPr>
        <w:t xml:space="preserve">debtors </w:t>
      </w:r>
      <w:r w:rsidR="00880603">
        <w:rPr>
          <w:rFonts w:ascii="Arial" w:hAnsi="Arial" w:cs="Arial"/>
          <w:color w:val="7B7B7B" w:themeColor="accent3" w:themeShade="BF"/>
          <w:sz w:val="22"/>
          <w:szCs w:val="22"/>
        </w:rPr>
        <w:t xml:space="preserve">or debtors in severe financial distress. The MLCBI is </w:t>
      </w:r>
      <w:r w:rsidR="00880603" w:rsidRPr="00880603">
        <w:rPr>
          <w:rFonts w:ascii="Arial" w:hAnsi="Arial" w:cs="Arial"/>
          <w:color w:val="7B7B7B" w:themeColor="accent3" w:themeShade="BF"/>
          <w:sz w:val="22"/>
          <w:szCs w:val="22"/>
        </w:rPr>
        <w:t xml:space="preserve">designed to be applicable to proceedings </w:t>
      </w:r>
      <w:r w:rsidR="00880603">
        <w:rPr>
          <w:rFonts w:ascii="Arial" w:hAnsi="Arial" w:cs="Arial"/>
          <w:color w:val="7B7B7B" w:themeColor="accent3" w:themeShade="BF"/>
          <w:sz w:val="22"/>
          <w:szCs w:val="22"/>
        </w:rPr>
        <w:t>involving</w:t>
      </w:r>
      <w:r w:rsidR="00880603" w:rsidRPr="00880603">
        <w:rPr>
          <w:rFonts w:ascii="Arial" w:hAnsi="Arial" w:cs="Arial"/>
          <w:color w:val="7B7B7B" w:themeColor="accent3" w:themeShade="BF"/>
          <w:sz w:val="22"/>
          <w:szCs w:val="22"/>
        </w:rPr>
        <w:t xml:space="preserve"> natural or a legal person</w:t>
      </w:r>
      <w:r w:rsidR="00880603">
        <w:rPr>
          <w:rFonts w:ascii="Arial" w:hAnsi="Arial" w:cs="Arial"/>
          <w:color w:val="7B7B7B" w:themeColor="accent3" w:themeShade="BF"/>
          <w:sz w:val="22"/>
          <w:szCs w:val="22"/>
        </w:rPr>
        <w:t>s</w:t>
      </w:r>
      <w:r w:rsidR="00880603" w:rsidRPr="00880603">
        <w:rPr>
          <w:rFonts w:ascii="Arial" w:hAnsi="Arial" w:cs="Arial"/>
          <w:color w:val="7B7B7B" w:themeColor="accent3" w:themeShade="BF"/>
          <w:sz w:val="22"/>
          <w:szCs w:val="22"/>
        </w:rPr>
        <w:t xml:space="preserve"> as the debtor</w:t>
      </w:r>
      <w:r w:rsidR="00880603">
        <w:rPr>
          <w:rFonts w:ascii="Arial" w:hAnsi="Arial" w:cs="Arial"/>
          <w:color w:val="7B7B7B" w:themeColor="accent3" w:themeShade="BF"/>
          <w:sz w:val="22"/>
          <w:szCs w:val="22"/>
        </w:rPr>
        <w:t xml:space="preserve"> and draws no distinction in between the two processes</w:t>
      </w:r>
      <w:r w:rsidR="00880603" w:rsidRPr="00880603">
        <w:rPr>
          <w:rFonts w:ascii="Arial" w:hAnsi="Arial" w:cs="Arial"/>
          <w:color w:val="7B7B7B" w:themeColor="accent3" w:themeShade="BF"/>
          <w:sz w:val="22"/>
          <w:szCs w:val="22"/>
        </w:rPr>
        <w:t>.</w:t>
      </w:r>
    </w:p>
    <w:p w14:paraId="6916AC99" w14:textId="49C23FBB" w:rsidR="00E230DD" w:rsidRDefault="00F17976" w:rsidP="00CB381C">
      <w:pPr>
        <w:ind w:firstLine="720"/>
        <w:jc w:val="both"/>
        <w:rPr>
          <w:rFonts w:ascii="Arial" w:hAnsi="Arial" w:cs="Arial"/>
          <w:color w:val="7B7B7B" w:themeColor="accent3" w:themeShade="BF"/>
          <w:sz w:val="22"/>
          <w:szCs w:val="22"/>
        </w:rPr>
      </w:pPr>
      <w:r>
        <w:rPr>
          <w:rFonts w:ascii="Arial" w:hAnsi="Arial" w:cs="Arial"/>
          <w:b/>
          <w:bCs/>
          <w:color w:val="7B7B7B" w:themeColor="accent3" w:themeShade="BF"/>
          <w:sz w:val="22"/>
          <w:szCs w:val="22"/>
          <w:u w:val="single"/>
        </w:rPr>
        <w:t xml:space="preserve">Collective </w:t>
      </w:r>
      <w:r w:rsidR="00E230DD">
        <w:rPr>
          <w:rFonts w:ascii="Arial" w:hAnsi="Arial" w:cs="Arial"/>
          <w:b/>
          <w:bCs/>
          <w:color w:val="7B7B7B" w:themeColor="accent3" w:themeShade="BF"/>
          <w:sz w:val="22"/>
          <w:szCs w:val="22"/>
          <w:u w:val="single"/>
        </w:rPr>
        <w:t xml:space="preserve">Judicial or Administrative </w:t>
      </w:r>
      <w:r>
        <w:rPr>
          <w:rFonts w:ascii="Arial" w:hAnsi="Arial" w:cs="Arial"/>
          <w:b/>
          <w:bCs/>
          <w:color w:val="7B7B7B" w:themeColor="accent3" w:themeShade="BF"/>
          <w:sz w:val="22"/>
          <w:szCs w:val="22"/>
          <w:u w:val="single"/>
        </w:rPr>
        <w:t>Proceeding:</w:t>
      </w:r>
      <w:r>
        <w:rPr>
          <w:rFonts w:ascii="Arial" w:hAnsi="Arial" w:cs="Arial"/>
          <w:color w:val="7B7B7B" w:themeColor="accent3" w:themeShade="BF"/>
          <w:sz w:val="22"/>
          <w:szCs w:val="22"/>
        </w:rPr>
        <w:t xml:space="preserve"> </w:t>
      </w:r>
      <w:r w:rsidR="00C340C3">
        <w:rPr>
          <w:rFonts w:ascii="Arial" w:hAnsi="Arial" w:cs="Arial"/>
          <w:color w:val="7B7B7B" w:themeColor="accent3" w:themeShade="BF"/>
          <w:sz w:val="22"/>
          <w:szCs w:val="22"/>
        </w:rPr>
        <w:t xml:space="preserve">The MLCBI has, as its purpose, to provide a tool for achieving a coordinated solution for all stakeholders across the globe to an insolvency proceeding. </w:t>
      </w:r>
      <w:r w:rsidR="00CB381C">
        <w:rPr>
          <w:rFonts w:ascii="Arial" w:hAnsi="Arial" w:cs="Arial"/>
          <w:color w:val="7B7B7B" w:themeColor="accent3" w:themeShade="BF"/>
          <w:sz w:val="22"/>
          <w:szCs w:val="22"/>
        </w:rPr>
        <w:t xml:space="preserve">Under </w:t>
      </w:r>
      <w:r w:rsidR="00CB381C">
        <w:rPr>
          <w:rFonts w:ascii="Arial" w:hAnsi="Arial" w:cs="Arial"/>
          <w:b/>
          <w:bCs/>
          <w:color w:val="7B7B7B" w:themeColor="accent3" w:themeShade="BF"/>
          <w:sz w:val="22"/>
          <w:szCs w:val="22"/>
        </w:rPr>
        <w:t xml:space="preserve">paragraph 70-71 GEI, </w:t>
      </w:r>
      <w:r w:rsidR="00CB381C">
        <w:rPr>
          <w:rFonts w:ascii="Arial" w:hAnsi="Arial" w:cs="Arial"/>
          <w:color w:val="7B7B7B" w:themeColor="accent3" w:themeShade="BF"/>
          <w:sz w:val="22"/>
          <w:szCs w:val="22"/>
        </w:rPr>
        <w:t>an important factor in assessing whether the proceeding is collective is whether substantially all of the assets and liabilities are involved in the proceeding. A</w:t>
      </w:r>
      <w:r w:rsidR="00862C6B" w:rsidRPr="00862C6B">
        <w:rPr>
          <w:rFonts w:ascii="Arial" w:hAnsi="Arial" w:cs="Arial"/>
          <w:color w:val="7B7B7B" w:themeColor="accent3" w:themeShade="BF"/>
          <w:sz w:val="22"/>
          <w:szCs w:val="22"/>
        </w:rPr>
        <w:t xml:space="preserve"> variety of collective proceedings would be eligible for recognition,</w:t>
      </w:r>
      <w:r w:rsidR="007373CB">
        <w:rPr>
          <w:rFonts w:ascii="Arial" w:hAnsi="Arial" w:cs="Arial"/>
          <w:color w:val="7B7B7B" w:themeColor="accent3" w:themeShade="BF"/>
          <w:sz w:val="22"/>
          <w:szCs w:val="22"/>
        </w:rPr>
        <w:t xml:space="preserve"> </w:t>
      </w:r>
      <w:r w:rsidR="00692618">
        <w:rPr>
          <w:rFonts w:ascii="Arial" w:hAnsi="Arial" w:cs="Arial"/>
          <w:color w:val="7B7B7B" w:themeColor="accent3" w:themeShade="BF"/>
          <w:sz w:val="22"/>
          <w:szCs w:val="22"/>
        </w:rPr>
        <w:t xml:space="preserve">including </w:t>
      </w:r>
      <w:r w:rsidR="00862C6B" w:rsidRPr="00862C6B">
        <w:rPr>
          <w:rFonts w:ascii="Arial" w:hAnsi="Arial" w:cs="Arial"/>
          <w:color w:val="7B7B7B" w:themeColor="accent3" w:themeShade="BF"/>
          <w:sz w:val="22"/>
          <w:szCs w:val="22"/>
        </w:rPr>
        <w:t xml:space="preserve">compulsory corporate winding-up </w:t>
      </w:r>
      <w:r w:rsidR="00692618">
        <w:rPr>
          <w:rFonts w:ascii="Arial" w:hAnsi="Arial" w:cs="Arial"/>
          <w:color w:val="7B7B7B" w:themeColor="accent3" w:themeShade="BF"/>
          <w:sz w:val="22"/>
          <w:szCs w:val="22"/>
        </w:rPr>
        <w:t>processes</w:t>
      </w:r>
      <w:r w:rsidR="00CB381C">
        <w:rPr>
          <w:rFonts w:ascii="Arial" w:hAnsi="Arial" w:cs="Arial"/>
          <w:color w:val="7B7B7B" w:themeColor="accent3" w:themeShade="BF"/>
          <w:sz w:val="22"/>
          <w:szCs w:val="22"/>
        </w:rPr>
        <w:t>.</w:t>
      </w:r>
      <w:r w:rsidR="00E230DD">
        <w:rPr>
          <w:rFonts w:ascii="Arial" w:hAnsi="Arial" w:cs="Arial"/>
          <w:color w:val="7B7B7B" w:themeColor="accent3" w:themeShade="BF"/>
          <w:sz w:val="22"/>
          <w:szCs w:val="22"/>
        </w:rPr>
        <w:t xml:space="preserve"> In order the assist the court of the enacting State in determining whether this condition is satisfied, the </w:t>
      </w:r>
      <w:r w:rsidR="00B3712A">
        <w:rPr>
          <w:rFonts w:ascii="Arial" w:hAnsi="Arial" w:cs="Arial"/>
          <w:color w:val="7B7B7B" w:themeColor="accent3" w:themeShade="BF"/>
          <w:sz w:val="22"/>
          <w:szCs w:val="22"/>
        </w:rPr>
        <w:t>JP</w:t>
      </w:r>
      <w:r w:rsidR="00E230DD">
        <w:rPr>
          <w:rFonts w:ascii="Arial" w:hAnsi="Arial" w:cs="Arial"/>
          <w:color w:val="7B7B7B" w:themeColor="accent3" w:themeShade="BF"/>
          <w:sz w:val="22"/>
          <w:szCs w:val="22"/>
        </w:rPr>
        <w:t xml:space="preserve"> provides some caselaw. </w:t>
      </w:r>
      <w:r w:rsidR="00900FBD">
        <w:rPr>
          <w:rFonts w:ascii="Arial" w:hAnsi="Arial" w:cs="Arial"/>
          <w:color w:val="7B7B7B" w:themeColor="accent3" w:themeShade="BF"/>
          <w:sz w:val="22"/>
          <w:szCs w:val="22"/>
        </w:rPr>
        <w:t xml:space="preserve">Fore example, </w:t>
      </w:r>
      <w:r w:rsidR="00900FBD">
        <w:rPr>
          <w:rFonts w:ascii="Arial" w:hAnsi="Arial" w:cs="Arial"/>
          <w:b/>
          <w:bCs/>
          <w:color w:val="7B7B7B" w:themeColor="accent3" w:themeShade="BF"/>
          <w:sz w:val="22"/>
          <w:szCs w:val="22"/>
        </w:rPr>
        <w:t xml:space="preserve">paragraph 75 JP </w:t>
      </w:r>
      <w:r w:rsidR="00900FBD">
        <w:rPr>
          <w:rFonts w:ascii="Arial" w:hAnsi="Arial" w:cs="Arial"/>
          <w:color w:val="7B7B7B" w:themeColor="accent3" w:themeShade="BF"/>
          <w:sz w:val="22"/>
          <w:szCs w:val="22"/>
        </w:rPr>
        <w:t xml:space="preserve">mentions that </w:t>
      </w:r>
      <w:r w:rsidR="00EF5B89" w:rsidRPr="00EF5B89">
        <w:rPr>
          <w:rFonts w:ascii="Arial" w:hAnsi="Arial" w:cs="Arial"/>
          <w:i/>
          <w:iCs/>
          <w:color w:val="7B7B7B" w:themeColor="accent3" w:themeShade="BF"/>
          <w:sz w:val="22"/>
          <w:szCs w:val="22"/>
        </w:rPr>
        <w:t>British American Ins. Co. Ltd (In re) 425 B.R. 884 (</w:t>
      </w:r>
      <w:proofErr w:type="spellStart"/>
      <w:r w:rsidR="00EF5B89" w:rsidRPr="00EF5B89">
        <w:rPr>
          <w:rFonts w:ascii="Arial" w:hAnsi="Arial" w:cs="Arial"/>
          <w:i/>
          <w:iCs/>
          <w:color w:val="7B7B7B" w:themeColor="accent3" w:themeShade="BF"/>
          <w:sz w:val="22"/>
          <w:szCs w:val="22"/>
        </w:rPr>
        <w:t>Bankr</w:t>
      </w:r>
      <w:proofErr w:type="spellEnd"/>
      <w:r w:rsidR="00EF5B89" w:rsidRPr="00EF5B89">
        <w:rPr>
          <w:rFonts w:ascii="Arial" w:hAnsi="Arial" w:cs="Arial"/>
          <w:i/>
          <w:iCs/>
          <w:color w:val="7B7B7B" w:themeColor="accent3" w:themeShade="BF"/>
          <w:sz w:val="22"/>
          <w:szCs w:val="22"/>
        </w:rPr>
        <w:t>. S.D. Fla. 2010) [CLOUT case no. 1005]</w:t>
      </w:r>
      <w:r w:rsidR="00EF5B89">
        <w:rPr>
          <w:rFonts w:ascii="Arial" w:hAnsi="Arial" w:cs="Arial"/>
          <w:i/>
          <w:iCs/>
          <w:color w:val="7B7B7B" w:themeColor="accent3" w:themeShade="BF"/>
          <w:sz w:val="22"/>
          <w:szCs w:val="22"/>
        </w:rPr>
        <w:t xml:space="preserve"> </w:t>
      </w:r>
      <w:r w:rsidR="00900FBD">
        <w:rPr>
          <w:rFonts w:ascii="Arial" w:hAnsi="Arial" w:cs="Arial"/>
          <w:color w:val="7B7B7B" w:themeColor="accent3" w:themeShade="BF"/>
          <w:sz w:val="22"/>
          <w:szCs w:val="22"/>
        </w:rPr>
        <w:t>case</w:t>
      </w:r>
      <w:r w:rsidR="00900FBD" w:rsidRPr="00E230DD">
        <w:rPr>
          <w:rFonts w:ascii="Arial" w:hAnsi="Arial" w:cs="Arial"/>
          <w:color w:val="7B7B7B" w:themeColor="accent3" w:themeShade="BF"/>
          <w:sz w:val="22"/>
          <w:szCs w:val="22"/>
        </w:rPr>
        <w:t xml:space="preserve">, the court </w:t>
      </w:r>
      <w:r w:rsidR="00900FBD">
        <w:rPr>
          <w:rFonts w:ascii="Arial" w:hAnsi="Arial" w:cs="Arial"/>
          <w:color w:val="7B7B7B" w:themeColor="accent3" w:themeShade="BF"/>
          <w:sz w:val="22"/>
          <w:szCs w:val="22"/>
        </w:rPr>
        <w:t>referred to the decisions in</w:t>
      </w:r>
      <w:r w:rsidR="00EF5B89">
        <w:rPr>
          <w:rFonts w:ascii="Arial" w:hAnsi="Arial" w:cs="Arial"/>
          <w:color w:val="7B7B7B" w:themeColor="accent3" w:themeShade="BF"/>
          <w:sz w:val="22"/>
          <w:szCs w:val="22"/>
        </w:rPr>
        <w:t xml:space="preserve"> </w:t>
      </w:r>
      <w:r w:rsidR="00EF5B89">
        <w:rPr>
          <w:rFonts w:ascii="Arial" w:hAnsi="Arial" w:cs="Arial"/>
          <w:i/>
          <w:iCs/>
          <w:color w:val="7B7B7B" w:themeColor="accent3" w:themeShade="BF"/>
          <w:sz w:val="22"/>
          <w:szCs w:val="22"/>
        </w:rPr>
        <w:t>In re</w:t>
      </w:r>
      <w:r w:rsidR="00900FBD" w:rsidRPr="00E230DD">
        <w:rPr>
          <w:rFonts w:ascii="Arial" w:hAnsi="Arial" w:cs="Arial"/>
          <w:color w:val="7B7B7B" w:themeColor="accent3" w:themeShade="BF"/>
          <w:sz w:val="22"/>
          <w:szCs w:val="22"/>
        </w:rPr>
        <w:t xml:space="preserve"> </w:t>
      </w:r>
      <w:proofErr w:type="spellStart"/>
      <w:r w:rsidR="00900FBD" w:rsidRPr="00900FBD">
        <w:rPr>
          <w:rFonts w:ascii="Arial" w:hAnsi="Arial" w:cs="Arial"/>
          <w:i/>
          <w:iCs/>
          <w:color w:val="7B7B7B" w:themeColor="accent3" w:themeShade="BF"/>
          <w:sz w:val="22"/>
          <w:szCs w:val="22"/>
        </w:rPr>
        <w:t>Betcorp</w:t>
      </w:r>
      <w:proofErr w:type="spellEnd"/>
      <w:r w:rsidR="00900FBD" w:rsidRPr="00E230DD">
        <w:rPr>
          <w:rFonts w:ascii="Arial" w:hAnsi="Arial" w:cs="Arial"/>
          <w:color w:val="7B7B7B" w:themeColor="accent3" w:themeShade="BF"/>
          <w:sz w:val="22"/>
          <w:szCs w:val="22"/>
        </w:rPr>
        <w:t xml:space="preserve"> </w:t>
      </w:r>
      <w:r w:rsidR="00EF5B89" w:rsidRPr="00EF5B89">
        <w:rPr>
          <w:rFonts w:ascii="Arial" w:hAnsi="Arial" w:cs="Arial"/>
          <w:i/>
          <w:iCs/>
          <w:color w:val="7B7B7B" w:themeColor="accent3" w:themeShade="BF"/>
          <w:sz w:val="22"/>
          <w:szCs w:val="22"/>
        </w:rPr>
        <w:t xml:space="preserve">400 B.R. 266 </w:t>
      </w:r>
      <w:r w:rsidR="00EF5B89">
        <w:rPr>
          <w:rFonts w:ascii="Arial" w:hAnsi="Arial" w:cs="Arial"/>
          <w:i/>
          <w:iCs/>
          <w:color w:val="7B7B7B" w:themeColor="accent3" w:themeShade="BF"/>
          <w:sz w:val="22"/>
          <w:szCs w:val="22"/>
        </w:rPr>
        <w:t xml:space="preserve">(in liquidation) </w:t>
      </w:r>
      <w:r w:rsidR="00EF5B89" w:rsidRPr="00EF5B89">
        <w:rPr>
          <w:rFonts w:ascii="Arial" w:hAnsi="Arial" w:cs="Arial"/>
          <w:i/>
          <w:iCs/>
          <w:color w:val="7B7B7B" w:themeColor="accent3" w:themeShade="BF"/>
          <w:sz w:val="22"/>
          <w:szCs w:val="22"/>
        </w:rPr>
        <w:t>(</w:t>
      </w:r>
      <w:proofErr w:type="spellStart"/>
      <w:r w:rsidR="00EF5B89" w:rsidRPr="00EF5B89">
        <w:rPr>
          <w:rFonts w:ascii="Arial" w:hAnsi="Arial" w:cs="Arial"/>
          <w:i/>
          <w:iCs/>
          <w:color w:val="7B7B7B" w:themeColor="accent3" w:themeShade="BF"/>
          <w:sz w:val="22"/>
          <w:szCs w:val="22"/>
        </w:rPr>
        <w:t>Bankr</w:t>
      </w:r>
      <w:proofErr w:type="spellEnd"/>
      <w:r w:rsidR="00EF5B89" w:rsidRPr="00EF5B89">
        <w:rPr>
          <w:rFonts w:ascii="Arial" w:hAnsi="Arial" w:cs="Arial"/>
          <w:i/>
          <w:iCs/>
          <w:color w:val="7B7B7B" w:themeColor="accent3" w:themeShade="BF"/>
          <w:sz w:val="22"/>
          <w:szCs w:val="22"/>
        </w:rPr>
        <w:t>. D. Nev. 2009) [CLOUT case no. 927]</w:t>
      </w:r>
      <w:r w:rsidR="00EF5B89">
        <w:rPr>
          <w:rFonts w:ascii="Arial" w:hAnsi="Arial" w:cs="Arial"/>
          <w:color w:val="7B7B7B" w:themeColor="accent3" w:themeShade="BF"/>
          <w:sz w:val="22"/>
          <w:szCs w:val="22"/>
        </w:rPr>
        <w:t xml:space="preserve"> </w:t>
      </w:r>
      <w:r w:rsidR="00900FBD" w:rsidRPr="00E230DD">
        <w:rPr>
          <w:rFonts w:ascii="Arial" w:hAnsi="Arial" w:cs="Arial"/>
          <w:color w:val="7B7B7B" w:themeColor="accent3" w:themeShade="BF"/>
          <w:sz w:val="22"/>
          <w:szCs w:val="22"/>
        </w:rPr>
        <w:t xml:space="preserve">and </w:t>
      </w:r>
      <w:r w:rsidR="00EF5B89">
        <w:rPr>
          <w:rFonts w:ascii="Arial" w:hAnsi="Arial" w:cs="Arial"/>
          <w:i/>
          <w:iCs/>
          <w:color w:val="7B7B7B" w:themeColor="accent3" w:themeShade="BF"/>
          <w:sz w:val="22"/>
          <w:szCs w:val="22"/>
        </w:rPr>
        <w:t xml:space="preserve">In re </w:t>
      </w:r>
      <w:r w:rsidR="00EF5B89" w:rsidRPr="00EF5B89">
        <w:rPr>
          <w:rFonts w:ascii="Arial" w:hAnsi="Arial" w:cs="Arial"/>
          <w:i/>
          <w:iCs/>
          <w:color w:val="7B7B7B" w:themeColor="accent3" w:themeShade="BF"/>
          <w:sz w:val="22"/>
          <w:szCs w:val="22"/>
        </w:rPr>
        <w:t>Gold &amp; Honey, Ltd 410 B.R. 357 (</w:t>
      </w:r>
      <w:proofErr w:type="spellStart"/>
      <w:r w:rsidR="00EF5B89" w:rsidRPr="00EF5B89">
        <w:rPr>
          <w:rFonts w:ascii="Arial" w:hAnsi="Arial" w:cs="Arial"/>
          <w:i/>
          <w:iCs/>
          <w:color w:val="7B7B7B" w:themeColor="accent3" w:themeShade="BF"/>
          <w:sz w:val="22"/>
          <w:szCs w:val="22"/>
        </w:rPr>
        <w:t>Bankr</w:t>
      </w:r>
      <w:proofErr w:type="spellEnd"/>
      <w:r w:rsidR="00EF5B89" w:rsidRPr="00EF5B89">
        <w:rPr>
          <w:rFonts w:ascii="Arial" w:hAnsi="Arial" w:cs="Arial"/>
          <w:i/>
          <w:iCs/>
          <w:color w:val="7B7B7B" w:themeColor="accent3" w:themeShade="BF"/>
          <w:sz w:val="22"/>
          <w:szCs w:val="22"/>
        </w:rPr>
        <w:t>. E.D.N.Y. 2009) [CLOUT case no. 1008]</w:t>
      </w:r>
      <w:r w:rsidR="00EF5B89">
        <w:rPr>
          <w:rFonts w:ascii="Arial" w:hAnsi="Arial" w:cs="Arial"/>
          <w:i/>
          <w:iCs/>
          <w:color w:val="7B7B7B" w:themeColor="accent3" w:themeShade="BF"/>
          <w:sz w:val="22"/>
          <w:szCs w:val="22"/>
        </w:rPr>
        <w:t xml:space="preserve"> </w:t>
      </w:r>
      <w:r w:rsidR="00900FBD">
        <w:rPr>
          <w:rFonts w:ascii="Arial" w:hAnsi="Arial" w:cs="Arial"/>
          <w:color w:val="7B7B7B" w:themeColor="accent3" w:themeShade="BF"/>
          <w:sz w:val="22"/>
          <w:szCs w:val="22"/>
        </w:rPr>
        <w:t xml:space="preserve">and reiterated that the </w:t>
      </w:r>
      <w:r w:rsidR="00900FBD" w:rsidRPr="00E230DD">
        <w:rPr>
          <w:rFonts w:ascii="Arial" w:hAnsi="Arial" w:cs="Arial"/>
          <w:color w:val="7B7B7B" w:themeColor="accent3" w:themeShade="BF"/>
          <w:sz w:val="22"/>
          <w:szCs w:val="22"/>
        </w:rPr>
        <w:t>“collective”</w:t>
      </w:r>
      <w:r w:rsidR="00900FBD">
        <w:rPr>
          <w:rFonts w:ascii="Arial" w:hAnsi="Arial" w:cs="Arial"/>
          <w:color w:val="7B7B7B" w:themeColor="accent3" w:themeShade="BF"/>
          <w:sz w:val="22"/>
          <w:szCs w:val="22"/>
        </w:rPr>
        <w:t xml:space="preserve"> nature can be derived from</w:t>
      </w:r>
      <w:r w:rsidR="00900FBD" w:rsidRPr="00E230DD">
        <w:rPr>
          <w:rFonts w:ascii="Arial" w:hAnsi="Arial" w:cs="Arial"/>
          <w:color w:val="7B7B7B" w:themeColor="accent3" w:themeShade="BF"/>
          <w:sz w:val="22"/>
          <w:szCs w:val="22"/>
        </w:rPr>
        <w:t xml:space="preserve"> the consideration</w:t>
      </w:r>
      <w:r w:rsidR="00900FBD">
        <w:rPr>
          <w:rFonts w:ascii="Arial" w:hAnsi="Arial" w:cs="Arial"/>
          <w:color w:val="7B7B7B" w:themeColor="accent3" w:themeShade="BF"/>
          <w:sz w:val="22"/>
          <w:szCs w:val="22"/>
        </w:rPr>
        <w:t>,</w:t>
      </w:r>
      <w:r w:rsidR="00900FBD" w:rsidRPr="00E230DD">
        <w:rPr>
          <w:rFonts w:ascii="Arial" w:hAnsi="Arial" w:cs="Arial"/>
          <w:color w:val="7B7B7B" w:themeColor="accent3" w:themeShade="BF"/>
          <w:sz w:val="22"/>
          <w:szCs w:val="22"/>
        </w:rPr>
        <w:t xml:space="preserve"> the eventual treatment of claims of various types of creditors, </w:t>
      </w:r>
      <w:r w:rsidR="00900FBD">
        <w:rPr>
          <w:rFonts w:ascii="Arial" w:hAnsi="Arial" w:cs="Arial"/>
          <w:color w:val="7B7B7B" w:themeColor="accent3" w:themeShade="BF"/>
          <w:sz w:val="22"/>
          <w:szCs w:val="22"/>
        </w:rPr>
        <w:t>and</w:t>
      </w:r>
      <w:r w:rsidR="00900FBD" w:rsidRPr="00E230DD">
        <w:rPr>
          <w:rFonts w:ascii="Arial" w:hAnsi="Arial" w:cs="Arial"/>
          <w:color w:val="7B7B7B" w:themeColor="accent3" w:themeShade="BF"/>
          <w:sz w:val="22"/>
          <w:szCs w:val="22"/>
        </w:rPr>
        <w:t xml:space="preserve"> the possibility that creditors </w:t>
      </w:r>
      <w:r w:rsidR="00900FBD">
        <w:rPr>
          <w:rFonts w:ascii="Arial" w:hAnsi="Arial" w:cs="Arial"/>
          <w:color w:val="7B7B7B" w:themeColor="accent3" w:themeShade="BF"/>
          <w:sz w:val="22"/>
          <w:szCs w:val="22"/>
        </w:rPr>
        <w:t>partak</w:t>
      </w:r>
      <w:r w:rsidR="00B3712A">
        <w:rPr>
          <w:rFonts w:ascii="Arial" w:hAnsi="Arial" w:cs="Arial"/>
          <w:color w:val="7B7B7B" w:themeColor="accent3" w:themeShade="BF"/>
          <w:sz w:val="22"/>
          <w:szCs w:val="22"/>
        </w:rPr>
        <w:t>e</w:t>
      </w:r>
      <w:r w:rsidR="00900FBD" w:rsidRPr="00E230DD">
        <w:rPr>
          <w:rFonts w:ascii="Arial" w:hAnsi="Arial" w:cs="Arial"/>
          <w:color w:val="7B7B7B" w:themeColor="accent3" w:themeShade="BF"/>
          <w:sz w:val="22"/>
          <w:szCs w:val="22"/>
        </w:rPr>
        <w:t xml:space="preserve"> in the foreign action.</w:t>
      </w:r>
      <w:r w:rsidR="00900FBD">
        <w:rPr>
          <w:rFonts w:ascii="Arial" w:hAnsi="Arial" w:cs="Arial"/>
          <w:color w:val="7B7B7B" w:themeColor="accent3" w:themeShade="BF"/>
          <w:sz w:val="22"/>
          <w:szCs w:val="22"/>
        </w:rPr>
        <w:t xml:space="preserve"> </w:t>
      </w:r>
      <w:r w:rsidR="00FC0D0B">
        <w:rPr>
          <w:rFonts w:ascii="Arial" w:hAnsi="Arial" w:cs="Arial"/>
          <w:color w:val="7B7B7B" w:themeColor="accent3" w:themeShade="BF"/>
          <w:sz w:val="22"/>
          <w:szCs w:val="22"/>
        </w:rPr>
        <w:t>An interesting point is highlighted in</w:t>
      </w:r>
      <w:r w:rsidR="00900FBD">
        <w:rPr>
          <w:rFonts w:ascii="Arial" w:hAnsi="Arial" w:cs="Arial"/>
          <w:color w:val="7B7B7B" w:themeColor="accent3" w:themeShade="BF"/>
          <w:sz w:val="22"/>
          <w:szCs w:val="22"/>
        </w:rPr>
        <w:t xml:space="preserve"> </w:t>
      </w:r>
      <w:r w:rsidR="00900FBD">
        <w:rPr>
          <w:rFonts w:ascii="Arial" w:hAnsi="Arial" w:cs="Arial"/>
          <w:b/>
          <w:bCs/>
          <w:color w:val="7B7B7B" w:themeColor="accent3" w:themeShade="BF"/>
          <w:sz w:val="22"/>
          <w:szCs w:val="22"/>
        </w:rPr>
        <w:t>paragraph 76 JP</w:t>
      </w:r>
      <w:r w:rsidR="00FC0D0B">
        <w:rPr>
          <w:rFonts w:ascii="Arial" w:hAnsi="Arial" w:cs="Arial"/>
          <w:b/>
          <w:bCs/>
          <w:color w:val="7B7B7B" w:themeColor="accent3" w:themeShade="BF"/>
          <w:sz w:val="22"/>
          <w:szCs w:val="22"/>
        </w:rPr>
        <w:t xml:space="preserve">, </w:t>
      </w:r>
      <w:r w:rsidR="00FC0D0B">
        <w:rPr>
          <w:rFonts w:ascii="Arial" w:hAnsi="Arial" w:cs="Arial"/>
          <w:color w:val="7B7B7B" w:themeColor="accent3" w:themeShade="BF"/>
          <w:sz w:val="22"/>
          <w:szCs w:val="22"/>
        </w:rPr>
        <w:t>which</w:t>
      </w:r>
      <w:r w:rsidR="00900FBD">
        <w:rPr>
          <w:rFonts w:ascii="Arial" w:hAnsi="Arial" w:cs="Arial"/>
          <w:b/>
          <w:bCs/>
          <w:color w:val="7B7B7B" w:themeColor="accent3" w:themeShade="BF"/>
          <w:sz w:val="22"/>
          <w:szCs w:val="22"/>
        </w:rPr>
        <w:t xml:space="preserve"> </w:t>
      </w:r>
      <w:r w:rsidR="00900FBD">
        <w:rPr>
          <w:rFonts w:ascii="Arial" w:hAnsi="Arial" w:cs="Arial"/>
          <w:color w:val="7B7B7B" w:themeColor="accent3" w:themeShade="BF"/>
          <w:sz w:val="22"/>
          <w:szCs w:val="22"/>
        </w:rPr>
        <w:t>explains that in</w:t>
      </w:r>
      <w:r w:rsidR="00900FBD" w:rsidRPr="00900FBD">
        <w:rPr>
          <w:rFonts w:ascii="Arial" w:hAnsi="Arial" w:cs="Arial"/>
          <w:color w:val="7B7B7B" w:themeColor="accent3" w:themeShade="BF"/>
          <w:sz w:val="22"/>
          <w:szCs w:val="22"/>
        </w:rPr>
        <w:t xml:space="preserve"> </w:t>
      </w:r>
      <w:r w:rsidR="00EF5B89" w:rsidRPr="00EF5B89">
        <w:rPr>
          <w:rFonts w:ascii="Arial" w:hAnsi="Arial" w:cs="Arial"/>
          <w:i/>
          <w:iCs/>
          <w:color w:val="7B7B7B" w:themeColor="accent3" w:themeShade="BF"/>
          <w:sz w:val="22"/>
          <w:szCs w:val="22"/>
        </w:rPr>
        <w:t>Stanford International Bank Ltd [2009] EWHC 1441 (Ch); on appeal [2010] EWCA Civ. 137, [CLOUT case no. 1003]</w:t>
      </w:r>
      <w:r w:rsidR="00D565DF">
        <w:rPr>
          <w:rFonts w:ascii="Arial" w:hAnsi="Arial" w:cs="Arial"/>
          <w:color w:val="7B7B7B" w:themeColor="accent3" w:themeShade="BF"/>
          <w:sz w:val="22"/>
          <w:szCs w:val="22"/>
        </w:rPr>
        <w:t>, the procedure in question was not</w:t>
      </w:r>
      <w:r w:rsidR="00900FBD" w:rsidRPr="00900FBD">
        <w:rPr>
          <w:rFonts w:ascii="Arial" w:hAnsi="Arial" w:cs="Arial"/>
          <w:color w:val="7B7B7B" w:themeColor="accent3" w:themeShade="BF"/>
          <w:sz w:val="22"/>
          <w:szCs w:val="22"/>
        </w:rPr>
        <w:t xml:space="preserve"> collective </w:t>
      </w:r>
      <w:r w:rsidR="00D565DF">
        <w:rPr>
          <w:rFonts w:ascii="Arial" w:hAnsi="Arial" w:cs="Arial"/>
          <w:color w:val="7B7B7B" w:themeColor="accent3" w:themeShade="BF"/>
          <w:sz w:val="22"/>
          <w:szCs w:val="22"/>
        </w:rPr>
        <w:t>as it commenced upon</w:t>
      </w:r>
      <w:r w:rsidR="00900FBD" w:rsidRPr="00900FBD">
        <w:rPr>
          <w:rFonts w:ascii="Arial" w:hAnsi="Arial" w:cs="Arial"/>
          <w:color w:val="7B7B7B" w:themeColor="accent3" w:themeShade="BF"/>
          <w:sz w:val="22"/>
          <w:szCs w:val="22"/>
        </w:rPr>
        <w:t xml:space="preserve"> an intervention by the </w:t>
      </w:r>
      <w:r w:rsidR="00D565DF">
        <w:rPr>
          <w:rFonts w:ascii="Arial" w:hAnsi="Arial" w:cs="Arial"/>
          <w:color w:val="7B7B7B" w:themeColor="accent3" w:themeShade="BF"/>
          <w:sz w:val="22"/>
          <w:szCs w:val="22"/>
        </w:rPr>
        <w:t xml:space="preserve">US </w:t>
      </w:r>
      <w:r w:rsidR="00900FBD" w:rsidRPr="00900FBD">
        <w:rPr>
          <w:rFonts w:ascii="Arial" w:hAnsi="Arial" w:cs="Arial"/>
          <w:color w:val="7B7B7B" w:themeColor="accent3" w:themeShade="BF"/>
          <w:sz w:val="22"/>
          <w:szCs w:val="22"/>
        </w:rPr>
        <w:t xml:space="preserve">Securities Exchange Commission </w:t>
      </w:r>
      <w:r w:rsidR="00D565DF">
        <w:rPr>
          <w:rFonts w:ascii="Arial" w:hAnsi="Arial" w:cs="Arial"/>
          <w:color w:val="7B7B7B" w:themeColor="accent3" w:themeShade="BF"/>
          <w:sz w:val="22"/>
          <w:szCs w:val="22"/>
        </w:rPr>
        <w:t xml:space="preserve">in order to avoid fraud and </w:t>
      </w:r>
      <w:r w:rsidR="00900FBD" w:rsidRPr="00900FBD">
        <w:rPr>
          <w:rFonts w:ascii="Arial" w:hAnsi="Arial" w:cs="Arial"/>
          <w:color w:val="7B7B7B" w:themeColor="accent3" w:themeShade="BF"/>
          <w:sz w:val="22"/>
          <w:szCs w:val="22"/>
        </w:rPr>
        <w:t xml:space="preserve">prevent detriment to investors, rather than to reorganize </w:t>
      </w:r>
      <w:r w:rsidR="00D565DF">
        <w:rPr>
          <w:rFonts w:ascii="Arial" w:hAnsi="Arial" w:cs="Arial"/>
          <w:color w:val="7B7B7B" w:themeColor="accent3" w:themeShade="BF"/>
          <w:sz w:val="22"/>
          <w:szCs w:val="22"/>
        </w:rPr>
        <w:t>the business.</w:t>
      </w:r>
      <w:r w:rsidR="00FC0D0B">
        <w:rPr>
          <w:rFonts w:ascii="Arial" w:hAnsi="Arial" w:cs="Arial"/>
          <w:color w:val="7B7B7B" w:themeColor="accent3" w:themeShade="BF"/>
          <w:sz w:val="22"/>
          <w:szCs w:val="22"/>
        </w:rPr>
        <w:t xml:space="preserve"> Most importantly, in </w:t>
      </w:r>
      <w:r w:rsidR="0083272E">
        <w:rPr>
          <w:rFonts w:ascii="Arial" w:hAnsi="Arial" w:cs="Arial"/>
          <w:i/>
          <w:iCs/>
          <w:color w:val="7B7B7B" w:themeColor="accent3" w:themeShade="BF"/>
          <w:sz w:val="22"/>
          <w:szCs w:val="22"/>
        </w:rPr>
        <w:t xml:space="preserve">In the matter of </w:t>
      </w:r>
      <w:proofErr w:type="spellStart"/>
      <w:r w:rsidR="0083272E">
        <w:rPr>
          <w:rFonts w:ascii="Arial" w:hAnsi="Arial" w:cs="Arial"/>
          <w:i/>
          <w:iCs/>
          <w:color w:val="7B7B7B" w:themeColor="accent3" w:themeShade="BF"/>
          <w:sz w:val="22"/>
          <w:szCs w:val="22"/>
        </w:rPr>
        <w:t>Agrokor</w:t>
      </w:r>
      <w:proofErr w:type="spellEnd"/>
      <w:r w:rsidR="0083272E">
        <w:rPr>
          <w:rFonts w:ascii="Arial" w:hAnsi="Arial" w:cs="Arial"/>
          <w:i/>
          <w:iCs/>
          <w:color w:val="7B7B7B" w:themeColor="accent3" w:themeShade="BF"/>
          <w:sz w:val="22"/>
          <w:szCs w:val="22"/>
        </w:rPr>
        <w:t xml:space="preserve"> DD [2017] EWHC 2791 (Ch) </w:t>
      </w:r>
      <w:r w:rsidR="00EF5B89">
        <w:rPr>
          <w:rFonts w:ascii="Arial" w:hAnsi="Arial" w:cs="Arial"/>
          <w:color w:val="7B7B7B" w:themeColor="accent3" w:themeShade="BF"/>
          <w:sz w:val="22"/>
          <w:szCs w:val="22"/>
        </w:rPr>
        <w:t>(henceforth “</w:t>
      </w:r>
      <w:proofErr w:type="spellStart"/>
      <w:r w:rsidR="00EF5B89" w:rsidRPr="00EF5B89">
        <w:rPr>
          <w:rFonts w:ascii="Arial" w:hAnsi="Arial" w:cs="Arial"/>
          <w:i/>
          <w:iCs/>
          <w:color w:val="7B7B7B" w:themeColor="accent3" w:themeShade="BF"/>
          <w:sz w:val="22"/>
          <w:szCs w:val="22"/>
        </w:rPr>
        <w:t>Agrokor</w:t>
      </w:r>
      <w:proofErr w:type="spellEnd"/>
      <w:r w:rsidR="00EF5B89">
        <w:rPr>
          <w:rFonts w:ascii="Arial" w:hAnsi="Arial" w:cs="Arial"/>
          <w:color w:val="7B7B7B" w:themeColor="accent3" w:themeShade="BF"/>
          <w:sz w:val="22"/>
          <w:szCs w:val="22"/>
        </w:rPr>
        <w:t xml:space="preserve">”) </w:t>
      </w:r>
      <w:r w:rsidR="0083272E" w:rsidRPr="00EF5B89">
        <w:rPr>
          <w:rFonts w:ascii="Arial" w:hAnsi="Arial" w:cs="Arial"/>
          <w:color w:val="7B7B7B" w:themeColor="accent3" w:themeShade="BF"/>
          <w:sz w:val="22"/>
          <w:szCs w:val="22"/>
        </w:rPr>
        <w:t>the</w:t>
      </w:r>
      <w:r w:rsidR="0083272E">
        <w:rPr>
          <w:rFonts w:ascii="Arial" w:hAnsi="Arial" w:cs="Arial"/>
          <w:color w:val="7B7B7B" w:themeColor="accent3" w:themeShade="BF"/>
          <w:sz w:val="22"/>
          <w:szCs w:val="22"/>
        </w:rPr>
        <w:t xml:space="preserve"> Court ruled in paragraph</w:t>
      </w:r>
      <w:r w:rsidR="00FA557A">
        <w:rPr>
          <w:rFonts w:ascii="Arial" w:hAnsi="Arial" w:cs="Arial"/>
          <w:color w:val="7B7B7B" w:themeColor="accent3" w:themeShade="BF"/>
          <w:sz w:val="22"/>
          <w:szCs w:val="22"/>
        </w:rPr>
        <w:t>s</w:t>
      </w:r>
      <w:r w:rsidR="0083272E">
        <w:rPr>
          <w:rFonts w:ascii="Arial" w:hAnsi="Arial" w:cs="Arial"/>
          <w:color w:val="7B7B7B" w:themeColor="accent3" w:themeShade="BF"/>
          <w:sz w:val="22"/>
          <w:szCs w:val="22"/>
        </w:rPr>
        <w:t xml:space="preserve"> [</w:t>
      </w:r>
      <w:r w:rsidR="00B70459">
        <w:rPr>
          <w:rFonts w:ascii="Arial" w:hAnsi="Arial" w:cs="Arial"/>
          <w:color w:val="7B7B7B" w:themeColor="accent3" w:themeShade="BF"/>
          <w:sz w:val="22"/>
          <w:szCs w:val="22"/>
        </w:rPr>
        <w:t>97</w:t>
      </w:r>
      <w:r w:rsidR="00FA557A">
        <w:rPr>
          <w:rFonts w:ascii="Arial" w:hAnsi="Arial" w:cs="Arial"/>
          <w:color w:val="7B7B7B" w:themeColor="accent3" w:themeShade="BF"/>
          <w:sz w:val="22"/>
          <w:szCs w:val="22"/>
        </w:rPr>
        <w:t>-9</w:t>
      </w:r>
      <w:r w:rsidR="00B70459">
        <w:rPr>
          <w:rFonts w:ascii="Arial" w:hAnsi="Arial" w:cs="Arial"/>
          <w:color w:val="7B7B7B" w:themeColor="accent3" w:themeShade="BF"/>
          <w:sz w:val="22"/>
          <w:szCs w:val="22"/>
        </w:rPr>
        <w:t>8</w:t>
      </w:r>
      <w:r w:rsidR="00FA557A">
        <w:rPr>
          <w:rFonts w:ascii="Arial" w:hAnsi="Arial" w:cs="Arial"/>
          <w:color w:val="7B7B7B" w:themeColor="accent3" w:themeShade="BF"/>
          <w:sz w:val="22"/>
          <w:szCs w:val="22"/>
        </w:rPr>
        <w:t xml:space="preserve">] </w:t>
      </w:r>
      <w:r w:rsidR="0083272E">
        <w:rPr>
          <w:rFonts w:ascii="Arial" w:hAnsi="Arial" w:cs="Arial"/>
          <w:color w:val="7B7B7B" w:themeColor="accent3" w:themeShade="BF"/>
          <w:sz w:val="22"/>
          <w:szCs w:val="22"/>
        </w:rPr>
        <w:t>that</w:t>
      </w:r>
      <w:r w:rsidR="00FA557A">
        <w:rPr>
          <w:rFonts w:ascii="Arial" w:hAnsi="Arial" w:cs="Arial"/>
          <w:color w:val="7B7B7B" w:themeColor="accent3" w:themeShade="BF"/>
          <w:sz w:val="22"/>
          <w:szCs w:val="22"/>
        </w:rPr>
        <w:t xml:space="preserve"> in single group proceedings – which is not excluded by the MLCBI – the creditors are obliged to share the assets with the creditors of other debtors (members of the group) as it concerns a relationship about the debtor, its creditors, the other group companies and the creditors of those other companies. Therefore</w:t>
      </w:r>
      <w:r w:rsidR="00B70459">
        <w:rPr>
          <w:rFonts w:ascii="Arial" w:hAnsi="Arial" w:cs="Arial"/>
          <w:color w:val="7B7B7B" w:themeColor="accent3" w:themeShade="BF"/>
          <w:sz w:val="22"/>
          <w:szCs w:val="22"/>
        </w:rPr>
        <w:t xml:space="preserve">, the Court ruled that, rather than that the proceeding is not sufficiently collective, it is “too” collective. </w:t>
      </w:r>
    </w:p>
    <w:p w14:paraId="7213C2ED" w14:textId="77777777" w:rsidR="000571DB" w:rsidRDefault="00EE167B" w:rsidP="00CB381C">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Looking at our case, the Bank is, by definition</w:t>
      </w:r>
      <w:r w:rsidR="00815E9F">
        <w:rPr>
          <w:rFonts w:ascii="Arial" w:hAnsi="Arial" w:cs="Arial"/>
          <w:color w:val="7B7B7B" w:themeColor="accent3" w:themeShade="BF"/>
          <w:sz w:val="22"/>
          <w:szCs w:val="22"/>
        </w:rPr>
        <w:t xml:space="preserve"> and because of the nature of the business</w:t>
      </w:r>
      <w:r>
        <w:rPr>
          <w:rFonts w:ascii="Arial" w:hAnsi="Arial" w:cs="Arial"/>
          <w:color w:val="7B7B7B" w:themeColor="accent3" w:themeShade="BF"/>
          <w:sz w:val="22"/>
          <w:szCs w:val="22"/>
        </w:rPr>
        <w:t>, an institution with multiple stakeholders</w:t>
      </w:r>
      <w:r w:rsidR="00815E9F">
        <w:rPr>
          <w:rFonts w:ascii="Arial" w:hAnsi="Arial" w:cs="Arial"/>
          <w:color w:val="7B7B7B" w:themeColor="accent3" w:themeShade="BF"/>
          <w:sz w:val="22"/>
          <w:szCs w:val="22"/>
        </w:rPr>
        <w:t>.</w:t>
      </w:r>
      <w:r w:rsidR="003F4B84">
        <w:rPr>
          <w:rFonts w:ascii="Arial" w:hAnsi="Arial" w:cs="Arial"/>
          <w:color w:val="7B7B7B" w:themeColor="accent3" w:themeShade="BF"/>
          <w:sz w:val="22"/>
          <w:szCs w:val="22"/>
        </w:rPr>
        <w:t xml:space="preserve"> It is also owned through various corporate entities located in other Nations.</w:t>
      </w:r>
      <w:r w:rsidR="00815E9F">
        <w:rPr>
          <w:rFonts w:ascii="Arial" w:hAnsi="Arial" w:cs="Arial"/>
          <w:color w:val="7B7B7B" w:themeColor="accent3" w:themeShade="BF"/>
          <w:sz w:val="22"/>
          <w:szCs w:val="22"/>
        </w:rPr>
        <w:t xml:space="preserve"> </w:t>
      </w:r>
      <w:r w:rsidR="007A3722">
        <w:rPr>
          <w:rFonts w:ascii="Arial" w:hAnsi="Arial" w:cs="Arial"/>
          <w:color w:val="7B7B7B" w:themeColor="accent3" w:themeShade="BF"/>
          <w:sz w:val="22"/>
          <w:szCs w:val="22"/>
        </w:rPr>
        <w:t>As soon as the liquidation proceedings commences</w:t>
      </w:r>
      <w:r w:rsidR="00620873">
        <w:rPr>
          <w:rFonts w:ascii="Arial" w:hAnsi="Arial" w:cs="Arial"/>
          <w:color w:val="7B7B7B" w:themeColor="accent3" w:themeShade="BF"/>
          <w:sz w:val="22"/>
          <w:szCs w:val="22"/>
        </w:rPr>
        <w:t xml:space="preserve"> upon the NB’s decision to revoke the Bank’s license</w:t>
      </w:r>
      <w:r w:rsidR="007A3722">
        <w:rPr>
          <w:rFonts w:ascii="Arial" w:hAnsi="Arial" w:cs="Arial"/>
          <w:color w:val="7B7B7B" w:themeColor="accent3" w:themeShade="BF"/>
          <w:sz w:val="22"/>
          <w:szCs w:val="22"/>
        </w:rPr>
        <w:t xml:space="preserve">, the DGF, as the liquidator, has extensive powers to manage the </w:t>
      </w:r>
      <w:r w:rsidR="00620873">
        <w:rPr>
          <w:rFonts w:ascii="Arial" w:hAnsi="Arial" w:cs="Arial"/>
          <w:color w:val="7B7B7B" w:themeColor="accent3" w:themeShade="BF"/>
          <w:sz w:val="22"/>
          <w:szCs w:val="22"/>
        </w:rPr>
        <w:t xml:space="preserve">Bank, its assets and liabilities as a whole and involve these in the liquidation proceeding. Moreover, the DGF has the power to “consider and treat” the creditor’s claims by compiling a register and seeking to satisfy these claims per Article 77 of the LBBA. </w:t>
      </w:r>
      <w:r w:rsidR="00181547">
        <w:rPr>
          <w:rFonts w:ascii="Arial" w:hAnsi="Arial" w:cs="Arial"/>
          <w:color w:val="7B7B7B" w:themeColor="accent3" w:themeShade="BF"/>
          <w:sz w:val="22"/>
          <w:szCs w:val="22"/>
        </w:rPr>
        <w:t xml:space="preserve">Similar to the </w:t>
      </w:r>
      <w:proofErr w:type="spellStart"/>
      <w:r w:rsidR="00181547">
        <w:rPr>
          <w:rFonts w:ascii="Arial" w:hAnsi="Arial" w:cs="Arial"/>
          <w:i/>
          <w:iCs/>
          <w:color w:val="7B7B7B" w:themeColor="accent3" w:themeShade="BF"/>
          <w:sz w:val="22"/>
          <w:szCs w:val="22"/>
        </w:rPr>
        <w:t>Agrokor</w:t>
      </w:r>
      <w:proofErr w:type="spellEnd"/>
      <w:r w:rsidR="00181547">
        <w:rPr>
          <w:rFonts w:ascii="Arial" w:hAnsi="Arial" w:cs="Arial"/>
          <w:i/>
          <w:iCs/>
          <w:color w:val="7B7B7B" w:themeColor="accent3" w:themeShade="BF"/>
          <w:sz w:val="22"/>
          <w:szCs w:val="22"/>
        </w:rPr>
        <w:t xml:space="preserve"> </w:t>
      </w:r>
      <w:r w:rsidR="00181547">
        <w:rPr>
          <w:rFonts w:ascii="Arial" w:hAnsi="Arial" w:cs="Arial"/>
          <w:color w:val="7B7B7B" w:themeColor="accent3" w:themeShade="BF"/>
          <w:sz w:val="22"/>
          <w:szCs w:val="22"/>
        </w:rPr>
        <w:t>case, considering that the debtor in question is a bank</w:t>
      </w:r>
      <w:r w:rsidR="00181547">
        <w:rPr>
          <w:rFonts w:ascii="Arial" w:hAnsi="Arial" w:cs="Arial"/>
          <w:color w:val="7B7B7B" w:themeColor="accent3" w:themeShade="BF"/>
          <w:sz w:val="22"/>
          <w:szCs w:val="22"/>
        </w:rPr>
        <w:t xml:space="preserve"> and that the DGF has full powers to consider the assets and liabilities of the Bank in its entirety</w:t>
      </w:r>
      <w:r w:rsidR="00181547">
        <w:rPr>
          <w:rFonts w:ascii="Arial" w:hAnsi="Arial" w:cs="Arial"/>
          <w:color w:val="7B7B7B" w:themeColor="accent3" w:themeShade="BF"/>
          <w:sz w:val="22"/>
          <w:szCs w:val="22"/>
        </w:rPr>
        <w:t xml:space="preserve">, the proceeding might even possess a nature that is “too” collective. </w:t>
      </w:r>
      <w:r w:rsidR="00620873">
        <w:rPr>
          <w:rFonts w:ascii="Arial" w:hAnsi="Arial" w:cs="Arial"/>
          <w:color w:val="7B7B7B" w:themeColor="accent3" w:themeShade="BF"/>
          <w:sz w:val="22"/>
          <w:szCs w:val="22"/>
        </w:rPr>
        <w:t xml:space="preserve">The allegations regarding the Bank’s involvement in fraudulent actions </w:t>
      </w:r>
      <w:r w:rsidR="007142F3">
        <w:rPr>
          <w:rFonts w:ascii="Arial" w:hAnsi="Arial" w:cs="Arial"/>
          <w:color w:val="7B7B7B" w:themeColor="accent3" w:themeShade="BF"/>
          <w:sz w:val="22"/>
          <w:szCs w:val="22"/>
        </w:rPr>
        <w:t xml:space="preserve">in the UK </w:t>
      </w:r>
      <w:r w:rsidR="00620873">
        <w:rPr>
          <w:rFonts w:ascii="Arial" w:hAnsi="Arial" w:cs="Arial"/>
          <w:color w:val="7B7B7B" w:themeColor="accent3" w:themeShade="BF"/>
          <w:sz w:val="22"/>
          <w:szCs w:val="22"/>
        </w:rPr>
        <w:t>does not negate the fact that the proceedings commenced due to the financial difficulties and insolven</w:t>
      </w:r>
      <w:r w:rsidR="000571DB">
        <w:rPr>
          <w:rFonts w:ascii="Arial" w:hAnsi="Arial" w:cs="Arial"/>
          <w:color w:val="7B7B7B" w:themeColor="accent3" w:themeShade="BF"/>
          <w:sz w:val="22"/>
          <w:szCs w:val="22"/>
        </w:rPr>
        <w:t>t</w:t>
      </w:r>
      <w:r w:rsidR="00620873">
        <w:rPr>
          <w:rFonts w:ascii="Arial" w:hAnsi="Arial" w:cs="Arial"/>
          <w:color w:val="7B7B7B" w:themeColor="accent3" w:themeShade="BF"/>
          <w:sz w:val="22"/>
          <w:szCs w:val="22"/>
        </w:rPr>
        <w:t xml:space="preserve"> state </w:t>
      </w:r>
      <w:r w:rsidR="000571DB">
        <w:rPr>
          <w:rFonts w:ascii="Arial" w:hAnsi="Arial" w:cs="Arial"/>
          <w:color w:val="7B7B7B" w:themeColor="accent3" w:themeShade="BF"/>
          <w:sz w:val="22"/>
          <w:szCs w:val="22"/>
        </w:rPr>
        <w:t xml:space="preserve">of the Bank </w:t>
      </w:r>
      <w:r w:rsidR="00865DFB">
        <w:rPr>
          <w:rFonts w:ascii="Arial" w:hAnsi="Arial" w:cs="Arial"/>
          <w:color w:val="7B7B7B" w:themeColor="accent3" w:themeShade="BF"/>
          <w:sz w:val="22"/>
          <w:szCs w:val="22"/>
        </w:rPr>
        <w:t xml:space="preserve">and by the decision of the NB. Therefore, the exception in the </w:t>
      </w:r>
      <w:r w:rsidR="00865DFB" w:rsidRPr="00EF5B89">
        <w:rPr>
          <w:rFonts w:ascii="Arial" w:hAnsi="Arial" w:cs="Arial"/>
          <w:i/>
          <w:iCs/>
          <w:color w:val="7B7B7B" w:themeColor="accent3" w:themeShade="BF"/>
          <w:sz w:val="22"/>
          <w:szCs w:val="22"/>
        </w:rPr>
        <w:t>Stanford International Bank</w:t>
      </w:r>
      <w:r w:rsidR="00865DFB">
        <w:rPr>
          <w:rFonts w:ascii="Arial" w:hAnsi="Arial" w:cs="Arial"/>
          <w:i/>
          <w:iCs/>
          <w:color w:val="7B7B7B" w:themeColor="accent3" w:themeShade="BF"/>
          <w:sz w:val="22"/>
          <w:szCs w:val="22"/>
        </w:rPr>
        <w:t xml:space="preserve"> </w:t>
      </w:r>
      <w:r w:rsidR="00865DFB">
        <w:rPr>
          <w:rFonts w:ascii="Arial" w:hAnsi="Arial" w:cs="Arial"/>
          <w:color w:val="7B7B7B" w:themeColor="accent3" w:themeShade="BF"/>
          <w:sz w:val="22"/>
          <w:szCs w:val="22"/>
        </w:rPr>
        <w:t>case does not apply.</w:t>
      </w:r>
    </w:p>
    <w:p w14:paraId="3C13D462" w14:textId="7B2A02F1" w:rsidR="005B153B" w:rsidRPr="0083272E" w:rsidRDefault="003F4B84" w:rsidP="000571D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first condition is satisfied.</w:t>
      </w:r>
      <w:r w:rsidR="00865DFB">
        <w:rPr>
          <w:rFonts w:ascii="Arial" w:hAnsi="Arial" w:cs="Arial"/>
          <w:color w:val="7B7B7B" w:themeColor="accent3" w:themeShade="BF"/>
          <w:sz w:val="22"/>
          <w:szCs w:val="22"/>
        </w:rPr>
        <w:t xml:space="preserve"> </w:t>
      </w:r>
    </w:p>
    <w:p w14:paraId="7FA35A05" w14:textId="3E2CC740" w:rsidR="00692618" w:rsidRDefault="007373CB" w:rsidP="0018709F">
      <w:pPr>
        <w:ind w:firstLine="720"/>
        <w:jc w:val="both"/>
        <w:rPr>
          <w:rFonts w:ascii="Arial" w:hAnsi="Arial" w:cs="Arial"/>
          <w:color w:val="7B7B7B" w:themeColor="accent3" w:themeShade="BF"/>
          <w:sz w:val="22"/>
          <w:szCs w:val="22"/>
        </w:rPr>
      </w:pPr>
      <w:r>
        <w:rPr>
          <w:rFonts w:ascii="Arial" w:hAnsi="Arial" w:cs="Arial"/>
          <w:b/>
          <w:bCs/>
          <w:color w:val="7B7B7B" w:themeColor="accent3" w:themeShade="BF"/>
          <w:sz w:val="22"/>
          <w:szCs w:val="22"/>
          <w:u w:val="single"/>
        </w:rPr>
        <w:t>Insolvency</w:t>
      </w:r>
      <w:r w:rsidR="00692618">
        <w:rPr>
          <w:rFonts w:ascii="Arial" w:hAnsi="Arial" w:cs="Arial"/>
          <w:b/>
          <w:bCs/>
          <w:color w:val="7B7B7B" w:themeColor="accent3" w:themeShade="BF"/>
          <w:sz w:val="22"/>
          <w:szCs w:val="22"/>
          <w:u w:val="single"/>
        </w:rPr>
        <w:t>-</w:t>
      </w:r>
      <w:r w:rsidR="00E230DD">
        <w:rPr>
          <w:rFonts w:ascii="Arial" w:hAnsi="Arial" w:cs="Arial"/>
          <w:b/>
          <w:bCs/>
          <w:color w:val="7B7B7B" w:themeColor="accent3" w:themeShade="BF"/>
          <w:sz w:val="22"/>
          <w:szCs w:val="22"/>
          <w:u w:val="single"/>
        </w:rPr>
        <w:t>R</w:t>
      </w:r>
      <w:r w:rsidR="00692618">
        <w:rPr>
          <w:rFonts w:ascii="Arial" w:hAnsi="Arial" w:cs="Arial"/>
          <w:b/>
          <w:bCs/>
          <w:color w:val="7B7B7B" w:themeColor="accent3" w:themeShade="BF"/>
          <w:sz w:val="22"/>
          <w:szCs w:val="22"/>
          <w:u w:val="single"/>
        </w:rPr>
        <w:t>elated</w:t>
      </w:r>
      <w:r>
        <w:rPr>
          <w:rFonts w:ascii="Arial" w:hAnsi="Arial" w:cs="Arial"/>
          <w:b/>
          <w:bCs/>
          <w:color w:val="7B7B7B" w:themeColor="accent3" w:themeShade="BF"/>
          <w:sz w:val="22"/>
          <w:szCs w:val="22"/>
          <w:u w:val="single"/>
        </w:rPr>
        <w:t xml:space="preserve"> Law:</w:t>
      </w:r>
      <w:r>
        <w:rPr>
          <w:rFonts w:ascii="Arial" w:hAnsi="Arial" w:cs="Arial"/>
          <w:color w:val="7B7B7B" w:themeColor="accent3" w:themeShade="BF"/>
          <w:sz w:val="22"/>
          <w:szCs w:val="22"/>
        </w:rPr>
        <w:t xml:space="preserve"> </w:t>
      </w:r>
      <w:r w:rsidR="00692618">
        <w:rPr>
          <w:rFonts w:ascii="Arial" w:hAnsi="Arial" w:cs="Arial"/>
          <w:color w:val="7B7B7B" w:themeColor="accent3" w:themeShade="BF"/>
          <w:sz w:val="22"/>
          <w:szCs w:val="22"/>
        </w:rPr>
        <w:t xml:space="preserve">The MLCBI does not oblige the liquidation procedure to be conducted under a law labelled as “insolvency law”. In order to provide for a broad interpretation and encompass many insolvency rules, it is sufficient that the law deals with or addresses insolvency and severe financial distress situations, see </w:t>
      </w:r>
      <w:r w:rsidR="00692618">
        <w:rPr>
          <w:rFonts w:ascii="Arial" w:hAnsi="Arial" w:cs="Arial"/>
          <w:b/>
          <w:bCs/>
          <w:color w:val="7B7B7B" w:themeColor="accent3" w:themeShade="BF"/>
          <w:sz w:val="22"/>
          <w:szCs w:val="22"/>
        </w:rPr>
        <w:t xml:space="preserve">paragraph 73 GEI. </w:t>
      </w:r>
      <w:r w:rsidR="00571C22">
        <w:rPr>
          <w:rFonts w:ascii="Arial" w:hAnsi="Arial" w:cs="Arial"/>
          <w:color w:val="7B7B7B" w:themeColor="accent3" w:themeShade="BF"/>
          <w:sz w:val="22"/>
          <w:szCs w:val="22"/>
        </w:rPr>
        <w:t>A</w:t>
      </w:r>
      <w:r w:rsidR="007F0C54">
        <w:rPr>
          <w:rFonts w:ascii="Arial" w:hAnsi="Arial" w:cs="Arial"/>
          <w:color w:val="7B7B7B" w:themeColor="accent3" w:themeShade="BF"/>
          <w:sz w:val="22"/>
          <w:szCs w:val="22"/>
        </w:rPr>
        <w:t xml:space="preserve">ccording to the </w:t>
      </w:r>
      <w:proofErr w:type="spellStart"/>
      <w:r w:rsidR="007F0C54">
        <w:rPr>
          <w:rFonts w:ascii="Arial" w:hAnsi="Arial" w:cs="Arial"/>
          <w:i/>
          <w:iCs/>
          <w:color w:val="7B7B7B" w:themeColor="accent3" w:themeShade="BF"/>
          <w:sz w:val="22"/>
          <w:szCs w:val="22"/>
        </w:rPr>
        <w:t>Agrokor</w:t>
      </w:r>
      <w:proofErr w:type="spellEnd"/>
      <w:r w:rsidR="007F0C54">
        <w:rPr>
          <w:rFonts w:ascii="Arial" w:hAnsi="Arial" w:cs="Arial"/>
          <w:i/>
          <w:iCs/>
          <w:color w:val="7B7B7B" w:themeColor="accent3" w:themeShade="BF"/>
          <w:sz w:val="22"/>
          <w:szCs w:val="22"/>
        </w:rPr>
        <w:t xml:space="preserve"> </w:t>
      </w:r>
      <w:r w:rsidR="007F0C54">
        <w:rPr>
          <w:rFonts w:ascii="Arial" w:hAnsi="Arial" w:cs="Arial"/>
          <w:color w:val="7B7B7B" w:themeColor="accent3" w:themeShade="BF"/>
          <w:sz w:val="22"/>
          <w:szCs w:val="22"/>
        </w:rPr>
        <w:t xml:space="preserve">case, the question of foreign law is a question of fact which needs to </w:t>
      </w:r>
      <w:r w:rsidR="00571C22">
        <w:rPr>
          <w:rFonts w:ascii="Arial" w:hAnsi="Arial" w:cs="Arial"/>
          <w:color w:val="7B7B7B" w:themeColor="accent3" w:themeShade="BF"/>
          <w:sz w:val="22"/>
          <w:szCs w:val="22"/>
        </w:rPr>
        <w:t xml:space="preserve">mainly </w:t>
      </w:r>
      <w:r w:rsidR="007F0C54">
        <w:rPr>
          <w:rFonts w:ascii="Arial" w:hAnsi="Arial" w:cs="Arial"/>
          <w:color w:val="7B7B7B" w:themeColor="accent3" w:themeShade="BF"/>
          <w:sz w:val="22"/>
          <w:szCs w:val="22"/>
        </w:rPr>
        <w:t xml:space="preserve">be decided </w:t>
      </w:r>
      <w:r w:rsidR="00571C22">
        <w:rPr>
          <w:rFonts w:ascii="Arial" w:hAnsi="Arial" w:cs="Arial"/>
          <w:color w:val="7B7B7B" w:themeColor="accent3" w:themeShade="BF"/>
          <w:sz w:val="22"/>
          <w:szCs w:val="22"/>
        </w:rPr>
        <w:t>on the basis of expert evidence, see paragraph [34]. Moreover, i</w:t>
      </w:r>
      <w:r w:rsidR="007F0C54">
        <w:rPr>
          <w:rFonts w:ascii="Arial" w:hAnsi="Arial" w:cs="Arial"/>
          <w:color w:val="7B7B7B" w:themeColor="accent3" w:themeShade="BF"/>
          <w:sz w:val="22"/>
          <w:szCs w:val="22"/>
        </w:rPr>
        <w:t xml:space="preserve">n paragraph [63] </w:t>
      </w:r>
      <w:proofErr w:type="spellStart"/>
      <w:r w:rsidR="007F0C54">
        <w:rPr>
          <w:rFonts w:ascii="Arial" w:hAnsi="Arial" w:cs="Arial"/>
          <w:i/>
          <w:iCs/>
          <w:color w:val="7B7B7B" w:themeColor="accent3" w:themeShade="BF"/>
          <w:sz w:val="22"/>
          <w:szCs w:val="22"/>
        </w:rPr>
        <w:t>Agrokor</w:t>
      </w:r>
      <w:proofErr w:type="spellEnd"/>
      <w:r w:rsidR="007F0C54">
        <w:rPr>
          <w:rFonts w:ascii="Arial" w:hAnsi="Arial" w:cs="Arial"/>
          <w:i/>
          <w:iCs/>
          <w:color w:val="7B7B7B" w:themeColor="accent3" w:themeShade="BF"/>
          <w:sz w:val="22"/>
          <w:szCs w:val="22"/>
        </w:rPr>
        <w:t xml:space="preserve"> </w:t>
      </w:r>
      <w:r w:rsidR="007F0C54">
        <w:rPr>
          <w:rFonts w:ascii="Arial" w:hAnsi="Arial" w:cs="Arial"/>
          <w:color w:val="7B7B7B" w:themeColor="accent3" w:themeShade="BF"/>
          <w:sz w:val="22"/>
          <w:szCs w:val="22"/>
        </w:rPr>
        <w:t>case, this criterium is satisfied if insolvency is one of the reasons for opening the proceeding. As such, the evidence of serious financial distress or an insolvency situation is sufficient.</w:t>
      </w:r>
    </w:p>
    <w:p w14:paraId="5BA5C937" w14:textId="4EFC4B21" w:rsidR="00181547" w:rsidRDefault="00181547" w:rsidP="0018709F">
      <w:pPr>
        <w:ind w:firstLine="720"/>
        <w:jc w:val="both"/>
        <w:rPr>
          <w:rFonts w:ascii="Arial" w:hAnsi="Arial" w:cs="Arial"/>
          <w:color w:val="7B7B7B" w:themeColor="accent3" w:themeShade="BF"/>
          <w:sz w:val="22"/>
          <w:szCs w:val="22"/>
        </w:rPr>
      </w:pPr>
      <w:r>
        <w:rPr>
          <w:rFonts w:ascii="Arial" w:hAnsi="Arial" w:cs="Arial"/>
          <w:i/>
          <w:iCs/>
          <w:color w:val="7B7B7B" w:themeColor="accent3" w:themeShade="BF"/>
          <w:sz w:val="22"/>
          <w:szCs w:val="22"/>
        </w:rPr>
        <w:t xml:space="preserve">In </w:t>
      </w:r>
      <w:proofErr w:type="spellStart"/>
      <w:r>
        <w:rPr>
          <w:rFonts w:ascii="Arial" w:hAnsi="Arial" w:cs="Arial"/>
          <w:i/>
          <w:iCs/>
          <w:color w:val="7B7B7B" w:themeColor="accent3" w:themeShade="BF"/>
          <w:sz w:val="22"/>
          <w:szCs w:val="22"/>
        </w:rPr>
        <w:t>casu</w:t>
      </w:r>
      <w:proofErr w:type="spellEnd"/>
      <w:r>
        <w:rPr>
          <w:rFonts w:ascii="Arial" w:hAnsi="Arial" w:cs="Arial"/>
          <w:i/>
          <w:iCs/>
          <w:color w:val="7B7B7B" w:themeColor="accent3" w:themeShade="BF"/>
          <w:sz w:val="22"/>
          <w:szCs w:val="22"/>
        </w:rPr>
        <w:t xml:space="preserve">, </w:t>
      </w:r>
      <w:r w:rsidR="003F4B84">
        <w:rPr>
          <w:rFonts w:ascii="Arial" w:hAnsi="Arial" w:cs="Arial"/>
          <w:color w:val="7B7B7B" w:themeColor="accent3" w:themeShade="BF"/>
          <w:sz w:val="22"/>
          <w:szCs w:val="22"/>
        </w:rPr>
        <w:t xml:space="preserve">the law in question is </w:t>
      </w:r>
      <w:r w:rsidR="00054F07">
        <w:rPr>
          <w:rFonts w:ascii="Arial" w:hAnsi="Arial" w:cs="Arial"/>
          <w:color w:val="7B7B7B" w:themeColor="accent3" w:themeShade="BF"/>
          <w:sz w:val="22"/>
          <w:szCs w:val="22"/>
        </w:rPr>
        <w:t xml:space="preserve">the Law of Country A on Banks and Banking Activity (LBBA). It is clear that it is not labelled as “insolvency law” but it deals with insolvency and severe financial distress situations. </w:t>
      </w:r>
      <w:r w:rsidR="007142F3">
        <w:rPr>
          <w:rFonts w:ascii="Arial" w:hAnsi="Arial" w:cs="Arial"/>
          <w:color w:val="7B7B7B" w:themeColor="accent3" w:themeShade="BF"/>
          <w:sz w:val="22"/>
          <w:szCs w:val="22"/>
        </w:rPr>
        <w:t xml:space="preserve">The Affidavit provided in the case is the expert evidence to explain the procedure. </w:t>
      </w:r>
      <w:r w:rsidR="00054F07">
        <w:rPr>
          <w:rFonts w:ascii="Arial" w:hAnsi="Arial" w:cs="Arial"/>
          <w:color w:val="7B7B7B" w:themeColor="accent3" w:themeShade="BF"/>
          <w:sz w:val="22"/>
          <w:szCs w:val="22"/>
        </w:rPr>
        <w:t>Article 75 LBBA deals with “troubled” and Article</w:t>
      </w:r>
      <w:r w:rsidR="007142F3">
        <w:rPr>
          <w:rFonts w:ascii="Arial" w:hAnsi="Arial" w:cs="Arial"/>
          <w:color w:val="7B7B7B" w:themeColor="accent3" w:themeShade="BF"/>
          <w:sz w:val="22"/>
          <w:szCs w:val="22"/>
        </w:rPr>
        <w:t>s</w:t>
      </w:r>
      <w:r w:rsidR="00054F07">
        <w:rPr>
          <w:rFonts w:ascii="Arial" w:hAnsi="Arial" w:cs="Arial"/>
          <w:color w:val="7B7B7B" w:themeColor="accent3" w:themeShade="BF"/>
          <w:sz w:val="22"/>
          <w:szCs w:val="22"/>
        </w:rPr>
        <w:t xml:space="preserve"> 76-77</w:t>
      </w:r>
      <w:r w:rsidR="007142F3">
        <w:rPr>
          <w:rFonts w:ascii="Arial" w:hAnsi="Arial" w:cs="Arial"/>
          <w:color w:val="7B7B7B" w:themeColor="accent3" w:themeShade="BF"/>
          <w:sz w:val="22"/>
          <w:szCs w:val="22"/>
        </w:rPr>
        <w:t xml:space="preserve"> LBBA</w:t>
      </w:r>
      <w:r w:rsidR="00054F07">
        <w:rPr>
          <w:rFonts w:ascii="Arial" w:hAnsi="Arial" w:cs="Arial"/>
          <w:color w:val="7B7B7B" w:themeColor="accent3" w:themeShade="BF"/>
          <w:sz w:val="22"/>
          <w:szCs w:val="22"/>
        </w:rPr>
        <w:t xml:space="preserve"> with “insolvent” banks as well as </w:t>
      </w:r>
      <w:r w:rsidR="00DB54C1">
        <w:rPr>
          <w:rFonts w:ascii="Arial" w:hAnsi="Arial" w:cs="Arial"/>
          <w:color w:val="7B7B7B" w:themeColor="accent3" w:themeShade="BF"/>
          <w:sz w:val="22"/>
          <w:szCs w:val="22"/>
        </w:rPr>
        <w:t xml:space="preserve">tasking </w:t>
      </w:r>
      <w:r w:rsidR="00054F07">
        <w:rPr>
          <w:rFonts w:ascii="Arial" w:hAnsi="Arial" w:cs="Arial"/>
          <w:color w:val="7B7B7B" w:themeColor="accent3" w:themeShade="BF"/>
          <w:sz w:val="22"/>
          <w:szCs w:val="22"/>
        </w:rPr>
        <w:t>authorities with</w:t>
      </w:r>
      <w:r w:rsidR="00DB54C1">
        <w:rPr>
          <w:rFonts w:ascii="Arial" w:hAnsi="Arial" w:cs="Arial"/>
          <w:color w:val="7B7B7B" w:themeColor="accent3" w:themeShade="BF"/>
          <w:sz w:val="22"/>
          <w:szCs w:val="22"/>
        </w:rPr>
        <w:t xml:space="preserve"> the</w:t>
      </w:r>
      <w:r w:rsidR="00054F07">
        <w:rPr>
          <w:rFonts w:ascii="Arial" w:hAnsi="Arial" w:cs="Arial"/>
          <w:color w:val="7B7B7B" w:themeColor="accent3" w:themeShade="BF"/>
          <w:sz w:val="22"/>
          <w:szCs w:val="22"/>
        </w:rPr>
        <w:t xml:space="preserve"> classification, administration, and liquidation</w:t>
      </w:r>
      <w:r w:rsidR="00DB54C1">
        <w:rPr>
          <w:rFonts w:ascii="Arial" w:hAnsi="Arial" w:cs="Arial"/>
          <w:color w:val="7B7B7B" w:themeColor="accent3" w:themeShade="BF"/>
          <w:sz w:val="22"/>
          <w:szCs w:val="22"/>
        </w:rPr>
        <w:t xml:space="preserve"> of such banks</w:t>
      </w:r>
      <w:r w:rsidR="00054F07">
        <w:rPr>
          <w:rFonts w:ascii="Arial" w:hAnsi="Arial" w:cs="Arial"/>
          <w:color w:val="7B7B7B" w:themeColor="accent3" w:themeShade="BF"/>
          <w:sz w:val="22"/>
          <w:szCs w:val="22"/>
        </w:rPr>
        <w:t xml:space="preserve">. </w:t>
      </w:r>
      <w:r w:rsidR="007142F3">
        <w:rPr>
          <w:rFonts w:ascii="Arial" w:hAnsi="Arial" w:cs="Arial"/>
          <w:color w:val="7B7B7B" w:themeColor="accent3" w:themeShade="BF"/>
          <w:sz w:val="22"/>
          <w:szCs w:val="22"/>
        </w:rPr>
        <w:t xml:space="preserve">Moreover, the liquidation procedure commenced on the grounds that the Bank was classified as insolvent under the meaning of </w:t>
      </w:r>
      <w:r w:rsidR="007142F3">
        <w:rPr>
          <w:rFonts w:ascii="Arial" w:hAnsi="Arial" w:cs="Arial"/>
          <w:color w:val="7B7B7B" w:themeColor="accent3" w:themeShade="BF"/>
          <w:sz w:val="22"/>
          <w:szCs w:val="22"/>
        </w:rPr>
        <w:t>Article 76 LBBA</w:t>
      </w:r>
      <w:r w:rsidR="007142F3">
        <w:rPr>
          <w:rFonts w:ascii="Arial" w:hAnsi="Arial" w:cs="Arial"/>
          <w:color w:val="7B7B7B" w:themeColor="accent3" w:themeShade="BF"/>
          <w:sz w:val="22"/>
          <w:szCs w:val="22"/>
        </w:rPr>
        <w:t xml:space="preserve"> by the NB based on its resolution</w:t>
      </w:r>
      <w:r w:rsidR="000571DB">
        <w:rPr>
          <w:rFonts w:ascii="Arial" w:hAnsi="Arial" w:cs="Arial"/>
          <w:color w:val="7B7B7B" w:themeColor="accent3" w:themeShade="BF"/>
          <w:sz w:val="22"/>
          <w:szCs w:val="22"/>
        </w:rPr>
        <w:t xml:space="preserve"> detecting further deterioration in the already distressed situation.</w:t>
      </w:r>
    </w:p>
    <w:p w14:paraId="6D85C099" w14:textId="5CE16C15" w:rsidR="000571DB" w:rsidRPr="00181547" w:rsidRDefault="000571DB" w:rsidP="000571D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second condition is satisfied.</w:t>
      </w:r>
    </w:p>
    <w:p w14:paraId="653BC06C" w14:textId="3FDB013D" w:rsidR="00D21CD5" w:rsidRDefault="00D21CD5" w:rsidP="0018709F">
      <w:pPr>
        <w:ind w:firstLine="720"/>
        <w:jc w:val="both"/>
        <w:rPr>
          <w:rFonts w:ascii="Arial" w:hAnsi="Arial" w:cs="Arial"/>
          <w:color w:val="7B7B7B" w:themeColor="accent3" w:themeShade="BF"/>
          <w:sz w:val="22"/>
          <w:szCs w:val="22"/>
        </w:rPr>
      </w:pPr>
      <w:r>
        <w:rPr>
          <w:rFonts w:ascii="Arial" w:hAnsi="Arial" w:cs="Arial"/>
          <w:b/>
          <w:bCs/>
          <w:color w:val="7B7B7B" w:themeColor="accent3" w:themeShade="BF"/>
          <w:sz w:val="22"/>
          <w:szCs w:val="22"/>
          <w:u w:val="single"/>
        </w:rPr>
        <w:t xml:space="preserve">Court </w:t>
      </w:r>
      <w:r w:rsidR="00E230DD">
        <w:rPr>
          <w:rFonts w:ascii="Arial" w:hAnsi="Arial" w:cs="Arial"/>
          <w:b/>
          <w:bCs/>
          <w:color w:val="7B7B7B" w:themeColor="accent3" w:themeShade="BF"/>
          <w:sz w:val="22"/>
          <w:szCs w:val="22"/>
          <w:u w:val="single"/>
        </w:rPr>
        <w:t>S</w:t>
      </w:r>
      <w:r>
        <w:rPr>
          <w:rFonts w:ascii="Arial" w:hAnsi="Arial" w:cs="Arial"/>
          <w:b/>
          <w:bCs/>
          <w:color w:val="7B7B7B" w:themeColor="accent3" w:themeShade="BF"/>
          <w:sz w:val="22"/>
          <w:szCs w:val="22"/>
          <w:u w:val="single"/>
        </w:rPr>
        <w:t>upervision:</w:t>
      </w:r>
      <w:r>
        <w:rPr>
          <w:rFonts w:ascii="Arial" w:hAnsi="Arial" w:cs="Arial"/>
          <w:color w:val="7B7B7B" w:themeColor="accent3" w:themeShade="BF"/>
          <w:sz w:val="22"/>
          <w:szCs w:val="22"/>
        </w:rPr>
        <w:t xml:space="preserve"> </w:t>
      </w:r>
      <w:r w:rsidR="00112130">
        <w:rPr>
          <w:rFonts w:ascii="Arial" w:hAnsi="Arial" w:cs="Arial"/>
          <w:color w:val="7B7B7B" w:themeColor="accent3" w:themeShade="BF"/>
          <w:sz w:val="22"/>
          <w:szCs w:val="22"/>
        </w:rPr>
        <w:t>T</w:t>
      </w:r>
      <w:r>
        <w:rPr>
          <w:rFonts w:ascii="Arial" w:hAnsi="Arial" w:cs="Arial"/>
          <w:color w:val="7B7B7B" w:themeColor="accent3" w:themeShade="BF"/>
          <w:sz w:val="22"/>
          <w:szCs w:val="22"/>
        </w:rPr>
        <w:t>he level of control</w:t>
      </w:r>
      <w:r w:rsidR="00112130">
        <w:rPr>
          <w:rFonts w:ascii="Arial" w:hAnsi="Arial" w:cs="Arial"/>
          <w:color w:val="7B7B7B" w:themeColor="accent3" w:themeShade="BF"/>
          <w:sz w:val="22"/>
          <w:szCs w:val="22"/>
        </w:rPr>
        <w:t xml:space="preserve"> required over the assets and affairs of the debtor</w:t>
      </w:r>
      <w:r>
        <w:rPr>
          <w:rFonts w:ascii="Arial" w:hAnsi="Arial" w:cs="Arial"/>
          <w:color w:val="7B7B7B" w:themeColor="accent3" w:themeShade="BF"/>
          <w:sz w:val="22"/>
          <w:szCs w:val="22"/>
        </w:rPr>
        <w:t xml:space="preserve"> </w:t>
      </w:r>
      <w:r w:rsidR="00112130">
        <w:rPr>
          <w:rFonts w:ascii="Arial" w:hAnsi="Arial" w:cs="Arial"/>
          <w:color w:val="7B7B7B" w:themeColor="accent3" w:themeShade="BF"/>
          <w:sz w:val="22"/>
          <w:szCs w:val="22"/>
        </w:rPr>
        <w:t>i</w:t>
      </w:r>
      <w:r>
        <w:rPr>
          <w:rFonts w:ascii="Arial" w:hAnsi="Arial" w:cs="Arial"/>
          <w:color w:val="7B7B7B" w:themeColor="accent3" w:themeShade="BF"/>
          <w:sz w:val="22"/>
          <w:szCs w:val="22"/>
        </w:rPr>
        <w:t>s not provided for in the MLCBI. Moreover, the c</w:t>
      </w:r>
      <w:r w:rsidRPr="00D21CD5">
        <w:rPr>
          <w:rFonts w:ascii="Arial" w:hAnsi="Arial" w:cs="Arial"/>
          <w:color w:val="7B7B7B" w:themeColor="accent3" w:themeShade="BF"/>
          <w:sz w:val="22"/>
          <w:szCs w:val="22"/>
        </w:rPr>
        <w:t xml:space="preserve">ontrol or supervision </w:t>
      </w:r>
      <w:r w:rsidR="00EE4C49">
        <w:rPr>
          <w:rFonts w:ascii="Arial" w:hAnsi="Arial" w:cs="Arial"/>
          <w:color w:val="7B7B7B" w:themeColor="accent3" w:themeShade="BF"/>
          <w:sz w:val="22"/>
          <w:szCs w:val="22"/>
        </w:rPr>
        <w:t xml:space="preserve">does not need to be conducted directly by the court but may be exercised by eg the insolvency representative who is under control of the court. </w:t>
      </w:r>
      <w:r w:rsidR="004B09A8">
        <w:rPr>
          <w:rFonts w:ascii="Arial" w:hAnsi="Arial" w:cs="Arial"/>
          <w:color w:val="7B7B7B" w:themeColor="accent3" w:themeShade="BF"/>
          <w:sz w:val="22"/>
          <w:szCs w:val="22"/>
        </w:rPr>
        <w:t xml:space="preserve">One should note that </w:t>
      </w:r>
      <w:r w:rsidR="004B09A8">
        <w:rPr>
          <w:rFonts w:ascii="Arial" w:hAnsi="Arial" w:cs="Arial"/>
          <w:b/>
          <w:bCs/>
          <w:color w:val="7B7B7B" w:themeColor="accent3" w:themeShade="BF"/>
          <w:sz w:val="22"/>
          <w:szCs w:val="22"/>
        </w:rPr>
        <w:t xml:space="preserve">paragraph 75 GEI </w:t>
      </w:r>
      <w:r w:rsidR="004B09A8">
        <w:rPr>
          <w:rFonts w:ascii="Arial" w:hAnsi="Arial" w:cs="Arial"/>
          <w:color w:val="7B7B7B" w:themeColor="accent3" w:themeShade="BF"/>
          <w:sz w:val="22"/>
          <w:szCs w:val="22"/>
        </w:rPr>
        <w:t>includes expedited pro</w:t>
      </w:r>
      <w:r w:rsidR="004B09A8" w:rsidRPr="00D21CD5">
        <w:rPr>
          <w:rFonts w:ascii="Arial" w:hAnsi="Arial" w:cs="Arial"/>
          <w:color w:val="7B7B7B" w:themeColor="accent3" w:themeShade="BF"/>
          <w:sz w:val="22"/>
          <w:szCs w:val="22"/>
        </w:rPr>
        <w:t>ceedings in which the court exercises control at a late stage</w:t>
      </w:r>
      <w:r w:rsidR="004B09A8">
        <w:rPr>
          <w:rFonts w:ascii="Arial" w:hAnsi="Arial" w:cs="Arial"/>
          <w:color w:val="7B7B7B" w:themeColor="accent3" w:themeShade="BF"/>
          <w:sz w:val="22"/>
          <w:szCs w:val="22"/>
        </w:rPr>
        <w:t>. However, w</w:t>
      </w:r>
      <w:r w:rsidR="00EE4C49">
        <w:rPr>
          <w:rFonts w:ascii="Arial" w:hAnsi="Arial" w:cs="Arial"/>
          <w:color w:val="7B7B7B" w:themeColor="accent3" w:themeShade="BF"/>
          <w:sz w:val="22"/>
          <w:szCs w:val="22"/>
        </w:rPr>
        <w:t>hat is more important, the</w:t>
      </w:r>
      <w:r w:rsidR="00EE4C49" w:rsidRPr="00D21CD5">
        <w:rPr>
          <w:rFonts w:ascii="Arial" w:hAnsi="Arial" w:cs="Arial"/>
          <w:color w:val="7B7B7B" w:themeColor="accent3" w:themeShade="BF"/>
          <w:sz w:val="22"/>
          <w:szCs w:val="22"/>
        </w:rPr>
        <w:t xml:space="preserve"> supervision of </w:t>
      </w:r>
      <w:r w:rsidR="00EE4C49">
        <w:rPr>
          <w:rFonts w:ascii="Arial" w:hAnsi="Arial" w:cs="Arial"/>
          <w:color w:val="7B7B7B" w:themeColor="accent3" w:themeShade="BF"/>
          <w:sz w:val="22"/>
          <w:szCs w:val="22"/>
        </w:rPr>
        <w:t>the</w:t>
      </w:r>
      <w:r w:rsidR="00EE4C49" w:rsidRPr="00D21CD5">
        <w:rPr>
          <w:rFonts w:ascii="Arial" w:hAnsi="Arial" w:cs="Arial"/>
          <w:color w:val="7B7B7B" w:themeColor="accent3" w:themeShade="BF"/>
          <w:sz w:val="22"/>
          <w:szCs w:val="22"/>
        </w:rPr>
        <w:t xml:space="preserve"> insolvency representative by a licensing authority would not be sufficient</w:t>
      </w:r>
      <w:r w:rsidR="00EE4C49">
        <w:rPr>
          <w:rFonts w:ascii="Arial" w:hAnsi="Arial" w:cs="Arial"/>
          <w:color w:val="7B7B7B" w:themeColor="accent3" w:themeShade="BF"/>
          <w:sz w:val="22"/>
          <w:szCs w:val="22"/>
        </w:rPr>
        <w:t xml:space="preserve"> to meet the criteria set out in the MLCBI, see </w:t>
      </w:r>
      <w:r w:rsidR="00EE4C49">
        <w:rPr>
          <w:rFonts w:ascii="Arial" w:hAnsi="Arial" w:cs="Arial"/>
          <w:b/>
          <w:bCs/>
          <w:color w:val="7B7B7B" w:themeColor="accent3" w:themeShade="BF"/>
          <w:sz w:val="22"/>
          <w:szCs w:val="22"/>
        </w:rPr>
        <w:t>paragraph 74 GEI</w:t>
      </w:r>
      <w:r w:rsidR="00EE4C49">
        <w:rPr>
          <w:rFonts w:ascii="Arial" w:hAnsi="Arial" w:cs="Arial"/>
          <w:color w:val="7B7B7B" w:themeColor="accent3" w:themeShade="BF"/>
          <w:sz w:val="22"/>
          <w:szCs w:val="22"/>
        </w:rPr>
        <w:t xml:space="preserve">. </w:t>
      </w:r>
      <w:r w:rsidR="000B70A0">
        <w:rPr>
          <w:rFonts w:ascii="Arial" w:hAnsi="Arial" w:cs="Arial"/>
          <w:color w:val="7B7B7B" w:themeColor="accent3" w:themeShade="BF"/>
          <w:sz w:val="22"/>
          <w:szCs w:val="22"/>
        </w:rPr>
        <w:t xml:space="preserve">According to the </w:t>
      </w:r>
      <w:r w:rsidR="00EF5B89">
        <w:rPr>
          <w:rFonts w:ascii="Arial" w:hAnsi="Arial" w:cs="Arial"/>
          <w:i/>
          <w:iCs/>
          <w:color w:val="7B7B7B" w:themeColor="accent3" w:themeShade="BF"/>
          <w:sz w:val="22"/>
          <w:szCs w:val="22"/>
        </w:rPr>
        <w:t xml:space="preserve">In re </w:t>
      </w:r>
      <w:r w:rsidR="000B70A0">
        <w:rPr>
          <w:rFonts w:ascii="Arial" w:hAnsi="Arial" w:cs="Arial"/>
          <w:i/>
          <w:iCs/>
          <w:color w:val="7B7B7B" w:themeColor="accent3" w:themeShade="BF"/>
          <w:sz w:val="22"/>
          <w:szCs w:val="22"/>
        </w:rPr>
        <w:t xml:space="preserve">ABC Learning </w:t>
      </w:r>
      <w:proofErr w:type="spellStart"/>
      <w:r w:rsidR="000B70A0">
        <w:rPr>
          <w:rFonts w:ascii="Arial" w:hAnsi="Arial" w:cs="Arial"/>
          <w:i/>
          <w:iCs/>
          <w:color w:val="7B7B7B" w:themeColor="accent3" w:themeShade="BF"/>
          <w:sz w:val="22"/>
          <w:szCs w:val="22"/>
        </w:rPr>
        <w:t>Centres</w:t>
      </w:r>
      <w:proofErr w:type="spellEnd"/>
      <w:r w:rsidR="000B70A0">
        <w:rPr>
          <w:rFonts w:ascii="Arial" w:hAnsi="Arial" w:cs="Arial"/>
          <w:i/>
          <w:iCs/>
          <w:color w:val="7B7B7B" w:themeColor="accent3" w:themeShade="BF"/>
          <w:sz w:val="22"/>
          <w:szCs w:val="22"/>
        </w:rPr>
        <w:t xml:space="preserve"> </w:t>
      </w:r>
      <w:r w:rsidR="00EF5B89" w:rsidRPr="00EF5B89">
        <w:rPr>
          <w:rFonts w:ascii="Arial" w:hAnsi="Arial" w:cs="Arial"/>
          <w:i/>
          <w:iCs/>
          <w:color w:val="7B7B7B" w:themeColor="accent3" w:themeShade="BF"/>
          <w:sz w:val="22"/>
          <w:szCs w:val="22"/>
        </w:rPr>
        <w:t>445 B.R. 318 (</w:t>
      </w:r>
      <w:proofErr w:type="spellStart"/>
      <w:r w:rsidR="00EF5B89" w:rsidRPr="00EF5B89">
        <w:rPr>
          <w:rFonts w:ascii="Arial" w:hAnsi="Arial" w:cs="Arial"/>
          <w:i/>
          <w:iCs/>
          <w:color w:val="7B7B7B" w:themeColor="accent3" w:themeShade="BF"/>
          <w:sz w:val="22"/>
          <w:szCs w:val="22"/>
        </w:rPr>
        <w:t>Bankr</w:t>
      </w:r>
      <w:proofErr w:type="spellEnd"/>
      <w:r w:rsidR="00EF5B89" w:rsidRPr="00EF5B89">
        <w:rPr>
          <w:rFonts w:ascii="Arial" w:hAnsi="Arial" w:cs="Arial"/>
          <w:i/>
          <w:iCs/>
          <w:color w:val="7B7B7B" w:themeColor="accent3" w:themeShade="BF"/>
          <w:sz w:val="22"/>
          <w:szCs w:val="22"/>
        </w:rPr>
        <w:t>. D. Del. 2010) [CLOUT case no. 1210]</w:t>
      </w:r>
      <w:r w:rsidR="000B70A0">
        <w:rPr>
          <w:rFonts w:ascii="Arial" w:hAnsi="Arial" w:cs="Arial"/>
          <w:color w:val="7B7B7B" w:themeColor="accent3" w:themeShade="BF"/>
          <w:sz w:val="22"/>
          <w:szCs w:val="22"/>
        </w:rPr>
        <w:t xml:space="preserve">, the </w:t>
      </w:r>
      <w:r w:rsidR="000B70A0" w:rsidRPr="000B70A0">
        <w:rPr>
          <w:rFonts w:ascii="Arial" w:hAnsi="Arial" w:cs="Arial"/>
          <w:color w:val="7B7B7B" w:themeColor="accent3" w:themeShade="BF"/>
          <w:sz w:val="22"/>
          <w:szCs w:val="22"/>
        </w:rPr>
        <w:t>Australian courts do not direct the day-to-day operations of the debtor</w:t>
      </w:r>
      <w:r w:rsidR="000B70A0">
        <w:rPr>
          <w:rFonts w:ascii="Arial" w:hAnsi="Arial" w:cs="Arial"/>
          <w:color w:val="7B7B7B" w:themeColor="accent3" w:themeShade="BF"/>
          <w:sz w:val="22"/>
          <w:szCs w:val="22"/>
        </w:rPr>
        <w:t>,</w:t>
      </w:r>
      <w:r w:rsidR="000B70A0" w:rsidRPr="000B70A0">
        <w:rPr>
          <w:rFonts w:ascii="Arial" w:hAnsi="Arial" w:cs="Arial"/>
          <w:color w:val="7B7B7B" w:themeColor="accent3" w:themeShade="BF"/>
          <w:sz w:val="22"/>
          <w:szCs w:val="22"/>
        </w:rPr>
        <w:t xml:space="preserve"> and most liquidators </w:t>
      </w:r>
      <w:r w:rsidR="000B70A0">
        <w:rPr>
          <w:rFonts w:ascii="Arial" w:hAnsi="Arial" w:cs="Arial"/>
          <w:color w:val="7B7B7B" w:themeColor="accent3" w:themeShade="BF"/>
          <w:sz w:val="22"/>
          <w:szCs w:val="22"/>
        </w:rPr>
        <w:t xml:space="preserve">conduct their tasks largely </w:t>
      </w:r>
      <w:r w:rsidR="000B70A0" w:rsidRPr="000B70A0">
        <w:rPr>
          <w:rFonts w:ascii="Arial" w:hAnsi="Arial" w:cs="Arial"/>
          <w:color w:val="7B7B7B" w:themeColor="accent3" w:themeShade="BF"/>
          <w:sz w:val="22"/>
          <w:szCs w:val="22"/>
        </w:rPr>
        <w:t>without court involvement,</w:t>
      </w:r>
      <w:r w:rsidR="000B70A0">
        <w:rPr>
          <w:rFonts w:ascii="Arial" w:hAnsi="Arial" w:cs="Arial"/>
          <w:color w:val="7B7B7B" w:themeColor="accent3" w:themeShade="BF"/>
          <w:sz w:val="22"/>
          <w:szCs w:val="22"/>
        </w:rPr>
        <w:t xml:space="preserve"> yet</w:t>
      </w:r>
      <w:r w:rsidR="000B70A0" w:rsidRPr="000B70A0">
        <w:rPr>
          <w:rFonts w:ascii="Arial" w:hAnsi="Arial" w:cs="Arial"/>
          <w:color w:val="7B7B7B" w:themeColor="accent3" w:themeShade="BF"/>
          <w:sz w:val="22"/>
          <w:szCs w:val="22"/>
        </w:rPr>
        <w:t xml:space="preserve"> the relevant law gave the court</w:t>
      </w:r>
      <w:r w:rsidR="000B70A0">
        <w:rPr>
          <w:rFonts w:ascii="Arial" w:hAnsi="Arial" w:cs="Arial"/>
          <w:color w:val="7B7B7B" w:themeColor="accent3" w:themeShade="BF"/>
          <w:sz w:val="22"/>
          <w:szCs w:val="22"/>
        </w:rPr>
        <w:t>s</w:t>
      </w:r>
      <w:r w:rsidR="000B70A0" w:rsidRPr="000B70A0">
        <w:rPr>
          <w:rFonts w:ascii="Arial" w:hAnsi="Arial" w:cs="Arial"/>
          <w:color w:val="7B7B7B" w:themeColor="accent3" w:themeShade="BF"/>
          <w:sz w:val="22"/>
          <w:szCs w:val="22"/>
        </w:rPr>
        <w:t xml:space="preserve"> various control and supervisory roles</w:t>
      </w:r>
      <w:r w:rsidR="000B70A0">
        <w:rPr>
          <w:rFonts w:ascii="Arial" w:hAnsi="Arial" w:cs="Arial"/>
          <w:color w:val="7B7B7B" w:themeColor="accent3" w:themeShade="BF"/>
          <w:sz w:val="22"/>
          <w:szCs w:val="22"/>
        </w:rPr>
        <w:t>, which was sufficient for satisfying Article 2(a) MLCBI</w:t>
      </w:r>
      <w:r w:rsidR="00764D37">
        <w:rPr>
          <w:rFonts w:ascii="Arial" w:hAnsi="Arial" w:cs="Arial"/>
          <w:color w:val="7B7B7B" w:themeColor="accent3" w:themeShade="BF"/>
          <w:sz w:val="22"/>
          <w:szCs w:val="22"/>
        </w:rPr>
        <w:t xml:space="preserve">, see </w:t>
      </w:r>
      <w:r w:rsidR="00764D37">
        <w:rPr>
          <w:rFonts w:ascii="Arial" w:hAnsi="Arial" w:cs="Arial"/>
          <w:b/>
          <w:bCs/>
          <w:color w:val="7B7B7B" w:themeColor="accent3" w:themeShade="BF"/>
          <w:sz w:val="22"/>
          <w:szCs w:val="22"/>
        </w:rPr>
        <w:t>paragraph 90</w:t>
      </w:r>
      <w:r w:rsidR="00FB6B43">
        <w:rPr>
          <w:rFonts w:ascii="Arial" w:hAnsi="Arial" w:cs="Arial"/>
          <w:b/>
          <w:bCs/>
          <w:color w:val="7B7B7B" w:themeColor="accent3" w:themeShade="BF"/>
          <w:sz w:val="22"/>
          <w:szCs w:val="22"/>
        </w:rPr>
        <w:t xml:space="preserve"> </w:t>
      </w:r>
      <w:r w:rsidR="00764D37">
        <w:rPr>
          <w:rFonts w:ascii="Arial" w:hAnsi="Arial" w:cs="Arial"/>
          <w:b/>
          <w:bCs/>
          <w:color w:val="7B7B7B" w:themeColor="accent3" w:themeShade="BF"/>
          <w:sz w:val="22"/>
          <w:szCs w:val="22"/>
        </w:rPr>
        <w:t>JP</w:t>
      </w:r>
      <w:r w:rsidR="000B70A0">
        <w:rPr>
          <w:rFonts w:ascii="Arial" w:hAnsi="Arial" w:cs="Arial"/>
          <w:color w:val="7B7B7B" w:themeColor="accent3" w:themeShade="BF"/>
          <w:sz w:val="22"/>
          <w:szCs w:val="22"/>
        </w:rPr>
        <w:t>.</w:t>
      </w:r>
      <w:r w:rsidR="00571C22">
        <w:rPr>
          <w:rFonts w:ascii="Arial" w:hAnsi="Arial" w:cs="Arial"/>
          <w:color w:val="7B7B7B" w:themeColor="accent3" w:themeShade="BF"/>
          <w:sz w:val="22"/>
          <w:szCs w:val="22"/>
        </w:rPr>
        <w:t xml:space="preserve"> Furthermore, in </w:t>
      </w:r>
      <w:proofErr w:type="spellStart"/>
      <w:r w:rsidR="00571C22">
        <w:rPr>
          <w:rFonts w:ascii="Arial" w:hAnsi="Arial" w:cs="Arial"/>
          <w:i/>
          <w:iCs/>
          <w:color w:val="7B7B7B" w:themeColor="accent3" w:themeShade="BF"/>
          <w:sz w:val="22"/>
          <w:szCs w:val="22"/>
        </w:rPr>
        <w:t>Agrokor</w:t>
      </w:r>
      <w:proofErr w:type="spellEnd"/>
      <w:r w:rsidR="00571C22">
        <w:rPr>
          <w:rFonts w:ascii="Arial" w:hAnsi="Arial" w:cs="Arial"/>
          <w:i/>
          <w:iCs/>
          <w:color w:val="7B7B7B" w:themeColor="accent3" w:themeShade="BF"/>
          <w:sz w:val="22"/>
          <w:szCs w:val="22"/>
        </w:rPr>
        <w:t xml:space="preserve">, </w:t>
      </w:r>
      <w:r w:rsidR="00571C22">
        <w:rPr>
          <w:rFonts w:ascii="Arial" w:hAnsi="Arial" w:cs="Arial"/>
          <w:color w:val="7B7B7B" w:themeColor="accent3" w:themeShade="BF"/>
          <w:sz w:val="22"/>
          <w:szCs w:val="22"/>
        </w:rPr>
        <w:t>the court decided in paragraph [79] that the supervision can be potential rather than actual, and emphasized that the fact that the government retains some control does not necessarily negate court supervision.</w:t>
      </w:r>
    </w:p>
    <w:p w14:paraId="7CB215D4" w14:textId="77777777" w:rsidR="00D37702" w:rsidRDefault="000571DB" w:rsidP="0018709F">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case at hand does not mention any court involvement</w:t>
      </w:r>
      <w:r w:rsidR="00430E8A">
        <w:rPr>
          <w:rFonts w:ascii="Arial" w:hAnsi="Arial" w:cs="Arial"/>
          <w:color w:val="7B7B7B" w:themeColor="accent3" w:themeShade="BF"/>
          <w:sz w:val="22"/>
          <w:szCs w:val="22"/>
        </w:rPr>
        <w:t xml:space="preserve"> (neither direct or indirect)</w:t>
      </w:r>
      <w:r>
        <w:rPr>
          <w:rFonts w:ascii="Arial" w:hAnsi="Arial" w:cs="Arial"/>
          <w:color w:val="7B7B7B" w:themeColor="accent3" w:themeShade="BF"/>
          <w:sz w:val="22"/>
          <w:szCs w:val="22"/>
        </w:rPr>
        <w:t xml:space="preserve">. The whole procedure is conducted </w:t>
      </w:r>
      <w:r w:rsidR="00ED7CAF">
        <w:rPr>
          <w:rFonts w:ascii="Arial" w:hAnsi="Arial" w:cs="Arial"/>
          <w:color w:val="7B7B7B" w:themeColor="accent3" w:themeShade="BF"/>
          <w:sz w:val="22"/>
          <w:szCs w:val="22"/>
        </w:rPr>
        <w:t>under the auspices of the NB and the DGF – both are different institutions than the court</w:t>
      </w:r>
      <w:r w:rsidR="00430E8A">
        <w:rPr>
          <w:rFonts w:ascii="Arial" w:hAnsi="Arial" w:cs="Arial"/>
          <w:color w:val="7B7B7B" w:themeColor="accent3" w:themeShade="BF"/>
          <w:sz w:val="22"/>
          <w:szCs w:val="22"/>
        </w:rPr>
        <w:t xml:space="preserve"> and exercise their powers without court control</w:t>
      </w:r>
      <w:r w:rsidR="00ED7CAF">
        <w:rPr>
          <w:rFonts w:ascii="Arial" w:hAnsi="Arial" w:cs="Arial"/>
          <w:color w:val="7B7B7B" w:themeColor="accent3" w:themeShade="BF"/>
          <w:sz w:val="22"/>
          <w:szCs w:val="22"/>
        </w:rPr>
        <w:t>. It is true that the court supervision or control may merely be potential, however, even the LBBA fully empowers the NB and the DGF in handling the process without explaining the court’s (potential) role. So even on paper, there seems to be a lack of court supervision or control.</w:t>
      </w:r>
      <w:r w:rsidR="00430E8A">
        <w:rPr>
          <w:rFonts w:ascii="Arial" w:hAnsi="Arial" w:cs="Arial"/>
          <w:color w:val="7B7B7B" w:themeColor="accent3" w:themeShade="BF"/>
          <w:sz w:val="22"/>
          <w:szCs w:val="22"/>
        </w:rPr>
        <w:t xml:space="preserve"> As such, despite the flexibility the MLCBI </w:t>
      </w:r>
      <w:r w:rsidR="00D37702">
        <w:rPr>
          <w:rFonts w:ascii="Arial" w:hAnsi="Arial" w:cs="Arial"/>
          <w:color w:val="7B7B7B" w:themeColor="accent3" w:themeShade="BF"/>
          <w:sz w:val="22"/>
          <w:szCs w:val="22"/>
        </w:rPr>
        <w:t>and caselaw precedence has shown, it is still insufficient to prove a degree of court involvement in this case.</w:t>
      </w:r>
    </w:p>
    <w:p w14:paraId="4FCB493E" w14:textId="6C35A98E" w:rsidR="000571DB" w:rsidRPr="00571C22" w:rsidRDefault="00D37702" w:rsidP="00D3770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third condition is not satisfied.</w:t>
      </w:r>
    </w:p>
    <w:p w14:paraId="696E284B" w14:textId="61B69868" w:rsidR="007373CB" w:rsidRDefault="00EE4C49" w:rsidP="0018709F">
      <w:pPr>
        <w:ind w:firstLine="720"/>
        <w:jc w:val="both"/>
        <w:rPr>
          <w:rFonts w:ascii="Arial" w:hAnsi="Arial" w:cs="Arial"/>
          <w:color w:val="7B7B7B" w:themeColor="accent3" w:themeShade="BF"/>
          <w:sz w:val="22"/>
          <w:szCs w:val="22"/>
        </w:rPr>
      </w:pPr>
      <w:r>
        <w:rPr>
          <w:rFonts w:ascii="Arial" w:hAnsi="Arial" w:cs="Arial"/>
          <w:b/>
          <w:bCs/>
          <w:color w:val="7B7B7B" w:themeColor="accent3" w:themeShade="BF"/>
          <w:sz w:val="22"/>
          <w:szCs w:val="22"/>
          <w:u w:val="single"/>
        </w:rPr>
        <w:t>Liquidation (or reorganization) Purpose</w:t>
      </w:r>
      <w:r w:rsidR="00C45D6D">
        <w:rPr>
          <w:rFonts w:ascii="Arial" w:hAnsi="Arial" w:cs="Arial"/>
          <w:b/>
          <w:bCs/>
          <w:color w:val="7B7B7B" w:themeColor="accent3" w:themeShade="BF"/>
          <w:sz w:val="22"/>
          <w:szCs w:val="22"/>
          <w:u w:val="single"/>
        </w:rPr>
        <w:t>s</w:t>
      </w:r>
      <w:r>
        <w:rPr>
          <w:rFonts w:ascii="Arial" w:hAnsi="Arial" w:cs="Arial"/>
          <w:b/>
          <w:bCs/>
          <w:color w:val="7B7B7B" w:themeColor="accent3" w:themeShade="BF"/>
          <w:sz w:val="22"/>
          <w:szCs w:val="22"/>
          <w:u w:val="single"/>
        </w:rPr>
        <w:t>:</w:t>
      </w:r>
      <w:r w:rsidR="00F71A2D">
        <w:rPr>
          <w:rFonts w:ascii="Arial" w:hAnsi="Arial" w:cs="Arial"/>
          <w:color w:val="7B7B7B" w:themeColor="accent3" w:themeShade="BF"/>
          <w:sz w:val="22"/>
          <w:szCs w:val="22"/>
        </w:rPr>
        <w:t xml:space="preserve"> </w:t>
      </w:r>
      <w:r w:rsidR="000008D7">
        <w:rPr>
          <w:rFonts w:ascii="Arial" w:hAnsi="Arial" w:cs="Arial"/>
          <w:color w:val="7B7B7B" w:themeColor="accent3" w:themeShade="BF"/>
          <w:sz w:val="22"/>
          <w:szCs w:val="22"/>
        </w:rPr>
        <w:t xml:space="preserve">The purposes of the proceedings should be reorganization or liquidation, if not, they may be ineligible for the application of the MLCBI. Proceedings that may fall outside the scope of the MLCBI may be eg </w:t>
      </w:r>
      <w:r w:rsidR="00B32425" w:rsidRPr="00B32425">
        <w:rPr>
          <w:rFonts w:ascii="Arial" w:hAnsi="Arial" w:cs="Arial"/>
          <w:color w:val="7B7B7B" w:themeColor="accent3" w:themeShade="BF"/>
          <w:sz w:val="22"/>
          <w:szCs w:val="22"/>
        </w:rPr>
        <w:t xml:space="preserve">proceedings in which the powers </w:t>
      </w:r>
      <w:r w:rsidR="000008D7">
        <w:rPr>
          <w:rFonts w:ascii="Arial" w:hAnsi="Arial" w:cs="Arial"/>
          <w:color w:val="7B7B7B" w:themeColor="accent3" w:themeShade="BF"/>
          <w:sz w:val="22"/>
          <w:szCs w:val="22"/>
        </w:rPr>
        <w:t>and duties of the foreign representative are more limited than in a typical liquidation procedure.</w:t>
      </w:r>
      <w:r w:rsidR="00BC25CE">
        <w:rPr>
          <w:rFonts w:ascii="Arial" w:hAnsi="Arial" w:cs="Arial"/>
          <w:color w:val="7B7B7B" w:themeColor="accent3" w:themeShade="BF"/>
          <w:sz w:val="22"/>
          <w:szCs w:val="22"/>
        </w:rPr>
        <w:t xml:space="preserve"> The court in </w:t>
      </w:r>
      <w:proofErr w:type="spellStart"/>
      <w:r w:rsidR="00BC25CE">
        <w:rPr>
          <w:rFonts w:ascii="Arial" w:hAnsi="Arial" w:cs="Arial"/>
          <w:i/>
          <w:iCs/>
          <w:color w:val="7B7B7B" w:themeColor="accent3" w:themeShade="BF"/>
          <w:sz w:val="22"/>
          <w:szCs w:val="22"/>
        </w:rPr>
        <w:t>Agrokor</w:t>
      </w:r>
      <w:proofErr w:type="spellEnd"/>
      <w:r w:rsidR="00BC25CE">
        <w:rPr>
          <w:rFonts w:ascii="Arial" w:hAnsi="Arial" w:cs="Arial"/>
          <w:color w:val="7B7B7B" w:themeColor="accent3" w:themeShade="BF"/>
          <w:sz w:val="22"/>
          <w:szCs w:val="22"/>
        </w:rPr>
        <w:t xml:space="preserve"> deliberated on this criterium by looking into the purpose of the (foreign) law in question, see paragraph [101].</w:t>
      </w:r>
    </w:p>
    <w:p w14:paraId="3C708031" w14:textId="7A9CD624" w:rsidR="0073093F" w:rsidRDefault="00AA57B6" w:rsidP="00AA57B6">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According to the Affidavit, t</w:t>
      </w:r>
      <w:r w:rsidR="00E43158">
        <w:rPr>
          <w:rFonts w:ascii="Arial" w:hAnsi="Arial" w:cs="Arial"/>
          <w:color w:val="7B7B7B" w:themeColor="accent3" w:themeShade="BF"/>
          <w:sz w:val="22"/>
          <w:szCs w:val="22"/>
        </w:rPr>
        <w:t xml:space="preserve">he purpose of the proceeding is to </w:t>
      </w:r>
      <w:r>
        <w:rPr>
          <w:rFonts w:ascii="Arial" w:hAnsi="Arial" w:cs="Arial"/>
          <w:color w:val="7B7B7B" w:themeColor="accent3" w:themeShade="BF"/>
          <w:sz w:val="22"/>
          <w:szCs w:val="22"/>
        </w:rPr>
        <w:t xml:space="preserve">withdraw insolvent banks from the market and to wind down their operations via liquidation. The DGF, a governmental body of Country A, is tasked with this and several other duties and has the power to act in the Bank’s ultimate liquidation. Looking at the purpose of Article 76 LBBA and the duties of the DGF, it is clear that the purpose of the proceeding is liquidation. The fact that Ms. G, an authorized officer, lacks the power to eg arrange for the sale of the Bank’s assets is irrelevant as she only acts as the delegated </w:t>
      </w:r>
      <w:r w:rsidR="00856607">
        <w:rPr>
          <w:rFonts w:ascii="Arial" w:hAnsi="Arial" w:cs="Arial"/>
          <w:color w:val="7B7B7B" w:themeColor="accent3" w:themeShade="BF"/>
          <w:sz w:val="22"/>
          <w:szCs w:val="22"/>
        </w:rPr>
        <w:t>liquidator. The power still remains at the DGF as the main liquidator. Therefore, the exception in the MLCBI does not apply as the foreign representative (being DGF, via Ms. G) is not limited in its powers compared to a typical liquidation procedure.</w:t>
      </w:r>
    </w:p>
    <w:p w14:paraId="6DD029DF" w14:textId="5A42AD0B" w:rsidR="00856607" w:rsidRDefault="00856607" w:rsidP="0085660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fourth and final criteria is met.</w:t>
      </w:r>
    </w:p>
    <w:p w14:paraId="4AF55B9C" w14:textId="34DA4A61" w:rsidR="00856607" w:rsidRDefault="00856607" w:rsidP="0085660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t xml:space="preserve">However, the MLCBI sets </w:t>
      </w:r>
      <w:r>
        <w:rPr>
          <w:rFonts w:ascii="Arial" w:hAnsi="Arial" w:cs="Arial"/>
          <w:i/>
          <w:iCs/>
          <w:color w:val="7B7B7B" w:themeColor="accent3" w:themeShade="BF"/>
          <w:sz w:val="22"/>
          <w:szCs w:val="22"/>
        </w:rPr>
        <w:t xml:space="preserve">cumulative </w:t>
      </w:r>
      <w:r>
        <w:rPr>
          <w:rFonts w:ascii="Arial" w:hAnsi="Arial" w:cs="Arial"/>
          <w:color w:val="7B7B7B" w:themeColor="accent3" w:themeShade="BF"/>
          <w:sz w:val="22"/>
          <w:szCs w:val="22"/>
        </w:rPr>
        <w:t>criteria. The third condition, namely the court supervision or control criterium, is not met</w:t>
      </w:r>
      <w:r w:rsidR="00457399">
        <w:rPr>
          <w:rFonts w:ascii="Arial" w:hAnsi="Arial" w:cs="Arial"/>
          <w:color w:val="7B7B7B" w:themeColor="accent3" w:themeShade="BF"/>
          <w:sz w:val="22"/>
          <w:szCs w:val="22"/>
        </w:rPr>
        <w:t xml:space="preserve"> </w:t>
      </w:r>
      <w:r w:rsidR="00457399">
        <w:rPr>
          <w:rFonts w:ascii="Arial" w:hAnsi="Arial" w:cs="Arial"/>
          <w:i/>
          <w:iCs/>
          <w:color w:val="7B7B7B" w:themeColor="accent3" w:themeShade="BF"/>
          <w:sz w:val="22"/>
          <w:szCs w:val="22"/>
        </w:rPr>
        <w:t xml:space="preserve">in </w:t>
      </w:r>
      <w:proofErr w:type="spellStart"/>
      <w:r w:rsidR="00457399">
        <w:rPr>
          <w:rFonts w:ascii="Arial" w:hAnsi="Arial" w:cs="Arial"/>
          <w:i/>
          <w:iCs/>
          <w:color w:val="7B7B7B" w:themeColor="accent3" w:themeShade="BF"/>
          <w:sz w:val="22"/>
          <w:szCs w:val="22"/>
        </w:rPr>
        <w:t>casu</w:t>
      </w:r>
      <w:proofErr w:type="spellEnd"/>
      <w:r>
        <w:rPr>
          <w:rFonts w:ascii="Arial" w:hAnsi="Arial" w:cs="Arial"/>
          <w:color w:val="7B7B7B" w:themeColor="accent3" w:themeShade="BF"/>
          <w:sz w:val="22"/>
          <w:szCs w:val="22"/>
        </w:rPr>
        <w:t xml:space="preserve">. As such, the liquidation procedure </w:t>
      </w:r>
      <w:r w:rsidR="00457399">
        <w:rPr>
          <w:rFonts w:ascii="Arial" w:hAnsi="Arial" w:cs="Arial"/>
          <w:color w:val="7B7B7B" w:themeColor="accent3" w:themeShade="BF"/>
          <w:sz w:val="22"/>
          <w:szCs w:val="22"/>
        </w:rPr>
        <w:t xml:space="preserve">against the Bank in Country A </w:t>
      </w:r>
      <w:r>
        <w:rPr>
          <w:rFonts w:ascii="Arial" w:hAnsi="Arial" w:cs="Arial"/>
          <w:color w:val="7B7B7B" w:themeColor="accent3" w:themeShade="BF"/>
          <w:sz w:val="22"/>
          <w:szCs w:val="22"/>
        </w:rPr>
        <w:t xml:space="preserve">fails to satisfy the conditions for </w:t>
      </w:r>
      <w:r w:rsidR="00457399">
        <w:rPr>
          <w:rFonts w:ascii="Arial" w:hAnsi="Arial" w:cs="Arial"/>
          <w:color w:val="7B7B7B" w:themeColor="accent3" w:themeShade="BF"/>
          <w:sz w:val="22"/>
          <w:szCs w:val="22"/>
        </w:rPr>
        <w:t xml:space="preserve">being classified as a </w:t>
      </w:r>
      <w:r>
        <w:rPr>
          <w:rFonts w:ascii="Arial" w:hAnsi="Arial" w:cs="Arial"/>
          <w:color w:val="7B7B7B" w:themeColor="accent3" w:themeShade="BF"/>
          <w:sz w:val="22"/>
          <w:szCs w:val="22"/>
        </w:rPr>
        <w:t xml:space="preserve">“foreign proceeding” </w:t>
      </w:r>
      <w:r w:rsidR="00457399">
        <w:rPr>
          <w:rFonts w:ascii="Arial" w:hAnsi="Arial" w:cs="Arial"/>
          <w:color w:val="7B7B7B" w:themeColor="accent3" w:themeShade="BF"/>
          <w:sz w:val="22"/>
          <w:szCs w:val="22"/>
        </w:rPr>
        <w:t xml:space="preserve">and hence does not fall </w:t>
      </w:r>
      <w:r>
        <w:rPr>
          <w:rFonts w:ascii="Arial" w:hAnsi="Arial" w:cs="Arial"/>
          <w:color w:val="7B7B7B" w:themeColor="accent3" w:themeShade="BF"/>
          <w:sz w:val="22"/>
          <w:szCs w:val="22"/>
        </w:rPr>
        <w:t xml:space="preserve">under the </w:t>
      </w:r>
      <w:r w:rsidR="00457399">
        <w:rPr>
          <w:rFonts w:ascii="Arial" w:hAnsi="Arial" w:cs="Arial"/>
          <w:color w:val="7B7B7B" w:themeColor="accent3" w:themeShade="BF"/>
          <w:sz w:val="22"/>
          <w:szCs w:val="22"/>
        </w:rPr>
        <w:t xml:space="preserve">ambit of </w:t>
      </w:r>
      <w:r>
        <w:rPr>
          <w:rFonts w:ascii="Arial" w:hAnsi="Arial" w:cs="Arial"/>
          <w:color w:val="7B7B7B" w:themeColor="accent3" w:themeShade="BF"/>
          <w:sz w:val="22"/>
          <w:szCs w:val="22"/>
        </w:rPr>
        <w:t>MLCBI.</w:t>
      </w:r>
    </w:p>
    <w:p w14:paraId="024CEBBB" w14:textId="33DEF130" w:rsidR="00457399" w:rsidRDefault="00457399" w:rsidP="00856607">
      <w:pPr>
        <w:jc w:val="both"/>
        <w:rPr>
          <w:rFonts w:ascii="Arial" w:hAnsi="Arial" w:cs="Arial"/>
          <w:color w:val="7B7B7B" w:themeColor="accent3" w:themeShade="BF"/>
          <w:sz w:val="22"/>
          <w:szCs w:val="22"/>
        </w:rPr>
      </w:pPr>
    </w:p>
    <w:p w14:paraId="5DFB0148" w14:textId="0602C6E3" w:rsidR="00DF67C4" w:rsidRPr="00856607" w:rsidRDefault="00DF67C4" w:rsidP="00DF67C4">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Pr>
          <w:rFonts w:ascii="Arial" w:hAnsi="Arial" w:cs="Arial"/>
          <w:color w:val="7B7B7B" w:themeColor="accent3" w:themeShade="BF"/>
          <w:sz w:val="22"/>
          <w:szCs w:val="22"/>
        </w:rPr>
        <w:t xml:space="preserve">he conditions for the “foreign proceeding” </w:t>
      </w:r>
      <w:r>
        <w:rPr>
          <w:rFonts w:ascii="Arial" w:hAnsi="Arial" w:cs="Arial"/>
          <w:color w:val="7B7B7B" w:themeColor="accent3" w:themeShade="BF"/>
          <w:sz w:val="22"/>
          <w:szCs w:val="22"/>
        </w:rPr>
        <w:t>are</w:t>
      </w:r>
      <w:r>
        <w:rPr>
          <w:rFonts w:ascii="Arial" w:hAnsi="Arial" w:cs="Arial"/>
          <w:color w:val="7B7B7B" w:themeColor="accent3" w:themeShade="BF"/>
          <w:sz w:val="22"/>
          <w:szCs w:val="22"/>
        </w:rPr>
        <w:t xml:space="preserve"> not satisfied </w:t>
      </w:r>
      <w:r>
        <w:rPr>
          <w:rFonts w:ascii="Arial" w:hAnsi="Arial" w:cs="Arial"/>
          <w:color w:val="7B7B7B" w:themeColor="accent3" w:themeShade="BF"/>
          <w:sz w:val="22"/>
          <w:szCs w:val="22"/>
        </w:rPr>
        <w:t>which renders the MLCBI inapplicable to our case w</w:t>
      </w:r>
      <w:r>
        <w:rPr>
          <w:rFonts w:ascii="Arial" w:hAnsi="Arial" w:cs="Arial"/>
          <w:color w:val="7B7B7B" w:themeColor="accent3" w:themeShade="BF"/>
          <w:sz w:val="22"/>
          <w:szCs w:val="22"/>
        </w:rPr>
        <w:t>ithout having to assess whether the “foreign representative” condition is met</w:t>
      </w:r>
      <w:r>
        <w:rPr>
          <w:rFonts w:ascii="Arial" w:hAnsi="Arial" w:cs="Arial"/>
          <w:color w:val="7B7B7B" w:themeColor="accent3" w:themeShade="BF"/>
          <w:sz w:val="22"/>
          <w:szCs w:val="22"/>
        </w:rPr>
        <w:t>. Nevertheless, this essay</w:t>
      </w:r>
      <w:r>
        <w:rPr>
          <w:rFonts w:ascii="Arial" w:hAnsi="Arial" w:cs="Arial"/>
          <w:color w:val="7B7B7B" w:themeColor="accent3" w:themeShade="BF"/>
          <w:sz w:val="22"/>
          <w:szCs w:val="22"/>
        </w:rPr>
        <w:t xml:space="preserve"> will briefly discuss the concept and apply it to our case.</w:t>
      </w:r>
    </w:p>
    <w:p w14:paraId="36F54317" w14:textId="662AFD31" w:rsidR="00112130" w:rsidRDefault="00DF107D" w:rsidP="00DF67C4">
      <w:pPr>
        <w:ind w:firstLine="720"/>
        <w:jc w:val="both"/>
        <w:rPr>
          <w:rFonts w:ascii="Arial" w:hAnsi="Arial" w:cs="Arial"/>
          <w:color w:val="7B7B7B" w:themeColor="accent3" w:themeShade="BF"/>
          <w:sz w:val="22"/>
          <w:szCs w:val="22"/>
        </w:rPr>
      </w:pPr>
      <w:r>
        <w:rPr>
          <w:rFonts w:ascii="Arial" w:hAnsi="Arial" w:cs="Arial"/>
          <w:b/>
          <w:bCs/>
          <w:color w:val="7B7B7B" w:themeColor="accent3" w:themeShade="BF"/>
          <w:sz w:val="22"/>
          <w:szCs w:val="22"/>
          <w:u w:val="single"/>
        </w:rPr>
        <w:t>Criteria for “Foreign Representative”:</w:t>
      </w:r>
      <w:r>
        <w:rPr>
          <w:rFonts w:ascii="Arial" w:hAnsi="Arial" w:cs="Arial"/>
          <w:color w:val="7B7B7B" w:themeColor="accent3" w:themeShade="BF"/>
          <w:sz w:val="22"/>
          <w:szCs w:val="22"/>
        </w:rPr>
        <w:t xml:space="preserve"> </w:t>
      </w:r>
      <w:r w:rsidR="0073093F">
        <w:rPr>
          <w:rFonts w:ascii="Arial" w:hAnsi="Arial" w:cs="Arial"/>
          <w:color w:val="7B7B7B" w:themeColor="accent3" w:themeShade="BF"/>
          <w:sz w:val="22"/>
          <w:szCs w:val="22"/>
        </w:rPr>
        <w:t>The question is whether the</w:t>
      </w:r>
      <w:r w:rsidR="001268BF">
        <w:rPr>
          <w:rFonts w:ascii="Arial" w:hAnsi="Arial" w:cs="Arial"/>
          <w:color w:val="7B7B7B" w:themeColor="accent3" w:themeShade="BF"/>
          <w:sz w:val="22"/>
          <w:szCs w:val="22"/>
        </w:rPr>
        <w:t xml:space="preserve"> “Applicants” – ie Ms. G </w:t>
      </w:r>
      <w:r w:rsidR="00E7756E">
        <w:rPr>
          <w:rFonts w:ascii="Arial" w:hAnsi="Arial" w:cs="Arial"/>
          <w:color w:val="7B7B7B" w:themeColor="accent3" w:themeShade="BF"/>
          <w:sz w:val="22"/>
          <w:szCs w:val="22"/>
        </w:rPr>
        <w:t>on behalf of</w:t>
      </w:r>
      <w:r w:rsidR="001268BF">
        <w:rPr>
          <w:rFonts w:ascii="Arial" w:hAnsi="Arial" w:cs="Arial"/>
          <w:color w:val="7B7B7B" w:themeColor="accent3" w:themeShade="BF"/>
          <w:sz w:val="22"/>
          <w:szCs w:val="22"/>
        </w:rPr>
        <w:t xml:space="preserve"> Deposit Guarantee Fund (“DGF”) – can qualify as “foreign representative” under </w:t>
      </w:r>
      <w:r w:rsidR="001268BF" w:rsidRPr="00E40D91">
        <w:rPr>
          <w:rFonts w:ascii="Arial" w:hAnsi="Arial" w:cs="Arial"/>
          <w:b/>
          <w:bCs/>
          <w:color w:val="7B7B7B" w:themeColor="accent3" w:themeShade="BF"/>
          <w:sz w:val="22"/>
          <w:szCs w:val="22"/>
        </w:rPr>
        <w:t>Article 2(d) MLCBI</w:t>
      </w:r>
      <w:r w:rsidR="001268BF">
        <w:rPr>
          <w:rFonts w:ascii="Arial" w:hAnsi="Arial" w:cs="Arial"/>
          <w:color w:val="7B7B7B" w:themeColor="accent3" w:themeShade="BF"/>
          <w:sz w:val="22"/>
          <w:szCs w:val="22"/>
        </w:rPr>
        <w:t>.</w:t>
      </w:r>
      <w:r w:rsidR="00613F7E">
        <w:rPr>
          <w:rFonts w:ascii="Arial" w:hAnsi="Arial" w:cs="Arial"/>
          <w:color w:val="7B7B7B" w:themeColor="accent3" w:themeShade="BF"/>
          <w:sz w:val="22"/>
          <w:szCs w:val="22"/>
        </w:rPr>
        <w:t xml:space="preserve"> </w:t>
      </w:r>
      <w:r w:rsidR="00AC4DF3">
        <w:rPr>
          <w:rFonts w:ascii="Arial" w:hAnsi="Arial" w:cs="Arial"/>
          <w:color w:val="7B7B7B" w:themeColor="accent3" w:themeShade="BF"/>
          <w:sz w:val="22"/>
          <w:szCs w:val="22"/>
        </w:rPr>
        <w:t xml:space="preserve">According to </w:t>
      </w:r>
      <w:r w:rsidR="00AC4DF3">
        <w:rPr>
          <w:rFonts w:ascii="Arial" w:hAnsi="Arial" w:cs="Arial"/>
          <w:b/>
          <w:bCs/>
          <w:color w:val="7B7B7B" w:themeColor="accent3" w:themeShade="BF"/>
          <w:sz w:val="22"/>
          <w:szCs w:val="22"/>
        </w:rPr>
        <w:t xml:space="preserve">paragraph 63 GEI, </w:t>
      </w:r>
      <w:r w:rsidR="009130A4">
        <w:rPr>
          <w:rFonts w:ascii="Arial" w:hAnsi="Arial" w:cs="Arial"/>
          <w:color w:val="7B7B7B" w:themeColor="accent3" w:themeShade="BF"/>
          <w:sz w:val="22"/>
          <w:szCs w:val="22"/>
        </w:rPr>
        <w:t xml:space="preserve">to draw the scope of the applicability of the MLCBI, </w:t>
      </w:r>
      <w:r w:rsidR="00AC4DF3" w:rsidRPr="000F44BE">
        <w:rPr>
          <w:rFonts w:ascii="Arial" w:hAnsi="Arial" w:cs="Arial"/>
          <w:color w:val="7B7B7B" w:themeColor="accent3" w:themeShade="BF"/>
          <w:sz w:val="22"/>
          <w:szCs w:val="22"/>
        </w:rPr>
        <w:t xml:space="preserve">a proceeding </w:t>
      </w:r>
      <w:r w:rsidR="009130A4">
        <w:rPr>
          <w:rFonts w:ascii="Arial" w:hAnsi="Arial" w:cs="Arial"/>
          <w:color w:val="7B7B7B" w:themeColor="accent3" w:themeShade="BF"/>
          <w:sz w:val="22"/>
          <w:szCs w:val="22"/>
        </w:rPr>
        <w:t>will only</w:t>
      </w:r>
      <w:r w:rsidR="00AC4DF3" w:rsidRPr="000F44BE">
        <w:rPr>
          <w:rFonts w:ascii="Arial" w:hAnsi="Arial" w:cs="Arial"/>
          <w:color w:val="7B7B7B" w:themeColor="accent3" w:themeShade="BF"/>
          <w:sz w:val="22"/>
          <w:szCs w:val="22"/>
        </w:rPr>
        <w:t xml:space="preserve"> be susceptible to recognition </w:t>
      </w:r>
      <w:r w:rsidR="00AC4DF3">
        <w:rPr>
          <w:rFonts w:ascii="Arial" w:hAnsi="Arial" w:cs="Arial"/>
          <w:color w:val="7B7B7B" w:themeColor="accent3" w:themeShade="BF"/>
          <w:sz w:val="22"/>
          <w:szCs w:val="22"/>
        </w:rPr>
        <w:t>under the MLCBI and the</w:t>
      </w:r>
      <w:r w:rsidR="00AC4DF3" w:rsidRPr="000F44BE">
        <w:rPr>
          <w:rFonts w:ascii="Arial" w:hAnsi="Arial" w:cs="Arial"/>
          <w:color w:val="7B7B7B" w:themeColor="accent3" w:themeShade="BF"/>
          <w:sz w:val="22"/>
          <w:szCs w:val="22"/>
        </w:rPr>
        <w:t xml:space="preserve"> foreign representative </w:t>
      </w:r>
      <w:r w:rsidR="009130A4">
        <w:rPr>
          <w:rFonts w:ascii="Arial" w:hAnsi="Arial" w:cs="Arial"/>
          <w:color w:val="7B7B7B" w:themeColor="accent3" w:themeShade="BF"/>
          <w:sz w:val="22"/>
          <w:szCs w:val="22"/>
        </w:rPr>
        <w:t>will only</w:t>
      </w:r>
      <w:r w:rsidR="00AC4DF3" w:rsidRPr="000F44BE">
        <w:rPr>
          <w:rFonts w:ascii="Arial" w:hAnsi="Arial" w:cs="Arial"/>
          <w:color w:val="7B7B7B" w:themeColor="accent3" w:themeShade="BF"/>
          <w:sz w:val="22"/>
          <w:szCs w:val="22"/>
        </w:rPr>
        <w:t xml:space="preserve"> be </w:t>
      </w:r>
      <w:r w:rsidR="00AC4DF3">
        <w:rPr>
          <w:rFonts w:ascii="Arial" w:hAnsi="Arial" w:cs="Arial"/>
          <w:color w:val="7B7B7B" w:themeColor="accent3" w:themeShade="BF"/>
          <w:sz w:val="22"/>
          <w:szCs w:val="22"/>
        </w:rPr>
        <w:t>granted a</w:t>
      </w:r>
      <w:r w:rsidR="00AC4DF3" w:rsidRPr="000F44BE">
        <w:rPr>
          <w:rFonts w:ascii="Arial" w:hAnsi="Arial" w:cs="Arial"/>
          <w:color w:val="7B7B7B" w:themeColor="accent3" w:themeShade="BF"/>
          <w:sz w:val="22"/>
          <w:szCs w:val="22"/>
        </w:rPr>
        <w:t xml:space="preserve">ccess </w:t>
      </w:r>
      <w:r w:rsidR="00AC4DF3">
        <w:rPr>
          <w:rFonts w:ascii="Arial" w:hAnsi="Arial" w:cs="Arial"/>
          <w:color w:val="7B7B7B" w:themeColor="accent3" w:themeShade="BF"/>
          <w:sz w:val="22"/>
          <w:szCs w:val="22"/>
        </w:rPr>
        <w:t>to or legal standing in</w:t>
      </w:r>
      <w:r w:rsidR="00AC4DF3" w:rsidRPr="000F44BE">
        <w:rPr>
          <w:rFonts w:ascii="Arial" w:hAnsi="Arial" w:cs="Arial"/>
          <w:color w:val="7B7B7B" w:themeColor="accent3" w:themeShade="BF"/>
          <w:sz w:val="22"/>
          <w:szCs w:val="22"/>
        </w:rPr>
        <w:t xml:space="preserve"> local courts </w:t>
      </w:r>
      <w:r w:rsidR="00AC4DF3">
        <w:rPr>
          <w:rFonts w:ascii="Arial" w:hAnsi="Arial" w:cs="Arial"/>
          <w:color w:val="7B7B7B" w:themeColor="accent3" w:themeShade="BF"/>
          <w:sz w:val="22"/>
          <w:szCs w:val="22"/>
        </w:rPr>
        <w:t>i</w:t>
      </w:r>
      <w:r w:rsidR="009130A4">
        <w:rPr>
          <w:rFonts w:ascii="Arial" w:hAnsi="Arial" w:cs="Arial"/>
          <w:color w:val="7B7B7B" w:themeColor="accent3" w:themeShade="BF"/>
          <w:sz w:val="22"/>
          <w:szCs w:val="22"/>
        </w:rPr>
        <w:t>f it has</w:t>
      </w:r>
      <w:r w:rsidR="00AC4DF3" w:rsidRPr="000F44BE">
        <w:rPr>
          <w:rFonts w:ascii="Arial" w:hAnsi="Arial" w:cs="Arial"/>
          <w:color w:val="7B7B7B" w:themeColor="accent3" w:themeShade="BF"/>
          <w:sz w:val="22"/>
          <w:szCs w:val="22"/>
        </w:rPr>
        <w:t xml:space="preserve"> the attributes specified in </w:t>
      </w:r>
      <w:r w:rsidR="00AC4DF3">
        <w:rPr>
          <w:rFonts w:ascii="Arial" w:hAnsi="Arial" w:cs="Arial"/>
          <w:color w:val="7B7B7B" w:themeColor="accent3" w:themeShade="BF"/>
          <w:sz w:val="22"/>
          <w:szCs w:val="22"/>
        </w:rPr>
        <w:t>Article 2</w:t>
      </w:r>
      <w:r w:rsidR="00AC4DF3" w:rsidRPr="000F44BE">
        <w:rPr>
          <w:rFonts w:ascii="Arial" w:hAnsi="Arial" w:cs="Arial"/>
          <w:color w:val="7B7B7B" w:themeColor="accent3" w:themeShade="BF"/>
          <w:sz w:val="22"/>
          <w:szCs w:val="22"/>
        </w:rPr>
        <w:t>(d)</w:t>
      </w:r>
      <w:r w:rsidR="00AC4DF3">
        <w:rPr>
          <w:rFonts w:ascii="Arial" w:hAnsi="Arial" w:cs="Arial"/>
          <w:color w:val="7B7B7B" w:themeColor="accent3" w:themeShade="BF"/>
          <w:sz w:val="22"/>
          <w:szCs w:val="22"/>
        </w:rPr>
        <w:t xml:space="preserve"> MLCBI</w:t>
      </w:r>
      <w:r w:rsidR="00AC4DF3" w:rsidRPr="000F44BE">
        <w:rPr>
          <w:rFonts w:ascii="Arial" w:hAnsi="Arial" w:cs="Arial"/>
          <w:color w:val="7B7B7B" w:themeColor="accent3" w:themeShade="BF"/>
          <w:sz w:val="22"/>
          <w:szCs w:val="22"/>
        </w:rPr>
        <w:t>.</w:t>
      </w:r>
      <w:r w:rsidR="00AC4DF3">
        <w:rPr>
          <w:rFonts w:ascii="Arial" w:hAnsi="Arial" w:cs="Arial"/>
          <w:color w:val="7B7B7B" w:themeColor="accent3" w:themeShade="BF"/>
          <w:sz w:val="22"/>
          <w:szCs w:val="22"/>
        </w:rPr>
        <w:t xml:space="preserve"> </w:t>
      </w:r>
      <w:r w:rsidR="00613F7E">
        <w:rPr>
          <w:rFonts w:ascii="Arial" w:hAnsi="Arial" w:cs="Arial"/>
          <w:color w:val="7B7B7B" w:themeColor="accent3" w:themeShade="BF"/>
          <w:sz w:val="22"/>
          <w:szCs w:val="22"/>
        </w:rPr>
        <w:t>According to the Article, a foreign representative means a (1) person or body (regardless of whether it is appointed on interim basis), (2) that is authorized to administer the liquidation (or reorganization) of the debtor’s assets or affairs, or to be the representative of that foreign proceeding in the enacting State.</w:t>
      </w:r>
      <w:r w:rsidR="00DF67C4">
        <w:rPr>
          <w:rFonts w:ascii="Arial" w:hAnsi="Arial" w:cs="Arial"/>
          <w:color w:val="7B7B7B" w:themeColor="accent3" w:themeShade="BF"/>
          <w:sz w:val="22"/>
          <w:szCs w:val="22"/>
        </w:rPr>
        <w:t xml:space="preserve"> </w:t>
      </w:r>
      <w:r w:rsidR="005C1FE5">
        <w:rPr>
          <w:rFonts w:ascii="Arial" w:hAnsi="Arial" w:cs="Arial"/>
          <w:color w:val="7B7B7B" w:themeColor="accent3" w:themeShade="BF"/>
          <w:sz w:val="22"/>
          <w:szCs w:val="22"/>
        </w:rPr>
        <w:t xml:space="preserve">The GEI is rather brief on the explanation of this expression. In </w:t>
      </w:r>
      <w:r w:rsidR="005C1FE5">
        <w:rPr>
          <w:rFonts w:ascii="Arial" w:hAnsi="Arial" w:cs="Arial"/>
          <w:b/>
          <w:bCs/>
          <w:color w:val="7B7B7B" w:themeColor="accent3" w:themeShade="BF"/>
          <w:sz w:val="22"/>
          <w:szCs w:val="22"/>
        </w:rPr>
        <w:t>paragraph 86 GEI,</w:t>
      </w:r>
      <w:r w:rsidR="00AC4DF3">
        <w:rPr>
          <w:rFonts w:ascii="Arial" w:hAnsi="Arial" w:cs="Arial"/>
          <w:b/>
          <w:bCs/>
          <w:color w:val="7B7B7B" w:themeColor="accent3" w:themeShade="BF"/>
          <w:sz w:val="22"/>
          <w:szCs w:val="22"/>
        </w:rPr>
        <w:t xml:space="preserve"> </w:t>
      </w:r>
      <w:r w:rsidR="00AC4DF3">
        <w:rPr>
          <w:rFonts w:ascii="Arial" w:hAnsi="Arial" w:cs="Arial"/>
          <w:color w:val="7B7B7B" w:themeColor="accent3" w:themeShade="BF"/>
          <w:sz w:val="22"/>
          <w:szCs w:val="22"/>
        </w:rPr>
        <w:t xml:space="preserve">it explains that the representative is a person authorized to administer the foreign proceedings. Administration could include seeking recognition. The concept of authorization is broad to include appointments made by a special agency other than the court. </w:t>
      </w:r>
    </w:p>
    <w:p w14:paraId="5D34AA8E" w14:textId="5351F2D5" w:rsidR="00AC4DF3" w:rsidRDefault="00DF67C4" w:rsidP="00AC4DF3">
      <w:pPr>
        <w:ind w:firstLine="720"/>
        <w:jc w:val="both"/>
        <w:rPr>
          <w:rFonts w:ascii="Arial" w:hAnsi="Arial" w:cs="Arial"/>
          <w:color w:val="7B7B7B" w:themeColor="accent3" w:themeShade="BF"/>
          <w:sz w:val="22"/>
          <w:szCs w:val="22"/>
        </w:rPr>
      </w:pPr>
      <w:r>
        <w:rPr>
          <w:rFonts w:ascii="Arial" w:hAnsi="Arial" w:cs="Arial"/>
          <w:i/>
          <w:iCs/>
          <w:color w:val="7B7B7B" w:themeColor="accent3" w:themeShade="BF"/>
          <w:sz w:val="22"/>
          <w:szCs w:val="22"/>
        </w:rPr>
        <w:t xml:space="preserve">In </w:t>
      </w:r>
      <w:proofErr w:type="spellStart"/>
      <w:r>
        <w:rPr>
          <w:rFonts w:ascii="Arial" w:hAnsi="Arial" w:cs="Arial"/>
          <w:i/>
          <w:iCs/>
          <w:color w:val="7B7B7B" w:themeColor="accent3" w:themeShade="BF"/>
          <w:sz w:val="22"/>
          <w:szCs w:val="22"/>
        </w:rPr>
        <w:t>casu</w:t>
      </w:r>
      <w:proofErr w:type="spellEnd"/>
      <w:r w:rsidR="007767B5">
        <w:rPr>
          <w:rFonts w:ascii="Arial" w:hAnsi="Arial" w:cs="Arial"/>
          <w:i/>
          <w:iCs/>
          <w:color w:val="7B7B7B" w:themeColor="accent3" w:themeShade="BF"/>
          <w:sz w:val="22"/>
          <w:szCs w:val="22"/>
        </w:rPr>
        <w:t xml:space="preserve">, </w:t>
      </w:r>
      <w:r w:rsidR="007767B5">
        <w:rPr>
          <w:rFonts w:ascii="Arial" w:hAnsi="Arial" w:cs="Arial"/>
          <w:color w:val="7B7B7B" w:themeColor="accent3" w:themeShade="BF"/>
          <w:sz w:val="22"/>
          <w:szCs w:val="22"/>
        </w:rPr>
        <w:t xml:space="preserve">the DGF is the body that is tasked by law (Article 77 LBBA) to become the liquidator – and hence, to administer the liquidation of the Bank’s assets – and to be the representative of the proceeding in another state, see subparagraph (iv) </w:t>
      </w:r>
      <w:r w:rsidR="00FD5C82">
        <w:rPr>
          <w:rFonts w:ascii="Arial" w:hAnsi="Arial" w:cs="Arial"/>
          <w:color w:val="7B7B7B" w:themeColor="accent3" w:themeShade="BF"/>
          <w:sz w:val="22"/>
          <w:szCs w:val="22"/>
        </w:rPr>
        <w:t>“</w:t>
      </w:r>
      <w:r w:rsidR="007767B5">
        <w:rPr>
          <w:rFonts w:ascii="Arial" w:hAnsi="Arial" w:cs="Arial"/>
          <w:color w:val="7B7B7B" w:themeColor="accent3" w:themeShade="BF"/>
          <w:sz w:val="22"/>
          <w:szCs w:val="22"/>
        </w:rPr>
        <w:t>[the DGF has] the power to exercise such powers as are necessary to complete the liquidation of the bank</w:t>
      </w:r>
      <w:r w:rsidR="00FD5C82">
        <w:rPr>
          <w:rFonts w:ascii="Arial" w:hAnsi="Arial" w:cs="Arial"/>
          <w:color w:val="7B7B7B" w:themeColor="accent3" w:themeShade="BF"/>
          <w:sz w:val="22"/>
          <w:szCs w:val="22"/>
        </w:rPr>
        <w:t>”</w:t>
      </w:r>
      <w:r w:rsidR="007767B5">
        <w:rPr>
          <w:rFonts w:ascii="Arial" w:hAnsi="Arial" w:cs="Arial"/>
          <w:color w:val="7B7B7B" w:themeColor="accent3" w:themeShade="BF"/>
          <w:sz w:val="22"/>
          <w:szCs w:val="22"/>
        </w:rPr>
        <w:t>.</w:t>
      </w:r>
      <w:r w:rsidR="00FD5C82">
        <w:rPr>
          <w:rFonts w:ascii="Arial" w:hAnsi="Arial" w:cs="Arial"/>
          <w:color w:val="7B7B7B" w:themeColor="accent3" w:themeShade="BF"/>
          <w:sz w:val="22"/>
          <w:szCs w:val="22"/>
        </w:rPr>
        <w:t xml:space="preserve"> As a person conducting “administration” is considered a foreign representative under the GEI, and considering that the LBBA allocates an extensive powers to complete the liquidation, which may include seeking recognition, it seems to have met the condition</w:t>
      </w:r>
      <w:r w:rsidR="00A44FF9">
        <w:rPr>
          <w:rFonts w:ascii="Arial" w:hAnsi="Arial" w:cs="Arial"/>
          <w:color w:val="7B7B7B" w:themeColor="accent3" w:themeShade="BF"/>
          <w:sz w:val="22"/>
          <w:szCs w:val="22"/>
        </w:rPr>
        <w:t>s</w:t>
      </w:r>
      <w:r w:rsidR="00FD5C82">
        <w:rPr>
          <w:rFonts w:ascii="Arial" w:hAnsi="Arial" w:cs="Arial"/>
          <w:color w:val="7B7B7B" w:themeColor="accent3" w:themeShade="BF"/>
          <w:sz w:val="22"/>
          <w:szCs w:val="22"/>
        </w:rPr>
        <w:t>. In its internal regulations, ie DGF Law, the DGF may delegate these powers to an authorized person, which in this case is Ms. G.</w:t>
      </w:r>
      <w:r w:rsidR="00A44FF9">
        <w:rPr>
          <w:rFonts w:ascii="Arial" w:hAnsi="Arial" w:cs="Arial"/>
          <w:color w:val="7B7B7B" w:themeColor="accent3" w:themeShade="BF"/>
          <w:sz w:val="22"/>
          <w:szCs w:val="22"/>
        </w:rPr>
        <w:t>, this does not change anything</w:t>
      </w:r>
      <w:r w:rsidR="00FF6716">
        <w:rPr>
          <w:rFonts w:ascii="Arial" w:hAnsi="Arial" w:cs="Arial"/>
          <w:color w:val="7B7B7B" w:themeColor="accent3" w:themeShade="BF"/>
          <w:sz w:val="22"/>
          <w:szCs w:val="22"/>
        </w:rPr>
        <w:t xml:space="preserve"> for two reasons</w:t>
      </w:r>
      <w:r w:rsidR="00A44FF9">
        <w:rPr>
          <w:rFonts w:ascii="Arial" w:hAnsi="Arial" w:cs="Arial"/>
          <w:color w:val="7B7B7B" w:themeColor="accent3" w:themeShade="BF"/>
          <w:sz w:val="22"/>
          <w:szCs w:val="22"/>
        </w:rPr>
        <w:t xml:space="preserve">. Firstly, as discussed above, the concept of authorization is broadly interpreted under the MLCBI to include appointments made by a special agency. Secondly, Ms. G. is exercising her tasks insofar it is delegated </w:t>
      </w:r>
      <w:r w:rsidR="00FF6716">
        <w:rPr>
          <w:rFonts w:ascii="Arial" w:hAnsi="Arial" w:cs="Arial"/>
          <w:color w:val="7B7B7B" w:themeColor="accent3" w:themeShade="BF"/>
          <w:sz w:val="22"/>
          <w:szCs w:val="22"/>
        </w:rPr>
        <w:t xml:space="preserve">by the DGF and remains accountable to its employer. </w:t>
      </w:r>
    </w:p>
    <w:p w14:paraId="09DDBAB0" w14:textId="1BBB61F4" w:rsidR="00FF6716" w:rsidRDefault="00FF6716" w:rsidP="00FF671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As such, the Applicants fall within the description of foreign representative under the MLCBI.</w:t>
      </w:r>
    </w:p>
    <w:p w14:paraId="7EA97CB1" w14:textId="47219533" w:rsidR="00FF6716" w:rsidRPr="00FF6716" w:rsidRDefault="00FF6716" w:rsidP="00FF6716">
      <w:pPr>
        <w:jc w:val="both"/>
        <w:rPr>
          <w:rFonts w:ascii="Arial" w:hAnsi="Arial" w:cs="Arial"/>
          <w:b/>
          <w:bCs/>
          <w:color w:val="7B7B7B" w:themeColor="accent3" w:themeShade="BF"/>
          <w:sz w:val="22"/>
          <w:szCs w:val="22"/>
          <w:u w:val="single"/>
        </w:rPr>
      </w:pPr>
    </w:p>
    <w:p w14:paraId="7C5EFCB5" w14:textId="6B87D827" w:rsidR="007373CB" w:rsidRDefault="00FF6716" w:rsidP="0018709F">
      <w:pPr>
        <w:ind w:firstLine="720"/>
        <w:jc w:val="both"/>
        <w:rPr>
          <w:rFonts w:ascii="Arial" w:hAnsi="Arial" w:cs="Arial"/>
          <w:color w:val="7B7B7B" w:themeColor="accent3" w:themeShade="BF"/>
          <w:sz w:val="22"/>
          <w:szCs w:val="22"/>
          <w:lang w:val="en-GB"/>
        </w:rPr>
      </w:pPr>
      <w:r w:rsidRPr="00FF6716">
        <w:rPr>
          <w:rFonts w:ascii="Arial" w:hAnsi="Arial" w:cs="Arial"/>
          <w:b/>
          <w:bCs/>
          <w:color w:val="7B7B7B" w:themeColor="accent3" w:themeShade="BF"/>
          <w:sz w:val="22"/>
          <w:szCs w:val="22"/>
          <w:u w:val="single"/>
        </w:rPr>
        <w:t>In conclusion</w:t>
      </w:r>
      <w:r>
        <w:rPr>
          <w:rFonts w:ascii="Arial" w:hAnsi="Arial" w:cs="Arial"/>
          <w:color w:val="7B7B7B" w:themeColor="accent3" w:themeShade="BF"/>
          <w:sz w:val="22"/>
          <w:szCs w:val="22"/>
        </w:rPr>
        <w:t>: Th</w:t>
      </w:r>
      <w:r w:rsidR="005A2F7F">
        <w:rPr>
          <w:rFonts w:ascii="Arial" w:hAnsi="Arial" w:cs="Arial"/>
          <w:color w:val="7B7B7B" w:themeColor="accent3" w:themeShade="BF"/>
          <w:sz w:val="22"/>
          <w:szCs w:val="22"/>
        </w:rPr>
        <w:t xml:space="preserve">e liquidation proceeding conducted in Country A, and for which applicants filed for recognition in the English court, </w:t>
      </w:r>
      <w:r>
        <w:rPr>
          <w:rFonts w:ascii="Arial" w:hAnsi="Arial" w:cs="Arial"/>
          <w:color w:val="7B7B7B" w:themeColor="accent3" w:themeShade="BF"/>
          <w:sz w:val="22"/>
          <w:szCs w:val="22"/>
        </w:rPr>
        <w:t xml:space="preserve">does not fall within the scope of the MLCBI because it does not satisfy the </w:t>
      </w:r>
      <w:r w:rsidR="00294108">
        <w:rPr>
          <w:rFonts w:ascii="Arial" w:hAnsi="Arial" w:cs="Arial"/>
          <w:color w:val="7B7B7B" w:themeColor="accent3" w:themeShade="BF"/>
          <w:sz w:val="22"/>
          <w:szCs w:val="22"/>
        </w:rPr>
        <w:t xml:space="preserve">description “foreign proceeding” due to the lack of court supervision or control, despite the fact that the expression “foreign </w:t>
      </w:r>
      <w:r>
        <w:rPr>
          <w:rFonts w:ascii="Arial" w:hAnsi="Arial" w:cs="Arial"/>
          <w:color w:val="7B7B7B" w:themeColor="accent3" w:themeShade="BF"/>
          <w:sz w:val="22"/>
          <w:szCs w:val="22"/>
          <w:lang w:val="en-GB"/>
        </w:rPr>
        <w:t>representative</w:t>
      </w:r>
      <w:r w:rsidR="00294108">
        <w:rPr>
          <w:rFonts w:ascii="Arial" w:hAnsi="Arial" w:cs="Arial"/>
          <w:color w:val="7B7B7B" w:themeColor="accent3" w:themeShade="BF"/>
          <w:sz w:val="22"/>
          <w:szCs w:val="22"/>
          <w:lang w:val="en-GB"/>
        </w:rPr>
        <w:t>” is fulfilled.</w:t>
      </w:r>
    </w:p>
    <w:p w14:paraId="1A83A988" w14:textId="77777777" w:rsidR="00BB7262" w:rsidRDefault="00BB7262" w:rsidP="00707FC8">
      <w:pPr>
        <w:jc w:val="both"/>
        <w:rPr>
          <w:rFonts w:ascii="Arial" w:hAnsi="Arial" w:cs="Arial"/>
          <w:color w:val="7B7B7B" w:themeColor="accent3" w:themeShade="BF"/>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AD9D" w14:textId="77777777" w:rsidR="00AF1167" w:rsidRDefault="00AF1167" w:rsidP="00241B44">
      <w:r>
        <w:separator/>
      </w:r>
    </w:p>
  </w:endnote>
  <w:endnote w:type="continuationSeparator" w:id="0">
    <w:p w14:paraId="63DB2FC9" w14:textId="77777777" w:rsidR="00AF1167" w:rsidRDefault="00AF116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31C18819" w:rsidR="0036760B" w:rsidRPr="00784B4B" w:rsidRDefault="00FE7DD4" w:rsidP="0036760B">
    <w:pPr>
      <w:pStyle w:val="Footer"/>
      <w:ind w:right="360" w:firstLine="360"/>
      <w:rPr>
        <w:rFonts w:ascii="Arial" w:hAnsi="Arial" w:cs="Arial"/>
        <w:sz w:val="18"/>
        <w:szCs w:val="18"/>
      </w:rPr>
    </w:pPr>
    <w:r>
      <w:rPr>
        <w:rFonts w:ascii="Arial" w:hAnsi="Arial" w:cs="Arial"/>
        <w:sz w:val="18"/>
        <w:szCs w:val="18"/>
      </w:rPr>
      <w:t>202122-551</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4001" w14:textId="77777777" w:rsidR="00FE7DD4" w:rsidRDefault="00FE7D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39CC7" w14:textId="77777777" w:rsidR="00AF1167" w:rsidRDefault="00AF1167" w:rsidP="00241B44">
      <w:r>
        <w:separator/>
      </w:r>
    </w:p>
  </w:footnote>
  <w:footnote w:type="continuationSeparator" w:id="0">
    <w:p w14:paraId="09F331DC" w14:textId="77777777" w:rsidR="00AF1167" w:rsidRDefault="00AF116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882E" w14:textId="77777777" w:rsidR="00FE7DD4" w:rsidRDefault="00FE7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19ED" w14:textId="77777777" w:rsidR="00FE7DD4" w:rsidRDefault="00FE7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DACE" w14:textId="77777777" w:rsidR="00FE7DD4" w:rsidRDefault="00FE7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23210">
    <w:abstractNumId w:val="1"/>
  </w:num>
  <w:num w:numId="2" w16cid:durableId="1955943652">
    <w:abstractNumId w:val="39"/>
  </w:num>
  <w:num w:numId="3" w16cid:durableId="934901207">
    <w:abstractNumId w:val="26"/>
  </w:num>
  <w:num w:numId="4" w16cid:durableId="2001880837">
    <w:abstractNumId w:val="35"/>
  </w:num>
  <w:num w:numId="5" w16cid:durableId="1448308729">
    <w:abstractNumId w:val="6"/>
  </w:num>
  <w:num w:numId="6" w16cid:durableId="1730878116">
    <w:abstractNumId w:val="33"/>
  </w:num>
  <w:num w:numId="7" w16cid:durableId="359402132">
    <w:abstractNumId w:val="13"/>
  </w:num>
  <w:num w:numId="8" w16cid:durableId="1409687590">
    <w:abstractNumId w:val="28"/>
  </w:num>
  <w:num w:numId="9" w16cid:durableId="1951744259">
    <w:abstractNumId w:val="16"/>
  </w:num>
  <w:num w:numId="10" w16cid:durableId="325207391">
    <w:abstractNumId w:val="9"/>
  </w:num>
  <w:num w:numId="11" w16cid:durableId="435097905">
    <w:abstractNumId w:val="18"/>
  </w:num>
  <w:num w:numId="12" w16cid:durableId="1447919409">
    <w:abstractNumId w:val="32"/>
  </w:num>
  <w:num w:numId="13" w16cid:durableId="107748689">
    <w:abstractNumId w:val="4"/>
  </w:num>
  <w:num w:numId="14" w16cid:durableId="537666880">
    <w:abstractNumId w:val="24"/>
  </w:num>
  <w:num w:numId="15" w16cid:durableId="1308168917">
    <w:abstractNumId w:val="10"/>
  </w:num>
  <w:num w:numId="16" w16cid:durableId="1861043372">
    <w:abstractNumId w:val="11"/>
  </w:num>
  <w:num w:numId="17" w16cid:durableId="1837069995">
    <w:abstractNumId w:val="20"/>
  </w:num>
  <w:num w:numId="18" w16cid:durableId="2052027114">
    <w:abstractNumId w:val="5"/>
  </w:num>
  <w:num w:numId="19" w16cid:durableId="795030736">
    <w:abstractNumId w:val="19"/>
  </w:num>
  <w:num w:numId="20" w16cid:durableId="1719544596">
    <w:abstractNumId w:val="38"/>
  </w:num>
  <w:num w:numId="21" w16cid:durableId="1074201692">
    <w:abstractNumId w:val="12"/>
  </w:num>
  <w:num w:numId="22" w16cid:durableId="1349719921">
    <w:abstractNumId w:val="31"/>
  </w:num>
  <w:num w:numId="23" w16cid:durableId="200829145">
    <w:abstractNumId w:val="36"/>
  </w:num>
  <w:num w:numId="24" w16cid:durableId="1265386245">
    <w:abstractNumId w:val="30"/>
  </w:num>
  <w:num w:numId="25" w16cid:durableId="2016954178">
    <w:abstractNumId w:val="23"/>
  </w:num>
  <w:num w:numId="26" w16cid:durableId="1603295056">
    <w:abstractNumId w:val="37"/>
  </w:num>
  <w:num w:numId="27" w16cid:durableId="913585227">
    <w:abstractNumId w:val="34"/>
  </w:num>
  <w:num w:numId="28" w16cid:durableId="993799338">
    <w:abstractNumId w:val="7"/>
  </w:num>
  <w:num w:numId="29" w16cid:durableId="854733158">
    <w:abstractNumId w:val="8"/>
  </w:num>
  <w:num w:numId="30" w16cid:durableId="1246723019">
    <w:abstractNumId w:val="21"/>
  </w:num>
  <w:num w:numId="31" w16cid:durableId="1102455698">
    <w:abstractNumId w:val="2"/>
  </w:num>
  <w:num w:numId="32" w16cid:durableId="1836335391">
    <w:abstractNumId w:val="22"/>
  </w:num>
  <w:num w:numId="33" w16cid:durableId="996954064">
    <w:abstractNumId w:val="0"/>
  </w:num>
  <w:num w:numId="34" w16cid:durableId="349449978">
    <w:abstractNumId w:val="27"/>
  </w:num>
  <w:num w:numId="35" w16cid:durableId="1498837011">
    <w:abstractNumId w:val="15"/>
  </w:num>
  <w:num w:numId="36" w16cid:durableId="1247766388">
    <w:abstractNumId w:val="29"/>
  </w:num>
  <w:num w:numId="37" w16cid:durableId="48186408">
    <w:abstractNumId w:val="17"/>
  </w:num>
  <w:num w:numId="38" w16cid:durableId="805393487">
    <w:abstractNumId w:val="25"/>
  </w:num>
  <w:num w:numId="39" w16cid:durableId="1749308493">
    <w:abstractNumId w:val="3"/>
  </w:num>
  <w:num w:numId="40" w16cid:durableId="11558747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8D7"/>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54F07"/>
    <w:rsid w:val="000571DB"/>
    <w:rsid w:val="00062C86"/>
    <w:rsid w:val="0006404E"/>
    <w:rsid w:val="00065166"/>
    <w:rsid w:val="00067A88"/>
    <w:rsid w:val="00073474"/>
    <w:rsid w:val="00077D49"/>
    <w:rsid w:val="00082609"/>
    <w:rsid w:val="000851CC"/>
    <w:rsid w:val="00093BE8"/>
    <w:rsid w:val="000A68ED"/>
    <w:rsid w:val="000A768D"/>
    <w:rsid w:val="000B03EA"/>
    <w:rsid w:val="000B4FEB"/>
    <w:rsid w:val="000B5FF1"/>
    <w:rsid w:val="000B609F"/>
    <w:rsid w:val="000B70A0"/>
    <w:rsid w:val="000C13FC"/>
    <w:rsid w:val="000C147F"/>
    <w:rsid w:val="000C6BB9"/>
    <w:rsid w:val="000D502B"/>
    <w:rsid w:val="000D55A8"/>
    <w:rsid w:val="000E4841"/>
    <w:rsid w:val="000E6325"/>
    <w:rsid w:val="000F0E6F"/>
    <w:rsid w:val="000F1677"/>
    <w:rsid w:val="000F3D6C"/>
    <w:rsid w:val="000F44BE"/>
    <w:rsid w:val="000F579C"/>
    <w:rsid w:val="00101707"/>
    <w:rsid w:val="001066B6"/>
    <w:rsid w:val="00112130"/>
    <w:rsid w:val="00114082"/>
    <w:rsid w:val="0011473D"/>
    <w:rsid w:val="00115C85"/>
    <w:rsid w:val="00123855"/>
    <w:rsid w:val="001268BF"/>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1547"/>
    <w:rsid w:val="0018267A"/>
    <w:rsid w:val="00182779"/>
    <w:rsid w:val="001830DF"/>
    <w:rsid w:val="0018709F"/>
    <w:rsid w:val="00190FD2"/>
    <w:rsid w:val="00194D78"/>
    <w:rsid w:val="001966D9"/>
    <w:rsid w:val="001A24E7"/>
    <w:rsid w:val="001A2B78"/>
    <w:rsid w:val="001A7E9A"/>
    <w:rsid w:val="001B0F70"/>
    <w:rsid w:val="001B5016"/>
    <w:rsid w:val="001B79A7"/>
    <w:rsid w:val="001C45FC"/>
    <w:rsid w:val="001D02C5"/>
    <w:rsid w:val="001D4862"/>
    <w:rsid w:val="001E25B9"/>
    <w:rsid w:val="001E49E0"/>
    <w:rsid w:val="001E7B5A"/>
    <w:rsid w:val="001F7412"/>
    <w:rsid w:val="00201874"/>
    <w:rsid w:val="00202133"/>
    <w:rsid w:val="0020264E"/>
    <w:rsid w:val="00202E08"/>
    <w:rsid w:val="0020725B"/>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33D"/>
    <w:rsid w:val="002675BE"/>
    <w:rsid w:val="0027299F"/>
    <w:rsid w:val="00276913"/>
    <w:rsid w:val="0028135B"/>
    <w:rsid w:val="0028216D"/>
    <w:rsid w:val="00282480"/>
    <w:rsid w:val="00284EBE"/>
    <w:rsid w:val="00294108"/>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5B6B"/>
    <w:rsid w:val="002F71BE"/>
    <w:rsid w:val="002F75A3"/>
    <w:rsid w:val="00303C2F"/>
    <w:rsid w:val="00312911"/>
    <w:rsid w:val="003144EF"/>
    <w:rsid w:val="003148CA"/>
    <w:rsid w:val="00315506"/>
    <w:rsid w:val="003218E7"/>
    <w:rsid w:val="00322F3B"/>
    <w:rsid w:val="00323712"/>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337"/>
    <w:rsid w:val="0036760B"/>
    <w:rsid w:val="0037465A"/>
    <w:rsid w:val="0037720C"/>
    <w:rsid w:val="00380BAB"/>
    <w:rsid w:val="00382C98"/>
    <w:rsid w:val="00384B8B"/>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3F4B84"/>
    <w:rsid w:val="003F567F"/>
    <w:rsid w:val="00405DC1"/>
    <w:rsid w:val="0040710D"/>
    <w:rsid w:val="0041139B"/>
    <w:rsid w:val="00413D3A"/>
    <w:rsid w:val="00415F1F"/>
    <w:rsid w:val="0042108F"/>
    <w:rsid w:val="00422242"/>
    <w:rsid w:val="00424D07"/>
    <w:rsid w:val="00430E8A"/>
    <w:rsid w:val="00430FED"/>
    <w:rsid w:val="00434A8C"/>
    <w:rsid w:val="00435583"/>
    <w:rsid w:val="00437297"/>
    <w:rsid w:val="00443403"/>
    <w:rsid w:val="00444284"/>
    <w:rsid w:val="00445CE6"/>
    <w:rsid w:val="004534C2"/>
    <w:rsid w:val="0045446F"/>
    <w:rsid w:val="0045683E"/>
    <w:rsid w:val="00457030"/>
    <w:rsid w:val="00457399"/>
    <w:rsid w:val="0047025B"/>
    <w:rsid w:val="00491675"/>
    <w:rsid w:val="00493855"/>
    <w:rsid w:val="0049508F"/>
    <w:rsid w:val="004A10E5"/>
    <w:rsid w:val="004A171E"/>
    <w:rsid w:val="004A422D"/>
    <w:rsid w:val="004A57DD"/>
    <w:rsid w:val="004A7B51"/>
    <w:rsid w:val="004A7D71"/>
    <w:rsid w:val="004A7EF3"/>
    <w:rsid w:val="004B09A8"/>
    <w:rsid w:val="004B11FD"/>
    <w:rsid w:val="004B23A2"/>
    <w:rsid w:val="004C4464"/>
    <w:rsid w:val="004C54B3"/>
    <w:rsid w:val="004D1A5A"/>
    <w:rsid w:val="004D2FFF"/>
    <w:rsid w:val="004D3721"/>
    <w:rsid w:val="004D64F9"/>
    <w:rsid w:val="004E0549"/>
    <w:rsid w:val="004E2E92"/>
    <w:rsid w:val="004E30B0"/>
    <w:rsid w:val="004E622C"/>
    <w:rsid w:val="004E78DA"/>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791"/>
    <w:rsid w:val="00553BC8"/>
    <w:rsid w:val="00553EB2"/>
    <w:rsid w:val="00556777"/>
    <w:rsid w:val="00560534"/>
    <w:rsid w:val="0056391B"/>
    <w:rsid w:val="005650E2"/>
    <w:rsid w:val="00565292"/>
    <w:rsid w:val="0056535A"/>
    <w:rsid w:val="00565DEE"/>
    <w:rsid w:val="00567AD7"/>
    <w:rsid w:val="00571C22"/>
    <w:rsid w:val="00573E73"/>
    <w:rsid w:val="00575B2D"/>
    <w:rsid w:val="005833D0"/>
    <w:rsid w:val="005846F3"/>
    <w:rsid w:val="0058622F"/>
    <w:rsid w:val="00587461"/>
    <w:rsid w:val="00592F82"/>
    <w:rsid w:val="005A051A"/>
    <w:rsid w:val="005A0CCA"/>
    <w:rsid w:val="005A2F7F"/>
    <w:rsid w:val="005A30D4"/>
    <w:rsid w:val="005A726D"/>
    <w:rsid w:val="005B1381"/>
    <w:rsid w:val="005B153B"/>
    <w:rsid w:val="005B622B"/>
    <w:rsid w:val="005B67AC"/>
    <w:rsid w:val="005C1FE5"/>
    <w:rsid w:val="005C2C94"/>
    <w:rsid w:val="005C4865"/>
    <w:rsid w:val="005D0139"/>
    <w:rsid w:val="005D43E0"/>
    <w:rsid w:val="005D58A3"/>
    <w:rsid w:val="005D5CE3"/>
    <w:rsid w:val="005E1B79"/>
    <w:rsid w:val="005E5C28"/>
    <w:rsid w:val="005F026D"/>
    <w:rsid w:val="005F21F4"/>
    <w:rsid w:val="005F2D0B"/>
    <w:rsid w:val="005F3604"/>
    <w:rsid w:val="005F3761"/>
    <w:rsid w:val="005F4B31"/>
    <w:rsid w:val="00610388"/>
    <w:rsid w:val="00612CA5"/>
    <w:rsid w:val="00613F7E"/>
    <w:rsid w:val="006153EC"/>
    <w:rsid w:val="00615A8A"/>
    <w:rsid w:val="00620873"/>
    <w:rsid w:val="00621A17"/>
    <w:rsid w:val="00622586"/>
    <w:rsid w:val="00622C2B"/>
    <w:rsid w:val="00622DCB"/>
    <w:rsid w:val="00627CC9"/>
    <w:rsid w:val="00627E7B"/>
    <w:rsid w:val="00630542"/>
    <w:rsid w:val="00632E44"/>
    <w:rsid w:val="00634622"/>
    <w:rsid w:val="00636808"/>
    <w:rsid w:val="00640C96"/>
    <w:rsid w:val="00641002"/>
    <w:rsid w:val="006413AF"/>
    <w:rsid w:val="00641515"/>
    <w:rsid w:val="00647A4F"/>
    <w:rsid w:val="0065036A"/>
    <w:rsid w:val="00651AE3"/>
    <w:rsid w:val="00654C2F"/>
    <w:rsid w:val="00657087"/>
    <w:rsid w:val="0066252C"/>
    <w:rsid w:val="006661EF"/>
    <w:rsid w:val="0067294B"/>
    <w:rsid w:val="00677736"/>
    <w:rsid w:val="0067785F"/>
    <w:rsid w:val="00677AEB"/>
    <w:rsid w:val="00680EF2"/>
    <w:rsid w:val="006839C2"/>
    <w:rsid w:val="00687A1D"/>
    <w:rsid w:val="006920CC"/>
    <w:rsid w:val="00692618"/>
    <w:rsid w:val="00692E62"/>
    <w:rsid w:val="00697EA1"/>
    <w:rsid w:val="006A1850"/>
    <w:rsid w:val="006A1B7D"/>
    <w:rsid w:val="006A2646"/>
    <w:rsid w:val="006A3DF0"/>
    <w:rsid w:val="006A4A34"/>
    <w:rsid w:val="006A6530"/>
    <w:rsid w:val="006B435A"/>
    <w:rsid w:val="006B4C64"/>
    <w:rsid w:val="006B4FFC"/>
    <w:rsid w:val="006C0AB6"/>
    <w:rsid w:val="006D6BD5"/>
    <w:rsid w:val="006E303F"/>
    <w:rsid w:val="006E481A"/>
    <w:rsid w:val="006E5298"/>
    <w:rsid w:val="006F2CE3"/>
    <w:rsid w:val="006F734A"/>
    <w:rsid w:val="00700D83"/>
    <w:rsid w:val="00704852"/>
    <w:rsid w:val="00706297"/>
    <w:rsid w:val="00706AD5"/>
    <w:rsid w:val="007074E9"/>
    <w:rsid w:val="00707FC8"/>
    <w:rsid w:val="00713DA4"/>
    <w:rsid w:val="007142F3"/>
    <w:rsid w:val="00714BF1"/>
    <w:rsid w:val="00721383"/>
    <w:rsid w:val="0072554C"/>
    <w:rsid w:val="00725911"/>
    <w:rsid w:val="0073093F"/>
    <w:rsid w:val="00731DBD"/>
    <w:rsid w:val="007333CC"/>
    <w:rsid w:val="0073399A"/>
    <w:rsid w:val="007373CB"/>
    <w:rsid w:val="007603F5"/>
    <w:rsid w:val="00764D37"/>
    <w:rsid w:val="00764DB0"/>
    <w:rsid w:val="0076764D"/>
    <w:rsid w:val="0077498C"/>
    <w:rsid w:val="007767B5"/>
    <w:rsid w:val="00784128"/>
    <w:rsid w:val="00784B4B"/>
    <w:rsid w:val="007854ED"/>
    <w:rsid w:val="00793173"/>
    <w:rsid w:val="007A138D"/>
    <w:rsid w:val="007A3722"/>
    <w:rsid w:val="007A68AD"/>
    <w:rsid w:val="007B0291"/>
    <w:rsid w:val="007B2CF8"/>
    <w:rsid w:val="007B3AC7"/>
    <w:rsid w:val="007C1FCC"/>
    <w:rsid w:val="007C32A8"/>
    <w:rsid w:val="007C3FE5"/>
    <w:rsid w:val="007C6201"/>
    <w:rsid w:val="007C6988"/>
    <w:rsid w:val="007D08F0"/>
    <w:rsid w:val="007D28A1"/>
    <w:rsid w:val="007D3A0F"/>
    <w:rsid w:val="007D7C92"/>
    <w:rsid w:val="007E1154"/>
    <w:rsid w:val="007E6BA4"/>
    <w:rsid w:val="007E7678"/>
    <w:rsid w:val="007F0C54"/>
    <w:rsid w:val="007F41F8"/>
    <w:rsid w:val="007F60D0"/>
    <w:rsid w:val="007F623B"/>
    <w:rsid w:val="008020D4"/>
    <w:rsid w:val="0080454E"/>
    <w:rsid w:val="00804C32"/>
    <w:rsid w:val="00806302"/>
    <w:rsid w:val="00807119"/>
    <w:rsid w:val="00813A09"/>
    <w:rsid w:val="00815E9F"/>
    <w:rsid w:val="00817D57"/>
    <w:rsid w:val="00822764"/>
    <w:rsid w:val="0082483F"/>
    <w:rsid w:val="008264CB"/>
    <w:rsid w:val="008279C0"/>
    <w:rsid w:val="0083272E"/>
    <w:rsid w:val="00835FD1"/>
    <w:rsid w:val="00845FBB"/>
    <w:rsid w:val="0084683C"/>
    <w:rsid w:val="00847034"/>
    <w:rsid w:val="00853A74"/>
    <w:rsid w:val="00854BD0"/>
    <w:rsid w:val="0085577F"/>
    <w:rsid w:val="00856607"/>
    <w:rsid w:val="00860344"/>
    <w:rsid w:val="00860E61"/>
    <w:rsid w:val="00862384"/>
    <w:rsid w:val="00862C6B"/>
    <w:rsid w:val="00865DFB"/>
    <w:rsid w:val="008723F3"/>
    <w:rsid w:val="00880603"/>
    <w:rsid w:val="00881DE6"/>
    <w:rsid w:val="008837A6"/>
    <w:rsid w:val="0089145D"/>
    <w:rsid w:val="008A0C6E"/>
    <w:rsid w:val="008A1634"/>
    <w:rsid w:val="008A4DF2"/>
    <w:rsid w:val="008A6CFE"/>
    <w:rsid w:val="008A7470"/>
    <w:rsid w:val="008A77DB"/>
    <w:rsid w:val="008B1A08"/>
    <w:rsid w:val="008B1C94"/>
    <w:rsid w:val="008B2DE3"/>
    <w:rsid w:val="008B5333"/>
    <w:rsid w:val="008B6223"/>
    <w:rsid w:val="008C159D"/>
    <w:rsid w:val="008C66E0"/>
    <w:rsid w:val="008E1224"/>
    <w:rsid w:val="008E2DFA"/>
    <w:rsid w:val="008E2E1C"/>
    <w:rsid w:val="008E3339"/>
    <w:rsid w:val="008E549B"/>
    <w:rsid w:val="008F18EF"/>
    <w:rsid w:val="008F20FC"/>
    <w:rsid w:val="008F2B24"/>
    <w:rsid w:val="008F5FFE"/>
    <w:rsid w:val="00900FBD"/>
    <w:rsid w:val="0090421A"/>
    <w:rsid w:val="00905A43"/>
    <w:rsid w:val="00912C79"/>
    <w:rsid w:val="009130A4"/>
    <w:rsid w:val="0091403B"/>
    <w:rsid w:val="009260A2"/>
    <w:rsid w:val="00942123"/>
    <w:rsid w:val="00951031"/>
    <w:rsid w:val="0095207B"/>
    <w:rsid w:val="00956085"/>
    <w:rsid w:val="00957951"/>
    <w:rsid w:val="00962045"/>
    <w:rsid w:val="009634F7"/>
    <w:rsid w:val="00967EDA"/>
    <w:rsid w:val="00970897"/>
    <w:rsid w:val="00980314"/>
    <w:rsid w:val="009816D0"/>
    <w:rsid w:val="00991428"/>
    <w:rsid w:val="00992676"/>
    <w:rsid w:val="00994FBB"/>
    <w:rsid w:val="00996691"/>
    <w:rsid w:val="009A4880"/>
    <w:rsid w:val="009A7865"/>
    <w:rsid w:val="009B0723"/>
    <w:rsid w:val="009B07AD"/>
    <w:rsid w:val="009B0883"/>
    <w:rsid w:val="009B15E2"/>
    <w:rsid w:val="009B5832"/>
    <w:rsid w:val="009B6312"/>
    <w:rsid w:val="009C0850"/>
    <w:rsid w:val="009C0B8E"/>
    <w:rsid w:val="009C1960"/>
    <w:rsid w:val="009C1BC8"/>
    <w:rsid w:val="009C2442"/>
    <w:rsid w:val="009D0811"/>
    <w:rsid w:val="009D0EE1"/>
    <w:rsid w:val="009D30BB"/>
    <w:rsid w:val="009E2AEB"/>
    <w:rsid w:val="009E2E27"/>
    <w:rsid w:val="009E4DE3"/>
    <w:rsid w:val="009F6099"/>
    <w:rsid w:val="00A047EE"/>
    <w:rsid w:val="00A114EA"/>
    <w:rsid w:val="00A14944"/>
    <w:rsid w:val="00A153F7"/>
    <w:rsid w:val="00A2274A"/>
    <w:rsid w:val="00A235B7"/>
    <w:rsid w:val="00A240B8"/>
    <w:rsid w:val="00A27A7A"/>
    <w:rsid w:val="00A31BFB"/>
    <w:rsid w:val="00A407EF"/>
    <w:rsid w:val="00A44FF9"/>
    <w:rsid w:val="00A46B4C"/>
    <w:rsid w:val="00A5117B"/>
    <w:rsid w:val="00A54689"/>
    <w:rsid w:val="00A60074"/>
    <w:rsid w:val="00A6627C"/>
    <w:rsid w:val="00A71019"/>
    <w:rsid w:val="00A77C53"/>
    <w:rsid w:val="00A81029"/>
    <w:rsid w:val="00A83CB5"/>
    <w:rsid w:val="00A902DD"/>
    <w:rsid w:val="00A96489"/>
    <w:rsid w:val="00AA3A42"/>
    <w:rsid w:val="00AA5311"/>
    <w:rsid w:val="00AA57B6"/>
    <w:rsid w:val="00AB685C"/>
    <w:rsid w:val="00AB6C2D"/>
    <w:rsid w:val="00AC0528"/>
    <w:rsid w:val="00AC08F7"/>
    <w:rsid w:val="00AC3839"/>
    <w:rsid w:val="00AC4DF3"/>
    <w:rsid w:val="00AC7082"/>
    <w:rsid w:val="00AD3FEA"/>
    <w:rsid w:val="00AD7BBD"/>
    <w:rsid w:val="00AF1167"/>
    <w:rsid w:val="00AF228E"/>
    <w:rsid w:val="00B016B8"/>
    <w:rsid w:val="00B04137"/>
    <w:rsid w:val="00B11D19"/>
    <w:rsid w:val="00B12936"/>
    <w:rsid w:val="00B14819"/>
    <w:rsid w:val="00B17AA9"/>
    <w:rsid w:val="00B22884"/>
    <w:rsid w:val="00B32425"/>
    <w:rsid w:val="00B32DE4"/>
    <w:rsid w:val="00B33578"/>
    <w:rsid w:val="00B370C3"/>
    <w:rsid w:val="00B3712A"/>
    <w:rsid w:val="00B411AE"/>
    <w:rsid w:val="00B56083"/>
    <w:rsid w:val="00B60190"/>
    <w:rsid w:val="00B61419"/>
    <w:rsid w:val="00B628F5"/>
    <w:rsid w:val="00B66D90"/>
    <w:rsid w:val="00B70459"/>
    <w:rsid w:val="00B72F5F"/>
    <w:rsid w:val="00B736DF"/>
    <w:rsid w:val="00B74FBD"/>
    <w:rsid w:val="00B82586"/>
    <w:rsid w:val="00B829A3"/>
    <w:rsid w:val="00B86DB1"/>
    <w:rsid w:val="00B87869"/>
    <w:rsid w:val="00B9317A"/>
    <w:rsid w:val="00BA0E44"/>
    <w:rsid w:val="00BA44CC"/>
    <w:rsid w:val="00BA47C5"/>
    <w:rsid w:val="00BB0F2B"/>
    <w:rsid w:val="00BB7262"/>
    <w:rsid w:val="00BC25CE"/>
    <w:rsid w:val="00BC6A61"/>
    <w:rsid w:val="00BE1A50"/>
    <w:rsid w:val="00BF50F7"/>
    <w:rsid w:val="00C02F29"/>
    <w:rsid w:val="00C041B9"/>
    <w:rsid w:val="00C042CB"/>
    <w:rsid w:val="00C10C13"/>
    <w:rsid w:val="00C17111"/>
    <w:rsid w:val="00C20747"/>
    <w:rsid w:val="00C20AFE"/>
    <w:rsid w:val="00C22A25"/>
    <w:rsid w:val="00C23B79"/>
    <w:rsid w:val="00C33D50"/>
    <w:rsid w:val="00C340C3"/>
    <w:rsid w:val="00C35671"/>
    <w:rsid w:val="00C35B77"/>
    <w:rsid w:val="00C36D35"/>
    <w:rsid w:val="00C370D3"/>
    <w:rsid w:val="00C376EB"/>
    <w:rsid w:val="00C4003A"/>
    <w:rsid w:val="00C45D6D"/>
    <w:rsid w:val="00C46EC1"/>
    <w:rsid w:val="00C504E5"/>
    <w:rsid w:val="00C53E2C"/>
    <w:rsid w:val="00C550C8"/>
    <w:rsid w:val="00C56B61"/>
    <w:rsid w:val="00C606C3"/>
    <w:rsid w:val="00C620F4"/>
    <w:rsid w:val="00C64867"/>
    <w:rsid w:val="00C67ECE"/>
    <w:rsid w:val="00C72848"/>
    <w:rsid w:val="00C7736C"/>
    <w:rsid w:val="00C823E8"/>
    <w:rsid w:val="00C82D87"/>
    <w:rsid w:val="00C841ED"/>
    <w:rsid w:val="00C85F17"/>
    <w:rsid w:val="00C8712A"/>
    <w:rsid w:val="00C91324"/>
    <w:rsid w:val="00C95B81"/>
    <w:rsid w:val="00C963D3"/>
    <w:rsid w:val="00CA0DF2"/>
    <w:rsid w:val="00CA6E0D"/>
    <w:rsid w:val="00CB2CBB"/>
    <w:rsid w:val="00CB381C"/>
    <w:rsid w:val="00CB7CAC"/>
    <w:rsid w:val="00CC0EA0"/>
    <w:rsid w:val="00CC5335"/>
    <w:rsid w:val="00CC5BA4"/>
    <w:rsid w:val="00CC70BB"/>
    <w:rsid w:val="00CD4998"/>
    <w:rsid w:val="00CE1035"/>
    <w:rsid w:val="00CE46AE"/>
    <w:rsid w:val="00CE5636"/>
    <w:rsid w:val="00CF2819"/>
    <w:rsid w:val="00CF4F9D"/>
    <w:rsid w:val="00CF70DC"/>
    <w:rsid w:val="00D148DC"/>
    <w:rsid w:val="00D17FDC"/>
    <w:rsid w:val="00D21CD5"/>
    <w:rsid w:val="00D26064"/>
    <w:rsid w:val="00D37702"/>
    <w:rsid w:val="00D444C5"/>
    <w:rsid w:val="00D45AEA"/>
    <w:rsid w:val="00D565DF"/>
    <w:rsid w:val="00D56A37"/>
    <w:rsid w:val="00D57202"/>
    <w:rsid w:val="00D63EFD"/>
    <w:rsid w:val="00D64826"/>
    <w:rsid w:val="00D80DF2"/>
    <w:rsid w:val="00D82D02"/>
    <w:rsid w:val="00D84752"/>
    <w:rsid w:val="00D85AB0"/>
    <w:rsid w:val="00D86B3B"/>
    <w:rsid w:val="00D8748A"/>
    <w:rsid w:val="00D93196"/>
    <w:rsid w:val="00D97A93"/>
    <w:rsid w:val="00DA1083"/>
    <w:rsid w:val="00DA26C8"/>
    <w:rsid w:val="00DA2B26"/>
    <w:rsid w:val="00DB243C"/>
    <w:rsid w:val="00DB482A"/>
    <w:rsid w:val="00DB54C1"/>
    <w:rsid w:val="00DB56F2"/>
    <w:rsid w:val="00DB6EF5"/>
    <w:rsid w:val="00DC1777"/>
    <w:rsid w:val="00DC3089"/>
    <w:rsid w:val="00DC4420"/>
    <w:rsid w:val="00DC45F4"/>
    <w:rsid w:val="00DD0802"/>
    <w:rsid w:val="00DD0A50"/>
    <w:rsid w:val="00DD2E11"/>
    <w:rsid w:val="00DE03AF"/>
    <w:rsid w:val="00DE121C"/>
    <w:rsid w:val="00DE2A27"/>
    <w:rsid w:val="00DE3705"/>
    <w:rsid w:val="00DE4D27"/>
    <w:rsid w:val="00DE6633"/>
    <w:rsid w:val="00DF107D"/>
    <w:rsid w:val="00DF23CA"/>
    <w:rsid w:val="00DF5068"/>
    <w:rsid w:val="00DF67C4"/>
    <w:rsid w:val="00DF75F8"/>
    <w:rsid w:val="00DF78E5"/>
    <w:rsid w:val="00DF7A3A"/>
    <w:rsid w:val="00E00C00"/>
    <w:rsid w:val="00E04A7C"/>
    <w:rsid w:val="00E059FB"/>
    <w:rsid w:val="00E069C4"/>
    <w:rsid w:val="00E07275"/>
    <w:rsid w:val="00E07866"/>
    <w:rsid w:val="00E07C5A"/>
    <w:rsid w:val="00E15BA9"/>
    <w:rsid w:val="00E230DD"/>
    <w:rsid w:val="00E26E19"/>
    <w:rsid w:val="00E31DF3"/>
    <w:rsid w:val="00E32814"/>
    <w:rsid w:val="00E33486"/>
    <w:rsid w:val="00E40D91"/>
    <w:rsid w:val="00E43158"/>
    <w:rsid w:val="00E450A4"/>
    <w:rsid w:val="00E4584C"/>
    <w:rsid w:val="00E506BE"/>
    <w:rsid w:val="00E55547"/>
    <w:rsid w:val="00E57410"/>
    <w:rsid w:val="00E62817"/>
    <w:rsid w:val="00E6302B"/>
    <w:rsid w:val="00E6452F"/>
    <w:rsid w:val="00E64619"/>
    <w:rsid w:val="00E64F45"/>
    <w:rsid w:val="00E6742D"/>
    <w:rsid w:val="00E71CB0"/>
    <w:rsid w:val="00E73529"/>
    <w:rsid w:val="00E7756E"/>
    <w:rsid w:val="00E77C3D"/>
    <w:rsid w:val="00E850FE"/>
    <w:rsid w:val="00E909F0"/>
    <w:rsid w:val="00E90D47"/>
    <w:rsid w:val="00E93993"/>
    <w:rsid w:val="00E9467C"/>
    <w:rsid w:val="00E9597C"/>
    <w:rsid w:val="00EA0913"/>
    <w:rsid w:val="00EA0A2F"/>
    <w:rsid w:val="00EA7EDB"/>
    <w:rsid w:val="00EB146B"/>
    <w:rsid w:val="00EB45AC"/>
    <w:rsid w:val="00EB7AAD"/>
    <w:rsid w:val="00EC2AEA"/>
    <w:rsid w:val="00EC7B11"/>
    <w:rsid w:val="00EC7F95"/>
    <w:rsid w:val="00ED0BC4"/>
    <w:rsid w:val="00ED3771"/>
    <w:rsid w:val="00ED6A32"/>
    <w:rsid w:val="00ED7CAF"/>
    <w:rsid w:val="00EE167B"/>
    <w:rsid w:val="00EE4971"/>
    <w:rsid w:val="00EE4C49"/>
    <w:rsid w:val="00EE7B32"/>
    <w:rsid w:val="00EF090E"/>
    <w:rsid w:val="00EF5B89"/>
    <w:rsid w:val="00EF636B"/>
    <w:rsid w:val="00EF7F61"/>
    <w:rsid w:val="00F033DA"/>
    <w:rsid w:val="00F07828"/>
    <w:rsid w:val="00F11AAB"/>
    <w:rsid w:val="00F12D91"/>
    <w:rsid w:val="00F13FB1"/>
    <w:rsid w:val="00F17976"/>
    <w:rsid w:val="00F17C87"/>
    <w:rsid w:val="00F20B6D"/>
    <w:rsid w:val="00F21E32"/>
    <w:rsid w:val="00F223E7"/>
    <w:rsid w:val="00F2288D"/>
    <w:rsid w:val="00F25779"/>
    <w:rsid w:val="00F2750A"/>
    <w:rsid w:val="00F27CD8"/>
    <w:rsid w:val="00F30351"/>
    <w:rsid w:val="00F3323E"/>
    <w:rsid w:val="00F341F4"/>
    <w:rsid w:val="00F34F9D"/>
    <w:rsid w:val="00F35CCE"/>
    <w:rsid w:val="00F40B56"/>
    <w:rsid w:val="00F53C6B"/>
    <w:rsid w:val="00F5517D"/>
    <w:rsid w:val="00F55241"/>
    <w:rsid w:val="00F5524B"/>
    <w:rsid w:val="00F60538"/>
    <w:rsid w:val="00F61DD2"/>
    <w:rsid w:val="00F6523A"/>
    <w:rsid w:val="00F66AFF"/>
    <w:rsid w:val="00F71433"/>
    <w:rsid w:val="00F71A2D"/>
    <w:rsid w:val="00F7241A"/>
    <w:rsid w:val="00F83E76"/>
    <w:rsid w:val="00F90A57"/>
    <w:rsid w:val="00F9575A"/>
    <w:rsid w:val="00F97C5B"/>
    <w:rsid w:val="00FA05D2"/>
    <w:rsid w:val="00FA2F02"/>
    <w:rsid w:val="00FA359A"/>
    <w:rsid w:val="00FA3D50"/>
    <w:rsid w:val="00FA557A"/>
    <w:rsid w:val="00FA6FF1"/>
    <w:rsid w:val="00FB009F"/>
    <w:rsid w:val="00FB01F8"/>
    <w:rsid w:val="00FB25B0"/>
    <w:rsid w:val="00FB6136"/>
    <w:rsid w:val="00FB6B43"/>
    <w:rsid w:val="00FC0D0B"/>
    <w:rsid w:val="00FC319A"/>
    <w:rsid w:val="00FC374A"/>
    <w:rsid w:val="00FC7B47"/>
    <w:rsid w:val="00FD035C"/>
    <w:rsid w:val="00FD1A35"/>
    <w:rsid w:val="00FD1FE6"/>
    <w:rsid w:val="00FD36C5"/>
    <w:rsid w:val="00FD428C"/>
    <w:rsid w:val="00FD5C82"/>
    <w:rsid w:val="00FD6310"/>
    <w:rsid w:val="00FD7C7B"/>
    <w:rsid w:val="00FD7FD0"/>
    <w:rsid w:val="00FE1D12"/>
    <w:rsid w:val="00FE2122"/>
    <w:rsid w:val="00FE2A86"/>
    <w:rsid w:val="00FE7DD4"/>
    <w:rsid w:val="00FF296F"/>
    <w:rsid w:val="00FF5E23"/>
    <w:rsid w:val="00FF6716"/>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7F623B"/>
    <w:rPr>
      <w:color w:val="605E5C"/>
      <w:shd w:val="clear" w:color="auto" w:fill="E1DFDD"/>
    </w:rPr>
  </w:style>
  <w:style w:type="paragraph" w:styleId="Revision">
    <w:name w:val="Revision"/>
    <w:hidden/>
    <w:uiPriority w:val="99"/>
    <w:semiHidden/>
    <w:rsid w:val="00DF78E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515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4664131">
      <w:bodyDiv w:val="1"/>
      <w:marLeft w:val="0"/>
      <w:marRight w:val="0"/>
      <w:marTop w:val="0"/>
      <w:marBottom w:val="0"/>
      <w:divBdr>
        <w:top w:val="none" w:sz="0" w:space="0" w:color="auto"/>
        <w:left w:val="none" w:sz="0" w:space="0" w:color="auto"/>
        <w:bottom w:val="none" w:sz="0" w:space="0" w:color="auto"/>
        <w:right w:val="none" w:sz="0" w:space="0" w:color="auto"/>
      </w:divBdr>
    </w:div>
    <w:div w:id="901911487">
      <w:bodyDiv w:val="1"/>
      <w:marLeft w:val="0"/>
      <w:marRight w:val="0"/>
      <w:marTop w:val="0"/>
      <w:marBottom w:val="0"/>
      <w:divBdr>
        <w:top w:val="none" w:sz="0" w:space="0" w:color="auto"/>
        <w:left w:val="none" w:sz="0" w:space="0" w:color="auto"/>
        <w:bottom w:val="none" w:sz="0" w:space="0" w:color="auto"/>
        <w:right w:val="none" w:sz="0" w:space="0" w:color="auto"/>
      </w:divBdr>
    </w:div>
    <w:div w:id="162195820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8831</Words>
  <Characters>50339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Defne Tasman</cp:lastModifiedBy>
  <cp:revision>100</cp:revision>
  <cp:lastPrinted>2022-07-05T13:10:00Z</cp:lastPrinted>
  <dcterms:created xsi:type="dcterms:W3CDTF">2021-08-31T13:05:00Z</dcterms:created>
  <dcterms:modified xsi:type="dcterms:W3CDTF">2022-07-06T12:13:00Z</dcterms:modified>
</cp:coreProperties>
</file>