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536D4A" w:rsidRDefault="00831582" w:rsidP="00BE65AA">
      <w:pPr>
        <w:pStyle w:val="ListParagraph"/>
        <w:numPr>
          <w:ilvl w:val="0"/>
          <w:numId w:val="4"/>
        </w:numPr>
        <w:ind w:left="426"/>
        <w:jc w:val="both"/>
        <w:rPr>
          <w:rFonts w:ascii="Arial" w:hAnsi="Arial" w:cs="Arial"/>
          <w:sz w:val="22"/>
          <w:szCs w:val="22"/>
          <w:highlight w:val="yellow"/>
          <w:lang w:val="en-GB"/>
        </w:rPr>
      </w:pPr>
      <w:r w:rsidRPr="00536D4A">
        <w:rPr>
          <w:rFonts w:ascii="Arial" w:hAnsi="Arial" w:cs="Arial"/>
          <w:sz w:val="22"/>
          <w:szCs w:val="22"/>
          <w:highlight w:val="yellow"/>
          <w:lang w:val="en-GB"/>
        </w:rPr>
        <w:t>To</w:t>
      </w:r>
      <w:r w:rsidR="005E32B3" w:rsidRPr="00536D4A">
        <w:rPr>
          <w:rFonts w:ascii="Arial" w:hAnsi="Arial" w:cs="Arial"/>
          <w:sz w:val="22"/>
          <w:szCs w:val="22"/>
          <w:highlight w:val="yellow"/>
          <w:lang w:val="en-GB"/>
        </w:rPr>
        <w:t xml:space="preserve"> run the business of the </w:t>
      </w:r>
      <w:r w:rsidR="00787521" w:rsidRPr="00536D4A">
        <w:rPr>
          <w:rFonts w:ascii="Arial" w:hAnsi="Arial" w:cs="Arial"/>
          <w:sz w:val="22"/>
          <w:szCs w:val="22"/>
          <w:highlight w:val="yellow"/>
          <w:lang w:val="en-GB"/>
        </w:rPr>
        <w:t xml:space="preserve">debtor </w:t>
      </w:r>
      <w:r w:rsidR="005E32B3" w:rsidRPr="00536D4A">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536D4A" w:rsidRDefault="004C294D" w:rsidP="00BE65AA">
      <w:pPr>
        <w:pStyle w:val="ListParagraph"/>
        <w:numPr>
          <w:ilvl w:val="0"/>
          <w:numId w:val="5"/>
        </w:numPr>
        <w:ind w:left="426"/>
        <w:jc w:val="both"/>
        <w:rPr>
          <w:rFonts w:ascii="Arial" w:hAnsi="Arial" w:cs="Arial"/>
          <w:sz w:val="22"/>
          <w:szCs w:val="22"/>
          <w:highlight w:val="yellow"/>
          <w:lang w:val="en-GB"/>
        </w:rPr>
      </w:pPr>
      <w:r w:rsidRPr="00536D4A">
        <w:rPr>
          <w:rFonts w:ascii="Arial" w:hAnsi="Arial" w:cs="Arial"/>
          <w:sz w:val="22"/>
          <w:szCs w:val="22"/>
          <w:highlight w:val="yellow"/>
          <w:lang w:val="en-GB"/>
        </w:rPr>
        <w:t>A</w:t>
      </w:r>
      <w:r w:rsidR="00C041E8" w:rsidRPr="00536D4A">
        <w:rPr>
          <w:rFonts w:ascii="Arial" w:hAnsi="Arial" w:cs="Arial"/>
          <w:sz w:val="22"/>
          <w:szCs w:val="22"/>
          <w:highlight w:val="yellow"/>
          <w:lang w:val="en-GB"/>
        </w:rPr>
        <w:t xml:space="preserve"> </w:t>
      </w:r>
      <w:r w:rsidR="00DE0963" w:rsidRPr="00536D4A">
        <w:rPr>
          <w:rFonts w:ascii="Arial" w:hAnsi="Arial" w:cs="Arial"/>
          <w:sz w:val="22"/>
          <w:szCs w:val="22"/>
          <w:highlight w:val="yellow"/>
          <w:lang w:val="en-GB"/>
        </w:rPr>
        <w:t>pledge</w:t>
      </w:r>
      <w:r w:rsidR="0007291B" w:rsidRPr="00536D4A">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536D4A" w:rsidRDefault="00FC32B6" w:rsidP="00BE65AA">
      <w:pPr>
        <w:pStyle w:val="ListParagraph"/>
        <w:numPr>
          <w:ilvl w:val="0"/>
          <w:numId w:val="6"/>
        </w:numPr>
        <w:ind w:left="426"/>
        <w:jc w:val="both"/>
        <w:rPr>
          <w:rFonts w:ascii="Arial" w:hAnsi="Arial" w:cs="Arial"/>
          <w:sz w:val="22"/>
          <w:szCs w:val="22"/>
          <w:highlight w:val="yellow"/>
          <w:lang w:val="en-GB"/>
        </w:rPr>
      </w:pPr>
      <w:r w:rsidRPr="00536D4A">
        <w:rPr>
          <w:rFonts w:ascii="Arial" w:hAnsi="Arial" w:cs="Arial"/>
          <w:sz w:val="22"/>
          <w:szCs w:val="22"/>
          <w:highlight w:val="yellow"/>
          <w:lang w:val="en-GB"/>
        </w:rPr>
        <w:t>Any of the above</w:t>
      </w:r>
      <w:r w:rsidR="00EA6F96" w:rsidRPr="00536D4A">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536D4A" w:rsidRDefault="0007291B" w:rsidP="00BE65AA">
      <w:pPr>
        <w:pStyle w:val="ListParagraph"/>
        <w:numPr>
          <w:ilvl w:val="0"/>
          <w:numId w:val="7"/>
        </w:numPr>
        <w:ind w:left="426"/>
        <w:jc w:val="both"/>
        <w:rPr>
          <w:rFonts w:ascii="Arial" w:hAnsi="Arial" w:cs="Arial"/>
          <w:sz w:val="22"/>
          <w:szCs w:val="22"/>
          <w:highlight w:val="yellow"/>
          <w:lang w:val="en-GB"/>
        </w:rPr>
      </w:pPr>
      <w:r w:rsidRPr="00536D4A">
        <w:rPr>
          <w:rFonts w:ascii="Arial" w:hAnsi="Arial" w:cs="Arial"/>
          <w:sz w:val="22"/>
          <w:szCs w:val="22"/>
          <w:highlight w:val="yellow"/>
          <w:lang w:val="en-GB"/>
        </w:rPr>
        <w:t xml:space="preserve">75% or more in </w:t>
      </w:r>
      <w:r w:rsidR="00483BC6" w:rsidRPr="00536D4A">
        <w:rPr>
          <w:rFonts w:ascii="Arial" w:hAnsi="Arial" w:cs="Arial"/>
          <w:sz w:val="22"/>
          <w:szCs w:val="22"/>
          <w:highlight w:val="yellow"/>
          <w:lang w:val="en-GB"/>
        </w:rPr>
        <w:t>value</w:t>
      </w:r>
      <w:r w:rsidR="00F50041" w:rsidRPr="00536D4A">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536D4A" w:rsidRDefault="00FC32B6" w:rsidP="00BE65AA">
      <w:pPr>
        <w:pStyle w:val="ListParagraph"/>
        <w:numPr>
          <w:ilvl w:val="0"/>
          <w:numId w:val="8"/>
        </w:numPr>
        <w:ind w:left="426"/>
        <w:jc w:val="both"/>
        <w:rPr>
          <w:rFonts w:ascii="Arial" w:hAnsi="Arial" w:cs="Arial"/>
          <w:sz w:val="22"/>
          <w:szCs w:val="22"/>
          <w:highlight w:val="yellow"/>
          <w:lang w:val="en-GB"/>
        </w:rPr>
      </w:pPr>
      <w:r w:rsidRPr="00536D4A">
        <w:rPr>
          <w:rFonts w:ascii="Arial" w:hAnsi="Arial" w:cs="Arial"/>
          <w:sz w:val="22"/>
          <w:szCs w:val="22"/>
          <w:highlight w:val="yellow"/>
          <w:lang w:val="en-GB"/>
        </w:rPr>
        <w:t>T</w:t>
      </w:r>
      <w:r w:rsidR="00DE2CD9" w:rsidRPr="00536D4A">
        <w:rPr>
          <w:rFonts w:ascii="Arial" w:hAnsi="Arial" w:cs="Arial"/>
          <w:sz w:val="22"/>
          <w:szCs w:val="22"/>
          <w:highlight w:val="yellow"/>
          <w:lang w:val="en-GB"/>
        </w:rPr>
        <w:t>o not travel overseas under any circumstances whatsoever</w:t>
      </w:r>
      <w:r w:rsidR="00384F62" w:rsidRPr="00536D4A">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536D4A" w:rsidRDefault="00FA4DD1" w:rsidP="00C2645B">
      <w:pPr>
        <w:pStyle w:val="ListParagraph"/>
        <w:numPr>
          <w:ilvl w:val="0"/>
          <w:numId w:val="9"/>
        </w:numPr>
        <w:ind w:left="426"/>
        <w:jc w:val="both"/>
        <w:rPr>
          <w:rFonts w:ascii="Arial" w:hAnsi="Arial" w:cs="Arial"/>
          <w:sz w:val="22"/>
          <w:szCs w:val="22"/>
          <w:highlight w:val="yellow"/>
          <w:lang w:val="en-GB"/>
        </w:rPr>
      </w:pPr>
      <w:r w:rsidRPr="00536D4A">
        <w:rPr>
          <w:rFonts w:ascii="Arial" w:hAnsi="Arial" w:cs="Arial"/>
          <w:sz w:val="22"/>
          <w:szCs w:val="22"/>
          <w:highlight w:val="yellow"/>
          <w:lang w:val="en-GB"/>
        </w:rPr>
        <w:t>The court can deny recognition only if recognition is “manifestly contrary” to public policy</w:t>
      </w:r>
      <w:r w:rsidR="00EB7B75" w:rsidRPr="00536D4A">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Default="00C87FF9" w:rsidP="00BE65AA">
      <w:pPr>
        <w:pStyle w:val="ListParagraph"/>
        <w:numPr>
          <w:ilvl w:val="0"/>
          <w:numId w:val="10"/>
        </w:numPr>
        <w:ind w:left="426"/>
        <w:jc w:val="both"/>
        <w:rPr>
          <w:rFonts w:ascii="Arial" w:hAnsi="Arial" w:cs="Arial"/>
          <w:sz w:val="22"/>
          <w:szCs w:val="22"/>
          <w:lang w:val="en-GB"/>
        </w:rPr>
      </w:pPr>
      <w:r w:rsidRPr="00536D4A">
        <w:rPr>
          <w:rFonts w:ascii="Arial" w:hAnsi="Arial" w:cs="Arial"/>
          <w:sz w:val="22"/>
          <w:szCs w:val="22"/>
          <w:highlight w:val="yellow"/>
          <w:lang w:val="en-GB"/>
        </w:rPr>
        <w:t xml:space="preserve">Restrictions on </w:t>
      </w:r>
      <w:r w:rsidR="00BC2272" w:rsidRPr="00536D4A">
        <w:rPr>
          <w:rFonts w:ascii="Arial" w:hAnsi="Arial" w:cs="Arial"/>
          <w:i/>
          <w:iCs/>
          <w:sz w:val="22"/>
          <w:szCs w:val="22"/>
          <w:highlight w:val="yellow"/>
          <w:lang w:val="en-GB"/>
        </w:rPr>
        <w:t>ipso facto</w:t>
      </w:r>
      <w:r w:rsidR="00BC2272" w:rsidRPr="00536D4A">
        <w:rPr>
          <w:rFonts w:ascii="Arial" w:hAnsi="Arial" w:cs="Arial"/>
          <w:sz w:val="22"/>
          <w:szCs w:val="22"/>
          <w:highlight w:val="yellow"/>
          <w:lang w:val="en-GB"/>
        </w:rPr>
        <w:t xml:space="preserve"> clauses</w:t>
      </w:r>
      <w:r w:rsidR="00384F62">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536D4A" w:rsidRDefault="00C21EB5" w:rsidP="00BE65AA">
      <w:pPr>
        <w:pStyle w:val="ListParagraph"/>
        <w:numPr>
          <w:ilvl w:val="0"/>
          <w:numId w:val="11"/>
        </w:numPr>
        <w:ind w:left="426"/>
        <w:jc w:val="both"/>
        <w:rPr>
          <w:rFonts w:ascii="Arial" w:hAnsi="Arial" w:cs="Arial"/>
          <w:sz w:val="22"/>
          <w:szCs w:val="22"/>
          <w:highlight w:val="yellow"/>
          <w:lang w:val="en-GB"/>
        </w:rPr>
      </w:pPr>
      <w:r w:rsidRPr="00536D4A">
        <w:rPr>
          <w:rFonts w:ascii="Arial" w:hAnsi="Arial" w:cs="Arial"/>
          <w:sz w:val="22"/>
          <w:szCs w:val="22"/>
          <w:highlight w:val="yellow"/>
          <w:lang w:val="en-GB"/>
        </w:rPr>
        <w:t xml:space="preserve">The </w:t>
      </w:r>
      <w:r w:rsidR="00384F62" w:rsidRPr="00536D4A">
        <w:rPr>
          <w:rFonts w:ascii="Arial" w:hAnsi="Arial" w:cs="Arial"/>
          <w:sz w:val="22"/>
          <w:szCs w:val="22"/>
          <w:highlight w:val="yellow"/>
          <w:lang w:val="en-GB"/>
        </w:rPr>
        <w:t>l</w:t>
      </w:r>
      <w:r w:rsidRPr="00536D4A">
        <w:rPr>
          <w:rFonts w:ascii="Arial" w:hAnsi="Arial" w:cs="Arial"/>
          <w:sz w:val="22"/>
          <w:szCs w:val="22"/>
          <w:highlight w:val="yellow"/>
          <w:lang w:val="en-GB"/>
        </w:rPr>
        <w:t xml:space="preserve">iquidator by way of an application to </w:t>
      </w:r>
      <w:r w:rsidR="00384F62" w:rsidRPr="00536D4A">
        <w:rPr>
          <w:rFonts w:ascii="Arial" w:hAnsi="Arial" w:cs="Arial"/>
          <w:sz w:val="22"/>
          <w:szCs w:val="22"/>
          <w:highlight w:val="yellow"/>
          <w:lang w:val="en-GB"/>
        </w:rPr>
        <w:t>c</w:t>
      </w:r>
      <w:r w:rsidRPr="00536D4A">
        <w:rPr>
          <w:rFonts w:ascii="Arial" w:hAnsi="Arial" w:cs="Arial"/>
          <w:sz w:val="22"/>
          <w:szCs w:val="22"/>
          <w:highlight w:val="yellow"/>
          <w:lang w:val="en-GB"/>
        </w:rPr>
        <w:t>ourt</w:t>
      </w:r>
      <w:r w:rsidR="00384F62" w:rsidRPr="00536D4A">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536D4A" w:rsidRDefault="00391426" w:rsidP="00BE65AA">
      <w:pPr>
        <w:pStyle w:val="ListParagraph"/>
        <w:numPr>
          <w:ilvl w:val="0"/>
          <w:numId w:val="12"/>
        </w:numPr>
        <w:ind w:left="426"/>
        <w:jc w:val="both"/>
        <w:rPr>
          <w:rFonts w:ascii="Arial" w:hAnsi="Arial" w:cs="Arial"/>
          <w:sz w:val="22"/>
          <w:szCs w:val="22"/>
          <w:highlight w:val="yellow"/>
          <w:lang w:val="en-GB"/>
        </w:rPr>
      </w:pPr>
      <w:r w:rsidRPr="00536D4A">
        <w:rPr>
          <w:rFonts w:ascii="Arial" w:hAnsi="Arial" w:cs="Arial"/>
          <w:sz w:val="22"/>
          <w:szCs w:val="22"/>
          <w:highlight w:val="yellow"/>
          <w:lang w:val="en-GB"/>
        </w:rPr>
        <w:t>Not being able to travel overseas at all</w:t>
      </w:r>
      <w:r w:rsidR="00384F62" w:rsidRPr="00536D4A">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536D4A" w:rsidRDefault="0007291B" w:rsidP="00384F62">
      <w:pPr>
        <w:pStyle w:val="ListParagraph"/>
        <w:numPr>
          <w:ilvl w:val="0"/>
          <w:numId w:val="16"/>
        </w:numPr>
        <w:ind w:left="426"/>
        <w:jc w:val="both"/>
        <w:rPr>
          <w:rFonts w:ascii="Arial" w:hAnsi="Arial" w:cs="Arial"/>
          <w:sz w:val="22"/>
          <w:szCs w:val="22"/>
          <w:highlight w:val="yellow"/>
          <w:lang w:val="en-GB"/>
        </w:rPr>
      </w:pPr>
      <w:r w:rsidRPr="00536D4A">
        <w:rPr>
          <w:rFonts w:ascii="Arial" w:hAnsi="Arial" w:cs="Arial"/>
          <w:sz w:val="22"/>
          <w:szCs w:val="22"/>
          <w:highlight w:val="yellow"/>
          <w:lang w:val="en-GB"/>
        </w:rPr>
        <w:t xml:space="preserve">The </w:t>
      </w:r>
      <w:r w:rsidR="008569B9" w:rsidRPr="00536D4A">
        <w:rPr>
          <w:rFonts w:ascii="Arial" w:hAnsi="Arial" w:cs="Arial"/>
          <w:sz w:val="22"/>
          <w:szCs w:val="22"/>
          <w:highlight w:val="yellow"/>
          <w:lang w:val="en-GB"/>
        </w:rPr>
        <w:t>more advantageous realisation of the property than in a liquidation</w:t>
      </w:r>
      <w:r w:rsidR="00384F62" w:rsidRPr="00536D4A">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15FE2B33" w14:textId="2C22F9AA" w:rsidR="00384F62" w:rsidRDefault="00536D4A" w:rsidP="00536D4A">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The significance of the decision in the case </w:t>
      </w:r>
      <w:r>
        <w:rPr>
          <w:rFonts w:ascii="Arial" w:hAnsi="Arial" w:cs="Arial"/>
          <w:i/>
          <w:iCs/>
          <w:color w:val="7B7B7B" w:themeColor="accent3" w:themeShade="BF"/>
          <w:sz w:val="22"/>
          <w:szCs w:val="22"/>
          <w:lang w:val="en-001"/>
        </w:rPr>
        <w:t>Sun Electric Power Pte Ltd v RCMA Asia Pte Ltd [2021]</w:t>
      </w:r>
      <w:r>
        <w:rPr>
          <w:rFonts w:ascii="Arial" w:hAnsi="Arial" w:cs="Arial"/>
          <w:color w:val="7B7B7B" w:themeColor="accent3" w:themeShade="BF"/>
          <w:sz w:val="22"/>
          <w:szCs w:val="22"/>
          <w:lang w:val="en-001"/>
        </w:rPr>
        <w:t xml:space="preserve"> relates to the </w:t>
      </w:r>
      <w:r w:rsidR="00C400A3">
        <w:rPr>
          <w:rFonts w:ascii="Arial" w:hAnsi="Arial" w:cs="Arial"/>
          <w:color w:val="7B7B7B" w:themeColor="accent3" w:themeShade="BF"/>
          <w:sz w:val="22"/>
          <w:szCs w:val="22"/>
          <w:lang w:val="en-001"/>
        </w:rPr>
        <w:t xml:space="preserve">concept that where a company is deemed unable to pay its debts, the creditor is </w:t>
      </w:r>
      <w:r w:rsidR="00C400A3">
        <w:rPr>
          <w:rFonts w:ascii="Arial" w:hAnsi="Arial" w:cs="Arial"/>
          <w:i/>
          <w:iCs/>
          <w:color w:val="7B7B7B" w:themeColor="accent3" w:themeShade="BF"/>
          <w:sz w:val="22"/>
          <w:szCs w:val="22"/>
          <w:lang w:val="en-001"/>
        </w:rPr>
        <w:t>prima facie</w:t>
      </w:r>
      <w:r w:rsidR="00C400A3">
        <w:rPr>
          <w:rFonts w:ascii="Arial" w:hAnsi="Arial" w:cs="Arial"/>
          <w:color w:val="7B7B7B" w:themeColor="accent3" w:themeShade="BF"/>
          <w:sz w:val="22"/>
          <w:szCs w:val="22"/>
          <w:lang w:val="en-001"/>
        </w:rPr>
        <w:t xml:space="preserve"> entitled to a winding-up order. The Court of Appeal decided that the cash flow test should be the sole test under 125(2)(c) of the IRD Act to determine whether a creditor is unable to pay its debts. The court set out a list of factors relating to the cash flow test which I set out below:</w:t>
      </w:r>
    </w:p>
    <w:p w14:paraId="54D0B75D" w14:textId="66FD482C" w:rsidR="00C400A3" w:rsidRPr="00C400A3" w:rsidRDefault="00C400A3" w:rsidP="00C400A3">
      <w:pPr>
        <w:pStyle w:val="ListParagraph"/>
        <w:numPr>
          <w:ilvl w:val="0"/>
          <w:numId w:val="17"/>
        </w:numPr>
        <w:jc w:val="both"/>
        <w:rPr>
          <w:rFonts w:ascii="Arial" w:hAnsi="Arial" w:cs="Arial"/>
          <w:color w:val="808080" w:themeColor="background1" w:themeShade="80"/>
          <w:sz w:val="22"/>
          <w:szCs w:val="22"/>
          <w:lang w:val="en-001"/>
        </w:rPr>
      </w:pPr>
      <w:r w:rsidRPr="00C400A3">
        <w:rPr>
          <w:rFonts w:ascii="Arial" w:hAnsi="Arial" w:cs="Arial"/>
          <w:color w:val="808080" w:themeColor="background1" w:themeShade="80"/>
          <w:sz w:val="22"/>
          <w:szCs w:val="22"/>
          <w:lang w:val="en-001"/>
        </w:rPr>
        <w:t>Quantum of all debts which are due or will reasonably be due in the near future;</w:t>
      </w:r>
    </w:p>
    <w:p w14:paraId="1DC6A0F2" w14:textId="56BA3BC1" w:rsidR="00C400A3" w:rsidRPr="00C400A3" w:rsidRDefault="00C400A3" w:rsidP="00C400A3">
      <w:pPr>
        <w:pStyle w:val="ListParagraph"/>
        <w:numPr>
          <w:ilvl w:val="0"/>
          <w:numId w:val="17"/>
        </w:numPr>
        <w:jc w:val="both"/>
        <w:rPr>
          <w:rFonts w:ascii="Arial" w:hAnsi="Arial" w:cs="Arial"/>
          <w:color w:val="808080" w:themeColor="background1" w:themeShade="80"/>
          <w:sz w:val="22"/>
          <w:szCs w:val="22"/>
          <w:lang w:val="en-001"/>
        </w:rPr>
      </w:pPr>
      <w:r w:rsidRPr="00C400A3">
        <w:rPr>
          <w:rFonts w:ascii="Arial" w:hAnsi="Arial" w:cs="Arial"/>
          <w:color w:val="808080" w:themeColor="background1" w:themeShade="80"/>
          <w:sz w:val="22"/>
          <w:szCs w:val="22"/>
          <w:lang w:val="en-001"/>
        </w:rPr>
        <w:lastRenderedPageBreak/>
        <w:t xml:space="preserve">If payment is being demanded or will likely be demanded; </w:t>
      </w:r>
    </w:p>
    <w:p w14:paraId="419350FA" w14:textId="0715B58D" w:rsidR="00C400A3" w:rsidRPr="00C400A3" w:rsidRDefault="00C400A3" w:rsidP="00C400A3">
      <w:pPr>
        <w:pStyle w:val="ListParagraph"/>
        <w:numPr>
          <w:ilvl w:val="0"/>
          <w:numId w:val="17"/>
        </w:numPr>
        <w:jc w:val="both"/>
        <w:rPr>
          <w:rFonts w:ascii="Arial" w:hAnsi="Arial" w:cs="Arial"/>
          <w:color w:val="808080" w:themeColor="background1" w:themeShade="80"/>
          <w:sz w:val="22"/>
          <w:szCs w:val="22"/>
          <w:lang w:val="en-001"/>
        </w:rPr>
      </w:pPr>
      <w:r w:rsidRPr="00C400A3">
        <w:rPr>
          <w:rFonts w:ascii="Arial" w:hAnsi="Arial" w:cs="Arial"/>
          <w:color w:val="808080" w:themeColor="background1" w:themeShade="80"/>
          <w:sz w:val="22"/>
          <w:szCs w:val="22"/>
          <w:lang w:val="en-001"/>
        </w:rPr>
        <w:t>If the company has failed to pay any of its debts (review the quantum and timeline of the failed repayments);</w:t>
      </w:r>
    </w:p>
    <w:p w14:paraId="66E29971" w14:textId="68A960D3" w:rsidR="00C400A3" w:rsidRPr="00C400A3" w:rsidRDefault="00C400A3" w:rsidP="00C400A3">
      <w:pPr>
        <w:pStyle w:val="ListParagraph"/>
        <w:numPr>
          <w:ilvl w:val="0"/>
          <w:numId w:val="17"/>
        </w:numPr>
        <w:jc w:val="both"/>
        <w:rPr>
          <w:rFonts w:ascii="Arial" w:hAnsi="Arial" w:cs="Arial"/>
          <w:color w:val="808080" w:themeColor="background1" w:themeShade="80"/>
          <w:sz w:val="22"/>
          <w:szCs w:val="22"/>
          <w:lang w:val="en-001"/>
        </w:rPr>
      </w:pPr>
      <w:r w:rsidRPr="00C400A3">
        <w:rPr>
          <w:rFonts w:ascii="Arial" w:hAnsi="Arial" w:cs="Arial"/>
          <w:color w:val="808080" w:themeColor="background1" w:themeShade="80"/>
          <w:sz w:val="22"/>
          <w:szCs w:val="22"/>
          <w:lang w:val="en-001"/>
        </w:rPr>
        <w:t>Length of time since the commencement of the winding-up proceedings;</w:t>
      </w:r>
    </w:p>
    <w:p w14:paraId="44F47DCE" w14:textId="46ED45E8" w:rsidR="00C400A3" w:rsidRPr="00C400A3" w:rsidRDefault="00C400A3" w:rsidP="00C400A3">
      <w:pPr>
        <w:pStyle w:val="ListParagraph"/>
        <w:numPr>
          <w:ilvl w:val="0"/>
          <w:numId w:val="17"/>
        </w:numPr>
        <w:jc w:val="both"/>
        <w:rPr>
          <w:rFonts w:ascii="Arial" w:hAnsi="Arial" w:cs="Arial"/>
          <w:color w:val="808080" w:themeColor="background1" w:themeShade="80"/>
          <w:sz w:val="22"/>
          <w:szCs w:val="22"/>
          <w:lang w:val="en-001"/>
        </w:rPr>
      </w:pPr>
      <w:r w:rsidRPr="00C400A3">
        <w:rPr>
          <w:rFonts w:ascii="Arial" w:hAnsi="Arial" w:cs="Arial"/>
          <w:color w:val="808080" w:themeColor="background1" w:themeShade="80"/>
          <w:sz w:val="22"/>
          <w:szCs w:val="22"/>
          <w:lang w:val="en-001"/>
        </w:rPr>
        <w:t>The value of the company’s current and realisable assets;</w:t>
      </w:r>
    </w:p>
    <w:p w14:paraId="179FC24E" w14:textId="40C6D53E" w:rsidR="00C400A3" w:rsidRPr="00C400A3" w:rsidRDefault="00C400A3" w:rsidP="00C400A3">
      <w:pPr>
        <w:pStyle w:val="ListParagraph"/>
        <w:numPr>
          <w:ilvl w:val="0"/>
          <w:numId w:val="17"/>
        </w:numPr>
        <w:jc w:val="both"/>
        <w:rPr>
          <w:rFonts w:ascii="Arial" w:hAnsi="Arial" w:cs="Arial"/>
          <w:color w:val="808080" w:themeColor="background1" w:themeShade="80"/>
          <w:sz w:val="22"/>
          <w:szCs w:val="22"/>
          <w:lang w:val="en-001"/>
        </w:rPr>
      </w:pPr>
      <w:r w:rsidRPr="00C400A3">
        <w:rPr>
          <w:rFonts w:ascii="Arial" w:hAnsi="Arial" w:cs="Arial"/>
          <w:color w:val="808080" w:themeColor="background1" w:themeShade="80"/>
          <w:sz w:val="22"/>
          <w:szCs w:val="22"/>
          <w:lang w:val="en-001"/>
        </w:rPr>
        <w:t>The state of the company’s business (with regards to expected net cash flow);</w:t>
      </w:r>
    </w:p>
    <w:p w14:paraId="07B4DE75" w14:textId="21CD4415" w:rsidR="00C400A3" w:rsidRPr="00C400A3" w:rsidRDefault="00C400A3" w:rsidP="00C400A3">
      <w:pPr>
        <w:pStyle w:val="ListParagraph"/>
        <w:numPr>
          <w:ilvl w:val="0"/>
          <w:numId w:val="17"/>
        </w:numPr>
        <w:jc w:val="both"/>
        <w:rPr>
          <w:rFonts w:ascii="Arial" w:hAnsi="Arial" w:cs="Arial"/>
          <w:color w:val="808080" w:themeColor="background1" w:themeShade="80"/>
          <w:sz w:val="22"/>
          <w:szCs w:val="22"/>
          <w:lang w:val="en-001"/>
        </w:rPr>
      </w:pPr>
      <w:r w:rsidRPr="00C400A3">
        <w:rPr>
          <w:rFonts w:ascii="Arial" w:hAnsi="Arial" w:cs="Arial"/>
          <w:color w:val="808080" w:themeColor="background1" w:themeShade="80"/>
          <w:sz w:val="22"/>
          <w:szCs w:val="22"/>
          <w:lang w:val="en-001"/>
        </w:rPr>
        <w:t>Any other income or payment which the company may receive in the near future; and</w:t>
      </w:r>
    </w:p>
    <w:p w14:paraId="5AB99199" w14:textId="1339F2D5" w:rsidR="00C400A3" w:rsidRPr="00C400A3" w:rsidRDefault="00C400A3" w:rsidP="00C400A3">
      <w:pPr>
        <w:pStyle w:val="ListParagraph"/>
        <w:numPr>
          <w:ilvl w:val="0"/>
          <w:numId w:val="17"/>
        </w:numPr>
        <w:jc w:val="both"/>
        <w:rPr>
          <w:rFonts w:ascii="Arial" w:hAnsi="Arial" w:cs="Arial"/>
          <w:color w:val="808080" w:themeColor="background1" w:themeShade="80"/>
          <w:sz w:val="22"/>
          <w:szCs w:val="22"/>
          <w:lang w:val="en-001"/>
        </w:rPr>
      </w:pPr>
      <w:r w:rsidRPr="00C400A3">
        <w:rPr>
          <w:rFonts w:ascii="Arial" w:hAnsi="Arial" w:cs="Arial"/>
          <w:color w:val="808080" w:themeColor="background1" w:themeShade="80"/>
          <w:sz w:val="22"/>
          <w:szCs w:val="22"/>
          <w:lang w:val="en-001"/>
        </w:rPr>
        <w:t>Any arrangements between the company and prospective lenders (with regards to whether borrowings could repay debts over a shortfall of liabilities less assets).</w:t>
      </w:r>
    </w:p>
    <w:p w14:paraId="11584014" w14:textId="77777777" w:rsidR="00384F62" w:rsidRPr="002A37BB"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63EBEC0C" w14:textId="348DACF4" w:rsidR="009B07AD" w:rsidRPr="00C400A3" w:rsidRDefault="00C400A3" w:rsidP="00C400A3">
      <w:pPr>
        <w:pStyle w:val="ListParagraph"/>
        <w:numPr>
          <w:ilvl w:val="0"/>
          <w:numId w:val="18"/>
        </w:numPr>
        <w:jc w:val="both"/>
        <w:rPr>
          <w:rFonts w:ascii="Arial" w:hAnsi="Arial" w:cs="Arial"/>
          <w:color w:val="808080" w:themeColor="background1" w:themeShade="80"/>
          <w:sz w:val="22"/>
          <w:szCs w:val="22"/>
          <w:lang w:val="en-001"/>
        </w:rPr>
      </w:pPr>
      <w:r w:rsidRPr="00C400A3">
        <w:rPr>
          <w:rFonts w:ascii="Arial" w:hAnsi="Arial" w:cs="Arial"/>
          <w:color w:val="808080" w:themeColor="background1" w:themeShade="80"/>
          <w:sz w:val="22"/>
          <w:szCs w:val="22"/>
          <w:lang w:val="en-001"/>
        </w:rPr>
        <w:t>30-day automatic moratorium upon the filing of an application with the Court;</w:t>
      </w:r>
    </w:p>
    <w:p w14:paraId="3A30EE0C" w14:textId="69F53A49" w:rsidR="00C400A3" w:rsidRPr="00C400A3" w:rsidRDefault="00C400A3" w:rsidP="00C400A3">
      <w:pPr>
        <w:pStyle w:val="ListParagraph"/>
        <w:numPr>
          <w:ilvl w:val="0"/>
          <w:numId w:val="18"/>
        </w:numPr>
        <w:jc w:val="both"/>
        <w:rPr>
          <w:rFonts w:ascii="Arial" w:hAnsi="Arial" w:cs="Arial"/>
          <w:color w:val="808080" w:themeColor="background1" w:themeShade="80"/>
          <w:sz w:val="22"/>
          <w:szCs w:val="22"/>
          <w:lang w:val="en-001"/>
        </w:rPr>
      </w:pPr>
      <w:r w:rsidRPr="00C400A3">
        <w:rPr>
          <w:rFonts w:ascii="Arial" w:hAnsi="Arial" w:cs="Arial"/>
          <w:color w:val="808080" w:themeColor="background1" w:themeShade="80"/>
          <w:sz w:val="22"/>
          <w:szCs w:val="22"/>
          <w:lang w:val="en-001"/>
        </w:rPr>
        <w:t>Availability of US-style debtor-in-possession (“</w:t>
      </w:r>
      <w:r w:rsidRPr="00C400A3">
        <w:rPr>
          <w:rFonts w:ascii="Arial" w:hAnsi="Arial" w:cs="Arial"/>
          <w:b/>
          <w:bCs/>
          <w:color w:val="808080" w:themeColor="background1" w:themeShade="80"/>
          <w:sz w:val="22"/>
          <w:szCs w:val="22"/>
          <w:lang w:val="en-001"/>
        </w:rPr>
        <w:t>DIP</w:t>
      </w:r>
      <w:r w:rsidRPr="00C400A3">
        <w:rPr>
          <w:rFonts w:ascii="Arial" w:hAnsi="Arial" w:cs="Arial"/>
          <w:color w:val="808080" w:themeColor="background1" w:themeShade="80"/>
          <w:sz w:val="22"/>
          <w:szCs w:val="22"/>
          <w:lang w:val="en-001"/>
        </w:rPr>
        <w:t>”) or rescue financing;</w:t>
      </w:r>
    </w:p>
    <w:p w14:paraId="7FC9F9F4" w14:textId="0E938C98" w:rsidR="00C400A3" w:rsidRPr="00C400A3" w:rsidRDefault="00C400A3" w:rsidP="00C400A3">
      <w:pPr>
        <w:pStyle w:val="ListParagraph"/>
        <w:numPr>
          <w:ilvl w:val="0"/>
          <w:numId w:val="18"/>
        </w:numPr>
        <w:jc w:val="both"/>
        <w:rPr>
          <w:rFonts w:ascii="Arial" w:hAnsi="Arial" w:cs="Arial"/>
          <w:color w:val="808080" w:themeColor="background1" w:themeShade="80"/>
          <w:sz w:val="22"/>
          <w:szCs w:val="22"/>
          <w:lang w:val="en-001"/>
        </w:rPr>
      </w:pPr>
      <w:r w:rsidRPr="00C400A3">
        <w:rPr>
          <w:rFonts w:ascii="Arial" w:hAnsi="Arial" w:cs="Arial"/>
          <w:color w:val="808080" w:themeColor="background1" w:themeShade="80"/>
          <w:sz w:val="22"/>
          <w:szCs w:val="22"/>
          <w:lang w:val="en-001"/>
        </w:rPr>
        <w:t>Cross-class cramdown in schemes of arrangement; and</w:t>
      </w:r>
    </w:p>
    <w:p w14:paraId="4D855D83" w14:textId="4F5DA335" w:rsidR="00C400A3" w:rsidRPr="00C400A3" w:rsidRDefault="00C400A3" w:rsidP="00C400A3">
      <w:pPr>
        <w:pStyle w:val="ListParagraph"/>
        <w:numPr>
          <w:ilvl w:val="0"/>
          <w:numId w:val="18"/>
        </w:numPr>
        <w:jc w:val="both"/>
        <w:rPr>
          <w:rFonts w:ascii="Arial" w:hAnsi="Arial" w:cs="Arial"/>
          <w:color w:val="808080" w:themeColor="background1" w:themeShade="80"/>
          <w:sz w:val="22"/>
          <w:szCs w:val="22"/>
          <w:lang w:val="en-001"/>
        </w:rPr>
      </w:pPr>
      <w:r w:rsidRPr="00C400A3">
        <w:rPr>
          <w:rFonts w:ascii="Arial" w:hAnsi="Arial" w:cs="Arial"/>
          <w:color w:val="808080" w:themeColor="background1" w:themeShade="80"/>
          <w:sz w:val="22"/>
          <w:szCs w:val="22"/>
          <w:lang w:val="en-001"/>
        </w:rPr>
        <w:t>Moratoria having extra territorial effect.</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4AF7625F" w14:textId="18038432" w:rsidR="00C72848" w:rsidRPr="00D415AD" w:rsidRDefault="00C400A3" w:rsidP="00C400A3">
      <w:pPr>
        <w:jc w:val="both"/>
        <w:rPr>
          <w:rFonts w:ascii="Arial" w:hAnsi="Arial" w:cs="Arial"/>
          <w:color w:val="808080" w:themeColor="background1" w:themeShade="80"/>
          <w:sz w:val="22"/>
          <w:szCs w:val="22"/>
          <w:lang w:val="en-001"/>
        </w:rPr>
      </w:pPr>
      <w:r>
        <w:rPr>
          <w:rFonts w:ascii="Arial" w:hAnsi="Arial" w:cs="Arial"/>
          <w:color w:val="7B7B7B" w:themeColor="accent3" w:themeShade="BF"/>
          <w:sz w:val="22"/>
          <w:szCs w:val="22"/>
          <w:lang w:val="en-001"/>
        </w:rPr>
        <w:t>One alternative to a formal bankruptcy is a debt repayment scheme which is a pre-bankruptcy scheme administered by the Official Assignee which allows a debtor to enter into a debt repayment plan with its creditors and avoid bankruptcy. The Court may refer the debtor to the Official Assignee to assess his eligibility to enter into the scheme if the following criteria are satisfied:</w:t>
      </w:r>
    </w:p>
    <w:p w14:paraId="59F326D6" w14:textId="2A421882" w:rsidR="00C400A3" w:rsidRPr="00D415AD" w:rsidRDefault="00D415AD" w:rsidP="00C400A3">
      <w:pPr>
        <w:pStyle w:val="ListParagraph"/>
        <w:numPr>
          <w:ilvl w:val="0"/>
          <w:numId w:val="19"/>
        </w:numPr>
        <w:jc w:val="both"/>
        <w:rPr>
          <w:rFonts w:ascii="Arial" w:hAnsi="Arial" w:cs="Arial"/>
          <w:color w:val="808080" w:themeColor="background1" w:themeShade="80"/>
          <w:sz w:val="22"/>
          <w:szCs w:val="22"/>
          <w:lang w:val="en-001"/>
        </w:rPr>
      </w:pPr>
      <w:r w:rsidRPr="00D415AD">
        <w:rPr>
          <w:rFonts w:ascii="Arial" w:hAnsi="Arial" w:cs="Arial"/>
          <w:color w:val="808080" w:themeColor="background1" w:themeShade="80"/>
          <w:sz w:val="22"/>
          <w:szCs w:val="22"/>
          <w:lang w:val="en-001"/>
        </w:rPr>
        <w:t>Debt in respect of the bankruptcy application does not exceed the prescribed amount;</w:t>
      </w:r>
    </w:p>
    <w:p w14:paraId="44B2F9BC" w14:textId="283B8EDB" w:rsidR="00D415AD" w:rsidRPr="00D415AD" w:rsidRDefault="00D415AD" w:rsidP="00C400A3">
      <w:pPr>
        <w:pStyle w:val="ListParagraph"/>
        <w:numPr>
          <w:ilvl w:val="0"/>
          <w:numId w:val="19"/>
        </w:numPr>
        <w:jc w:val="both"/>
        <w:rPr>
          <w:rFonts w:ascii="Arial" w:hAnsi="Arial" w:cs="Arial"/>
          <w:color w:val="808080" w:themeColor="background1" w:themeShade="80"/>
          <w:sz w:val="22"/>
          <w:szCs w:val="22"/>
          <w:lang w:val="en-001"/>
        </w:rPr>
      </w:pPr>
      <w:r w:rsidRPr="00D415AD">
        <w:rPr>
          <w:rFonts w:ascii="Arial" w:hAnsi="Arial" w:cs="Arial"/>
          <w:color w:val="808080" w:themeColor="background1" w:themeShade="80"/>
          <w:sz w:val="22"/>
          <w:szCs w:val="22"/>
          <w:lang w:val="en-001"/>
        </w:rPr>
        <w:t>Debtor is not an undischarged bankrupt and has not been a bankrupt within the period of five years before the date on which the bankruptcy application is made;</w:t>
      </w:r>
    </w:p>
    <w:p w14:paraId="0FE442AD" w14:textId="46D682B4" w:rsidR="00D415AD" w:rsidRPr="00D415AD" w:rsidRDefault="00D415AD" w:rsidP="00C400A3">
      <w:pPr>
        <w:pStyle w:val="ListParagraph"/>
        <w:numPr>
          <w:ilvl w:val="0"/>
          <w:numId w:val="19"/>
        </w:numPr>
        <w:jc w:val="both"/>
        <w:rPr>
          <w:rFonts w:ascii="Arial" w:hAnsi="Arial" w:cs="Arial"/>
          <w:color w:val="808080" w:themeColor="background1" w:themeShade="80"/>
          <w:sz w:val="22"/>
          <w:szCs w:val="22"/>
          <w:lang w:val="en-001"/>
        </w:rPr>
      </w:pPr>
      <w:r w:rsidRPr="00D415AD">
        <w:rPr>
          <w:rFonts w:ascii="Arial" w:hAnsi="Arial" w:cs="Arial"/>
          <w:color w:val="808080" w:themeColor="background1" w:themeShade="80"/>
          <w:sz w:val="22"/>
          <w:szCs w:val="22"/>
          <w:lang w:val="en-001"/>
        </w:rPr>
        <w:t>The debtor has no Voluntary Arrangement or Debt Repayment Scheme currently in effect or within five years before the date the bankruptcy application is made; and</w:t>
      </w:r>
    </w:p>
    <w:p w14:paraId="2E611F97" w14:textId="7E0DD1B9" w:rsidR="00D415AD" w:rsidRPr="00D415AD" w:rsidRDefault="00D415AD" w:rsidP="00C400A3">
      <w:pPr>
        <w:pStyle w:val="ListParagraph"/>
        <w:numPr>
          <w:ilvl w:val="0"/>
          <w:numId w:val="19"/>
        </w:numPr>
        <w:jc w:val="both"/>
        <w:rPr>
          <w:rFonts w:ascii="Arial" w:hAnsi="Arial" w:cs="Arial"/>
          <w:color w:val="808080" w:themeColor="background1" w:themeShade="80"/>
          <w:sz w:val="22"/>
          <w:szCs w:val="22"/>
          <w:lang w:val="en-001"/>
        </w:rPr>
      </w:pPr>
      <w:r w:rsidRPr="00D415AD">
        <w:rPr>
          <w:rFonts w:ascii="Arial" w:hAnsi="Arial" w:cs="Arial"/>
          <w:color w:val="808080" w:themeColor="background1" w:themeShade="80"/>
          <w:sz w:val="22"/>
          <w:szCs w:val="22"/>
          <w:lang w:val="en-001"/>
        </w:rPr>
        <w:t>The debtor is not a sole proprietor, a partner of a firm (Cap 391), or a partner in a limited liability partnership.</w:t>
      </w:r>
    </w:p>
    <w:p w14:paraId="0F85A4BD" w14:textId="7333B4B8" w:rsidR="0045683E" w:rsidRPr="00D415AD" w:rsidRDefault="0045683E" w:rsidP="002A37BB">
      <w:pPr>
        <w:jc w:val="both"/>
        <w:rPr>
          <w:rFonts w:ascii="Arial" w:hAnsi="Arial" w:cs="Arial"/>
          <w:bCs/>
          <w:color w:val="808080" w:themeColor="background1" w:themeShade="80"/>
          <w:sz w:val="22"/>
          <w:szCs w:val="22"/>
          <w:lang w:val="en-GB"/>
        </w:rPr>
      </w:pPr>
    </w:p>
    <w:p w14:paraId="21A8E344" w14:textId="32887ACC" w:rsidR="00D415AD" w:rsidRPr="00D415AD" w:rsidRDefault="00D415AD" w:rsidP="002A37BB">
      <w:pPr>
        <w:jc w:val="both"/>
        <w:rPr>
          <w:rFonts w:ascii="Arial" w:hAnsi="Arial" w:cs="Arial"/>
          <w:bCs/>
          <w:color w:val="808080" w:themeColor="background1" w:themeShade="80"/>
          <w:sz w:val="22"/>
          <w:szCs w:val="22"/>
          <w:lang w:val="en-001"/>
        </w:rPr>
      </w:pPr>
      <w:r>
        <w:rPr>
          <w:rFonts w:ascii="Arial" w:hAnsi="Arial" w:cs="Arial"/>
          <w:bCs/>
          <w:color w:val="808080" w:themeColor="background1" w:themeShade="80"/>
          <w:sz w:val="22"/>
          <w:szCs w:val="22"/>
          <w:lang w:val="en-001"/>
        </w:rPr>
        <w:t>If he satisfies the Official Assignee with the criteria above, the debtor must then submit a statement of his affairs and a debt repayment plan not to exceed five years. If the Official Assignee approves, he will convene a creditors’ meeting to review the plan which will be binding on all creditors. The Debt Repayment Scheme approved will also be accompanied by a moratorium. If a debtor does not meet all conditions, the Official Assignee may assign him a certificate of failure marking the end of the scheme, and allowing creditors to bring a bankruptcy application against the debtor.</w:t>
      </w: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48F1FD3F" w14:textId="77777777" w:rsidR="00D415AD" w:rsidRDefault="00D415AD" w:rsidP="002A37BB">
      <w:pPr>
        <w:ind w:left="720" w:hanging="720"/>
        <w:jc w:val="both"/>
        <w:rPr>
          <w:rFonts w:ascii="Arial" w:hAnsi="Arial" w:cs="Arial"/>
          <w:b/>
          <w:bCs/>
          <w:sz w:val="22"/>
          <w:szCs w:val="22"/>
        </w:rPr>
      </w:pPr>
    </w:p>
    <w:p w14:paraId="747E9BCA" w14:textId="77777777" w:rsidR="00D415AD" w:rsidRDefault="00D415AD" w:rsidP="002A37BB">
      <w:pPr>
        <w:ind w:left="720" w:hanging="720"/>
        <w:jc w:val="both"/>
        <w:rPr>
          <w:rFonts w:ascii="Arial" w:hAnsi="Arial" w:cs="Arial"/>
          <w:b/>
          <w:bCs/>
          <w:sz w:val="22"/>
          <w:szCs w:val="22"/>
        </w:rPr>
      </w:pPr>
    </w:p>
    <w:p w14:paraId="773B7AEA" w14:textId="77777777" w:rsidR="00D415AD" w:rsidRDefault="00D415AD" w:rsidP="002A37BB">
      <w:pPr>
        <w:ind w:left="720" w:hanging="720"/>
        <w:jc w:val="both"/>
        <w:rPr>
          <w:rFonts w:ascii="Arial" w:hAnsi="Arial" w:cs="Arial"/>
          <w:b/>
          <w:bCs/>
          <w:sz w:val="22"/>
          <w:szCs w:val="22"/>
        </w:rPr>
      </w:pPr>
    </w:p>
    <w:p w14:paraId="28A55982" w14:textId="77777777" w:rsidR="00D415AD" w:rsidRDefault="00D415AD" w:rsidP="002A37BB">
      <w:pPr>
        <w:ind w:left="720" w:hanging="720"/>
        <w:jc w:val="both"/>
        <w:rPr>
          <w:rFonts w:ascii="Arial" w:hAnsi="Arial" w:cs="Arial"/>
          <w:b/>
          <w:bCs/>
          <w:sz w:val="22"/>
          <w:szCs w:val="22"/>
        </w:rPr>
      </w:pPr>
    </w:p>
    <w:p w14:paraId="2595441E" w14:textId="77777777" w:rsidR="00D415AD" w:rsidRDefault="00D415AD" w:rsidP="002A37BB">
      <w:pPr>
        <w:ind w:left="720" w:hanging="720"/>
        <w:jc w:val="both"/>
        <w:rPr>
          <w:rFonts w:ascii="Arial" w:hAnsi="Arial" w:cs="Arial"/>
          <w:b/>
          <w:bCs/>
          <w:sz w:val="22"/>
          <w:szCs w:val="22"/>
        </w:rPr>
      </w:pPr>
    </w:p>
    <w:p w14:paraId="3B4B17FB" w14:textId="6A67A79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lastRenderedPageBreak/>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5834CE2D" w14:textId="77777777" w:rsidR="00D415AD" w:rsidRDefault="00D415AD" w:rsidP="002A37BB">
      <w:pPr>
        <w:jc w:val="both"/>
        <w:rPr>
          <w:rFonts w:ascii="Arial" w:hAnsi="Arial" w:cs="Arial"/>
          <w:sz w:val="22"/>
          <w:szCs w:val="22"/>
          <w:lang w:val="en-GB"/>
        </w:rPr>
      </w:pPr>
    </w:p>
    <w:p w14:paraId="205C0919" w14:textId="740AAA51"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2F57A5C" w14:textId="7DC70AD3" w:rsidR="00544127" w:rsidRPr="008F7BA9" w:rsidRDefault="00D415AD" w:rsidP="002A37BB">
      <w:pPr>
        <w:jc w:val="both"/>
        <w:rPr>
          <w:rFonts w:ascii="Arial" w:hAnsi="Arial" w:cs="Arial"/>
          <w:color w:val="808080" w:themeColor="background1" w:themeShade="80"/>
          <w:sz w:val="22"/>
          <w:szCs w:val="22"/>
          <w:lang w:val="en-001"/>
        </w:rPr>
      </w:pPr>
      <w:r>
        <w:rPr>
          <w:rFonts w:ascii="Arial" w:hAnsi="Arial" w:cs="Arial"/>
          <w:color w:val="7B7B7B" w:themeColor="accent3" w:themeShade="BF"/>
          <w:sz w:val="22"/>
          <w:szCs w:val="22"/>
          <w:lang w:val="en-001"/>
        </w:rPr>
        <w:t xml:space="preserve">A liquidator or a judicial manager can apply to the Court for a ‘claw-back claim’ </w:t>
      </w:r>
      <w:r w:rsidR="008F7BA9">
        <w:rPr>
          <w:rFonts w:ascii="Arial" w:hAnsi="Arial" w:cs="Arial"/>
          <w:color w:val="7B7B7B" w:themeColor="accent3" w:themeShade="BF"/>
          <w:sz w:val="22"/>
          <w:szCs w:val="22"/>
          <w:lang w:val="en-001"/>
        </w:rPr>
        <w:t>in regard to</w:t>
      </w:r>
      <w:r>
        <w:rPr>
          <w:rFonts w:ascii="Arial" w:hAnsi="Arial" w:cs="Arial"/>
          <w:color w:val="7B7B7B" w:themeColor="accent3" w:themeShade="BF"/>
          <w:sz w:val="22"/>
          <w:szCs w:val="22"/>
          <w:lang w:val="en-001"/>
        </w:rPr>
        <w:t xml:space="preserve"> assets previously transferred in transactions where there was an unfair preference or there </w:t>
      </w:r>
      <w:r w:rsidRPr="008F7BA9">
        <w:rPr>
          <w:rFonts w:ascii="Arial" w:hAnsi="Arial" w:cs="Arial"/>
          <w:color w:val="808080" w:themeColor="background1" w:themeShade="80"/>
          <w:sz w:val="22"/>
          <w:szCs w:val="22"/>
          <w:lang w:val="en-001"/>
        </w:rPr>
        <w:t>was an undervalued transaction.</w:t>
      </w:r>
    </w:p>
    <w:p w14:paraId="4E6412EF" w14:textId="2698F920" w:rsidR="00544127" w:rsidRPr="008F7BA9" w:rsidRDefault="00544127" w:rsidP="002A37BB">
      <w:pPr>
        <w:ind w:left="720" w:hanging="720"/>
        <w:jc w:val="both"/>
        <w:rPr>
          <w:rFonts w:ascii="Arial" w:hAnsi="Arial" w:cs="Arial"/>
          <w:color w:val="808080" w:themeColor="background1" w:themeShade="80"/>
          <w:sz w:val="22"/>
          <w:szCs w:val="22"/>
        </w:rPr>
      </w:pPr>
    </w:p>
    <w:p w14:paraId="559A0BC7" w14:textId="60CD654E" w:rsidR="00D415AD" w:rsidRDefault="00D415AD" w:rsidP="008F7BA9">
      <w:pPr>
        <w:jc w:val="both"/>
        <w:rPr>
          <w:rFonts w:ascii="Arial" w:hAnsi="Arial" w:cs="Arial"/>
          <w:color w:val="808080" w:themeColor="background1" w:themeShade="80"/>
          <w:sz w:val="22"/>
          <w:szCs w:val="22"/>
          <w:lang w:val="en-001"/>
        </w:rPr>
      </w:pPr>
      <w:r w:rsidRPr="008F7BA9">
        <w:rPr>
          <w:rFonts w:ascii="Arial" w:hAnsi="Arial" w:cs="Arial"/>
          <w:color w:val="808080" w:themeColor="background1" w:themeShade="80"/>
          <w:sz w:val="22"/>
          <w:szCs w:val="22"/>
          <w:lang w:val="en-001"/>
        </w:rPr>
        <w:t>To prove to the Court that a transaction was an unfair preference, the liquidator or judicial manager must show the below four elements:</w:t>
      </w:r>
    </w:p>
    <w:p w14:paraId="3AE2601D" w14:textId="29ADC5C4" w:rsidR="008F7BA9" w:rsidRPr="008F7BA9" w:rsidRDefault="008F7BA9" w:rsidP="008F7BA9">
      <w:pPr>
        <w:pStyle w:val="ListParagraph"/>
        <w:numPr>
          <w:ilvl w:val="0"/>
          <w:numId w:val="20"/>
        </w:numPr>
        <w:jc w:val="both"/>
        <w:rPr>
          <w:rFonts w:ascii="Arial" w:hAnsi="Arial" w:cs="Arial"/>
          <w:color w:val="808080" w:themeColor="background1" w:themeShade="80"/>
          <w:sz w:val="22"/>
          <w:szCs w:val="22"/>
          <w:lang w:val="en-001"/>
        </w:rPr>
      </w:pPr>
      <w:r w:rsidRPr="008F7BA9">
        <w:rPr>
          <w:rFonts w:ascii="Arial" w:hAnsi="Arial" w:cs="Arial"/>
          <w:color w:val="808080" w:themeColor="background1" w:themeShade="80"/>
          <w:sz w:val="22"/>
          <w:szCs w:val="22"/>
          <w:lang w:val="en-001"/>
        </w:rPr>
        <w:t xml:space="preserve">The beneficiary of the transaction is a creditor or guarantor for </w:t>
      </w:r>
      <w:r>
        <w:rPr>
          <w:rFonts w:ascii="Arial" w:hAnsi="Arial" w:cs="Arial"/>
          <w:color w:val="808080" w:themeColor="background1" w:themeShade="80"/>
          <w:sz w:val="22"/>
          <w:szCs w:val="22"/>
          <w:lang w:val="en-001"/>
        </w:rPr>
        <w:t xml:space="preserve">one or some </w:t>
      </w:r>
      <w:r w:rsidRPr="008F7BA9">
        <w:rPr>
          <w:rFonts w:ascii="Arial" w:hAnsi="Arial" w:cs="Arial"/>
          <w:color w:val="808080" w:themeColor="background1" w:themeShade="80"/>
          <w:sz w:val="22"/>
          <w:szCs w:val="22"/>
          <w:lang w:val="en-001"/>
        </w:rPr>
        <w:t xml:space="preserve">of the company’s debts or liabilities  </w:t>
      </w:r>
    </w:p>
    <w:p w14:paraId="198E105B" w14:textId="494D10F3" w:rsidR="008F7BA9" w:rsidRPr="008F7BA9" w:rsidRDefault="008F7BA9" w:rsidP="008F7BA9">
      <w:pPr>
        <w:pStyle w:val="ListParagraph"/>
        <w:numPr>
          <w:ilvl w:val="0"/>
          <w:numId w:val="20"/>
        </w:numPr>
        <w:jc w:val="both"/>
        <w:rPr>
          <w:rFonts w:ascii="Arial" w:hAnsi="Arial" w:cs="Arial"/>
          <w:color w:val="808080" w:themeColor="background1" w:themeShade="80"/>
          <w:sz w:val="22"/>
          <w:szCs w:val="22"/>
          <w:lang w:val="en-001"/>
        </w:rPr>
      </w:pPr>
      <w:r w:rsidRPr="008F7BA9">
        <w:rPr>
          <w:rFonts w:ascii="Arial" w:hAnsi="Arial" w:cs="Arial"/>
          <w:color w:val="808080" w:themeColor="background1" w:themeShade="80"/>
          <w:sz w:val="22"/>
          <w:szCs w:val="22"/>
          <w:lang w:val="en-001"/>
        </w:rPr>
        <w:t>The company was insolvent at the time or became insolvent as a consequence</w:t>
      </w:r>
      <w:r>
        <w:rPr>
          <w:rFonts w:ascii="Arial" w:hAnsi="Arial" w:cs="Arial"/>
          <w:color w:val="808080" w:themeColor="background1" w:themeShade="80"/>
          <w:sz w:val="22"/>
          <w:szCs w:val="22"/>
          <w:lang w:val="en-001"/>
        </w:rPr>
        <w:t xml:space="preserve"> </w:t>
      </w:r>
      <w:r w:rsidRPr="008F7BA9">
        <w:rPr>
          <w:rFonts w:ascii="Arial" w:hAnsi="Arial" w:cs="Arial"/>
          <w:color w:val="808080" w:themeColor="background1" w:themeShade="80"/>
          <w:sz w:val="22"/>
          <w:szCs w:val="22"/>
          <w:lang w:val="en-001"/>
        </w:rPr>
        <w:t>of providing the preference</w:t>
      </w:r>
      <w:r>
        <w:rPr>
          <w:rFonts w:ascii="Arial" w:hAnsi="Arial" w:cs="Arial"/>
          <w:color w:val="808080" w:themeColor="background1" w:themeShade="80"/>
          <w:sz w:val="22"/>
          <w:szCs w:val="22"/>
          <w:lang w:val="en-001"/>
        </w:rPr>
        <w:t>;</w:t>
      </w:r>
      <w:r w:rsidRPr="008F7BA9">
        <w:rPr>
          <w:rFonts w:ascii="Arial" w:hAnsi="Arial" w:cs="Arial"/>
          <w:color w:val="808080" w:themeColor="background1" w:themeShade="80"/>
          <w:sz w:val="22"/>
          <w:szCs w:val="22"/>
          <w:lang w:val="en-001"/>
        </w:rPr>
        <w:t xml:space="preserve">  </w:t>
      </w:r>
    </w:p>
    <w:p w14:paraId="7A162209" w14:textId="7561F420" w:rsidR="008F7BA9" w:rsidRPr="008F7BA9" w:rsidRDefault="008F7BA9" w:rsidP="008F7BA9">
      <w:pPr>
        <w:pStyle w:val="ListParagraph"/>
        <w:numPr>
          <w:ilvl w:val="0"/>
          <w:numId w:val="20"/>
        </w:numPr>
        <w:jc w:val="both"/>
        <w:rPr>
          <w:rFonts w:ascii="Arial" w:hAnsi="Arial" w:cs="Arial"/>
          <w:color w:val="808080" w:themeColor="background1" w:themeShade="80"/>
          <w:sz w:val="22"/>
          <w:szCs w:val="22"/>
          <w:lang w:val="en-001"/>
        </w:rPr>
      </w:pPr>
      <w:r w:rsidRPr="008F7BA9">
        <w:rPr>
          <w:rFonts w:ascii="Arial" w:hAnsi="Arial" w:cs="Arial"/>
          <w:color w:val="808080" w:themeColor="background1" w:themeShade="80"/>
          <w:sz w:val="22"/>
          <w:szCs w:val="22"/>
          <w:lang w:val="en-001"/>
        </w:rPr>
        <w:t xml:space="preserve">The company has done </w:t>
      </w:r>
      <w:r>
        <w:rPr>
          <w:rFonts w:ascii="Arial" w:hAnsi="Arial" w:cs="Arial"/>
          <w:color w:val="808080" w:themeColor="background1" w:themeShade="80"/>
          <w:sz w:val="22"/>
          <w:szCs w:val="22"/>
          <w:lang w:val="en-001"/>
        </w:rPr>
        <w:t xml:space="preserve">something </w:t>
      </w:r>
      <w:r w:rsidRPr="008F7BA9">
        <w:rPr>
          <w:rFonts w:ascii="Arial" w:hAnsi="Arial" w:cs="Arial"/>
          <w:color w:val="808080" w:themeColor="background1" w:themeShade="80"/>
          <w:sz w:val="22"/>
          <w:szCs w:val="22"/>
          <w:lang w:val="en-001"/>
        </w:rPr>
        <w:t xml:space="preserve">to place the preferred party in a better position than it otherwise would have been </w:t>
      </w:r>
      <w:r>
        <w:rPr>
          <w:rFonts w:ascii="Arial" w:hAnsi="Arial" w:cs="Arial"/>
          <w:color w:val="808080" w:themeColor="background1" w:themeShade="80"/>
          <w:sz w:val="22"/>
          <w:szCs w:val="22"/>
          <w:lang w:val="en-001"/>
        </w:rPr>
        <w:t xml:space="preserve">without the </w:t>
      </w:r>
      <w:r w:rsidRPr="008F7BA9">
        <w:rPr>
          <w:rFonts w:ascii="Arial" w:hAnsi="Arial" w:cs="Arial"/>
          <w:color w:val="808080" w:themeColor="background1" w:themeShade="80"/>
          <w:sz w:val="22"/>
          <w:szCs w:val="22"/>
          <w:lang w:val="en-001"/>
        </w:rPr>
        <w:t xml:space="preserve">transaction </w:t>
      </w:r>
      <w:r>
        <w:rPr>
          <w:rFonts w:ascii="Arial" w:hAnsi="Arial" w:cs="Arial"/>
          <w:color w:val="808080" w:themeColor="background1" w:themeShade="80"/>
          <w:sz w:val="22"/>
          <w:szCs w:val="22"/>
          <w:lang w:val="en-001"/>
        </w:rPr>
        <w:t>in place</w:t>
      </w:r>
      <w:r w:rsidRPr="008F7BA9">
        <w:rPr>
          <w:rFonts w:ascii="Arial" w:hAnsi="Arial" w:cs="Arial"/>
          <w:color w:val="808080" w:themeColor="background1" w:themeShade="80"/>
          <w:sz w:val="22"/>
          <w:szCs w:val="22"/>
          <w:lang w:val="en-001"/>
        </w:rPr>
        <w:t xml:space="preserve">; and </w:t>
      </w:r>
    </w:p>
    <w:p w14:paraId="3E24AF34" w14:textId="0BC07E57" w:rsidR="008F7BA9" w:rsidRPr="008F7BA9" w:rsidRDefault="008F7BA9" w:rsidP="008F7BA9">
      <w:pPr>
        <w:pStyle w:val="ListParagraph"/>
        <w:numPr>
          <w:ilvl w:val="0"/>
          <w:numId w:val="20"/>
        </w:numPr>
        <w:jc w:val="both"/>
        <w:rPr>
          <w:rFonts w:ascii="Arial" w:hAnsi="Arial" w:cs="Arial"/>
          <w:color w:val="808080" w:themeColor="background1" w:themeShade="80"/>
          <w:sz w:val="22"/>
          <w:szCs w:val="22"/>
          <w:lang w:val="en-001"/>
        </w:rPr>
      </w:pPr>
      <w:r w:rsidRPr="008F7BA9">
        <w:rPr>
          <w:rFonts w:ascii="Arial" w:hAnsi="Arial" w:cs="Arial"/>
          <w:color w:val="808080" w:themeColor="background1" w:themeShade="80"/>
          <w:sz w:val="22"/>
          <w:szCs w:val="22"/>
          <w:lang w:val="en-001"/>
        </w:rPr>
        <w:t xml:space="preserve">The company was influenced by </w:t>
      </w:r>
      <w:r>
        <w:rPr>
          <w:rFonts w:ascii="Arial" w:hAnsi="Arial" w:cs="Arial"/>
          <w:color w:val="808080" w:themeColor="background1" w:themeShade="80"/>
          <w:sz w:val="22"/>
          <w:szCs w:val="22"/>
          <w:lang w:val="en-001"/>
        </w:rPr>
        <w:t xml:space="preserve">a </w:t>
      </w:r>
      <w:r w:rsidRPr="008F7BA9">
        <w:rPr>
          <w:rFonts w:ascii="Arial" w:hAnsi="Arial" w:cs="Arial"/>
          <w:color w:val="808080" w:themeColor="background1" w:themeShade="80"/>
          <w:sz w:val="22"/>
          <w:szCs w:val="22"/>
          <w:lang w:val="en-001"/>
        </w:rPr>
        <w:t>desire to prefer the preferred party</w:t>
      </w:r>
      <w:r>
        <w:rPr>
          <w:rFonts w:ascii="Arial" w:hAnsi="Arial" w:cs="Arial"/>
          <w:color w:val="808080" w:themeColor="background1" w:themeShade="80"/>
          <w:sz w:val="22"/>
          <w:szCs w:val="22"/>
          <w:lang w:val="en-001"/>
        </w:rPr>
        <w:t>, particularly if the preferred party</w:t>
      </w:r>
      <w:r w:rsidRPr="008F7BA9">
        <w:rPr>
          <w:rFonts w:ascii="Arial" w:hAnsi="Arial" w:cs="Arial"/>
          <w:color w:val="808080" w:themeColor="background1" w:themeShade="80"/>
          <w:sz w:val="22"/>
          <w:szCs w:val="22"/>
          <w:lang w:val="en-001"/>
        </w:rPr>
        <w:t xml:space="preserve"> is an associate of the company.</w:t>
      </w:r>
    </w:p>
    <w:p w14:paraId="74B032C7" w14:textId="72BB91D7" w:rsidR="00D415AD" w:rsidRDefault="00D415AD" w:rsidP="002A37BB">
      <w:pPr>
        <w:ind w:left="720" w:hanging="720"/>
        <w:jc w:val="both"/>
        <w:rPr>
          <w:rFonts w:ascii="Arial" w:hAnsi="Arial" w:cs="Arial"/>
          <w:color w:val="808080" w:themeColor="background1" w:themeShade="80"/>
          <w:sz w:val="22"/>
          <w:szCs w:val="22"/>
        </w:rPr>
      </w:pPr>
    </w:p>
    <w:p w14:paraId="20D6D4D3" w14:textId="56DA1742" w:rsidR="008F7BA9" w:rsidRDefault="008F7BA9" w:rsidP="008F7BA9">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 xml:space="preserve">The assets may be clawed back for an unfair preference for two years from the date of the wind-up application or judicial management application where the preferred party is an associate of the Company or one year for any unrelated parties. </w:t>
      </w:r>
    </w:p>
    <w:p w14:paraId="07BB2DCD" w14:textId="32D8B763" w:rsidR="008F7BA9" w:rsidRDefault="008F7BA9" w:rsidP="008F7BA9">
      <w:pPr>
        <w:jc w:val="both"/>
        <w:rPr>
          <w:rFonts w:ascii="Arial" w:hAnsi="Arial" w:cs="Arial"/>
          <w:color w:val="808080" w:themeColor="background1" w:themeShade="80"/>
          <w:sz w:val="22"/>
          <w:szCs w:val="22"/>
          <w:lang w:val="en-001"/>
        </w:rPr>
      </w:pPr>
    </w:p>
    <w:p w14:paraId="3F00275C" w14:textId="567AD8B0" w:rsidR="008F7BA9" w:rsidRDefault="008F7BA9" w:rsidP="008F7BA9">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To prove to the Court that a transaction was at an undervalue, the liquidator or judicial manager must show the below two elements:</w:t>
      </w:r>
    </w:p>
    <w:p w14:paraId="40E95FCD" w14:textId="7009244C" w:rsidR="008F7BA9" w:rsidRDefault="008F7BA9" w:rsidP="008F7BA9">
      <w:pPr>
        <w:pStyle w:val="paragraph"/>
        <w:numPr>
          <w:ilvl w:val="0"/>
          <w:numId w:val="21"/>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7B7B7B"/>
          <w:sz w:val="22"/>
          <w:szCs w:val="22"/>
        </w:rPr>
        <w:t xml:space="preserve">The company </w:t>
      </w:r>
      <w:r>
        <w:rPr>
          <w:rStyle w:val="normaltextrun"/>
          <w:rFonts w:ascii="Arial" w:hAnsi="Arial" w:cs="Arial"/>
          <w:color w:val="7B7B7B"/>
          <w:sz w:val="22"/>
          <w:szCs w:val="22"/>
          <w:lang w:val="en-001"/>
        </w:rPr>
        <w:t xml:space="preserve">has made </w:t>
      </w:r>
      <w:r>
        <w:rPr>
          <w:rStyle w:val="normaltextrun"/>
          <w:rFonts w:ascii="Arial" w:hAnsi="Arial" w:cs="Arial"/>
          <w:color w:val="7B7B7B"/>
          <w:sz w:val="22"/>
          <w:szCs w:val="22"/>
        </w:rPr>
        <w:t xml:space="preserve">a gift to the recipient or </w:t>
      </w:r>
      <w:r>
        <w:rPr>
          <w:rStyle w:val="normaltextrun"/>
          <w:rFonts w:ascii="Arial" w:hAnsi="Arial" w:cs="Arial"/>
          <w:color w:val="7B7B7B"/>
          <w:sz w:val="22"/>
          <w:szCs w:val="22"/>
          <w:lang w:val="en-001"/>
        </w:rPr>
        <w:t xml:space="preserve">has entered </w:t>
      </w:r>
      <w:r>
        <w:rPr>
          <w:rStyle w:val="normaltextrun"/>
          <w:rFonts w:ascii="Arial" w:hAnsi="Arial" w:cs="Arial"/>
          <w:color w:val="7B7B7B"/>
          <w:sz w:val="22"/>
          <w:szCs w:val="22"/>
        </w:rPr>
        <w:t xml:space="preserve">into a transaction where the value </w:t>
      </w:r>
      <w:r>
        <w:rPr>
          <w:rStyle w:val="normaltextrun"/>
          <w:rFonts w:ascii="Arial" w:hAnsi="Arial" w:cs="Arial"/>
          <w:color w:val="7B7B7B"/>
          <w:sz w:val="22"/>
          <w:szCs w:val="22"/>
          <w:lang w:val="en-001"/>
        </w:rPr>
        <w:t xml:space="preserve">of </w:t>
      </w:r>
      <w:r>
        <w:rPr>
          <w:rStyle w:val="normaltextrun"/>
          <w:rFonts w:ascii="Arial" w:hAnsi="Arial" w:cs="Arial"/>
          <w:color w:val="7B7B7B"/>
          <w:sz w:val="22"/>
          <w:szCs w:val="22"/>
        </w:rPr>
        <w:t>consideration received is significantly less that the value of consideration provided; and</w:t>
      </w:r>
      <w:r>
        <w:rPr>
          <w:rStyle w:val="eop"/>
          <w:rFonts w:ascii="Arial" w:hAnsi="Arial" w:cs="Arial"/>
          <w:color w:val="7B7B7B"/>
          <w:sz w:val="22"/>
          <w:szCs w:val="22"/>
        </w:rPr>
        <w:t> </w:t>
      </w:r>
    </w:p>
    <w:p w14:paraId="540D0D71" w14:textId="6FA00008" w:rsidR="008F7BA9" w:rsidRDefault="008F7BA9" w:rsidP="008F7BA9">
      <w:pPr>
        <w:pStyle w:val="paragraph"/>
        <w:numPr>
          <w:ilvl w:val="0"/>
          <w:numId w:val="21"/>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7B7B7B"/>
          <w:sz w:val="22"/>
          <w:szCs w:val="22"/>
        </w:rPr>
        <w:t xml:space="preserve">The company was </w:t>
      </w:r>
      <w:r>
        <w:rPr>
          <w:rStyle w:val="normaltextrun"/>
          <w:rFonts w:ascii="Arial" w:hAnsi="Arial" w:cs="Arial"/>
          <w:color w:val="7B7B7B"/>
          <w:sz w:val="22"/>
          <w:szCs w:val="22"/>
          <w:lang w:val="en-001"/>
        </w:rPr>
        <w:t xml:space="preserve">or became </w:t>
      </w:r>
      <w:r>
        <w:rPr>
          <w:rStyle w:val="normaltextrun"/>
          <w:rFonts w:ascii="Arial" w:hAnsi="Arial" w:cs="Arial"/>
          <w:color w:val="7B7B7B"/>
          <w:sz w:val="22"/>
          <w:szCs w:val="22"/>
        </w:rPr>
        <w:t xml:space="preserve">insolvent </w:t>
      </w:r>
      <w:r>
        <w:rPr>
          <w:rStyle w:val="normaltextrun"/>
          <w:rFonts w:ascii="Arial" w:hAnsi="Arial" w:cs="Arial"/>
          <w:color w:val="7B7B7B"/>
          <w:sz w:val="22"/>
          <w:szCs w:val="22"/>
          <w:lang w:val="en-001"/>
        </w:rPr>
        <w:t>as a result of the transaction.</w:t>
      </w:r>
      <w:r>
        <w:rPr>
          <w:rStyle w:val="normaltextrun"/>
          <w:rFonts w:ascii="Arial" w:hAnsi="Arial" w:cs="Arial"/>
          <w:color w:val="7B7B7B"/>
          <w:sz w:val="22"/>
          <w:szCs w:val="22"/>
        </w:rPr>
        <w:t>.</w:t>
      </w:r>
    </w:p>
    <w:p w14:paraId="5CD9DC45" w14:textId="682E2AF0" w:rsidR="008F7BA9" w:rsidRDefault="008F7BA9" w:rsidP="008F7BA9">
      <w:pPr>
        <w:jc w:val="both"/>
        <w:rPr>
          <w:rFonts w:ascii="Arial" w:hAnsi="Arial" w:cs="Arial"/>
          <w:color w:val="808080" w:themeColor="background1" w:themeShade="80"/>
          <w:sz w:val="22"/>
          <w:szCs w:val="22"/>
          <w:lang w:val="en-001"/>
        </w:rPr>
      </w:pPr>
    </w:p>
    <w:p w14:paraId="4E323917" w14:textId="43DEBEF6" w:rsidR="008F7BA9" w:rsidRDefault="008F7BA9" w:rsidP="008F7BA9">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If the preferred party is an associate of the company, the company is presumed to have undertaken a transaction at an undervalue. The time period to claw back the asset is three years from the date of the wind-up application or judicial management application (regardless if an associate is involved).</w:t>
      </w:r>
    </w:p>
    <w:p w14:paraId="5350CE37" w14:textId="5E03EE91" w:rsidR="008F7BA9" w:rsidRDefault="008F7BA9" w:rsidP="008F7BA9">
      <w:pPr>
        <w:jc w:val="both"/>
        <w:rPr>
          <w:rFonts w:ascii="Arial" w:hAnsi="Arial" w:cs="Arial"/>
          <w:color w:val="808080" w:themeColor="background1" w:themeShade="80"/>
          <w:sz w:val="22"/>
          <w:szCs w:val="22"/>
          <w:lang w:val="en-001"/>
        </w:rPr>
      </w:pPr>
    </w:p>
    <w:p w14:paraId="57E421AB" w14:textId="536CCC2F" w:rsidR="008F7BA9" w:rsidRDefault="008F7BA9" w:rsidP="008F7BA9">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The IRDA has enhanced the ability of a liquidator or judicial manager to bring claims such as with the new wrongful trading provision, allowing them to bring claims</w:t>
      </w:r>
      <w:r w:rsidR="000C1132">
        <w:rPr>
          <w:rFonts w:ascii="Arial" w:hAnsi="Arial" w:cs="Arial"/>
          <w:color w:val="808080" w:themeColor="background1" w:themeShade="80"/>
          <w:sz w:val="22"/>
          <w:szCs w:val="22"/>
          <w:lang w:val="en-001"/>
        </w:rPr>
        <w:t xml:space="preserve"> on a person if they knew that the company was trading wrongfully or if an officer of a company should have known that the company was trading wrongfully, given the circumstances.</w:t>
      </w:r>
    </w:p>
    <w:p w14:paraId="0FE21B97" w14:textId="2FCA1A39" w:rsidR="000C1132" w:rsidRDefault="000C1132" w:rsidP="008F7BA9">
      <w:pPr>
        <w:jc w:val="both"/>
        <w:rPr>
          <w:rFonts w:ascii="Arial" w:hAnsi="Arial" w:cs="Arial"/>
          <w:color w:val="808080" w:themeColor="background1" w:themeShade="80"/>
          <w:sz w:val="22"/>
          <w:szCs w:val="22"/>
          <w:lang w:val="en-001"/>
        </w:rPr>
      </w:pPr>
    </w:p>
    <w:p w14:paraId="775CC649" w14:textId="0A2CF759" w:rsidR="000C1132" w:rsidRDefault="000C1132" w:rsidP="008F7BA9">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Notably, distressed companies do not usually have sufficient assets or money which restricts the ability of a liquidator or a judicial manager to pursue claims. Under IRDA, both judicial managers and liquidators are statutorily empowered to seek third-party funding for certain causes of action, provided that they receive authorisation by the Court or the committee of inspection is required. Now, under IRDA, liquidators or judicial managers are empowered to seek third-party funding to seek claims in relation to undervalued transactions, unfair preference transactions, extortionate credit transactions, fraudulent trading, wrongful trading, and assessment of damages against delinquent officers of the company.</w:t>
      </w:r>
    </w:p>
    <w:p w14:paraId="20C7F466" w14:textId="7A19BB83" w:rsidR="008F7BA9" w:rsidRDefault="008F7BA9" w:rsidP="008F7BA9">
      <w:pPr>
        <w:jc w:val="both"/>
        <w:rPr>
          <w:rFonts w:ascii="Arial" w:hAnsi="Arial" w:cs="Arial"/>
          <w:color w:val="808080" w:themeColor="background1" w:themeShade="80"/>
          <w:sz w:val="22"/>
          <w:szCs w:val="22"/>
          <w:lang w:val="en-001"/>
        </w:rPr>
      </w:pPr>
    </w:p>
    <w:p w14:paraId="483B9AE8" w14:textId="31B29C1C" w:rsidR="000C1132" w:rsidRDefault="000C1132" w:rsidP="008F7BA9">
      <w:pPr>
        <w:jc w:val="both"/>
        <w:rPr>
          <w:rFonts w:ascii="Arial" w:hAnsi="Arial" w:cs="Arial"/>
          <w:color w:val="808080" w:themeColor="background1" w:themeShade="80"/>
          <w:sz w:val="22"/>
          <w:szCs w:val="22"/>
          <w:lang w:val="en-001"/>
        </w:rPr>
      </w:pPr>
    </w:p>
    <w:p w14:paraId="2C1BB23E" w14:textId="3D91C6B8" w:rsidR="000C1132" w:rsidRDefault="000C1132" w:rsidP="008F7BA9">
      <w:pPr>
        <w:jc w:val="both"/>
        <w:rPr>
          <w:rFonts w:ascii="Arial" w:hAnsi="Arial" w:cs="Arial"/>
          <w:color w:val="808080" w:themeColor="background1" w:themeShade="80"/>
          <w:sz w:val="22"/>
          <w:szCs w:val="22"/>
          <w:lang w:val="en-001"/>
        </w:rPr>
      </w:pPr>
    </w:p>
    <w:p w14:paraId="1C8164A7" w14:textId="2AFF0C0C" w:rsidR="000C1132" w:rsidRDefault="000C1132" w:rsidP="008F7BA9">
      <w:pPr>
        <w:jc w:val="both"/>
        <w:rPr>
          <w:rFonts w:ascii="Arial" w:hAnsi="Arial" w:cs="Arial"/>
          <w:color w:val="808080" w:themeColor="background1" w:themeShade="80"/>
          <w:sz w:val="22"/>
          <w:szCs w:val="22"/>
          <w:lang w:val="en-001"/>
        </w:rPr>
      </w:pPr>
    </w:p>
    <w:p w14:paraId="157DF6BD" w14:textId="77777777" w:rsidR="000C1132" w:rsidRPr="008F7BA9" w:rsidRDefault="000C1132" w:rsidP="008F7BA9">
      <w:pPr>
        <w:jc w:val="both"/>
        <w:rPr>
          <w:rFonts w:ascii="Arial" w:hAnsi="Arial" w:cs="Arial"/>
          <w:color w:val="808080" w:themeColor="background1" w:themeShade="80"/>
          <w:sz w:val="22"/>
          <w:szCs w:val="22"/>
          <w:lang w:val="en-001"/>
        </w:rPr>
      </w:pPr>
    </w:p>
    <w:p w14:paraId="703729DF" w14:textId="77777777" w:rsidR="007E40F0" w:rsidRPr="008F7BA9" w:rsidRDefault="007E40F0" w:rsidP="002A37BB">
      <w:pPr>
        <w:ind w:left="720" w:hanging="720"/>
        <w:jc w:val="both"/>
        <w:rPr>
          <w:rFonts w:ascii="Arial" w:hAnsi="Arial" w:cs="Arial"/>
          <w:color w:val="808080" w:themeColor="background1" w:themeShade="80"/>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lastRenderedPageBreak/>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390FDD25" w14:textId="06E3D1E4" w:rsidR="00DF75F8" w:rsidRPr="000C1132" w:rsidRDefault="000C1132" w:rsidP="002A37BB">
      <w:pPr>
        <w:jc w:val="both"/>
        <w:rPr>
          <w:rFonts w:ascii="Arial" w:hAnsi="Arial" w:cs="Arial"/>
          <w:color w:val="808080" w:themeColor="background1" w:themeShade="80"/>
          <w:sz w:val="22"/>
          <w:szCs w:val="22"/>
          <w:lang w:val="en-001"/>
        </w:rPr>
      </w:pPr>
      <w:r>
        <w:rPr>
          <w:rFonts w:ascii="Arial" w:hAnsi="Arial" w:cs="Arial"/>
          <w:color w:val="7B7B7B" w:themeColor="accent3" w:themeShade="BF"/>
          <w:sz w:val="22"/>
          <w:szCs w:val="22"/>
          <w:lang w:val="en-001"/>
        </w:rPr>
        <w:t xml:space="preserve">Section 94(1) of the IRDA provides for a new voluntary process to initiate judicial </w:t>
      </w:r>
      <w:r w:rsidRPr="000C1132">
        <w:rPr>
          <w:rFonts w:ascii="Arial" w:hAnsi="Arial" w:cs="Arial"/>
          <w:color w:val="808080" w:themeColor="background1" w:themeShade="80"/>
          <w:sz w:val="22"/>
          <w:szCs w:val="22"/>
          <w:lang w:val="en-001"/>
        </w:rPr>
        <w:t>management without having to apply to Court given the following conditions:</w:t>
      </w:r>
    </w:p>
    <w:p w14:paraId="6CF7C096" w14:textId="3246438B" w:rsidR="000C1132" w:rsidRPr="000C1132" w:rsidRDefault="000C1132" w:rsidP="000C1132">
      <w:pPr>
        <w:pStyle w:val="ListParagraph"/>
        <w:numPr>
          <w:ilvl w:val="0"/>
          <w:numId w:val="23"/>
        </w:numPr>
        <w:jc w:val="both"/>
        <w:rPr>
          <w:rFonts w:ascii="Arial" w:hAnsi="Arial" w:cs="Arial"/>
          <w:color w:val="808080" w:themeColor="background1" w:themeShade="80"/>
          <w:sz w:val="22"/>
          <w:szCs w:val="22"/>
          <w:lang w:val="en-001"/>
        </w:rPr>
      </w:pPr>
      <w:r w:rsidRPr="000C1132">
        <w:rPr>
          <w:rFonts w:ascii="Arial" w:hAnsi="Arial" w:cs="Arial"/>
          <w:color w:val="808080" w:themeColor="background1" w:themeShade="80"/>
          <w:sz w:val="22"/>
          <w:szCs w:val="22"/>
          <w:lang w:val="en-001"/>
        </w:rPr>
        <w:t>The company is or is likely to become, unable to pay its debts;</w:t>
      </w:r>
    </w:p>
    <w:p w14:paraId="4C99EDA8" w14:textId="33D56F21" w:rsidR="000C1132" w:rsidRPr="000C1132" w:rsidRDefault="000C1132" w:rsidP="000C1132">
      <w:pPr>
        <w:pStyle w:val="ListParagraph"/>
        <w:numPr>
          <w:ilvl w:val="0"/>
          <w:numId w:val="23"/>
        </w:numPr>
        <w:jc w:val="both"/>
        <w:rPr>
          <w:rFonts w:ascii="Arial" w:hAnsi="Arial" w:cs="Arial"/>
          <w:color w:val="808080" w:themeColor="background1" w:themeShade="80"/>
          <w:sz w:val="22"/>
          <w:szCs w:val="22"/>
          <w:lang w:val="en-001"/>
        </w:rPr>
      </w:pPr>
      <w:r w:rsidRPr="000C1132">
        <w:rPr>
          <w:rFonts w:ascii="Arial" w:hAnsi="Arial" w:cs="Arial"/>
          <w:color w:val="808080" w:themeColor="background1" w:themeShade="80"/>
          <w:sz w:val="22"/>
          <w:szCs w:val="22"/>
          <w:lang w:val="en-001"/>
        </w:rPr>
        <w:t xml:space="preserve">There is a reasonable probability that this process could achieve one or more of the purposes of judicial management mentioned in section 89(1); and </w:t>
      </w:r>
    </w:p>
    <w:p w14:paraId="1E1507AD" w14:textId="134D7235" w:rsidR="000C1132" w:rsidRPr="000C1132" w:rsidRDefault="000C1132" w:rsidP="000C1132">
      <w:pPr>
        <w:pStyle w:val="ListParagraph"/>
        <w:numPr>
          <w:ilvl w:val="0"/>
          <w:numId w:val="23"/>
        </w:numPr>
        <w:jc w:val="both"/>
        <w:rPr>
          <w:rFonts w:ascii="Arial" w:hAnsi="Arial" w:cs="Arial"/>
          <w:color w:val="808080" w:themeColor="background1" w:themeShade="80"/>
          <w:sz w:val="22"/>
          <w:szCs w:val="22"/>
          <w:lang w:val="en-001"/>
        </w:rPr>
      </w:pPr>
      <w:r w:rsidRPr="000C1132">
        <w:rPr>
          <w:rFonts w:ascii="Arial" w:hAnsi="Arial" w:cs="Arial"/>
          <w:color w:val="808080" w:themeColor="background1" w:themeShade="80"/>
          <w:sz w:val="22"/>
          <w:szCs w:val="22"/>
          <w:lang w:val="en-001"/>
        </w:rPr>
        <w:t>A resolution of the company’s creditors is obtained.</w:t>
      </w:r>
    </w:p>
    <w:p w14:paraId="30A3B314" w14:textId="391FF5A3" w:rsidR="007E40F0" w:rsidRDefault="007E40F0" w:rsidP="00087F21">
      <w:pPr>
        <w:jc w:val="both"/>
        <w:rPr>
          <w:rFonts w:ascii="Arial" w:hAnsi="Arial" w:cs="Arial"/>
          <w:bCs/>
          <w:color w:val="808080" w:themeColor="background1" w:themeShade="80"/>
          <w:sz w:val="22"/>
          <w:szCs w:val="22"/>
          <w:lang w:val="en-GB"/>
        </w:rPr>
      </w:pPr>
    </w:p>
    <w:p w14:paraId="1A1F33FA" w14:textId="14932040" w:rsidR="00AC6814" w:rsidRDefault="00AC6814" w:rsidP="00087F21">
      <w:pPr>
        <w:jc w:val="both"/>
        <w:rPr>
          <w:rFonts w:ascii="Arial" w:hAnsi="Arial" w:cs="Arial"/>
          <w:bCs/>
          <w:color w:val="808080" w:themeColor="background1" w:themeShade="80"/>
          <w:sz w:val="22"/>
          <w:szCs w:val="22"/>
          <w:lang w:val="en-001"/>
        </w:rPr>
      </w:pPr>
      <w:r>
        <w:rPr>
          <w:rFonts w:ascii="Arial" w:hAnsi="Arial" w:cs="Arial"/>
          <w:bCs/>
          <w:color w:val="808080" w:themeColor="background1" w:themeShade="80"/>
          <w:sz w:val="22"/>
          <w:szCs w:val="22"/>
          <w:lang w:val="en-001"/>
        </w:rPr>
        <w:t>A company must give at least seven days’ written notice in the prescribed form regarding its intention to appoint an interim judicial manager to the proposed interim judicial manager and to any person who has appointed or may be entitled to appoint a receiver and manager of the company’s property (under the terms of any debentures if subject to a charge).</w:t>
      </w:r>
    </w:p>
    <w:p w14:paraId="6B490480" w14:textId="6B3E86C0" w:rsidR="00AC6814" w:rsidRDefault="00AC6814" w:rsidP="00087F21">
      <w:pPr>
        <w:jc w:val="both"/>
        <w:rPr>
          <w:rFonts w:ascii="Arial" w:hAnsi="Arial" w:cs="Arial"/>
          <w:bCs/>
          <w:color w:val="808080" w:themeColor="background1" w:themeShade="80"/>
          <w:sz w:val="22"/>
          <w:szCs w:val="22"/>
          <w:lang w:val="en-001"/>
        </w:rPr>
      </w:pPr>
    </w:p>
    <w:p w14:paraId="58C47573" w14:textId="67D00F2D" w:rsidR="00AC6814" w:rsidRDefault="00AC6814" w:rsidP="00087F21">
      <w:pPr>
        <w:jc w:val="both"/>
        <w:rPr>
          <w:rFonts w:ascii="Arial" w:hAnsi="Arial" w:cs="Arial"/>
          <w:bCs/>
          <w:color w:val="808080" w:themeColor="background1" w:themeShade="80"/>
          <w:sz w:val="22"/>
          <w:szCs w:val="22"/>
          <w:lang w:val="en-001"/>
        </w:rPr>
      </w:pPr>
      <w:r>
        <w:rPr>
          <w:rFonts w:ascii="Arial" w:hAnsi="Arial" w:cs="Arial"/>
          <w:bCs/>
          <w:color w:val="808080" w:themeColor="background1" w:themeShade="80"/>
          <w:sz w:val="22"/>
          <w:szCs w:val="22"/>
          <w:lang w:val="en-001"/>
        </w:rPr>
        <w:t xml:space="preserve">A company may appoint an interim judicial manager under </w:t>
      </w:r>
      <w:r w:rsidR="003A7451">
        <w:rPr>
          <w:rFonts w:ascii="Arial" w:hAnsi="Arial" w:cs="Arial"/>
          <w:bCs/>
          <w:color w:val="808080" w:themeColor="background1" w:themeShade="80"/>
          <w:sz w:val="22"/>
          <w:szCs w:val="22"/>
          <w:lang w:val="en-001"/>
        </w:rPr>
        <w:t>section</w:t>
      </w:r>
      <w:r>
        <w:rPr>
          <w:rFonts w:ascii="Arial" w:hAnsi="Arial" w:cs="Arial"/>
          <w:bCs/>
          <w:color w:val="808080" w:themeColor="background1" w:themeShade="80"/>
          <w:sz w:val="22"/>
          <w:szCs w:val="22"/>
          <w:lang w:val="en-001"/>
        </w:rPr>
        <w:t xml:space="preserve"> 94</w:t>
      </w:r>
      <w:r w:rsidR="003A7451">
        <w:rPr>
          <w:rFonts w:ascii="Arial" w:hAnsi="Arial" w:cs="Arial"/>
          <w:bCs/>
          <w:color w:val="808080" w:themeColor="background1" w:themeShade="80"/>
          <w:sz w:val="22"/>
          <w:szCs w:val="22"/>
          <w:lang w:val="en-001"/>
        </w:rPr>
        <w:t>(3)</w:t>
      </w:r>
      <w:r>
        <w:rPr>
          <w:rFonts w:ascii="Arial" w:hAnsi="Arial" w:cs="Arial"/>
          <w:bCs/>
          <w:color w:val="808080" w:themeColor="background1" w:themeShade="80"/>
          <w:sz w:val="22"/>
          <w:szCs w:val="22"/>
          <w:lang w:val="en-001"/>
        </w:rPr>
        <w:t xml:space="preserve"> of the IRDA if all of the following conditions are met:</w:t>
      </w:r>
    </w:p>
    <w:p w14:paraId="01575561" w14:textId="15CB7989" w:rsidR="00AC6814" w:rsidRDefault="003A7451" w:rsidP="00AC6814">
      <w:pPr>
        <w:pStyle w:val="ListParagraph"/>
        <w:numPr>
          <w:ilvl w:val="0"/>
          <w:numId w:val="24"/>
        </w:numPr>
        <w:jc w:val="both"/>
        <w:rPr>
          <w:rFonts w:ascii="Arial" w:hAnsi="Arial" w:cs="Arial"/>
          <w:bCs/>
          <w:color w:val="808080" w:themeColor="background1" w:themeShade="80"/>
          <w:sz w:val="22"/>
          <w:szCs w:val="22"/>
          <w:lang w:val="en-001"/>
        </w:rPr>
      </w:pPr>
      <w:r>
        <w:rPr>
          <w:rFonts w:ascii="Arial" w:hAnsi="Arial" w:cs="Arial"/>
          <w:bCs/>
          <w:color w:val="808080" w:themeColor="background1" w:themeShade="80"/>
          <w:sz w:val="22"/>
          <w:szCs w:val="22"/>
          <w:lang w:val="en-001"/>
        </w:rPr>
        <w:t>The appointment is authorised by way of a resolution of the company’s members (or its board of directors if authorised in the company’s constitution);</w:t>
      </w:r>
    </w:p>
    <w:p w14:paraId="3A023E42" w14:textId="23A6500D" w:rsidR="003A7451" w:rsidRDefault="003A7451" w:rsidP="00AC6814">
      <w:pPr>
        <w:pStyle w:val="ListParagraph"/>
        <w:numPr>
          <w:ilvl w:val="0"/>
          <w:numId w:val="24"/>
        </w:numPr>
        <w:jc w:val="both"/>
        <w:rPr>
          <w:rFonts w:ascii="Arial" w:hAnsi="Arial" w:cs="Arial"/>
          <w:bCs/>
          <w:color w:val="808080" w:themeColor="background1" w:themeShade="80"/>
          <w:sz w:val="22"/>
          <w:szCs w:val="22"/>
          <w:lang w:val="en-001"/>
        </w:rPr>
      </w:pPr>
      <w:r>
        <w:rPr>
          <w:rFonts w:ascii="Arial" w:hAnsi="Arial" w:cs="Arial"/>
          <w:bCs/>
          <w:color w:val="808080" w:themeColor="background1" w:themeShade="80"/>
          <w:sz w:val="22"/>
          <w:szCs w:val="22"/>
          <w:lang w:val="en-001"/>
        </w:rPr>
        <w:t>The seven day notice period described above has expired;</w:t>
      </w:r>
    </w:p>
    <w:p w14:paraId="3E59CD94" w14:textId="7E47F7EA" w:rsidR="003A7451" w:rsidRDefault="003A7451" w:rsidP="00AC6814">
      <w:pPr>
        <w:pStyle w:val="ListParagraph"/>
        <w:numPr>
          <w:ilvl w:val="0"/>
          <w:numId w:val="24"/>
        </w:numPr>
        <w:jc w:val="both"/>
        <w:rPr>
          <w:rFonts w:ascii="Arial" w:hAnsi="Arial" w:cs="Arial"/>
          <w:bCs/>
          <w:color w:val="808080" w:themeColor="background1" w:themeShade="80"/>
          <w:sz w:val="22"/>
          <w:szCs w:val="22"/>
          <w:lang w:val="en-001"/>
        </w:rPr>
      </w:pPr>
      <w:r>
        <w:rPr>
          <w:rFonts w:ascii="Arial" w:hAnsi="Arial" w:cs="Arial"/>
          <w:bCs/>
          <w:color w:val="808080" w:themeColor="background1" w:themeShade="80"/>
          <w:sz w:val="22"/>
          <w:szCs w:val="22"/>
          <w:lang w:val="en-001"/>
        </w:rPr>
        <w:t>Not more than 21 days have passed since the seven day notice period expired;</w:t>
      </w:r>
    </w:p>
    <w:p w14:paraId="29FEC565" w14:textId="57356D54" w:rsidR="003A7451" w:rsidRDefault="003A7451" w:rsidP="00AC6814">
      <w:pPr>
        <w:pStyle w:val="ListParagraph"/>
        <w:numPr>
          <w:ilvl w:val="0"/>
          <w:numId w:val="24"/>
        </w:numPr>
        <w:jc w:val="both"/>
        <w:rPr>
          <w:rFonts w:ascii="Arial" w:hAnsi="Arial" w:cs="Arial"/>
          <w:bCs/>
          <w:color w:val="808080" w:themeColor="background1" w:themeShade="80"/>
          <w:sz w:val="22"/>
          <w:szCs w:val="22"/>
          <w:lang w:val="en-001"/>
        </w:rPr>
      </w:pPr>
      <w:r>
        <w:rPr>
          <w:rFonts w:ascii="Arial" w:hAnsi="Arial" w:cs="Arial"/>
          <w:bCs/>
          <w:color w:val="808080" w:themeColor="background1" w:themeShade="80"/>
          <w:sz w:val="22"/>
          <w:szCs w:val="22"/>
          <w:lang w:val="en-001"/>
        </w:rPr>
        <w:t xml:space="preserve">All persons who received the written notice consented in writing to the appointment of the interim judicial manager; </w:t>
      </w:r>
    </w:p>
    <w:p w14:paraId="37B023BB" w14:textId="36A0212C" w:rsidR="003A7451" w:rsidRDefault="003A7451" w:rsidP="00AC6814">
      <w:pPr>
        <w:pStyle w:val="ListParagraph"/>
        <w:numPr>
          <w:ilvl w:val="0"/>
          <w:numId w:val="24"/>
        </w:numPr>
        <w:jc w:val="both"/>
        <w:rPr>
          <w:rFonts w:ascii="Arial" w:hAnsi="Arial" w:cs="Arial"/>
          <w:bCs/>
          <w:color w:val="808080" w:themeColor="background1" w:themeShade="80"/>
          <w:sz w:val="22"/>
          <w:szCs w:val="22"/>
          <w:lang w:val="en-001"/>
        </w:rPr>
      </w:pPr>
      <w:r>
        <w:rPr>
          <w:rFonts w:ascii="Arial" w:hAnsi="Arial" w:cs="Arial"/>
          <w:bCs/>
          <w:color w:val="808080" w:themeColor="background1" w:themeShade="80"/>
          <w:sz w:val="22"/>
          <w:szCs w:val="22"/>
          <w:lang w:val="en-001"/>
        </w:rPr>
        <w:t>The proposed interim judicial manager has lodged a statutory declaration with the Official Receiver and the Registrar of Companies that states:</w:t>
      </w:r>
    </w:p>
    <w:p w14:paraId="38255799" w14:textId="54DBAA66" w:rsidR="003A7451" w:rsidRDefault="003A7451" w:rsidP="003A7451">
      <w:pPr>
        <w:pStyle w:val="ListParagraph"/>
        <w:numPr>
          <w:ilvl w:val="1"/>
          <w:numId w:val="24"/>
        </w:numPr>
        <w:jc w:val="both"/>
        <w:rPr>
          <w:rFonts w:ascii="Arial" w:hAnsi="Arial" w:cs="Arial"/>
          <w:bCs/>
          <w:color w:val="808080" w:themeColor="background1" w:themeShade="80"/>
          <w:sz w:val="22"/>
          <w:szCs w:val="22"/>
          <w:lang w:val="en-001"/>
        </w:rPr>
      </w:pPr>
      <w:r>
        <w:rPr>
          <w:rFonts w:ascii="Arial" w:hAnsi="Arial" w:cs="Arial"/>
          <w:bCs/>
          <w:color w:val="808080" w:themeColor="background1" w:themeShade="80"/>
          <w:sz w:val="22"/>
          <w:szCs w:val="22"/>
          <w:lang w:val="en-001"/>
        </w:rPr>
        <w:t xml:space="preserve">He does not have a conflict of interest; </w:t>
      </w:r>
    </w:p>
    <w:p w14:paraId="3CF2FBAC" w14:textId="34DA985A" w:rsidR="003A7451" w:rsidRDefault="003A7451" w:rsidP="003A7451">
      <w:pPr>
        <w:pStyle w:val="ListParagraph"/>
        <w:numPr>
          <w:ilvl w:val="1"/>
          <w:numId w:val="24"/>
        </w:numPr>
        <w:jc w:val="both"/>
        <w:rPr>
          <w:rFonts w:ascii="Arial" w:hAnsi="Arial" w:cs="Arial"/>
          <w:bCs/>
          <w:color w:val="808080" w:themeColor="background1" w:themeShade="80"/>
          <w:sz w:val="22"/>
          <w:szCs w:val="22"/>
          <w:lang w:val="en-001"/>
        </w:rPr>
      </w:pPr>
      <w:r>
        <w:rPr>
          <w:rFonts w:ascii="Arial" w:hAnsi="Arial" w:cs="Arial"/>
          <w:bCs/>
          <w:color w:val="808080" w:themeColor="background1" w:themeShade="80"/>
          <w:sz w:val="22"/>
          <w:szCs w:val="22"/>
          <w:lang w:val="en-001"/>
        </w:rPr>
        <w:t>In his view, one or more purposes of judicial management set out in section 89(1) can be achieved; and</w:t>
      </w:r>
    </w:p>
    <w:p w14:paraId="41138252" w14:textId="0E335988" w:rsidR="003A7451" w:rsidRDefault="003A7451" w:rsidP="003A7451">
      <w:pPr>
        <w:pStyle w:val="ListParagraph"/>
        <w:numPr>
          <w:ilvl w:val="1"/>
          <w:numId w:val="24"/>
        </w:numPr>
        <w:jc w:val="both"/>
        <w:rPr>
          <w:rFonts w:ascii="Arial" w:hAnsi="Arial" w:cs="Arial"/>
          <w:bCs/>
          <w:color w:val="808080" w:themeColor="background1" w:themeShade="80"/>
          <w:sz w:val="22"/>
          <w:szCs w:val="22"/>
          <w:lang w:val="en-001"/>
        </w:rPr>
      </w:pPr>
      <w:r>
        <w:rPr>
          <w:rFonts w:ascii="Arial" w:hAnsi="Arial" w:cs="Arial"/>
          <w:bCs/>
          <w:color w:val="808080" w:themeColor="background1" w:themeShade="80"/>
          <w:sz w:val="22"/>
          <w:szCs w:val="22"/>
          <w:lang w:val="en-001"/>
        </w:rPr>
        <w:t>He provides his consent to be appointed.</w:t>
      </w:r>
    </w:p>
    <w:p w14:paraId="62FE6DB4" w14:textId="3BF13807" w:rsidR="003A7451" w:rsidRDefault="003A7451" w:rsidP="003A7451">
      <w:pPr>
        <w:pStyle w:val="ListParagraph"/>
        <w:numPr>
          <w:ilvl w:val="0"/>
          <w:numId w:val="24"/>
        </w:numPr>
        <w:jc w:val="both"/>
        <w:rPr>
          <w:rFonts w:ascii="Arial" w:hAnsi="Arial" w:cs="Arial"/>
          <w:bCs/>
          <w:color w:val="808080" w:themeColor="background1" w:themeShade="80"/>
          <w:sz w:val="22"/>
          <w:szCs w:val="22"/>
          <w:lang w:val="en-001"/>
        </w:rPr>
      </w:pPr>
      <w:r>
        <w:rPr>
          <w:rFonts w:ascii="Arial" w:hAnsi="Arial" w:cs="Arial"/>
          <w:bCs/>
          <w:color w:val="808080" w:themeColor="background1" w:themeShade="80"/>
          <w:sz w:val="22"/>
          <w:szCs w:val="22"/>
          <w:lang w:val="en-001"/>
        </w:rPr>
        <w:t>The company’s directors have lodged with the Registrar of Companies a statutory declaration stating:</w:t>
      </w:r>
    </w:p>
    <w:p w14:paraId="2F8CA575" w14:textId="517EE680" w:rsidR="003A7451" w:rsidRDefault="003A7451" w:rsidP="003A7451">
      <w:pPr>
        <w:pStyle w:val="ListParagraph"/>
        <w:numPr>
          <w:ilvl w:val="1"/>
          <w:numId w:val="24"/>
        </w:numPr>
        <w:jc w:val="both"/>
        <w:rPr>
          <w:rFonts w:ascii="Arial" w:hAnsi="Arial" w:cs="Arial"/>
          <w:color w:val="808080" w:themeColor="background1" w:themeShade="80"/>
          <w:sz w:val="22"/>
          <w:szCs w:val="22"/>
          <w:lang w:val="en-001"/>
        </w:rPr>
      </w:pPr>
      <w:r w:rsidRPr="000C1132">
        <w:rPr>
          <w:rFonts w:ascii="Arial" w:hAnsi="Arial" w:cs="Arial"/>
          <w:color w:val="808080" w:themeColor="background1" w:themeShade="80"/>
          <w:sz w:val="22"/>
          <w:szCs w:val="22"/>
          <w:lang w:val="en-001"/>
        </w:rPr>
        <w:t>The company is or is likely to become, unable to pay its debts;</w:t>
      </w:r>
    </w:p>
    <w:p w14:paraId="0C5D9CDC" w14:textId="343A4714" w:rsidR="003A7451" w:rsidRDefault="003A7451" w:rsidP="003A7451">
      <w:pPr>
        <w:pStyle w:val="ListParagraph"/>
        <w:numPr>
          <w:ilvl w:val="1"/>
          <w:numId w:val="24"/>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The company will convene a creditors’ meeting within 30 days from when the statutory declaration was lodged; and</w:t>
      </w:r>
    </w:p>
    <w:p w14:paraId="2A9DAF1C" w14:textId="0186A200" w:rsidR="003A7451" w:rsidRPr="003A7451" w:rsidRDefault="003A7451" w:rsidP="003A7451">
      <w:pPr>
        <w:pStyle w:val="ListParagraph"/>
        <w:numPr>
          <w:ilvl w:val="1"/>
          <w:numId w:val="24"/>
        </w:numPr>
        <w:jc w:val="both"/>
        <w:rPr>
          <w:rFonts w:ascii="Arial" w:hAnsi="Arial" w:cs="Arial"/>
          <w:color w:val="808080" w:themeColor="background1" w:themeShade="80"/>
          <w:sz w:val="22"/>
          <w:szCs w:val="22"/>
          <w:lang w:val="en-001"/>
        </w:rPr>
      </w:pPr>
      <w:r>
        <w:rPr>
          <w:rFonts w:ascii="Arial" w:hAnsi="Arial" w:cs="Arial"/>
          <w:bCs/>
          <w:color w:val="808080" w:themeColor="background1" w:themeShade="80"/>
          <w:sz w:val="22"/>
          <w:szCs w:val="22"/>
          <w:lang w:val="en-001"/>
        </w:rPr>
        <w:t>The directors view that one or more purposes of judicial management set out in section 89(1) can be achieved.</w:t>
      </w:r>
    </w:p>
    <w:p w14:paraId="250198DE" w14:textId="5F796561" w:rsidR="003A7451" w:rsidRPr="000C1132" w:rsidRDefault="003A7451" w:rsidP="003A7451">
      <w:pPr>
        <w:pStyle w:val="ListParagraph"/>
        <w:numPr>
          <w:ilvl w:val="0"/>
          <w:numId w:val="24"/>
        </w:numPr>
        <w:jc w:val="both"/>
        <w:rPr>
          <w:rFonts w:ascii="Arial" w:hAnsi="Arial" w:cs="Arial"/>
          <w:color w:val="808080" w:themeColor="background1" w:themeShade="80"/>
          <w:sz w:val="22"/>
          <w:szCs w:val="22"/>
          <w:lang w:val="en-001"/>
        </w:rPr>
      </w:pPr>
      <w:r>
        <w:rPr>
          <w:rFonts w:ascii="Arial" w:hAnsi="Arial" w:cs="Arial"/>
          <w:bCs/>
          <w:color w:val="808080" w:themeColor="background1" w:themeShade="80"/>
          <w:sz w:val="22"/>
          <w:szCs w:val="22"/>
          <w:lang w:val="en-001"/>
        </w:rPr>
        <w:t>The proposed interim judicial manager is a licensed insolvency practitioner and is not an auditor of the company.</w:t>
      </w:r>
    </w:p>
    <w:p w14:paraId="65326B04" w14:textId="4F331247" w:rsidR="000C1132" w:rsidRDefault="000C1132" w:rsidP="00087F21">
      <w:pPr>
        <w:jc w:val="both"/>
        <w:rPr>
          <w:rFonts w:ascii="Arial" w:hAnsi="Arial" w:cs="Arial"/>
          <w:bCs/>
          <w:color w:val="808080" w:themeColor="background1" w:themeShade="80"/>
          <w:sz w:val="22"/>
          <w:szCs w:val="22"/>
          <w:lang w:val="en-GB"/>
        </w:rPr>
      </w:pPr>
    </w:p>
    <w:p w14:paraId="7551180A" w14:textId="03080AEB" w:rsidR="003A7451" w:rsidRDefault="003A7451" w:rsidP="00087F21">
      <w:pPr>
        <w:jc w:val="both"/>
        <w:rPr>
          <w:rFonts w:ascii="Arial" w:hAnsi="Arial" w:cs="Arial"/>
          <w:bCs/>
          <w:color w:val="808080" w:themeColor="background1" w:themeShade="80"/>
          <w:sz w:val="22"/>
          <w:szCs w:val="22"/>
          <w:lang w:val="en-001"/>
        </w:rPr>
      </w:pPr>
      <w:r>
        <w:rPr>
          <w:rFonts w:ascii="Arial" w:hAnsi="Arial" w:cs="Arial"/>
          <w:bCs/>
          <w:color w:val="808080" w:themeColor="background1" w:themeShade="80"/>
          <w:sz w:val="22"/>
          <w:szCs w:val="22"/>
          <w:lang w:val="en-001"/>
        </w:rPr>
        <w:t>Regarding the creditors’ meeting (discussed above) held no later than 30 days after the date the statutory declaration was lodged, the company must:</w:t>
      </w:r>
    </w:p>
    <w:p w14:paraId="63DE4DEB" w14:textId="1633AB88" w:rsidR="003A7451" w:rsidRDefault="003A7451" w:rsidP="003A7451">
      <w:pPr>
        <w:pStyle w:val="ListParagraph"/>
        <w:numPr>
          <w:ilvl w:val="0"/>
          <w:numId w:val="25"/>
        </w:numPr>
        <w:jc w:val="both"/>
        <w:rPr>
          <w:rFonts w:ascii="Arial" w:hAnsi="Arial" w:cs="Arial"/>
          <w:bCs/>
          <w:color w:val="808080" w:themeColor="background1" w:themeShade="80"/>
          <w:sz w:val="22"/>
          <w:szCs w:val="22"/>
          <w:lang w:val="en-001"/>
        </w:rPr>
      </w:pPr>
      <w:r>
        <w:rPr>
          <w:rFonts w:ascii="Arial" w:hAnsi="Arial" w:cs="Arial"/>
          <w:bCs/>
          <w:color w:val="808080" w:themeColor="background1" w:themeShade="80"/>
          <w:sz w:val="22"/>
          <w:szCs w:val="22"/>
          <w:lang w:val="en-001"/>
        </w:rPr>
        <w:t>Provide at least 14 days of written notice to the company’s creditors along with:</w:t>
      </w:r>
    </w:p>
    <w:p w14:paraId="57482FC3" w14:textId="03C36A52" w:rsidR="003A7451" w:rsidRDefault="003A7451" w:rsidP="003A7451">
      <w:pPr>
        <w:pStyle w:val="ListParagraph"/>
        <w:numPr>
          <w:ilvl w:val="1"/>
          <w:numId w:val="25"/>
        </w:numPr>
        <w:jc w:val="both"/>
        <w:rPr>
          <w:rFonts w:ascii="Arial" w:hAnsi="Arial" w:cs="Arial"/>
          <w:bCs/>
          <w:color w:val="808080" w:themeColor="background1" w:themeShade="80"/>
          <w:sz w:val="22"/>
          <w:szCs w:val="22"/>
          <w:lang w:val="en-001"/>
        </w:rPr>
      </w:pPr>
      <w:r>
        <w:rPr>
          <w:rFonts w:ascii="Arial" w:hAnsi="Arial" w:cs="Arial"/>
          <w:bCs/>
          <w:color w:val="808080" w:themeColor="background1" w:themeShade="80"/>
          <w:sz w:val="22"/>
          <w:szCs w:val="22"/>
          <w:lang w:val="en-001"/>
        </w:rPr>
        <w:t xml:space="preserve">A statement listing the names and amount of claims of all creditors; and </w:t>
      </w:r>
    </w:p>
    <w:p w14:paraId="7AD28D33" w14:textId="4D093DB7" w:rsidR="003A7451" w:rsidRDefault="003A7451" w:rsidP="003A7451">
      <w:pPr>
        <w:pStyle w:val="ListParagraph"/>
        <w:numPr>
          <w:ilvl w:val="1"/>
          <w:numId w:val="25"/>
        </w:numPr>
        <w:jc w:val="both"/>
        <w:rPr>
          <w:rFonts w:ascii="Arial" w:hAnsi="Arial" w:cs="Arial"/>
          <w:bCs/>
          <w:color w:val="808080" w:themeColor="background1" w:themeShade="80"/>
          <w:sz w:val="22"/>
          <w:szCs w:val="22"/>
          <w:lang w:val="en-001"/>
        </w:rPr>
      </w:pPr>
      <w:r>
        <w:rPr>
          <w:rFonts w:ascii="Arial" w:hAnsi="Arial" w:cs="Arial"/>
          <w:bCs/>
          <w:color w:val="808080" w:themeColor="background1" w:themeShade="80"/>
          <w:sz w:val="22"/>
          <w:szCs w:val="22"/>
          <w:lang w:val="en-001"/>
        </w:rPr>
        <w:t>A full statement of the company’s affairs (along with valuations of the company’s assets).</w:t>
      </w:r>
    </w:p>
    <w:p w14:paraId="76916DBE" w14:textId="7BFBA45E" w:rsidR="003A7451" w:rsidRDefault="003A7451" w:rsidP="003A7451">
      <w:pPr>
        <w:pStyle w:val="ListParagraph"/>
        <w:numPr>
          <w:ilvl w:val="0"/>
          <w:numId w:val="25"/>
        </w:numPr>
        <w:jc w:val="both"/>
        <w:rPr>
          <w:rFonts w:ascii="Arial" w:hAnsi="Arial" w:cs="Arial"/>
          <w:bCs/>
          <w:color w:val="808080" w:themeColor="background1" w:themeShade="80"/>
          <w:sz w:val="22"/>
          <w:szCs w:val="22"/>
          <w:lang w:val="en-001"/>
        </w:rPr>
      </w:pPr>
      <w:r>
        <w:rPr>
          <w:rFonts w:ascii="Arial" w:hAnsi="Arial" w:cs="Arial"/>
          <w:bCs/>
          <w:color w:val="808080" w:themeColor="background1" w:themeShade="80"/>
          <w:sz w:val="22"/>
          <w:szCs w:val="22"/>
          <w:lang w:val="en-001"/>
        </w:rPr>
        <w:t>Cause notice of the credit</w:t>
      </w:r>
      <w:r w:rsidR="00FF6115">
        <w:rPr>
          <w:rFonts w:ascii="Arial" w:hAnsi="Arial" w:cs="Arial"/>
          <w:bCs/>
          <w:color w:val="808080" w:themeColor="background1" w:themeShade="80"/>
          <w:sz w:val="22"/>
          <w:szCs w:val="22"/>
          <w:lang w:val="en-001"/>
        </w:rPr>
        <w:t>ors’ meeting to be published at least 10 days before the meeting is held in an English local daily newspapers.</w:t>
      </w:r>
    </w:p>
    <w:p w14:paraId="7FDD96D4" w14:textId="338CCEBB" w:rsidR="00FF6115" w:rsidRDefault="00FF6115" w:rsidP="00FF6115">
      <w:pPr>
        <w:jc w:val="both"/>
        <w:rPr>
          <w:rFonts w:ascii="Arial" w:hAnsi="Arial" w:cs="Arial"/>
          <w:bCs/>
          <w:color w:val="808080" w:themeColor="background1" w:themeShade="80"/>
          <w:sz w:val="22"/>
          <w:szCs w:val="22"/>
          <w:lang w:val="en-001"/>
        </w:rPr>
      </w:pPr>
    </w:p>
    <w:p w14:paraId="3BE3B0FA" w14:textId="23A627EF" w:rsidR="00FF6115" w:rsidRPr="00FF6115" w:rsidRDefault="00FF6115" w:rsidP="00FF6115">
      <w:pPr>
        <w:jc w:val="both"/>
        <w:rPr>
          <w:rFonts w:ascii="Arial" w:hAnsi="Arial" w:cs="Arial"/>
          <w:bCs/>
          <w:color w:val="808080" w:themeColor="background1" w:themeShade="80"/>
          <w:sz w:val="22"/>
          <w:szCs w:val="22"/>
          <w:lang w:val="en-001"/>
        </w:rPr>
      </w:pPr>
      <w:r>
        <w:rPr>
          <w:rFonts w:ascii="Arial" w:hAnsi="Arial" w:cs="Arial"/>
          <w:bCs/>
          <w:color w:val="808080" w:themeColor="background1" w:themeShade="80"/>
          <w:sz w:val="22"/>
          <w:szCs w:val="22"/>
          <w:lang w:val="en-001"/>
        </w:rPr>
        <w:t xml:space="preserve">A key difference in the voluntary judicial management process and the Court-led judicial management process is that the voluntary process (out-of-court) is much less expensive and can have results accomplished on a quicker timeline than a Court-led process. Also, judicial management order will be discharged after 180 days unless extended by the court, whilst </w:t>
      </w:r>
      <w:r>
        <w:rPr>
          <w:rFonts w:ascii="Arial" w:hAnsi="Arial" w:cs="Arial"/>
          <w:bCs/>
          <w:color w:val="808080" w:themeColor="background1" w:themeShade="80"/>
          <w:sz w:val="22"/>
          <w:szCs w:val="22"/>
          <w:lang w:val="en-001"/>
        </w:rPr>
        <w:lastRenderedPageBreak/>
        <w:t xml:space="preserve">there is no such similar regulation with regards to the Voluntary Judicial Management application. </w:t>
      </w: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lastRenderedPageBreak/>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60D55860" w14:textId="208DEFB5" w:rsidR="00384F62" w:rsidRDefault="00072D81" w:rsidP="00384F62">
      <w:pPr>
        <w:jc w:val="both"/>
        <w:rPr>
          <w:rFonts w:ascii="Arial" w:hAnsi="Arial" w:cs="Arial"/>
          <w:sz w:val="22"/>
          <w:szCs w:val="22"/>
          <w:lang w:val="en-GB"/>
        </w:rPr>
      </w:pPr>
      <w:r>
        <w:rPr>
          <w:rFonts w:ascii="Arial" w:hAnsi="Arial" w:cs="Arial"/>
          <w:color w:val="7B7B7B" w:themeColor="accent3" w:themeShade="BF"/>
          <w:sz w:val="22"/>
          <w:szCs w:val="22"/>
          <w:lang w:val="en-001"/>
        </w:rPr>
        <w:t xml:space="preserve">To obtain moratorium protection under section 64(1) IRDA, the </w:t>
      </w:r>
      <w:r w:rsidR="00151E99">
        <w:rPr>
          <w:rFonts w:ascii="Arial" w:hAnsi="Arial" w:cs="Arial"/>
          <w:color w:val="7B7B7B" w:themeColor="accent3" w:themeShade="BF"/>
          <w:sz w:val="22"/>
          <w:szCs w:val="22"/>
          <w:lang w:val="en-001"/>
        </w:rPr>
        <w:t>company</w:t>
      </w:r>
      <w:r>
        <w:rPr>
          <w:rFonts w:ascii="Arial" w:hAnsi="Arial" w:cs="Arial"/>
          <w:color w:val="7B7B7B" w:themeColor="accent3" w:themeShade="BF"/>
          <w:sz w:val="22"/>
          <w:szCs w:val="22"/>
          <w:lang w:val="en-001"/>
        </w:rPr>
        <w:t xml:space="preserve"> must file an application for entry into a scheme of arrangement which will trigger an automatic moratorium period for 30 days after the date the application is made.</w:t>
      </w:r>
      <w:r w:rsidR="00151E99">
        <w:rPr>
          <w:rFonts w:ascii="Arial" w:hAnsi="Arial" w:cs="Arial"/>
          <w:color w:val="7B7B7B" w:themeColor="accent3" w:themeShade="BF"/>
          <w:sz w:val="22"/>
          <w:szCs w:val="22"/>
          <w:lang w:val="en-001"/>
        </w:rPr>
        <w:t xml:space="preserve"> This moratorium can be extended as the Court sees fit. Depending on the Court’s discretion, the Court may order the company to submit additional financial information to enable creditors to properly assess the feasibility of the scheme including asset valuations, details on the disposal of the company’s property, and profitability documents.</w:t>
      </w: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3CFEFA95" w14:textId="6B01560D" w:rsidR="00384F62" w:rsidRDefault="00151E99" w:rsidP="00151E99">
      <w:pPr>
        <w:jc w:val="both"/>
        <w:rPr>
          <w:rFonts w:ascii="Arial" w:hAnsi="Arial" w:cs="Arial"/>
          <w:color w:val="808080" w:themeColor="background1" w:themeShade="80"/>
          <w:sz w:val="22"/>
          <w:szCs w:val="22"/>
          <w:lang w:val="en-001"/>
        </w:rPr>
      </w:pPr>
      <w:r>
        <w:rPr>
          <w:rFonts w:ascii="Arial" w:hAnsi="Arial" w:cs="Arial"/>
          <w:color w:val="7B7B7B" w:themeColor="accent3" w:themeShade="BF"/>
          <w:sz w:val="22"/>
          <w:szCs w:val="22"/>
          <w:lang w:val="en-001"/>
        </w:rPr>
        <w:t xml:space="preserve">Section 65(1) of IRDA provides guidance to the application which can be made to the Court by a company’s subsidiary or related company which is seen to be integral to the scheme of arrangement proposed by the company. The related company or subsidiary may only make </w:t>
      </w:r>
      <w:r w:rsidRPr="00151E99">
        <w:rPr>
          <w:rFonts w:ascii="Arial" w:hAnsi="Arial" w:cs="Arial"/>
          <w:color w:val="808080" w:themeColor="background1" w:themeShade="80"/>
          <w:sz w:val="22"/>
          <w:szCs w:val="22"/>
          <w:lang w:val="en-001"/>
        </w:rPr>
        <w:t>the application if all of the below conditions are satisfied:</w:t>
      </w:r>
    </w:p>
    <w:p w14:paraId="2D4F1714" w14:textId="77777777" w:rsidR="00151E99" w:rsidRPr="00151E99" w:rsidRDefault="00151E99" w:rsidP="00151E99">
      <w:pPr>
        <w:jc w:val="both"/>
        <w:rPr>
          <w:rFonts w:ascii="Arial" w:hAnsi="Arial" w:cs="Arial"/>
          <w:color w:val="808080" w:themeColor="background1" w:themeShade="80"/>
          <w:sz w:val="22"/>
          <w:szCs w:val="22"/>
          <w:lang w:val="en-001"/>
        </w:rPr>
      </w:pPr>
    </w:p>
    <w:p w14:paraId="74626508" w14:textId="06E8B39F" w:rsidR="00151E99" w:rsidRPr="00151E99" w:rsidRDefault="00151E99" w:rsidP="00151E99">
      <w:pPr>
        <w:pStyle w:val="ListParagraph"/>
        <w:numPr>
          <w:ilvl w:val="0"/>
          <w:numId w:val="26"/>
        </w:numPr>
        <w:jc w:val="both"/>
        <w:rPr>
          <w:rFonts w:ascii="Arial" w:hAnsi="Arial" w:cs="Arial"/>
          <w:color w:val="808080" w:themeColor="background1" w:themeShade="80"/>
          <w:sz w:val="22"/>
          <w:szCs w:val="22"/>
          <w:lang w:val="en-001"/>
        </w:rPr>
      </w:pPr>
      <w:r w:rsidRPr="00151E99">
        <w:rPr>
          <w:rFonts w:ascii="Arial" w:hAnsi="Arial" w:cs="Arial"/>
          <w:color w:val="808080" w:themeColor="background1" w:themeShade="80"/>
          <w:sz w:val="22"/>
          <w:szCs w:val="22"/>
          <w:lang w:val="en-001"/>
        </w:rPr>
        <w:t>No order has been made and no resolution has been passed for the winding up of the related company;</w:t>
      </w:r>
    </w:p>
    <w:p w14:paraId="283F7F67" w14:textId="500609CB" w:rsidR="00151E99" w:rsidRPr="00151E99" w:rsidRDefault="00151E99" w:rsidP="00151E99">
      <w:pPr>
        <w:pStyle w:val="ListParagraph"/>
        <w:numPr>
          <w:ilvl w:val="0"/>
          <w:numId w:val="26"/>
        </w:numPr>
        <w:jc w:val="both"/>
        <w:rPr>
          <w:rFonts w:ascii="Arial" w:hAnsi="Arial" w:cs="Arial"/>
          <w:color w:val="808080" w:themeColor="background1" w:themeShade="80"/>
          <w:sz w:val="22"/>
          <w:szCs w:val="22"/>
          <w:lang w:val="en-001"/>
        </w:rPr>
      </w:pPr>
      <w:r w:rsidRPr="00151E99">
        <w:rPr>
          <w:rFonts w:ascii="Arial" w:hAnsi="Arial" w:cs="Arial"/>
          <w:color w:val="808080" w:themeColor="background1" w:themeShade="80"/>
          <w:sz w:val="22"/>
          <w:szCs w:val="22"/>
          <w:lang w:val="en-001"/>
        </w:rPr>
        <w:t>There must be an order granted by the Court under section 64(1) regarding the company;</w:t>
      </w:r>
    </w:p>
    <w:p w14:paraId="12B2833F" w14:textId="675DF956" w:rsidR="00151E99" w:rsidRPr="00151E99" w:rsidRDefault="00151E99" w:rsidP="00151E99">
      <w:pPr>
        <w:pStyle w:val="ListParagraph"/>
        <w:numPr>
          <w:ilvl w:val="0"/>
          <w:numId w:val="26"/>
        </w:numPr>
        <w:jc w:val="both"/>
        <w:rPr>
          <w:rFonts w:ascii="Arial" w:hAnsi="Arial" w:cs="Arial"/>
          <w:color w:val="808080" w:themeColor="background1" w:themeShade="80"/>
          <w:sz w:val="22"/>
          <w:szCs w:val="22"/>
          <w:lang w:val="en-001"/>
        </w:rPr>
      </w:pPr>
      <w:r w:rsidRPr="00151E99">
        <w:rPr>
          <w:rFonts w:ascii="Arial" w:hAnsi="Arial" w:cs="Arial"/>
          <w:color w:val="808080" w:themeColor="background1" w:themeShade="80"/>
          <w:sz w:val="22"/>
          <w:szCs w:val="22"/>
          <w:lang w:val="en-001"/>
        </w:rPr>
        <w:t>The related company is integral to the scheme;</w:t>
      </w:r>
    </w:p>
    <w:p w14:paraId="1B334ABC" w14:textId="29EB8A75" w:rsidR="00151E99" w:rsidRPr="00151E99" w:rsidRDefault="00151E99" w:rsidP="00151E99">
      <w:pPr>
        <w:pStyle w:val="ListParagraph"/>
        <w:numPr>
          <w:ilvl w:val="0"/>
          <w:numId w:val="26"/>
        </w:numPr>
        <w:jc w:val="both"/>
        <w:rPr>
          <w:rFonts w:ascii="Arial" w:hAnsi="Arial" w:cs="Arial"/>
          <w:color w:val="808080" w:themeColor="background1" w:themeShade="80"/>
          <w:sz w:val="22"/>
          <w:szCs w:val="22"/>
          <w:lang w:val="en-001"/>
        </w:rPr>
      </w:pPr>
      <w:r w:rsidRPr="00151E99">
        <w:rPr>
          <w:rFonts w:ascii="Arial" w:hAnsi="Arial" w:cs="Arial"/>
          <w:color w:val="808080" w:themeColor="background1" w:themeShade="80"/>
          <w:sz w:val="22"/>
          <w:szCs w:val="22"/>
          <w:lang w:val="en-001"/>
        </w:rPr>
        <w:t>The scheme will be hindered if the related company is restrained by the said scheme; and</w:t>
      </w:r>
    </w:p>
    <w:p w14:paraId="78507B82" w14:textId="46DF1E23" w:rsidR="00151E99" w:rsidRPr="00151E99" w:rsidRDefault="00151E99" w:rsidP="00151E99">
      <w:pPr>
        <w:pStyle w:val="ListParagraph"/>
        <w:numPr>
          <w:ilvl w:val="0"/>
          <w:numId w:val="26"/>
        </w:numPr>
        <w:jc w:val="both"/>
        <w:rPr>
          <w:rFonts w:ascii="Arial" w:hAnsi="Arial" w:cs="Arial"/>
          <w:color w:val="808080" w:themeColor="background1" w:themeShade="80"/>
          <w:sz w:val="22"/>
          <w:szCs w:val="22"/>
          <w:lang w:val="en-001"/>
        </w:rPr>
      </w:pPr>
      <w:r w:rsidRPr="00151E99">
        <w:rPr>
          <w:rFonts w:ascii="Arial" w:hAnsi="Arial" w:cs="Arial"/>
          <w:color w:val="808080" w:themeColor="background1" w:themeShade="80"/>
          <w:sz w:val="22"/>
          <w:szCs w:val="22"/>
          <w:lang w:val="en-001"/>
        </w:rPr>
        <w:t>The Court is satisfied that the creditors of the related company will not be unfairly prejudiced by the order granted under section 65(1).</w:t>
      </w:r>
    </w:p>
    <w:p w14:paraId="073CA7D3" w14:textId="4C2B7FB2"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6729A5CF" w14:textId="70F05A8C" w:rsidR="00384F62" w:rsidRPr="00151E99" w:rsidRDefault="00D1652D" w:rsidP="00D1652D">
      <w:pPr>
        <w:jc w:val="both"/>
        <w:rPr>
          <w:rFonts w:ascii="Arial" w:hAnsi="Arial" w:cs="Arial"/>
          <w:sz w:val="22"/>
          <w:szCs w:val="22"/>
          <w:lang w:val="en-001"/>
        </w:rPr>
      </w:pPr>
      <w:r>
        <w:rPr>
          <w:rFonts w:ascii="Arial" w:hAnsi="Arial" w:cs="Arial"/>
          <w:color w:val="7B7B7B" w:themeColor="accent3" w:themeShade="BF"/>
          <w:sz w:val="22"/>
          <w:szCs w:val="22"/>
          <w:lang w:val="en-001"/>
        </w:rPr>
        <w:t xml:space="preserve">The regime set forth in section 64 of the IRDA provides for an automatic moratorium for 30 days upon the filing of an application with the Court. This moratoria is to have extra territorial effect. Specifically, it is noted in section 64(5)(b) that an order granted by the Court can be </w:t>
      </w:r>
      <w:r>
        <w:rPr>
          <w:rFonts w:ascii="Arial" w:hAnsi="Arial" w:cs="Arial"/>
          <w:color w:val="7B7B7B" w:themeColor="accent3" w:themeShade="BF"/>
          <w:sz w:val="22"/>
          <w:szCs w:val="22"/>
          <w:lang w:val="en-001"/>
        </w:rPr>
        <w:lastRenderedPageBreak/>
        <w:t>expressed to apply to any act of any person in Singapore or within the jurisdic5tion of the Court, whether the act takes place in Singapore or elsewhere, as it relates to the creditors and acts imposed upon by the moratoria.</w:t>
      </w:r>
    </w:p>
    <w:p w14:paraId="6F9CA317" w14:textId="77777777" w:rsidR="00384F62" w:rsidRPr="00384F62" w:rsidRDefault="00384F62" w:rsidP="00384F62">
      <w:pPr>
        <w:jc w:val="both"/>
        <w:rPr>
          <w:rFonts w:ascii="Arial" w:hAnsi="Arial" w:cs="Arial"/>
          <w:sz w:val="22"/>
          <w:szCs w:val="22"/>
          <w:lang w:val="en-GB"/>
        </w:rPr>
      </w:pPr>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3146E797" w14:textId="6480E8CB" w:rsidR="00384F62" w:rsidRDefault="006224BE" w:rsidP="006224BE">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Under section 210 of the Companies Act, if a </w:t>
      </w:r>
      <w:r w:rsidR="00D1652D">
        <w:rPr>
          <w:rFonts w:ascii="Arial" w:hAnsi="Arial" w:cs="Arial"/>
          <w:color w:val="7B7B7B" w:themeColor="accent3" w:themeShade="BF"/>
          <w:sz w:val="22"/>
          <w:szCs w:val="22"/>
          <w:lang w:val="en-001"/>
        </w:rPr>
        <w:t xml:space="preserve">scheme is </w:t>
      </w:r>
      <w:r>
        <w:rPr>
          <w:rFonts w:ascii="Arial" w:hAnsi="Arial" w:cs="Arial"/>
          <w:color w:val="7B7B7B" w:themeColor="accent3" w:themeShade="BF"/>
          <w:sz w:val="22"/>
          <w:szCs w:val="22"/>
          <w:lang w:val="en-001"/>
        </w:rPr>
        <w:t xml:space="preserve">proposed between a company and its relevant stakeholders, the Court may order a meeting of the liquidator (if the company is being wound up), the company and any creditor, member or holder of shares in the company. A resolution to adjourn the meeting can be passed if </w:t>
      </w:r>
      <w:r w:rsidR="00D1652D">
        <w:rPr>
          <w:rFonts w:ascii="Arial" w:hAnsi="Arial" w:cs="Arial"/>
          <w:color w:val="7B7B7B" w:themeColor="accent3" w:themeShade="BF"/>
          <w:sz w:val="22"/>
          <w:szCs w:val="22"/>
          <w:lang w:val="en-001"/>
        </w:rPr>
        <w:t xml:space="preserve">approved by a majority in number representing 75% or more in value of the </w:t>
      </w:r>
      <w:r>
        <w:rPr>
          <w:rFonts w:ascii="Arial" w:hAnsi="Arial" w:cs="Arial"/>
          <w:color w:val="7B7B7B" w:themeColor="accent3" w:themeShade="BF"/>
          <w:sz w:val="22"/>
          <w:szCs w:val="22"/>
          <w:lang w:val="en-001"/>
        </w:rPr>
        <w:t xml:space="preserve">company’s stakeholder present and voting. </w:t>
      </w:r>
    </w:p>
    <w:p w14:paraId="406F8D49" w14:textId="128C05AF" w:rsidR="006224BE" w:rsidRDefault="006224BE" w:rsidP="006224BE">
      <w:pPr>
        <w:jc w:val="both"/>
        <w:rPr>
          <w:rFonts w:ascii="Arial" w:hAnsi="Arial" w:cs="Arial"/>
          <w:color w:val="7B7B7B" w:themeColor="accent3" w:themeShade="BF"/>
          <w:sz w:val="22"/>
          <w:szCs w:val="22"/>
          <w:lang w:val="en-001"/>
        </w:rPr>
      </w:pPr>
    </w:p>
    <w:p w14:paraId="20C2CE16" w14:textId="2D180FAD" w:rsidR="006224BE" w:rsidRDefault="006224BE" w:rsidP="006224BE">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If the compromise is approved by a majority in number and 75% or more in value of the creditors and shareholders present and voting at the meeting</w:t>
      </w:r>
      <w:r w:rsidR="007B7160">
        <w:rPr>
          <w:rFonts w:ascii="Arial" w:hAnsi="Arial" w:cs="Arial"/>
          <w:color w:val="7B7B7B" w:themeColor="accent3" w:themeShade="BF"/>
          <w:sz w:val="22"/>
          <w:szCs w:val="22"/>
          <w:lang w:val="en-001"/>
        </w:rPr>
        <w:t xml:space="preserve">, the scheme is approved by order of the Court. </w:t>
      </w:r>
    </w:p>
    <w:p w14:paraId="0F1E1BF2" w14:textId="1122B9F4" w:rsidR="007B7160" w:rsidRDefault="007B7160" w:rsidP="006224BE">
      <w:pPr>
        <w:jc w:val="both"/>
        <w:rPr>
          <w:rFonts w:ascii="Arial" w:hAnsi="Arial" w:cs="Arial"/>
          <w:color w:val="7B7B7B" w:themeColor="accent3" w:themeShade="BF"/>
          <w:sz w:val="22"/>
          <w:szCs w:val="22"/>
          <w:lang w:val="en-001"/>
        </w:rPr>
      </w:pPr>
    </w:p>
    <w:p w14:paraId="7C449177" w14:textId="67E57B72" w:rsidR="007B7160" w:rsidRDefault="007B7160" w:rsidP="006224BE">
      <w:pPr>
        <w:jc w:val="both"/>
        <w:rPr>
          <w:rFonts w:ascii="Arial" w:hAnsi="Arial" w:cs="Arial"/>
          <w:color w:val="808080" w:themeColor="background1" w:themeShade="80"/>
          <w:sz w:val="22"/>
          <w:szCs w:val="22"/>
          <w:lang w:val="en-001"/>
        </w:rPr>
      </w:pPr>
      <w:r>
        <w:rPr>
          <w:rFonts w:ascii="Arial" w:hAnsi="Arial" w:cs="Arial"/>
          <w:color w:val="7B7B7B" w:themeColor="accent3" w:themeShade="BF"/>
          <w:sz w:val="22"/>
          <w:szCs w:val="22"/>
          <w:lang w:val="en-001"/>
        </w:rPr>
        <w:t>In contrast, section 71(1) of the IRDA provides for the Court to order the approval of a</w:t>
      </w:r>
      <w:r w:rsidR="008F76B2">
        <w:rPr>
          <w:rFonts w:ascii="Arial" w:hAnsi="Arial" w:cs="Arial"/>
          <w:color w:val="7B7B7B" w:themeColor="accent3" w:themeShade="BF"/>
          <w:sz w:val="22"/>
          <w:szCs w:val="22"/>
          <w:lang w:val="en-001"/>
        </w:rPr>
        <w:t xml:space="preserve"> “pre-pack”</w:t>
      </w:r>
      <w:r>
        <w:rPr>
          <w:rFonts w:ascii="Arial" w:hAnsi="Arial" w:cs="Arial"/>
          <w:color w:val="7B7B7B" w:themeColor="accent3" w:themeShade="BF"/>
          <w:sz w:val="22"/>
          <w:szCs w:val="22"/>
          <w:lang w:val="en-001"/>
        </w:rPr>
        <w:t xml:space="preserve"> scheme proposed by the company even without the convening of a meeting of creditors which would normally be ordered under section 210(1) of the Companies Act. The Court can only approve a scheme (without a meeting of the company’s creditors held) if the company has </w:t>
      </w:r>
      <w:r w:rsidRPr="008F76B2">
        <w:rPr>
          <w:rFonts w:ascii="Arial" w:hAnsi="Arial" w:cs="Arial"/>
          <w:color w:val="808080" w:themeColor="background1" w:themeShade="80"/>
          <w:sz w:val="22"/>
          <w:szCs w:val="22"/>
          <w:lang w:val="en-001"/>
        </w:rPr>
        <w:t>provided a statement to each creditor that contains the following information:</w:t>
      </w:r>
    </w:p>
    <w:p w14:paraId="69BDA9A4" w14:textId="77777777" w:rsidR="008F76B2" w:rsidRPr="008F76B2" w:rsidRDefault="008F76B2" w:rsidP="006224BE">
      <w:pPr>
        <w:jc w:val="both"/>
        <w:rPr>
          <w:rFonts w:ascii="Arial" w:hAnsi="Arial" w:cs="Arial"/>
          <w:color w:val="808080" w:themeColor="background1" w:themeShade="80"/>
          <w:sz w:val="22"/>
          <w:szCs w:val="22"/>
          <w:lang w:val="en-001"/>
        </w:rPr>
      </w:pPr>
    </w:p>
    <w:p w14:paraId="4C4C4130" w14:textId="159E80B5" w:rsidR="007B7160" w:rsidRPr="008F76B2" w:rsidRDefault="007B7160" w:rsidP="007B7160">
      <w:pPr>
        <w:pStyle w:val="ListParagraph"/>
        <w:numPr>
          <w:ilvl w:val="0"/>
          <w:numId w:val="27"/>
        </w:numPr>
        <w:jc w:val="both"/>
        <w:rPr>
          <w:rFonts w:ascii="Arial" w:hAnsi="Arial" w:cs="Arial"/>
          <w:color w:val="808080" w:themeColor="background1" w:themeShade="80"/>
          <w:sz w:val="22"/>
          <w:szCs w:val="22"/>
          <w:lang w:val="en-001"/>
        </w:rPr>
      </w:pPr>
      <w:r w:rsidRPr="008F76B2">
        <w:rPr>
          <w:rFonts w:ascii="Arial" w:hAnsi="Arial" w:cs="Arial"/>
          <w:color w:val="808080" w:themeColor="background1" w:themeShade="80"/>
          <w:sz w:val="22"/>
          <w:szCs w:val="22"/>
          <w:lang w:val="en-001"/>
        </w:rPr>
        <w:t xml:space="preserve">Details concerning the company’s property, assets, business activities, financial condition and prospects; </w:t>
      </w:r>
    </w:p>
    <w:p w14:paraId="7CBC68A8" w14:textId="2C5F1311" w:rsidR="007B7160" w:rsidRDefault="007B7160" w:rsidP="007B7160">
      <w:pPr>
        <w:pStyle w:val="ListParagraph"/>
        <w:numPr>
          <w:ilvl w:val="0"/>
          <w:numId w:val="27"/>
        </w:numPr>
        <w:jc w:val="both"/>
        <w:rPr>
          <w:rFonts w:ascii="Arial" w:hAnsi="Arial" w:cs="Arial"/>
          <w:color w:val="808080" w:themeColor="background1" w:themeShade="80"/>
          <w:sz w:val="22"/>
          <w:szCs w:val="22"/>
          <w:lang w:val="en-001"/>
        </w:rPr>
      </w:pPr>
      <w:r w:rsidRPr="008F76B2">
        <w:rPr>
          <w:rFonts w:ascii="Arial" w:hAnsi="Arial" w:cs="Arial"/>
          <w:color w:val="808080" w:themeColor="background1" w:themeShade="80"/>
          <w:sz w:val="22"/>
          <w:szCs w:val="22"/>
          <w:lang w:val="en-001"/>
        </w:rPr>
        <w:t>Details on the manner in which the terms of the scheme will affect the rights of the creditor</w:t>
      </w:r>
      <w:r w:rsidR="008F76B2" w:rsidRPr="008F76B2">
        <w:rPr>
          <w:rFonts w:ascii="Arial" w:hAnsi="Arial" w:cs="Arial"/>
          <w:color w:val="808080" w:themeColor="background1" w:themeShade="80"/>
          <w:sz w:val="22"/>
          <w:szCs w:val="22"/>
          <w:lang w:val="en-001"/>
        </w:rPr>
        <w:t xml:space="preserve">; </w:t>
      </w:r>
    </w:p>
    <w:p w14:paraId="566B3470" w14:textId="43C04E40" w:rsidR="008F76B2" w:rsidRPr="008F76B2" w:rsidRDefault="008F76B2" w:rsidP="007B7160">
      <w:pPr>
        <w:pStyle w:val="ListParagraph"/>
        <w:numPr>
          <w:ilvl w:val="0"/>
          <w:numId w:val="27"/>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Details regarding any material interests of the directors of the company and the effect that the compromise has on those interests; and</w:t>
      </w:r>
    </w:p>
    <w:p w14:paraId="787DE80F" w14:textId="40369A5F" w:rsidR="008F76B2" w:rsidRPr="008F76B2" w:rsidRDefault="008F76B2" w:rsidP="007B7160">
      <w:pPr>
        <w:pStyle w:val="ListParagraph"/>
        <w:numPr>
          <w:ilvl w:val="0"/>
          <w:numId w:val="27"/>
        </w:numPr>
        <w:jc w:val="both"/>
        <w:rPr>
          <w:rFonts w:ascii="Arial" w:hAnsi="Arial" w:cs="Arial"/>
          <w:color w:val="808080" w:themeColor="background1" w:themeShade="80"/>
          <w:sz w:val="22"/>
          <w:szCs w:val="22"/>
          <w:lang w:val="en-001"/>
        </w:rPr>
      </w:pPr>
      <w:r w:rsidRPr="008F76B2">
        <w:rPr>
          <w:rFonts w:ascii="Arial" w:hAnsi="Arial" w:cs="Arial"/>
          <w:color w:val="808080" w:themeColor="background1" w:themeShade="80"/>
          <w:sz w:val="22"/>
          <w:szCs w:val="22"/>
          <w:lang w:val="en-001"/>
        </w:rPr>
        <w:t>Details as necessary to enable the creditor to make an informed decision on the proposed compromise.</w:t>
      </w:r>
    </w:p>
    <w:p w14:paraId="7980D658" w14:textId="4B26C86C" w:rsidR="008F76B2" w:rsidRPr="008F76B2" w:rsidRDefault="008F76B2" w:rsidP="008F76B2">
      <w:pPr>
        <w:jc w:val="both"/>
        <w:rPr>
          <w:rFonts w:ascii="Arial" w:hAnsi="Arial" w:cs="Arial"/>
          <w:color w:val="808080" w:themeColor="background1" w:themeShade="80"/>
          <w:sz w:val="22"/>
          <w:szCs w:val="22"/>
          <w:lang w:val="en-001"/>
        </w:rPr>
      </w:pPr>
    </w:p>
    <w:p w14:paraId="29E3A3E3" w14:textId="4582E6D1" w:rsidR="008F76B2" w:rsidRPr="008F76B2" w:rsidRDefault="008F76B2" w:rsidP="008F76B2">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lastRenderedPageBreak/>
        <w:t>The Court also cannot approve the compromise unless it is satisfied that, had a creditors meeting been summoned, the conditions set out in section 210 (3AB) would have been satisfied.</w:t>
      </w:r>
    </w:p>
    <w:p w14:paraId="64BC1D01" w14:textId="77777777" w:rsidR="00384F62" w:rsidRPr="008F76B2" w:rsidRDefault="00384F62" w:rsidP="00384F62">
      <w:pPr>
        <w:jc w:val="both"/>
        <w:rPr>
          <w:rFonts w:ascii="Arial" w:hAnsi="Arial" w:cs="Arial"/>
          <w:color w:val="808080" w:themeColor="background1" w:themeShade="80"/>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23674BCC" w14:textId="38F23EEB" w:rsidR="00384F62" w:rsidRPr="00621D8F" w:rsidRDefault="008F76B2" w:rsidP="00384F62">
      <w:pPr>
        <w:jc w:val="both"/>
        <w:rPr>
          <w:rFonts w:ascii="Arial" w:hAnsi="Arial" w:cs="Arial"/>
          <w:sz w:val="22"/>
          <w:szCs w:val="22"/>
          <w:lang w:val="en-GB"/>
        </w:rPr>
      </w:pPr>
      <w:r>
        <w:rPr>
          <w:rFonts w:ascii="Arial" w:hAnsi="Arial" w:cs="Arial"/>
          <w:color w:val="7B7B7B" w:themeColor="accent3" w:themeShade="BF"/>
          <w:sz w:val="22"/>
          <w:szCs w:val="22"/>
          <w:lang w:val="en-001"/>
        </w:rPr>
        <w:t>Rescue financing is defined as financing that is necessary for the survival of the debtor it is provided to or necessary to achieve a better realisation of the debtor’s assets as opposed to a winding-up of the debtor. Rescue financing, as a part of the “debtor-in-possession” regime introduced by IRDA, is provided for in section 64 of the IRDA. Therefore, the Angostura Group should make an application to the Court under section 64</w:t>
      </w:r>
      <w:r w:rsidR="00F45616">
        <w:rPr>
          <w:rFonts w:ascii="Arial" w:hAnsi="Arial" w:cs="Arial"/>
          <w:color w:val="7B7B7B" w:themeColor="accent3" w:themeShade="BF"/>
          <w:sz w:val="22"/>
          <w:szCs w:val="22"/>
          <w:lang w:val="en-001"/>
        </w:rPr>
        <w:t xml:space="preserve"> in relation to a proposed compromise with its creditors. Then, the Angostura Group should make a separate application to the Court for the company to access rescue financing to attempt to ensure its survival. </w:t>
      </w: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4CD39A77" w14:textId="6412F523" w:rsidR="00384F62" w:rsidRDefault="00F45616" w:rsidP="00F45616">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It is noted that Angostura commenced local insolvency proceedings and emergency recognition proceedings in the United States. Singapore adopted the UNCITRAL Model Law on Cross-Border Insolvency (the “</w:t>
      </w:r>
      <w:r>
        <w:rPr>
          <w:rFonts w:ascii="Arial" w:hAnsi="Arial" w:cs="Arial"/>
          <w:b/>
          <w:bCs/>
          <w:color w:val="7B7B7B" w:themeColor="accent3" w:themeShade="BF"/>
          <w:sz w:val="22"/>
          <w:szCs w:val="22"/>
          <w:lang w:val="en-001"/>
        </w:rPr>
        <w:t>Model Law</w:t>
      </w:r>
      <w:r>
        <w:rPr>
          <w:rFonts w:ascii="Arial" w:hAnsi="Arial" w:cs="Arial"/>
          <w:color w:val="7B7B7B" w:themeColor="accent3" w:themeShade="BF"/>
          <w:sz w:val="22"/>
          <w:szCs w:val="22"/>
          <w:lang w:val="en-001"/>
        </w:rPr>
        <w:t xml:space="preserve">”) on 10 March 2017. With the Model Law in place, a foreign representative can apply to the High Court of Singapore for the recognition of foreign proceedings. </w:t>
      </w:r>
      <w:r w:rsidR="008A6669">
        <w:rPr>
          <w:rFonts w:ascii="Arial" w:hAnsi="Arial" w:cs="Arial"/>
          <w:color w:val="7B7B7B" w:themeColor="accent3" w:themeShade="BF"/>
          <w:sz w:val="22"/>
          <w:szCs w:val="22"/>
          <w:lang w:val="en-001"/>
        </w:rPr>
        <w:t xml:space="preserve">Notably the difference of the Model Law adopted in Singapore to the UNCITRAL Model Law is that there is no requirement for reciprocity with the State in which the foreign proceeding is occurring. </w:t>
      </w:r>
    </w:p>
    <w:p w14:paraId="46531908" w14:textId="7CF40F29" w:rsidR="008A6669" w:rsidRDefault="008A6669" w:rsidP="00F45616">
      <w:pPr>
        <w:jc w:val="both"/>
        <w:rPr>
          <w:rFonts w:ascii="Arial" w:hAnsi="Arial" w:cs="Arial"/>
          <w:color w:val="7B7B7B" w:themeColor="accent3" w:themeShade="BF"/>
          <w:sz w:val="22"/>
          <w:szCs w:val="22"/>
          <w:lang w:val="en-001"/>
        </w:rPr>
      </w:pPr>
    </w:p>
    <w:p w14:paraId="39F68E22" w14:textId="0A64F029" w:rsidR="008A6669" w:rsidRPr="00F45616" w:rsidRDefault="008A6669" w:rsidP="00F45616">
      <w:pPr>
        <w:jc w:val="both"/>
        <w:rPr>
          <w:rFonts w:ascii="Arial" w:hAnsi="Arial" w:cs="Arial"/>
          <w:sz w:val="22"/>
          <w:szCs w:val="22"/>
          <w:lang w:val="en-001"/>
        </w:rPr>
      </w:pPr>
      <w:r>
        <w:rPr>
          <w:rFonts w:ascii="Arial" w:hAnsi="Arial" w:cs="Arial"/>
          <w:color w:val="7B7B7B" w:themeColor="accent3" w:themeShade="BF"/>
          <w:sz w:val="22"/>
          <w:szCs w:val="22"/>
          <w:lang w:val="en-001"/>
        </w:rPr>
        <w:t>Singapore courts can recognise foreign insolvencies commenced where the debtor’s centre of main interest is located</w:t>
      </w:r>
      <w:r w:rsidR="00B65B00">
        <w:rPr>
          <w:rFonts w:ascii="Arial" w:hAnsi="Arial" w:cs="Arial"/>
          <w:color w:val="7B7B7B" w:themeColor="accent3" w:themeShade="BF"/>
          <w:sz w:val="22"/>
          <w:szCs w:val="22"/>
          <w:lang w:val="en-001"/>
        </w:rPr>
        <w:t xml:space="preserve">, even if the country is different from where the company was incorporated. </w:t>
      </w:r>
    </w:p>
    <w:p w14:paraId="66D4B224" w14:textId="77777777" w:rsidR="00384F62" w:rsidRPr="004608D4" w:rsidRDefault="00384F62" w:rsidP="00384F62">
      <w:pPr>
        <w:pStyle w:val="BodyText"/>
        <w:rPr>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75C1" w14:textId="77777777" w:rsidR="00127FA2" w:rsidRDefault="00127FA2">
      <w:r>
        <w:separator/>
      </w:r>
    </w:p>
  </w:endnote>
  <w:endnote w:type="continuationSeparator" w:id="0">
    <w:p w14:paraId="61A2D050" w14:textId="77777777" w:rsidR="00127FA2" w:rsidRDefault="0012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4CF4003E" w:rsidR="008569B9" w:rsidRPr="009B4976" w:rsidRDefault="00B92795" w:rsidP="009B4976">
    <w:pPr>
      <w:pStyle w:val="Footer"/>
      <w:ind w:right="360"/>
      <w:rPr>
        <w:rFonts w:ascii="Arial" w:hAnsi="Arial" w:cs="Arial"/>
        <w:sz w:val="18"/>
        <w:szCs w:val="18"/>
        <w:lang w:val="en-GB"/>
      </w:rPr>
    </w:pPr>
    <w:r w:rsidRPr="00B92795">
      <w:rPr>
        <w:rFonts w:ascii="Arial" w:hAnsi="Arial" w:cs="Arial"/>
        <w:sz w:val="18"/>
        <w:szCs w:val="18"/>
        <w:lang w:val="en-GB"/>
      </w:rPr>
      <w:t>202122-529.assessment8E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C644" w14:textId="77777777" w:rsidR="00B92795" w:rsidRDefault="00B92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9A84" w14:textId="77777777" w:rsidR="00127FA2" w:rsidRDefault="00127FA2">
      <w:r>
        <w:separator/>
      </w:r>
    </w:p>
  </w:footnote>
  <w:footnote w:type="continuationSeparator" w:id="0">
    <w:p w14:paraId="56BB24EF" w14:textId="77777777" w:rsidR="00127FA2" w:rsidRDefault="00127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FB0E" w14:textId="77777777" w:rsidR="00B92795" w:rsidRDefault="00B92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4341" w14:textId="77777777" w:rsidR="00B92795" w:rsidRDefault="00B927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A58F" w14:textId="77777777" w:rsidR="00B92795" w:rsidRDefault="00B92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620"/>
    <w:multiLevelType w:val="multilevel"/>
    <w:tmpl w:val="F1DA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372BF"/>
    <w:multiLevelType w:val="hybridMultilevel"/>
    <w:tmpl w:val="AF6EA27C"/>
    <w:lvl w:ilvl="0" w:tplc="1EF61848">
      <w:numFmt w:val="bullet"/>
      <w:lvlText w:val="-"/>
      <w:lvlJc w:val="left"/>
      <w:pPr>
        <w:ind w:left="720" w:hanging="360"/>
      </w:pPr>
      <w:rPr>
        <w:rFonts w:ascii="Arial" w:eastAsia="Times New Roman" w:hAnsi="Arial" w:cs="Aria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551F0"/>
    <w:multiLevelType w:val="hybridMultilevel"/>
    <w:tmpl w:val="2904C15A"/>
    <w:lvl w:ilvl="0" w:tplc="1EF61848">
      <w:numFmt w:val="bullet"/>
      <w:lvlText w:val="-"/>
      <w:lvlJc w:val="left"/>
      <w:pPr>
        <w:ind w:left="720" w:hanging="360"/>
      </w:pPr>
      <w:rPr>
        <w:rFonts w:ascii="Arial" w:eastAsia="Times New Roman" w:hAnsi="Arial" w:cs="Aria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5" w15:restartNumberingAfterBreak="0">
    <w:nsid w:val="1C911AE7"/>
    <w:multiLevelType w:val="hybridMultilevel"/>
    <w:tmpl w:val="75FA53A8"/>
    <w:lvl w:ilvl="0" w:tplc="47862EEC">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7" w15:restartNumberingAfterBreak="0">
    <w:nsid w:val="246D1FE2"/>
    <w:multiLevelType w:val="hybridMultilevel"/>
    <w:tmpl w:val="BD48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9" w15:restartNumberingAfterBreak="0">
    <w:nsid w:val="2CE34A3D"/>
    <w:multiLevelType w:val="hybridMultilevel"/>
    <w:tmpl w:val="783880E6"/>
    <w:lvl w:ilvl="0" w:tplc="1EF61848">
      <w:numFmt w:val="bullet"/>
      <w:lvlText w:val="-"/>
      <w:lvlJc w:val="left"/>
      <w:pPr>
        <w:ind w:left="720" w:hanging="360"/>
      </w:pPr>
      <w:rPr>
        <w:rFonts w:ascii="Arial" w:eastAsia="Times New Roman" w:hAnsi="Arial" w:cs="Aria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4"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252649"/>
    <w:multiLevelType w:val="hybridMultilevel"/>
    <w:tmpl w:val="F08A6910"/>
    <w:lvl w:ilvl="0" w:tplc="47862EEC">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625BE"/>
    <w:multiLevelType w:val="hybridMultilevel"/>
    <w:tmpl w:val="4D06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65C2B"/>
    <w:multiLevelType w:val="hybridMultilevel"/>
    <w:tmpl w:val="3A3C821C"/>
    <w:lvl w:ilvl="0" w:tplc="1EF61848">
      <w:numFmt w:val="bullet"/>
      <w:lvlText w:val="-"/>
      <w:lvlJc w:val="left"/>
      <w:pPr>
        <w:ind w:left="720" w:hanging="360"/>
      </w:pPr>
      <w:rPr>
        <w:rFonts w:ascii="Arial" w:eastAsia="Times New Roman" w:hAnsi="Arial" w:cs="Aria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A37157"/>
    <w:multiLevelType w:val="hybridMultilevel"/>
    <w:tmpl w:val="DF08C93A"/>
    <w:lvl w:ilvl="0" w:tplc="1EF61848">
      <w:numFmt w:val="bullet"/>
      <w:lvlText w:val="-"/>
      <w:lvlJc w:val="left"/>
      <w:pPr>
        <w:ind w:left="720" w:hanging="360"/>
      </w:pPr>
      <w:rPr>
        <w:rFonts w:ascii="Arial" w:eastAsia="Times New Roman" w:hAnsi="Arial" w:cs="Aria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96CF3"/>
    <w:multiLevelType w:val="hybridMultilevel"/>
    <w:tmpl w:val="C85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2"/>
  </w:num>
  <w:num w:numId="5">
    <w:abstractNumId w:val="14"/>
  </w:num>
  <w:num w:numId="6">
    <w:abstractNumId w:val="26"/>
  </w:num>
  <w:num w:numId="7">
    <w:abstractNumId w:val="4"/>
  </w:num>
  <w:num w:numId="8">
    <w:abstractNumId w:val="21"/>
  </w:num>
  <w:num w:numId="9">
    <w:abstractNumId w:val="22"/>
  </w:num>
  <w:num w:numId="10">
    <w:abstractNumId w:val="12"/>
  </w:num>
  <w:num w:numId="11">
    <w:abstractNumId w:val="20"/>
  </w:num>
  <w:num w:numId="12">
    <w:abstractNumId w:val="15"/>
  </w:num>
  <w:num w:numId="13">
    <w:abstractNumId w:val="16"/>
  </w:num>
  <w:num w:numId="14">
    <w:abstractNumId w:val="24"/>
  </w:num>
  <w:num w:numId="15">
    <w:abstractNumId w:val="11"/>
  </w:num>
  <w:num w:numId="16">
    <w:abstractNumId w:val="10"/>
  </w:num>
  <w:num w:numId="17">
    <w:abstractNumId w:val="18"/>
  </w:num>
  <w:num w:numId="18">
    <w:abstractNumId w:val="5"/>
  </w:num>
  <w:num w:numId="19">
    <w:abstractNumId w:val="17"/>
  </w:num>
  <w:num w:numId="20">
    <w:abstractNumId w:val="3"/>
  </w:num>
  <w:num w:numId="21">
    <w:abstractNumId w:val="9"/>
  </w:num>
  <w:num w:numId="22">
    <w:abstractNumId w:val="0"/>
  </w:num>
  <w:num w:numId="23">
    <w:abstractNumId w:val="23"/>
  </w:num>
  <w:num w:numId="24">
    <w:abstractNumId w:val="1"/>
  </w:num>
  <w:num w:numId="25">
    <w:abstractNumId w:val="19"/>
  </w:num>
  <w:num w:numId="26">
    <w:abstractNumId w:val="25"/>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20557"/>
    <w:rsid w:val="000214ED"/>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72D81"/>
    <w:rsid w:val="00082609"/>
    <w:rsid w:val="000851CC"/>
    <w:rsid w:val="00087F21"/>
    <w:rsid w:val="00093BE8"/>
    <w:rsid w:val="000A407B"/>
    <w:rsid w:val="000A68ED"/>
    <w:rsid w:val="000B4074"/>
    <w:rsid w:val="000B5FF1"/>
    <w:rsid w:val="000B609F"/>
    <w:rsid w:val="000C1132"/>
    <w:rsid w:val="000D2BEC"/>
    <w:rsid w:val="000D55A8"/>
    <w:rsid w:val="000E0D36"/>
    <w:rsid w:val="000E1246"/>
    <w:rsid w:val="000E4841"/>
    <w:rsid w:val="000F0B79"/>
    <w:rsid w:val="000F0CF2"/>
    <w:rsid w:val="000F1677"/>
    <w:rsid w:val="000F3D6C"/>
    <w:rsid w:val="00101707"/>
    <w:rsid w:val="00102CC9"/>
    <w:rsid w:val="0010593A"/>
    <w:rsid w:val="0011473D"/>
    <w:rsid w:val="00115C85"/>
    <w:rsid w:val="00123855"/>
    <w:rsid w:val="00124A1B"/>
    <w:rsid w:val="00126A4D"/>
    <w:rsid w:val="00127FA2"/>
    <w:rsid w:val="0013379E"/>
    <w:rsid w:val="0014171F"/>
    <w:rsid w:val="0014622C"/>
    <w:rsid w:val="00151E99"/>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3CAE"/>
    <w:rsid w:val="002311E3"/>
    <w:rsid w:val="002356EA"/>
    <w:rsid w:val="00235D7D"/>
    <w:rsid w:val="00240B0E"/>
    <w:rsid w:val="0024116D"/>
    <w:rsid w:val="00241B44"/>
    <w:rsid w:val="00241FA3"/>
    <w:rsid w:val="00245EFB"/>
    <w:rsid w:val="0024716F"/>
    <w:rsid w:val="00252DC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F9F"/>
    <w:rsid w:val="002B5E34"/>
    <w:rsid w:val="002C13C8"/>
    <w:rsid w:val="002C3547"/>
    <w:rsid w:val="002C72F3"/>
    <w:rsid w:val="002D0021"/>
    <w:rsid w:val="002D0C55"/>
    <w:rsid w:val="002D299D"/>
    <w:rsid w:val="002D3473"/>
    <w:rsid w:val="002E38E2"/>
    <w:rsid w:val="002F1956"/>
    <w:rsid w:val="002F3440"/>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4F62"/>
    <w:rsid w:val="0038533C"/>
    <w:rsid w:val="00386568"/>
    <w:rsid w:val="00390B57"/>
    <w:rsid w:val="00391426"/>
    <w:rsid w:val="003948D5"/>
    <w:rsid w:val="00396821"/>
    <w:rsid w:val="00397D3A"/>
    <w:rsid w:val="003A051E"/>
    <w:rsid w:val="003A7451"/>
    <w:rsid w:val="003B170F"/>
    <w:rsid w:val="003B3C5F"/>
    <w:rsid w:val="003B6014"/>
    <w:rsid w:val="003C4471"/>
    <w:rsid w:val="003D0A6D"/>
    <w:rsid w:val="003D1EF3"/>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7C72"/>
    <w:rsid w:val="00483BC6"/>
    <w:rsid w:val="00491675"/>
    <w:rsid w:val="00493855"/>
    <w:rsid w:val="00494E28"/>
    <w:rsid w:val="00495E79"/>
    <w:rsid w:val="004A2D83"/>
    <w:rsid w:val="004A57DD"/>
    <w:rsid w:val="004A7B51"/>
    <w:rsid w:val="004A7D71"/>
    <w:rsid w:val="004A7EF3"/>
    <w:rsid w:val="004B11FD"/>
    <w:rsid w:val="004B23A2"/>
    <w:rsid w:val="004C294D"/>
    <w:rsid w:val="004D1A5A"/>
    <w:rsid w:val="004D2FFF"/>
    <w:rsid w:val="004D363D"/>
    <w:rsid w:val="004D3721"/>
    <w:rsid w:val="004D64F9"/>
    <w:rsid w:val="004D7749"/>
    <w:rsid w:val="004E30B0"/>
    <w:rsid w:val="004E3A6B"/>
    <w:rsid w:val="004E622C"/>
    <w:rsid w:val="004E6D1C"/>
    <w:rsid w:val="004E7D70"/>
    <w:rsid w:val="004F5DE9"/>
    <w:rsid w:val="004F5FDF"/>
    <w:rsid w:val="004F716A"/>
    <w:rsid w:val="00510B34"/>
    <w:rsid w:val="00513A41"/>
    <w:rsid w:val="005177FE"/>
    <w:rsid w:val="0052263B"/>
    <w:rsid w:val="00524728"/>
    <w:rsid w:val="005312B3"/>
    <w:rsid w:val="00531721"/>
    <w:rsid w:val="005331CA"/>
    <w:rsid w:val="00536D4A"/>
    <w:rsid w:val="00537970"/>
    <w:rsid w:val="00540E3A"/>
    <w:rsid w:val="00544127"/>
    <w:rsid w:val="005463A9"/>
    <w:rsid w:val="00546D65"/>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16DD"/>
    <w:rsid w:val="005D43E0"/>
    <w:rsid w:val="005D58A3"/>
    <w:rsid w:val="005E1B79"/>
    <w:rsid w:val="005E32B3"/>
    <w:rsid w:val="005E6076"/>
    <w:rsid w:val="005E7008"/>
    <w:rsid w:val="005E7EC1"/>
    <w:rsid w:val="005F026D"/>
    <w:rsid w:val="005F2AEA"/>
    <w:rsid w:val="005F2D0B"/>
    <w:rsid w:val="005F4B31"/>
    <w:rsid w:val="00610388"/>
    <w:rsid w:val="00610AC7"/>
    <w:rsid w:val="00612CA5"/>
    <w:rsid w:val="006153EC"/>
    <w:rsid w:val="006155A9"/>
    <w:rsid w:val="00621A17"/>
    <w:rsid w:val="006224BE"/>
    <w:rsid w:val="00622586"/>
    <w:rsid w:val="00627CC9"/>
    <w:rsid w:val="00627E7B"/>
    <w:rsid w:val="006302A0"/>
    <w:rsid w:val="00630542"/>
    <w:rsid w:val="00631DDB"/>
    <w:rsid w:val="00632E44"/>
    <w:rsid w:val="00634622"/>
    <w:rsid w:val="006358BA"/>
    <w:rsid w:val="00636808"/>
    <w:rsid w:val="00641515"/>
    <w:rsid w:val="006452E6"/>
    <w:rsid w:val="00645F3A"/>
    <w:rsid w:val="006532AA"/>
    <w:rsid w:val="00654AF0"/>
    <w:rsid w:val="00654C2F"/>
    <w:rsid w:val="00654C95"/>
    <w:rsid w:val="00657087"/>
    <w:rsid w:val="00661BA6"/>
    <w:rsid w:val="00661D51"/>
    <w:rsid w:val="006639DB"/>
    <w:rsid w:val="006661EF"/>
    <w:rsid w:val="00670CB1"/>
    <w:rsid w:val="00677AEB"/>
    <w:rsid w:val="00680EF2"/>
    <w:rsid w:val="00684441"/>
    <w:rsid w:val="00687A1D"/>
    <w:rsid w:val="00697EA1"/>
    <w:rsid w:val="006A2646"/>
    <w:rsid w:val="006A6530"/>
    <w:rsid w:val="006B435A"/>
    <w:rsid w:val="006B4C64"/>
    <w:rsid w:val="006C03D4"/>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603F5"/>
    <w:rsid w:val="00764DB0"/>
    <w:rsid w:val="0076764D"/>
    <w:rsid w:val="0077498C"/>
    <w:rsid w:val="007809BC"/>
    <w:rsid w:val="00781734"/>
    <w:rsid w:val="007818AF"/>
    <w:rsid w:val="00784128"/>
    <w:rsid w:val="00784A74"/>
    <w:rsid w:val="00784E9B"/>
    <w:rsid w:val="00787521"/>
    <w:rsid w:val="00787BCC"/>
    <w:rsid w:val="00793173"/>
    <w:rsid w:val="00796810"/>
    <w:rsid w:val="007A0F86"/>
    <w:rsid w:val="007A2A33"/>
    <w:rsid w:val="007A50B0"/>
    <w:rsid w:val="007B5C89"/>
    <w:rsid w:val="007B7160"/>
    <w:rsid w:val="007C1FCC"/>
    <w:rsid w:val="007C23F2"/>
    <w:rsid w:val="007C6201"/>
    <w:rsid w:val="007C6CC7"/>
    <w:rsid w:val="007C7036"/>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9B9"/>
    <w:rsid w:val="00856BD4"/>
    <w:rsid w:val="00867701"/>
    <w:rsid w:val="008723F3"/>
    <w:rsid w:val="00876F56"/>
    <w:rsid w:val="00881DE6"/>
    <w:rsid w:val="008837A6"/>
    <w:rsid w:val="0089145D"/>
    <w:rsid w:val="008A4DF2"/>
    <w:rsid w:val="008A6669"/>
    <w:rsid w:val="008A6CFE"/>
    <w:rsid w:val="008B0F78"/>
    <w:rsid w:val="008B155E"/>
    <w:rsid w:val="008B16E7"/>
    <w:rsid w:val="008B5333"/>
    <w:rsid w:val="008B6223"/>
    <w:rsid w:val="008B779D"/>
    <w:rsid w:val="008C66E0"/>
    <w:rsid w:val="008E3339"/>
    <w:rsid w:val="008F20FC"/>
    <w:rsid w:val="008F5FFE"/>
    <w:rsid w:val="008F76B2"/>
    <w:rsid w:val="008F7BA9"/>
    <w:rsid w:val="00905A43"/>
    <w:rsid w:val="00912C79"/>
    <w:rsid w:val="00921B8C"/>
    <w:rsid w:val="00942123"/>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407EF"/>
    <w:rsid w:val="00A46B4C"/>
    <w:rsid w:val="00A5117B"/>
    <w:rsid w:val="00A568A0"/>
    <w:rsid w:val="00A56D34"/>
    <w:rsid w:val="00A57528"/>
    <w:rsid w:val="00A60074"/>
    <w:rsid w:val="00A64900"/>
    <w:rsid w:val="00A6627C"/>
    <w:rsid w:val="00A71019"/>
    <w:rsid w:val="00A81029"/>
    <w:rsid w:val="00A83871"/>
    <w:rsid w:val="00A845F5"/>
    <w:rsid w:val="00A915E4"/>
    <w:rsid w:val="00A92054"/>
    <w:rsid w:val="00A94591"/>
    <w:rsid w:val="00A94F39"/>
    <w:rsid w:val="00A96489"/>
    <w:rsid w:val="00AB124F"/>
    <w:rsid w:val="00AB2425"/>
    <w:rsid w:val="00AB4451"/>
    <w:rsid w:val="00AB6201"/>
    <w:rsid w:val="00AB685C"/>
    <w:rsid w:val="00AB6C2D"/>
    <w:rsid w:val="00AC08F7"/>
    <w:rsid w:val="00AC3839"/>
    <w:rsid w:val="00AC6814"/>
    <w:rsid w:val="00AC7082"/>
    <w:rsid w:val="00AD4BE8"/>
    <w:rsid w:val="00AE2020"/>
    <w:rsid w:val="00AE43E0"/>
    <w:rsid w:val="00AF228E"/>
    <w:rsid w:val="00AF44E3"/>
    <w:rsid w:val="00AF5D9C"/>
    <w:rsid w:val="00B016A8"/>
    <w:rsid w:val="00B14819"/>
    <w:rsid w:val="00B15E2F"/>
    <w:rsid w:val="00B17582"/>
    <w:rsid w:val="00B17AA9"/>
    <w:rsid w:val="00B32DE4"/>
    <w:rsid w:val="00B40EA4"/>
    <w:rsid w:val="00B44713"/>
    <w:rsid w:val="00B44D9A"/>
    <w:rsid w:val="00B50EA0"/>
    <w:rsid w:val="00B51B95"/>
    <w:rsid w:val="00B54D7D"/>
    <w:rsid w:val="00B56103"/>
    <w:rsid w:val="00B64929"/>
    <w:rsid w:val="00B65B00"/>
    <w:rsid w:val="00B736DF"/>
    <w:rsid w:val="00B743D6"/>
    <w:rsid w:val="00B74FBD"/>
    <w:rsid w:val="00B77F46"/>
    <w:rsid w:val="00B81AE8"/>
    <w:rsid w:val="00B82586"/>
    <w:rsid w:val="00B829A3"/>
    <w:rsid w:val="00B86DB1"/>
    <w:rsid w:val="00B87869"/>
    <w:rsid w:val="00B92795"/>
    <w:rsid w:val="00B9639B"/>
    <w:rsid w:val="00BB0F2B"/>
    <w:rsid w:val="00BC2272"/>
    <w:rsid w:val="00BE4FF3"/>
    <w:rsid w:val="00BE5B8E"/>
    <w:rsid w:val="00BE65AA"/>
    <w:rsid w:val="00BF42A8"/>
    <w:rsid w:val="00BF50F7"/>
    <w:rsid w:val="00C02F29"/>
    <w:rsid w:val="00C041E8"/>
    <w:rsid w:val="00C0731E"/>
    <w:rsid w:val="00C17718"/>
    <w:rsid w:val="00C20AFE"/>
    <w:rsid w:val="00C21EB5"/>
    <w:rsid w:val="00C22A25"/>
    <w:rsid w:val="00C2645B"/>
    <w:rsid w:val="00C35671"/>
    <w:rsid w:val="00C35B77"/>
    <w:rsid w:val="00C376EB"/>
    <w:rsid w:val="00C400A3"/>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87FF9"/>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148DC"/>
    <w:rsid w:val="00D1652D"/>
    <w:rsid w:val="00D17FDC"/>
    <w:rsid w:val="00D21D8C"/>
    <w:rsid w:val="00D21F25"/>
    <w:rsid w:val="00D307FA"/>
    <w:rsid w:val="00D415AD"/>
    <w:rsid w:val="00D53719"/>
    <w:rsid w:val="00D63EFD"/>
    <w:rsid w:val="00D65741"/>
    <w:rsid w:val="00D77884"/>
    <w:rsid w:val="00D80DC2"/>
    <w:rsid w:val="00D84752"/>
    <w:rsid w:val="00D86B3B"/>
    <w:rsid w:val="00D8748A"/>
    <w:rsid w:val="00D93196"/>
    <w:rsid w:val="00DA0DC0"/>
    <w:rsid w:val="00DA124D"/>
    <w:rsid w:val="00DB243C"/>
    <w:rsid w:val="00DB482A"/>
    <w:rsid w:val="00DB50FB"/>
    <w:rsid w:val="00DB56F2"/>
    <w:rsid w:val="00DB6EEB"/>
    <w:rsid w:val="00DB6EF5"/>
    <w:rsid w:val="00DC3089"/>
    <w:rsid w:val="00DC4420"/>
    <w:rsid w:val="00DC7761"/>
    <w:rsid w:val="00DD0802"/>
    <w:rsid w:val="00DD2E11"/>
    <w:rsid w:val="00DD7F33"/>
    <w:rsid w:val="00DE03AF"/>
    <w:rsid w:val="00DE0963"/>
    <w:rsid w:val="00DE121C"/>
    <w:rsid w:val="00DE28CA"/>
    <w:rsid w:val="00DE2CD9"/>
    <w:rsid w:val="00DE6633"/>
    <w:rsid w:val="00DF75F8"/>
    <w:rsid w:val="00DF7A3A"/>
    <w:rsid w:val="00E00C00"/>
    <w:rsid w:val="00E07C5A"/>
    <w:rsid w:val="00E15BA9"/>
    <w:rsid w:val="00E23A7A"/>
    <w:rsid w:val="00E26E19"/>
    <w:rsid w:val="00E3041B"/>
    <w:rsid w:val="00E30CC7"/>
    <w:rsid w:val="00E31DF3"/>
    <w:rsid w:val="00E40797"/>
    <w:rsid w:val="00E450A4"/>
    <w:rsid w:val="00E4526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4D44"/>
    <w:rsid w:val="00EB7B75"/>
    <w:rsid w:val="00EC1A1D"/>
    <w:rsid w:val="00EC441F"/>
    <w:rsid w:val="00EC4755"/>
    <w:rsid w:val="00EC6A65"/>
    <w:rsid w:val="00ED0BC4"/>
    <w:rsid w:val="00ED21C1"/>
    <w:rsid w:val="00ED29B3"/>
    <w:rsid w:val="00ED447D"/>
    <w:rsid w:val="00EE030D"/>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45616"/>
    <w:rsid w:val="00F50041"/>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4DD1"/>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115"/>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 w:type="paragraph" w:customStyle="1" w:styleId="paragraph">
    <w:name w:val="paragraph"/>
    <w:basedOn w:val="Normal"/>
    <w:rsid w:val="008F7BA9"/>
    <w:pPr>
      <w:spacing w:before="100" w:beforeAutospacing="1" w:after="100" w:afterAutospacing="1"/>
    </w:pPr>
    <w:rPr>
      <w:rFonts w:ascii="Times New Roman" w:hAnsi="Times New Roman" w:cs="Times New Roman"/>
      <w:sz w:val="24"/>
      <w:lang w:val="en-GB" w:eastAsia="en-GB"/>
    </w:rPr>
  </w:style>
  <w:style w:type="character" w:customStyle="1" w:styleId="normaltextrun">
    <w:name w:val="normaltextrun"/>
    <w:basedOn w:val="DefaultParagraphFont"/>
    <w:rsid w:val="008F7BA9"/>
  </w:style>
  <w:style w:type="character" w:customStyle="1" w:styleId="eop">
    <w:name w:val="eop"/>
    <w:basedOn w:val="DefaultParagraphFont"/>
    <w:rsid w:val="008F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6199">
      <w:bodyDiv w:val="1"/>
      <w:marLeft w:val="0"/>
      <w:marRight w:val="0"/>
      <w:marTop w:val="0"/>
      <w:marBottom w:val="0"/>
      <w:divBdr>
        <w:top w:val="none" w:sz="0" w:space="0" w:color="auto"/>
        <w:left w:val="none" w:sz="0" w:space="0" w:color="auto"/>
        <w:bottom w:val="none" w:sz="0" w:space="0" w:color="auto"/>
        <w:right w:val="none" w:sz="0" w:space="0" w:color="auto"/>
      </w:divBdr>
    </w:div>
    <w:div w:id="2034502251">
      <w:bodyDiv w:val="1"/>
      <w:marLeft w:val="0"/>
      <w:marRight w:val="0"/>
      <w:marTop w:val="0"/>
      <w:marBottom w:val="0"/>
      <w:divBdr>
        <w:top w:val="none" w:sz="0" w:space="0" w:color="auto"/>
        <w:left w:val="none" w:sz="0" w:space="0" w:color="auto"/>
        <w:bottom w:val="none" w:sz="0" w:space="0" w:color="auto"/>
        <w:right w:val="none" w:sz="0" w:space="0" w:color="auto"/>
      </w:divBdr>
      <w:divsChild>
        <w:div w:id="1937858700">
          <w:marLeft w:val="0"/>
          <w:marRight w:val="0"/>
          <w:marTop w:val="0"/>
          <w:marBottom w:val="0"/>
          <w:divBdr>
            <w:top w:val="none" w:sz="0" w:space="0" w:color="auto"/>
            <w:left w:val="none" w:sz="0" w:space="0" w:color="auto"/>
            <w:bottom w:val="none" w:sz="0" w:space="0" w:color="auto"/>
            <w:right w:val="none" w:sz="0" w:space="0" w:color="auto"/>
          </w:divBdr>
        </w:div>
        <w:div w:id="191798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4163</Words>
  <Characters>23733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Reback, Eli</cp:lastModifiedBy>
  <cp:revision>9</cp:revision>
  <dcterms:created xsi:type="dcterms:W3CDTF">2022-02-07T12:35:00Z</dcterms:created>
  <dcterms:modified xsi:type="dcterms:W3CDTF">2022-07-28T16:13:00Z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