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B3DF3" w:rsidRDefault="00A6325B" w:rsidP="006F4751">
      <w:pPr>
        <w:pStyle w:val="ListParagraph"/>
        <w:numPr>
          <w:ilvl w:val="1"/>
          <w:numId w:val="5"/>
        </w:numPr>
        <w:ind w:left="426"/>
        <w:jc w:val="both"/>
        <w:rPr>
          <w:rFonts w:ascii="Arial" w:hAnsi="Arial" w:cs="Arial"/>
          <w:sz w:val="22"/>
          <w:szCs w:val="22"/>
          <w:highlight w:val="yellow"/>
          <w:lang w:val="en-GB"/>
        </w:rPr>
      </w:pPr>
      <w:r w:rsidRPr="00AB3DF3">
        <w:rPr>
          <w:rFonts w:ascii="Arial" w:hAnsi="Arial" w:cs="Arial"/>
          <w:sz w:val="22"/>
          <w:szCs w:val="22"/>
          <w:highlight w:val="yellow"/>
          <w:lang w:val="en-GB"/>
        </w:rPr>
        <w:t>a</w:t>
      </w:r>
      <w:r w:rsidR="00286642" w:rsidRPr="00AB3DF3">
        <w:rPr>
          <w:rFonts w:ascii="Arial" w:hAnsi="Arial" w:cs="Arial"/>
          <w:sz w:val="22"/>
          <w:szCs w:val="22"/>
          <w:highlight w:val="yellow"/>
          <w:lang w:val="en-GB"/>
        </w:rPr>
        <w:t>ny of the above</w:t>
      </w:r>
      <w:r w:rsidRPr="00AB3DF3">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AB3DF3" w:rsidRDefault="005D093D" w:rsidP="009578F6">
      <w:pPr>
        <w:pStyle w:val="ListParagraph"/>
        <w:numPr>
          <w:ilvl w:val="0"/>
          <w:numId w:val="6"/>
        </w:numPr>
        <w:ind w:left="426"/>
        <w:jc w:val="both"/>
        <w:rPr>
          <w:rFonts w:ascii="Arial" w:hAnsi="Arial" w:cs="Arial"/>
          <w:sz w:val="22"/>
          <w:szCs w:val="22"/>
          <w:highlight w:val="yellow"/>
          <w:lang w:val="en-GB"/>
        </w:rPr>
      </w:pPr>
      <w:r w:rsidRPr="00AB3DF3">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AB3DF3" w:rsidRDefault="00B81F6E" w:rsidP="006F4751">
      <w:pPr>
        <w:pStyle w:val="ListParagraph"/>
        <w:numPr>
          <w:ilvl w:val="1"/>
          <w:numId w:val="7"/>
        </w:numPr>
        <w:ind w:left="426"/>
        <w:jc w:val="both"/>
        <w:rPr>
          <w:rFonts w:ascii="Arial" w:hAnsi="Arial" w:cs="Arial"/>
          <w:sz w:val="22"/>
          <w:szCs w:val="22"/>
          <w:highlight w:val="yellow"/>
          <w:lang w:val="en-GB"/>
        </w:rPr>
      </w:pPr>
      <w:r w:rsidRPr="00AB3DF3">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AB3DF3" w:rsidRDefault="00FE53A3" w:rsidP="009578F6">
      <w:pPr>
        <w:pStyle w:val="ListParagraph"/>
        <w:numPr>
          <w:ilvl w:val="0"/>
          <w:numId w:val="8"/>
        </w:numPr>
        <w:ind w:left="426"/>
        <w:jc w:val="both"/>
        <w:rPr>
          <w:rFonts w:ascii="Arial" w:hAnsi="Arial" w:cs="Arial"/>
          <w:sz w:val="22"/>
          <w:szCs w:val="22"/>
          <w:highlight w:val="yellow"/>
          <w:lang w:val="en-GB"/>
        </w:rPr>
      </w:pPr>
      <w:r w:rsidRPr="00AB3DF3">
        <w:rPr>
          <w:rFonts w:ascii="Arial" w:hAnsi="Arial" w:cs="Arial"/>
          <w:sz w:val="22"/>
          <w:szCs w:val="22"/>
          <w:highlight w:val="yellow"/>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AB3DF3" w:rsidRDefault="0041438F" w:rsidP="009578F6">
      <w:pPr>
        <w:pStyle w:val="ListParagraph"/>
        <w:numPr>
          <w:ilvl w:val="0"/>
          <w:numId w:val="9"/>
        </w:numPr>
        <w:ind w:left="426"/>
        <w:jc w:val="both"/>
        <w:rPr>
          <w:rFonts w:ascii="Arial" w:hAnsi="Arial" w:cs="Arial"/>
          <w:sz w:val="22"/>
          <w:szCs w:val="22"/>
          <w:highlight w:val="yellow"/>
          <w:lang w:val="en-GB"/>
        </w:rPr>
      </w:pPr>
      <w:r w:rsidRPr="00AB3DF3">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2A2B76" w:rsidRDefault="006F4751" w:rsidP="009578F6">
      <w:pPr>
        <w:pStyle w:val="ListParagraph"/>
        <w:numPr>
          <w:ilvl w:val="0"/>
          <w:numId w:val="10"/>
        </w:numPr>
        <w:ind w:left="426"/>
        <w:jc w:val="both"/>
        <w:rPr>
          <w:rFonts w:ascii="Arial" w:hAnsi="Arial" w:cs="Arial"/>
          <w:sz w:val="22"/>
          <w:szCs w:val="22"/>
          <w:highlight w:val="yellow"/>
          <w:lang w:val="en-GB"/>
        </w:rPr>
      </w:pPr>
      <w:r w:rsidRPr="002A2B76">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2A2B76" w:rsidRDefault="00FD3A07" w:rsidP="009578F6">
      <w:pPr>
        <w:pStyle w:val="ListParagraph"/>
        <w:numPr>
          <w:ilvl w:val="0"/>
          <w:numId w:val="13"/>
        </w:numPr>
        <w:ind w:left="426"/>
        <w:jc w:val="both"/>
        <w:rPr>
          <w:rFonts w:ascii="Arial" w:hAnsi="Arial" w:cs="Arial"/>
          <w:sz w:val="22"/>
          <w:szCs w:val="22"/>
          <w:highlight w:val="yellow"/>
          <w:lang w:val="en-GB"/>
        </w:rPr>
      </w:pPr>
      <w:bookmarkStart w:id="0" w:name="_Hlk83037526"/>
      <w:r w:rsidRPr="002A2B76">
        <w:rPr>
          <w:rFonts w:ascii="Arial" w:hAnsi="Arial" w:cs="Arial"/>
          <w:sz w:val="22"/>
          <w:szCs w:val="22"/>
          <w:highlight w:val="yellow"/>
          <w:lang w:val="en-GB"/>
        </w:rPr>
        <w:t>from t</w:t>
      </w:r>
      <w:bookmarkEnd w:id="0"/>
      <w:r w:rsidRPr="002A2B76">
        <w:rPr>
          <w:rFonts w:ascii="Arial" w:hAnsi="Arial" w:cs="Arial"/>
          <w:sz w:val="22"/>
          <w:szCs w:val="22"/>
          <w:highlight w:val="yellow"/>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2A2B76" w:rsidRDefault="00B22016" w:rsidP="00B22016">
      <w:pPr>
        <w:pStyle w:val="ListParagraph"/>
        <w:numPr>
          <w:ilvl w:val="1"/>
          <w:numId w:val="14"/>
        </w:numPr>
        <w:ind w:left="426"/>
        <w:jc w:val="both"/>
        <w:rPr>
          <w:rFonts w:ascii="Arial" w:hAnsi="Arial" w:cs="Arial"/>
          <w:sz w:val="22"/>
          <w:szCs w:val="22"/>
          <w:lang w:val="en-GB"/>
        </w:rPr>
      </w:pPr>
      <w:r w:rsidRPr="002A2B7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2A2B76" w:rsidRDefault="00B22016" w:rsidP="00B22016">
      <w:pPr>
        <w:pStyle w:val="ListParagraph"/>
        <w:numPr>
          <w:ilvl w:val="1"/>
          <w:numId w:val="14"/>
        </w:numPr>
        <w:ind w:left="426"/>
        <w:jc w:val="both"/>
        <w:rPr>
          <w:rFonts w:ascii="Arial" w:hAnsi="Arial" w:cs="Arial"/>
          <w:sz w:val="22"/>
          <w:szCs w:val="22"/>
          <w:highlight w:val="yellow"/>
          <w:lang w:val="en-GB"/>
        </w:rPr>
      </w:pPr>
      <w:r w:rsidRPr="002A2B76">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A2B76" w:rsidRDefault="005D54B3" w:rsidP="005D54B3">
      <w:pPr>
        <w:pStyle w:val="ListParagraph"/>
        <w:numPr>
          <w:ilvl w:val="0"/>
          <w:numId w:val="15"/>
        </w:numPr>
        <w:ind w:left="426"/>
        <w:jc w:val="both"/>
        <w:rPr>
          <w:rFonts w:ascii="Arial" w:hAnsi="Arial" w:cs="Arial"/>
          <w:sz w:val="22"/>
          <w:szCs w:val="22"/>
          <w:highlight w:val="yellow"/>
          <w:lang w:val="en-GB"/>
        </w:rPr>
      </w:pPr>
      <w:r w:rsidRPr="002A2B76">
        <w:rPr>
          <w:rFonts w:ascii="Arial" w:hAnsi="Arial" w:cs="Arial"/>
          <w:sz w:val="22"/>
          <w:szCs w:val="22"/>
          <w:highlight w:val="yellow"/>
          <w:lang w:val="en-GB"/>
        </w:rPr>
        <w:t>A 1993 decision of the UK Privy Council on an appeal from Hong Kong is binding.</w:t>
      </w:r>
    </w:p>
    <w:p w14:paraId="437CE7D5" w14:textId="77777777" w:rsidR="005D54B3" w:rsidRPr="002A2B7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A2B76" w:rsidRDefault="009578F6" w:rsidP="009578F6">
      <w:pPr>
        <w:pStyle w:val="ListParagraph"/>
        <w:numPr>
          <w:ilvl w:val="0"/>
          <w:numId w:val="18"/>
        </w:numPr>
        <w:ind w:left="426"/>
        <w:jc w:val="both"/>
        <w:rPr>
          <w:rFonts w:ascii="Arial" w:hAnsi="Arial" w:cs="Arial"/>
          <w:sz w:val="22"/>
          <w:szCs w:val="22"/>
          <w:highlight w:val="yellow"/>
          <w:lang w:val="en-GB"/>
        </w:rPr>
      </w:pPr>
      <w:r w:rsidRPr="002A2B7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CBAD97D" w:rsidR="003C10EB" w:rsidRDefault="000669F5" w:rsidP="000669F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there is no concrete definition of a ‘debtor’ in the Bankruptcy Ordinance (Cap 6) (“</w:t>
      </w:r>
      <w:r>
        <w:rPr>
          <w:rFonts w:ascii="Arial" w:hAnsi="Arial" w:cs="Arial"/>
          <w:b/>
          <w:bCs/>
          <w:color w:val="7B7B7B" w:themeColor="accent3" w:themeShade="BF"/>
          <w:sz w:val="22"/>
          <w:szCs w:val="22"/>
          <w:lang w:val="en-001"/>
        </w:rPr>
        <w:t>BO</w:t>
      </w:r>
      <w:r>
        <w:rPr>
          <w:rFonts w:ascii="Arial" w:hAnsi="Arial" w:cs="Arial"/>
          <w:color w:val="7B7B7B" w:themeColor="accent3" w:themeShade="BF"/>
          <w:sz w:val="22"/>
          <w:szCs w:val="22"/>
          <w:lang w:val="en-001"/>
        </w:rPr>
        <w:t>”), but to qualify as a debtor under the BO, the debtor must:</w:t>
      </w:r>
    </w:p>
    <w:p w14:paraId="67366B25" w14:textId="7518F924" w:rsidR="000669F5" w:rsidRPr="000669F5" w:rsidRDefault="000669F5" w:rsidP="000669F5">
      <w:pPr>
        <w:pStyle w:val="ListParagraph"/>
        <w:numPr>
          <w:ilvl w:val="0"/>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Be an individual;</w:t>
      </w:r>
    </w:p>
    <w:p w14:paraId="5A1ACD9E" w14:textId="1751DD87" w:rsidR="000669F5" w:rsidRPr="000669F5" w:rsidRDefault="000669F5" w:rsidP="000669F5">
      <w:pPr>
        <w:pStyle w:val="ListParagraph"/>
        <w:numPr>
          <w:ilvl w:val="0"/>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Be domiciled in Hong Kong;</w:t>
      </w:r>
    </w:p>
    <w:p w14:paraId="0B38A656" w14:textId="03560F95" w:rsidR="000669F5" w:rsidRPr="000669F5" w:rsidRDefault="000669F5" w:rsidP="000669F5">
      <w:pPr>
        <w:pStyle w:val="ListParagraph"/>
        <w:numPr>
          <w:ilvl w:val="0"/>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Be personally present in Hong Kong on the day the petition is presented; or</w:t>
      </w:r>
    </w:p>
    <w:p w14:paraId="17A082B3" w14:textId="30FABA7E" w:rsidR="000669F5" w:rsidRPr="000669F5" w:rsidRDefault="000669F5" w:rsidP="000669F5">
      <w:pPr>
        <w:pStyle w:val="ListParagraph"/>
        <w:numPr>
          <w:ilvl w:val="0"/>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 xml:space="preserve">At any time within three years ending with the day the petition is presented – </w:t>
      </w:r>
    </w:p>
    <w:p w14:paraId="6D17CDD0" w14:textId="1F39E3AE" w:rsidR="000669F5" w:rsidRPr="000669F5" w:rsidRDefault="000669F5" w:rsidP="000669F5">
      <w:pPr>
        <w:pStyle w:val="ListParagraph"/>
        <w:numPr>
          <w:ilvl w:val="1"/>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 xml:space="preserve">Have been ordinarily resident or had a residence in Hong Kong; or </w:t>
      </w:r>
    </w:p>
    <w:p w14:paraId="0AE03E4A" w14:textId="2EB9C8BB" w:rsidR="000669F5" w:rsidRPr="000669F5" w:rsidRDefault="000669F5" w:rsidP="000669F5">
      <w:pPr>
        <w:pStyle w:val="ListParagraph"/>
        <w:numPr>
          <w:ilvl w:val="1"/>
          <w:numId w:val="28"/>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Have conducted business in Hong Kong.</w:t>
      </w:r>
    </w:p>
    <w:p w14:paraId="2856720C" w14:textId="77777777" w:rsidR="000669F5" w:rsidRPr="000669F5" w:rsidRDefault="000669F5" w:rsidP="000669F5">
      <w:pPr>
        <w:jc w:val="both"/>
        <w:rPr>
          <w:rFonts w:ascii="Arial" w:hAnsi="Arial" w:cs="Arial"/>
          <w:sz w:val="22"/>
          <w:szCs w:val="22"/>
          <w:lang w:val="en-001"/>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52ACEA60" w:rsidR="003C10EB" w:rsidRDefault="000669F5" w:rsidP="000669F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There are three core requirements that a petitioner must satisfy in front of the court in order to wind up a non-Hong Kong company which were set out in the CFA’s decision in the case </w:t>
      </w:r>
      <w:r>
        <w:rPr>
          <w:rFonts w:ascii="Arial" w:hAnsi="Arial" w:cs="Arial"/>
          <w:i/>
          <w:iCs/>
          <w:color w:val="7B7B7B" w:themeColor="accent3" w:themeShade="BF"/>
          <w:sz w:val="22"/>
          <w:szCs w:val="22"/>
          <w:lang w:val="en-001"/>
        </w:rPr>
        <w:t>Kam Leung Sui Kwan v Kam Kwan Lai and Others (2015) 18 HKCFAR 501</w:t>
      </w:r>
      <w:r>
        <w:rPr>
          <w:rFonts w:ascii="Arial" w:hAnsi="Arial" w:cs="Arial"/>
          <w:color w:val="7B7B7B" w:themeColor="accent3" w:themeShade="BF"/>
          <w:sz w:val="22"/>
          <w:szCs w:val="22"/>
          <w:lang w:val="en-001"/>
        </w:rPr>
        <w:t>, which include:</w:t>
      </w:r>
    </w:p>
    <w:p w14:paraId="4EA84455" w14:textId="28513610" w:rsidR="000669F5" w:rsidRPr="000669F5" w:rsidRDefault="000669F5" w:rsidP="000669F5">
      <w:pPr>
        <w:pStyle w:val="ListParagraph"/>
        <w:numPr>
          <w:ilvl w:val="0"/>
          <w:numId w:val="29"/>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There must be sufficient connection with Hong Kong;</w:t>
      </w:r>
    </w:p>
    <w:p w14:paraId="4E93CCB8" w14:textId="7C951667" w:rsidR="000669F5" w:rsidRPr="000669F5" w:rsidRDefault="000669F5" w:rsidP="000669F5">
      <w:pPr>
        <w:pStyle w:val="ListParagraph"/>
        <w:numPr>
          <w:ilvl w:val="0"/>
          <w:numId w:val="29"/>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There must be a reasonable possibility that the winding up order would benefit whoever made the application; and</w:t>
      </w:r>
    </w:p>
    <w:p w14:paraId="7E8968F9" w14:textId="581312A6" w:rsidR="000669F5" w:rsidRPr="000669F5" w:rsidRDefault="000669F5" w:rsidP="000669F5">
      <w:pPr>
        <w:pStyle w:val="ListParagraph"/>
        <w:numPr>
          <w:ilvl w:val="0"/>
          <w:numId w:val="29"/>
        </w:numPr>
        <w:jc w:val="both"/>
        <w:rPr>
          <w:rFonts w:ascii="Arial" w:hAnsi="Arial" w:cs="Arial"/>
          <w:color w:val="808080" w:themeColor="background1" w:themeShade="80"/>
          <w:sz w:val="22"/>
          <w:szCs w:val="22"/>
          <w:lang w:val="en-001"/>
        </w:rPr>
      </w:pPr>
      <w:r w:rsidRPr="000669F5">
        <w:rPr>
          <w:rFonts w:ascii="Arial" w:hAnsi="Arial" w:cs="Arial"/>
          <w:color w:val="808080" w:themeColor="background1" w:themeShade="80"/>
          <w:sz w:val="22"/>
          <w:szCs w:val="22"/>
          <w:lang w:val="en-001"/>
        </w:rPr>
        <w:t>The court is able to exercise jurisdiction over at least one person who is interested in distributing the company’s assets.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09F6FC35" w:rsidR="003C10EB" w:rsidRDefault="000669F5" w:rsidP="000669F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provisional liquidator can only possibly be appointed if the company’s assets are in jeopardy. It is noted that the provisional liquidation application will fail in front of the court if the purpose of the application is to bring into effect a restructuring. </w:t>
      </w:r>
      <w:r w:rsidR="00EA255F">
        <w:rPr>
          <w:rFonts w:ascii="Arial" w:hAnsi="Arial" w:cs="Arial"/>
          <w:color w:val="7B7B7B" w:themeColor="accent3" w:themeShade="BF"/>
          <w:sz w:val="22"/>
          <w:szCs w:val="22"/>
          <w:lang w:val="en-001"/>
        </w:rPr>
        <w:t xml:space="preserve">The term ‘provisional liquidation’ does not technically exist in Hong Kong law, however, provisional liquidators can be appointed pursuant to section 193 of CWUMPO. There is some confusion in the regulations as the Companies Winding Up Rules, rule 28, makes mention to a provisional liquidator as a title used on winding up orders; however, the meaning here is referring to the liquidator being ‘provisional’ pending a creditors’ meeting being held. </w:t>
      </w:r>
    </w:p>
    <w:p w14:paraId="63363E11" w14:textId="32F7F096" w:rsidR="00EA255F" w:rsidRDefault="00EA255F" w:rsidP="000669F5">
      <w:pPr>
        <w:jc w:val="both"/>
        <w:rPr>
          <w:rFonts w:ascii="Arial" w:hAnsi="Arial" w:cs="Arial"/>
          <w:color w:val="7B7B7B" w:themeColor="accent3" w:themeShade="BF"/>
          <w:sz w:val="22"/>
          <w:szCs w:val="22"/>
          <w:lang w:val="en-001"/>
        </w:rPr>
      </w:pPr>
    </w:p>
    <w:p w14:paraId="6CD57F3C" w14:textId="411F7901" w:rsidR="00EA255F" w:rsidRPr="000669F5" w:rsidRDefault="00EA255F" w:rsidP="000669F5">
      <w:pPr>
        <w:jc w:val="both"/>
        <w:rPr>
          <w:rFonts w:ascii="Arial" w:hAnsi="Arial" w:cs="Arial"/>
          <w:sz w:val="22"/>
          <w:szCs w:val="22"/>
          <w:lang w:val="en-001"/>
        </w:rPr>
      </w:pPr>
      <w:r>
        <w:rPr>
          <w:rFonts w:ascii="Arial" w:hAnsi="Arial" w:cs="Arial"/>
          <w:color w:val="7B7B7B" w:themeColor="accent3" w:themeShade="BF"/>
          <w:sz w:val="22"/>
          <w:szCs w:val="22"/>
          <w:lang w:val="en-001"/>
        </w:rPr>
        <w:t>A provisional liquidator is tasked to preserve a company’s assets after the petition is presented but before a winding up order is made. There must be circumstances present to justify the appointment of a provisional liquidator, such that there is a risk that the company’s assets could be dispossessed or be in jeopardy before a winding up order is levied.</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4F50AD1E" w:rsidR="003C10EB" w:rsidRDefault="002B4843" w:rsidP="002B4843">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An unfair preference is defined as when an insolvent company acts to place a creditor or guarantor in a better position than it would have been pre-insolvency. A liquidator could take action to challenge an unfair preference, by way of an application to the court, by showing that at the time of the asserted unfair preference, the company was unable to pay its debts as a result of the transaction occurring. Normally, the criterion is that the beneficiary of this transaction is an associate of the company or its director or shadow director. </w:t>
      </w:r>
    </w:p>
    <w:p w14:paraId="650E3DB9" w14:textId="6E62DCA3" w:rsidR="002E3BC6" w:rsidRDefault="002E3BC6" w:rsidP="002B4843">
      <w:pPr>
        <w:jc w:val="both"/>
        <w:rPr>
          <w:rFonts w:ascii="Arial" w:hAnsi="Arial" w:cs="Arial"/>
          <w:color w:val="7B7B7B" w:themeColor="accent3" w:themeShade="BF"/>
          <w:sz w:val="22"/>
          <w:szCs w:val="22"/>
          <w:lang w:val="en-001"/>
        </w:rPr>
      </w:pPr>
    </w:p>
    <w:p w14:paraId="61B751C6" w14:textId="326DF909" w:rsidR="002E3BC6" w:rsidRDefault="002E3BC6" w:rsidP="002B4843">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liquidator may want to challenge this unfair preference to pre-empt an order granted by the court, pursuant to section 266 of CWUMPO, that results in the:</w:t>
      </w:r>
    </w:p>
    <w:p w14:paraId="3FF7AE41" w14:textId="3617C94D" w:rsidR="002E3BC6" w:rsidRPr="002E3BC6" w:rsidRDefault="002E3BC6" w:rsidP="002E3BC6">
      <w:pPr>
        <w:pStyle w:val="ListParagraph"/>
        <w:numPr>
          <w:ilvl w:val="0"/>
          <w:numId w:val="30"/>
        </w:numPr>
        <w:jc w:val="both"/>
        <w:rPr>
          <w:rFonts w:ascii="Arial" w:hAnsi="Arial" w:cs="Arial"/>
          <w:color w:val="808080" w:themeColor="background1" w:themeShade="80"/>
          <w:sz w:val="22"/>
          <w:szCs w:val="22"/>
          <w:lang w:val="en-001"/>
        </w:rPr>
      </w:pPr>
      <w:r w:rsidRPr="002E3BC6">
        <w:rPr>
          <w:rFonts w:ascii="Arial" w:hAnsi="Arial" w:cs="Arial"/>
          <w:color w:val="808080" w:themeColor="background1" w:themeShade="80"/>
          <w:sz w:val="22"/>
          <w:szCs w:val="22"/>
          <w:lang w:val="en-001"/>
        </w:rPr>
        <w:t>Transfer of the property subject to the unfair preference to the liquidator;</w:t>
      </w:r>
    </w:p>
    <w:p w14:paraId="4DD7F6D0" w14:textId="77322B17" w:rsidR="002E3BC6" w:rsidRPr="002E3BC6" w:rsidRDefault="002E3BC6" w:rsidP="002E3BC6">
      <w:pPr>
        <w:pStyle w:val="ListParagraph"/>
        <w:numPr>
          <w:ilvl w:val="0"/>
          <w:numId w:val="30"/>
        </w:numPr>
        <w:jc w:val="both"/>
        <w:rPr>
          <w:rFonts w:ascii="Arial" w:hAnsi="Arial" w:cs="Arial"/>
          <w:color w:val="808080" w:themeColor="background1" w:themeShade="80"/>
          <w:sz w:val="22"/>
          <w:szCs w:val="22"/>
          <w:lang w:val="en-001"/>
        </w:rPr>
      </w:pPr>
      <w:r w:rsidRPr="002E3BC6">
        <w:rPr>
          <w:rFonts w:ascii="Arial" w:hAnsi="Arial" w:cs="Arial"/>
          <w:color w:val="808080" w:themeColor="background1" w:themeShade="80"/>
          <w:sz w:val="22"/>
          <w:szCs w:val="22"/>
          <w:lang w:val="en-001"/>
        </w:rPr>
        <w:t>Release or discharge of security given by the company;</w:t>
      </w:r>
    </w:p>
    <w:p w14:paraId="6D2C508C" w14:textId="63165682" w:rsidR="002E3BC6" w:rsidRPr="002E3BC6" w:rsidRDefault="002E3BC6" w:rsidP="002E3BC6">
      <w:pPr>
        <w:pStyle w:val="ListParagraph"/>
        <w:numPr>
          <w:ilvl w:val="0"/>
          <w:numId w:val="30"/>
        </w:numPr>
        <w:jc w:val="both"/>
        <w:rPr>
          <w:rFonts w:ascii="Arial" w:hAnsi="Arial" w:cs="Arial"/>
          <w:color w:val="808080" w:themeColor="background1" w:themeShade="80"/>
          <w:sz w:val="22"/>
          <w:szCs w:val="22"/>
          <w:lang w:val="en-001"/>
        </w:rPr>
      </w:pPr>
      <w:r w:rsidRPr="002E3BC6">
        <w:rPr>
          <w:rFonts w:ascii="Arial" w:hAnsi="Arial" w:cs="Arial"/>
          <w:color w:val="808080" w:themeColor="background1" w:themeShade="80"/>
          <w:sz w:val="22"/>
          <w:szCs w:val="22"/>
          <w:lang w:val="en-001"/>
        </w:rPr>
        <w:t xml:space="preserve">Direction for any person to pay to the liquidators any benefits received from the company; </w:t>
      </w:r>
    </w:p>
    <w:p w14:paraId="51C2F270" w14:textId="165949ED" w:rsidR="002E3BC6" w:rsidRPr="002E3BC6" w:rsidRDefault="002E3BC6" w:rsidP="002E3BC6">
      <w:pPr>
        <w:pStyle w:val="ListParagraph"/>
        <w:numPr>
          <w:ilvl w:val="0"/>
          <w:numId w:val="30"/>
        </w:numPr>
        <w:jc w:val="both"/>
        <w:rPr>
          <w:rFonts w:ascii="Arial" w:hAnsi="Arial" w:cs="Arial"/>
          <w:color w:val="808080" w:themeColor="background1" w:themeShade="80"/>
          <w:sz w:val="22"/>
          <w:szCs w:val="22"/>
          <w:lang w:val="en-001"/>
        </w:rPr>
      </w:pPr>
      <w:r w:rsidRPr="002E3BC6">
        <w:rPr>
          <w:rFonts w:ascii="Arial" w:hAnsi="Arial" w:cs="Arial"/>
          <w:color w:val="808080" w:themeColor="background1" w:themeShade="80"/>
          <w:sz w:val="22"/>
          <w:szCs w:val="22"/>
          <w:lang w:val="en-001"/>
        </w:rPr>
        <w:t>Revival of the obligation of any surety or guarantor which had been previously released; and</w:t>
      </w:r>
    </w:p>
    <w:p w14:paraId="536FA783" w14:textId="22CB3088" w:rsidR="002E3BC6" w:rsidRPr="002E3BC6" w:rsidRDefault="002E3BC6" w:rsidP="002E3BC6">
      <w:pPr>
        <w:pStyle w:val="ListParagraph"/>
        <w:numPr>
          <w:ilvl w:val="0"/>
          <w:numId w:val="30"/>
        </w:numPr>
        <w:jc w:val="both"/>
        <w:rPr>
          <w:rFonts w:ascii="Arial" w:hAnsi="Arial" w:cs="Arial"/>
          <w:color w:val="808080" w:themeColor="background1" w:themeShade="80"/>
          <w:sz w:val="22"/>
          <w:szCs w:val="22"/>
          <w:lang w:val="en-001"/>
        </w:rPr>
      </w:pPr>
      <w:r w:rsidRPr="002E3BC6">
        <w:rPr>
          <w:rFonts w:ascii="Arial" w:hAnsi="Arial" w:cs="Arial"/>
          <w:color w:val="808080" w:themeColor="background1" w:themeShade="80"/>
          <w:sz w:val="22"/>
          <w:szCs w:val="22"/>
          <w:lang w:val="en-001"/>
        </w:rPr>
        <w:t xml:space="preserve">Provision of the security for the discharge of an obligation imposed by or </w:t>
      </w:r>
      <w:proofErr w:type="spellStart"/>
      <w:r w:rsidRPr="002E3BC6">
        <w:rPr>
          <w:rFonts w:ascii="Arial" w:hAnsi="Arial" w:cs="Arial"/>
          <w:color w:val="808080" w:themeColor="background1" w:themeShade="80"/>
          <w:sz w:val="22"/>
          <w:szCs w:val="22"/>
          <w:lang w:val="en-001"/>
        </w:rPr>
        <w:t>airising</w:t>
      </w:r>
      <w:proofErr w:type="spellEnd"/>
      <w:r w:rsidRPr="002E3BC6">
        <w:rPr>
          <w:rFonts w:ascii="Arial" w:hAnsi="Arial" w:cs="Arial"/>
          <w:color w:val="808080" w:themeColor="background1" w:themeShade="80"/>
          <w:sz w:val="22"/>
          <w:szCs w:val="22"/>
          <w:lang w:val="en-001"/>
        </w:rPr>
        <w:t xml:space="preserve"> under the order.</w:t>
      </w:r>
    </w:p>
    <w:p w14:paraId="57CBC3D6" w14:textId="68119211" w:rsidR="005D446E" w:rsidRDefault="005D446E" w:rsidP="00E14FA7">
      <w:pPr>
        <w:jc w:val="both"/>
        <w:rPr>
          <w:rFonts w:ascii="Arial" w:hAnsi="Arial" w:cs="Arial"/>
          <w:color w:val="808080" w:themeColor="background1" w:themeShade="80"/>
          <w:sz w:val="22"/>
          <w:szCs w:val="22"/>
          <w:lang w:val="en-GB"/>
        </w:rPr>
      </w:pPr>
    </w:p>
    <w:p w14:paraId="051D8D04" w14:textId="31E831B2" w:rsidR="002E3BC6" w:rsidRDefault="002E3BC6" w:rsidP="00E14FA7">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However, a liquidator must be able to prove that the transaction is an unfair preference by showing that the company positively wished to improve the creditor’s position in the event of its own insolvent liquidation. According to a ruling on the cases </w:t>
      </w:r>
      <w:r>
        <w:rPr>
          <w:rFonts w:ascii="Arial" w:hAnsi="Arial" w:cs="Arial"/>
          <w:i/>
          <w:iCs/>
          <w:color w:val="808080" w:themeColor="background1" w:themeShade="80"/>
          <w:sz w:val="22"/>
          <w:szCs w:val="22"/>
          <w:lang w:val="en-001"/>
        </w:rPr>
        <w:t>MC Bacon</w:t>
      </w:r>
      <w:r>
        <w:rPr>
          <w:rFonts w:ascii="Arial" w:hAnsi="Arial" w:cs="Arial"/>
          <w:color w:val="808080" w:themeColor="background1" w:themeShade="80"/>
          <w:sz w:val="22"/>
          <w:szCs w:val="22"/>
          <w:lang w:val="en-001"/>
        </w:rPr>
        <w:t xml:space="preserve"> and </w:t>
      </w:r>
      <w:r>
        <w:rPr>
          <w:rFonts w:ascii="Arial" w:hAnsi="Arial" w:cs="Arial"/>
          <w:i/>
          <w:iCs/>
          <w:color w:val="808080" w:themeColor="background1" w:themeShade="80"/>
          <w:sz w:val="22"/>
          <w:szCs w:val="22"/>
          <w:lang w:val="en-001"/>
        </w:rPr>
        <w:t>Osman Mohammed Arab v Cashbox Credit Services Ltd</w:t>
      </w:r>
      <w:r>
        <w:rPr>
          <w:rFonts w:ascii="Arial" w:hAnsi="Arial" w:cs="Arial"/>
          <w:color w:val="808080" w:themeColor="background1" w:themeShade="80"/>
          <w:sz w:val="22"/>
          <w:szCs w:val="22"/>
          <w:lang w:val="en-001"/>
        </w:rPr>
        <w:t>, the court came to the ruling of a transaction as an unfair preference by noting that the person must not “desire” all the “consequences of their actions”</w:t>
      </w:r>
    </w:p>
    <w:p w14:paraId="33C74E69" w14:textId="0017D655" w:rsidR="002E3BC6" w:rsidRDefault="002E3BC6" w:rsidP="00E14FA7">
      <w:pPr>
        <w:jc w:val="both"/>
        <w:rPr>
          <w:rFonts w:ascii="Arial" w:hAnsi="Arial" w:cs="Arial"/>
          <w:color w:val="808080" w:themeColor="background1" w:themeShade="80"/>
          <w:sz w:val="22"/>
          <w:szCs w:val="22"/>
          <w:lang w:val="en-001"/>
        </w:rPr>
      </w:pPr>
    </w:p>
    <w:p w14:paraId="2D863998" w14:textId="5278773F" w:rsidR="002E3BC6" w:rsidRPr="002E3BC6" w:rsidRDefault="002E3BC6" w:rsidP="00E14FA7">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Although the case </w:t>
      </w:r>
      <w:proofErr w:type="spellStart"/>
      <w:r w:rsidRPr="002E3BC6">
        <w:rPr>
          <w:rFonts w:ascii="Arial" w:hAnsi="Arial" w:cs="Arial"/>
          <w:i/>
          <w:iCs/>
          <w:color w:val="808080" w:themeColor="background1" w:themeShade="80"/>
          <w:sz w:val="22"/>
          <w:szCs w:val="22"/>
          <w:lang w:val="en-001"/>
        </w:rPr>
        <w:t>Hau</w:t>
      </w:r>
      <w:proofErr w:type="spellEnd"/>
      <w:r w:rsidRPr="002E3BC6">
        <w:rPr>
          <w:rFonts w:ascii="Arial" w:hAnsi="Arial" w:cs="Arial"/>
          <w:i/>
          <w:iCs/>
          <w:color w:val="808080" w:themeColor="background1" w:themeShade="80"/>
          <w:sz w:val="22"/>
          <w:szCs w:val="22"/>
          <w:lang w:val="en-001"/>
        </w:rPr>
        <w:t xml:space="preserve"> Po Man Stanley (in bankruptcy) v </w:t>
      </w:r>
      <w:proofErr w:type="spellStart"/>
      <w:r w:rsidRPr="002E3BC6">
        <w:rPr>
          <w:rFonts w:ascii="Arial" w:hAnsi="Arial" w:cs="Arial"/>
          <w:i/>
          <w:iCs/>
          <w:color w:val="808080" w:themeColor="background1" w:themeShade="80"/>
          <w:sz w:val="22"/>
          <w:szCs w:val="22"/>
          <w:lang w:val="en-001"/>
        </w:rPr>
        <w:t>Hau</w:t>
      </w:r>
      <w:proofErr w:type="spellEnd"/>
      <w:r w:rsidRPr="002E3BC6">
        <w:rPr>
          <w:rFonts w:ascii="Arial" w:hAnsi="Arial" w:cs="Arial"/>
          <w:i/>
          <w:iCs/>
          <w:color w:val="808080" w:themeColor="background1" w:themeShade="80"/>
          <w:sz w:val="22"/>
          <w:szCs w:val="22"/>
          <w:lang w:val="en-001"/>
        </w:rPr>
        <w:t xml:space="preserve"> Po Fun Ivy </w:t>
      </w:r>
      <w:r>
        <w:rPr>
          <w:rFonts w:ascii="Arial" w:hAnsi="Arial" w:cs="Arial"/>
          <w:color w:val="808080" w:themeColor="background1" w:themeShade="80"/>
          <w:sz w:val="22"/>
          <w:szCs w:val="22"/>
          <w:lang w:val="en-001"/>
        </w:rPr>
        <w:t>relates to personal insolvency, it exemplifies the issues surrounding the demonstration of the “desire” to prefer. However, the court has ruled that a company has shown this desire to prefer in examples where a company gave to its bank a mortgage over an asset in preference because personal bankruptcy proceedings were threatened against the same company’s directors.</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1237D445" w:rsidR="003C10EB" w:rsidRDefault="00E86ED3" w:rsidP="00E86ED3">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Subject to the Handover of 1997, where Hong Kong became a “Special Administrative Region” of the PRC on 30 June 1997, Mainland China was no longer considered to be a foreign country and therefore, no rules regarding the enforcement of foreign judgments applied to Mainland China. Instead of the arrangements that govern Hong Kong’s cross-border insolvency rules, the Hong Kong arrangements that apply to Mainland China are the “Arrangement on Reciprocal Recognition an Enforcement of Judgment in Civil and Commercial Matters by the Courts of the Mainland and of the Hong Kong Special Administrative Region Pursuant to Choice of Court Agreements between Parties’ </w:t>
      </w:r>
      <w:r>
        <w:rPr>
          <w:rFonts w:ascii="Arial" w:hAnsi="Arial" w:cs="Arial"/>
          <w:color w:val="7B7B7B" w:themeColor="accent3" w:themeShade="BF"/>
          <w:sz w:val="22"/>
          <w:szCs w:val="22"/>
          <w:lang w:val="en-001"/>
        </w:rPr>
        <w:lastRenderedPageBreak/>
        <w:t>Concerned” signed into effect in July 2006 and The Mainland Judgments (Reciprocal Enforcement) Ordinance (Cap 597) (“</w:t>
      </w:r>
      <w:r w:rsidRPr="00E86ED3">
        <w:rPr>
          <w:rFonts w:ascii="Arial" w:hAnsi="Arial" w:cs="Arial"/>
          <w:b/>
          <w:bCs/>
          <w:color w:val="7B7B7B" w:themeColor="accent3" w:themeShade="BF"/>
          <w:sz w:val="22"/>
          <w:szCs w:val="22"/>
          <w:lang w:val="en-001"/>
        </w:rPr>
        <w:t>MJREO</w:t>
      </w:r>
      <w:r>
        <w:rPr>
          <w:rFonts w:ascii="Arial" w:hAnsi="Arial" w:cs="Arial"/>
          <w:color w:val="7B7B7B" w:themeColor="accent3" w:themeShade="BF"/>
          <w:sz w:val="22"/>
          <w:szCs w:val="22"/>
          <w:lang w:val="en-001"/>
        </w:rPr>
        <w:t>”) which effected the above arrangement on 1 August 2008.</w:t>
      </w:r>
      <w:r w:rsidR="00EE2518">
        <w:rPr>
          <w:rFonts w:ascii="Arial" w:hAnsi="Arial" w:cs="Arial"/>
          <w:color w:val="7B7B7B" w:themeColor="accent3" w:themeShade="BF"/>
          <w:sz w:val="22"/>
          <w:szCs w:val="22"/>
          <w:lang w:val="en-001"/>
        </w:rPr>
        <w:t xml:space="preserve"> The MJERO applies in the following circumstances:</w:t>
      </w:r>
    </w:p>
    <w:p w14:paraId="02D71271" w14:textId="77777777" w:rsidR="00EE2518" w:rsidRDefault="00EE2518" w:rsidP="00E86ED3">
      <w:pPr>
        <w:jc w:val="both"/>
        <w:rPr>
          <w:rFonts w:ascii="Arial" w:hAnsi="Arial" w:cs="Arial"/>
          <w:color w:val="7B7B7B" w:themeColor="accent3" w:themeShade="BF"/>
          <w:sz w:val="22"/>
          <w:szCs w:val="22"/>
          <w:lang w:val="en-001"/>
        </w:rPr>
      </w:pPr>
    </w:p>
    <w:p w14:paraId="1CAF1DD0" w14:textId="1803D7C6" w:rsidR="00EE2518" w:rsidRPr="00141C0B" w:rsidRDefault="00EE2518" w:rsidP="00EE2518">
      <w:pPr>
        <w:pStyle w:val="ListParagraph"/>
        <w:numPr>
          <w:ilvl w:val="0"/>
          <w:numId w:val="31"/>
        </w:numPr>
        <w:jc w:val="both"/>
        <w:rPr>
          <w:rFonts w:ascii="Arial" w:hAnsi="Arial" w:cs="Arial"/>
          <w:color w:val="808080" w:themeColor="background1" w:themeShade="80"/>
          <w:sz w:val="22"/>
          <w:szCs w:val="22"/>
          <w:lang w:val="en-001"/>
        </w:rPr>
      </w:pPr>
      <w:r w:rsidRPr="00141C0B">
        <w:rPr>
          <w:rFonts w:ascii="Arial" w:hAnsi="Arial" w:cs="Arial"/>
          <w:color w:val="808080" w:themeColor="background1" w:themeShade="80"/>
          <w:sz w:val="22"/>
          <w:szCs w:val="22"/>
          <w:lang w:val="en-001"/>
        </w:rPr>
        <w:t>Enforcement of money judgments on disputes arising out of commercial contracts;</w:t>
      </w:r>
    </w:p>
    <w:p w14:paraId="66798D49" w14:textId="07BAAD66" w:rsidR="00EE2518" w:rsidRPr="00141C0B" w:rsidRDefault="00EE2518" w:rsidP="00EE2518">
      <w:pPr>
        <w:pStyle w:val="ListParagraph"/>
        <w:numPr>
          <w:ilvl w:val="0"/>
          <w:numId w:val="31"/>
        </w:numPr>
        <w:jc w:val="both"/>
        <w:rPr>
          <w:rFonts w:ascii="Arial" w:hAnsi="Arial" w:cs="Arial"/>
          <w:color w:val="808080" w:themeColor="background1" w:themeShade="80"/>
          <w:sz w:val="22"/>
          <w:szCs w:val="22"/>
          <w:lang w:val="en-001"/>
        </w:rPr>
      </w:pPr>
      <w:r w:rsidRPr="00141C0B">
        <w:rPr>
          <w:rFonts w:ascii="Arial" w:hAnsi="Arial" w:cs="Arial"/>
          <w:color w:val="808080" w:themeColor="background1" w:themeShade="80"/>
          <w:sz w:val="22"/>
          <w:szCs w:val="22"/>
          <w:lang w:val="en-001"/>
        </w:rPr>
        <w:t>Enforcement of Mainland judgments if the underlying agreement gives exclusive jurisdiction to the relevant Mainland court;</w:t>
      </w:r>
    </w:p>
    <w:p w14:paraId="084802CB" w14:textId="1BC73C63" w:rsidR="00EE2518" w:rsidRPr="00141C0B" w:rsidRDefault="00EE2518" w:rsidP="00EE2518">
      <w:pPr>
        <w:pStyle w:val="ListParagraph"/>
        <w:numPr>
          <w:ilvl w:val="0"/>
          <w:numId w:val="31"/>
        </w:numPr>
        <w:jc w:val="both"/>
        <w:rPr>
          <w:rFonts w:ascii="Arial" w:hAnsi="Arial" w:cs="Arial"/>
          <w:color w:val="808080" w:themeColor="background1" w:themeShade="80"/>
          <w:sz w:val="22"/>
          <w:szCs w:val="22"/>
          <w:lang w:val="en-001"/>
        </w:rPr>
      </w:pPr>
      <w:r w:rsidRPr="00141C0B">
        <w:rPr>
          <w:rFonts w:ascii="Arial" w:hAnsi="Arial" w:cs="Arial"/>
          <w:color w:val="808080" w:themeColor="background1" w:themeShade="80"/>
          <w:sz w:val="22"/>
          <w:szCs w:val="22"/>
          <w:lang w:val="en-001"/>
        </w:rPr>
        <w:t>Enforcement of money judgments from a designated court stated in the relevant legislation (Cap 597) excluding judgments in respect of payment of any tax, fine or penalty. It is noted that money judgments from any Hong Kong court are recognised; and</w:t>
      </w:r>
    </w:p>
    <w:p w14:paraId="4780AA28" w14:textId="2958107D" w:rsidR="00EE2518" w:rsidRPr="00141C0B" w:rsidRDefault="00EE2518" w:rsidP="00EE2518">
      <w:pPr>
        <w:pStyle w:val="ListParagraph"/>
        <w:numPr>
          <w:ilvl w:val="0"/>
          <w:numId w:val="31"/>
        </w:numPr>
        <w:jc w:val="both"/>
        <w:rPr>
          <w:rFonts w:ascii="Arial" w:hAnsi="Arial" w:cs="Arial"/>
          <w:color w:val="808080" w:themeColor="background1" w:themeShade="80"/>
          <w:sz w:val="22"/>
          <w:szCs w:val="22"/>
          <w:lang w:val="en-001"/>
        </w:rPr>
      </w:pPr>
      <w:r w:rsidRPr="00141C0B">
        <w:rPr>
          <w:rFonts w:ascii="Arial" w:hAnsi="Arial" w:cs="Arial"/>
          <w:color w:val="808080" w:themeColor="background1" w:themeShade="80"/>
          <w:sz w:val="22"/>
          <w:szCs w:val="22"/>
          <w:lang w:val="en-001"/>
        </w:rPr>
        <w:t>Enforcement of judgments that are final, conclusive, and have been given after the commencement of Cap 597.</w:t>
      </w:r>
    </w:p>
    <w:p w14:paraId="6A381B90" w14:textId="456450DF" w:rsidR="003E220B" w:rsidRDefault="003E220B" w:rsidP="00E14FA7">
      <w:pPr>
        <w:jc w:val="both"/>
        <w:rPr>
          <w:rFonts w:ascii="Arial" w:hAnsi="Arial" w:cs="Arial"/>
          <w:color w:val="7B7B7B" w:themeColor="accent3" w:themeShade="BF"/>
          <w:sz w:val="22"/>
          <w:szCs w:val="22"/>
          <w:lang w:val="en-GB"/>
        </w:rPr>
      </w:pPr>
    </w:p>
    <w:p w14:paraId="347F499D" w14:textId="7DD6C843" w:rsidR="00EE2518" w:rsidRDefault="00EE2518" w:rsidP="00E14FA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Another arrangement that was signed as of 2019 is the Arrangement on Reciprocal Recognition and Enforcement of Judgements in Civil and Commercial Matters by the Courts of the Mainland and of the Hong Kong Special Administrative Region which will remove the requirement for an exclusive jurisdiction clause and will extend enforcement to non-money judgments.</w:t>
      </w:r>
    </w:p>
    <w:p w14:paraId="33CDBA30" w14:textId="766C830C" w:rsidR="00EE2518" w:rsidRDefault="00EE2518" w:rsidP="00E14FA7">
      <w:pPr>
        <w:jc w:val="both"/>
        <w:rPr>
          <w:rFonts w:ascii="Arial" w:hAnsi="Arial" w:cs="Arial"/>
          <w:color w:val="7B7B7B" w:themeColor="accent3" w:themeShade="BF"/>
          <w:sz w:val="22"/>
          <w:szCs w:val="22"/>
          <w:lang w:val="en-001"/>
        </w:rPr>
      </w:pPr>
    </w:p>
    <w:p w14:paraId="3BEC6BBB" w14:textId="2F2B1BBB" w:rsidR="00EE2518" w:rsidRPr="00EE2518" w:rsidRDefault="00EE2518" w:rsidP="00E14FA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whilst there are a limited number of arrangements that govern the relationship between Hong Kong and Mainland China, the statement is not technically correct because the legislation that governs the relationship between Hong Kong and Mainland China is not the same as the cross-border insolvency regulations.</w:t>
      </w: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283F0FFA" w14:textId="73BD6E48" w:rsidR="00757DD5" w:rsidRDefault="00757DD5" w:rsidP="00757DD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Scheme of Arrangement is a court sanctioned compromise that binds all creditors or members of the relevant class, even those who do not vote for the scheme. </w:t>
      </w:r>
      <w:r w:rsidR="00A45C25">
        <w:rPr>
          <w:rFonts w:ascii="Arial" w:hAnsi="Arial" w:cs="Arial"/>
          <w:color w:val="7B7B7B" w:themeColor="accent3" w:themeShade="BF"/>
          <w:sz w:val="22"/>
          <w:szCs w:val="22"/>
          <w:lang w:val="en-001"/>
        </w:rPr>
        <w:t xml:space="preserve">The scheme can only bind creditors if the governed by Hong Kong law or the relevant creditor takes part in the scheme. </w:t>
      </w:r>
      <w:r w:rsidR="00AF3E0D">
        <w:rPr>
          <w:rFonts w:ascii="Arial" w:hAnsi="Arial" w:cs="Arial"/>
          <w:color w:val="7B7B7B" w:themeColor="accent3" w:themeShade="BF"/>
          <w:sz w:val="22"/>
          <w:szCs w:val="22"/>
          <w:lang w:val="en-001"/>
        </w:rPr>
        <w:t>The rules surrounding the application to the court for a scheme of arrangement are governed by O.102 r 2 and r 5 of the Rules of the High Court (“</w:t>
      </w:r>
      <w:r w:rsidR="00AF3E0D">
        <w:rPr>
          <w:rFonts w:ascii="Arial" w:hAnsi="Arial" w:cs="Arial"/>
          <w:b/>
          <w:bCs/>
          <w:color w:val="7B7B7B" w:themeColor="accent3" w:themeShade="BF"/>
          <w:sz w:val="22"/>
          <w:szCs w:val="22"/>
          <w:lang w:val="en-001"/>
        </w:rPr>
        <w:t>RHC</w:t>
      </w:r>
      <w:r w:rsidR="00AF3E0D">
        <w:rPr>
          <w:rFonts w:ascii="Arial" w:hAnsi="Arial" w:cs="Arial"/>
          <w:color w:val="7B7B7B" w:themeColor="accent3" w:themeShade="BF"/>
          <w:sz w:val="22"/>
          <w:szCs w:val="22"/>
          <w:lang w:val="en-001"/>
        </w:rPr>
        <w:t>”)</w:t>
      </w:r>
    </w:p>
    <w:p w14:paraId="514EBB01" w14:textId="54690874" w:rsidR="00A45C25" w:rsidRDefault="00A45C25" w:rsidP="00757DD5">
      <w:pPr>
        <w:jc w:val="both"/>
        <w:rPr>
          <w:rFonts w:ascii="Arial" w:hAnsi="Arial" w:cs="Arial"/>
          <w:color w:val="7B7B7B" w:themeColor="accent3" w:themeShade="BF"/>
          <w:sz w:val="22"/>
          <w:szCs w:val="22"/>
          <w:lang w:val="en-001"/>
        </w:rPr>
      </w:pPr>
    </w:p>
    <w:p w14:paraId="5C7623FA" w14:textId="2A4491A6" w:rsidR="00A45C25" w:rsidRDefault="00A45C25" w:rsidP="00757DD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Procedure:</w:t>
      </w:r>
    </w:p>
    <w:p w14:paraId="594BACA2" w14:textId="40D29A01"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One must prepare an Explanatory Statement which sets out the background to the company, why a scheme is needed, and the proposed scheme;</w:t>
      </w:r>
    </w:p>
    <w:p w14:paraId="6A6B0190" w14:textId="422271E1"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One must apply to the court for permission to convene meetings of scheme creditors; </w:t>
      </w:r>
    </w:p>
    <w:p w14:paraId="3E77A8C5" w14:textId="2137361E"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Notice of the meeting must be given to all creditors in the relevant classes, if leave is given;</w:t>
      </w:r>
    </w:p>
    <w:p w14:paraId="5E23CEE0" w14:textId="6EE48CC9"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At a meeting of the scheme, the proposed scheme must have support by over 50% of the scheme creditors in number representing at least 75% in value of the creditors attending and voting at the meeting;</w:t>
      </w:r>
    </w:p>
    <w:p w14:paraId="50F9EFD5" w14:textId="78D39F91"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result of the meeting must be reported to court for a sanction meeting to be held;</w:t>
      </w:r>
    </w:p>
    <w:p w14:paraId="699D6719" w14:textId="27625F1C"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Sanction will be approved by the court only if the classes are properly constituted and it is considered that an intelligent and honest creditor might reasonably approve the scheme; and</w:t>
      </w:r>
    </w:p>
    <w:p w14:paraId="03E77AB6" w14:textId="7BE108B2" w:rsidR="00A45C25" w:rsidRDefault="00A45C25" w:rsidP="00A45C25">
      <w:pPr>
        <w:pStyle w:val="ListParagraph"/>
        <w:numPr>
          <w:ilvl w:val="0"/>
          <w:numId w:val="3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scheme will take effect after it is registered at the Companies Registry.</w:t>
      </w:r>
    </w:p>
    <w:p w14:paraId="03178D9B" w14:textId="409690EF" w:rsidR="00A45C25" w:rsidRDefault="00A45C25" w:rsidP="00A45C25">
      <w:pPr>
        <w:jc w:val="both"/>
        <w:rPr>
          <w:rFonts w:ascii="Arial" w:hAnsi="Arial" w:cs="Arial"/>
          <w:color w:val="7B7B7B" w:themeColor="accent3" w:themeShade="BF"/>
          <w:sz w:val="22"/>
          <w:szCs w:val="22"/>
          <w:lang w:val="en-001"/>
        </w:rPr>
      </w:pPr>
    </w:p>
    <w:p w14:paraId="75900487" w14:textId="23627452" w:rsidR="00AF3E0D" w:rsidRDefault="00AF3E0D" w:rsidP="00A45C2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Pros:</w:t>
      </w:r>
    </w:p>
    <w:p w14:paraId="131527A3" w14:textId="453CC155" w:rsidR="00AF3E0D" w:rsidRDefault="00AF3E0D" w:rsidP="00AF3E0D">
      <w:pPr>
        <w:pStyle w:val="ListParagraph"/>
        <w:numPr>
          <w:ilvl w:val="0"/>
          <w:numId w:val="3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Allows for a company and its creditors to adjust debts if the stipulated majorities approve the adjustment and the court sanctions the agreement. Without the scheme </w:t>
      </w:r>
      <w:r>
        <w:rPr>
          <w:rFonts w:ascii="Arial" w:hAnsi="Arial" w:cs="Arial"/>
          <w:color w:val="7B7B7B" w:themeColor="accent3" w:themeShade="BF"/>
          <w:sz w:val="22"/>
          <w:szCs w:val="22"/>
          <w:lang w:val="en-001"/>
        </w:rPr>
        <w:lastRenderedPageBreak/>
        <w:t>of arrangement, a company would need to obtain the approval of 100% of its relevant creditors to vary the debt.</w:t>
      </w:r>
    </w:p>
    <w:p w14:paraId="46D1C4F4" w14:textId="228443A6" w:rsidR="006E0657" w:rsidRDefault="006E0657" w:rsidP="00AF3E0D">
      <w:pPr>
        <w:pStyle w:val="ListParagraph"/>
        <w:numPr>
          <w:ilvl w:val="0"/>
          <w:numId w:val="3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These court sanctioned compromises could include a reduction of a company’s share capital or a modification of its debts owed to creditors to effectively replace existing instruments with new arrangements.</w:t>
      </w:r>
    </w:p>
    <w:p w14:paraId="032F679F" w14:textId="685003C6" w:rsidR="00AF3E0D" w:rsidRDefault="00AF3E0D" w:rsidP="00AF3E0D">
      <w:pPr>
        <w:pStyle w:val="ListParagraph"/>
        <w:numPr>
          <w:ilvl w:val="0"/>
          <w:numId w:val="3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Useful against hold-out creditors who seek some sort of unfair advantage (such as an additional payment) which would be against the interests of a substantial majority of similarly prioritised creditors.</w:t>
      </w:r>
    </w:p>
    <w:p w14:paraId="60ADAB61" w14:textId="35AD63E6" w:rsidR="006E0657" w:rsidRPr="00AF3E0D" w:rsidRDefault="006E0657" w:rsidP="00AF3E0D">
      <w:pPr>
        <w:pStyle w:val="ListParagraph"/>
        <w:numPr>
          <w:ilvl w:val="0"/>
          <w:numId w:val="3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Scheme will be binding on all the scheme creditors in the relevant class or classes, regardless of whether they attended the creditors’ meeting or how they voted.</w:t>
      </w:r>
    </w:p>
    <w:p w14:paraId="022B530D" w14:textId="77777777" w:rsidR="00AF3E0D" w:rsidRDefault="00AF3E0D" w:rsidP="00A45C25">
      <w:pPr>
        <w:jc w:val="both"/>
        <w:rPr>
          <w:rFonts w:ascii="Arial" w:hAnsi="Arial" w:cs="Arial"/>
          <w:color w:val="7B7B7B" w:themeColor="accent3" w:themeShade="BF"/>
          <w:sz w:val="22"/>
          <w:szCs w:val="22"/>
          <w:lang w:val="en-001"/>
        </w:rPr>
      </w:pPr>
    </w:p>
    <w:p w14:paraId="6B42FDE2" w14:textId="7C1610D0" w:rsidR="00A45C25" w:rsidRDefault="00AF3E0D" w:rsidP="00A45C2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Cons:</w:t>
      </w:r>
    </w:p>
    <w:p w14:paraId="5CC2AD5E" w14:textId="4723F891" w:rsidR="00AF3E0D" w:rsidRDefault="00AF3E0D" w:rsidP="00AF3E0D">
      <w:pPr>
        <w:pStyle w:val="ListParagraph"/>
        <w:numPr>
          <w:ilvl w:val="0"/>
          <w:numId w:val="33"/>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Lack of any moratorium (although the case </w:t>
      </w:r>
      <w:r>
        <w:rPr>
          <w:rFonts w:ascii="Arial" w:hAnsi="Arial" w:cs="Arial"/>
          <w:i/>
          <w:iCs/>
          <w:color w:val="7B7B7B" w:themeColor="accent3" w:themeShade="BF"/>
          <w:sz w:val="22"/>
          <w:szCs w:val="22"/>
          <w:lang w:val="en-001"/>
        </w:rPr>
        <w:t xml:space="preserve">Eastman Chemical Ltd v </w:t>
      </w:r>
      <w:proofErr w:type="spellStart"/>
      <w:r>
        <w:rPr>
          <w:rFonts w:ascii="Arial" w:hAnsi="Arial" w:cs="Arial"/>
          <w:i/>
          <w:iCs/>
          <w:color w:val="7B7B7B" w:themeColor="accent3" w:themeShade="BF"/>
          <w:sz w:val="22"/>
          <w:szCs w:val="22"/>
          <w:lang w:val="en-001"/>
        </w:rPr>
        <w:t>Heyro</w:t>
      </w:r>
      <w:proofErr w:type="spellEnd"/>
      <w:r>
        <w:rPr>
          <w:rFonts w:ascii="Arial" w:hAnsi="Arial" w:cs="Arial"/>
          <w:i/>
          <w:iCs/>
          <w:color w:val="7B7B7B" w:themeColor="accent3" w:themeShade="BF"/>
          <w:sz w:val="22"/>
          <w:szCs w:val="22"/>
          <w:lang w:val="en-001"/>
        </w:rPr>
        <w:t xml:space="preserve"> Chemical Co Ltd</w:t>
      </w:r>
      <w:r>
        <w:rPr>
          <w:rFonts w:ascii="Arial" w:hAnsi="Arial" w:cs="Arial"/>
          <w:color w:val="7B7B7B" w:themeColor="accent3" w:themeShade="BF"/>
          <w:sz w:val="22"/>
          <w:szCs w:val="22"/>
          <w:lang w:val="en-001"/>
        </w:rPr>
        <w:t xml:space="preserve"> may further develop a stay in the context of schemes going forward).</w:t>
      </w:r>
    </w:p>
    <w:p w14:paraId="4A03B488" w14:textId="70D605D7" w:rsidR="006E0657" w:rsidRPr="00AF3E0D" w:rsidRDefault="006E0657" w:rsidP="00AF3E0D">
      <w:pPr>
        <w:pStyle w:val="ListParagraph"/>
        <w:numPr>
          <w:ilvl w:val="0"/>
          <w:numId w:val="33"/>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scheme regulations do not specifically deal with the releases of obligations of third parties, such as guarantors, through a scheme mechanism.  </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2908A7D5" w:rsidR="003C10EB" w:rsidRDefault="006E0657" w:rsidP="006E065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 would advise Mr Chan that his friend is providing him with faulty advice and it should not be followed</w:t>
      </w:r>
      <w:r w:rsidR="00DB1B80">
        <w:rPr>
          <w:rFonts w:ascii="Arial" w:hAnsi="Arial" w:cs="Arial"/>
          <w:color w:val="7B7B7B" w:themeColor="accent3" w:themeShade="BF"/>
          <w:sz w:val="22"/>
          <w:szCs w:val="22"/>
          <w:lang w:val="en-001"/>
        </w:rPr>
        <w:t>. Instead, given the company’s likely insolvent state, Mr Chan should consider calling a shareholders’ meeting to put the company into a Creditors’ Voluntary Liquidation (“</w:t>
      </w:r>
      <w:r w:rsidR="00DB1B80">
        <w:rPr>
          <w:rFonts w:ascii="Arial" w:hAnsi="Arial" w:cs="Arial"/>
          <w:b/>
          <w:bCs/>
          <w:color w:val="7B7B7B" w:themeColor="accent3" w:themeShade="BF"/>
          <w:sz w:val="22"/>
          <w:szCs w:val="22"/>
          <w:lang w:val="en-001"/>
        </w:rPr>
        <w:t>CVL</w:t>
      </w:r>
      <w:r w:rsidR="00DB1B80">
        <w:rPr>
          <w:rFonts w:ascii="Arial" w:hAnsi="Arial" w:cs="Arial"/>
          <w:color w:val="7B7B7B" w:themeColor="accent3" w:themeShade="BF"/>
          <w:sz w:val="22"/>
          <w:szCs w:val="22"/>
          <w:lang w:val="en-001"/>
        </w:rPr>
        <w:t xml:space="preserve">”). As opposed to Mr Chan’s friend’s advice to apply to the court to wind up the company which will cost the company much more in liquidation costs and an extended timeline, a CVL is an out-of-court process which can be a much quicker and more cost-efficient process. </w:t>
      </w:r>
      <w:r w:rsidR="009F20B5">
        <w:rPr>
          <w:rFonts w:ascii="Arial" w:hAnsi="Arial" w:cs="Arial"/>
          <w:color w:val="7B7B7B" w:themeColor="accent3" w:themeShade="BF"/>
          <w:sz w:val="22"/>
          <w:szCs w:val="22"/>
          <w:lang w:val="en-001"/>
        </w:rPr>
        <w:t xml:space="preserve">Mr Chan should also be advised that in a CVL process, there is no </w:t>
      </w:r>
      <w:r w:rsidR="009F20B5">
        <w:rPr>
          <w:rFonts w:ascii="Arial" w:hAnsi="Arial" w:cs="Arial"/>
          <w:i/>
          <w:iCs/>
          <w:color w:val="7B7B7B" w:themeColor="accent3" w:themeShade="BF"/>
          <w:sz w:val="22"/>
          <w:szCs w:val="22"/>
          <w:lang w:val="en-001"/>
        </w:rPr>
        <w:t>ad valorem</w:t>
      </w:r>
      <w:r w:rsidR="009F20B5">
        <w:rPr>
          <w:rFonts w:ascii="Arial" w:hAnsi="Arial" w:cs="Arial"/>
          <w:color w:val="7B7B7B" w:themeColor="accent3" w:themeShade="BF"/>
          <w:sz w:val="22"/>
          <w:szCs w:val="22"/>
          <w:lang w:val="en-001"/>
        </w:rPr>
        <w:t xml:space="preserve"> (tax) payable to the government, which is another advantage as opposed to a court-supervised process.</w:t>
      </w:r>
    </w:p>
    <w:p w14:paraId="7B92C178" w14:textId="48152310" w:rsidR="00DB1B80" w:rsidRDefault="00DB1B80" w:rsidP="006E0657">
      <w:pPr>
        <w:jc w:val="both"/>
        <w:rPr>
          <w:rFonts w:ascii="Arial" w:hAnsi="Arial" w:cs="Arial"/>
          <w:color w:val="7B7B7B" w:themeColor="accent3" w:themeShade="BF"/>
          <w:sz w:val="22"/>
          <w:szCs w:val="22"/>
          <w:lang w:val="en-001"/>
        </w:rPr>
      </w:pPr>
    </w:p>
    <w:p w14:paraId="6DEEEA10" w14:textId="3489E450" w:rsidR="00DB1B80" w:rsidRPr="001227CB" w:rsidRDefault="00DB1B80" w:rsidP="006E0657">
      <w:pPr>
        <w:jc w:val="both"/>
        <w:rPr>
          <w:rFonts w:ascii="Arial" w:hAnsi="Arial" w:cs="Arial"/>
          <w:sz w:val="22"/>
          <w:szCs w:val="22"/>
          <w:lang w:val="en-001"/>
        </w:rPr>
      </w:pPr>
      <w:r>
        <w:rPr>
          <w:rFonts w:ascii="Arial" w:hAnsi="Arial" w:cs="Arial"/>
          <w:color w:val="7B7B7B" w:themeColor="accent3" w:themeShade="BF"/>
          <w:sz w:val="22"/>
          <w:szCs w:val="22"/>
          <w:lang w:val="en-001"/>
        </w:rPr>
        <w:t xml:space="preserve">At the shareholders’ meeting, Mr Chan can call for a special resolution to wind up the company due to its liabilities exceeding its assets. A liquidator will be appointed, however, the liquidator will have limited powers until the meeting of creditors is held which cannot be set longer than 14 days after the shareholders’ meeting. </w:t>
      </w:r>
      <w:r w:rsidR="001227CB">
        <w:rPr>
          <w:rFonts w:ascii="Arial" w:hAnsi="Arial" w:cs="Arial"/>
          <w:color w:val="7B7B7B" w:themeColor="accent3" w:themeShade="BF"/>
          <w:sz w:val="22"/>
          <w:szCs w:val="22"/>
          <w:lang w:val="en-001"/>
        </w:rPr>
        <w:t xml:space="preserve">Mr Chan should send notice of the creditors’ meeting to all of the company’s creditors who could be reasonably known at least seven days before the meeting is held and advertise the notice in the Hong Kong Gazette, an English language newspaper, and a Chinese language newspaper which circulates in Hong Kong. </w:t>
      </w:r>
      <w:r w:rsidR="009F20B5">
        <w:rPr>
          <w:rFonts w:ascii="Arial" w:hAnsi="Arial" w:cs="Arial"/>
          <w:color w:val="7B7B7B" w:themeColor="accent3" w:themeShade="BF"/>
          <w:sz w:val="22"/>
          <w:szCs w:val="22"/>
          <w:lang w:val="en-001"/>
        </w:rPr>
        <w:t>Mr Chan or his representative should be present at the meeting where creditors will nominate and vote for the appointment of a liquidator. Then, Mr Chan should take steps to protect the assets of the company and seek to exercise his duties as a directors whilst also keeping in mind the interests of the company’s creditors.</w:t>
      </w:r>
    </w:p>
    <w:p w14:paraId="292D979B" w14:textId="4C1B56E4"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4FE151BA" w14:textId="77777777" w:rsidR="009F20B5" w:rsidRDefault="009F20B5"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6D2537F4" w14:textId="77777777" w:rsidR="00365160" w:rsidRDefault="00365160" w:rsidP="00365160">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GFL has a fixed charge over the receivables of Kite which is a charge in relation to a specific asset that attaches as soon as the charge is created or the relevant asset is acquired by the debtor, Kite. </w:t>
      </w:r>
    </w:p>
    <w:p w14:paraId="095C7215" w14:textId="77777777" w:rsidR="00365160" w:rsidRDefault="00365160" w:rsidP="00365160">
      <w:pPr>
        <w:jc w:val="both"/>
        <w:rPr>
          <w:rFonts w:ascii="Arial" w:hAnsi="Arial" w:cs="Arial"/>
          <w:color w:val="7B7B7B" w:themeColor="accent3" w:themeShade="BF"/>
          <w:sz w:val="22"/>
          <w:szCs w:val="22"/>
          <w:lang w:val="en-001"/>
        </w:rPr>
      </w:pPr>
    </w:p>
    <w:p w14:paraId="7335440E" w14:textId="77777777" w:rsidR="00365160" w:rsidRDefault="00365160" w:rsidP="00365160">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 would advise the liquidator that a receiver is entitled to be paid out of the assets over which he is appointed and to exercise a lien over those assets pending payment. In addition, the liquidation of the borrowing company does not affect the receiver’s right to hold and/or sell the property or assets secured by the charge under which he is appointed. The liquidator will not be allowed to use the realisations made by the receiver out of the assets charged for payment of any liquidation expenses. </w:t>
      </w:r>
    </w:p>
    <w:p w14:paraId="2D8D6CE1" w14:textId="77777777" w:rsidR="00365160" w:rsidRDefault="00365160" w:rsidP="00365160">
      <w:pPr>
        <w:jc w:val="both"/>
        <w:rPr>
          <w:rFonts w:ascii="Arial" w:hAnsi="Arial" w:cs="Arial"/>
          <w:color w:val="7B7B7B" w:themeColor="accent3" w:themeShade="BF"/>
          <w:sz w:val="22"/>
          <w:szCs w:val="22"/>
          <w:lang w:val="en-001"/>
        </w:rPr>
      </w:pPr>
    </w:p>
    <w:p w14:paraId="15465516" w14:textId="717380DF" w:rsidR="003C10EB" w:rsidRDefault="00365160" w:rsidP="00365160">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These realisations cannot be used by the liquidator to provide a dividend to unsecured creditors; however, the receivables could be used to meet claims of preferential creditors, only if there are not enough assets to meet those claims from the company’s uncharged assets. </w:t>
      </w:r>
    </w:p>
    <w:p w14:paraId="7723EFA2" w14:textId="38AD072C" w:rsidR="00365160" w:rsidRDefault="00365160" w:rsidP="00365160">
      <w:pPr>
        <w:jc w:val="both"/>
        <w:rPr>
          <w:rFonts w:ascii="Arial" w:hAnsi="Arial" w:cs="Arial"/>
          <w:color w:val="7B7B7B" w:themeColor="accent3" w:themeShade="BF"/>
          <w:sz w:val="22"/>
          <w:szCs w:val="22"/>
          <w:lang w:val="en-001"/>
        </w:rPr>
      </w:pPr>
    </w:p>
    <w:p w14:paraId="60F8FD6C" w14:textId="18EA98C6" w:rsidR="00365160" w:rsidRDefault="00365160" w:rsidP="00365160">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 would advise the liquidator to investigate how recently the fixed charge was put over the receivables by the receiver appointed by GFL. Because the fixed charge could be considered voidable if it was created and attached </w:t>
      </w:r>
      <w:r w:rsidR="00D01656">
        <w:rPr>
          <w:rFonts w:ascii="Arial" w:hAnsi="Arial" w:cs="Arial"/>
          <w:color w:val="7B7B7B" w:themeColor="accent3" w:themeShade="BF"/>
          <w:sz w:val="22"/>
          <w:szCs w:val="22"/>
          <w:lang w:val="en-001"/>
        </w:rPr>
        <w:t xml:space="preserve">within a certain time before the liquidation was commenced (6 months for a person unconnected to the company, 2 years for a </w:t>
      </w:r>
      <w:proofErr w:type="spellStart"/>
      <w:r w:rsidR="00D01656">
        <w:rPr>
          <w:rFonts w:ascii="Arial" w:hAnsi="Arial" w:cs="Arial"/>
          <w:color w:val="7B7B7B" w:themeColor="accent3" w:themeShade="BF"/>
          <w:sz w:val="22"/>
          <w:szCs w:val="22"/>
          <w:lang w:val="en-001"/>
        </w:rPr>
        <w:t>chargee</w:t>
      </w:r>
      <w:proofErr w:type="spellEnd"/>
      <w:r w:rsidR="00D01656">
        <w:rPr>
          <w:rFonts w:ascii="Arial" w:hAnsi="Arial" w:cs="Arial"/>
          <w:color w:val="7B7B7B" w:themeColor="accent3" w:themeShade="BF"/>
          <w:sz w:val="22"/>
          <w:szCs w:val="22"/>
          <w:lang w:val="en-001"/>
        </w:rPr>
        <w:t xml:space="preserve"> who is connected to the company). </w:t>
      </w:r>
    </w:p>
    <w:p w14:paraId="7AF39647" w14:textId="6DD92464" w:rsidR="00D01656" w:rsidRDefault="00D01656" w:rsidP="00365160">
      <w:pPr>
        <w:jc w:val="both"/>
        <w:rPr>
          <w:rFonts w:ascii="Arial" w:hAnsi="Arial" w:cs="Arial"/>
          <w:color w:val="7B7B7B" w:themeColor="accent3" w:themeShade="BF"/>
          <w:sz w:val="22"/>
          <w:szCs w:val="22"/>
          <w:lang w:val="en-001"/>
        </w:rPr>
      </w:pPr>
    </w:p>
    <w:p w14:paraId="3E56013F" w14:textId="5933BBE7" w:rsidR="00D01656" w:rsidRDefault="00D01656" w:rsidP="00365160">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liquidator should also investigate if the fixed charge was properly registered, as it could be void against a liquidator if it was not properly done. Pursuant to section 335(5)(a) of the Companies Ordinance (Cap 622), a charge requiring registration must be registered within one month of the date of its execution.</w:t>
      </w:r>
    </w:p>
    <w:p w14:paraId="30BC6F4D" w14:textId="4806A368" w:rsidR="00D01656" w:rsidRDefault="00D01656" w:rsidP="00365160">
      <w:pPr>
        <w:jc w:val="both"/>
        <w:rPr>
          <w:rFonts w:ascii="Arial" w:hAnsi="Arial" w:cs="Arial"/>
          <w:color w:val="7B7B7B" w:themeColor="accent3" w:themeShade="BF"/>
          <w:sz w:val="22"/>
          <w:szCs w:val="22"/>
          <w:lang w:val="en-001"/>
        </w:rPr>
      </w:pPr>
    </w:p>
    <w:p w14:paraId="41B79CBB" w14:textId="3C048481" w:rsidR="00D01656" w:rsidRDefault="00D01656" w:rsidP="00365160">
      <w:pPr>
        <w:jc w:val="both"/>
        <w:rPr>
          <w:rFonts w:ascii="Arial" w:hAnsi="Arial" w:cs="Arial"/>
          <w:color w:val="7B7B7B" w:themeColor="accent3" w:themeShade="BF"/>
          <w:sz w:val="22"/>
          <w:szCs w:val="22"/>
          <w:lang w:val="en-001"/>
        </w:rPr>
      </w:pPr>
    </w:p>
    <w:p w14:paraId="145C2926" w14:textId="77777777" w:rsidR="00D01656" w:rsidRPr="00365160" w:rsidRDefault="00D01656" w:rsidP="00365160">
      <w:pPr>
        <w:jc w:val="both"/>
        <w:rPr>
          <w:rFonts w:ascii="Arial" w:hAnsi="Arial" w:cs="Arial"/>
          <w:sz w:val="22"/>
          <w:szCs w:val="22"/>
          <w:lang w:val="en-001"/>
        </w:rPr>
      </w:pP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lastRenderedPageBreak/>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4882B59E" w:rsidR="003765EF" w:rsidRDefault="003765EF" w:rsidP="00E14FA7">
      <w:pPr>
        <w:jc w:val="both"/>
        <w:rPr>
          <w:rFonts w:ascii="Arial" w:hAnsi="Arial" w:cs="Arial"/>
          <w:color w:val="000000" w:themeColor="text1"/>
          <w:sz w:val="22"/>
          <w:szCs w:val="22"/>
          <w:lang w:val="en-GB"/>
        </w:rPr>
      </w:pPr>
    </w:p>
    <w:p w14:paraId="597E4A56" w14:textId="34989024" w:rsidR="00141C0B" w:rsidRDefault="00141C0B" w:rsidP="00E14FA7">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Hong Kong follows common law principles and aa foreign liquidator’s right to bring an action in Hong Kong (in the name of the company) should be recognised. </w:t>
      </w:r>
      <w:r w:rsidR="00AE0E62">
        <w:rPr>
          <w:rFonts w:ascii="Arial" w:hAnsi="Arial" w:cs="Arial"/>
          <w:color w:val="808080" w:themeColor="background1" w:themeShade="80"/>
          <w:sz w:val="22"/>
          <w:szCs w:val="22"/>
          <w:lang w:val="en-001"/>
        </w:rPr>
        <w:t xml:space="preserve">With regards to obtaining assistance from a Hong Kong court in relation to the potential assets of SPL held in Hong Kong, the BVI liquidator could apply to the Hong Kong court to commence an ancillary liquidation in Hong Kong where the principal liquidation is situated in the BVI, where the company is incorporated. The Hong Kong court would apply the “modified universalism” approach, where the functions of the Hong Kong liquidators will generally be to collect assets in Hong Kong, to settle a list of Hong Kong creditors and to transfer the assets and </w:t>
      </w:r>
      <w:r w:rsidR="00AE0E62">
        <w:rPr>
          <w:rFonts w:ascii="Arial" w:hAnsi="Arial" w:cs="Arial"/>
          <w:color w:val="808080" w:themeColor="background1" w:themeShade="80"/>
          <w:sz w:val="22"/>
          <w:szCs w:val="22"/>
          <w:lang w:val="en-001"/>
        </w:rPr>
        <w:lastRenderedPageBreak/>
        <w:t>list of creditors to the principal liquidators to enable a dividend to be paid to the company’s stakeholders. In granting an ancillary winding up order, the court will need to be satisfied that the “three core requirements” are met:</w:t>
      </w:r>
    </w:p>
    <w:p w14:paraId="5BDE7E82" w14:textId="77777777" w:rsidR="00AE0E62" w:rsidRDefault="00AE0E62" w:rsidP="00E14FA7">
      <w:pPr>
        <w:jc w:val="both"/>
        <w:rPr>
          <w:rFonts w:ascii="Arial" w:hAnsi="Arial" w:cs="Arial"/>
          <w:color w:val="808080" w:themeColor="background1" w:themeShade="80"/>
          <w:sz w:val="22"/>
          <w:szCs w:val="22"/>
          <w:lang w:val="en-001"/>
        </w:rPr>
      </w:pPr>
    </w:p>
    <w:p w14:paraId="5319F5CA" w14:textId="7E9601C8" w:rsidR="00AE0E62" w:rsidRDefault="00AE0E62" w:rsidP="00021DBE">
      <w:pPr>
        <w:pStyle w:val="ListParagraph"/>
        <w:numPr>
          <w:ilvl w:val="0"/>
          <w:numId w:val="37"/>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There must be sufficient connection with Hong Kong – given that SPL’s director Mr. Qi is from Hong Kong, SPL’s independent director and book-keeper are both from Hong Kong, and SPL has a Hong Kong bank account, the court could view this requirement as met. </w:t>
      </w:r>
    </w:p>
    <w:p w14:paraId="5BCF573E" w14:textId="77777777" w:rsidR="00AE0E62" w:rsidRDefault="00AE0E62" w:rsidP="00AE0E62">
      <w:pPr>
        <w:pStyle w:val="ListParagraph"/>
        <w:jc w:val="both"/>
        <w:rPr>
          <w:rFonts w:ascii="Arial" w:hAnsi="Arial" w:cs="Arial"/>
          <w:color w:val="808080" w:themeColor="background1" w:themeShade="80"/>
          <w:sz w:val="22"/>
          <w:szCs w:val="22"/>
          <w:lang w:val="en-001"/>
        </w:rPr>
      </w:pPr>
    </w:p>
    <w:p w14:paraId="292EAC55" w14:textId="5016D7FF" w:rsidR="00AE0E62" w:rsidRDefault="00AE0E62" w:rsidP="00021DBE">
      <w:pPr>
        <w:pStyle w:val="ListParagraph"/>
        <w:numPr>
          <w:ilvl w:val="0"/>
          <w:numId w:val="37"/>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There must be a reasonable possibility that the winding up order would benefit those applying for it – given that SPL </w:t>
      </w:r>
      <w:r w:rsidR="00217AFA">
        <w:rPr>
          <w:rFonts w:ascii="Arial" w:hAnsi="Arial" w:cs="Arial"/>
          <w:color w:val="808080" w:themeColor="background1" w:themeShade="80"/>
          <w:sz w:val="22"/>
          <w:szCs w:val="22"/>
          <w:lang w:val="en-001"/>
        </w:rPr>
        <w:t>holds a bank account in Hong Kong which could be returned to SPL’s account in the BVI for distributions to its shareholder, Mr Xu, and that a Hong Kong liquidation proceeding could potentially allow for co-operation with the Mainland regarding SPL’s assets believed to be in the Mainland, the court could view this requirement as having been met.</w:t>
      </w:r>
    </w:p>
    <w:p w14:paraId="37AD44E4" w14:textId="77777777" w:rsidR="00217AFA" w:rsidRPr="00217AFA" w:rsidRDefault="00217AFA" w:rsidP="00217AFA">
      <w:pPr>
        <w:pStyle w:val="ListParagraph"/>
        <w:rPr>
          <w:rFonts w:ascii="Arial" w:hAnsi="Arial" w:cs="Arial"/>
          <w:color w:val="808080" w:themeColor="background1" w:themeShade="80"/>
          <w:sz w:val="22"/>
          <w:szCs w:val="22"/>
          <w:lang w:val="en-001"/>
        </w:rPr>
      </w:pPr>
    </w:p>
    <w:p w14:paraId="17692496" w14:textId="70B9B3B0" w:rsidR="00217AFA" w:rsidRPr="00AE0E62" w:rsidRDefault="00217AFA" w:rsidP="00021DBE">
      <w:pPr>
        <w:pStyle w:val="ListParagraph"/>
        <w:numPr>
          <w:ilvl w:val="0"/>
          <w:numId w:val="37"/>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court must be able to exercise jurisdiction over one or more persons interested in the distribution of the company’s assets – given that Mr Xu is from Hong Kong and a creditor of SPL for approximately US$22 million, he could be seen to have sufficient economic interest in the winding up of the company to justify the court producing an order.</w:t>
      </w:r>
    </w:p>
    <w:p w14:paraId="7B86E2B4" w14:textId="1F2F5C21" w:rsidR="00141C0B" w:rsidRDefault="00141C0B" w:rsidP="00E14FA7">
      <w:pPr>
        <w:jc w:val="both"/>
        <w:rPr>
          <w:rFonts w:ascii="Arial" w:hAnsi="Arial" w:cs="Arial"/>
          <w:color w:val="808080" w:themeColor="background1" w:themeShade="80"/>
          <w:sz w:val="22"/>
          <w:szCs w:val="22"/>
          <w:lang w:val="en-GB"/>
        </w:rPr>
      </w:pPr>
    </w:p>
    <w:p w14:paraId="76EE14C2" w14:textId="5E463EFF" w:rsidR="00217AFA" w:rsidRDefault="00217AFA" w:rsidP="00E14FA7">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However, it is noted that if the BVI liquidator is recognised as a foreign representative, the Hong Kong bank should readily provide assistance and documents in relation to the company’s accounts even without the foreign representative having to first obtain a Hong Kong court order.</w:t>
      </w:r>
    </w:p>
    <w:p w14:paraId="7E3E44CE" w14:textId="35E28AB9" w:rsidR="00217AFA" w:rsidRDefault="00217AFA" w:rsidP="00E14FA7">
      <w:pPr>
        <w:jc w:val="both"/>
        <w:rPr>
          <w:rFonts w:ascii="Arial" w:hAnsi="Arial" w:cs="Arial"/>
          <w:color w:val="808080" w:themeColor="background1" w:themeShade="80"/>
          <w:sz w:val="22"/>
          <w:szCs w:val="22"/>
          <w:lang w:val="en-001"/>
        </w:rPr>
      </w:pPr>
    </w:p>
    <w:p w14:paraId="4EF0A6A9" w14:textId="6C46B201" w:rsidR="00217AFA" w:rsidRDefault="00217AFA" w:rsidP="00E14FA7">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BVI liquidator could also apply for a recognition order from a Hong Kong court to seek production of documents or examination of individuals in Hong Kong, such as Mr Qi, Mr Zhang or Mr Wong. </w:t>
      </w:r>
    </w:p>
    <w:p w14:paraId="4A07B6AF" w14:textId="77777777" w:rsidR="00217AFA" w:rsidRPr="00217AFA" w:rsidRDefault="00217AFA" w:rsidP="00E14FA7">
      <w:pPr>
        <w:jc w:val="both"/>
        <w:rPr>
          <w:rFonts w:ascii="Arial" w:hAnsi="Arial" w:cs="Arial"/>
          <w:color w:val="808080" w:themeColor="background1" w:themeShade="80"/>
          <w:sz w:val="22"/>
          <w:szCs w:val="22"/>
          <w:lang w:val="en-001"/>
        </w:rPr>
      </w:pPr>
    </w:p>
    <w:p w14:paraId="2C2539B2" w14:textId="552B2464" w:rsidR="00217AFA" w:rsidRDefault="00141C0B" w:rsidP="00141C0B">
      <w:pPr>
        <w:jc w:val="both"/>
        <w:rPr>
          <w:rFonts w:ascii="Arial" w:hAnsi="Arial" w:cs="Arial"/>
          <w:color w:val="808080" w:themeColor="background1" w:themeShade="80"/>
          <w:sz w:val="22"/>
          <w:szCs w:val="22"/>
          <w:lang w:val="en-001"/>
        </w:rPr>
      </w:pPr>
      <w:r w:rsidRPr="00141C0B">
        <w:rPr>
          <w:rFonts w:ascii="Arial" w:hAnsi="Arial" w:cs="Arial"/>
          <w:color w:val="808080" w:themeColor="background1" w:themeShade="80"/>
          <w:sz w:val="22"/>
          <w:szCs w:val="22"/>
          <w:lang w:val="en-001"/>
        </w:rPr>
        <w:t xml:space="preserve">With regards to the co-operation mechanism referenced in (e), </w:t>
      </w:r>
      <w:r w:rsidR="00217AFA">
        <w:rPr>
          <w:rFonts w:ascii="Arial" w:hAnsi="Arial" w:cs="Arial"/>
          <w:color w:val="808080" w:themeColor="background1" w:themeShade="80"/>
          <w:sz w:val="22"/>
          <w:szCs w:val="22"/>
          <w:lang w:val="en-001"/>
        </w:rPr>
        <w:t xml:space="preserve">the assets believed to be held in Mainland would need to be located in the pilot areas of Shanghai Municipality, Xiamen Municipality of </w:t>
      </w:r>
      <w:proofErr w:type="spellStart"/>
      <w:r w:rsidR="00217AFA">
        <w:rPr>
          <w:rFonts w:ascii="Arial" w:hAnsi="Arial" w:cs="Arial"/>
          <w:color w:val="808080" w:themeColor="background1" w:themeShade="80"/>
          <w:sz w:val="22"/>
          <w:szCs w:val="22"/>
          <w:lang w:val="en-001"/>
        </w:rPr>
        <w:t>Fujan</w:t>
      </w:r>
      <w:proofErr w:type="spellEnd"/>
      <w:r w:rsidR="00217AFA">
        <w:rPr>
          <w:rFonts w:ascii="Arial" w:hAnsi="Arial" w:cs="Arial"/>
          <w:color w:val="808080" w:themeColor="background1" w:themeShade="80"/>
          <w:sz w:val="22"/>
          <w:szCs w:val="22"/>
          <w:lang w:val="en-001"/>
        </w:rPr>
        <w:t xml:space="preserve"> Province, and Shenzhen </w:t>
      </w:r>
      <w:proofErr w:type="spellStart"/>
      <w:r w:rsidR="00217AFA">
        <w:rPr>
          <w:rFonts w:ascii="Arial" w:hAnsi="Arial" w:cs="Arial"/>
          <w:color w:val="808080" w:themeColor="background1" w:themeShade="80"/>
          <w:sz w:val="22"/>
          <w:szCs w:val="22"/>
          <w:lang w:val="en-001"/>
        </w:rPr>
        <w:t>Municpality</w:t>
      </w:r>
      <w:proofErr w:type="spellEnd"/>
      <w:r w:rsidR="00217AFA">
        <w:rPr>
          <w:rFonts w:ascii="Arial" w:hAnsi="Arial" w:cs="Arial"/>
          <w:color w:val="808080" w:themeColor="background1" w:themeShade="80"/>
          <w:sz w:val="22"/>
          <w:szCs w:val="22"/>
          <w:lang w:val="en-001"/>
        </w:rPr>
        <w:t xml:space="preserve"> of Guangdong Province. </w:t>
      </w:r>
      <w:r w:rsidR="00021DBE">
        <w:rPr>
          <w:rFonts w:ascii="Arial" w:hAnsi="Arial" w:cs="Arial"/>
          <w:color w:val="808080" w:themeColor="background1" w:themeShade="80"/>
          <w:sz w:val="22"/>
          <w:szCs w:val="22"/>
          <w:lang w:val="en-001"/>
        </w:rPr>
        <w:t>Additionally, it would need to be proved that the debtor’s COMI is in Hong Kong. Even though, SPL is incorporated in the BVI, there is a chance with the answers provided above to the first requirement (1) that the COMI of SPL could be considered to be Hong Kong.</w:t>
      </w:r>
    </w:p>
    <w:p w14:paraId="7F898E3C" w14:textId="77777777" w:rsidR="00217AFA" w:rsidRDefault="00217AFA" w:rsidP="00141C0B">
      <w:pPr>
        <w:jc w:val="both"/>
        <w:rPr>
          <w:rFonts w:ascii="Arial" w:hAnsi="Arial" w:cs="Arial"/>
          <w:color w:val="808080" w:themeColor="background1" w:themeShade="80"/>
          <w:sz w:val="22"/>
          <w:szCs w:val="22"/>
          <w:lang w:val="en-001"/>
        </w:rPr>
      </w:pPr>
    </w:p>
    <w:p w14:paraId="6660A733" w14:textId="3298AA89" w:rsidR="003765EF" w:rsidRPr="00021DBE" w:rsidRDefault="00021DBE" w:rsidP="00E14FA7">
      <w:pPr>
        <w:jc w:val="both"/>
        <w:rPr>
          <w:rFonts w:ascii="Arial" w:hAnsi="Arial" w:cs="Arial"/>
          <w:color w:val="808080" w:themeColor="background1" w:themeShade="80"/>
          <w:sz w:val="22"/>
          <w:szCs w:val="22"/>
          <w:lang w:val="en-001"/>
        </w:rPr>
      </w:pPr>
      <w:r w:rsidRPr="00021DBE">
        <w:rPr>
          <w:rFonts w:ascii="Arial" w:hAnsi="Arial" w:cs="Arial"/>
          <w:color w:val="808080" w:themeColor="background1" w:themeShade="80"/>
          <w:sz w:val="22"/>
          <w:szCs w:val="22"/>
          <w:lang w:val="en-001"/>
        </w:rPr>
        <w:t xml:space="preserve">With regards to the view that Mr Xu had no standing to bring the winding up order because of the clause in the FA noted in (a), there is a chance that the contract itself would be subject to the anti-deprivation principle if the winding up process was brought in front of a Hong Kong court. The court could note that no one can be allowed to benefit from a contract that is in fraud of the insolvency laws, if the court were to view the contract as fraudulent. </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2CF3" w14:textId="77777777" w:rsidR="008E310D" w:rsidRDefault="008E310D" w:rsidP="00241B44">
      <w:r>
        <w:separator/>
      </w:r>
    </w:p>
  </w:endnote>
  <w:endnote w:type="continuationSeparator" w:id="0">
    <w:p w14:paraId="6593CDAB" w14:textId="77777777" w:rsidR="008E310D" w:rsidRDefault="008E31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7562E07A" w14:textId="08B0A51E" w:rsidR="00BB5DDD" w:rsidRPr="00BB5DDD" w:rsidRDefault="00AB3DF3" w:rsidP="009B4976">
    <w:pPr>
      <w:pStyle w:val="Footer"/>
      <w:ind w:right="360"/>
      <w:rPr>
        <w:rFonts w:ascii="Arial" w:hAnsi="Arial" w:cs="Arial"/>
        <w:sz w:val="18"/>
        <w:szCs w:val="18"/>
        <w:lang w:val="en-001"/>
      </w:rPr>
    </w:pPr>
    <w:r w:rsidRPr="00AB3DF3">
      <w:rPr>
        <w:rFonts w:ascii="Arial" w:hAnsi="Arial" w:cs="Arial"/>
        <w:sz w:val="18"/>
        <w:szCs w:val="18"/>
        <w:lang w:val="en-GB"/>
      </w:rPr>
      <w:t>202122-529.assessment</w:t>
    </w:r>
    <w:r w:rsidR="00BB5DDD">
      <w:rPr>
        <w:rFonts w:ascii="Arial" w:hAnsi="Arial" w:cs="Arial"/>
        <w:sz w:val="18"/>
        <w:szCs w:val="18"/>
        <w:lang w:val="en-001"/>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87E9" w14:textId="77777777" w:rsidR="008E310D" w:rsidRDefault="008E310D" w:rsidP="00241B44">
      <w:r>
        <w:separator/>
      </w:r>
    </w:p>
  </w:footnote>
  <w:footnote w:type="continuationSeparator" w:id="0">
    <w:p w14:paraId="0AC27EA7" w14:textId="77777777" w:rsidR="008E310D" w:rsidRDefault="008E310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404D" w14:textId="77777777" w:rsidR="00AB3DF3" w:rsidRDefault="00AB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61D0" w14:textId="77777777" w:rsidR="00AB3DF3" w:rsidRDefault="00AB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095F" w14:textId="77777777" w:rsidR="00AB3DF3" w:rsidRDefault="00AB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7724E"/>
    <w:multiLevelType w:val="hybridMultilevel"/>
    <w:tmpl w:val="B716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622802"/>
    <w:multiLevelType w:val="hybridMultilevel"/>
    <w:tmpl w:val="3682A58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431D5"/>
    <w:multiLevelType w:val="hybridMultilevel"/>
    <w:tmpl w:val="FDBC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F6147A"/>
    <w:multiLevelType w:val="hybridMultilevel"/>
    <w:tmpl w:val="960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27A63"/>
    <w:multiLevelType w:val="hybridMultilevel"/>
    <w:tmpl w:val="194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D2E17"/>
    <w:multiLevelType w:val="hybridMultilevel"/>
    <w:tmpl w:val="D5E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93D0B"/>
    <w:multiLevelType w:val="hybridMultilevel"/>
    <w:tmpl w:val="2F240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114FF"/>
    <w:multiLevelType w:val="hybridMultilevel"/>
    <w:tmpl w:val="661A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A4CE8"/>
    <w:multiLevelType w:val="hybridMultilevel"/>
    <w:tmpl w:val="3FF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F2B66"/>
    <w:multiLevelType w:val="hybridMultilevel"/>
    <w:tmpl w:val="5AA85F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19"/>
  </w:num>
  <w:num w:numId="4">
    <w:abstractNumId w:val="23"/>
  </w:num>
  <w:num w:numId="5">
    <w:abstractNumId w:val="11"/>
  </w:num>
  <w:num w:numId="6">
    <w:abstractNumId w:val="10"/>
  </w:num>
  <w:num w:numId="7">
    <w:abstractNumId w:val="9"/>
  </w:num>
  <w:num w:numId="8">
    <w:abstractNumId w:val="21"/>
  </w:num>
  <w:num w:numId="9">
    <w:abstractNumId w:val="4"/>
  </w:num>
  <w:num w:numId="10">
    <w:abstractNumId w:val="27"/>
  </w:num>
  <w:num w:numId="11">
    <w:abstractNumId w:val="18"/>
  </w:num>
  <w:num w:numId="12">
    <w:abstractNumId w:val="24"/>
  </w:num>
  <w:num w:numId="13">
    <w:abstractNumId w:val="36"/>
  </w:num>
  <w:num w:numId="14">
    <w:abstractNumId w:val="28"/>
  </w:num>
  <w:num w:numId="15">
    <w:abstractNumId w:val="26"/>
  </w:num>
  <w:num w:numId="16">
    <w:abstractNumId w:val="25"/>
  </w:num>
  <w:num w:numId="17">
    <w:abstractNumId w:val="5"/>
  </w:num>
  <w:num w:numId="18">
    <w:abstractNumId w:val="35"/>
  </w:num>
  <w:num w:numId="19">
    <w:abstractNumId w:val="29"/>
  </w:num>
  <w:num w:numId="20">
    <w:abstractNumId w:val="33"/>
  </w:num>
  <w:num w:numId="21">
    <w:abstractNumId w:val="17"/>
  </w:num>
  <w:num w:numId="22">
    <w:abstractNumId w:val="20"/>
  </w:num>
  <w:num w:numId="23">
    <w:abstractNumId w:val="0"/>
  </w:num>
  <w:num w:numId="24">
    <w:abstractNumId w:val="30"/>
  </w:num>
  <w:num w:numId="25">
    <w:abstractNumId w:val="6"/>
  </w:num>
  <w:num w:numId="26">
    <w:abstractNumId w:val="2"/>
  </w:num>
  <w:num w:numId="27">
    <w:abstractNumId w:val="3"/>
  </w:num>
  <w:num w:numId="28">
    <w:abstractNumId w:val="15"/>
  </w:num>
  <w:num w:numId="29">
    <w:abstractNumId w:val="13"/>
  </w:num>
  <w:num w:numId="30">
    <w:abstractNumId w:val="8"/>
  </w:num>
  <w:num w:numId="31">
    <w:abstractNumId w:val="1"/>
  </w:num>
  <w:num w:numId="32">
    <w:abstractNumId w:val="22"/>
  </w:num>
  <w:num w:numId="33">
    <w:abstractNumId w:val="16"/>
  </w:num>
  <w:num w:numId="34">
    <w:abstractNumId w:val="14"/>
  </w:num>
  <w:num w:numId="35">
    <w:abstractNumId w:val="12"/>
  </w:num>
  <w:num w:numId="36">
    <w:abstractNumId w:val="32"/>
  </w:num>
  <w:num w:numId="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DBE"/>
    <w:rsid w:val="00021FC2"/>
    <w:rsid w:val="000250C7"/>
    <w:rsid w:val="00026F16"/>
    <w:rsid w:val="00037621"/>
    <w:rsid w:val="00044D46"/>
    <w:rsid w:val="00045088"/>
    <w:rsid w:val="00045904"/>
    <w:rsid w:val="00046FA0"/>
    <w:rsid w:val="000502FD"/>
    <w:rsid w:val="0005076F"/>
    <w:rsid w:val="00057102"/>
    <w:rsid w:val="00065166"/>
    <w:rsid w:val="000669F5"/>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27CB"/>
    <w:rsid w:val="00123305"/>
    <w:rsid w:val="00123855"/>
    <w:rsid w:val="00126A4D"/>
    <w:rsid w:val="0014171F"/>
    <w:rsid w:val="00141C0B"/>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17AFA"/>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2B76"/>
    <w:rsid w:val="002A37BB"/>
    <w:rsid w:val="002B1C45"/>
    <w:rsid w:val="002B4843"/>
    <w:rsid w:val="002C13C8"/>
    <w:rsid w:val="002C3547"/>
    <w:rsid w:val="002C6462"/>
    <w:rsid w:val="002D0021"/>
    <w:rsid w:val="002D299D"/>
    <w:rsid w:val="002D30E7"/>
    <w:rsid w:val="002D3473"/>
    <w:rsid w:val="002E3BC6"/>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160"/>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0657"/>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57DD5"/>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10D"/>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0B5"/>
    <w:rsid w:val="009F275E"/>
    <w:rsid w:val="00A0319B"/>
    <w:rsid w:val="00A047EE"/>
    <w:rsid w:val="00A2274A"/>
    <w:rsid w:val="00A235B7"/>
    <w:rsid w:val="00A27A7A"/>
    <w:rsid w:val="00A303C9"/>
    <w:rsid w:val="00A34ABE"/>
    <w:rsid w:val="00A407EF"/>
    <w:rsid w:val="00A45C25"/>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3DF3"/>
    <w:rsid w:val="00AB685C"/>
    <w:rsid w:val="00AB6C2D"/>
    <w:rsid w:val="00AC08F7"/>
    <w:rsid w:val="00AC3839"/>
    <w:rsid w:val="00AC7082"/>
    <w:rsid w:val="00AD4BE8"/>
    <w:rsid w:val="00AE0E62"/>
    <w:rsid w:val="00AF228E"/>
    <w:rsid w:val="00AF3E0D"/>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B5DDD"/>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1656"/>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1B8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86ED3"/>
    <w:rsid w:val="00E90991"/>
    <w:rsid w:val="00E909F0"/>
    <w:rsid w:val="00E90D47"/>
    <w:rsid w:val="00E93993"/>
    <w:rsid w:val="00E9597C"/>
    <w:rsid w:val="00EA0913"/>
    <w:rsid w:val="00EA255F"/>
    <w:rsid w:val="00EA5B00"/>
    <w:rsid w:val="00EB146B"/>
    <w:rsid w:val="00EB45AC"/>
    <w:rsid w:val="00EB4E15"/>
    <w:rsid w:val="00EC0C75"/>
    <w:rsid w:val="00EC2126"/>
    <w:rsid w:val="00EC3D7B"/>
    <w:rsid w:val="00EC441F"/>
    <w:rsid w:val="00EC4755"/>
    <w:rsid w:val="00ED0BC4"/>
    <w:rsid w:val="00ED447D"/>
    <w:rsid w:val="00EE2518"/>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4124"/>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Reback, Eli</cp:lastModifiedBy>
  <cp:revision>9</cp:revision>
  <cp:lastPrinted>2020-06-08T04:09:00Z</cp:lastPrinted>
  <dcterms:created xsi:type="dcterms:W3CDTF">2021-09-20T09:41:00Z</dcterms:created>
  <dcterms:modified xsi:type="dcterms:W3CDTF">2022-07-24T01:15:00Z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