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jstalinea"/>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F4105A" w:rsidRDefault="00F96FF3" w:rsidP="00F4105A">
      <w:pPr>
        <w:pStyle w:val="Lijstalinea"/>
        <w:numPr>
          <w:ilvl w:val="0"/>
          <w:numId w:val="28"/>
        </w:numPr>
        <w:ind w:left="426"/>
        <w:jc w:val="both"/>
        <w:rPr>
          <w:rFonts w:ascii="Arial" w:hAnsi="Arial" w:cs="Arial"/>
          <w:sz w:val="22"/>
          <w:szCs w:val="22"/>
          <w:lang w:val="en-GB"/>
        </w:rPr>
      </w:pPr>
      <w:r w:rsidRPr="00DF2752">
        <w:rPr>
          <w:rFonts w:ascii="Arial" w:hAnsi="Arial" w:cs="Arial"/>
          <w:sz w:val="22"/>
          <w:szCs w:val="22"/>
          <w:highlight w:val="yellow"/>
          <w:lang w:val="en-GB"/>
        </w:rPr>
        <w:t>E</w:t>
      </w:r>
      <w:r w:rsidR="005B5F6E" w:rsidRPr="00DF2752">
        <w:rPr>
          <w:rFonts w:ascii="Arial" w:hAnsi="Arial" w:cs="Arial"/>
          <w:sz w:val="22"/>
          <w:szCs w:val="22"/>
          <w:highlight w:val="yellow"/>
          <w:lang w:val="en-GB"/>
        </w:rPr>
        <w:t>nterprise</w:t>
      </w:r>
      <w:r w:rsidR="00C50D55" w:rsidRPr="00DF2752">
        <w:rPr>
          <w:rFonts w:ascii="Arial" w:hAnsi="Arial" w:cs="Arial"/>
          <w:sz w:val="22"/>
          <w:szCs w:val="22"/>
          <w:highlight w:val="yellow"/>
          <w:lang w:val="en-GB"/>
        </w:rPr>
        <w:t>s</w:t>
      </w:r>
      <w:r w:rsidR="005B5F6E" w:rsidRPr="00DF2752">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jstalinea"/>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jstalinea"/>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jstalinea"/>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jstalinea"/>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jstalinea"/>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F4105A" w:rsidRDefault="00C50D55" w:rsidP="00F4105A">
      <w:pPr>
        <w:pStyle w:val="Lijstalinea"/>
        <w:numPr>
          <w:ilvl w:val="0"/>
          <w:numId w:val="29"/>
        </w:numPr>
        <w:ind w:left="426"/>
        <w:jc w:val="both"/>
        <w:rPr>
          <w:rFonts w:ascii="Arial" w:hAnsi="Arial" w:cs="Arial"/>
          <w:sz w:val="22"/>
          <w:szCs w:val="22"/>
          <w:lang w:val="en-GB"/>
        </w:rPr>
      </w:pPr>
      <w:r w:rsidRPr="00DF2752">
        <w:rPr>
          <w:rFonts w:ascii="Arial" w:hAnsi="Arial" w:cs="Arial"/>
          <w:sz w:val="22"/>
          <w:szCs w:val="22"/>
          <w:highlight w:val="yellow"/>
          <w:lang w:val="en-GB"/>
        </w:rPr>
        <w:t>Reorgani</w:t>
      </w:r>
      <w:r w:rsidR="004E6603" w:rsidRPr="00DF2752">
        <w:rPr>
          <w:rFonts w:ascii="Arial" w:hAnsi="Arial" w:cs="Arial"/>
          <w:sz w:val="22"/>
          <w:szCs w:val="22"/>
          <w:highlight w:val="yellow"/>
          <w:lang w:val="en-GB"/>
        </w:rPr>
        <w:t>s</w:t>
      </w:r>
      <w:r w:rsidRPr="00DF2752">
        <w:rPr>
          <w:rFonts w:ascii="Arial" w:hAnsi="Arial" w:cs="Arial"/>
          <w:sz w:val="22"/>
          <w:szCs w:val="22"/>
          <w:highlight w:val="yellow"/>
          <w:lang w:val="en-GB"/>
        </w:rPr>
        <w:t>ation, settlement and liquidation</w:t>
      </w:r>
      <w:r w:rsidR="005A2E18" w:rsidRPr="00DF2752">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jstalinea"/>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F4105A" w:rsidRDefault="00C50D55" w:rsidP="00F4105A">
      <w:pPr>
        <w:pStyle w:val="Lijstalinea"/>
        <w:numPr>
          <w:ilvl w:val="0"/>
          <w:numId w:val="30"/>
        </w:numPr>
        <w:ind w:left="426"/>
        <w:jc w:val="both"/>
        <w:rPr>
          <w:rFonts w:ascii="Arial" w:hAnsi="Arial" w:cs="Arial"/>
          <w:sz w:val="22"/>
          <w:szCs w:val="22"/>
          <w:lang w:val="en-GB"/>
        </w:rPr>
      </w:pPr>
      <w:r w:rsidRPr="00C210BA">
        <w:rPr>
          <w:rFonts w:ascii="Arial" w:hAnsi="Arial" w:cs="Arial"/>
          <w:sz w:val="22"/>
          <w:szCs w:val="22"/>
          <w:highlight w:val="yellow"/>
          <w:lang w:val="en-GB"/>
        </w:rPr>
        <w:t>Only the court can appoint a bankruptcy administrator</w:t>
      </w:r>
      <w:r w:rsidR="00860A53" w:rsidRPr="00C210BA">
        <w:rPr>
          <w:rFonts w:ascii="Arial" w:hAnsi="Arial" w:cs="Arial"/>
          <w:sz w:val="22"/>
          <w:szCs w:val="22"/>
          <w:highlight w:val="yellow"/>
          <w:lang w:val="en-GB"/>
        </w:rPr>
        <w:t>.</w:t>
      </w:r>
      <w:r w:rsidRPr="00C210BA">
        <w:rPr>
          <w:rFonts w:ascii="Arial" w:hAnsi="Arial" w:cs="Arial"/>
          <w:sz w:val="22"/>
          <w:szCs w:val="22"/>
          <w:highlight w:val="yellow"/>
          <w:lang w:val="en-GB"/>
        </w:rPr>
        <w:t xml:space="preserve"> </w:t>
      </w:r>
      <w:r w:rsidR="00860A53" w:rsidRPr="00C210BA">
        <w:rPr>
          <w:rFonts w:ascii="Arial" w:hAnsi="Arial" w:cs="Arial"/>
          <w:sz w:val="22"/>
          <w:szCs w:val="22"/>
          <w:highlight w:val="yellow"/>
          <w:lang w:val="en-GB"/>
        </w:rPr>
        <w:t>C</w:t>
      </w:r>
      <w:r w:rsidRPr="00C210BA">
        <w:rPr>
          <w:rFonts w:ascii="Arial" w:hAnsi="Arial" w:cs="Arial"/>
          <w:sz w:val="22"/>
          <w:szCs w:val="22"/>
          <w:highlight w:val="yellow"/>
          <w:lang w:val="en-GB"/>
        </w:rPr>
        <w:t xml:space="preserve">reditors </w:t>
      </w:r>
      <w:r w:rsidR="00860A53" w:rsidRPr="00C210BA">
        <w:rPr>
          <w:rFonts w:ascii="Arial" w:hAnsi="Arial" w:cs="Arial"/>
          <w:sz w:val="22"/>
          <w:szCs w:val="22"/>
          <w:highlight w:val="yellow"/>
          <w:lang w:val="en-GB"/>
        </w:rPr>
        <w:t>may</w:t>
      </w:r>
      <w:r w:rsidRPr="00C210BA">
        <w:rPr>
          <w:rFonts w:ascii="Arial" w:hAnsi="Arial" w:cs="Arial"/>
          <w:sz w:val="22"/>
          <w:szCs w:val="22"/>
          <w:highlight w:val="yellow"/>
          <w:lang w:val="en-GB"/>
        </w:rPr>
        <w:t xml:space="preserve"> request a replacement </w:t>
      </w:r>
      <w:r w:rsidR="00860A53" w:rsidRPr="00C210BA">
        <w:rPr>
          <w:rFonts w:ascii="Arial" w:hAnsi="Arial" w:cs="Arial"/>
          <w:sz w:val="22"/>
          <w:szCs w:val="22"/>
          <w:highlight w:val="yellow"/>
          <w:lang w:val="en-GB"/>
        </w:rPr>
        <w:t xml:space="preserve">bankruptcy administrator to be appointed </w:t>
      </w:r>
      <w:r w:rsidRPr="00C210BA">
        <w:rPr>
          <w:rFonts w:ascii="Arial" w:hAnsi="Arial" w:cs="Arial"/>
          <w:sz w:val="22"/>
          <w:szCs w:val="22"/>
          <w:highlight w:val="yellow"/>
          <w:lang w:val="en-GB"/>
        </w:rPr>
        <w:t>if the court-appointed administrator is proven</w:t>
      </w:r>
      <w:r w:rsidR="00860A53" w:rsidRPr="00C210BA">
        <w:rPr>
          <w:rFonts w:ascii="Arial" w:hAnsi="Arial" w:cs="Arial"/>
          <w:sz w:val="22"/>
          <w:szCs w:val="22"/>
          <w:highlight w:val="yellow"/>
          <w:lang w:val="en-GB"/>
        </w:rPr>
        <w:t xml:space="preserve"> to be</w:t>
      </w:r>
      <w:r w:rsidRPr="00C210BA">
        <w:rPr>
          <w:rFonts w:ascii="Arial" w:hAnsi="Arial" w:cs="Arial"/>
          <w:sz w:val="22"/>
          <w:szCs w:val="22"/>
          <w:highlight w:val="yellow"/>
          <w:lang w:val="en-GB"/>
        </w:rPr>
        <w:t xml:space="preserve"> incompetent or biased</w:t>
      </w:r>
      <w:r w:rsidR="00392DAA" w:rsidRPr="00C210BA">
        <w:rPr>
          <w:rFonts w:ascii="Arial" w:hAnsi="Arial" w:cs="Arial"/>
          <w:sz w:val="22"/>
          <w:szCs w:val="22"/>
          <w:highlight w:val="yellow"/>
          <w:lang w:val="en-GB"/>
        </w:rPr>
        <w:t xml:space="preserve"> at a later stage</w:t>
      </w:r>
      <w:r w:rsidR="00CE5177" w:rsidRPr="00C210BA">
        <w:rPr>
          <w:rFonts w:ascii="Arial" w:hAnsi="Arial" w:cs="Arial"/>
          <w:sz w:val="22"/>
          <w:szCs w:val="22"/>
          <w:highlight w:val="yellow"/>
          <w:lang w:val="en-GB"/>
        </w:rPr>
        <w:t xml:space="preserve"> of the proceedings</w:t>
      </w:r>
      <w:r w:rsidR="00BA3AE6" w:rsidRPr="00C210BA">
        <w:rPr>
          <w:rFonts w:ascii="Arial" w:hAnsi="Arial" w:cs="Arial"/>
          <w:sz w:val="22"/>
          <w:szCs w:val="22"/>
          <w:highlight w:val="yellow"/>
          <w:lang w:val="en-GB"/>
        </w:rPr>
        <w:t>.</w:t>
      </w:r>
    </w:p>
    <w:p w14:paraId="7C87AE20" w14:textId="4B7C23D6" w:rsidR="00AD12C7" w:rsidRPr="00F4105A" w:rsidRDefault="00C50D55" w:rsidP="00F4105A">
      <w:pPr>
        <w:pStyle w:val="Lijstalinea"/>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jstalinea"/>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jstalinea"/>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F4105A" w:rsidRDefault="00D1344A" w:rsidP="00F4105A">
      <w:pPr>
        <w:pStyle w:val="Lijstalinea"/>
        <w:numPr>
          <w:ilvl w:val="0"/>
          <w:numId w:val="31"/>
        </w:numPr>
        <w:ind w:left="426"/>
        <w:jc w:val="both"/>
        <w:rPr>
          <w:rFonts w:ascii="Arial" w:hAnsi="Arial" w:cs="Arial"/>
          <w:sz w:val="22"/>
          <w:szCs w:val="22"/>
          <w:lang w:val="en-GB"/>
        </w:rPr>
      </w:pPr>
      <w:r w:rsidRPr="00DF2752">
        <w:rPr>
          <w:rFonts w:ascii="Arial" w:hAnsi="Arial" w:cs="Arial"/>
          <w:sz w:val="22"/>
          <w:szCs w:val="22"/>
          <w:highlight w:val="yellow"/>
          <w:lang w:val="en-GB"/>
        </w:rPr>
        <w:t>B</w:t>
      </w:r>
      <w:r w:rsidR="00A064D3" w:rsidRPr="00DF2752">
        <w:rPr>
          <w:rFonts w:ascii="Arial" w:hAnsi="Arial" w:cs="Arial"/>
          <w:sz w:val="22"/>
          <w:szCs w:val="22"/>
          <w:highlight w:val="yellow"/>
          <w:lang w:val="en-GB"/>
        </w:rPr>
        <w:t xml:space="preserve">oth the debtor </w:t>
      </w:r>
      <w:r w:rsidRPr="00DF2752">
        <w:rPr>
          <w:rFonts w:ascii="Arial" w:hAnsi="Arial" w:cs="Arial"/>
          <w:sz w:val="22"/>
          <w:szCs w:val="22"/>
          <w:highlight w:val="yellow"/>
          <w:lang w:val="en-GB"/>
        </w:rPr>
        <w:t>and</w:t>
      </w:r>
      <w:r w:rsidR="00A064D3" w:rsidRPr="00DF2752">
        <w:rPr>
          <w:rFonts w:ascii="Arial" w:hAnsi="Arial" w:cs="Arial"/>
          <w:sz w:val="22"/>
          <w:szCs w:val="22"/>
          <w:highlight w:val="yellow"/>
          <w:lang w:val="en-GB"/>
        </w:rPr>
        <w:t xml:space="preserve"> </w:t>
      </w:r>
      <w:r w:rsidR="00115BA4" w:rsidRPr="00DF2752">
        <w:rPr>
          <w:rFonts w:ascii="Arial" w:hAnsi="Arial" w:cs="Arial"/>
          <w:sz w:val="22"/>
          <w:szCs w:val="22"/>
          <w:highlight w:val="yellow"/>
          <w:lang w:val="en-GB"/>
        </w:rPr>
        <w:t xml:space="preserve">the </w:t>
      </w:r>
      <w:r w:rsidR="00A064D3" w:rsidRPr="00DF2752">
        <w:rPr>
          <w:rFonts w:ascii="Arial" w:hAnsi="Arial" w:cs="Arial"/>
          <w:sz w:val="22"/>
          <w:szCs w:val="22"/>
          <w:highlight w:val="yellow"/>
          <w:lang w:val="en-GB"/>
        </w:rPr>
        <w:t xml:space="preserve">creditors </w:t>
      </w:r>
      <w:r w:rsidRPr="00DF2752">
        <w:rPr>
          <w:rFonts w:ascii="Arial" w:hAnsi="Arial" w:cs="Arial"/>
          <w:sz w:val="22"/>
          <w:szCs w:val="22"/>
          <w:highlight w:val="yellow"/>
          <w:lang w:val="en-GB"/>
        </w:rPr>
        <w:t>may</w:t>
      </w:r>
      <w:r w:rsidR="00A064D3" w:rsidRPr="00DF2752">
        <w:rPr>
          <w:rFonts w:ascii="Arial" w:hAnsi="Arial" w:cs="Arial"/>
          <w:sz w:val="22"/>
          <w:szCs w:val="22"/>
          <w:highlight w:val="yellow"/>
          <w:lang w:val="en-GB"/>
        </w:rPr>
        <w:t xml:space="preserve"> file for bankruptcy.</w:t>
      </w:r>
      <w:r w:rsidR="00A064D3" w:rsidRPr="00F4105A">
        <w:rPr>
          <w:rFonts w:ascii="Arial" w:hAnsi="Arial" w:cs="Arial"/>
          <w:sz w:val="22"/>
          <w:szCs w:val="22"/>
          <w:lang w:val="en-GB"/>
        </w:rPr>
        <w:t xml:space="preserve">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jstalinea"/>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jstalinea"/>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jstalinea"/>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w:t>
      </w:r>
      <w:proofErr w:type="gramStart"/>
      <w:r w:rsidR="00993420" w:rsidRPr="00F4105A">
        <w:rPr>
          <w:rFonts w:ascii="Arial" w:hAnsi="Arial" w:cs="Arial"/>
          <w:sz w:val="22"/>
          <w:szCs w:val="22"/>
          <w:lang w:val="en-GB"/>
        </w:rPr>
        <w:t xml:space="preserve">categorically </w:t>
      </w:r>
      <w:r w:rsidR="00A064D3" w:rsidRPr="00F4105A">
        <w:rPr>
          <w:rFonts w:ascii="Arial" w:hAnsi="Arial" w:cs="Arial"/>
          <w:sz w:val="22"/>
          <w:szCs w:val="22"/>
          <w:lang w:val="en-GB"/>
        </w:rPr>
        <w:t xml:space="preserve"> not</w:t>
      </w:r>
      <w:proofErr w:type="gramEnd"/>
      <w:r w:rsidR="00A064D3" w:rsidRPr="00F4105A">
        <w:rPr>
          <w:rFonts w:ascii="Arial" w:hAnsi="Arial" w:cs="Arial"/>
          <w:sz w:val="22"/>
          <w:szCs w:val="22"/>
          <w:lang w:val="en-GB"/>
        </w:rPr>
        <w:t xml:space="preserve">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4105A" w:rsidRDefault="004940BC" w:rsidP="00F4105A">
      <w:pPr>
        <w:pStyle w:val="Lijstalinea"/>
        <w:numPr>
          <w:ilvl w:val="0"/>
          <w:numId w:val="32"/>
        </w:numPr>
        <w:autoSpaceDE w:val="0"/>
        <w:autoSpaceDN w:val="0"/>
        <w:adjustRightInd w:val="0"/>
        <w:ind w:left="426"/>
        <w:jc w:val="both"/>
        <w:rPr>
          <w:rFonts w:ascii="Arial" w:hAnsi="Arial" w:cs="Arial"/>
          <w:sz w:val="22"/>
          <w:szCs w:val="22"/>
          <w:lang w:val="en-GB"/>
        </w:rPr>
      </w:pPr>
      <w:r w:rsidRPr="0067357A">
        <w:rPr>
          <w:rFonts w:ascii="Arial" w:hAnsi="Arial" w:cs="Arial"/>
          <w:sz w:val="22"/>
          <w:szCs w:val="22"/>
          <w:highlight w:val="yellow"/>
          <w:lang w:val="en-GB"/>
        </w:rPr>
        <w:t>B</w:t>
      </w:r>
      <w:r w:rsidR="00A064D3" w:rsidRPr="0067357A">
        <w:rPr>
          <w:rFonts w:ascii="Arial" w:hAnsi="Arial" w:cs="Arial"/>
          <w:sz w:val="22"/>
          <w:szCs w:val="22"/>
          <w:highlight w:val="yellow"/>
          <w:lang w:val="en-GB"/>
        </w:rPr>
        <w:t xml:space="preserve">oth debtor-in-possession and administrator-in-possession </w:t>
      </w:r>
      <w:r w:rsidRPr="0067357A">
        <w:rPr>
          <w:rFonts w:ascii="Arial" w:hAnsi="Arial" w:cs="Arial"/>
          <w:sz w:val="22"/>
          <w:szCs w:val="22"/>
          <w:highlight w:val="yellow"/>
          <w:lang w:val="en-GB"/>
        </w:rPr>
        <w:t xml:space="preserve">models </w:t>
      </w:r>
      <w:r w:rsidR="00A064D3" w:rsidRPr="0067357A">
        <w:rPr>
          <w:rFonts w:ascii="Arial" w:hAnsi="Arial" w:cs="Arial"/>
          <w:sz w:val="22"/>
          <w:szCs w:val="22"/>
          <w:highlight w:val="yellow"/>
          <w:lang w:val="en-GB"/>
        </w:rPr>
        <w:t xml:space="preserve">are available </w:t>
      </w:r>
      <w:r w:rsidRPr="0067357A">
        <w:rPr>
          <w:rFonts w:ascii="Arial" w:hAnsi="Arial" w:cs="Arial"/>
          <w:sz w:val="22"/>
          <w:szCs w:val="22"/>
          <w:highlight w:val="yellow"/>
          <w:lang w:val="en-GB"/>
        </w:rPr>
        <w:t xml:space="preserve">under the </w:t>
      </w:r>
      <w:r w:rsidR="00A064D3" w:rsidRPr="0067357A">
        <w:rPr>
          <w:rFonts w:ascii="Arial" w:hAnsi="Arial" w:cs="Arial"/>
          <w:sz w:val="22"/>
          <w:szCs w:val="22"/>
          <w:highlight w:val="yellow"/>
          <w:lang w:val="en-GB"/>
        </w:rPr>
        <w:t>Chin</w:t>
      </w:r>
      <w:r w:rsidRPr="0067357A">
        <w:rPr>
          <w:rFonts w:ascii="Arial" w:hAnsi="Arial" w:cs="Arial"/>
          <w:sz w:val="22"/>
          <w:szCs w:val="22"/>
          <w:highlight w:val="yellow"/>
          <w:lang w:val="en-GB"/>
        </w:rPr>
        <w:t>ese corporate reorganisation provisions</w:t>
      </w:r>
      <w:r w:rsidR="00A064D3" w:rsidRPr="0067357A">
        <w:rPr>
          <w:rFonts w:ascii="Arial" w:hAnsi="Arial" w:cs="Arial"/>
          <w:sz w:val="22"/>
          <w:szCs w:val="22"/>
          <w:highlight w:val="yellow"/>
          <w:lang w:val="en-GB"/>
        </w:rPr>
        <w:t>.</w:t>
      </w:r>
      <w:r w:rsidR="00A064D3" w:rsidRPr="00F4105A">
        <w:rPr>
          <w:rFonts w:ascii="Arial" w:hAnsi="Arial" w:cs="Arial"/>
          <w:sz w:val="22"/>
          <w:szCs w:val="22"/>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jstalinea"/>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jstalinea"/>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F4105A" w:rsidRDefault="00E5251A" w:rsidP="00F4105A">
      <w:pPr>
        <w:pStyle w:val="Lijstalinea"/>
        <w:numPr>
          <w:ilvl w:val="0"/>
          <w:numId w:val="33"/>
        </w:numPr>
        <w:ind w:left="426"/>
        <w:jc w:val="both"/>
        <w:rPr>
          <w:rFonts w:ascii="Arial" w:hAnsi="Arial" w:cs="Arial"/>
          <w:sz w:val="22"/>
          <w:szCs w:val="22"/>
          <w:lang w:val="en-GB"/>
        </w:rPr>
      </w:pPr>
      <w:r w:rsidRPr="00483BFA">
        <w:rPr>
          <w:rFonts w:ascii="Arial" w:hAnsi="Arial" w:cs="Arial"/>
          <w:sz w:val="22"/>
          <w:szCs w:val="22"/>
          <w:highlight w:val="yellow"/>
          <w:lang w:val="en-GB"/>
        </w:rPr>
        <w:t>B</w:t>
      </w:r>
      <w:r w:rsidR="001D48B4" w:rsidRPr="00483BFA">
        <w:rPr>
          <w:rFonts w:ascii="Arial" w:hAnsi="Arial" w:cs="Arial"/>
          <w:sz w:val="22"/>
          <w:szCs w:val="22"/>
          <w:highlight w:val="yellow"/>
          <w:lang w:val="en-GB"/>
        </w:rPr>
        <w:t xml:space="preserve">oth </w:t>
      </w:r>
      <w:r w:rsidRPr="00483BFA">
        <w:rPr>
          <w:rFonts w:ascii="Arial" w:hAnsi="Arial" w:cs="Arial"/>
          <w:sz w:val="22"/>
          <w:szCs w:val="22"/>
          <w:highlight w:val="yellow"/>
          <w:lang w:val="en-GB"/>
        </w:rPr>
        <w:t xml:space="preserve">the </w:t>
      </w:r>
      <w:r w:rsidR="001D48B4" w:rsidRPr="00483BFA">
        <w:rPr>
          <w:rFonts w:ascii="Arial" w:hAnsi="Arial" w:cs="Arial"/>
          <w:sz w:val="22"/>
          <w:szCs w:val="22"/>
          <w:highlight w:val="yellow"/>
          <w:lang w:val="en-GB"/>
        </w:rPr>
        <w:t>tax authorities and employees are treated as preferential creditors in China.</w:t>
      </w:r>
      <w:r w:rsidR="001D48B4" w:rsidRPr="00F4105A">
        <w:rPr>
          <w:rFonts w:ascii="Arial" w:hAnsi="Arial" w:cs="Arial"/>
          <w:sz w:val="22"/>
          <w:szCs w:val="22"/>
          <w:lang w:val="en-GB"/>
        </w:rPr>
        <w:t xml:space="preserve">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jstalinea"/>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jstalinea"/>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jstalinea"/>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F4105A" w:rsidRDefault="00CD040A" w:rsidP="00F4105A">
      <w:pPr>
        <w:pStyle w:val="Lijstalinea"/>
        <w:numPr>
          <w:ilvl w:val="0"/>
          <w:numId w:val="34"/>
        </w:numPr>
        <w:ind w:left="426"/>
        <w:jc w:val="both"/>
        <w:rPr>
          <w:rFonts w:ascii="Arial" w:hAnsi="Arial" w:cs="Arial"/>
          <w:bCs/>
          <w:sz w:val="22"/>
          <w:szCs w:val="22"/>
          <w:lang w:val="en-GB"/>
        </w:rPr>
      </w:pPr>
      <w:r w:rsidRPr="00FB1D71">
        <w:rPr>
          <w:rFonts w:ascii="Arial" w:hAnsi="Arial" w:cs="Arial"/>
          <w:bCs/>
          <w:sz w:val="22"/>
          <w:szCs w:val="22"/>
          <w:highlight w:val="yellow"/>
          <w:lang w:val="en-GB"/>
        </w:rPr>
        <w:t>I</w:t>
      </w:r>
      <w:r w:rsidR="00073F11" w:rsidRPr="00FB1D71">
        <w:rPr>
          <w:rFonts w:ascii="Arial" w:hAnsi="Arial" w:cs="Arial"/>
          <w:bCs/>
          <w:sz w:val="22"/>
          <w:szCs w:val="22"/>
          <w:highlight w:val="yellow"/>
          <w:lang w:val="en-GB"/>
        </w:rPr>
        <w:t>f the reorgani</w:t>
      </w:r>
      <w:r w:rsidRPr="00FB1D71">
        <w:rPr>
          <w:rFonts w:ascii="Arial" w:hAnsi="Arial" w:cs="Arial"/>
          <w:bCs/>
          <w:sz w:val="22"/>
          <w:szCs w:val="22"/>
          <w:highlight w:val="yellow"/>
          <w:lang w:val="en-GB"/>
        </w:rPr>
        <w:t>s</w:t>
      </w:r>
      <w:r w:rsidR="00073F11" w:rsidRPr="00FB1D71">
        <w:rPr>
          <w:rFonts w:ascii="Arial" w:hAnsi="Arial" w:cs="Arial"/>
          <w:bCs/>
          <w:sz w:val="22"/>
          <w:szCs w:val="22"/>
          <w:highlight w:val="yellow"/>
          <w:lang w:val="en-GB"/>
        </w:rPr>
        <w:t xml:space="preserve">ation plan was voted down </w:t>
      </w:r>
      <w:r w:rsidRPr="00FB1D71">
        <w:rPr>
          <w:rFonts w:ascii="Arial" w:hAnsi="Arial" w:cs="Arial"/>
          <w:bCs/>
          <w:sz w:val="22"/>
          <w:szCs w:val="22"/>
          <w:highlight w:val="yellow"/>
          <w:lang w:val="en-GB"/>
        </w:rPr>
        <w:t xml:space="preserve">(rejected) </w:t>
      </w:r>
      <w:r w:rsidR="00073F11" w:rsidRPr="00FB1D71">
        <w:rPr>
          <w:rFonts w:ascii="Arial" w:hAnsi="Arial" w:cs="Arial"/>
          <w:bCs/>
          <w:sz w:val="22"/>
          <w:szCs w:val="22"/>
          <w:highlight w:val="yellow"/>
          <w:lang w:val="en-GB"/>
        </w:rPr>
        <w:t>by one or more class of creditors, the court may still approve the plan if certain statutory conditions are met</w:t>
      </w:r>
      <w:r w:rsidRPr="00FB1D71">
        <w:rPr>
          <w:rFonts w:ascii="Arial" w:hAnsi="Arial" w:cs="Arial"/>
          <w:bCs/>
          <w:sz w:val="22"/>
          <w:szCs w:val="22"/>
          <w:highlight w:val="yellow"/>
          <w:lang w:val="en-GB"/>
        </w:rPr>
        <w:t>;</w:t>
      </w:r>
      <w:r w:rsidR="00073F11" w:rsidRPr="00FB1D71">
        <w:rPr>
          <w:rFonts w:ascii="Arial" w:hAnsi="Arial" w:cs="Arial"/>
          <w:bCs/>
          <w:sz w:val="22"/>
          <w:szCs w:val="22"/>
          <w:highlight w:val="yellow"/>
          <w:lang w:val="en-GB"/>
        </w:rPr>
        <w:t xml:space="preserve"> </w:t>
      </w:r>
      <w:r w:rsidRPr="00FB1D71">
        <w:rPr>
          <w:rFonts w:ascii="Arial" w:hAnsi="Arial" w:cs="Arial"/>
          <w:bCs/>
          <w:sz w:val="22"/>
          <w:szCs w:val="22"/>
          <w:highlight w:val="yellow"/>
          <w:lang w:val="en-GB"/>
        </w:rPr>
        <w:t xml:space="preserve">a </w:t>
      </w:r>
      <w:r w:rsidR="00073F11" w:rsidRPr="00FB1D71">
        <w:rPr>
          <w:rFonts w:ascii="Arial" w:hAnsi="Arial" w:cs="Arial"/>
          <w:bCs/>
          <w:sz w:val="22"/>
          <w:szCs w:val="22"/>
          <w:highlight w:val="yellow"/>
          <w:lang w:val="en-GB"/>
        </w:rPr>
        <w:t xml:space="preserve">cram-down is </w:t>
      </w:r>
      <w:r w:rsidRPr="00FB1D71">
        <w:rPr>
          <w:rFonts w:ascii="Arial" w:hAnsi="Arial" w:cs="Arial"/>
          <w:bCs/>
          <w:sz w:val="22"/>
          <w:szCs w:val="22"/>
          <w:highlight w:val="yellow"/>
          <w:lang w:val="en-GB"/>
        </w:rPr>
        <w:t xml:space="preserve">therefore </w:t>
      </w:r>
      <w:r w:rsidR="00073F11" w:rsidRPr="00FB1D71">
        <w:rPr>
          <w:rFonts w:ascii="Arial" w:hAnsi="Arial" w:cs="Arial"/>
          <w:bCs/>
          <w:sz w:val="22"/>
          <w:szCs w:val="22"/>
          <w:highlight w:val="yellow"/>
          <w:lang w:val="en-GB"/>
        </w:rPr>
        <w:t>available under Chinese law.</w:t>
      </w:r>
      <w:r w:rsidR="00073F11" w:rsidRPr="00F4105A">
        <w:rPr>
          <w:rFonts w:ascii="Arial" w:hAnsi="Arial" w:cs="Arial"/>
          <w:bCs/>
          <w:sz w:val="22"/>
          <w:szCs w:val="22"/>
          <w:lang w:val="en-GB"/>
        </w:rPr>
        <w:t xml:space="preserve">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jstalinea"/>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jstalinea"/>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jstalinea"/>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F4105A" w:rsidRDefault="005D7F1E" w:rsidP="00F4105A">
      <w:pPr>
        <w:pStyle w:val="Lijstalinea"/>
        <w:numPr>
          <w:ilvl w:val="0"/>
          <w:numId w:val="35"/>
        </w:numPr>
        <w:ind w:left="426"/>
        <w:jc w:val="both"/>
        <w:rPr>
          <w:rFonts w:ascii="Arial" w:hAnsi="Arial" w:cs="Arial"/>
          <w:sz w:val="22"/>
          <w:szCs w:val="22"/>
          <w:lang w:val="en-GB"/>
        </w:rPr>
      </w:pPr>
      <w:r w:rsidRPr="00E6796F">
        <w:rPr>
          <w:rFonts w:ascii="Arial" w:hAnsi="Arial" w:cs="Arial"/>
          <w:sz w:val="22"/>
          <w:szCs w:val="22"/>
          <w:highlight w:val="yellow"/>
          <w:lang w:val="en-GB"/>
        </w:rPr>
        <w:t>A</w:t>
      </w:r>
      <w:r w:rsidR="005C1A09" w:rsidRPr="00E6796F">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E6796F">
        <w:rPr>
          <w:rFonts w:ascii="Arial" w:hAnsi="Arial" w:cs="Arial"/>
          <w:sz w:val="22"/>
          <w:szCs w:val="22"/>
          <w:highlight w:val="yellow"/>
          <w:lang w:val="en-GB"/>
        </w:rPr>
        <w:t xml:space="preserve">with China </w:t>
      </w:r>
      <w:r w:rsidR="005C1A09" w:rsidRPr="00E6796F">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jstalinea"/>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 xml:space="preserve">no foreign bankruptcy </w:t>
      </w:r>
      <w:proofErr w:type="gramStart"/>
      <w:r w:rsidRPr="00F4105A">
        <w:rPr>
          <w:rFonts w:ascii="Arial" w:hAnsi="Arial" w:cs="Arial"/>
          <w:sz w:val="22"/>
          <w:szCs w:val="22"/>
          <w:lang w:val="en-GB"/>
        </w:rPr>
        <w:t>proceeding</w:t>
      </w:r>
      <w:proofErr w:type="gramEnd"/>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jstalinea"/>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jstalinea"/>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jstalinea"/>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F4105A" w:rsidRDefault="00BE2946" w:rsidP="00F4105A">
      <w:pPr>
        <w:pStyle w:val="Lijstalinea"/>
        <w:numPr>
          <w:ilvl w:val="0"/>
          <w:numId w:val="36"/>
        </w:numPr>
        <w:ind w:left="426"/>
        <w:jc w:val="both"/>
        <w:rPr>
          <w:rFonts w:ascii="Arial" w:hAnsi="Arial" w:cs="Arial"/>
          <w:sz w:val="22"/>
          <w:szCs w:val="22"/>
          <w:lang w:val="en-GB"/>
        </w:rPr>
      </w:pPr>
      <w:r w:rsidRPr="00CC2820">
        <w:rPr>
          <w:rFonts w:ascii="Arial" w:hAnsi="Arial" w:cs="Arial"/>
          <w:sz w:val="22"/>
          <w:szCs w:val="22"/>
          <w:highlight w:val="yellow"/>
          <w:lang w:val="en-GB"/>
        </w:rPr>
        <w:t>T</w:t>
      </w:r>
      <w:r w:rsidR="004A42CD" w:rsidRPr="00CC2820">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CC2820">
        <w:rPr>
          <w:rFonts w:ascii="Arial" w:hAnsi="Arial" w:cs="Arial"/>
          <w:sz w:val="22"/>
          <w:szCs w:val="22"/>
          <w:highlight w:val="yellow"/>
          <w:lang w:val="en-GB"/>
        </w:rPr>
        <w:t>will not be</w:t>
      </w:r>
      <w:r w:rsidR="004A42CD" w:rsidRPr="00CC2820">
        <w:rPr>
          <w:rFonts w:ascii="Arial" w:hAnsi="Arial" w:cs="Arial"/>
          <w:sz w:val="22"/>
          <w:szCs w:val="22"/>
          <w:highlight w:val="yellow"/>
          <w:lang w:val="en-GB"/>
        </w:rPr>
        <w:t xml:space="preserve"> effective in other </w:t>
      </w:r>
      <w:r w:rsidR="00465DE6" w:rsidRPr="00CC2820">
        <w:rPr>
          <w:rFonts w:ascii="Arial" w:hAnsi="Arial" w:cs="Arial"/>
          <w:sz w:val="22"/>
          <w:szCs w:val="22"/>
          <w:highlight w:val="yellow"/>
          <w:lang w:val="en-GB"/>
        </w:rPr>
        <w:t>jurisdictions</w:t>
      </w:r>
      <w:r w:rsidR="004A42CD" w:rsidRPr="00CC2820">
        <w:rPr>
          <w:rFonts w:ascii="Arial" w:hAnsi="Arial" w:cs="Arial"/>
          <w:sz w:val="22"/>
          <w:szCs w:val="22"/>
          <w:highlight w:val="yellow"/>
          <w:lang w:val="en-GB"/>
        </w:rPr>
        <w:t>.</w:t>
      </w:r>
      <w:r w:rsidR="004A42CD" w:rsidRPr="00F4105A">
        <w:rPr>
          <w:rFonts w:ascii="Arial" w:hAnsi="Arial" w:cs="Arial"/>
          <w:sz w:val="22"/>
          <w:szCs w:val="22"/>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jstalinea"/>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jstalinea"/>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jstalinea"/>
        <w:numPr>
          <w:ilvl w:val="0"/>
          <w:numId w:val="37"/>
        </w:numPr>
        <w:ind w:left="426"/>
        <w:jc w:val="both"/>
        <w:rPr>
          <w:rFonts w:ascii="Arial" w:hAnsi="Arial" w:cs="Arial"/>
          <w:sz w:val="22"/>
          <w:szCs w:val="22"/>
          <w:lang w:val="en-GB"/>
        </w:rPr>
      </w:pPr>
      <w:r w:rsidRPr="00FB1D71">
        <w:rPr>
          <w:rFonts w:ascii="Arial" w:hAnsi="Arial" w:cs="Arial"/>
          <w:sz w:val="22"/>
          <w:szCs w:val="22"/>
          <w:highlight w:val="yellow"/>
          <w:lang w:val="en-GB"/>
        </w:rPr>
        <w:t>The U</w:t>
      </w:r>
      <w:r w:rsidR="00432529" w:rsidRPr="00FB1D71">
        <w:rPr>
          <w:rFonts w:ascii="Arial" w:hAnsi="Arial" w:cs="Arial"/>
          <w:sz w:val="22"/>
          <w:szCs w:val="22"/>
          <w:highlight w:val="yellow"/>
          <w:lang w:val="en-GB"/>
        </w:rPr>
        <w:t xml:space="preserve">nited </w:t>
      </w:r>
      <w:r w:rsidRPr="00FB1D71">
        <w:rPr>
          <w:rFonts w:ascii="Arial" w:hAnsi="Arial" w:cs="Arial"/>
          <w:sz w:val="22"/>
          <w:szCs w:val="22"/>
          <w:highlight w:val="yellow"/>
          <w:lang w:val="en-GB"/>
        </w:rPr>
        <w:t>S</w:t>
      </w:r>
      <w:r w:rsidR="00432529" w:rsidRPr="00FB1D71">
        <w:rPr>
          <w:rFonts w:ascii="Arial" w:hAnsi="Arial" w:cs="Arial"/>
          <w:sz w:val="22"/>
          <w:szCs w:val="22"/>
          <w:highlight w:val="yellow"/>
          <w:lang w:val="en-GB"/>
        </w:rPr>
        <w:t xml:space="preserve">tates of </w:t>
      </w:r>
      <w:r w:rsidRPr="00FB1D71">
        <w:rPr>
          <w:rFonts w:ascii="Arial" w:hAnsi="Arial" w:cs="Arial"/>
          <w:sz w:val="22"/>
          <w:szCs w:val="22"/>
          <w:highlight w:val="yellow"/>
          <w:lang w:val="en-GB"/>
        </w:rPr>
        <w:t>A</w:t>
      </w:r>
      <w:r w:rsidR="00432529" w:rsidRPr="00FB1D71">
        <w:rPr>
          <w:rFonts w:ascii="Arial" w:hAnsi="Arial" w:cs="Arial"/>
          <w:sz w:val="22"/>
          <w:szCs w:val="22"/>
          <w:highlight w:val="yellow"/>
          <w:lang w:val="en-GB"/>
        </w:rPr>
        <w:t>merica</w:t>
      </w:r>
      <w:r w:rsidRPr="00FB1D71">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jstalinea"/>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jstalinea"/>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jstalinea"/>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1979FFCE" w:rsidR="00385CA1" w:rsidRDefault="006C6140" w:rsidP="006C614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 of a creditor petition under Article 7 of the China Enterprise Bankruptcy Law of 2006, the filing for liquidation must pass the cash-flow bankruptcy test</w:t>
      </w:r>
      <w:r w:rsidR="00793AF9">
        <w:rPr>
          <w:rFonts w:ascii="Arial" w:hAnsi="Arial" w:cs="Arial"/>
          <w:color w:val="7B7B7B" w:themeColor="accent3" w:themeShade="BF"/>
          <w:sz w:val="22"/>
          <w:szCs w:val="22"/>
          <w:lang w:val="en-GB"/>
        </w:rPr>
        <w:t xml:space="preserve"> (i.e.</w:t>
      </w:r>
      <w:r w:rsidR="0099018E">
        <w:rPr>
          <w:rFonts w:ascii="Arial" w:hAnsi="Arial" w:cs="Arial"/>
          <w:color w:val="7B7B7B" w:themeColor="accent3" w:themeShade="BF"/>
          <w:sz w:val="22"/>
          <w:szCs w:val="22"/>
          <w:lang w:val="en-GB"/>
        </w:rPr>
        <w:t>,</w:t>
      </w:r>
      <w:r w:rsidR="00793AF9">
        <w:rPr>
          <w:rFonts w:ascii="Arial" w:hAnsi="Arial" w:cs="Arial"/>
          <w:color w:val="7B7B7B" w:themeColor="accent3" w:themeShade="BF"/>
          <w:sz w:val="22"/>
          <w:szCs w:val="22"/>
          <w:lang w:val="en-GB"/>
        </w:rPr>
        <w:t xml:space="preserve"> the debtor is unable to pay a debt that is due)</w:t>
      </w:r>
      <w:r>
        <w:rPr>
          <w:rFonts w:ascii="Arial" w:hAnsi="Arial" w:cs="Arial"/>
          <w:color w:val="7B7B7B" w:themeColor="accent3" w:themeShade="BF"/>
          <w:sz w:val="22"/>
          <w:szCs w:val="22"/>
          <w:lang w:val="en-GB"/>
        </w:rPr>
        <w:t>.</w:t>
      </w:r>
      <w:r w:rsidR="00793AF9">
        <w:rPr>
          <w:rFonts w:ascii="Arial" w:hAnsi="Arial" w:cs="Arial"/>
          <w:color w:val="7B7B7B" w:themeColor="accent3" w:themeShade="BF"/>
          <w:sz w:val="22"/>
          <w:szCs w:val="22"/>
          <w:lang w:val="en-GB"/>
        </w:rPr>
        <w:t xml:space="preserve"> The creditor will not be able to use the balance-sheet test to convince the court to accept the liquidation petition.</w:t>
      </w:r>
    </w:p>
    <w:p w14:paraId="3943581D" w14:textId="67981F48" w:rsidR="00793AF9" w:rsidRDefault="00793AF9" w:rsidP="006C6140">
      <w:pPr>
        <w:ind w:left="720"/>
        <w:jc w:val="both"/>
        <w:rPr>
          <w:rFonts w:ascii="Arial" w:hAnsi="Arial" w:cs="Arial"/>
          <w:color w:val="7B7B7B" w:themeColor="accent3" w:themeShade="BF"/>
          <w:sz w:val="22"/>
          <w:szCs w:val="22"/>
          <w:lang w:val="en-GB"/>
        </w:rPr>
      </w:pPr>
    </w:p>
    <w:p w14:paraId="51F509B0" w14:textId="2C46EE52" w:rsidR="00793AF9" w:rsidRPr="002E0E77" w:rsidRDefault="00793AF9" w:rsidP="006C614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 of a creditor petition under Article 2 of the China Enterprise Bankruptcy Law of 2006, the filing for reorganisation must pass either the cash-flow bankruptcy test or the balance-sheet test. In other words, the reorganisation petition by the creditor requires evidence that the debtor is either cash-flow or balance-sheet bankrupt. The creditor can use both bankruptcy tests when he presents such petition to the court.</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55D85D55" w:rsidR="00FF5CF6" w:rsidRDefault="00C55583" w:rsidP="00C5558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professions in China that dominate </w:t>
      </w:r>
      <w:r w:rsidRPr="00C55583">
        <w:rPr>
          <w:rFonts w:ascii="Arial" w:hAnsi="Arial" w:cs="Arial"/>
          <w:color w:val="7B7B7B" w:themeColor="accent3" w:themeShade="BF"/>
          <w:sz w:val="22"/>
          <w:szCs w:val="22"/>
          <w:lang w:val="en-GB"/>
        </w:rPr>
        <w:t>Chinese regional bankruptcy administrator lists</w:t>
      </w:r>
      <w:r>
        <w:rPr>
          <w:rFonts w:ascii="Arial" w:hAnsi="Arial" w:cs="Arial"/>
          <w:color w:val="7B7B7B" w:themeColor="accent3" w:themeShade="BF"/>
          <w:sz w:val="22"/>
          <w:szCs w:val="22"/>
          <w:lang w:val="en-GB"/>
        </w:rPr>
        <w:t xml:space="preserve"> are </w:t>
      </w:r>
      <w:r w:rsidR="00711E31">
        <w:rPr>
          <w:rFonts w:ascii="Arial" w:hAnsi="Arial" w:cs="Arial"/>
          <w:color w:val="7B7B7B" w:themeColor="accent3" w:themeShade="BF"/>
          <w:sz w:val="22"/>
          <w:szCs w:val="22"/>
          <w:lang w:val="en-GB"/>
        </w:rPr>
        <w:t xml:space="preserve">(1) (local) </w:t>
      </w:r>
      <w:r>
        <w:rPr>
          <w:rFonts w:ascii="Arial" w:hAnsi="Arial" w:cs="Arial"/>
          <w:color w:val="7B7B7B" w:themeColor="accent3" w:themeShade="BF"/>
          <w:sz w:val="22"/>
          <w:szCs w:val="22"/>
          <w:lang w:val="en-GB"/>
        </w:rPr>
        <w:t>lawyers</w:t>
      </w:r>
      <w:r w:rsidR="00711E3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w:t>
      </w:r>
      <w:r w:rsidR="00711E31">
        <w:rPr>
          <w:rFonts w:ascii="Arial" w:hAnsi="Arial" w:cs="Arial"/>
          <w:color w:val="7B7B7B" w:themeColor="accent3" w:themeShade="BF"/>
          <w:sz w:val="22"/>
          <w:szCs w:val="22"/>
          <w:lang w:val="en-GB"/>
        </w:rPr>
        <w:t xml:space="preserve">(2) (local) </w:t>
      </w:r>
      <w:r>
        <w:rPr>
          <w:rFonts w:ascii="Arial" w:hAnsi="Arial" w:cs="Arial"/>
          <w:color w:val="7B7B7B" w:themeColor="accent3" w:themeShade="BF"/>
          <w:sz w:val="22"/>
          <w:szCs w:val="22"/>
          <w:lang w:val="en-GB"/>
        </w:rPr>
        <w:t>accountants.</w:t>
      </w:r>
    </w:p>
    <w:p w14:paraId="75D9A579" w14:textId="39AE17BB" w:rsidR="00C55583" w:rsidRDefault="00C55583" w:rsidP="00C55583">
      <w:pPr>
        <w:ind w:left="720"/>
        <w:jc w:val="both"/>
        <w:rPr>
          <w:rFonts w:ascii="Arial" w:hAnsi="Arial" w:cs="Arial"/>
          <w:color w:val="7B7B7B" w:themeColor="accent3" w:themeShade="BF"/>
          <w:sz w:val="22"/>
          <w:szCs w:val="22"/>
          <w:lang w:val="en-GB"/>
        </w:rPr>
      </w:pPr>
    </w:p>
    <w:p w14:paraId="7E6849C2" w14:textId="0FB46DED" w:rsidR="00C20DD3" w:rsidRDefault="0076454A" w:rsidP="00C5558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many provinces, w</w:t>
      </w:r>
      <w:r w:rsidR="00577BAB">
        <w:rPr>
          <w:rFonts w:ascii="Arial" w:hAnsi="Arial" w:cs="Arial"/>
          <w:color w:val="7B7B7B" w:themeColor="accent3" w:themeShade="BF"/>
          <w:sz w:val="22"/>
          <w:szCs w:val="22"/>
          <w:lang w:val="en-GB"/>
        </w:rPr>
        <w:t xml:space="preserve">hen a formal bankruptcy procedure commences, </w:t>
      </w:r>
      <w:r>
        <w:rPr>
          <w:rFonts w:ascii="Arial" w:hAnsi="Arial" w:cs="Arial"/>
          <w:color w:val="7B7B7B" w:themeColor="accent3" w:themeShade="BF"/>
          <w:sz w:val="22"/>
          <w:szCs w:val="22"/>
          <w:lang w:val="en-GB"/>
        </w:rPr>
        <w:t xml:space="preserve">it is the provincial supreme people’s court that will exercise its exclusive power of appointing a bankruptcy administrator thereby selecting a candidate from its so-called </w:t>
      </w:r>
      <w:r w:rsidR="00C20D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qualified</w:t>
      </w:r>
      <w:r w:rsidR="00C20D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insol</w:t>
      </w:r>
      <w:r w:rsidR="00C20DD3">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 xml:space="preserve">ency practitioner list (in some provinces </w:t>
      </w:r>
      <w:r w:rsidR="00C20DD3">
        <w:rPr>
          <w:rFonts w:ascii="Arial" w:hAnsi="Arial" w:cs="Arial"/>
          <w:color w:val="7B7B7B" w:themeColor="accent3" w:themeShade="BF"/>
          <w:sz w:val="22"/>
          <w:szCs w:val="22"/>
          <w:lang w:val="en-GB"/>
        </w:rPr>
        <w:t>this power is exercised by a local intermediate people’s court)</w:t>
      </w:r>
      <w:r>
        <w:rPr>
          <w:rFonts w:ascii="Arial" w:hAnsi="Arial" w:cs="Arial"/>
          <w:color w:val="7B7B7B" w:themeColor="accent3" w:themeShade="BF"/>
          <w:sz w:val="22"/>
          <w:szCs w:val="22"/>
          <w:lang w:val="en-GB"/>
        </w:rPr>
        <w:t xml:space="preserve">. </w:t>
      </w:r>
      <w:r w:rsidR="00C20DD3">
        <w:rPr>
          <w:rFonts w:ascii="Arial" w:hAnsi="Arial" w:cs="Arial"/>
          <w:color w:val="7B7B7B" w:themeColor="accent3" w:themeShade="BF"/>
          <w:sz w:val="22"/>
          <w:szCs w:val="22"/>
          <w:lang w:val="en-GB"/>
        </w:rPr>
        <w:t>In any case, the debtor and the creditors have no say in the bankruptcy administrators’ appointment. The creditors can only request a replacement of the bankruptcy administrator if they present evidence of his lack of competence or impartiality.</w:t>
      </w:r>
    </w:p>
    <w:p w14:paraId="69A02576" w14:textId="77777777" w:rsidR="00C20DD3" w:rsidRDefault="00C20DD3" w:rsidP="00C55583">
      <w:pPr>
        <w:ind w:left="720"/>
        <w:jc w:val="both"/>
        <w:rPr>
          <w:rFonts w:ascii="Arial" w:hAnsi="Arial" w:cs="Arial"/>
          <w:color w:val="7B7B7B" w:themeColor="accent3" w:themeShade="BF"/>
          <w:sz w:val="22"/>
          <w:szCs w:val="22"/>
          <w:lang w:val="en-GB"/>
        </w:rPr>
      </w:pPr>
    </w:p>
    <w:p w14:paraId="66D135AD" w14:textId="17E9DDD7" w:rsidR="00C55583" w:rsidRPr="002E0E77" w:rsidRDefault="00C55583" w:rsidP="00C5558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practitioner lists are </w:t>
      </w:r>
      <w:r w:rsidR="00711E31">
        <w:rPr>
          <w:rFonts w:ascii="Arial" w:hAnsi="Arial" w:cs="Arial"/>
          <w:color w:val="7B7B7B" w:themeColor="accent3" w:themeShade="BF"/>
          <w:sz w:val="22"/>
          <w:szCs w:val="22"/>
          <w:lang w:val="en-GB"/>
        </w:rPr>
        <w:t xml:space="preserve">generally </w:t>
      </w:r>
      <w:r>
        <w:rPr>
          <w:rFonts w:ascii="Arial" w:hAnsi="Arial" w:cs="Arial"/>
          <w:color w:val="7B7B7B" w:themeColor="accent3" w:themeShade="BF"/>
          <w:sz w:val="22"/>
          <w:szCs w:val="22"/>
          <w:lang w:val="en-GB"/>
        </w:rPr>
        <w:t xml:space="preserve">made by the provincial supreme people’s courts, with local law large law and accounting firms (or liquidation firms) simply selected by these courts themselves. </w:t>
      </w:r>
      <w:r w:rsidR="00577BAB">
        <w:rPr>
          <w:rFonts w:ascii="Arial" w:hAnsi="Arial" w:cs="Arial"/>
          <w:color w:val="7B7B7B" w:themeColor="accent3" w:themeShade="BF"/>
          <w:sz w:val="22"/>
          <w:szCs w:val="22"/>
          <w:lang w:val="en-GB"/>
        </w:rPr>
        <w:t>For these</w:t>
      </w:r>
      <w:r>
        <w:rPr>
          <w:rFonts w:ascii="Arial" w:hAnsi="Arial" w:cs="Arial"/>
          <w:color w:val="7B7B7B" w:themeColor="accent3" w:themeShade="BF"/>
          <w:sz w:val="22"/>
          <w:szCs w:val="22"/>
          <w:lang w:val="en-GB"/>
        </w:rPr>
        <w:t xml:space="preserve"> firms </w:t>
      </w:r>
      <w:r w:rsidR="00577BAB">
        <w:rPr>
          <w:rFonts w:ascii="Arial" w:hAnsi="Arial" w:cs="Arial"/>
          <w:color w:val="7B7B7B" w:themeColor="accent3" w:themeShade="BF"/>
          <w:sz w:val="22"/>
          <w:szCs w:val="22"/>
          <w:lang w:val="en-GB"/>
        </w:rPr>
        <w:t xml:space="preserve">to be included in the </w:t>
      </w:r>
      <w:r w:rsidR="00577BAB">
        <w:rPr>
          <w:rFonts w:ascii="Arial" w:hAnsi="Arial" w:cs="Arial"/>
          <w:color w:val="7B7B7B" w:themeColor="accent3" w:themeShade="BF"/>
          <w:sz w:val="22"/>
          <w:szCs w:val="22"/>
          <w:lang w:val="en-GB"/>
        </w:rPr>
        <w:lastRenderedPageBreak/>
        <w:t xml:space="preserve">lists, they </w:t>
      </w:r>
      <w:r>
        <w:rPr>
          <w:rFonts w:ascii="Arial" w:hAnsi="Arial" w:cs="Arial"/>
          <w:color w:val="7B7B7B" w:themeColor="accent3" w:themeShade="BF"/>
          <w:sz w:val="22"/>
          <w:szCs w:val="22"/>
          <w:lang w:val="en-GB"/>
        </w:rPr>
        <w:t>do no</w:t>
      </w:r>
      <w:r w:rsidR="00577BA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have to go through any qualification exams or training courses. </w:t>
      </w:r>
      <w:r w:rsidRPr="00C55583">
        <w:rPr>
          <w:rFonts w:ascii="Arial" w:hAnsi="Arial" w:cs="Arial"/>
          <w:color w:val="7B7B7B" w:themeColor="accent3" w:themeShade="BF"/>
          <w:sz w:val="22"/>
          <w:szCs w:val="22"/>
          <w:lang w:val="en-GB"/>
        </w:rPr>
        <w:t xml:space="preserve">What is </w:t>
      </w:r>
      <w:r w:rsidR="00711E31">
        <w:rPr>
          <w:rFonts w:ascii="Arial" w:hAnsi="Arial" w:cs="Arial"/>
          <w:color w:val="7B7B7B" w:themeColor="accent3" w:themeShade="BF"/>
          <w:sz w:val="22"/>
          <w:szCs w:val="22"/>
          <w:lang w:val="en-GB"/>
        </w:rPr>
        <w:t xml:space="preserve">(more) </w:t>
      </w:r>
      <w:r w:rsidRPr="00C55583">
        <w:rPr>
          <w:rFonts w:ascii="Arial" w:hAnsi="Arial" w:cs="Arial"/>
          <w:color w:val="7B7B7B" w:themeColor="accent3" w:themeShade="BF"/>
          <w:sz w:val="22"/>
          <w:szCs w:val="22"/>
          <w:lang w:val="en-GB"/>
        </w:rPr>
        <w:t>important, though,</w:t>
      </w:r>
      <w:r>
        <w:rPr>
          <w:rFonts w:ascii="Arial" w:hAnsi="Arial" w:cs="Arial"/>
          <w:color w:val="7B7B7B" w:themeColor="accent3" w:themeShade="BF"/>
          <w:sz w:val="22"/>
          <w:szCs w:val="22"/>
          <w:lang w:val="en-GB"/>
        </w:rPr>
        <w:t xml:space="preserve"> is the size of these firms. The larger they are, the more </w:t>
      </w:r>
      <w:r w:rsidR="00577BAB">
        <w:rPr>
          <w:rFonts w:ascii="Arial" w:hAnsi="Arial" w:cs="Arial"/>
          <w:color w:val="7B7B7B" w:themeColor="accent3" w:themeShade="BF"/>
          <w:sz w:val="22"/>
          <w:szCs w:val="22"/>
          <w:lang w:val="en-GB"/>
        </w:rPr>
        <w:t>reliable they are in the eyes of the provincial supreme people’s courts. The courts believe them to be more financially strong and competent.</w:t>
      </w:r>
    </w:p>
    <w:p w14:paraId="7F8C089D" w14:textId="77777777" w:rsidR="00FE2DE2" w:rsidRPr="002E0E77"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34202683" w:rsidR="00A54652" w:rsidRDefault="00711E31" w:rsidP="00711E31">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types of security available under Chinese law are (1) fixed charges and (2) pledges.</w:t>
      </w:r>
    </w:p>
    <w:p w14:paraId="50722D8E" w14:textId="474A82BE" w:rsidR="0099018E" w:rsidRDefault="0099018E" w:rsidP="00711E31">
      <w:pPr>
        <w:ind w:left="720"/>
        <w:jc w:val="both"/>
        <w:rPr>
          <w:rFonts w:ascii="Arial" w:hAnsi="Arial" w:cs="Arial"/>
          <w:color w:val="7B7B7B" w:themeColor="accent3" w:themeShade="BF"/>
          <w:sz w:val="22"/>
          <w:szCs w:val="22"/>
          <w:lang w:val="en-GB"/>
        </w:rPr>
      </w:pPr>
    </w:p>
    <w:p w14:paraId="10868AEB" w14:textId="25177678" w:rsidR="0099018E" w:rsidRDefault="0099018E" w:rsidP="008F0E6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establish a fixed charge or a pledge</w:t>
      </w:r>
      <w:r w:rsidR="008F0E6C">
        <w:rPr>
          <w:rFonts w:ascii="Arial" w:hAnsi="Arial" w:cs="Arial"/>
          <w:color w:val="7B7B7B" w:themeColor="accent3" w:themeShade="BF"/>
          <w:sz w:val="22"/>
          <w:szCs w:val="22"/>
          <w:lang w:val="en-GB"/>
        </w:rPr>
        <w:t xml:space="preserve"> over assets,</w:t>
      </w:r>
      <w:r>
        <w:rPr>
          <w:rFonts w:ascii="Arial" w:hAnsi="Arial" w:cs="Arial"/>
          <w:color w:val="7B7B7B" w:themeColor="accent3" w:themeShade="BF"/>
          <w:sz w:val="22"/>
          <w:szCs w:val="22"/>
          <w:lang w:val="en-GB"/>
        </w:rPr>
        <w:t xml:space="preserve"> </w:t>
      </w:r>
      <w:r w:rsidR="008F0E6C" w:rsidRPr="008F0E6C">
        <w:rPr>
          <w:rFonts w:ascii="Arial" w:hAnsi="Arial" w:cs="Arial"/>
          <w:color w:val="7B7B7B" w:themeColor="accent3" w:themeShade="BF"/>
          <w:sz w:val="22"/>
          <w:szCs w:val="22"/>
          <w:lang w:val="en-GB"/>
        </w:rPr>
        <w:t>the security provider (</w:t>
      </w:r>
      <w:r w:rsidR="008F0E6C">
        <w:rPr>
          <w:rFonts w:ascii="Arial" w:hAnsi="Arial" w:cs="Arial"/>
          <w:color w:val="7B7B7B" w:themeColor="accent3" w:themeShade="BF"/>
          <w:sz w:val="22"/>
          <w:szCs w:val="22"/>
          <w:lang w:val="en-GB"/>
        </w:rPr>
        <w:t xml:space="preserve">i.e., the owner of the assets, </w:t>
      </w:r>
      <w:r w:rsidR="008F0E6C" w:rsidRPr="008F0E6C">
        <w:rPr>
          <w:rFonts w:ascii="Arial" w:hAnsi="Arial" w:cs="Arial"/>
          <w:color w:val="7B7B7B" w:themeColor="accent3" w:themeShade="BF"/>
          <w:sz w:val="22"/>
          <w:szCs w:val="22"/>
          <w:lang w:val="en-GB"/>
        </w:rPr>
        <w:t>which may either be the debtor or a third party</w:t>
      </w:r>
      <w:r w:rsidR="008F0E6C">
        <w:rPr>
          <w:rFonts w:ascii="Arial" w:hAnsi="Arial" w:cs="Arial"/>
          <w:color w:val="7B7B7B" w:themeColor="accent3" w:themeShade="BF"/>
          <w:sz w:val="22"/>
          <w:szCs w:val="22"/>
          <w:lang w:val="en-GB"/>
        </w:rPr>
        <w:t xml:space="preserve"> whose consent has been obtained in advance</w:t>
      </w:r>
      <w:r w:rsidR="008F0E6C" w:rsidRPr="008F0E6C">
        <w:rPr>
          <w:rFonts w:ascii="Arial" w:hAnsi="Arial" w:cs="Arial"/>
          <w:color w:val="7B7B7B" w:themeColor="accent3" w:themeShade="BF"/>
          <w:sz w:val="22"/>
          <w:szCs w:val="22"/>
          <w:lang w:val="en-GB"/>
        </w:rPr>
        <w:t>)</w:t>
      </w:r>
      <w:r w:rsidR="008F0E6C">
        <w:rPr>
          <w:rFonts w:ascii="Arial" w:hAnsi="Arial" w:cs="Arial"/>
          <w:color w:val="7B7B7B" w:themeColor="accent3" w:themeShade="BF"/>
          <w:sz w:val="22"/>
          <w:szCs w:val="22"/>
          <w:lang w:val="en-GB"/>
        </w:rPr>
        <w:t xml:space="preserve"> shall enter into a written agreement. Depending on the type of property, registration formalities must be completed before the fixed charge will become validly established and/or can be enforced as against bona fide third parties.</w:t>
      </w:r>
    </w:p>
    <w:p w14:paraId="0241E299" w14:textId="349EC58C" w:rsidR="00711E31" w:rsidRDefault="00711E31" w:rsidP="00711E31">
      <w:pPr>
        <w:ind w:left="720"/>
        <w:jc w:val="both"/>
        <w:rPr>
          <w:rFonts w:ascii="Arial" w:hAnsi="Arial" w:cs="Arial"/>
          <w:color w:val="7B7B7B" w:themeColor="accent3" w:themeShade="BF"/>
          <w:sz w:val="22"/>
          <w:szCs w:val="22"/>
          <w:lang w:val="en-GB"/>
        </w:rPr>
      </w:pPr>
    </w:p>
    <w:p w14:paraId="033A6D1B" w14:textId="77777777" w:rsidR="00F4266C" w:rsidRDefault="00C95BFC" w:rsidP="00F4266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charges under Chapter 17 of the China Civil Code of 2020 (“Mortgage”) are frequently used</w:t>
      </w:r>
      <w:r w:rsidR="008F0E6C">
        <w:rPr>
          <w:rFonts w:ascii="Arial" w:hAnsi="Arial" w:cs="Arial"/>
          <w:color w:val="7B7B7B" w:themeColor="accent3" w:themeShade="BF"/>
          <w:sz w:val="22"/>
          <w:szCs w:val="22"/>
          <w:lang w:val="en-GB"/>
        </w:rPr>
        <w:t xml:space="preserve"> in China</w:t>
      </w:r>
      <w:r>
        <w:rPr>
          <w:rFonts w:ascii="Arial" w:hAnsi="Arial" w:cs="Arial"/>
          <w:color w:val="7B7B7B" w:themeColor="accent3" w:themeShade="BF"/>
          <w:sz w:val="22"/>
          <w:szCs w:val="22"/>
          <w:lang w:val="en-GB"/>
        </w:rPr>
        <w:t>.</w:t>
      </w:r>
      <w:r w:rsidR="008F0E6C">
        <w:rPr>
          <w:rFonts w:ascii="Arial" w:hAnsi="Arial" w:cs="Arial"/>
          <w:color w:val="7B7B7B" w:themeColor="accent3" w:themeShade="BF"/>
          <w:sz w:val="22"/>
          <w:szCs w:val="22"/>
          <w:lang w:val="en-GB"/>
        </w:rPr>
        <w:t xml:space="preserve"> A fixed charge over </w:t>
      </w:r>
      <w:r w:rsidR="008F0E6C" w:rsidRPr="008F0E6C">
        <w:rPr>
          <w:rFonts w:ascii="Arial" w:hAnsi="Arial" w:cs="Arial"/>
          <w:color w:val="7B7B7B" w:themeColor="accent3" w:themeShade="BF"/>
          <w:sz w:val="22"/>
          <w:szCs w:val="22"/>
          <w:lang w:val="en-GB"/>
        </w:rPr>
        <w:t>property</w:t>
      </w:r>
      <w:r w:rsidR="008F0E6C">
        <w:rPr>
          <w:rFonts w:ascii="Arial" w:hAnsi="Arial" w:cs="Arial"/>
          <w:color w:val="7B7B7B" w:themeColor="accent3" w:themeShade="BF"/>
          <w:sz w:val="22"/>
          <w:szCs w:val="22"/>
          <w:lang w:val="en-GB"/>
        </w:rPr>
        <w:t xml:space="preserve"> </w:t>
      </w:r>
      <w:r w:rsidR="008F0E6C" w:rsidRPr="008F0E6C">
        <w:rPr>
          <w:rFonts w:ascii="Arial" w:hAnsi="Arial" w:cs="Arial"/>
          <w:color w:val="7B7B7B" w:themeColor="accent3" w:themeShade="BF"/>
          <w:sz w:val="22"/>
          <w:szCs w:val="22"/>
          <w:lang w:val="en-GB"/>
        </w:rPr>
        <w:t>(</w:t>
      </w:r>
      <w:r w:rsidR="008F0E6C">
        <w:rPr>
          <w:rFonts w:ascii="Arial" w:hAnsi="Arial" w:cs="Arial"/>
          <w:color w:val="7B7B7B" w:themeColor="accent3" w:themeShade="BF"/>
          <w:sz w:val="22"/>
          <w:szCs w:val="22"/>
          <w:lang w:val="en-GB"/>
        </w:rPr>
        <w:t xml:space="preserve">either </w:t>
      </w:r>
      <w:r w:rsidR="008F0E6C" w:rsidRPr="008F0E6C">
        <w:rPr>
          <w:rFonts w:ascii="Arial" w:hAnsi="Arial" w:cs="Arial"/>
          <w:color w:val="7B7B7B" w:themeColor="accent3" w:themeShade="BF"/>
          <w:sz w:val="22"/>
          <w:szCs w:val="22"/>
          <w:lang w:val="en-GB"/>
        </w:rPr>
        <w:t>movable or immoveable) may be established</w:t>
      </w:r>
      <w:r w:rsidR="008F0E6C">
        <w:rPr>
          <w:rFonts w:ascii="Arial" w:hAnsi="Arial" w:cs="Arial"/>
          <w:color w:val="7B7B7B" w:themeColor="accent3" w:themeShade="BF"/>
          <w:sz w:val="22"/>
          <w:szCs w:val="22"/>
          <w:lang w:val="en-GB"/>
        </w:rPr>
        <w:t xml:space="preserve"> </w:t>
      </w:r>
      <w:r w:rsidR="008F0E6C" w:rsidRPr="008F0E6C">
        <w:rPr>
          <w:rFonts w:ascii="Arial" w:hAnsi="Arial" w:cs="Arial"/>
          <w:color w:val="7B7B7B" w:themeColor="accent3" w:themeShade="BF"/>
          <w:sz w:val="22"/>
          <w:szCs w:val="22"/>
          <w:lang w:val="en-GB"/>
        </w:rPr>
        <w:t>without transferring the possession of the assets but requires registration</w:t>
      </w:r>
      <w:r w:rsidR="008F0E6C">
        <w:rPr>
          <w:rFonts w:ascii="Arial" w:hAnsi="Arial" w:cs="Arial"/>
          <w:color w:val="7B7B7B" w:themeColor="accent3" w:themeShade="BF"/>
          <w:sz w:val="22"/>
          <w:szCs w:val="22"/>
          <w:lang w:val="en-GB"/>
        </w:rPr>
        <w:t xml:space="preserve">. </w:t>
      </w:r>
    </w:p>
    <w:p w14:paraId="67EE9C13" w14:textId="77777777" w:rsidR="00F4266C" w:rsidRDefault="00F4266C" w:rsidP="00F4266C">
      <w:pPr>
        <w:ind w:left="720"/>
        <w:jc w:val="both"/>
        <w:rPr>
          <w:rFonts w:ascii="Arial" w:hAnsi="Arial" w:cs="Arial"/>
          <w:color w:val="7B7B7B" w:themeColor="accent3" w:themeShade="BF"/>
          <w:sz w:val="22"/>
          <w:szCs w:val="22"/>
          <w:lang w:val="en-GB"/>
        </w:rPr>
      </w:pPr>
    </w:p>
    <w:p w14:paraId="01C4BD8C" w14:textId="212BD73D" w:rsidR="00711E31" w:rsidRDefault="00F4266C" w:rsidP="000A2CB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most cases, a fixed charge is created over immovable property, and more specifically upon buildings and the (associated) rights of use of land. According to Articles 209 et seq. of the China Civil Code of 2020, </w:t>
      </w:r>
      <w:r>
        <w:rPr>
          <w:rFonts w:ascii="Arial" w:hAnsi="Arial" w:cs="Arial"/>
          <w:i/>
          <w:iCs/>
          <w:color w:val="7B7B7B" w:themeColor="accent3" w:themeShade="BF"/>
          <w:sz w:val="22"/>
          <w:szCs w:val="22"/>
          <w:lang w:val="en-GB"/>
        </w:rPr>
        <w:t>inter alia</w:t>
      </w:r>
      <w:r>
        <w:rPr>
          <w:rFonts w:ascii="Arial" w:hAnsi="Arial" w:cs="Arial"/>
          <w:color w:val="7B7B7B" w:themeColor="accent3" w:themeShade="BF"/>
          <w:sz w:val="22"/>
          <w:szCs w:val="22"/>
          <w:lang w:val="en-GB"/>
        </w:rPr>
        <w:t xml:space="preserve">, (1) the establishment of a fixed charge over immoveable property </w:t>
      </w:r>
      <w:r w:rsidRPr="00F4266C">
        <w:rPr>
          <w:rFonts w:ascii="Arial" w:hAnsi="Arial" w:cs="Arial"/>
          <w:color w:val="7B7B7B" w:themeColor="accent3" w:themeShade="BF"/>
          <w:sz w:val="22"/>
          <w:szCs w:val="22"/>
          <w:lang w:val="en-GB"/>
        </w:rPr>
        <w:t>shall become effective upon registration in accordance with law,</w:t>
      </w:r>
      <w:r>
        <w:rPr>
          <w:rFonts w:ascii="Arial" w:hAnsi="Arial" w:cs="Arial"/>
          <w:color w:val="7B7B7B" w:themeColor="accent3" w:themeShade="BF"/>
          <w:sz w:val="22"/>
          <w:szCs w:val="22"/>
          <w:lang w:val="en-GB"/>
        </w:rPr>
        <w:t xml:space="preserve"> </w:t>
      </w:r>
      <w:r w:rsidRPr="00F4266C">
        <w:rPr>
          <w:rFonts w:ascii="Arial" w:hAnsi="Arial" w:cs="Arial"/>
          <w:color w:val="7B7B7B" w:themeColor="accent3" w:themeShade="BF"/>
          <w:sz w:val="22"/>
          <w:szCs w:val="22"/>
          <w:lang w:val="en-GB"/>
        </w:rPr>
        <w:t>and shall not take effect without registration, unless otherwise provided by law</w:t>
      </w:r>
      <w:r>
        <w:rPr>
          <w:rFonts w:ascii="Arial" w:hAnsi="Arial" w:cs="Arial"/>
          <w:color w:val="7B7B7B" w:themeColor="accent3" w:themeShade="BF"/>
          <w:sz w:val="22"/>
          <w:szCs w:val="22"/>
          <w:lang w:val="en-GB"/>
        </w:rPr>
        <w:t xml:space="preserve">; (2) the </w:t>
      </w:r>
      <w:r w:rsidRPr="00F4266C">
        <w:rPr>
          <w:rFonts w:ascii="Arial" w:hAnsi="Arial" w:cs="Arial"/>
          <w:color w:val="7B7B7B" w:themeColor="accent3" w:themeShade="BF"/>
          <w:sz w:val="22"/>
          <w:szCs w:val="22"/>
          <w:lang w:val="en-GB"/>
        </w:rPr>
        <w:t>registration of immovable property shall be handled by the registration</w:t>
      </w:r>
      <w:r>
        <w:rPr>
          <w:rFonts w:ascii="Arial" w:hAnsi="Arial" w:cs="Arial"/>
          <w:color w:val="7B7B7B" w:themeColor="accent3" w:themeShade="BF"/>
          <w:sz w:val="22"/>
          <w:szCs w:val="22"/>
          <w:lang w:val="en-GB"/>
        </w:rPr>
        <w:t xml:space="preserve"> </w:t>
      </w:r>
      <w:r w:rsidRPr="00F4266C">
        <w:rPr>
          <w:rFonts w:ascii="Arial" w:hAnsi="Arial" w:cs="Arial"/>
          <w:color w:val="7B7B7B" w:themeColor="accent3" w:themeShade="BF"/>
          <w:sz w:val="22"/>
          <w:szCs w:val="22"/>
          <w:lang w:val="en-GB"/>
        </w:rPr>
        <w:t>authority at the place where the immovable property is located</w:t>
      </w:r>
      <w:r>
        <w:rPr>
          <w:rFonts w:ascii="Arial" w:hAnsi="Arial" w:cs="Arial"/>
          <w:color w:val="7B7B7B" w:themeColor="accent3" w:themeShade="BF"/>
          <w:sz w:val="22"/>
          <w:szCs w:val="22"/>
          <w:lang w:val="en-GB"/>
        </w:rPr>
        <w:t>; (3) the applicant shall provide the necessary evidence (for example, the proof of security, the area of the immoveable property, etc.); (4) the fixed charge will be recorded in the register of immoveable property as kept by the registration authority</w:t>
      </w:r>
      <w:r w:rsidR="00606BB5">
        <w:rPr>
          <w:rFonts w:ascii="Arial" w:hAnsi="Arial" w:cs="Arial"/>
          <w:color w:val="7B7B7B" w:themeColor="accent3" w:themeShade="BF"/>
          <w:sz w:val="22"/>
          <w:szCs w:val="22"/>
          <w:lang w:val="en-GB"/>
        </w:rPr>
        <w:t>; for immoveable property this is the local office of the China Housing Management Authority, whereas for the rights of use of a piece of land this is the local office of the China Land Management Authority (for safety, most security holders will register the fixed charge at both offices, since the use right of the land upon which the immoveable property (buildings, houses) stands is part of the property; (5) the applicant who is successful will receive a certificate as proof of his entitlement to the security</w:t>
      </w:r>
      <w:r w:rsidR="000A2CBC">
        <w:rPr>
          <w:rFonts w:ascii="Arial" w:hAnsi="Arial" w:cs="Arial"/>
          <w:color w:val="7B7B7B" w:themeColor="accent3" w:themeShade="BF"/>
          <w:sz w:val="22"/>
          <w:szCs w:val="22"/>
          <w:lang w:val="en-GB"/>
        </w:rPr>
        <w:t>; and (6) t</w:t>
      </w:r>
      <w:r w:rsidR="000A2CBC" w:rsidRPr="000A2CBC">
        <w:rPr>
          <w:rFonts w:ascii="Arial" w:hAnsi="Arial" w:cs="Arial"/>
          <w:color w:val="7B7B7B" w:themeColor="accent3" w:themeShade="BF"/>
          <w:sz w:val="22"/>
          <w:szCs w:val="22"/>
          <w:lang w:val="en-GB"/>
        </w:rPr>
        <w:t>he fee for the registration of immovable property shall be collected on a</w:t>
      </w:r>
      <w:r w:rsidR="000A2CBC">
        <w:rPr>
          <w:rFonts w:ascii="Arial" w:hAnsi="Arial" w:cs="Arial"/>
          <w:color w:val="7B7B7B" w:themeColor="accent3" w:themeShade="BF"/>
          <w:sz w:val="22"/>
          <w:szCs w:val="22"/>
          <w:lang w:val="en-GB"/>
        </w:rPr>
        <w:t xml:space="preserve"> </w:t>
      </w:r>
      <w:r w:rsidR="000A2CBC" w:rsidRPr="000A2CBC">
        <w:rPr>
          <w:rFonts w:ascii="Arial" w:hAnsi="Arial" w:cs="Arial"/>
          <w:color w:val="7B7B7B" w:themeColor="accent3" w:themeShade="BF"/>
          <w:sz w:val="22"/>
          <w:szCs w:val="22"/>
          <w:lang w:val="en-GB"/>
        </w:rPr>
        <w:t>piece-by-piece basis and may not be collected in proportion to the area, size, or</w:t>
      </w:r>
      <w:r w:rsidR="000A2CBC">
        <w:rPr>
          <w:rFonts w:ascii="Arial" w:hAnsi="Arial" w:cs="Arial"/>
          <w:color w:val="7B7B7B" w:themeColor="accent3" w:themeShade="BF"/>
          <w:sz w:val="22"/>
          <w:szCs w:val="22"/>
          <w:lang w:val="en-GB"/>
        </w:rPr>
        <w:t xml:space="preserve"> </w:t>
      </w:r>
      <w:r w:rsidR="000A2CBC" w:rsidRPr="000A2CBC">
        <w:rPr>
          <w:rFonts w:ascii="Arial" w:hAnsi="Arial" w:cs="Arial"/>
          <w:color w:val="7B7B7B" w:themeColor="accent3" w:themeShade="BF"/>
          <w:sz w:val="22"/>
          <w:szCs w:val="22"/>
          <w:lang w:val="en-GB"/>
        </w:rPr>
        <w:t>purchase price of the immovable property</w:t>
      </w:r>
      <w:r w:rsidR="000A2CBC">
        <w:rPr>
          <w:rFonts w:ascii="Arial" w:hAnsi="Arial" w:cs="Arial"/>
          <w:color w:val="7B7B7B" w:themeColor="accent3" w:themeShade="BF"/>
          <w:sz w:val="22"/>
          <w:szCs w:val="22"/>
          <w:lang w:val="en-GB"/>
        </w:rPr>
        <w:t>.</w:t>
      </w:r>
    </w:p>
    <w:p w14:paraId="5448C91C" w14:textId="0758294B" w:rsidR="00606BB5" w:rsidRDefault="00606BB5" w:rsidP="00F4266C">
      <w:pPr>
        <w:ind w:left="720"/>
        <w:jc w:val="both"/>
        <w:rPr>
          <w:rFonts w:ascii="Arial" w:hAnsi="Arial" w:cs="Arial"/>
          <w:color w:val="7B7B7B" w:themeColor="accent3" w:themeShade="BF"/>
          <w:sz w:val="22"/>
          <w:szCs w:val="22"/>
          <w:lang w:val="en-GB"/>
        </w:rPr>
      </w:pPr>
    </w:p>
    <w:p w14:paraId="5C34C7DC" w14:textId="55B721AA" w:rsidR="00606BB5" w:rsidRDefault="00606BB5" w:rsidP="00F4266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creation of a fixed charge over moveable property, it will depend on the type of moveable property </w:t>
      </w:r>
      <w:r w:rsidR="000A2CBC">
        <w:rPr>
          <w:rFonts w:ascii="Arial" w:hAnsi="Arial" w:cs="Arial"/>
          <w:color w:val="7B7B7B" w:themeColor="accent3" w:themeShade="BF"/>
          <w:sz w:val="22"/>
          <w:szCs w:val="22"/>
          <w:lang w:val="en-GB"/>
        </w:rPr>
        <w:t xml:space="preserve">how and </w:t>
      </w:r>
      <w:r>
        <w:rPr>
          <w:rFonts w:ascii="Arial" w:hAnsi="Arial" w:cs="Arial"/>
          <w:color w:val="7B7B7B" w:themeColor="accent3" w:themeShade="BF"/>
          <w:sz w:val="22"/>
          <w:szCs w:val="22"/>
          <w:lang w:val="en-GB"/>
        </w:rPr>
        <w:t>where the charge will be recorded.</w:t>
      </w:r>
      <w:r w:rsidR="00B328DF">
        <w:rPr>
          <w:rFonts w:ascii="Arial" w:hAnsi="Arial" w:cs="Arial"/>
          <w:color w:val="7B7B7B" w:themeColor="accent3" w:themeShade="BF"/>
          <w:sz w:val="22"/>
          <w:szCs w:val="22"/>
          <w:lang w:val="en-GB"/>
        </w:rPr>
        <w:t xml:space="preserve"> For</w:t>
      </w:r>
      <w:r>
        <w:rPr>
          <w:rFonts w:ascii="Arial" w:hAnsi="Arial" w:cs="Arial"/>
          <w:color w:val="7B7B7B" w:themeColor="accent3" w:themeShade="BF"/>
          <w:sz w:val="22"/>
          <w:szCs w:val="22"/>
          <w:lang w:val="en-GB"/>
        </w:rPr>
        <w:t xml:space="preserve"> vehicles, the registration shall be handled by the local police vehicle management office; for machinery and other equipment, the registration shall be handled by the local office of the China Industries and Commerce Regulation Bureau.</w:t>
      </w:r>
    </w:p>
    <w:p w14:paraId="1C8B56A7" w14:textId="2887F66C" w:rsidR="000A2CBC" w:rsidRDefault="000A2CBC" w:rsidP="00F4266C">
      <w:pPr>
        <w:ind w:left="720"/>
        <w:jc w:val="both"/>
        <w:rPr>
          <w:rFonts w:ascii="Arial" w:hAnsi="Arial" w:cs="Arial"/>
          <w:color w:val="7B7B7B" w:themeColor="accent3" w:themeShade="BF"/>
          <w:sz w:val="22"/>
          <w:szCs w:val="22"/>
          <w:lang w:val="en-GB"/>
        </w:rPr>
      </w:pPr>
    </w:p>
    <w:p w14:paraId="03055817" w14:textId="3CB7CE85" w:rsidR="000A2CBC" w:rsidRDefault="000A2CBC" w:rsidP="000A2CB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Pledges under Chapter 18 of the China Civil Code of 2020 are less frequently used in China. The establishment of a pledge over moveable property and intangible</w:t>
      </w:r>
      <w:r w:rsidR="00A73F7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lastRenderedPageBreak/>
        <w:t xml:space="preserve">normally requires the </w:t>
      </w:r>
      <w:r w:rsidRPr="000A2CBC">
        <w:rPr>
          <w:rFonts w:ascii="Arial" w:hAnsi="Arial" w:cs="Arial"/>
          <w:color w:val="7B7B7B" w:themeColor="accent3" w:themeShade="BF"/>
          <w:sz w:val="22"/>
          <w:szCs w:val="22"/>
          <w:lang w:val="en-GB"/>
        </w:rPr>
        <w:t>transferring of the possession of the pledged assets or</w:t>
      </w:r>
      <w:r>
        <w:rPr>
          <w:rFonts w:ascii="Arial" w:hAnsi="Arial" w:cs="Arial"/>
          <w:color w:val="7B7B7B" w:themeColor="accent3" w:themeShade="BF"/>
          <w:sz w:val="22"/>
          <w:szCs w:val="22"/>
          <w:lang w:val="en-GB"/>
        </w:rPr>
        <w:t xml:space="preserve"> </w:t>
      </w:r>
      <w:r w:rsidRPr="000A2CBC">
        <w:rPr>
          <w:rFonts w:ascii="Arial" w:hAnsi="Arial" w:cs="Arial"/>
          <w:color w:val="7B7B7B" w:themeColor="accent3" w:themeShade="BF"/>
          <w:sz w:val="22"/>
          <w:szCs w:val="22"/>
          <w:lang w:val="en-GB"/>
        </w:rPr>
        <w:t>instruments to the creditor</w:t>
      </w:r>
      <w:r>
        <w:rPr>
          <w:rFonts w:ascii="Arial" w:hAnsi="Arial" w:cs="Arial"/>
          <w:color w:val="7B7B7B" w:themeColor="accent3" w:themeShade="BF"/>
          <w:sz w:val="22"/>
          <w:szCs w:val="22"/>
          <w:lang w:val="en-GB"/>
        </w:rPr>
        <w:t>.</w:t>
      </w:r>
    </w:p>
    <w:p w14:paraId="448F62D5" w14:textId="4BCF62F7" w:rsidR="000A2CBC" w:rsidRDefault="000A2CBC" w:rsidP="000A2CBC">
      <w:pPr>
        <w:ind w:left="720"/>
        <w:jc w:val="both"/>
        <w:rPr>
          <w:rFonts w:ascii="Arial" w:hAnsi="Arial" w:cs="Arial"/>
          <w:color w:val="7B7B7B" w:themeColor="accent3" w:themeShade="BF"/>
          <w:sz w:val="22"/>
          <w:szCs w:val="22"/>
          <w:lang w:val="en-GB"/>
        </w:rPr>
      </w:pPr>
    </w:p>
    <w:p w14:paraId="6E1BB7B5" w14:textId="1E45F658" w:rsidR="00A73F7A" w:rsidRDefault="000A2CBC" w:rsidP="00B328DF">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moveable assets no registration is required, since the </w:t>
      </w:r>
      <w:r w:rsidR="00A73F7A">
        <w:rPr>
          <w:rFonts w:ascii="Arial" w:hAnsi="Arial" w:cs="Arial"/>
          <w:color w:val="7B7B7B" w:themeColor="accent3" w:themeShade="BF"/>
          <w:sz w:val="22"/>
          <w:szCs w:val="22"/>
          <w:lang w:val="en-GB"/>
        </w:rPr>
        <w:t xml:space="preserve">transfer of (physical) possession thereof will be sufficient to protest the pledge; the pledge is </w:t>
      </w:r>
      <w:proofErr w:type="gramStart"/>
      <w:r w:rsidR="00A73F7A">
        <w:rPr>
          <w:rFonts w:ascii="Arial" w:hAnsi="Arial" w:cs="Arial"/>
          <w:color w:val="7B7B7B" w:themeColor="accent3" w:themeShade="BF"/>
          <w:sz w:val="22"/>
          <w:szCs w:val="22"/>
          <w:lang w:val="en-GB"/>
        </w:rPr>
        <w:t>effected</w:t>
      </w:r>
      <w:proofErr w:type="gramEnd"/>
      <w:r w:rsidR="00A73F7A">
        <w:rPr>
          <w:rFonts w:ascii="Arial" w:hAnsi="Arial" w:cs="Arial"/>
          <w:color w:val="7B7B7B" w:themeColor="accent3" w:themeShade="BF"/>
          <w:sz w:val="22"/>
          <w:szCs w:val="22"/>
          <w:lang w:val="en-GB"/>
        </w:rPr>
        <w:t xml:space="preserve"> upon the transfer. </w:t>
      </w:r>
      <w:r w:rsidR="00A73F7A" w:rsidRPr="00A73F7A">
        <w:rPr>
          <w:rFonts w:ascii="Arial" w:hAnsi="Arial" w:cs="Arial"/>
          <w:color w:val="7B7B7B" w:themeColor="accent3" w:themeShade="BF"/>
          <w:sz w:val="22"/>
          <w:szCs w:val="22"/>
          <w:lang w:val="en-GB"/>
        </w:rPr>
        <w:t>For intangible assets</w:t>
      </w:r>
      <w:r w:rsidR="00A73F7A">
        <w:rPr>
          <w:rFonts w:ascii="Arial" w:hAnsi="Arial" w:cs="Arial"/>
          <w:color w:val="7B7B7B" w:themeColor="accent3" w:themeShade="BF"/>
          <w:sz w:val="22"/>
          <w:szCs w:val="22"/>
          <w:lang w:val="en-GB"/>
        </w:rPr>
        <w:t xml:space="preserve"> (for example trademarks, patents, shares), however, registration</w:t>
      </w:r>
      <w:r w:rsidR="00A73F7A" w:rsidRPr="00A73F7A">
        <w:rPr>
          <w:rFonts w:ascii="Arial" w:hAnsi="Arial" w:cs="Arial"/>
          <w:color w:val="7B7B7B" w:themeColor="accent3" w:themeShade="BF"/>
          <w:sz w:val="22"/>
          <w:szCs w:val="22"/>
          <w:lang w:val="en-GB"/>
        </w:rPr>
        <w:t xml:space="preserve"> with the relevant authorities</w:t>
      </w:r>
      <w:r w:rsidR="00A73F7A">
        <w:rPr>
          <w:rFonts w:ascii="Arial" w:hAnsi="Arial" w:cs="Arial"/>
          <w:color w:val="7B7B7B" w:themeColor="accent3" w:themeShade="BF"/>
          <w:sz w:val="22"/>
          <w:szCs w:val="22"/>
          <w:lang w:val="en-GB"/>
        </w:rPr>
        <w:t xml:space="preserve"> is required, since </w:t>
      </w:r>
      <w:r w:rsidR="00A73F7A" w:rsidRPr="00A73F7A">
        <w:rPr>
          <w:rFonts w:ascii="Arial" w:hAnsi="Arial" w:cs="Arial"/>
          <w:color w:val="7B7B7B" w:themeColor="accent3" w:themeShade="BF"/>
          <w:sz w:val="22"/>
          <w:szCs w:val="22"/>
          <w:lang w:val="en-GB"/>
        </w:rPr>
        <w:t>the possession of</w:t>
      </w:r>
      <w:r w:rsidR="00A73F7A">
        <w:rPr>
          <w:rFonts w:ascii="Arial" w:hAnsi="Arial" w:cs="Arial"/>
          <w:color w:val="7B7B7B" w:themeColor="accent3" w:themeShade="BF"/>
          <w:sz w:val="22"/>
          <w:szCs w:val="22"/>
          <w:lang w:val="en-GB"/>
        </w:rPr>
        <w:t xml:space="preserve"> those intangibles </w:t>
      </w:r>
      <w:r w:rsidR="00A73F7A" w:rsidRPr="00A73F7A">
        <w:rPr>
          <w:rFonts w:ascii="Arial" w:hAnsi="Arial" w:cs="Arial"/>
          <w:color w:val="7B7B7B" w:themeColor="accent3" w:themeShade="BF"/>
          <w:sz w:val="22"/>
          <w:szCs w:val="22"/>
          <w:lang w:val="en-GB"/>
        </w:rPr>
        <w:t>cannot be transferred</w:t>
      </w:r>
      <w:r w:rsidR="00A73F7A">
        <w:rPr>
          <w:rFonts w:ascii="Arial" w:hAnsi="Arial" w:cs="Arial"/>
          <w:color w:val="7B7B7B" w:themeColor="accent3" w:themeShade="BF"/>
          <w:sz w:val="22"/>
          <w:szCs w:val="22"/>
          <w:lang w:val="en-GB"/>
        </w:rPr>
        <w:t>. The pledge</w:t>
      </w:r>
      <w:r w:rsidR="00B328DF">
        <w:rPr>
          <w:rFonts w:ascii="Arial" w:hAnsi="Arial" w:cs="Arial"/>
          <w:color w:val="7B7B7B" w:themeColor="accent3" w:themeShade="BF"/>
          <w:sz w:val="22"/>
          <w:szCs w:val="22"/>
          <w:lang w:val="en-GB"/>
        </w:rPr>
        <w:t>s</w:t>
      </w:r>
      <w:r w:rsidR="00A73F7A">
        <w:rPr>
          <w:rFonts w:ascii="Arial" w:hAnsi="Arial" w:cs="Arial"/>
          <w:color w:val="7B7B7B" w:themeColor="accent3" w:themeShade="BF"/>
          <w:sz w:val="22"/>
          <w:szCs w:val="22"/>
          <w:lang w:val="en-GB"/>
        </w:rPr>
        <w:t xml:space="preserve"> </w:t>
      </w:r>
      <w:r w:rsidR="00A73F7A" w:rsidRPr="00A73F7A">
        <w:rPr>
          <w:rFonts w:ascii="Arial" w:hAnsi="Arial" w:cs="Arial"/>
          <w:color w:val="7B7B7B" w:themeColor="accent3" w:themeShade="BF"/>
          <w:sz w:val="22"/>
          <w:szCs w:val="22"/>
          <w:lang w:val="en-GB"/>
        </w:rPr>
        <w:t>are registered with</w:t>
      </w:r>
      <w:r w:rsidR="00A73F7A">
        <w:rPr>
          <w:rFonts w:ascii="Arial" w:hAnsi="Arial" w:cs="Arial"/>
          <w:color w:val="7B7B7B" w:themeColor="accent3" w:themeShade="BF"/>
          <w:sz w:val="22"/>
          <w:szCs w:val="22"/>
          <w:lang w:val="en-GB"/>
        </w:rPr>
        <w:t xml:space="preserve"> </w:t>
      </w:r>
      <w:r w:rsidR="00A73F7A" w:rsidRPr="00A73F7A">
        <w:rPr>
          <w:rFonts w:ascii="Arial" w:hAnsi="Arial" w:cs="Arial"/>
          <w:color w:val="7B7B7B" w:themeColor="accent3" w:themeShade="BF"/>
          <w:sz w:val="22"/>
          <w:szCs w:val="22"/>
          <w:lang w:val="en-GB"/>
        </w:rPr>
        <w:t xml:space="preserve">different authorities depending on the type of </w:t>
      </w:r>
      <w:r w:rsidR="00A73F7A">
        <w:rPr>
          <w:rFonts w:ascii="Arial" w:hAnsi="Arial" w:cs="Arial"/>
          <w:color w:val="7B7B7B" w:themeColor="accent3" w:themeShade="BF"/>
          <w:sz w:val="22"/>
          <w:szCs w:val="22"/>
          <w:lang w:val="en-GB"/>
        </w:rPr>
        <w:t>intangible asset</w:t>
      </w:r>
      <w:r w:rsidR="00A73F7A" w:rsidRPr="00A73F7A">
        <w:rPr>
          <w:rFonts w:ascii="Arial" w:hAnsi="Arial" w:cs="Arial"/>
          <w:color w:val="7B7B7B" w:themeColor="accent3" w:themeShade="BF"/>
          <w:sz w:val="22"/>
          <w:szCs w:val="22"/>
          <w:lang w:val="en-GB"/>
        </w:rPr>
        <w:t xml:space="preserve"> </w:t>
      </w:r>
      <w:r w:rsidR="00A73F7A">
        <w:rPr>
          <w:rFonts w:ascii="Arial" w:hAnsi="Arial" w:cs="Arial"/>
          <w:color w:val="7B7B7B" w:themeColor="accent3" w:themeShade="BF"/>
          <w:sz w:val="22"/>
          <w:szCs w:val="22"/>
          <w:lang w:val="en-GB"/>
        </w:rPr>
        <w:t>upon which they are created</w:t>
      </w:r>
      <w:r w:rsidR="00B328DF">
        <w:rPr>
          <w:rFonts w:ascii="Arial" w:hAnsi="Arial" w:cs="Arial"/>
          <w:color w:val="7B7B7B" w:themeColor="accent3" w:themeShade="BF"/>
          <w:sz w:val="22"/>
          <w:szCs w:val="22"/>
          <w:lang w:val="en-GB"/>
        </w:rPr>
        <w:t xml:space="preserve">; the relevant pledges </w:t>
      </w:r>
      <w:r w:rsidR="00B328DF" w:rsidRPr="00B328DF">
        <w:rPr>
          <w:rFonts w:ascii="Arial" w:hAnsi="Arial" w:cs="Arial"/>
          <w:color w:val="7B7B7B" w:themeColor="accent3" w:themeShade="BF"/>
          <w:sz w:val="22"/>
          <w:szCs w:val="22"/>
          <w:lang w:val="en-GB"/>
        </w:rPr>
        <w:t>and corresponding registration authorities are as</w:t>
      </w:r>
      <w:r w:rsidR="00B328DF">
        <w:rPr>
          <w:rFonts w:ascii="Arial" w:hAnsi="Arial" w:cs="Arial"/>
          <w:color w:val="7B7B7B" w:themeColor="accent3" w:themeShade="BF"/>
          <w:sz w:val="22"/>
          <w:szCs w:val="22"/>
          <w:lang w:val="en-GB"/>
        </w:rPr>
        <w:t xml:space="preserve"> </w:t>
      </w:r>
      <w:r w:rsidR="00B328DF" w:rsidRPr="00B328DF">
        <w:rPr>
          <w:rFonts w:ascii="Arial" w:hAnsi="Arial" w:cs="Arial"/>
          <w:color w:val="7B7B7B" w:themeColor="accent3" w:themeShade="BF"/>
          <w:sz w:val="22"/>
          <w:szCs w:val="22"/>
          <w:lang w:val="en-GB"/>
        </w:rPr>
        <w:t>follows</w:t>
      </w:r>
      <w:r w:rsidR="00B328DF">
        <w:rPr>
          <w:rFonts w:ascii="Arial" w:hAnsi="Arial" w:cs="Arial"/>
          <w:color w:val="7B7B7B" w:themeColor="accent3" w:themeShade="BF"/>
          <w:sz w:val="22"/>
          <w:szCs w:val="22"/>
          <w:lang w:val="en-GB"/>
        </w:rPr>
        <w:t>: pledges of trademarks shall be registered with the China Industries and Commerce Regulation Bureau Central Office located in Beijing; pledges of patents shall be registered with the China Intellectual Property Authority Central Office located in Beijing; pledges of shares of listed companies shall be registered with the China Securities Depository and Clearing Corporation Limited; and pledges of shares of non-listed companies shall be registered with the local office of the China Companies House where the company is incorporated.</w:t>
      </w:r>
    </w:p>
    <w:p w14:paraId="1B735832" w14:textId="77777777" w:rsidR="00711E31" w:rsidRPr="002E0E77" w:rsidRDefault="00711E31" w:rsidP="00B328DF">
      <w:pPr>
        <w:jc w:val="both"/>
        <w:rPr>
          <w:rFonts w:ascii="Arial" w:hAnsi="Arial" w:cs="Arial"/>
          <w:color w:val="7B7B7B" w:themeColor="accent3" w:themeShade="BF"/>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bookmarkStart w:id="0" w:name="_Hlk109665231"/>
      <w:r w:rsidR="001E4A1F" w:rsidRPr="002E0E77">
        <w:rPr>
          <w:rFonts w:ascii="Arial" w:hAnsi="Arial" w:cs="Arial"/>
          <w:sz w:val="22"/>
          <w:szCs w:val="22"/>
          <w:lang w:val="en-GB"/>
        </w:rPr>
        <w:t xml:space="preserve">The China Enterprise Bankruptcy Law of 2006 </w:t>
      </w:r>
      <w:bookmarkEnd w:id="0"/>
      <w:r w:rsidR="001E4A1F" w:rsidRPr="002E0E77">
        <w:rPr>
          <w:rFonts w:ascii="Arial" w:hAnsi="Arial" w:cs="Arial"/>
          <w:sz w:val="22"/>
          <w:szCs w:val="22"/>
          <w:lang w:val="en-GB"/>
        </w:rPr>
        <w:t>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0925B1E5" w14:textId="4E99E913" w:rsidR="00A54652" w:rsidRDefault="00FD55CF" w:rsidP="00A047C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A047C6">
        <w:rPr>
          <w:rFonts w:ascii="Arial" w:hAnsi="Arial" w:cs="Arial"/>
          <w:color w:val="7B7B7B" w:themeColor="accent3" w:themeShade="BF"/>
          <w:sz w:val="22"/>
          <w:szCs w:val="22"/>
          <w:lang w:val="en-GB"/>
        </w:rPr>
        <w:t>orporate reorganisation was one of the key areas that were discussed</w:t>
      </w:r>
      <w:r>
        <w:rPr>
          <w:rFonts w:ascii="Arial" w:hAnsi="Arial" w:cs="Arial"/>
          <w:color w:val="7B7B7B" w:themeColor="accent3" w:themeShade="BF"/>
          <w:sz w:val="22"/>
          <w:szCs w:val="22"/>
          <w:lang w:val="en-GB"/>
        </w:rPr>
        <w:t xml:space="preserve"> during the drafting process of a new bankruptcy law in China that finally concluded in 2006.</w:t>
      </w:r>
      <w:r w:rsidR="00A047C6">
        <w:rPr>
          <w:rFonts w:ascii="Arial" w:hAnsi="Arial" w:cs="Arial"/>
          <w:color w:val="7B7B7B" w:themeColor="accent3" w:themeShade="BF"/>
          <w:sz w:val="22"/>
          <w:szCs w:val="22"/>
          <w:lang w:val="en-GB"/>
        </w:rPr>
        <w:t xml:space="preserve"> </w:t>
      </w:r>
      <w:r w:rsidR="00C00A4D">
        <w:rPr>
          <w:rFonts w:ascii="Arial" w:hAnsi="Arial" w:cs="Arial"/>
          <w:color w:val="7B7B7B" w:themeColor="accent3" w:themeShade="BF"/>
          <w:sz w:val="22"/>
          <w:szCs w:val="22"/>
          <w:lang w:val="en-GB"/>
        </w:rPr>
        <w:t xml:space="preserve">Although </w:t>
      </w:r>
      <w:r>
        <w:rPr>
          <w:rFonts w:ascii="Arial" w:hAnsi="Arial" w:cs="Arial"/>
          <w:color w:val="7B7B7B" w:themeColor="accent3" w:themeShade="BF"/>
          <w:sz w:val="22"/>
          <w:szCs w:val="22"/>
          <w:lang w:val="en-GB"/>
        </w:rPr>
        <w:t>it</w:t>
      </w:r>
      <w:r w:rsidR="00C00A4D">
        <w:rPr>
          <w:rFonts w:ascii="Arial" w:hAnsi="Arial" w:cs="Arial"/>
          <w:color w:val="7B7B7B" w:themeColor="accent3" w:themeShade="BF"/>
          <w:sz w:val="22"/>
          <w:szCs w:val="22"/>
          <w:lang w:val="en-GB"/>
        </w:rPr>
        <w:t xml:space="preserve"> was already possible</w:t>
      </w:r>
      <w:r>
        <w:rPr>
          <w:rFonts w:ascii="Arial" w:hAnsi="Arial" w:cs="Arial"/>
          <w:color w:val="7B7B7B" w:themeColor="accent3" w:themeShade="BF"/>
          <w:sz w:val="22"/>
          <w:szCs w:val="22"/>
          <w:lang w:val="en-GB"/>
        </w:rPr>
        <w:t xml:space="preserve"> under the old law</w:t>
      </w:r>
      <w:r w:rsidR="00C00A4D">
        <w:rPr>
          <w:rFonts w:ascii="Arial" w:hAnsi="Arial" w:cs="Arial"/>
          <w:color w:val="7B7B7B" w:themeColor="accent3" w:themeShade="BF"/>
          <w:sz w:val="22"/>
          <w:szCs w:val="22"/>
          <w:lang w:val="en-GB"/>
        </w:rPr>
        <w:t xml:space="preserve">, there were little to no cases involving corporate rescue in China. </w:t>
      </w:r>
      <w:r w:rsidR="00A047C6">
        <w:rPr>
          <w:rFonts w:ascii="Arial" w:hAnsi="Arial" w:cs="Arial"/>
          <w:color w:val="7B7B7B" w:themeColor="accent3" w:themeShade="BF"/>
          <w:sz w:val="22"/>
          <w:szCs w:val="22"/>
          <w:lang w:val="en-GB"/>
        </w:rPr>
        <w:t xml:space="preserve">One of the goals of the </w:t>
      </w:r>
      <w:r>
        <w:rPr>
          <w:rFonts w:ascii="Arial" w:hAnsi="Arial" w:cs="Arial"/>
          <w:color w:val="7B7B7B" w:themeColor="accent3" w:themeShade="BF"/>
          <w:sz w:val="22"/>
          <w:szCs w:val="22"/>
          <w:lang w:val="en-GB"/>
        </w:rPr>
        <w:t xml:space="preserve">insolvency </w:t>
      </w:r>
      <w:r w:rsidR="00A047C6">
        <w:rPr>
          <w:rFonts w:ascii="Arial" w:hAnsi="Arial" w:cs="Arial"/>
          <w:color w:val="7B7B7B" w:themeColor="accent3" w:themeShade="BF"/>
          <w:sz w:val="22"/>
          <w:szCs w:val="22"/>
          <w:lang w:val="en-GB"/>
        </w:rPr>
        <w:t>reform process was to enact procedures that could be used for corporate rehabilit</w:t>
      </w:r>
      <w:r w:rsidR="00C00A4D">
        <w:rPr>
          <w:rFonts w:ascii="Arial" w:hAnsi="Arial" w:cs="Arial"/>
          <w:color w:val="7B7B7B" w:themeColor="accent3" w:themeShade="BF"/>
          <w:sz w:val="22"/>
          <w:szCs w:val="22"/>
          <w:lang w:val="en-GB"/>
        </w:rPr>
        <w:t>ation.</w:t>
      </w:r>
    </w:p>
    <w:p w14:paraId="6CFCE28E" w14:textId="3C8C6217" w:rsidR="00C00A4D" w:rsidRDefault="00C00A4D" w:rsidP="00A047C6">
      <w:pPr>
        <w:ind w:left="720"/>
        <w:jc w:val="both"/>
        <w:rPr>
          <w:rFonts w:ascii="Arial" w:hAnsi="Arial" w:cs="Arial"/>
          <w:color w:val="7B7B7B" w:themeColor="accent3" w:themeShade="BF"/>
          <w:sz w:val="22"/>
          <w:szCs w:val="22"/>
          <w:lang w:val="en-GB"/>
        </w:rPr>
      </w:pPr>
    </w:p>
    <w:p w14:paraId="17AB4355" w14:textId="24975F8D" w:rsidR="00FD55CF" w:rsidRDefault="00C00A4D" w:rsidP="009B2802">
      <w:pPr>
        <w:ind w:left="720"/>
        <w:jc w:val="both"/>
        <w:rPr>
          <w:rFonts w:ascii="Arial" w:hAnsi="Arial" w:cs="Arial"/>
          <w:color w:val="7B7B7B" w:themeColor="accent3" w:themeShade="BF"/>
          <w:sz w:val="22"/>
          <w:szCs w:val="22"/>
          <w:lang w:val="en-GB"/>
        </w:rPr>
      </w:pPr>
      <w:r w:rsidRPr="00C00A4D">
        <w:rPr>
          <w:rFonts w:ascii="Arial" w:hAnsi="Arial" w:cs="Arial"/>
          <w:color w:val="7B7B7B" w:themeColor="accent3" w:themeShade="BF"/>
          <w:sz w:val="22"/>
          <w:szCs w:val="22"/>
          <w:lang w:val="en-GB"/>
        </w:rPr>
        <w:t xml:space="preserve">The </w:t>
      </w:r>
      <w:r w:rsidR="00FD55CF">
        <w:rPr>
          <w:rFonts w:ascii="Arial" w:hAnsi="Arial" w:cs="Arial"/>
          <w:color w:val="7B7B7B" w:themeColor="accent3" w:themeShade="BF"/>
          <w:sz w:val="22"/>
          <w:szCs w:val="22"/>
          <w:lang w:val="en-GB"/>
        </w:rPr>
        <w:t>law</w:t>
      </w:r>
      <w:r w:rsidRPr="00C00A4D">
        <w:rPr>
          <w:rFonts w:ascii="Arial" w:hAnsi="Arial" w:cs="Arial"/>
          <w:color w:val="7B7B7B" w:themeColor="accent3" w:themeShade="BF"/>
          <w:sz w:val="22"/>
          <w:szCs w:val="22"/>
          <w:lang w:val="en-GB"/>
        </w:rPr>
        <w:t xml:space="preserve"> reform process </w:t>
      </w:r>
      <w:r w:rsidR="00FD55CF">
        <w:rPr>
          <w:rFonts w:ascii="Arial" w:hAnsi="Arial" w:cs="Arial"/>
          <w:color w:val="7B7B7B" w:themeColor="accent3" w:themeShade="BF"/>
          <w:sz w:val="22"/>
          <w:szCs w:val="22"/>
          <w:lang w:val="en-GB"/>
        </w:rPr>
        <w:t xml:space="preserve">in China </w:t>
      </w:r>
      <w:r w:rsidRPr="00C00A4D">
        <w:rPr>
          <w:rFonts w:ascii="Arial" w:hAnsi="Arial" w:cs="Arial"/>
          <w:color w:val="7B7B7B" w:themeColor="accent3" w:themeShade="BF"/>
          <w:sz w:val="22"/>
          <w:szCs w:val="22"/>
          <w:lang w:val="en-GB"/>
        </w:rPr>
        <w:t>emphasised the importance of</w:t>
      </w:r>
      <w:r>
        <w:rPr>
          <w:rFonts w:ascii="Arial" w:hAnsi="Arial" w:cs="Arial"/>
          <w:color w:val="7B7B7B" w:themeColor="accent3" w:themeShade="BF"/>
          <w:sz w:val="22"/>
          <w:szCs w:val="22"/>
          <w:lang w:val="en-GB"/>
        </w:rPr>
        <w:t xml:space="preserve"> </w:t>
      </w:r>
      <w:r w:rsidRPr="00C00A4D">
        <w:rPr>
          <w:rFonts w:ascii="Arial" w:hAnsi="Arial" w:cs="Arial"/>
          <w:color w:val="7B7B7B" w:themeColor="accent3" w:themeShade="BF"/>
          <w:sz w:val="22"/>
          <w:szCs w:val="22"/>
          <w:lang w:val="en-GB"/>
        </w:rPr>
        <w:t>corporate rescue</w:t>
      </w:r>
      <w:r>
        <w:rPr>
          <w:rFonts w:ascii="Arial" w:hAnsi="Arial" w:cs="Arial"/>
          <w:color w:val="7B7B7B" w:themeColor="accent3" w:themeShade="BF"/>
          <w:sz w:val="22"/>
          <w:szCs w:val="22"/>
          <w:lang w:val="en-GB"/>
        </w:rPr>
        <w:t xml:space="preserve">. This is also </w:t>
      </w:r>
      <w:r w:rsidR="00FD55CF">
        <w:rPr>
          <w:rFonts w:ascii="Arial" w:hAnsi="Arial" w:cs="Arial"/>
          <w:color w:val="7B7B7B" w:themeColor="accent3" w:themeShade="BF"/>
          <w:sz w:val="22"/>
          <w:szCs w:val="22"/>
          <w:lang w:val="en-GB"/>
        </w:rPr>
        <w:t>visible in the final structure of the text of the China Enterprise Bankruptcy Law of 2006. The reorganisation and composition chapters appear before the liquidation chapter, with Chapter 8 applying to reorganisation, Chapter 9 to composition (or settlement), and Chapter 10 to liquidation.</w:t>
      </w:r>
      <w:r w:rsidR="009B2802">
        <w:rPr>
          <w:rFonts w:ascii="Arial" w:hAnsi="Arial" w:cs="Arial"/>
          <w:color w:val="7B7B7B" w:themeColor="accent3" w:themeShade="BF"/>
          <w:sz w:val="22"/>
          <w:szCs w:val="22"/>
          <w:lang w:val="en-GB"/>
        </w:rPr>
        <w:t xml:space="preserve"> Furthermore, both the reorganisation procedure as well as the composition procedure are rescue procedures</w:t>
      </w:r>
      <w:r w:rsidR="00CF743F">
        <w:rPr>
          <w:rFonts w:ascii="Arial" w:hAnsi="Arial" w:cs="Arial"/>
          <w:color w:val="7B7B7B" w:themeColor="accent3" w:themeShade="BF"/>
          <w:sz w:val="22"/>
          <w:szCs w:val="22"/>
          <w:lang w:val="en-GB"/>
        </w:rPr>
        <w:t xml:space="preserve"> and are aimed to avoid liquidation</w:t>
      </w:r>
      <w:r w:rsidR="009B2802">
        <w:rPr>
          <w:rFonts w:ascii="Arial" w:hAnsi="Arial" w:cs="Arial"/>
          <w:color w:val="7B7B7B" w:themeColor="accent3" w:themeShade="BF"/>
          <w:sz w:val="22"/>
          <w:szCs w:val="22"/>
          <w:lang w:val="en-GB"/>
        </w:rPr>
        <w:t>.</w:t>
      </w:r>
      <w:r w:rsidR="00E5153C">
        <w:rPr>
          <w:rFonts w:ascii="Arial" w:hAnsi="Arial" w:cs="Arial"/>
          <w:color w:val="7B7B7B" w:themeColor="accent3" w:themeShade="BF"/>
          <w:sz w:val="22"/>
          <w:szCs w:val="22"/>
          <w:lang w:val="en-GB"/>
        </w:rPr>
        <w:t xml:space="preserve"> The fact that the new law devotes two entire chapters to rescue procedures also shows the Chinese lawmakers’ intent to promote the use of corporate rescue.</w:t>
      </w:r>
    </w:p>
    <w:p w14:paraId="2256A92F" w14:textId="6A54073C" w:rsidR="009B2802" w:rsidRDefault="009B2802" w:rsidP="009B2802">
      <w:pPr>
        <w:ind w:left="720"/>
        <w:jc w:val="both"/>
        <w:rPr>
          <w:rFonts w:ascii="Arial" w:hAnsi="Arial" w:cs="Arial"/>
          <w:color w:val="7B7B7B" w:themeColor="accent3" w:themeShade="BF"/>
          <w:sz w:val="22"/>
          <w:szCs w:val="22"/>
          <w:lang w:val="en-GB"/>
        </w:rPr>
      </w:pPr>
    </w:p>
    <w:p w14:paraId="2C9BBBAE" w14:textId="6F46D7E0" w:rsidR="00871582" w:rsidRDefault="00E5153C" w:rsidP="009B280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important</w:t>
      </w:r>
      <w:r w:rsidR="009B2802">
        <w:rPr>
          <w:rFonts w:ascii="Arial" w:hAnsi="Arial" w:cs="Arial"/>
          <w:color w:val="7B7B7B" w:themeColor="accent3" w:themeShade="BF"/>
          <w:sz w:val="22"/>
          <w:szCs w:val="22"/>
          <w:lang w:val="en-GB"/>
        </w:rPr>
        <w:t xml:space="preserve"> additions to the China Enterprise Bankruptcy Law of 2006 regarding the corporate reorganisation process are that </w:t>
      </w:r>
      <w:r w:rsidR="009B2802" w:rsidRPr="009B2802">
        <w:rPr>
          <w:rFonts w:ascii="Arial" w:hAnsi="Arial" w:cs="Arial"/>
          <w:color w:val="7B7B7B" w:themeColor="accent3" w:themeShade="BF"/>
          <w:sz w:val="22"/>
          <w:szCs w:val="22"/>
          <w:lang w:val="en-GB"/>
        </w:rPr>
        <w:t xml:space="preserve">both debtors and creditors are permitted to </w:t>
      </w:r>
      <w:r w:rsidR="00871582">
        <w:rPr>
          <w:rFonts w:ascii="Arial" w:hAnsi="Arial" w:cs="Arial"/>
          <w:color w:val="7B7B7B" w:themeColor="accent3" w:themeShade="BF"/>
          <w:sz w:val="22"/>
          <w:szCs w:val="22"/>
          <w:lang w:val="en-GB"/>
        </w:rPr>
        <w:t>file a</w:t>
      </w:r>
      <w:r w:rsidR="009B2802">
        <w:rPr>
          <w:rFonts w:ascii="Arial" w:hAnsi="Arial" w:cs="Arial"/>
          <w:color w:val="7B7B7B" w:themeColor="accent3" w:themeShade="BF"/>
          <w:sz w:val="22"/>
          <w:szCs w:val="22"/>
          <w:lang w:val="en-GB"/>
        </w:rPr>
        <w:t xml:space="preserve"> </w:t>
      </w:r>
      <w:r w:rsidR="009B2802" w:rsidRPr="009B2802">
        <w:rPr>
          <w:rFonts w:ascii="Arial" w:hAnsi="Arial" w:cs="Arial"/>
          <w:color w:val="7B7B7B" w:themeColor="accent3" w:themeShade="BF"/>
          <w:sz w:val="22"/>
          <w:szCs w:val="22"/>
          <w:lang w:val="en-GB"/>
        </w:rPr>
        <w:t>reorganisation</w:t>
      </w:r>
      <w:r w:rsidR="00871582">
        <w:rPr>
          <w:rFonts w:ascii="Arial" w:hAnsi="Arial" w:cs="Arial"/>
          <w:color w:val="7B7B7B" w:themeColor="accent3" w:themeShade="BF"/>
          <w:sz w:val="22"/>
          <w:szCs w:val="22"/>
          <w:lang w:val="en-GB"/>
        </w:rPr>
        <w:t xml:space="preserve"> petition</w:t>
      </w:r>
      <w:r w:rsidR="009B2802" w:rsidRPr="009B2802">
        <w:rPr>
          <w:rFonts w:ascii="Arial" w:hAnsi="Arial" w:cs="Arial"/>
          <w:color w:val="7B7B7B" w:themeColor="accent3" w:themeShade="BF"/>
          <w:sz w:val="22"/>
          <w:szCs w:val="22"/>
          <w:lang w:val="en-GB"/>
        </w:rPr>
        <w:t xml:space="preserve"> and that the process may be used for both S</w:t>
      </w:r>
      <w:r w:rsidR="009B2802">
        <w:rPr>
          <w:rFonts w:ascii="Arial" w:hAnsi="Arial" w:cs="Arial"/>
          <w:color w:val="7B7B7B" w:themeColor="accent3" w:themeShade="BF"/>
          <w:sz w:val="22"/>
          <w:szCs w:val="22"/>
          <w:lang w:val="en-GB"/>
        </w:rPr>
        <w:t xml:space="preserve">tate </w:t>
      </w:r>
      <w:r w:rsidR="009B2802" w:rsidRPr="009B2802">
        <w:rPr>
          <w:rFonts w:ascii="Arial" w:hAnsi="Arial" w:cs="Arial"/>
          <w:color w:val="7B7B7B" w:themeColor="accent3" w:themeShade="BF"/>
          <w:sz w:val="22"/>
          <w:szCs w:val="22"/>
          <w:lang w:val="en-GB"/>
        </w:rPr>
        <w:t>O</w:t>
      </w:r>
      <w:r w:rsidR="009B2802">
        <w:rPr>
          <w:rFonts w:ascii="Arial" w:hAnsi="Arial" w:cs="Arial"/>
          <w:color w:val="7B7B7B" w:themeColor="accent3" w:themeShade="BF"/>
          <w:sz w:val="22"/>
          <w:szCs w:val="22"/>
          <w:lang w:val="en-GB"/>
        </w:rPr>
        <w:t xml:space="preserve">wned </w:t>
      </w:r>
      <w:r w:rsidR="009B2802" w:rsidRPr="009B2802">
        <w:rPr>
          <w:rFonts w:ascii="Arial" w:hAnsi="Arial" w:cs="Arial"/>
          <w:color w:val="7B7B7B" w:themeColor="accent3" w:themeShade="BF"/>
          <w:sz w:val="22"/>
          <w:szCs w:val="22"/>
          <w:lang w:val="en-GB"/>
        </w:rPr>
        <w:t>E</w:t>
      </w:r>
      <w:r w:rsidR="009B2802">
        <w:rPr>
          <w:rFonts w:ascii="Arial" w:hAnsi="Arial" w:cs="Arial"/>
          <w:color w:val="7B7B7B" w:themeColor="accent3" w:themeShade="BF"/>
          <w:sz w:val="22"/>
          <w:szCs w:val="22"/>
          <w:lang w:val="en-GB"/>
        </w:rPr>
        <w:t>nterprise</w:t>
      </w:r>
      <w:r w:rsidR="009B2802" w:rsidRPr="009B2802">
        <w:rPr>
          <w:rFonts w:ascii="Arial" w:hAnsi="Arial" w:cs="Arial"/>
          <w:color w:val="7B7B7B" w:themeColor="accent3" w:themeShade="BF"/>
          <w:sz w:val="22"/>
          <w:szCs w:val="22"/>
          <w:lang w:val="en-GB"/>
        </w:rPr>
        <w:t>s</w:t>
      </w:r>
      <w:r w:rsidR="009B2802">
        <w:rPr>
          <w:rFonts w:ascii="Arial" w:hAnsi="Arial" w:cs="Arial"/>
          <w:color w:val="7B7B7B" w:themeColor="accent3" w:themeShade="BF"/>
          <w:sz w:val="22"/>
          <w:szCs w:val="22"/>
          <w:lang w:val="en-GB"/>
        </w:rPr>
        <w:t xml:space="preserve"> (‘SOE’)</w:t>
      </w:r>
      <w:r w:rsidR="009B2802" w:rsidRPr="009B2802">
        <w:rPr>
          <w:rFonts w:ascii="Arial" w:hAnsi="Arial" w:cs="Arial"/>
          <w:color w:val="7B7B7B" w:themeColor="accent3" w:themeShade="BF"/>
          <w:sz w:val="22"/>
          <w:szCs w:val="22"/>
          <w:lang w:val="en-GB"/>
        </w:rPr>
        <w:t xml:space="preserve"> and</w:t>
      </w:r>
      <w:r w:rsidR="009B2802">
        <w:rPr>
          <w:rFonts w:ascii="Arial" w:hAnsi="Arial" w:cs="Arial"/>
          <w:color w:val="7B7B7B" w:themeColor="accent3" w:themeShade="BF"/>
          <w:sz w:val="22"/>
          <w:szCs w:val="22"/>
          <w:lang w:val="en-GB"/>
        </w:rPr>
        <w:t xml:space="preserve"> </w:t>
      </w:r>
      <w:r w:rsidR="009B2802" w:rsidRPr="009B2802">
        <w:rPr>
          <w:rFonts w:ascii="Arial" w:hAnsi="Arial" w:cs="Arial"/>
          <w:color w:val="7B7B7B" w:themeColor="accent3" w:themeShade="BF"/>
          <w:sz w:val="22"/>
          <w:szCs w:val="22"/>
          <w:lang w:val="en-GB"/>
        </w:rPr>
        <w:t>non-</w:t>
      </w:r>
      <w:r w:rsidR="009B2802">
        <w:rPr>
          <w:rFonts w:ascii="Arial" w:hAnsi="Arial" w:cs="Arial"/>
          <w:color w:val="7B7B7B" w:themeColor="accent3" w:themeShade="BF"/>
          <w:sz w:val="22"/>
          <w:szCs w:val="22"/>
          <w:lang w:val="en-GB"/>
        </w:rPr>
        <w:t xml:space="preserve">SOEs. The new law embraces many concepts drawn from the US </w:t>
      </w:r>
      <w:r w:rsidR="00871582">
        <w:rPr>
          <w:rFonts w:ascii="Arial" w:hAnsi="Arial" w:cs="Arial"/>
          <w:color w:val="7B7B7B" w:themeColor="accent3" w:themeShade="BF"/>
          <w:sz w:val="22"/>
          <w:szCs w:val="22"/>
          <w:lang w:val="en-GB"/>
        </w:rPr>
        <w:t>Bankruptcy Code 1978 (in particular, Chapter 11 of this code was an important source of inspiration for the recue-oriented China Enterprise Bankruptcy Law of 2006). Other significant changes are that the debtor can make a voluntary reorganisation filing without presenting any evidence of bankruptcy</w:t>
      </w:r>
      <w:r w:rsidR="00182A2B">
        <w:rPr>
          <w:rFonts w:ascii="Arial" w:hAnsi="Arial" w:cs="Arial"/>
          <w:color w:val="7B7B7B" w:themeColor="accent3" w:themeShade="BF"/>
          <w:sz w:val="22"/>
          <w:szCs w:val="22"/>
          <w:lang w:val="en-GB"/>
        </w:rPr>
        <w:t xml:space="preserve"> (and thus encouraging rescue efforts to be made as early a stage as possible; in theory, there is thus no threshold for entering the corporate reorganisation procedure)</w:t>
      </w:r>
      <w:r w:rsidR="00871582">
        <w:rPr>
          <w:rFonts w:ascii="Arial" w:hAnsi="Arial" w:cs="Arial"/>
          <w:color w:val="7B7B7B" w:themeColor="accent3" w:themeShade="BF"/>
          <w:sz w:val="22"/>
          <w:szCs w:val="22"/>
          <w:lang w:val="en-GB"/>
        </w:rPr>
        <w:t xml:space="preserve">, and </w:t>
      </w:r>
      <w:r w:rsidR="00871582">
        <w:rPr>
          <w:rFonts w:ascii="Arial" w:hAnsi="Arial" w:cs="Arial"/>
          <w:color w:val="7B7B7B" w:themeColor="accent3" w:themeShade="BF"/>
          <w:sz w:val="22"/>
          <w:szCs w:val="22"/>
          <w:lang w:val="en-GB"/>
        </w:rPr>
        <w:lastRenderedPageBreak/>
        <w:t>the introduction of the concept of debtor-in-possession</w:t>
      </w:r>
      <w:r w:rsidR="00DF62E5">
        <w:rPr>
          <w:rFonts w:ascii="Arial" w:hAnsi="Arial" w:cs="Arial"/>
          <w:color w:val="7B7B7B" w:themeColor="accent3" w:themeShade="BF"/>
          <w:sz w:val="22"/>
          <w:szCs w:val="22"/>
          <w:lang w:val="en-GB"/>
        </w:rPr>
        <w:t xml:space="preserve"> to the extent that the debtor may apply to the court for approval to administer its assets and business affairs by itself under the supervision of the bankruptcy administrator</w:t>
      </w:r>
      <w:r w:rsidR="00871582">
        <w:rPr>
          <w:rFonts w:ascii="Arial" w:hAnsi="Arial" w:cs="Arial"/>
          <w:color w:val="7B7B7B" w:themeColor="accent3" w:themeShade="BF"/>
          <w:sz w:val="22"/>
          <w:szCs w:val="22"/>
          <w:lang w:val="en-GB"/>
        </w:rPr>
        <w:t>.</w:t>
      </w:r>
    </w:p>
    <w:p w14:paraId="6A116103" w14:textId="37C39A30" w:rsidR="00DF62E5" w:rsidRDefault="00DF62E5" w:rsidP="009B2802">
      <w:pPr>
        <w:ind w:left="720"/>
        <w:jc w:val="both"/>
        <w:rPr>
          <w:rFonts w:ascii="Arial" w:hAnsi="Arial" w:cs="Arial"/>
          <w:color w:val="7B7B7B" w:themeColor="accent3" w:themeShade="BF"/>
          <w:sz w:val="22"/>
          <w:szCs w:val="22"/>
          <w:lang w:val="en-GB"/>
        </w:rPr>
      </w:pPr>
    </w:p>
    <w:p w14:paraId="65FF0511" w14:textId="61233203" w:rsidR="00DF62E5" w:rsidRDefault="00DF62E5" w:rsidP="00BB016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worth highlighting that </w:t>
      </w:r>
      <w:r w:rsidR="00BB0164">
        <w:rPr>
          <w:rFonts w:ascii="Arial" w:hAnsi="Arial" w:cs="Arial"/>
          <w:color w:val="7B7B7B" w:themeColor="accent3" w:themeShade="BF"/>
          <w:sz w:val="22"/>
          <w:szCs w:val="22"/>
          <w:lang w:val="en-GB"/>
        </w:rPr>
        <w:t>according to Article 70 of</w:t>
      </w:r>
      <w:r w:rsidRPr="00DF62E5">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China Enterprise Bankruptcy Law of 2006</w:t>
      </w:r>
      <w:r w:rsidRPr="00DF62E5">
        <w:rPr>
          <w:rFonts w:ascii="Arial" w:hAnsi="Arial" w:cs="Arial"/>
          <w:color w:val="7B7B7B" w:themeColor="accent3" w:themeShade="BF"/>
          <w:sz w:val="22"/>
          <w:szCs w:val="22"/>
          <w:lang w:val="en-GB"/>
        </w:rPr>
        <w:t>, in</w:t>
      </w:r>
      <w:r>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cases in which a creditor has petitioned for the bankruptcy of a debtor</w:t>
      </w:r>
      <w:r w:rsidR="00BB0164">
        <w:rPr>
          <w:rFonts w:ascii="Arial" w:hAnsi="Arial" w:cs="Arial"/>
          <w:color w:val="7B7B7B" w:themeColor="accent3" w:themeShade="BF"/>
          <w:sz w:val="22"/>
          <w:szCs w:val="22"/>
          <w:lang w:val="en-GB"/>
        </w:rPr>
        <w:t xml:space="preserve"> (thus an involuntary liquidation procedure)</w:t>
      </w:r>
      <w:r w:rsidRPr="00DF62E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 xml:space="preserve">the debtor itself or the shareholders holding </w:t>
      </w:r>
      <w:r w:rsidR="00BB0164">
        <w:rPr>
          <w:rFonts w:ascii="Arial" w:hAnsi="Arial" w:cs="Arial"/>
          <w:color w:val="7B7B7B" w:themeColor="accent3" w:themeShade="BF"/>
          <w:sz w:val="22"/>
          <w:szCs w:val="22"/>
          <w:lang w:val="en-GB"/>
        </w:rPr>
        <w:t>more</w:t>
      </w:r>
      <w:r w:rsidR="00182A2B">
        <w:rPr>
          <w:rFonts w:ascii="Arial" w:hAnsi="Arial" w:cs="Arial"/>
          <w:color w:val="7B7B7B" w:themeColor="accent3" w:themeShade="BF"/>
          <w:sz w:val="22"/>
          <w:szCs w:val="22"/>
          <w:lang w:val="en-GB"/>
        </w:rPr>
        <w:t xml:space="preserve"> than 10%</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of the</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debtor’s registered capital may apply for the reorganisation of the debtor</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 xml:space="preserve">after the </w:t>
      </w:r>
      <w:r w:rsidR="00BB0164">
        <w:rPr>
          <w:rFonts w:ascii="Arial" w:hAnsi="Arial" w:cs="Arial"/>
          <w:color w:val="7B7B7B" w:themeColor="accent3" w:themeShade="BF"/>
          <w:sz w:val="22"/>
          <w:szCs w:val="22"/>
          <w:lang w:val="en-GB"/>
        </w:rPr>
        <w:t>court</w:t>
      </w:r>
      <w:r w:rsidRPr="00DF62E5">
        <w:rPr>
          <w:rFonts w:ascii="Arial" w:hAnsi="Arial" w:cs="Arial"/>
          <w:color w:val="7B7B7B" w:themeColor="accent3" w:themeShade="BF"/>
          <w:sz w:val="22"/>
          <w:szCs w:val="22"/>
          <w:lang w:val="en-GB"/>
        </w:rPr>
        <w:t xml:space="preserve"> has accepted the application and before a</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bankruptcy declaration has been made</w:t>
      </w:r>
      <w:r w:rsidR="00BB0164">
        <w:rPr>
          <w:rFonts w:ascii="Arial" w:hAnsi="Arial" w:cs="Arial"/>
          <w:color w:val="7B7B7B" w:themeColor="accent3" w:themeShade="BF"/>
          <w:sz w:val="22"/>
          <w:szCs w:val="22"/>
          <w:lang w:val="en-GB"/>
        </w:rPr>
        <w:t>. In other words, they can apply for a conversion from liquidation to reorganisation. This again indicates the Chinese lawmakers’ intent to promote the use of corporate rescue.</w:t>
      </w:r>
    </w:p>
    <w:p w14:paraId="632EDCF3" w14:textId="17DF3DD5" w:rsidR="00E5153C" w:rsidRDefault="00E5153C" w:rsidP="009B2802">
      <w:pPr>
        <w:ind w:left="720"/>
        <w:jc w:val="both"/>
        <w:rPr>
          <w:rFonts w:ascii="Arial" w:hAnsi="Arial" w:cs="Arial"/>
          <w:color w:val="7B7B7B" w:themeColor="accent3" w:themeShade="BF"/>
          <w:sz w:val="22"/>
          <w:szCs w:val="22"/>
          <w:lang w:val="en-GB"/>
        </w:rPr>
      </w:pPr>
    </w:p>
    <w:p w14:paraId="5D365B1B" w14:textId="0AF621C8" w:rsidR="00C00A4D" w:rsidRPr="002E0E77" w:rsidRDefault="00E5153C" w:rsidP="00BB0164">
      <w:pPr>
        <w:ind w:left="720"/>
        <w:jc w:val="both"/>
        <w:rPr>
          <w:rFonts w:ascii="Arial" w:hAnsi="Arial" w:cs="Arial"/>
          <w:color w:val="7B7B7B" w:themeColor="accent3" w:themeShade="BF"/>
          <w:sz w:val="22"/>
          <w:szCs w:val="22"/>
          <w:lang w:val="en-GB"/>
        </w:rPr>
      </w:pPr>
      <w:r w:rsidRPr="00E5153C">
        <w:rPr>
          <w:rFonts w:ascii="Arial" w:hAnsi="Arial" w:cs="Arial"/>
          <w:color w:val="7B7B7B" w:themeColor="accent3" w:themeShade="BF"/>
          <w:sz w:val="22"/>
          <w:szCs w:val="22"/>
          <w:lang w:val="en-GB"/>
        </w:rPr>
        <w:t>Although</w:t>
      </w:r>
      <w:r>
        <w:rPr>
          <w:rFonts w:ascii="Arial" w:hAnsi="Arial" w:cs="Arial"/>
          <w:color w:val="7B7B7B" w:themeColor="accent3" w:themeShade="BF"/>
          <w:sz w:val="22"/>
          <w:szCs w:val="22"/>
          <w:lang w:val="en-GB"/>
        </w:rPr>
        <w:t xml:space="preserve"> </w:t>
      </w:r>
      <w:r w:rsidRPr="00E5153C">
        <w:rPr>
          <w:rFonts w:ascii="Arial" w:hAnsi="Arial" w:cs="Arial"/>
          <w:color w:val="7B7B7B" w:themeColor="accent3" w:themeShade="BF"/>
          <w:sz w:val="22"/>
          <w:szCs w:val="22"/>
          <w:lang w:val="en-GB"/>
        </w:rPr>
        <w:t>the new law is far from perfect and requires further</w:t>
      </w:r>
      <w:r>
        <w:rPr>
          <w:rFonts w:ascii="Arial" w:hAnsi="Arial" w:cs="Arial"/>
          <w:color w:val="7B7B7B" w:themeColor="accent3" w:themeShade="BF"/>
          <w:sz w:val="22"/>
          <w:szCs w:val="22"/>
          <w:lang w:val="en-GB"/>
        </w:rPr>
        <w:t xml:space="preserve"> </w:t>
      </w:r>
      <w:r w:rsidRPr="00E5153C">
        <w:rPr>
          <w:rFonts w:ascii="Arial" w:hAnsi="Arial" w:cs="Arial"/>
          <w:color w:val="7B7B7B" w:themeColor="accent3" w:themeShade="BF"/>
          <w:sz w:val="22"/>
          <w:szCs w:val="22"/>
          <w:lang w:val="en-GB"/>
        </w:rPr>
        <w:t>clarification in certain respects</w:t>
      </w:r>
      <w:r w:rsidR="00182A2B">
        <w:rPr>
          <w:rFonts w:ascii="Arial" w:hAnsi="Arial" w:cs="Arial"/>
          <w:color w:val="7B7B7B" w:themeColor="accent3" w:themeShade="BF"/>
          <w:sz w:val="22"/>
          <w:szCs w:val="22"/>
          <w:lang w:val="en-GB"/>
        </w:rPr>
        <w:t xml:space="preserve"> (and the courts are still reluctant </w:t>
      </w:r>
      <w:r w:rsidR="00182A2B" w:rsidRPr="00182A2B">
        <w:rPr>
          <w:rFonts w:ascii="Arial" w:hAnsi="Arial" w:cs="Arial"/>
          <w:color w:val="7B7B7B" w:themeColor="accent3" w:themeShade="BF"/>
          <w:sz w:val="22"/>
          <w:szCs w:val="22"/>
          <w:lang w:val="en-GB"/>
        </w:rPr>
        <w:t>to turn theory into practice</w:t>
      </w:r>
      <w:r w:rsidR="00182A2B">
        <w:rPr>
          <w:rFonts w:ascii="Arial" w:hAnsi="Arial" w:cs="Arial"/>
          <w:color w:val="7B7B7B" w:themeColor="accent3" w:themeShade="BF"/>
          <w:sz w:val="22"/>
          <w:szCs w:val="22"/>
          <w:lang w:val="en-GB"/>
        </w:rPr>
        <w:t>)</w:t>
      </w:r>
      <w:r w:rsidR="00BB0164">
        <w:rPr>
          <w:rFonts w:ascii="Arial" w:hAnsi="Arial" w:cs="Arial"/>
          <w:color w:val="7B7B7B" w:themeColor="accent3" w:themeShade="BF"/>
          <w:sz w:val="22"/>
          <w:szCs w:val="22"/>
          <w:lang w:val="en-GB"/>
        </w:rPr>
        <w:t xml:space="preserve">, on the one hand, and </w:t>
      </w:r>
      <w:r w:rsidR="00BB0164" w:rsidRPr="00BB0164">
        <w:rPr>
          <w:rFonts w:ascii="Arial" w:hAnsi="Arial" w:cs="Arial"/>
          <w:color w:val="7B7B7B" w:themeColor="accent3" w:themeShade="BF"/>
          <w:sz w:val="22"/>
          <w:szCs w:val="22"/>
          <w:lang w:val="en-GB"/>
        </w:rPr>
        <w:t xml:space="preserve">the ultimate success of the development of </w:t>
      </w:r>
      <w:r w:rsidR="00BB0164">
        <w:rPr>
          <w:rFonts w:ascii="Arial" w:hAnsi="Arial" w:cs="Arial"/>
          <w:color w:val="7B7B7B" w:themeColor="accent3" w:themeShade="BF"/>
          <w:sz w:val="22"/>
          <w:szCs w:val="22"/>
          <w:lang w:val="en-GB"/>
        </w:rPr>
        <w:t>the</w:t>
      </w:r>
      <w:r w:rsidR="00BB0164" w:rsidRPr="00BB0164">
        <w:rPr>
          <w:rFonts w:ascii="Arial" w:hAnsi="Arial" w:cs="Arial"/>
          <w:color w:val="7B7B7B" w:themeColor="accent3" w:themeShade="BF"/>
          <w:sz w:val="22"/>
          <w:szCs w:val="22"/>
          <w:lang w:val="en-GB"/>
        </w:rPr>
        <w:t xml:space="preserve"> corporate rescue</w:t>
      </w:r>
      <w:r w:rsidR="00BB0164">
        <w:rPr>
          <w:rFonts w:ascii="Arial" w:hAnsi="Arial" w:cs="Arial"/>
          <w:color w:val="7B7B7B" w:themeColor="accent3" w:themeShade="BF"/>
          <w:sz w:val="22"/>
          <w:szCs w:val="22"/>
          <w:lang w:val="en-GB"/>
        </w:rPr>
        <w:t xml:space="preserve"> </w:t>
      </w:r>
      <w:r w:rsidR="00BB0164" w:rsidRPr="00BB0164">
        <w:rPr>
          <w:rFonts w:ascii="Arial" w:hAnsi="Arial" w:cs="Arial"/>
          <w:color w:val="7B7B7B" w:themeColor="accent3" w:themeShade="BF"/>
          <w:sz w:val="22"/>
          <w:szCs w:val="22"/>
          <w:lang w:val="en-GB"/>
        </w:rPr>
        <w:t xml:space="preserve">culture </w:t>
      </w:r>
      <w:r w:rsidR="00BB0164">
        <w:rPr>
          <w:rFonts w:ascii="Arial" w:hAnsi="Arial" w:cs="Arial"/>
          <w:color w:val="7B7B7B" w:themeColor="accent3" w:themeShade="BF"/>
          <w:sz w:val="22"/>
          <w:szCs w:val="22"/>
          <w:lang w:val="en-GB"/>
        </w:rPr>
        <w:t xml:space="preserve">in China </w:t>
      </w:r>
      <w:r w:rsidR="00BB0164" w:rsidRPr="00BB0164">
        <w:rPr>
          <w:rFonts w:ascii="Arial" w:hAnsi="Arial" w:cs="Arial"/>
          <w:color w:val="7B7B7B" w:themeColor="accent3" w:themeShade="BF"/>
          <w:sz w:val="22"/>
          <w:szCs w:val="22"/>
          <w:lang w:val="en-GB"/>
        </w:rPr>
        <w:t>depends in great part on the creation of supporting insolvency</w:t>
      </w:r>
      <w:r w:rsidR="00BB0164">
        <w:rPr>
          <w:rFonts w:ascii="Arial" w:hAnsi="Arial" w:cs="Arial"/>
          <w:color w:val="7B7B7B" w:themeColor="accent3" w:themeShade="BF"/>
          <w:sz w:val="22"/>
          <w:szCs w:val="22"/>
          <w:lang w:val="en-GB"/>
        </w:rPr>
        <w:t xml:space="preserve"> </w:t>
      </w:r>
      <w:r w:rsidR="00BB0164" w:rsidRPr="00BB0164">
        <w:rPr>
          <w:rFonts w:ascii="Arial" w:hAnsi="Arial" w:cs="Arial"/>
          <w:color w:val="7B7B7B" w:themeColor="accent3" w:themeShade="BF"/>
          <w:sz w:val="22"/>
          <w:szCs w:val="22"/>
          <w:lang w:val="en-GB"/>
        </w:rPr>
        <w:t>infrastructures</w:t>
      </w:r>
      <w:r w:rsidR="00BB0164">
        <w:rPr>
          <w:rFonts w:ascii="Arial" w:hAnsi="Arial" w:cs="Arial"/>
          <w:color w:val="7B7B7B" w:themeColor="accent3" w:themeShade="BF"/>
          <w:sz w:val="22"/>
          <w:szCs w:val="22"/>
          <w:lang w:val="en-GB"/>
        </w:rPr>
        <w:t xml:space="preserve"> (such as the establishment of training courses for all actors dealing with insolvency law and its procedures)</w:t>
      </w:r>
      <w:r>
        <w:rPr>
          <w:rFonts w:ascii="Arial" w:hAnsi="Arial" w:cs="Arial"/>
          <w:color w:val="7B7B7B" w:themeColor="accent3" w:themeShade="BF"/>
          <w:sz w:val="22"/>
          <w:szCs w:val="22"/>
          <w:lang w:val="en-GB"/>
        </w:rPr>
        <w:t>,</w:t>
      </w:r>
      <w:r w:rsidR="00182A2B">
        <w:rPr>
          <w:rFonts w:ascii="Arial" w:hAnsi="Arial" w:cs="Arial"/>
          <w:color w:val="7B7B7B" w:themeColor="accent3" w:themeShade="BF"/>
          <w:sz w:val="22"/>
          <w:szCs w:val="22"/>
          <w:lang w:val="en-GB"/>
        </w:rPr>
        <w:t xml:space="preserve"> on the other hand,</w:t>
      </w:r>
      <w:r>
        <w:rPr>
          <w:rFonts w:ascii="Arial" w:hAnsi="Arial" w:cs="Arial"/>
          <w:color w:val="7B7B7B" w:themeColor="accent3" w:themeShade="BF"/>
          <w:sz w:val="22"/>
          <w:szCs w:val="22"/>
          <w:lang w:val="en-GB"/>
        </w:rPr>
        <w:t xml:space="preserve"> </w:t>
      </w:r>
      <w:r w:rsidR="00BB0164">
        <w:rPr>
          <w:rFonts w:ascii="Arial" w:hAnsi="Arial" w:cs="Arial"/>
          <w:color w:val="7B7B7B" w:themeColor="accent3" w:themeShade="BF"/>
          <w:sz w:val="22"/>
          <w:szCs w:val="22"/>
          <w:lang w:val="en-GB"/>
        </w:rPr>
        <w:t xml:space="preserve">I indeed believe </w:t>
      </w:r>
      <w:r>
        <w:rPr>
          <w:rFonts w:ascii="Arial" w:hAnsi="Arial" w:cs="Arial"/>
          <w:color w:val="7B7B7B" w:themeColor="accent3" w:themeShade="BF"/>
          <w:sz w:val="22"/>
          <w:szCs w:val="22"/>
          <w:lang w:val="en-GB"/>
        </w:rPr>
        <w:t>t</w:t>
      </w:r>
      <w:r w:rsidRPr="00E5153C">
        <w:rPr>
          <w:rFonts w:ascii="Arial" w:hAnsi="Arial" w:cs="Arial"/>
          <w:color w:val="7B7B7B" w:themeColor="accent3" w:themeShade="BF"/>
          <w:sz w:val="22"/>
          <w:szCs w:val="22"/>
          <w:lang w:val="en-GB"/>
        </w:rPr>
        <w:t>he China Enterprise Bankruptcy Law of 2006</w:t>
      </w:r>
      <w:r>
        <w:rPr>
          <w:rFonts w:ascii="Arial" w:hAnsi="Arial" w:cs="Arial"/>
          <w:color w:val="7B7B7B" w:themeColor="accent3" w:themeShade="BF"/>
          <w:sz w:val="22"/>
          <w:szCs w:val="22"/>
          <w:lang w:val="en-GB"/>
        </w:rPr>
        <w:t xml:space="preserve"> </w:t>
      </w:r>
      <w:r w:rsidR="00182A2B">
        <w:rPr>
          <w:rFonts w:ascii="Arial" w:hAnsi="Arial" w:cs="Arial"/>
          <w:color w:val="7B7B7B" w:themeColor="accent3" w:themeShade="BF"/>
          <w:sz w:val="22"/>
          <w:szCs w:val="22"/>
          <w:lang w:val="en-GB"/>
        </w:rPr>
        <w:t>is</w:t>
      </w:r>
      <w:r w:rsidR="00DF62E5">
        <w:rPr>
          <w:rFonts w:ascii="Arial" w:hAnsi="Arial" w:cs="Arial"/>
          <w:color w:val="7B7B7B" w:themeColor="accent3" w:themeShade="BF"/>
          <w:sz w:val="22"/>
          <w:szCs w:val="22"/>
          <w:lang w:val="en-GB"/>
        </w:rPr>
        <w:t xml:space="preserve"> a mainly </w:t>
      </w:r>
      <w:r w:rsidRPr="00E5153C">
        <w:rPr>
          <w:rFonts w:ascii="Arial" w:hAnsi="Arial" w:cs="Arial"/>
          <w:color w:val="7B7B7B" w:themeColor="accent3" w:themeShade="BF"/>
          <w:sz w:val="22"/>
          <w:szCs w:val="22"/>
          <w:lang w:val="en-GB"/>
        </w:rPr>
        <w:t>rescue-oriented piece of insolvency legislation, emphasising rescue over liquidation</w:t>
      </w:r>
      <w:r w:rsidR="00DF62E5">
        <w:rPr>
          <w:rFonts w:ascii="Arial" w:hAnsi="Arial" w:cs="Arial"/>
          <w:color w:val="7B7B7B" w:themeColor="accent3" w:themeShade="BF"/>
          <w:sz w:val="22"/>
          <w:szCs w:val="22"/>
          <w:lang w:val="en-GB"/>
        </w:rPr>
        <w:t>.</w:t>
      </w:r>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41BD4BFE" w:rsidR="00A54652" w:rsidRDefault="00C742C9" w:rsidP="0045351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the court-appointed bankruptcy administrator who will verify the claims of the creditors</w:t>
      </w:r>
      <w:r w:rsidR="005F4360">
        <w:rPr>
          <w:rFonts w:ascii="Arial" w:hAnsi="Arial" w:cs="Arial"/>
          <w:color w:val="7B7B7B" w:themeColor="accent3" w:themeShade="BF"/>
          <w:sz w:val="22"/>
          <w:szCs w:val="22"/>
          <w:lang w:val="en-GB"/>
        </w:rPr>
        <w:t xml:space="preserve"> as it is one of his main tasks.</w:t>
      </w:r>
      <w:r>
        <w:rPr>
          <w:rFonts w:ascii="Arial" w:hAnsi="Arial" w:cs="Arial"/>
          <w:color w:val="7B7B7B" w:themeColor="accent3" w:themeShade="BF"/>
          <w:sz w:val="22"/>
          <w:szCs w:val="22"/>
          <w:lang w:val="en-GB"/>
        </w:rPr>
        <w:t xml:space="preserve"> The declaration of claims</w:t>
      </w:r>
      <w:r w:rsidR="002A54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regulated in </w:t>
      </w:r>
      <w:r w:rsidR="002A54BB">
        <w:rPr>
          <w:rFonts w:ascii="Arial" w:hAnsi="Arial" w:cs="Arial"/>
          <w:color w:val="7B7B7B" w:themeColor="accent3" w:themeShade="BF"/>
          <w:sz w:val="22"/>
          <w:szCs w:val="22"/>
          <w:lang w:val="en-GB"/>
        </w:rPr>
        <w:t xml:space="preserve">Chapter VI </w:t>
      </w:r>
      <w:r>
        <w:rPr>
          <w:rFonts w:ascii="Arial" w:hAnsi="Arial" w:cs="Arial"/>
          <w:color w:val="7B7B7B" w:themeColor="accent3" w:themeShade="BF"/>
          <w:sz w:val="22"/>
          <w:szCs w:val="22"/>
          <w:lang w:val="en-GB"/>
        </w:rPr>
        <w:t xml:space="preserve">of the </w:t>
      </w:r>
      <w:r w:rsidRPr="00E5153C">
        <w:rPr>
          <w:rFonts w:ascii="Arial" w:hAnsi="Arial" w:cs="Arial"/>
          <w:color w:val="7B7B7B" w:themeColor="accent3" w:themeShade="BF"/>
          <w:sz w:val="22"/>
          <w:szCs w:val="22"/>
          <w:lang w:val="en-GB"/>
        </w:rPr>
        <w:t>China Enterprise Bankruptcy Law of 2006</w:t>
      </w:r>
      <w:r>
        <w:rPr>
          <w:rFonts w:ascii="Arial" w:hAnsi="Arial" w:cs="Arial"/>
          <w:color w:val="7B7B7B" w:themeColor="accent3" w:themeShade="BF"/>
          <w:sz w:val="22"/>
          <w:szCs w:val="22"/>
          <w:lang w:val="en-GB"/>
        </w:rPr>
        <w:t xml:space="preserve">. </w:t>
      </w:r>
      <w:r w:rsidR="002A54BB">
        <w:rPr>
          <w:rFonts w:ascii="Arial" w:hAnsi="Arial" w:cs="Arial"/>
          <w:color w:val="7B7B7B" w:themeColor="accent3" w:themeShade="BF"/>
          <w:sz w:val="22"/>
          <w:szCs w:val="22"/>
          <w:lang w:val="en-GB"/>
        </w:rPr>
        <w:t xml:space="preserve">According to Articles 44 et seq., </w:t>
      </w:r>
      <w:r w:rsidR="002A54BB">
        <w:rPr>
          <w:rFonts w:ascii="Arial" w:hAnsi="Arial" w:cs="Arial"/>
          <w:i/>
          <w:iCs/>
          <w:color w:val="7B7B7B" w:themeColor="accent3" w:themeShade="BF"/>
          <w:sz w:val="22"/>
          <w:szCs w:val="22"/>
          <w:lang w:val="en-GB"/>
        </w:rPr>
        <w:t>inter alia</w:t>
      </w:r>
      <w:r w:rsidR="002A54BB">
        <w:rPr>
          <w:rFonts w:ascii="Arial" w:hAnsi="Arial" w:cs="Arial"/>
          <w:color w:val="7B7B7B" w:themeColor="accent3" w:themeShade="BF"/>
          <w:sz w:val="22"/>
          <w:szCs w:val="22"/>
          <w:lang w:val="en-GB"/>
        </w:rPr>
        <w:t>, (1) the creditor shall, within the time limit specified by the court for declaration of his claims (which is not less than 30 days at least but not more than three months at the most</w:t>
      </w:r>
      <w:r w:rsidR="005F4360">
        <w:rPr>
          <w:rFonts w:ascii="Arial" w:hAnsi="Arial" w:cs="Arial"/>
          <w:color w:val="7B7B7B" w:themeColor="accent3" w:themeShade="BF"/>
          <w:sz w:val="22"/>
          <w:szCs w:val="22"/>
          <w:lang w:val="en-GB"/>
        </w:rPr>
        <w:t xml:space="preserve"> from the court </w:t>
      </w:r>
      <w:r w:rsidR="005F4360" w:rsidRPr="005F4360">
        <w:rPr>
          <w:rFonts w:ascii="Arial" w:hAnsi="Arial" w:cs="Arial"/>
          <w:color w:val="7B7B7B" w:themeColor="accent3" w:themeShade="BF"/>
          <w:sz w:val="22"/>
          <w:szCs w:val="22"/>
          <w:lang w:val="en-GB"/>
        </w:rPr>
        <w:t>from the court publicly announcing that it accepts the bankruptcy application</w:t>
      </w:r>
      <w:r w:rsidR="002A54BB">
        <w:rPr>
          <w:rFonts w:ascii="Arial" w:hAnsi="Arial" w:cs="Arial"/>
          <w:color w:val="7B7B7B" w:themeColor="accent3" w:themeShade="BF"/>
          <w:sz w:val="22"/>
          <w:szCs w:val="22"/>
          <w:lang w:val="en-GB"/>
        </w:rPr>
        <w:t>), declare his claims to the bankruptcy administrator</w:t>
      </w:r>
      <w:r w:rsidR="009F273B">
        <w:rPr>
          <w:rFonts w:ascii="Arial" w:hAnsi="Arial" w:cs="Arial"/>
          <w:color w:val="7B7B7B" w:themeColor="accent3" w:themeShade="BF"/>
          <w:sz w:val="22"/>
          <w:szCs w:val="22"/>
          <w:lang w:val="en-GB"/>
        </w:rPr>
        <w:t xml:space="preserve"> (however, he may still declare such claims afterwards before distribution of the bankruptcy property in the final instalment, but there is a risk that no more distribution shall be made to him if the property has been distributed earlier)</w:t>
      </w:r>
      <w:r w:rsidR="002A54BB">
        <w:rPr>
          <w:rFonts w:ascii="Arial" w:hAnsi="Arial" w:cs="Arial"/>
          <w:color w:val="7B7B7B" w:themeColor="accent3" w:themeShade="BF"/>
          <w:sz w:val="22"/>
          <w:szCs w:val="22"/>
          <w:lang w:val="en-GB"/>
        </w:rPr>
        <w:t xml:space="preserve">; (2) the creditor shall </w:t>
      </w:r>
      <w:r w:rsidR="005F4360">
        <w:rPr>
          <w:rFonts w:ascii="Arial" w:hAnsi="Arial" w:cs="Arial"/>
          <w:color w:val="7B7B7B" w:themeColor="accent3" w:themeShade="BF"/>
          <w:sz w:val="22"/>
          <w:szCs w:val="22"/>
          <w:lang w:val="en-GB"/>
        </w:rPr>
        <w:t>submit</w:t>
      </w:r>
      <w:r w:rsidR="002A54BB">
        <w:rPr>
          <w:rFonts w:ascii="Arial" w:hAnsi="Arial" w:cs="Arial"/>
          <w:color w:val="7B7B7B" w:themeColor="accent3" w:themeShade="BF"/>
          <w:sz w:val="22"/>
          <w:szCs w:val="22"/>
          <w:lang w:val="en-GB"/>
        </w:rPr>
        <w:t xml:space="preserve"> a written statement on the amount of his claims and on </w:t>
      </w:r>
      <w:r w:rsidR="005F4360">
        <w:rPr>
          <w:rFonts w:ascii="Arial" w:hAnsi="Arial" w:cs="Arial"/>
          <w:color w:val="7B7B7B" w:themeColor="accent3" w:themeShade="BF"/>
          <w:sz w:val="22"/>
          <w:szCs w:val="22"/>
          <w:lang w:val="en-GB"/>
        </w:rPr>
        <w:t>his secured situation</w:t>
      </w:r>
      <w:r w:rsidR="002A54BB">
        <w:rPr>
          <w:rFonts w:ascii="Arial" w:hAnsi="Arial" w:cs="Arial"/>
          <w:color w:val="7B7B7B" w:themeColor="accent3" w:themeShade="BF"/>
          <w:sz w:val="22"/>
          <w:szCs w:val="22"/>
          <w:lang w:val="en-GB"/>
        </w:rPr>
        <w:t xml:space="preserve">, and present the relevant evidence; </w:t>
      </w:r>
      <w:r w:rsidR="009F273B">
        <w:rPr>
          <w:rFonts w:ascii="Arial" w:hAnsi="Arial" w:cs="Arial"/>
          <w:color w:val="7B7B7B" w:themeColor="accent3" w:themeShade="BF"/>
          <w:sz w:val="22"/>
          <w:szCs w:val="22"/>
          <w:lang w:val="en-GB"/>
        </w:rPr>
        <w:t xml:space="preserve">(3) the bankruptcy administrator shall register and examine the claims declared (he </w:t>
      </w:r>
      <w:r w:rsidR="00453513">
        <w:rPr>
          <w:rFonts w:ascii="Arial" w:hAnsi="Arial" w:cs="Arial"/>
          <w:color w:val="7B7B7B" w:themeColor="accent3" w:themeShade="BF"/>
          <w:sz w:val="22"/>
          <w:szCs w:val="22"/>
          <w:lang w:val="en-GB"/>
        </w:rPr>
        <w:t>might</w:t>
      </w:r>
      <w:r w:rsidR="009F273B">
        <w:rPr>
          <w:rFonts w:ascii="Arial" w:hAnsi="Arial" w:cs="Arial"/>
          <w:color w:val="7B7B7B" w:themeColor="accent3" w:themeShade="BF"/>
          <w:sz w:val="22"/>
          <w:szCs w:val="22"/>
          <w:lang w:val="en-GB"/>
        </w:rPr>
        <w:t xml:space="preserve"> check the debtor’s accounting records and sit together with the debtor’s </w:t>
      </w:r>
      <w:r w:rsidR="005F4360">
        <w:rPr>
          <w:rFonts w:ascii="Arial" w:hAnsi="Arial" w:cs="Arial"/>
          <w:color w:val="7B7B7B" w:themeColor="accent3" w:themeShade="BF"/>
          <w:sz w:val="22"/>
          <w:szCs w:val="22"/>
          <w:lang w:val="en-GB"/>
        </w:rPr>
        <w:t>financial representatives to verify the claims</w:t>
      </w:r>
      <w:r w:rsidR="00453513">
        <w:rPr>
          <w:rFonts w:ascii="Arial" w:hAnsi="Arial" w:cs="Arial"/>
          <w:color w:val="7B7B7B" w:themeColor="accent3" w:themeShade="BF"/>
          <w:sz w:val="22"/>
          <w:szCs w:val="22"/>
          <w:lang w:val="en-GB"/>
        </w:rPr>
        <w:t>, but actually the law does not indicate how the bankruptcy administrator can check the claims and what he can do when he has doubts about a claim</w:t>
      </w:r>
      <w:r w:rsidR="005F4360">
        <w:rPr>
          <w:rFonts w:ascii="Arial" w:hAnsi="Arial" w:cs="Arial"/>
          <w:color w:val="7B7B7B" w:themeColor="accent3" w:themeShade="BF"/>
          <w:sz w:val="22"/>
          <w:szCs w:val="22"/>
          <w:lang w:val="en-GB"/>
        </w:rPr>
        <w:t>)</w:t>
      </w:r>
      <w:r w:rsidR="009F273B">
        <w:rPr>
          <w:rFonts w:ascii="Arial" w:hAnsi="Arial" w:cs="Arial"/>
          <w:color w:val="7B7B7B" w:themeColor="accent3" w:themeShade="BF"/>
          <w:sz w:val="22"/>
          <w:szCs w:val="22"/>
          <w:lang w:val="en-GB"/>
        </w:rPr>
        <w:t xml:space="preserve"> and shall have </w:t>
      </w:r>
      <w:r w:rsidR="00453513">
        <w:rPr>
          <w:rFonts w:ascii="Arial" w:hAnsi="Arial" w:cs="Arial"/>
          <w:color w:val="7B7B7B" w:themeColor="accent3" w:themeShade="BF"/>
          <w:sz w:val="22"/>
          <w:szCs w:val="22"/>
          <w:lang w:val="en-GB"/>
        </w:rPr>
        <w:t xml:space="preserve">a </w:t>
      </w:r>
      <w:r w:rsidR="009F273B">
        <w:rPr>
          <w:rFonts w:ascii="Arial" w:hAnsi="Arial" w:cs="Arial"/>
          <w:color w:val="7B7B7B" w:themeColor="accent3" w:themeShade="BF"/>
          <w:sz w:val="22"/>
          <w:szCs w:val="22"/>
          <w:lang w:val="en-GB"/>
        </w:rPr>
        <w:t>form of claims filled out which he will preserve (together with all materials for declaration of claims) for reference by interested parties</w:t>
      </w:r>
      <w:r w:rsidR="00570F64">
        <w:rPr>
          <w:rFonts w:ascii="Arial" w:hAnsi="Arial" w:cs="Arial"/>
          <w:color w:val="7B7B7B" w:themeColor="accent3" w:themeShade="BF"/>
          <w:sz w:val="22"/>
          <w:szCs w:val="22"/>
          <w:lang w:val="en-GB"/>
        </w:rPr>
        <w:t>; (4)</w:t>
      </w:r>
      <w:r w:rsidR="00453513">
        <w:rPr>
          <w:rFonts w:ascii="Arial" w:hAnsi="Arial" w:cs="Arial"/>
          <w:color w:val="7B7B7B" w:themeColor="accent3" w:themeShade="BF"/>
          <w:sz w:val="22"/>
          <w:szCs w:val="22"/>
          <w:lang w:val="en-GB"/>
        </w:rPr>
        <w:t xml:space="preserve"> the form of claims shall be submitted to the first creditor’s meeting for checking (see Article 58; the power to investigate the claim(s) thus is accorded to this meeting</w:t>
      </w:r>
      <w:r w:rsidR="007103C1">
        <w:rPr>
          <w:rFonts w:ascii="Arial" w:hAnsi="Arial" w:cs="Arial"/>
          <w:color w:val="7B7B7B" w:themeColor="accent3" w:themeShade="BF"/>
          <w:sz w:val="22"/>
          <w:szCs w:val="22"/>
          <w:lang w:val="en-GB"/>
        </w:rPr>
        <w:t>, notwithstanding that the debtor, any creditor as well as the bankruptcy administrator seems still able to raise their doubts as to any claim</w:t>
      </w:r>
      <w:r w:rsidR="00453513">
        <w:rPr>
          <w:rFonts w:ascii="Arial" w:hAnsi="Arial" w:cs="Arial"/>
          <w:color w:val="7B7B7B" w:themeColor="accent3" w:themeShade="BF"/>
          <w:sz w:val="22"/>
          <w:szCs w:val="22"/>
          <w:lang w:val="en-GB"/>
        </w:rPr>
        <w:t>); and (5) w</w:t>
      </w:r>
      <w:r w:rsidR="00453513" w:rsidRPr="00453513">
        <w:rPr>
          <w:rFonts w:ascii="Arial" w:hAnsi="Arial" w:cs="Arial"/>
          <w:color w:val="7B7B7B" w:themeColor="accent3" w:themeShade="BF"/>
          <w:sz w:val="22"/>
          <w:szCs w:val="22"/>
          <w:lang w:val="en-GB"/>
        </w:rPr>
        <w:t>here the debtor or creditor has objections to what is recorded in the form of claims, he</w:t>
      </w:r>
      <w:r w:rsidR="00453513">
        <w:rPr>
          <w:rFonts w:ascii="Arial" w:hAnsi="Arial" w:cs="Arial"/>
          <w:color w:val="7B7B7B" w:themeColor="accent3" w:themeShade="BF"/>
          <w:sz w:val="22"/>
          <w:szCs w:val="22"/>
          <w:lang w:val="en-GB"/>
        </w:rPr>
        <w:t xml:space="preserve"> </w:t>
      </w:r>
      <w:r w:rsidR="00453513" w:rsidRPr="00453513">
        <w:rPr>
          <w:rFonts w:ascii="Arial" w:hAnsi="Arial" w:cs="Arial"/>
          <w:color w:val="7B7B7B" w:themeColor="accent3" w:themeShade="BF"/>
          <w:sz w:val="22"/>
          <w:szCs w:val="22"/>
          <w:lang w:val="en-GB"/>
        </w:rPr>
        <w:t>may file an action with the court that has accepted the application for bankruptcy</w:t>
      </w:r>
      <w:r w:rsidR="007103C1">
        <w:rPr>
          <w:rFonts w:ascii="Arial" w:hAnsi="Arial" w:cs="Arial"/>
          <w:color w:val="7B7B7B" w:themeColor="accent3" w:themeShade="BF"/>
          <w:sz w:val="22"/>
          <w:szCs w:val="22"/>
          <w:lang w:val="en-GB"/>
        </w:rPr>
        <w:t xml:space="preserve"> (it thus being understood that the power to confirm the claims is given only to the court)</w:t>
      </w:r>
      <w:r w:rsidR="00453513">
        <w:rPr>
          <w:rFonts w:ascii="Arial" w:hAnsi="Arial" w:cs="Arial"/>
          <w:color w:val="7B7B7B" w:themeColor="accent3" w:themeShade="BF"/>
          <w:sz w:val="22"/>
          <w:szCs w:val="22"/>
          <w:lang w:val="en-GB"/>
        </w:rPr>
        <w:t>.</w:t>
      </w:r>
    </w:p>
    <w:p w14:paraId="161933FB" w14:textId="5FEBDC74" w:rsidR="007103C1" w:rsidRDefault="007103C1" w:rsidP="00453513">
      <w:pPr>
        <w:ind w:left="720"/>
        <w:jc w:val="both"/>
        <w:rPr>
          <w:rFonts w:ascii="Arial" w:hAnsi="Arial" w:cs="Arial"/>
          <w:color w:val="7B7B7B" w:themeColor="accent3" w:themeShade="BF"/>
          <w:sz w:val="22"/>
          <w:szCs w:val="22"/>
          <w:lang w:val="en-GB"/>
        </w:rPr>
      </w:pPr>
    </w:p>
    <w:p w14:paraId="7701280F" w14:textId="52D92489" w:rsidR="00814F76" w:rsidRDefault="007103C1" w:rsidP="007B5AC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addition</w:t>
      </w:r>
      <w:r w:rsidR="007B5AC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is worth highlighting that </w:t>
      </w:r>
      <w:r w:rsidR="007B5AC7">
        <w:rPr>
          <w:rFonts w:ascii="Arial" w:hAnsi="Arial" w:cs="Arial"/>
          <w:color w:val="7B7B7B" w:themeColor="accent3" w:themeShade="BF"/>
          <w:sz w:val="22"/>
          <w:szCs w:val="22"/>
          <w:lang w:val="en-GB"/>
        </w:rPr>
        <w:t xml:space="preserve">(1) the debtor’s </w:t>
      </w:r>
      <w:r>
        <w:rPr>
          <w:rFonts w:ascii="Arial" w:hAnsi="Arial" w:cs="Arial"/>
          <w:color w:val="7B7B7B" w:themeColor="accent3" w:themeShade="BF"/>
          <w:sz w:val="22"/>
          <w:szCs w:val="22"/>
          <w:lang w:val="en-GB"/>
        </w:rPr>
        <w:t>employees may according to Article 48 directly ask the bankruptcy administrator to correct the record of their claims (</w:t>
      </w:r>
      <w:r w:rsidR="007B5AC7">
        <w:rPr>
          <w:rFonts w:ascii="Arial" w:hAnsi="Arial" w:cs="Arial"/>
          <w:color w:val="7B7B7B" w:themeColor="accent3" w:themeShade="BF"/>
          <w:sz w:val="22"/>
          <w:szCs w:val="22"/>
          <w:lang w:val="en-GB"/>
        </w:rPr>
        <w:t xml:space="preserve">which seems rather fair since the employees’ wages and other entitlements are usually not filed by the employees themselves) where they disagree with the record and they can even file an action with the court if the bankruptcy administrator refuses to do so, and (2) any creditor who has declared a claim according to the law may can according to Article 59 be </w:t>
      </w:r>
      <w:r w:rsidR="007B5AC7" w:rsidRPr="007B5AC7">
        <w:rPr>
          <w:rFonts w:ascii="Arial" w:hAnsi="Arial" w:cs="Arial"/>
          <w:color w:val="7B7B7B" w:themeColor="accent3" w:themeShade="BF"/>
          <w:sz w:val="22"/>
          <w:szCs w:val="22"/>
          <w:lang w:val="en-GB"/>
        </w:rPr>
        <w:t>a member of the creditors’</w:t>
      </w:r>
      <w:r w:rsidR="007B5AC7">
        <w:rPr>
          <w:rFonts w:ascii="Arial" w:hAnsi="Arial" w:cs="Arial"/>
          <w:color w:val="7B7B7B" w:themeColor="accent3" w:themeShade="BF"/>
          <w:sz w:val="22"/>
          <w:szCs w:val="22"/>
          <w:lang w:val="en-GB"/>
        </w:rPr>
        <w:t xml:space="preserve"> </w:t>
      </w:r>
      <w:r w:rsidR="007B5AC7" w:rsidRPr="007B5AC7">
        <w:rPr>
          <w:rFonts w:ascii="Arial" w:hAnsi="Arial" w:cs="Arial"/>
          <w:color w:val="7B7B7B" w:themeColor="accent3" w:themeShade="BF"/>
          <w:sz w:val="22"/>
          <w:szCs w:val="22"/>
          <w:lang w:val="en-GB"/>
        </w:rPr>
        <w:t>meeting and has the right to attend the meetings of the creditors</w:t>
      </w:r>
      <w:r w:rsidR="007B5AC7">
        <w:rPr>
          <w:rFonts w:ascii="Arial" w:hAnsi="Arial" w:cs="Arial"/>
          <w:color w:val="7B7B7B" w:themeColor="accent3" w:themeShade="BF"/>
          <w:sz w:val="22"/>
          <w:szCs w:val="22"/>
          <w:lang w:val="en-GB"/>
        </w:rPr>
        <w:t>, and although only a creditor whose claims are confirmed can exercise the right to vote, the court can make a temporary confirmation as to the amount of his claims for the sake of his exercise of such right.</w:t>
      </w:r>
    </w:p>
    <w:p w14:paraId="6F5B7442" w14:textId="77777777" w:rsidR="007B5AC7" w:rsidRPr="002A54BB" w:rsidRDefault="007B5AC7" w:rsidP="007B5AC7">
      <w:pPr>
        <w:ind w:left="720"/>
        <w:jc w:val="both"/>
        <w:rPr>
          <w:rFonts w:ascii="Arial" w:hAnsi="Arial" w:cs="Arial"/>
          <w:sz w:val="22"/>
          <w:szCs w:val="22"/>
          <w:shd w:val="clear" w:color="auto" w:fill="FFFFFF"/>
          <w:lang w:val="en-GB"/>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1"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 xml:space="preserve">finds that some of the company’s assets </w:t>
      </w:r>
      <w:proofErr w:type="gramStart"/>
      <w:r w:rsidR="001E4A1F" w:rsidRPr="002E0E77">
        <w:rPr>
          <w:rFonts w:ascii="Arial" w:hAnsi="Arial" w:cs="Arial"/>
          <w:sz w:val="22"/>
          <w:szCs w:val="22"/>
          <w:lang w:val="en-GB"/>
        </w:rPr>
        <w:t>are located in</w:t>
      </w:r>
      <w:proofErr w:type="gramEnd"/>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499DFC33" w14:textId="1015EFD5" w:rsidR="00A54652" w:rsidRDefault="00706A36" w:rsidP="00706A3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5 of the Chinese Bankruptcy Law of 2006 provides the basis and the criteria for recognising a foreign bankruptcy proceeding in China. Under this article, the Chinese courts may recognise foreign bankruptcy rulings affecting the debtor’s assets that </w:t>
      </w:r>
      <w:r w:rsidR="00F16C8E">
        <w:rPr>
          <w:rFonts w:ascii="Arial" w:hAnsi="Arial" w:cs="Arial"/>
          <w:color w:val="7B7B7B" w:themeColor="accent3" w:themeShade="BF"/>
          <w:sz w:val="22"/>
          <w:szCs w:val="22"/>
          <w:lang w:val="en-GB"/>
        </w:rPr>
        <w:t>are in</w:t>
      </w:r>
      <w:r>
        <w:rPr>
          <w:rFonts w:ascii="Arial" w:hAnsi="Arial" w:cs="Arial"/>
          <w:color w:val="7B7B7B" w:themeColor="accent3" w:themeShade="BF"/>
          <w:sz w:val="22"/>
          <w:szCs w:val="22"/>
          <w:lang w:val="en-GB"/>
        </w:rPr>
        <w:t xml:space="preserve"> China on the following conditions: (1) </w:t>
      </w:r>
      <w:r w:rsidR="00F16C8E">
        <w:rPr>
          <w:rFonts w:ascii="Arial" w:hAnsi="Arial" w:cs="Arial"/>
          <w:color w:val="7B7B7B" w:themeColor="accent3" w:themeShade="BF"/>
          <w:sz w:val="22"/>
          <w:szCs w:val="22"/>
          <w:lang w:val="en-GB"/>
        </w:rPr>
        <w:t>the recognition application is based on a judicial assistance treaty between China and the foreign country over civil and commercial matters, or (if there is no such treaty) the principle of judicial reciprocity between China and that foreign country</w:t>
      </w:r>
      <w:r w:rsidR="00880404">
        <w:rPr>
          <w:rFonts w:ascii="Arial" w:hAnsi="Arial" w:cs="Arial"/>
          <w:color w:val="7B7B7B" w:themeColor="accent3" w:themeShade="BF"/>
          <w:sz w:val="22"/>
          <w:szCs w:val="22"/>
          <w:lang w:val="en-GB"/>
        </w:rPr>
        <w:t>, and (2) the recognition of the foreign bankruptcy ruling does not infringe upon the basis principles of Chinese law; nor will it be against China’s sovereignty, security and public interests, or prejudice the legitimate interests of China’s domestic creditors.</w:t>
      </w:r>
    </w:p>
    <w:p w14:paraId="349E71C8" w14:textId="3E6D3CAD" w:rsidR="00880404" w:rsidRDefault="00880404" w:rsidP="00706A36">
      <w:pPr>
        <w:ind w:left="720"/>
        <w:jc w:val="both"/>
        <w:rPr>
          <w:rFonts w:ascii="Arial" w:hAnsi="Arial" w:cs="Arial"/>
          <w:color w:val="7B7B7B" w:themeColor="accent3" w:themeShade="BF"/>
          <w:sz w:val="22"/>
          <w:szCs w:val="22"/>
          <w:lang w:val="en-GB"/>
        </w:rPr>
      </w:pPr>
    </w:p>
    <w:p w14:paraId="7FBD8831" w14:textId="06EDBAF4" w:rsidR="00880404" w:rsidRPr="00880404" w:rsidRDefault="00880404" w:rsidP="00706A3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Chinese civil procedure law, the bankruptcy liquidator seeking recognition of the Australian bankruptcy proceeding must do in the Chinese local intermediate people’s court where the assets are located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Shanghai).</w:t>
      </w:r>
    </w:p>
    <w:p w14:paraId="5633824C" w14:textId="111A6FF5" w:rsidR="00F16C8E" w:rsidRDefault="00F16C8E" w:rsidP="00706A36">
      <w:pPr>
        <w:ind w:left="720"/>
        <w:jc w:val="both"/>
        <w:rPr>
          <w:rFonts w:ascii="Arial" w:hAnsi="Arial" w:cs="Arial"/>
          <w:color w:val="7B7B7B" w:themeColor="accent3" w:themeShade="BF"/>
          <w:sz w:val="22"/>
          <w:szCs w:val="22"/>
          <w:lang w:val="en-GB"/>
        </w:rPr>
      </w:pPr>
    </w:p>
    <w:p w14:paraId="5BE4202F" w14:textId="1CFB185F" w:rsidR="001D3FFA" w:rsidRDefault="00F16C8E" w:rsidP="001D3FF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China does not have a judicial assistance treaty over civil and commercial matters with Australia, the bankruptcy liquidator must </w:t>
      </w:r>
      <w:r w:rsidR="00880404">
        <w:rPr>
          <w:rFonts w:ascii="Arial" w:hAnsi="Arial" w:cs="Arial"/>
          <w:color w:val="7B7B7B" w:themeColor="accent3" w:themeShade="BF"/>
          <w:sz w:val="22"/>
          <w:szCs w:val="22"/>
          <w:lang w:val="en-GB"/>
        </w:rPr>
        <w:t>prove</w:t>
      </w:r>
      <w:r>
        <w:rPr>
          <w:rFonts w:ascii="Arial" w:hAnsi="Arial" w:cs="Arial"/>
          <w:color w:val="7B7B7B" w:themeColor="accent3" w:themeShade="BF"/>
          <w:sz w:val="22"/>
          <w:szCs w:val="22"/>
          <w:lang w:val="en-GB"/>
        </w:rPr>
        <w:t xml:space="preserve"> that there is judicial reciprocity established between China and Australia. </w:t>
      </w:r>
      <w:r w:rsidR="00880404">
        <w:rPr>
          <w:rFonts w:ascii="Arial" w:hAnsi="Arial" w:cs="Arial"/>
          <w:color w:val="7B7B7B" w:themeColor="accent3" w:themeShade="BF"/>
          <w:sz w:val="22"/>
          <w:szCs w:val="22"/>
          <w:lang w:val="en-GB"/>
        </w:rPr>
        <w:t>Given the very restrictive understanding of reciprocity in China, it eventually comes down to the fact whether the bankruptcy liquidator can prove that there is already a Chinese bankruptcy ruling recognised by Australia before.</w:t>
      </w:r>
      <w:r w:rsidR="001D3FFA">
        <w:rPr>
          <w:rFonts w:ascii="Arial" w:hAnsi="Arial" w:cs="Arial"/>
          <w:color w:val="7B7B7B" w:themeColor="accent3" w:themeShade="BF"/>
          <w:sz w:val="22"/>
          <w:szCs w:val="22"/>
          <w:lang w:val="en-GB"/>
        </w:rPr>
        <w:t xml:space="preserve"> Moreover, the bankruptcy liquidator must also convince the court that the recognition of the bankruptcy </w:t>
      </w:r>
      <w:r w:rsidR="00F65CBC">
        <w:rPr>
          <w:rFonts w:ascii="Arial" w:hAnsi="Arial" w:cs="Arial"/>
          <w:color w:val="7B7B7B" w:themeColor="accent3" w:themeShade="BF"/>
          <w:sz w:val="22"/>
          <w:szCs w:val="22"/>
          <w:lang w:val="en-GB"/>
        </w:rPr>
        <w:t xml:space="preserve">ruling </w:t>
      </w:r>
      <w:r w:rsidR="001D3FFA">
        <w:rPr>
          <w:rFonts w:ascii="Arial" w:hAnsi="Arial" w:cs="Arial"/>
          <w:color w:val="7B7B7B" w:themeColor="accent3" w:themeShade="BF"/>
          <w:sz w:val="22"/>
          <w:szCs w:val="22"/>
          <w:lang w:val="en-GB"/>
        </w:rPr>
        <w:t>does not disadvantage the Chinese creditor who obtained the injunction freezing the debtor’s assets in Shanghai (or other Chinese creditors).</w:t>
      </w:r>
    </w:p>
    <w:p w14:paraId="3B0D7489" w14:textId="0E3C7BF2" w:rsidR="001D3FFA" w:rsidRDefault="001D3FFA" w:rsidP="001D3FFA">
      <w:pPr>
        <w:ind w:left="720"/>
        <w:jc w:val="both"/>
        <w:rPr>
          <w:rFonts w:ascii="Arial" w:hAnsi="Arial" w:cs="Arial"/>
          <w:color w:val="7B7B7B" w:themeColor="accent3" w:themeShade="BF"/>
          <w:sz w:val="22"/>
          <w:szCs w:val="22"/>
          <w:lang w:val="en-GB"/>
        </w:rPr>
      </w:pPr>
    </w:p>
    <w:p w14:paraId="416BB407" w14:textId="6AD52276" w:rsidR="001D3FFA" w:rsidRDefault="001D3FFA" w:rsidP="001D3FF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also worth highlighting that in 2012 the Chinese court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the Wuhan intermediate people’s court) did not recognise the </w:t>
      </w:r>
      <w:r w:rsidR="00F65CBC">
        <w:rPr>
          <w:rFonts w:ascii="Arial" w:hAnsi="Arial" w:cs="Arial"/>
          <w:color w:val="7B7B7B" w:themeColor="accent3" w:themeShade="BF"/>
          <w:sz w:val="22"/>
          <w:szCs w:val="22"/>
          <w:lang w:val="en-GB"/>
        </w:rPr>
        <w:t>status of</w:t>
      </w:r>
      <w:r>
        <w:rPr>
          <w:rFonts w:ascii="Arial" w:hAnsi="Arial" w:cs="Arial"/>
          <w:color w:val="7B7B7B" w:themeColor="accent3" w:themeShade="BF"/>
          <w:sz w:val="22"/>
          <w:szCs w:val="22"/>
          <w:lang w:val="en-GB"/>
        </w:rPr>
        <w:t xml:space="preserve"> the </w:t>
      </w:r>
      <w:r w:rsidR="00F65CBC">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bankruptcy liquidator</w:t>
      </w:r>
      <w:r w:rsidR="00F65CBC">
        <w:rPr>
          <w:rFonts w:ascii="Arial" w:hAnsi="Arial" w:cs="Arial"/>
          <w:color w:val="7B7B7B" w:themeColor="accent3" w:themeShade="BF"/>
          <w:sz w:val="22"/>
          <w:szCs w:val="22"/>
          <w:lang w:val="en-GB"/>
        </w:rPr>
        <w:t xml:space="preserve"> based on</w:t>
      </w:r>
      <w:r w:rsidR="009B53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Article 5 </w:t>
      </w:r>
      <w:r>
        <w:rPr>
          <w:rFonts w:ascii="Arial" w:hAnsi="Arial" w:cs="Arial"/>
          <w:color w:val="7B7B7B" w:themeColor="accent3" w:themeShade="BF"/>
          <w:sz w:val="22"/>
          <w:szCs w:val="22"/>
          <w:lang w:val="en-GB"/>
        </w:rPr>
        <w:t>of the Chinese Bankruptcy Law of 2006</w:t>
      </w:r>
      <w:r>
        <w:rPr>
          <w:rFonts w:ascii="Arial" w:hAnsi="Arial" w:cs="Arial"/>
          <w:color w:val="7B7B7B" w:themeColor="accent3" w:themeShade="BF"/>
          <w:sz w:val="22"/>
          <w:szCs w:val="22"/>
          <w:lang w:val="en-GB"/>
        </w:rPr>
        <w:t xml:space="preserve"> but </w:t>
      </w:r>
      <w:r w:rsidR="00F65CBC">
        <w:rPr>
          <w:rFonts w:ascii="Arial" w:hAnsi="Arial" w:cs="Arial"/>
          <w:color w:val="7B7B7B" w:themeColor="accent3" w:themeShade="BF"/>
          <w:sz w:val="22"/>
          <w:szCs w:val="22"/>
          <w:lang w:val="en-GB"/>
        </w:rPr>
        <w:t>on</w:t>
      </w:r>
      <w:r w:rsidR="009B53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Article 282 of the China Civil Procedure Law of 1991</w:t>
      </w:r>
      <w:r w:rsidR="00F65CBC">
        <w:rPr>
          <w:rFonts w:ascii="Arial" w:hAnsi="Arial" w:cs="Arial"/>
          <w:color w:val="7B7B7B" w:themeColor="accent3" w:themeShade="BF"/>
          <w:sz w:val="22"/>
          <w:szCs w:val="22"/>
          <w:lang w:val="en-GB"/>
        </w:rPr>
        <w:t>, to facilitate the bankruptcy receiver</w:t>
      </w:r>
      <w:r w:rsidR="00F65CBC">
        <w:rPr>
          <w:rFonts w:ascii="Arial" w:hAnsi="Arial" w:cs="Arial"/>
          <w:color w:val="7B7B7B" w:themeColor="accent3" w:themeShade="BF"/>
          <w:sz w:val="22"/>
          <w:szCs w:val="22"/>
          <w:lang w:val="en-GB"/>
        </w:rPr>
        <w:t>s</w:t>
      </w:r>
      <w:r w:rsidR="00F65CBC">
        <w:rPr>
          <w:rFonts w:ascii="Arial" w:hAnsi="Arial" w:cs="Arial"/>
          <w:color w:val="7B7B7B" w:themeColor="accent3" w:themeShade="BF"/>
          <w:sz w:val="22"/>
          <w:szCs w:val="22"/>
          <w:lang w:val="en-GB"/>
        </w:rPr>
        <w:t>’</w:t>
      </w:r>
      <w:r w:rsidR="00F65CBC">
        <w:rPr>
          <w:rFonts w:ascii="Arial" w:hAnsi="Arial" w:cs="Arial"/>
          <w:color w:val="7B7B7B" w:themeColor="accent3" w:themeShade="BF"/>
          <w:sz w:val="22"/>
          <w:szCs w:val="22"/>
          <w:lang w:val="en-GB"/>
        </w:rPr>
        <w:t xml:space="preserve"> action to dispose of the debtor’s assets in China</w:t>
      </w:r>
      <w:r w:rsidR="00F65CBC">
        <w:rPr>
          <w:rFonts w:ascii="Arial" w:hAnsi="Arial" w:cs="Arial"/>
          <w:color w:val="7B7B7B" w:themeColor="accent3" w:themeShade="BF"/>
          <w:sz w:val="22"/>
          <w:szCs w:val="22"/>
          <w:lang w:val="en-GB"/>
        </w:rPr>
        <w:t>.</w:t>
      </w:r>
    </w:p>
    <w:p w14:paraId="3D305FDB" w14:textId="77777777" w:rsidR="009B530D" w:rsidRDefault="009B530D" w:rsidP="00F65CBC">
      <w:pPr>
        <w:jc w:val="both"/>
        <w:rPr>
          <w:rFonts w:ascii="Arial" w:hAnsi="Arial" w:cs="Arial"/>
          <w:color w:val="7B7B7B" w:themeColor="accent3" w:themeShade="BF"/>
          <w:sz w:val="22"/>
          <w:szCs w:val="22"/>
          <w:lang w:val="en-GB"/>
        </w:rPr>
      </w:pPr>
    </w:p>
    <w:p w14:paraId="0B86C4D3" w14:textId="4C3994D0" w:rsidR="009B530D" w:rsidRDefault="009B530D" w:rsidP="001D3FFA">
      <w:pPr>
        <w:ind w:left="720"/>
        <w:jc w:val="both"/>
        <w:rPr>
          <w:rFonts w:ascii="Arial" w:hAnsi="Arial" w:cs="Arial"/>
          <w:color w:val="7B7B7B" w:themeColor="accent3" w:themeShade="BF"/>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proofErr w:type="gramStart"/>
      <w:r w:rsidRPr="002E0E77">
        <w:rPr>
          <w:rFonts w:ascii="Arial" w:hAnsi="Arial" w:cs="Arial"/>
          <w:sz w:val="22"/>
          <w:szCs w:val="22"/>
          <w:lang w:val="en-GB"/>
        </w:rPr>
        <w:t>Yangtze</w:t>
      </w:r>
      <w:proofErr w:type="gramEnd"/>
      <w:r w:rsidRPr="002E0E77">
        <w:rPr>
          <w:rFonts w:ascii="Arial" w:hAnsi="Arial" w:cs="Arial"/>
          <w:sz w:val="22"/>
          <w:szCs w:val="22"/>
          <w:lang w:val="en-GB"/>
        </w:rPr>
        <w:t xml:space="preserv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w:t>
      </w:r>
      <w:bookmarkStart w:id="2" w:name="_Hlk109914349"/>
      <w:r w:rsidR="00BD4C52" w:rsidRPr="002E0E77">
        <w:rPr>
          <w:rFonts w:ascii="Arial" w:hAnsi="Arial" w:cs="Arial"/>
          <w:sz w:val="22"/>
          <w:szCs w:val="22"/>
          <w:lang w:val="en-GB"/>
        </w:rPr>
        <w:t>Shanghai Second Intermediate People’s Court</w:t>
      </w:r>
      <w:bookmarkEnd w:id="2"/>
      <w:r w:rsidR="00BD4C52" w:rsidRPr="002E0E77">
        <w:rPr>
          <w:rFonts w:ascii="Arial" w:hAnsi="Arial" w:cs="Arial"/>
          <w:sz w:val="22"/>
          <w:szCs w:val="22"/>
          <w:lang w:val="en-GB"/>
        </w:rPr>
        <w:t xml:space="preserve">.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proofErr w:type="gramStart"/>
      <w:r w:rsidR="005D4974" w:rsidRPr="002E0E77">
        <w:rPr>
          <w:rFonts w:ascii="Arial" w:hAnsi="Arial" w:cs="Arial"/>
          <w:sz w:val="22"/>
          <w:szCs w:val="22"/>
          <w:lang w:val="en-GB"/>
        </w:rPr>
        <w:t>Yangtze</w:t>
      </w:r>
      <w:proofErr w:type="gramEnd"/>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proofErr w:type="gramStart"/>
      <w:r w:rsidR="005D4974" w:rsidRPr="002E0E77">
        <w:rPr>
          <w:rFonts w:ascii="Arial" w:hAnsi="Arial" w:cs="Arial"/>
          <w:bCs/>
          <w:sz w:val="22"/>
          <w:szCs w:val="22"/>
          <w:lang w:val="en-GB"/>
        </w:rPr>
        <w:t>Yangtze</w:t>
      </w:r>
      <w:proofErr w:type="gramEnd"/>
      <w:r w:rsidR="005D4974" w:rsidRPr="002E0E77">
        <w:rPr>
          <w:rFonts w:ascii="Arial" w:hAnsi="Arial" w:cs="Arial"/>
          <w:bCs/>
          <w:sz w:val="22"/>
          <w:szCs w:val="22"/>
          <w:lang w:val="en-GB"/>
        </w:rPr>
        <w:t xml:space="preserv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proofErr w:type="gramStart"/>
      <w:r w:rsidR="005D4974" w:rsidRPr="002E0E77">
        <w:rPr>
          <w:rFonts w:ascii="Arial" w:hAnsi="Arial" w:cs="Arial"/>
          <w:bCs/>
          <w:sz w:val="22"/>
          <w:szCs w:val="22"/>
          <w:lang w:val="en-GB"/>
        </w:rPr>
        <w:t>Yangtze</w:t>
      </w:r>
      <w:proofErr w:type="gramEnd"/>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70D96B6" w14:textId="726326E6" w:rsidR="00A54652" w:rsidRDefault="00043A13"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CA7C24">
        <w:rPr>
          <w:rFonts w:ascii="Arial" w:hAnsi="Arial" w:cs="Arial"/>
          <w:color w:val="7B7B7B" w:themeColor="accent3" w:themeShade="BF"/>
          <w:sz w:val="22"/>
          <w:szCs w:val="22"/>
          <w:lang w:val="en-GB"/>
        </w:rPr>
        <w:t>Article 70 of</w:t>
      </w:r>
      <w:r w:rsidR="00CA7C24" w:rsidRPr="00DF62E5">
        <w:rPr>
          <w:rFonts w:ascii="Arial" w:hAnsi="Arial" w:cs="Arial"/>
          <w:color w:val="7B7B7B" w:themeColor="accent3" w:themeShade="BF"/>
          <w:sz w:val="22"/>
          <w:szCs w:val="22"/>
          <w:lang w:val="en-GB"/>
        </w:rPr>
        <w:t xml:space="preserve"> the</w:t>
      </w:r>
      <w:r w:rsidR="00CA7C24">
        <w:rPr>
          <w:rFonts w:ascii="Arial" w:hAnsi="Arial" w:cs="Arial"/>
          <w:color w:val="7B7B7B" w:themeColor="accent3" w:themeShade="BF"/>
          <w:sz w:val="22"/>
          <w:szCs w:val="22"/>
          <w:lang w:val="en-GB"/>
        </w:rPr>
        <w:t xml:space="preserve"> China Enterprise Bankruptcy Law of 2006</w:t>
      </w:r>
      <w:r>
        <w:rPr>
          <w:rFonts w:ascii="Arial" w:hAnsi="Arial" w:cs="Arial"/>
          <w:color w:val="7B7B7B" w:themeColor="accent3" w:themeShade="BF"/>
          <w:sz w:val="22"/>
          <w:szCs w:val="22"/>
          <w:lang w:val="en-GB"/>
        </w:rPr>
        <w:t>, an involuntary liquidation procedure (i.e., cases in which a creditor has petitioned for the bankruptcy of the debtor) can be converted to a reorganisation procedure.</w:t>
      </w:r>
      <w:r w:rsidR="00CA7C2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CA7C24" w:rsidRPr="00DF62E5">
        <w:rPr>
          <w:rFonts w:ascii="Arial" w:hAnsi="Arial" w:cs="Arial"/>
          <w:color w:val="7B7B7B" w:themeColor="accent3" w:themeShade="BF"/>
          <w:sz w:val="22"/>
          <w:szCs w:val="22"/>
          <w:lang w:val="en-GB"/>
        </w:rPr>
        <w:t xml:space="preserve">he debtor itself or the shareholders holding </w:t>
      </w:r>
      <w:r w:rsidR="00CA7C24">
        <w:rPr>
          <w:rFonts w:ascii="Arial" w:hAnsi="Arial" w:cs="Arial"/>
          <w:color w:val="7B7B7B" w:themeColor="accent3" w:themeShade="BF"/>
          <w:sz w:val="22"/>
          <w:szCs w:val="22"/>
          <w:lang w:val="en-GB"/>
        </w:rPr>
        <w:t xml:space="preserve">more than 10% </w:t>
      </w:r>
      <w:r w:rsidR="00CA7C24" w:rsidRPr="00DF62E5">
        <w:rPr>
          <w:rFonts w:ascii="Arial" w:hAnsi="Arial" w:cs="Arial"/>
          <w:color w:val="7B7B7B" w:themeColor="accent3" w:themeShade="BF"/>
          <w:sz w:val="22"/>
          <w:szCs w:val="22"/>
          <w:lang w:val="en-GB"/>
        </w:rPr>
        <w:t>of the</w:t>
      </w:r>
      <w:r w:rsidR="00CA7C24">
        <w:rPr>
          <w:rFonts w:ascii="Arial" w:hAnsi="Arial" w:cs="Arial"/>
          <w:color w:val="7B7B7B" w:themeColor="accent3" w:themeShade="BF"/>
          <w:sz w:val="22"/>
          <w:szCs w:val="22"/>
          <w:lang w:val="en-GB"/>
        </w:rPr>
        <w:t xml:space="preserve"> </w:t>
      </w:r>
      <w:r w:rsidR="00CA7C24" w:rsidRPr="00DF62E5">
        <w:rPr>
          <w:rFonts w:ascii="Arial" w:hAnsi="Arial" w:cs="Arial"/>
          <w:color w:val="7B7B7B" w:themeColor="accent3" w:themeShade="BF"/>
          <w:sz w:val="22"/>
          <w:szCs w:val="22"/>
          <w:lang w:val="en-GB"/>
        </w:rPr>
        <w:t xml:space="preserve">debtor’s registered capital may apply for </w:t>
      </w:r>
      <w:r w:rsidR="00CA7C24">
        <w:rPr>
          <w:rFonts w:ascii="Arial" w:hAnsi="Arial" w:cs="Arial"/>
          <w:color w:val="7B7B7B" w:themeColor="accent3" w:themeShade="BF"/>
          <w:sz w:val="22"/>
          <w:szCs w:val="22"/>
          <w:lang w:val="en-GB"/>
        </w:rPr>
        <w:t>a conversion from liquidation to reorganisation</w:t>
      </w:r>
      <w:r>
        <w:rPr>
          <w:rFonts w:ascii="Arial" w:hAnsi="Arial" w:cs="Arial"/>
          <w:color w:val="7B7B7B" w:themeColor="accent3" w:themeShade="BF"/>
          <w:sz w:val="22"/>
          <w:szCs w:val="22"/>
          <w:lang w:val="en-GB"/>
        </w:rPr>
        <w:t>.</w:t>
      </w:r>
    </w:p>
    <w:p w14:paraId="60D8339F" w14:textId="61415485" w:rsidR="00176E64" w:rsidRDefault="00176E64" w:rsidP="00CA7C24">
      <w:pPr>
        <w:ind w:left="720"/>
        <w:jc w:val="both"/>
        <w:rPr>
          <w:rFonts w:ascii="Arial" w:hAnsi="Arial" w:cs="Arial"/>
          <w:color w:val="7B7B7B" w:themeColor="accent3" w:themeShade="BF"/>
          <w:sz w:val="22"/>
          <w:szCs w:val="22"/>
          <w:lang w:val="en-GB"/>
        </w:rPr>
      </w:pPr>
    </w:p>
    <w:p w14:paraId="22545287" w14:textId="618FF18E" w:rsidR="00176E64" w:rsidRDefault="00ED2AAA"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liquidation procedure was filed by a creditor of </w:t>
      </w:r>
      <w:proofErr w:type="gramStart"/>
      <w:r w:rsidRPr="00ED2AAA">
        <w:rPr>
          <w:rFonts w:ascii="Arial" w:hAnsi="Arial" w:cs="Arial"/>
          <w:color w:val="7B7B7B" w:themeColor="accent3" w:themeShade="BF"/>
          <w:sz w:val="22"/>
          <w:szCs w:val="22"/>
          <w:lang w:val="en-GB"/>
        </w:rPr>
        <w:t>Yangtze</w:t>
      </w:r>
      <w:proofErr w:type="gramEnd"/>
      <w:r w:rsidRPr="00ED2AAA">
        <w:rPr>
          <w:rFonts w:ascii="Arial" w:hAnsi="Arial" w:cs="Arial"/>
          <w:color w:val="7B7B7B" w:themeColor="accent3" w:themeShade="BF"/>
          <w:sz w:val="22"/>
          <w:szCs w:val="22"/>
          <w:lang w:val="en-GB"/>
        </w:rPr>
        <w:t xml:space="preserve"> Steel Limited</w:t>
      </w:r>
      <w:r>
        <w:rPr>
          <w:rFonts w:ascii="Arial" w:hAnsi="Arial" w:cs="Arial"/>
          <w:color w:val="7B7B7B" w:themeColor="accent3" w:themeShade="BF"/>
          <w:sz w:val="22"/>
          <w:szCs w:val="22"/>
          <w:lang w:val="en-GB"/>
        </w:rPr>
        <w:t xml:space="preserve">, namely by Bank of China (Shanghai Branch). </w:t>
      </w:r>
      <w:r w:rsidR="00F37444">
        <w:rPr>
          <w:rFonts w:ascii="Arial" w:hAnsi="Arial" w:cs="Arial"/>
          <w:color w:val="7B7B7B" w:themeColor="accent3" w:themeShade="BF"/>
          <w:sz w:val="22"/>
          <w:szCs w:val="22"/>
          <w:lang w:val="en-GB"/>
        </w:rPr>
        <w:t>So,</w:t>
      </w:r>
      <w:r>
        <w:rPr>
          <w:rFonts w:ascii="Arial" w:hAnsi="Arial" w:cs="Arial"/>
          <w:color w:val="7B7B7B" w:themeColor="accent3" w:themeShade="BF"/>
          <w:sz w:val="22"/>
          <w:szCs w:val="22"/>
          <w:lang w:val="en-GB"/>
        </w:rPr>
        <w:t xml:space="preserve"> there is an involuntary bankruptcy liquidation procedure.</w:t>
      </w:r>
    </w:p>
    <w:p w14:paraId="3D0BC6D3" w14:textId="07D76765" w:rsidR="0072325E" w:rsidRDefault="0072325E" w:rsidP="00CA7C24">
      <w:pPr>
        <w:ind w:left="720"/>
        <w:jc w:val="both"/>
        <w:rPr>
          <w:rFonts w:ascii="Arial" w:hAnsi="Arial" w:cs="Arial"/>
          <w:color w:val="7B7B7B" w:themeColor="accent3" w:themeShade="BF"/>
          <w:sz w:val="22"/>
          <w:szCs w:val="22"/>
          <w:lang w:val="en-GB"/>
        </w:rPr>
      </w:pPr>
    </w:p>
    <w:p w14:paraId="6DA63FE4" w14:textId="28E04419" w:rsidR="0072325E" w:rsidRDefault="0072325E"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Whereas it is not clear how Yangtze Steel Limited’s own board can exercise its right to apply to the court to convert the bankruptcy liquidation to reorganisation (having been replaced by the court-appointed liquidation administrator), there is no doubt that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as a shareholder holding 32% (and thus more than 10%) of the equity of Yangtze Steel Limited can submit a conversion request to the </w:t>
      </w:r>
      <w:r w:rsidR="00176E64" w:rsidRPr="00176E64">
        <w:rPr>
          <w:rFonts w:ascii="Arial" w:hAnsi="Arial" w:cs="Arial"/>
          <w:color w:val="7B7B7B" w:themeColor="accent3" w:themeShade="BF"/>
          <w:sz w:val="22"/>
          <w:szCs w:val="22"/>
          <w:lang w:val="en-GB"/>
        </w:rPr>
        <w:t>Shanghai Second Intermediate People’s Court</w:t>
      </w:r>
      <w:r w:rsidR="00176E64" w:rsidRPr="00DF62E5">
        <w:rPr>
          <w:rFonts w:ascii="Arial" w:hAnsi="Arial" w:cs="Arial"/>
          <w:color w:val="7B7B7B" w:themeColor="accent3" w:themeShade="BF"/>
          <w:sz w:val="22"/>
          <w:szCs w:val="22"/>
          <w:lang w:val="en-GB"/>
        </w:rPr>
        <w:t xml:space="preserve"> </w:t>
      </w:r>
      <w:r w:rsidR="00176E64">
        <w:rPr>
          <w:rFonts w:ascii="Arial" w:hAnsi="Arial" w:cs="Arial"/>
          <w:color w:val="7B7B7B" w:themeColor="accent3" w:themeShade="BF"/>
          <w:sz w:val="22"/>
          <w:szCs w:val="22"/>
          <w:lang w:val="en-GB"/>
        </w:rPr>
        <w:t xml:space="preserve">after it </w:t>
      </w:r>
      <w:r w:rsidR="00176E64" w:rsidRPr="00DF62E5">
        <w:rPr>
          <w:rFonts w:ascii="Arial" w:hAnsi="Arial" w:cs="Arial"/>
          <w:color w:val="7B7B7B" w:themeColor="accent3" w:themeShade="BF"/>
          <w:sz w:val="22"/>
          <w:szCs w:val="22"/>
          <w:lang w:val="en-GB"/>
        </w:rPr>
        <w:t xml:space="preserve">has accepted the </w:t>
      </w:r>
      <w:r w:rsidR="00176E64">
        <w:rPr>
          <w:rFonts w:ascii="Arial" w:hAnsi="Arial" w:cs="Arial"/>
          <w:color w:val="7B7B7B" w:themeColor="accent3" w:themeShade="BF"/>
          <w:sz w:val="22"/>
          <w:szCs w:val="22"/>
          <w:lang w:val="en-GB"/>
        </w:rPr>
        <w:t>liquidation filing</w:t>
      </w:r>
      <w:r w:rsidR="00176E64" w:rsidRPr="00DF62E5">
        <w:rPr>
          <w:rFonts w:ascii="Arial" w:hAnsi="Arial" w:cs="Arial"/>
          <w:color w:val="7B7B7B" w:themeColor="accent3" w:themeShade="BF"/>
          <w:sz w:val="22"/>
          <w:szCs w:val="22"/>
          <w:lang w:val="en-GB"/>
        </w:rPr>
        <w:t xml:space="preserve"> </w:t>
      </w:r>
      <w:r w:rsidR="00176E64">
        <w:rPr>
          <w:rFonts w:ascii="Arial" w:hAnsi="Arial" w:cs="Arial"/>
          <w:color w:val="7B7B7B" w:themeColor="accent3" w:themeShade="BF"/>
          <w:sz w:val="22"/>
          <w:szCs w:val="22"/>
          <w:lang w:val="en-GB"/>
        </w:rPr>
        <w:t>but</w:t>
      </w:r>
      <w:r w:rsidR="00176E64" w:rsidRPr="00DF62E5">
        <w:rPr>
          <w:rFonts w:ascii="Arial" w:hAnsi="Arial" w:cs="Arial"/>
          <w:color w:val="7B7B7B" w:themeColor="accent3" w:themeShade="BF"/>
          <w:sz w:val="22"/>
          <w:szCs w:val="22"/>
          <w:lang w:val="en-GB"/>
        </w:rPr>
        <w:t xml:space="preserve"> before a</w:t>
      </w:r>
      <w:r w:rsidR="00176E64">
        <w:rPr>
          <w:rFonts w:ascii="Arial" w:hAnsi="Arial" w:cs="Arial"/>
          <w:color w:val="7B7B7B" w:themeColor="accent3" w:themeShade="BF"/>
          <w:sz w:val="22"/>
          <w:szCs w:val="22"/>
          <w:lang w:val="en-GB"/>
        </w:rPr>
        <w:t xml:space="preserve"> </w:t>
      </w:r>
      <w:r w:rsidR="00176E64" w:rsidRPr="00DF62E5">
        <w:rPr>
          <w:rFonts w:ascii="Arial" w:hAnsi="Arial" w:cs="Arial"/>
          <w:color w:val="7B7B7B" w:themeColor="accent3" w:themeShade="BF"/>
          <w:sz w:val="22"/>
          <w:szCs w:val="22"/>
          <w:lang w:val="en-GB"/>
        </w:rPr>
        <w:t>bankruptcy declaration has been made</w:t>
      </w:r>
      <w:r>
        <w:rPr>
          <w:rFonts w:ascii="Arial" w:hAnsi="Arial" w:cs="Arial"/>
          <w:color w:val="7B7B7B" w:themeColor="accent3" w:themeShade="BF"/>
          <w:sz w:val="22"/>
          <w:szCs w:val="22"/>
          <w:lang w:val="en-GB"/>
        </w:rPr>
        <w:t>.</w:t>
      </w:r>
      <w:r w:rsidR="00176E64">
        <w:rPr>
          <w:rFonts w:ascii="Arial" w:hAnsi="Arial" w:cs="Arial"/>
          <w:color w:val="7B7B7B" w:themeColor="accent3" w:themeShade="BF"/>
          <w:sz w:val="22"/>
          <w:szCs w:val="22"/>
          <w:lang w:val="en-GB"/>
        </w:rPr>
        <w:t xml:space="preserve"> It is that court that then also </w:t>
      </w:r>
      <w:proofErr w:type="gramStart"/>
      <w:r w:rsidR="00176E64">
        <w:rPr>
          <w:rFonts w:ascii="Arial" w:hAnsi="Arial" w:cs="Arial"/>
          <w:color w:val="7B7B7B" w:themeColor="accent3" w:themeShade="BF"/>
          <w:sz w:val="22"/>
          <w:szCs w:val="22"/>
          <w:lang w:val="en-GB"/>
        </w:rPr>
        <w:t>makes a decision</w:t>
      </w:r>
      <w:proofErr w:type="gramEnd"/>
      <w:r w:rsidR="00176E64">
        <w:rPr>
          <w:rFonts w:ascii="Arial" w:hAnsi="Arial" w:cs="Arial"/>
          <w:color w:val="7B7B7B" w:themeColor="accent3" w:themeShade="BF"/>
          <w:sz w:val="22"/>
          <w:szCs w:val="22"/>
          <w:lang w:val="en-GB"/>
        </w:rPr>
        <w:t xml:space="preserve"> in that regard.</w:t>
      </w:r>
    </w:p>
    <w:p w14:paraId="63D8200A" w14:textId="75520BAD" w:rsidR="00176E64" w:rsidRDefault="00176E64" w:rsidP="00CA7C24">
      <w:pPr>
        <w:ind w:left="720"/>
        <w:jc w:val="both"/>
        <w:rPr>
          <w:rFonts w:ascii="Arial" w:hAnsi="Arial" w:cs="Arial"/>
          <w:color w:val="7B7B7B" w:themeColor="accent3" w:themeShade="BF"/>
          <w:sz w:val="22"/>
          <w:szCs w:val="22"/>
          <w:lang w:val="en-GB"/>
        </w:rPr>
      </w:pPr>
    </w:p>
    <w:p w14:paraId="6796E933" w14:textId="6BA1EE37" w:rsidR="00176E64" w:rsidRPr="002E0E77" w:rsidRDefault="00176E64"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ED2AAA">
        <w:rPr>
          <w:rFonts w:ascii="Arial" w:hAnsi="Arial" w:cs="Arial"/>
          <w:color w:val="7B7B7B" w:themeColor="accent3" w:themeShade="BF"/>
          <w:sz w:val="22"/>
          <w:szCs w:val="22"/>
          <w:lang w:val="en-GB"/>
        </w:rPr>
        <w:t xml:space="preserve"> th</w:t>
      </w:r>
      <w:r>
        <w:rPr>
          <w:rFonts w:ascii="Arial" w:hAnsi="Arial" w:cs="Arial"/>
          <w:color w:val="7B7B7B" w:themeColor="accent3" w:themeShade="BF"/>
          <w:sz w:val="22"/>
          <w:szCs w:val="22"/>
          <w:lang w:val="en-GB"/>
        </w:rPr>
        <w:t>e shareholders’ competence to alter the course of bankruptcy (by submitting the conversion request</w:t>
      </w:r>
      <w:r w:rsidR="00ED2AAA">
        <w:rPr>
          <w:rFonts w:ascii="Arial" w:hAnsi="Arial" w:cs="Arial"/>
          <w:color w:val="7B7B7B" w:themeColor="accent3" w:themeShade="BF"/>
          <w:sz w:val="22"/>
          <w:szCs w:val="22"/>
          <w:lang w:val="en-GB"/>
        </w:rPr>
        <w:t xml:space="preserve"> under Article 70 of the China Enterprise Bankruptcy Law of 2006)</w:t>
      </w:r>
      <w:r>
        <w:rPr>
          <w:rFonts w:ascii="Arial" w:hAnsi="Arial" w:cs="Arial"/>
          <w:color w:val="7B7B7B" w:themeColor="accent3" w:themeShade="BF"/>
          <w:sz w:val="22"/>
          <w:szCs w:val="22"/>
          <w:lang w:val="en-GB"/>
        </w:rPr>
        <w:t xml:space="preserve"> </w:t>
      </w:r>
      <w:r w:rsidR="00ED2AAA">
        <w:rPr>
          <w:rFonts w:ascii="Arial" w:hAnsi="Arial" w:cs="Arial"/>
          <w:color w:val="7B7B7B" w:themeColor="accent3" w:themeShade="BF"/>
          <w:sz w:val="22"/>
          <w:szCs w:val="22"/>
          <w:lang w:val="en-GB"/>
        </w:rPr>
        <w:t xml:space="preserve">has come in for criticism and will continue to do so. Either way, </w:t>
      </w:r>
      <w:r w:rsidR="00ED2AAA">
        <w:rPr>
          <w:rFonts w:ascii="Arial" w:hAnsi="Arial" w:cs="Arial"/>
          <w:color w:val="7B7B7B" w:themeColor="accent3" w:themeShade="BF"/>
          <w:sz w:val="22"/>
          <w:szCs w:val="22"/>
          <w:lang w:val="en-GB"/>
        </w:rPr>
        <w:t>there are</w:t>
      </w:r>
      <w:r w:rsidR="00ED2AAA">
        <w:rPr>
          <w:rFonts w:ascii="Arial" w:hAnsi="Arial" w:cs="Arial"/>
          <w:color w:val="7B7B7B" w:themeColor="accent3" w:themeShade="BF"/>
          <w:sz w:val="22"/>
          <w:szCs w:val="22"/>
          <w:lang w:val="en-GB"/>
        </w:rPr>
        <w:t xml:space="preserve"> also</w:t>
      </w:r>
      <w:r w:rsidR="00ED2AAA">
        <w:rPr>
          <w:rFonts w:ascii="Arial" w:hAnsi="Arial" w:cs="Arial"/>
          <w:color w:val="7B7B7B" w:themeColor="accent3" w:themeShade="BF"/>
          <w:sz w:val="22"/>
          <w:szCs w:val="22"/>
          <w:lang w:val="en-GB"/>
        </w:rPr>
        <w:t xml:space="preserve"> only a few cases in practice in which the court decided to convert the </w:t>
      </w:r>
      <w:r w:rsidR="00ED2AAA">
        <w:rPr>
          <w:rFonts w:ascii="Arial" w:hAnsi="Arial" w:cs="Arial"/>
          <w:color w:val="7B7B7B" w:themeColor="accent3" w:themeShade="BF"/>
          <w:sz w:val="22"/>
          <w:szCs w:val="22"/>
          <w:lang w:val="en-GB"/>
        </w:rPr>
        <w:t>existing</w:t>
      </w:r>
      <w:r w:rsidR="00ED2AAA">
        <w:rPr>
          <w:rFonts w:ascii="Arial" w:hAnsi="Arial" w:cs="Arial"/>
          <w:color w:val="7B7B7B" w:themeColor="accent3" w:themeShade="BF"/>
          <w:sz w:val="22"/>
          <w:szCs w:val="22"/>
          <w:lang w:val="en-GB"/>
        </w:rPr>
        <w:t xml:space="preserve"> liquidation into a reorganisation procedure</w:t>
      </w:r>
      <w:r w:rsidR="00ED2AAA">
        <w:rPr>
          <w:rFonts w:ascii="Arial" w:hAnsi="Arial" w:cs="Arial"/>
          <w:color w:val="7B7B7B" w:themeColor="accent3" w:themeShade="BF"/>
          <w:sz w:val="22"/>
          <w:szCs w:val="22"/>
          <w:lang w:val="en-GB"/>
        </w:rPr>
        <w:t>.</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w:t>
      </w:r>
      <w:proofErr w:type="gramStart"/>
      <w:r w:rsidR="005D4974" w:rsidRPr="002E0E77">
        <w:rPr>
          <w:rFonts w:ascii="Arial" w:hAnsi="Arial" w:cs="Arial"/>
          <w:bCs/>
          <w:sz w:val="22"/>
          <w:szCs w:val="22"/>
          <w:lang w:val="en-GB"/>
        </w:rPr>
        <w:t>Yangtze</w:t>
      </w:r>
      <w:proofErr w:type="gramEnd"/>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proofErr w:type="gramStart"/>
      <w:r w:rsidR="00975E22" w:rsidRPr="002E0E77">
        <w:rPr>
          <w:rFonts w:ascii="Arial" w:hAnsi="Arial" w:cs="Arial"/>
          <w:sz w:val="22"/>
          <w:szCs w:val="22"/>
          <w:lang w:val="en-GB"/>
        </w:rPr>
        <w:t>Due to the fact that</w:t>
      </w:r>
      <w:proofErr w:type="gramEnd"/>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proofErr w:type="gramStart"/>
      <w:r w:rsidR="005D4974" w:rsidRPr="002E0E77">
        <w:rPr>
          <w:rFonts w:ascii="Arial" w:hAnsi="Arial" w:cs="Arial"/>
          <w:sz w:val="22"/>
          <w:szCs w:val="22"/>
          <w:lang w:val="en-GB"/>
        </w:rPr>
        <w:t>Yangtze</w:t>
      </w:r>
      <w:proofErr w:type="gramEnd"/>
      <w:r w:rsidR="005D4974" w:rsidRPr="002E0E77">
        <w:rPr>
          <w:rFonts w:ascii="Arial" w:hAnsi="Arial" w:cs="Arial"/>
          <w:sz w:val="22"/>
          <w:szCs w:val="22"/>
          <w:lang w:val="en-GB"/>
        </w:rPr>
        <w:t xml:space="preserv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w:t>
      </w:r>
      <w:r w:rsidR="008D6C37" w:rsidRPr="002E0E77">
        <w:rPr>
          <w:rFonts w:ascii="Arial" w:hAnsi="Arial" w:cs="Arial"/>
          <w:sz w:val="22"/>
          <w:szCs w:val="22"/>
          <w:lang w:val="en-GB"/>
        </w:rPr>
        <w:lastRenderedPageBreak/>
        <w:t xml:space="preserve">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1"/>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6A2DCD22" w14:textId="0BD71A91" w:rsidR="00165E58" w:rsidRDefault="00E92E7A" w:rsidP="00165E5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85 of the China Enterprise Bankruptcy Law of 2006, all reorganisation plans should also </w:t>
      </w:r>
      <w:r w:rsidR="00165E58">
        <w:rPr>
          <w:rFonts w:ascii="Arial" w:hAnsi="Arial" w:cs="Arial"/>
          <w:color w:val="7B7B7B" w:themeColor="accent3" w:themeShade="BF"/>
          <w:sz w:val="22"/>
          <w:szCs w:val="22"/>
          <w:lang w:val="en-GB"/>
        </w:rPr>
        <w:t>be voted on by</w:t>
      </w:r>
      <w:r>
        <w:rPr>
          <w:rFonts w:ascii="Arial" w:hAnsi="Arial" w:cs="Arial"/>
          <w:color w:val="7B7B7B" w:themeColor="accent3" w:themeShade="BF"/>
          <w:sz w:val="22"/>
          <w:szCs w:val="22"/>
          <w:lang w:val="en-GB"/>
        </w:rPr>
        <w:t xml:space="preserve"> the shareholders in cases where the debtor’s equity is affected, adjusted or cancelled by the reorganisation plan.</w:t>
      </w:r>
      <w:r w:rsidR="00165E58">
        <w:rPr>
          <w:rFonts w:ascii="Arial" w:hAnsi="Arial" w:cs="Arial"/>
          <w:color w:val="7B7B7B" w:themeColor="accent3" w:themeShade="BF"/>
          <w:sz w:val="22"/>
          <w:szCs w:val="22"/>
          <w:lang w:val="en-GB"/>
        </w:rPr>
        <w:t xml:space="preserve"> </w:t>
      </w:r>
    </w:p>
    <w:p w14:paraId="3F6EBEF6" w14:textId="77777777" w:rsidR="00165E58" w:rsidRDefault="00165E58" w:rsidP="00165E58">
      <w:pPr>
        <w:ind w:left="720"/>
        <w:jc w:val="both"/>
        <w:rPr>
          <w:rFonts w:ascii="Arial" w:hAnsi="Arial" w:cs="Arial"/>
          <w:color w:val="7B7B7B" w:themeColor="accent3" w:themeShade="BF"/>
          <w:sz w:val="22"/>
          <w:szCs w:val="22"/>
          <w:lang w:val="en-GB"/>
        </w:rPr>
      </w:pPr>
    </w:p>
    <w:p w14:paraId="10A518A6" w14:textId="3EB26488" w:rsidR="00165E58" w:rsidRDefault="00E92E7A" w:rsidP="00165E5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approval of the reorganisation plan does not end after being voted down by the shareholders and approved by all the classes of creditors, as it must ultimately be confirmed by </w:t>
      </w:r>
      <w:r w:rsidR="00165E58" w:rsidRPr="00165E58">
        <w:rPr>
          <w:rFonts w:ascii="Arial" w:hAnsi="Arial" w:cs="Arial"/>
          <w:color w:val="7B7B7B" w:themeColor="accent3" w:themeShade="BF"/>
          <w:sz w:val="22"/>
          <w:szCs w:val="22"/>
          <w:lang w:val="en-GB"/>
        </w:rPr>
        <w:t>the Shanghai Second Intermediate Court</w:t>
      </w:r>
      <w:r w:rsidR="00165E58" w:rsidRPr="00165E5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before taking effect. </w:t>
      </w:r>
    </w:p>
    <w:p w14:paraId="6942BA95" w14:textId="77777777" w:rsidR="00165E58" w:rsidRDefault="00165E58" w:rsidP="00E92E7A">
      <w:pPr>
        <w:ind w:left="720"/>
        <w:jc w:val="both"/>
        <w:rPr>
          <w:rFonts w:ascii="Arial" w:hAnsi="Arial" w:cs="Arial"/>
          <w:color w:val="7B7B7B" w:themeColor="accent3" w:themeShade="BF"/>
          <w:sz w:val="22"/>
          <w:szCs w:val="22"/>
          <w:lang w:val="en-GB"/>
        </w:rPr>
      </w:pPr>
    </w:p>
    <w:p w14:paraId="3B141DAC" w14:textId="5C1D810C" w:rsidR="00165E58" w:rsidRDefault="00165E58" w:rsidP="00E92E7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pursuant to Article 87 of the China Enterprise Bankruptcy Law of 2006, the </w:t>
      </w:r>
      <w:r>
        <w:rPr>
          <w:rFonts w:ascii="Arial" w:hAnsi="Arial" w:cs="Arial"/>
          <w:color w:val="7B7B7B" w:themeColor="accent3" w:themeShade="BF"/>
          <w:sz w:val="22"/>
          <w:szCs w:val="22"/>
          <w:lang w:val="en-GB"/>
        </w:rPr>
        <w:t>Shanghai Second Intermediate Court</w:t>
      </w:r>
      <w:r>
        <w:rPr>
          <w:rFonts w:ascii="Arial" w:hAnsi="Arial" w:cs="Arial"/>
          <w:color w:val="7B7B7B" w:themeColor="accent3" w:themeShade="BF"/>
          <w:sz w:val="22"/>
          <w:szCs w:val="22"/>
          <w:lang w:val="en-GB"/>
        </w:rPr>
        <w:t xml:space="preserve"> may cram-down the reorganisation plan that has been voted down by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and the other shareholders of </w:t>
      </w:r>
      <w:proofErr w:type="gramStart"/>
      <w:r w:rsidRPr="00165E58">
        <w:rPr>
          <w:rFonts w:ascii="Arial" w:hAnsi="Arial" w:cs="Arial"/>
          <w:color w:val="7B7B7B" w:themeColor="accent3" w:themeShade="BF"/>
          <w:sz w:val="22"/>
          <w:szCs w:val="22"/>
          <w:lang w:val="en-GB"/>
        </w:rPr>
        <w:t>Yangtze</w:t>
      </w:r>
      <w:proofErr w:type="gramEnd"/>
      <w:r w:rsidRPr="00165E58">
        <w:rPr>
          <w:rFonts w:ascii="Arial" w:hAnsi="Arial" w:cs="Arial"/>
          <w:color w:val="7B7B7B" w:themeColor="accent3" w:themeShade="BF"/>
          <w:sz w:val="22"/>
          <w:szCs w:val="22"/>
          <w:lang w:val="en-GB"/>
        </w:rPr>
        <w:t xml:space="preserve"> Steel Limited</w:t>
      </w:r>
      <w:r>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Shanghai Second Intermediate Court</w:t>
      </w:r>
      <w:r>
        <w:rPr>
          <w:rFonts w:ascii="Arial" w:hAnsi="Arial" w:cs="Arial"/>
          <w:color w:val="7B7B7B" w:themeColor="accent3" w:themeShade="BF"/>
          <w:sz w:val="22"/>
          <w:szCs w:val="22"/>
          <w:lang w:val="en-GB"/>
        </w:rPr>
        <w:t xml:space="preserve"> will then not only have to assess the reorganisation plan for its procedural legality, but it must also check whether the reorganisation plan meets the statutory provisions of Article 87.</w:t>
      </w:r>
    </w:p>
    <w:p w14:paraId="1085C450" w14:textId="77777777" w:rsidR="00165E58" w:rsidRDefault="00165E58" w:rsidP="00E92E7A">
      <w:pPr>
        <w:ind w:left="720"/>
        <w:jc w:val="both"/>
        <w:rPr>
          <w:rFonts w:ascii="Arial" w:hAnsi="Arial" w:cs="Arial"/>
          <w:color w:val="7B7B7B" w:themeColor="accent3" w:themeShade="BF"/>
          <w:sz w:val="22"/>
          <w:szCs w:val="22"/>
          <w:lang w:val="en-GB"/>
        </w:rPr>
      </w:pPr>
    </w:p>
    <w:p w14:paraId="4E5F32EE" w14:textId="255499A6" w:rsidR="00E92E7A" w:rsidRDefault="000257E2" w:rsidP="000257E2">
      <w:pPr>
        <w:ind w:left="72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the</w:t>
      </w:r>
      <w:r w:rsidR="00165E58">
        <w:rPr>
          <w:rFonts w:ascii="Arial" w:hAnsi="Arial" w:cs="Arial"/>
          <w:color w:val="7B7B7B" w:themeColor="accent3" w:themeShade="BF"/>
          <w:sz w:val="22"/>
          <w:szCs w:val="22"/>
          <w:lang w:val="en-GB"/>
        </w:rPr>
        <w:t xml:space="preserve"> reorganisation plan has been approved by </w:t>
      </w:r>
      <w:r w:rsidR="00165E58" w:rsidRPr="000257E2">
        <w:rPr>
          <w:rFonts w:ascii="Arial" w:hAnsi="Arial" w:cs="Arial"/>
          <w:i/>
          <w:iCs/>
          <w:color w:val="7B7B7B" w:themeColor="accent3" w:themeShade="BF"/>
          <w:sz w:val="22"/>
          <w:szCs w:val="22"/>
          <w:lang w:val="en-GB"/>
        </w:rPr>
        <w:t>all</w:t>
      </w:r>
      <w:r w:rsidR="00165E58">
        <w:rPr>
          <w:rFonts w:ascii="Arial" w:hAnsi="Arial" w:cs="Arial"/>
          <w:color w:val="7B7B7B" w:themeColor="accent3" w:themeShade="BF"/>
          <w:sz w:val="22"/>
          <w:szCs w:val="22"/>
          <w:lang w:val="en-GB"/>
        </w:rPr>
        <w:t xml:space="preserve"> the classes of creditors</w:t>
      </w:r>
      <w:r>
        <w:rPr>
          <w:rFonts w:ascii="Arial" w:hAnsi="Arial" w:cs="Arial"/>
          <w:color w:val="7B7B7B" w:themeColor="accent3" w:themeShade="BF"/>
          <w:sz w:val="22"/>
          <w:szCs w:val="22"/>
          <w:lang w:val="en-GB"/>
        </w:rPr>
        <w:t xml:space="preserve"> and does meet the conditions that (</w:t>
      </w:r>
      <w:proofErr w:type="spellStart"/>
      <w:r w:rsidR="006060E5">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secured creditors have adopted the reorganisation plan (if not, they must be paid in full </w:t>
      </w:r>
      <w:r w:rsidRPr="000257E2">
        <w:rPr>
          <w:rFonts w:ascii="Arial" w:hAnsi="Arial" w:cs="Arial"/>
          <w:color w:val="7B7B7B" w:themeColor="accent3" w:themeShade="BF"/>
          <w:sz w:val="22"/>
          <w:szCs w:val="22"/>
          <w:lang w:val="en-GB"/>
        </w:rPr>
        <w:t>as far as the specific</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property is concerned, the losses caused by postponed payment will be compensated for in a</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fair manner, and the secured interests will not be substantially impaired</w:t>
      </w:r>
      <w:r>
        <w:rPr>
          <w:rFonts w:ascii="Arial" w:hAnsi="Arial" w:cs="Arial"/>
          <w:color w:val="7B7B7B" w:themeColor="accent3" w:themeShade="BF"/>
          <w:sz w:val="22"/>
          <w:szCs w:val="22"/>
          <w:lang w:val="en-GB"/>
        </w:rPr>
        <w:t>)</w:t>
      </w:r>
      <w:r w:rsidR="006060E5">
        <w:rPr>
          <w:rFonts w:ascii="Arial" w:hAnsi="Arial" w:cs="Arial"/>
          <w:color w:val="7B7B7B" w:themeColor="accent3" w:themeShade="BF"/>
          <w:sz w:val="22"/>
          <w:szCs w:val="22"/>
          <w:lang w:val="en-GB"/>
        </w:rPr>
        <w:t xml:space="preserve"> (1</w:t>
      </w:r>
      <w:r w:rsidR="006060E5" w:rsidRPr="006060E5">
        <w:rPr>
          <w:rFonts w:ascii="Arial" w:hAnsi="Arial" w:cs="Arial"/>
          <w:color w:val="7B7B7B" w:themeColor="accent3" w:themeShade="BF"/>
          <w:sz w:val="22"/>
          <w:szCs w:val="22"/>
          <w:vertAlign w:val="superscript"/>
          <w:lang w:val="en-GB"/>
        </w:rPr>
        <w:t>st</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 (</w:t>
      </w:r>
      <w:r w:rsidR="006060E5">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 both the employees and the tax authorities have adopted the reorganisation play (if not, they must be paid in full)</w:t>
      </w:r>
      <w:r w:rsidR="006060E5">
        <w:rPr>
          <w:rFonts w:ascii="Arial" w:hAnsi="Arial" w:cs="Arial"/>
          <w:color w:val="7B7B7B" w:themeColor="accent3" w:themeShade="BF"/>
          <w:sz w:val="22"/>
          <w:szCs w:val="22"/>
          <w:lang w:val="en-GB"/>
        </w:rPr>
        <w:t xml:space="preserve"> (2</w:t>
      </w:r>
      <w:r w:rsidR="006060E5" w:rsidRPr="006060E5">
        <w:rPr>
          <w:rFonts w:ascii="Arial" w:hAnsi="Arial" w:cs="Arial"/>
          <w:color w:val="7B7B7B" w:themeColor="accent3" w:themeShade="BF"/>
          <w:sz w:val="22"/>
          <w:szCs w:val="22"/>
          <w:vertAlign w:val="superscript"/>
          <w:lang w:val="en-GB"/>
        </w:rPr>
        <w:t>nd</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 xml:space="preserve"> and </w:t>
      </w:r>
      <w:r w:rsidR="006060E5">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 xml:space="preserve">) the ordinary unsecured creditors have adopted the reorganisation plan (if not, </w:t>
      </w:r>
      <w:r w:rsidRPr="000257E2">
        <w:rPr>
          <w:rFonts w:ascii="Arial" w:hAnsi="Arial" w:cs="Arial"/>
          <w:color w:val="7B7B7B" w:themeColor="accent3" w:themeShade="BF"/>
          <w:sz w:val="22"/>
          <w:szCs w:val="22"/>
          <w:lang w:val="en-GB"/>
        </w:rPr>
        <w:t>the proportion for repayment of the</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common claims will not be lower than that as allotted under the procedures for bankruptcy</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liquidation at the time when the draft plan is submitted for approval</w:t>
      </w:r>
      <w:r>
        <w:rPr>
          <w:rFonts w:ascii="Arial" w:hAnsi="Arial" w:cs="Arial"/>
          <w:color w:val="7B7B7B" w:themeColor="accent3" w:themeShade="BF"/>
          <w:sz w:val="22"/>
          <w:szCs w:val="22"/>
          <w:lang w:val="en-GB"/>
        </w:rPr>
        <w:t>)</w:t>
      </w:r>
      <w:r w:rsidR="006060E5">
        <w:rPr>
          <w:rFonts w:ascii="Arial" w:hAnsi="Arial" w:cs="Arial"/>
          <w:color w:val="7B7B7B" w:themeColor="accent3" w:themeShade="BF"/>
          <w:sz w:val="22"/>
          <w:szCs w:val="22"/>
          <w:lang w:val="en-GB"/>
        </w:rPr>
        <w:t xml:space="preserve"> (3</w:t>
      </w:r>
      <w:r w:rsidR="006060E5" w:rsidRPr="006060E5">
        <w:rPr>
          <w:rFonts w:ascii="Arial" w:hAnsi="Arial" w:cs="Arial"/>
          <w:color w:val="7B7B7B" w:themeColor="accent3" w:themeShade="BF"/>
          <w:sz w:val="22"/>
          <w:szCs w:val="22"/>
          <w:vertAlign w:val="superscript"/>
          <w:lang w:val="en-GB"/>
        </w:rPr>
        <w:t>rd</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w:t>
      </w:r>
    </w:p>
    <w:p w14:paraId="35223B18" w14:textId="7D41E719" w:rsidR="000257E2" w:rsidRDefault="000257E2" w:rsidP="000257E2">
      <w:pPr>
        <w:ind w:left="720"/>
        <w:jc w:val="both"/>
        <w:rPr>
          <w:rFonts w:ascii="Arial" w:hAnsi="Arial" w:cs="Arial"/>
          <w:color w:val="7B7B7B" w:themeColor="accent3" w:themeShade="BF"/>
          <w:sz w:val="22"/>
          <w:szCs w:val="22"/>
          <w:lang w:val="en-GB"/>
        </w:rPr>
      </w:pPr>
    </w:p>
    <w:p w14:paraId="644BB30D" w14:textId="3D86EA83" w:rsidR="000257E2" w:rsidRDefault="000257E2" w:rsidP="000257E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reorganisation plan </w:t>
      </w:r>
      <w:r w:rsidR="0051743A">
        <w:rPr>
          <w:rFonts w:ascii="Arial" w:hAnsi="Arial" w:cs="Arial"/>
          <w:color w:val="7B7B7B" w:themeColor="accent3" w:themeShade="BF"/>
          <w:sz w:val="22"/>
          <w:szCs w:val="22"/>
          <w:lang w:val="en-GB"/>
        </w:rPr>
        <w:t xml:space="preserve">affects the equity of </w:t>
      </w:r>
      <w:proofErr w:type="gramStart"/>
      <w:r w:rsidR="0051743A">
        <w:rPr>
          <w:rFonts w:ascii="Arial" w:hAnsi="Arial" w:cs="Arial"/>
          <w:color w:val="7B7B7B" w:themeColor="accent3" w:themeShade="BF"/>
          <w:sz w:val="22"/>
          <w:szCs w:val="22"/>
          <w:lang w:val="en-GB"/>
        </w:rPr>
        <w:t>Yangtze</w:t>
      </w:r>
      <w:proofErr w:type="gramEnd"/>
      <w:r w:rsidR="0051743A">
        <w:rPr>
          <w:rFonts w:ascii="Arial" w:hAnsi="Arial" w:cs="Arial"/>
          <w:color w:val="7B7B7B" w:themeColor="accent3" w:themeShade="BF"/>
          <w:sz w:val="22"/>
          <w:szCs w:val="22"/>
          <w:lang w:val="en-GB"/>
        </w:rPr>
        <w:t xml:space="preserve"> Steel Limited (the plan proposes to cancel the </w:t>
      </w:r>
      <w:r w:rsidR="0051743A" w:rsidRPr="0051743A">
        <w:rPr>
          <w:rFonts w:ascii="Arial" w:hAnsi="Arial" w:cs="Arial"/>
          <w:color w:val="7B7B7B" w:themeColor="accent3" w:themeShade="BF"/>
          <w:sz w:val="22"/>
          <w:szCs w:val="22"/>
          <w:lang w:val="en-GB"/>
        </w:rPr>
        <w:t>shares of all previous shareholders</w:t>
      </w:r>
      <w:r w:rsidR="0051743A">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has not been adopted by the shareholders </w:t>
      </w:r>
      <w:r>
        <w:rPr>
          <w:rFonts w:ascii="Arial" w:hAnsi="Arial" w:cs="Arial"/>
          <w:color w:val="7B7B7B" w:themeColor="accent3" w:themeShade="BF"/>
          <w:sz w:val="22"/>
          <w:szCs w:val="22"/>
          <w:lang w:val="en-GB"/>
        </w:rPr>
        <w:t xml:space="preserve">of </w:t>
      </w:r>
      <w:r w:rsidRPr="00165E58">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Shanghai Second Intermediate Court</w:t>
      </w:r>
      <w:r>
        <w:rPr>
          <w:rFonts w:ascii="Arial" w:hAnsi="Arial" w:cs="Arial"/>
          <w:color w:val="7B7B7B" w:themeColor="accent3" w:themeShade="BF"/>
          <w:sz w:val="22"/>
          <w:szCs w:val="22"/>
          <w:lang w:val="en-GB"/>
        </w:rPr>
        <w:t xml:space="preserve"> must check whether the rights and interests of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and the other shareholders of </w:t>
      </w:r>
      <w:r w:rsidRPr="00165E58">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xml:space="preserve"> are </w:t>
      </w:r>
      <w:r w:rsidR="0051743A">
        <w:rPr>
          <w:rFonts w:ascii="Arial" w:hAnsi="Arial" w:cs="Arial"/>
          <w:color w:val="7B7B7B" w:themeColor="accent3" w:themeShade="BF"/>
          <w:sz w:val="22"/>
          <w:szCs w:val="22"/>
          <w:lang w:val="en-GB"/>
        </w:rPr>
        <w:t>adjusted fair and equitable</w:t>
      </w:r>
      <w:r w:rsidR="006060E5">
        <w:rPr>
          <w:rFonts w:ascii="Arial" w:hAnsi="Arial" w:cs="Arial"/>
          <w:color w:val="7B7B7B" w:themeColor="accent3" w:themeShade="BF"/>
          <w:sz w:val="22"/>
          <w:szCs w:val="22"/>
          <w:lang w:val="en-GB"/>
        </w:rPr>
        <w:t xml:space="preserve"> (4</w:t>
      </w:r>
      <w:r w:rsidR="006060E5" w:rsidRPr="006060E5">
        <w:rPr>
          <w:rFonts w:ascii="Arial" w:hAnsi="Arial" w:cs="Arial"/>
          <w:color w:val="7B7B7B" w:themeColor="accent3" w:themeShade="BF"/>
          <w:sz w:val="22"/>
          <w:szCs w:val="22"/>
          <w:vertAlign w:val="superscript"/>
          <w:lang w:val="en-GB"/>
        </w:rPr>
        <w:t>th</w:t>
      </w:r>
      <w:r w:rsidR="006060E5">
        <w:rPr>
          <w:rFonts w:ascii="Arial" w:hAnsi="Arial" w:cs="Arial"/>
          <w:color w:val="7B7B7B" w:themeColor="accent3" w:themeShade="BF"/>
          <w:sz w:val="22"/>
          <w:szCs w:val="22"/>
          <w:lang w:val="en-GB"/>
        </w:rPr>
        <w:t xml:space="preserve"> condition)</w:t>
      </w:r>
      <w:r w:rsidR="0051743A">
        <w:rPr>
          <w:rFonts w:ascii="Arial" w:hAnsi="Arial" w:cs="Arial"/>
          <w:color w:val="7B7B7B" w:themeColor="accent3" w:themeShade="BF"/>
          <w:sz w:val="22"/>
          <w:szCs w:val="22"/>
          <w:lang w:val="en-GB"/>
        </w:rPr>
        <w:t>.</w:t>
      </w:r>
    </w:p>
    <w:p w14:paraId="54212447" w14:textId="1679989A" w:rsidR="0051743A" w:rsidRDefault="0051743A" w:rsidP="000257E2">
      <w:pPr>
        <w:ind w:left="720"/>
        <w:jc w:val="both"/>
        <w:rPr>
          <w:rFonts w:ascii="Arial" w:hAnsi="Arial" w:cs="Arial"/>
          <w:color w:val="7B7B7B" w:themeColor="accent3" w:themeShade="BF"/>
          <w:sz w:val="22"/>
          <w:szCs w:val="22"/>
          <w:lang w:val="en-GB"/>
        </w:rPr>
      </w:pPr>
    </w:p>
    <w:p w14:paraId="09E0EC6C" w14:textId="48E234B7" w:rsidR="006060E5" w:rsidRDefault="0051743A" w:rsidP="000257E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And, lastly, </w:t>
      </w:r>
      <w:r>
        <w:rPr>
          <w:rFonts w:ascii="Arial" w:hAnsi="Arial" w:cs="Arial"/>
          <w:color w:val="7B7B7B" w:themeColor="accent3" w:themeShade="BF"/>
          <w:sz w:val="22"/>
          <w:szCs w:val="22"/>
          <w:lang w:val="en-GB"/>
        </w:rPr>
        <w:t xml:space="preserve">the Shanghai Second Intermediate Court must </w:t>
      </w:r>
      <w:r>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check</w:t>
      </w:r>
      <w:r>
        <w:rPr>
          <w:rFonts w:ascii="Arial" w:hAnsi="Arial" w:cs="Arial"/>
          <w:color w:val="7B7B7B" w:themeColor="accent3" w:themeShade="BF"/>
          <w:sz w:val="22"/>
          <w:szCs w:val="22"/>
          <w:lang w:val="en-GB"/>
        </w:rPr>
        <w:t xml:space="preserve"> (</w:t>
      </w:r>
      <w:proofErr w:type="spellStart"/>
      <w:r w:rsidR="006060E5">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sidR="006060E5">
        <w:rPr>
          <w:rFonts w:ascii="Arial" w:hAnsi="Arial" w:cs="Arial"/>
          <w:color w:val="7B7B7B" w:themeColor="accent3" w:themeShade="BF"/>
          <w:sz w:val="22"/>
          <w:szCs w:val="22"/>
          <w:lang w:val="en-GB"/>
        </w:rPr>
        <w:t xml:space="preserve"> </w:t>
      </w:r>
      <w:r w:rsidR="006060E5">
        <w:rPr>
          <w:rFonts w:ascii="Arial" w:hAnsi="Arial" w:cs="Arial"/>
          <w:color w:val="7B7B7B" w:themeColor="accent3" w:themeShade="BF"/>
          <w:sz w:val="22"/>
          <w:szCs w:val="22"/>
          <w:lang w:val="en-GB"/>
        </w:rPr>
        <w:t>whether</w:t>
      </w:r>
      <w:r>
        <w:rPr>
          <w:rFonts w:ascii="Arial" w:hAnsi="Arial" w:cs="Arial"/>
          <w:color w:val="7B7B7B" w:themeColor="accent3" w:themeShade="BF"/>
          <w:sz w:val="22"/>
          <w:szCs w:val="22"/>
          <w:lang w:val="en-GB"/>
        </w:rPr>
        <w:t xml:space="preserve"> the reorganisation plan treats the stakeholders in the same class fairly, and </w:t>
      </w:r>
      <w:r w:rsidRPr="0051743A">
        <w:rPr>
          <w:rFonts w:ascii="Arial" w:hAnsi="Arial" w:cs="Arial"/>
          <w:color w:val="7B7B7B" w:themeColor="accent3" w:themeShade="BF"/>
          <w:sz w:val="22"/>
          <w:szCs w:val="22"/>
          <w:lang w:val="en-GB"/>
        </w:rPr>
        <w:t>the order arranged therein for payment of the claims does not contravene</w:t>
      </w:r>
      <w:r>
        <w:rPr>
          <w:rFonts w:ascii="Arial" w:hAnsi="Arial" w:cs="Arial"/>
          <w:color w:val="7B7B7B" w:themeColor="accent3" w:themeShade="BF"/>
          <w:sz w:val="22"/>
          <w:szCs w:val="22"/>
          <w:lang w:val="en-GB"/>
        </w:rPr>
        <w:t xml:space="preserve"> the priority between shareholders and creditors</w:t>
      </w:r>
      <w:r w:rsidR="006060E5">
        <w:rPr>
          <w:rFonts w:ascii="Arial" w:hAnsi="Arial" w:cs="Arial"/>
          <w:color w:val="7B7B7B" w:themeColor="accent3" w:themeShade="BF"/>
          <w:sz w:val="22"/>
          <w:szCs w:val="22"/>
          <w:lang w:val="en-GB"/>
        </w:rPr>
        <w:t xml:space="preserve"> (5</w:t>
      </w:r>
      <w:r w:rsidR="006060E5" w:rsidRPr="006060E5">
        <w:rPr>
          <w:rFonts w:ascii="Arial" w:hAnsi="Arial" w:cs="Arial"/>
          <w:color w:val="7B7B7B" w:themeColor="accent3" w:themeShade="BF"/>
          <w:sz w:val="22"/>
          <w:szCs w:val="22"/>
          <w:vertAlign w:val="superscript"/>
          <w:lang w:val="en-GB"/>
        </w:rPr>
        <w:t>th</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 xml:space="preserve">, and (2) </w:t>
      </w:r>
      <w:r w:rsidR="006060E5">
        <w:rPr>
          <w:rFonts w:ascii="Arial" w:hAnsi="Arial" w:cs="Arial"/>
          <w:color w:val="7B7B7B" w:themeColor="accent3" w:themeShade="BF"/>
          <w:sz w:val="22"/>
          <w:szCs w:val="22"/>
          <w:lang w:val="en-GB"/>
        </w:rPr>
        <w:t>whether</w:t>
      </w:r>
      <w:r w:rsidR="006060E5">
        <w:rPr>
          <w:rFonts w:ascii="Arial" w:hAnsi="Arial" w:cs="Arial"/>
          <w:color w:val="7B7B7B" w:themeColor="accent3" w:themeShade="BF"/>
          <w:sz w:val="22"/>
          <w:szCs w:val="22"/>
          <w:lang w:val="en-GB"/>
        </w:rPr>
        <w:t xml:space="preserve"> the reorganisation plan is feasible (6</w:t>
      </w:r>
      <w:r w:rsidR="006060E5" w:rsidRPr="006060E5">
        <w:rPr>
          <w:rFonts w:ascii="Arial" w:hAnsi="Arial" w:cs="Arial"/>
          <w:color w:val="7B7B7B" w:themeColor="accent3" w:themeShade="BF"/>
          <w:sz w:val="22"/>
          <w:szCs w:val="22"/>
          <w:vertAlign w:val="superscript"/>
          <w:lang w:val="en-GB"/>
        </w:rPr>
        <w:t>th</w:t>
      </w:r>
      <w:r w:rsidR="006060E5">
        <w:rPr>
          <w:rFonts w:ascii="Arial" w:hAnsi="Arial" w:cs="Arial"/>
          <w:color w:val="7B7B7B" w:themeColor="accent3" w:themeShade="BF"/>
          <w:sz w:val="22"/>
          <w:szCs w:val="22"/>
          <w:lang w:val="en-GB"/>
        </w:rPr>
        <w:t xml:space="preserve"> condition).</w:t>
      </w:r>
    </w:p>
    <w:p w14:paraId="1FA61935" w14:textId="77777777" w:rsidR="006060E5" w:rsidRDefault="006060E5" w:rsidP="000257E2">
      <w:pPr>
        <w:ind w:left="720"/>
        <w:jc w:val="both"/>
        <w:rPr>
          <w:rFonts w:ascii="Arial" w:hAnsi="Arial" w:cs="Arial"/>
          <w:color w:val="7B7B7B" w:themeColor="accent3" w:themeShade="BF"/>
          <w:sz w:val="22"/>
          <w:szCs w:val="22"/>
          <w:lang w:val="en-GB"/>
        </w:rPr>
      </w:pPr>
    </w:p>
    <w:p w14:paraId="51E0197F" w14:textId="7E80CD03" w:rsidR="0051743A" w:rsidRPr="006060E5" w:rsidRDefault="006060E5" w:rsidP="000257E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the fact that the reorganisation plan has been voted down by all the shareholders of </w:t>
      </w:r>
      <w:proofErr w:type="gramStart"/>
      <w:r>
        <w:rPr>
          <w:rFonts w:ascii="Arial" w:hAnsi="Arial" w:cs="Arial"/>
          <w:color w:val="7B7B7B" w:themeColor="accent3" w:themeShade="BF"/>
          <w:sz w:val="22"/>
          <w:szCs w:val="22"/>
          <w:lang w:val="en-GB"/>
        </w:rPr>
        <w:t>Yangtze</w:t>
      </w:r>
      <w:proofErr w:type="gramEnd"/>
      <w:r>
        <w:rPr>
          <w:rFonts w:ascii="Arial" w:hAnsi="Arial" w:cs="Arial"/>
          <w:color w:val="7B7B7B" w:themeColor="accent3" w:themeShade="BF"/>
          <w:sz w:val="22"/>
          <w:szCs w:val="22"/>
          <w:lang w:val="en-GB"/>
        </w:rPr>
        <w:t xml:space="preserve"> Steel Limited</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Shanghai Second Intermediate Court</w:t>
      </w:r>
      <w:r>
        <w:rPr>
          <w:rFonts w:ascii="Arial" w:hAnsi="Arial" w:cs="Arial"/>
          <w:color w:val="7B7B7B" w:themeColor="accent3" w:themeShade="BF"/>
          <w:sz w:val="22"/>
          <w:szCs w:val="22"/>
          <w:lang w:val="en-GB"/>
        </w:rPr>
        <w:t xml:space="preserve"> may still confirm and forcibly approve the reorganisation plan if it m</w:t>
      </w:r>
      <w:r>
        <w:rPr>
          <w:rFonts w:ascii="Arial" w:hAnsi="Arial" w:cs="Arial"/>
          <w:color w:val="7B7B7B" w:themeColor="accent3" w:themeShade="BF"/>
          <w:sz w:val="22"/>
          <w:szCs w:val="22"/>
          <w:lang w:val="en-GB"/>
        </w:rPr>
        <w:t>eets all the aforementioned six conditions</w:t>
      </w:r>
      <w:r>
        <w:rPr>
          <w:rFonts w:ascii="Arial" w:hAnsi="Arial" w:cs="Arial"/>
          <w:color w:val="7B7B7B" w:themeColor="accent3" w:themeShade="BF"/>
          <w:sz w:val="22"/>
          <w:szCs w:val="22"/>
          <w:lang w:val="en-GB"/>
        </w:rPr>
        <w:t>, making it binding on all consenting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all creditors) and dissenting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all shareholders) stakeholders of </w:t>
      </w:r>
      <w:r w:rsidRPr="00165E58">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w:t>
      </w: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39C4" w14:textId="77777777" w:rsidR="00FF33F0" w:rsidRDefault="00FF33F0" w:rsidP="00241B44">
      <w:r>
        <w:separator/>
      </w:r>
    </w:p>
  </w:endnote>
  <w:endnote w:type="continuationSeparator" w:id="0">
    <w:p w14:paraId="52AE7ECB" w14:textId="77777777" w:rsidR="00FF33F0" w:rsidRDefault="00FF33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b/>
      </w:rPr>
      <w:id w:val="-758512077"/>
      <w:docPartObj>
        <w:docPartGallery w:val="Page Numbers (Bottom of Page)"/>
        <w:docPartUnique/>
      </w:docPartObj>
    </w:sdtPr>
    <w:sdtEndPr>
      <w:rPr>
        <w:rStyle w:val="Paginanummer"/>
        <w:b w:val="0"/>
        <w:sz w:val="22"/>
        <w:szCs w:val="22"/>
      </w:rPr>
    </w:sdtEndPr>
    <w:sdtContent>
      <w:p w14:paraId="5BBCC268" w14:textId="77777777" w:rsidR="00E450A4" w:rsidRPr="00FC7B47" w:rsidRDefault="00E450A4" w:rsidP="009B4976">
        <w:pPr>
          <w:pStyle w:val="Voettekst"/>
          <w:framePr w:wrap="none" w:vAnchor="text" w:hAnchor="margin" w:xAlign="right" w:y="1"/>
          <w:rPr>
            <w:rStyle w:val="Paginanummer"/>
            <w:rFonts w:ascii="Arial" w:hAnsi="Arial" w:cs="Arial"/>
            <w:sz w:val="22"/>
            <w:szCs w:val="22"/>
          </w:rPr>
        </w:pPr>
        <w:r w:rsidRPr="00697EA1">
          <w:rPr>
            <w:rStyle w:val="Paginanummer"/>
            <w:rFonts w:ascii="Arial" w:hAnsi="Arial" w:cs="Arial"/>
            <w:b/>
          </w:rPr>
          <w:t xml:space="preserve">Page </w:t>
        </w:r>
        <w:r w:rsidRPr="00697EA1">
          <w:rPr>
            <w:rStyle w:val="Paginanummer"/>
            <w:rFonts w:ascii="Arial" w:hAnsi="Arial" w:cs="Arial"/>
            <w:b/>
            <w:sz w:val="22"/>
            <w:szCs w:val="22"/>
          </w:rPr>
          <w:fldChar w:fldCharType="begin"/>
        </w:r>
        <w:r w:rsidRPr="00697EA1">
          <w:rPr>
            <w:rStyle w:val="Paginanummer"/>
            <w:rFonts w:ascii="Arial" w:hAnsi="Arial" w:cs="Arial"/>
            <w:b/>
            <w:sz w:val="22"/>
            <w:szCs w:val="22"/>
          </w:rPr>
          <w:instrText xml:space="preserve"> PAGE </w:instrText>
        </w:r>
        <w:r w:rsidRPr="00697EA1">
          <w:rPr>
            <w:rStyle w:val="Paginanummer"/>
            <w:rFonts w:ascii="Arial" w:hAnsi="Arial" w:cs="Arial"/>
            <w:b/>
            <w:sz w:val="22"/>
            <w:szCs w:val="22"/>
          </w:rPr>
          <w:fldChar w:fldCharType="separate"/>
        </w:r>
        <w:r>
          <w:rPr>
            <w:rStyle w:val="Paginanummer"/>
            <w:rFonts w:ascii="Arial" w:hAnsi="Arial" w:cs="Arial"/>
            <w:b/>
            <w:noProof/>
            <w:sz w:val="22"/>
            <w:szCs w:val="22"/>
          </w:rPr>
          <w:t>10</w:t>
        </w:r>
        <w:r w:rsidRPr="00697EA1">
          <w:rPr>
            <w:rStyle w:val="Paginanummer"/>
            <w:rFonts w:ascii="Arial" w:hAnsi="Arial" w:cs="Arial"/>
            <w:b/>
            <w:sz w:val="22"/>
            <w:szCs w:val="22"/>
          </w:rPr>
          <w:fldChar w:fldCharType="end"/>
        </w:r>
      </w:p>
    </w:sdtContent>
  </w:sdt>
  <w:p w14:paraId="737AF335" w14:textId="77777777" w:rsidR="00E450A4" w:rsidRPr="00FC7B47" w:rsidRDefault="00445CE6" w:rsidP="00FC7B47">
    <w:pPr>
      <w:pStyle w:val="Voettekst"/>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b/>
        <w:bCs/>
        <w:sz w:val="18"/>
        <w:szCs w:val="18"/>
      </w:rPr>
      <w:id w:val="-1409602822"/>
      <w:docPartObj>
        <w:docPartGallery w:val="Page Numbers (Bottom of Page)"/>
        <w:docPartUnique/>
      </w:docPartObj>
    </w:sdtPr>
    <w:sdtEndPr>
      <w:rPr>
        <w:rStyle w:val="Paginanummer"/>
        <w:b w:val="0"/>
        <w:bCs w:val="0"/>
      </w:rPr>
    </w:sdtEndPr>
    <w:sdtContent>
      <w:p w14:paraId="4BA64FDE" w14:textId="77777777" w:rsidR="009B4976" w:rsidRPr="009B4976" w:rsidRDefault="009B4976" w:rsidP="00E23A7A">
        <w:pPr>
          <w:pStyle w:val="Voettekst"/>
          <w:framePr w:wrap="none" w:vAnchor="text" w:hAnchor="margin" w:xAlign="right" w:y="1"/>
          <w:rPr>
            <w:rStyle w:val="Paginanummer"/>
            <w:rFonts w:ascii="Arial" w:hAnsi="Arial" w:cs="Arial"/>
            <w:sz w:val="18"/>
            <w:szCs w:val="18"/>
          </w:rPr>
        </w:pPr>
        <w:r w:rsidRPr="0010593A">
          <w:rPr>
            <w:rStyle w:val="Paginanummer"/>
            <w:rFonts w:ascii="Arial" w:hAnsi="Arial" w:cs="Arial"/>
            <w:b/>
            <w:bCs/>
            <w:sz w:val="18"/>
            <w:szCs w:val="18"/>
          </w:rPr>
          <w:t xml:space="preserve">Page </w:t>
        </w:r>
        <w:r w:rsidRPr="0010593A">
          <w:rPr>
            <w:rStyle w:val="Paginanummer"/>
            <w:rFonts w:ascii="Arial" w:hAnsi="Arial" w:cs="Arial"/>
            <w:b/>
            <w:bCs/>
            <w:sz w:val="18"/>
            <w:szCs w:val="18"/>
          </w:rPr>
          <w:fldChar w:fldCharType="begin"/>
        </w:r>
        <w:r w:rsidRPr="0010593A">
          <w:rPr>
            <w:rStyle w:val="Paginanummer"/>
            <w:rFonts w:ascii="Arial" w:hAnsi="Arial" w:cs="Arial"/>
            <w:b/>
            <w:bCs/>
            <w:sz w:val="18"/>
            <w:szCs w:val="18"/>
          </w:rPr>
          <w:instrText xml:space="preserve"> PAGE </w:instrText>
        </w:r>
        <w:r w:rsidRPr="0010593A">
          <w:rPr>
            <w:rStyle w:val="Paginanummer"/>
            <w:rFonts w:ascii="Arial" w:hAnsi="Arial" w:cs="Arial"/>
            <w:b/>
            <w:bCs/>
            <w:sz w:val="18"/>
            <w:szCs w:val="18"/>
          </w:rPr>
          <w:fldChar w:fldCharType="separate"/>
        </w:r>
        <w:r w:rsidR="00155214">
          <w:rPr>
            <w:rStyle w:val="Paginanummer"/>
            <w:rFonts w:ascii="Arial" w:hAnsi="Arial" w:cs="Arial"/>
            <w:b/>
            <w:bCs/>
            <w:noProof/>
            <w:sz w:val="18"/>
            <w:szCs w:val="18"/>
          </w:rPr>
          <w:t>7</w:t>
        </w:r>
        <w:r w:rsidRPr="0010593A">
          <w:rPr>
            <w:rStyle w:val="Paginanummer"/>
            <w:rFonts w:ascii="Arial" w:hAnsi="Arial" w:cs="Arial"/>
            <w:b/>
            <w:bCs/>
            <w:sz w:val="18"/>
            <w:szCs w:val="18"/>
          </w:rPr>
          <w:fldChar w:fldCharType="end"/>
        </w:r>
      </w:p>
    </w:sdtContent>
  </w:sdt>
  <w:p w14:paraId="4652DD67" w14:textId="7038CDD8" w:rsidR="00241FA3" w:rsidRPr="009B4976" w:rsidRDefault="00FF2D34" w:rsidP="009B4976">
    <w:pPr>
      <w:pStyle w:val="Voettekst"/>
      <w:ind w:right="360"/>
      <w:rPr>
        <w:rFonts w:ascii="Arial" w:hAnsi="Arial" w:cs="Arial"/>
        <w:sz w:val="18"/>
        <w:szCs w:val="18"/>
        <w:lang w:val="en-GB"/>
      </w:rPr>
    </w:pPr>
    <w:r>
      <w:rPr>
        <w:rFonts w:ascii="Arial" w:hAnsi="Arial" w:cs="Arial"/>
        <w:sz w:val="18"/>
        <w:szCs w:val="18"/>
        <w:lang w:val="en-GB"/>
      </w:rPr>
      <w:t>202021IFU-370</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50D4" w14:textId="77777777" w:rsidR="00FF33F0" w:rsidRDefault="00FF33F0" w:rsidP="00241B44">
      <w:r>
        <w:separator/>
      </w:r>
    </w:p>
  </w:footnote>
  <w:footnote w:type="continuationSeparator" w:id="0">
    <w:p w14:paraId="7CC51A77" w14:textId="77777777" w:rsidR="00FF33F0" w:rsidRDefault="00FF33F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6795770">
    <w:abstractNumId w:val="32"/>
  </w:num>
  <w:num w:numId="2" w16cid:durableId="1064450792">
    <w:abstractNumId w:val="15"/>
  </w:num>
  <w:num w:numId="3" w16cid:durableId="1926762984">
    <w:abstractNumId w:val="12"/>
  </w:num>
  <w:num w:numId="4" w16cid:durableId="1844860442">
    <w:abstractNumId w:val="29"/>
  </w:num>
  <w:num w:numId="5" w16cid:durableId="927734250">
    <w:abstractNumId w:val="13"/>
  </w:num>
  <w:num w:numId="6" w16cid:durableId="1194999489">
    <w:abstractNumId w:val="23"/>
  </w:num>
  <w:num w:numId="7" w16cid:durableId="1078404428">
    <w:abstractNumId w:val="31"/>
  </w:num>
  <w:num w:numId="8" w16cid:durableId="280452429">
    <w:abstractNumId w:val="27"/>
  </w:num>
  <w:num w:numId="9" w16cid:durableId="1223373786">
    <w:abstractNumId w:val="11"/>
  </w:num>
  <w:num w:numId="10" w16cid:durableId="627391681">
    <w:abstractNumId w:val="8"/>
  </w:num>
  <w:num w:numId="11" w16cid:durableId="1903054795">
    <w:abstractNumId w:val="7"/>
  </w:num>
  <w:num w:numId="12" w16cid:durableId="1758676683">
    <w:abstractNumId w:val="2"/>
  </w:num>
  <w:num w:numId="13" w16cid:durableId="788087458">
    <w:abstractNumId w:val="0"/>
  </w:num>
  <w:num w:numId="14" w16cid:durableId="1267541773">
    <w:abstractNumId w:val="10"/>
  </w:num>
  <w:num w:numId="15" w16cid:durableId="1470785710">
    <w:abstractNumId w:val="24"/>
  </w:num>
  <w:num w:numId="16" w16cid:durableId="1868441096">
    <w:abstractNumId w:val="4"/>
  </w:num>
  <w:num w:numId="17" w16cid:durableId="1707945079">
    <w:abstractNumId w:val="3"/>
  </w:num>
  <w:num w:numId="18" w16cid:durableId="409039100">
    <w:abstractNumId w:val="1"/>
  </w:num>
  <w:num w:numId="19" w16cid:durableId="1714305410">
    <w:abstractNumId w:val="18"/>
  </w:num>
  <w:num w:numId="20" w16cid:durableId="1420056759">
    <w:abstractNumId w:val="25"/>
  </w:num>
  <w:num w:numId="21" w16cid:durableId="1651404642">
    <w:abstractNumId w:val="35"/>
  </w:num>
  <w:num w:numId="22" w16cid:durableId="1167211378">
    <w:abstractNumId w:val="5"/>
  </w:num>
  <w:num w:numId="23" w16cid:durableId="1080640260">
    <w:abstractNumId w:val="28"/>
  </w:num>
  <w:num w:numId="24" w16cid:durableId="512569205">
    <w:abstractNumId w:val="17"/>
  </w:num>
  <w:num w:numId="25" w16cid:durableId="1936476534">
    <w:abstractNumId w:val="6"/>
  </w:num>
  <w:num w:numId="26" w16cid:durableId="948201744">
    <w:abstractNumId w:val="34"/>
  </w:num>
  <w:num w:numId="27" w16cid:durableId="748580657">
    <w:abstractNumId w:val="33"/>
  </w:num>
  <w:num w:numId="28" w16cid:durableId="1792359653">
    <w:abstractNumId w:val="9"/>
  </w:num>
  <w:num w:numId="29" w16cid:durableId="483818366">
    <w:abstractNumId w:val="21"/>
  </w:num>
  <w:num w:numId="30" w16cid:durableId="1367179179">
    <w:abstractNumId w:val="26"/>
  </w:num>
  <w:num w:numId="31" w16cid:durableId="615216910">
    <w:abstractNumId w:val="20"/>
  </w:num>
  <w:num w:numId="32" w16cid:durableId="1650282549">
    <w:abstractNumId w:val="14"/>
  </w:num>
  <w:num w:numId="33" w16cid:durableId="1571115036">
    <w:abstractNumId w:val="16"/>
  </w:num>
  <w:num w:numId="34" w16cid:durableId="1920167451">
    <w:abstractNumId w:val="19"/>
  </w:num>
  <w:num w:numId="35" w16cid:durableId="1044523532">
    <w:abstractNumId w:val="36"/>
  </w:num>
  <w:num w:numId="36" w16cid:durableId="1667585745">
    <w:abstractNumId w:val="30"/>
  </w:num>
  <w:num w:numId="37" w16cid:durableId="53746985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57E2"/>
    <w:rsid w:val="00026F16"/>
    <w:rsid w:val="00037621"/>
    <w:rsid w:val="00043A13"/>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2CBC"/>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65E58"/>
    <w:rsid w:val="00176E64"/>
    <w:rsid w:val="00176FC4"/>
    <w:rsid w:val="00180548"/>
    <w:rsid w:val="00180AC4"/>
    <w:rsid w:val="00180CCE"/>
    <w:rsid w:val="0018267A"/>
    <w:rsid w:val="00182779"/>
    <w:rsid w:val="00182A2B"/>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3FFA"/>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A54BB"/>
    <w:rsid w:val="002B1C45"/>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3513"/>
    <w:rsid w:val="0045446F"/>
    <w:rsid w:val="0045683E"/>
    <w:rsid w:val="00461FD6"/>
    <w:rsid w:val="00465DE6"/>
    <w:rsid w:val="00467243"/>
    <w:rsid w:val="00477C72"/>
    <w:rsid w:val="00483BFA"/>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43A"/>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0F64"/>
    <w:rsid w:val="00575B2D"/>
    <w:rsid w:val="00577BAB"/>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360"/>
    <w:rsid w:val="005F4B31"/>
    <w:rsid w:val="005F650A"/>
    <w:rsid w:val="0060233D"/>
    <w:rsid w:val="006060E5"/>
    <w:rsid w:val="00606BB5"/>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357A"/>
    <w:rsid w:val="00676E2B"/>
    <w:rsid w:val="00677AEB"/>
    <w:rsid w:val="00680EF2"/>
    <w:rsid w:val="00687A1D"/>
    <w:rsid w:val="006919D6"/>
    <w:rsid w:val="00697EA1"/>
    <w:rsid w:val="006A2646"/>
    <w:rsid w:val="006A5375"/>
    <w:rsid w:val="006A6530"/>
    <w:rsid w:val="006A77FB"/>
    <w:rsid w:val="006B435A"/>
    <w:rsid w:val="006B4C64"/>
    <w:rsid w:val="006C6140"/>
    <w:rsid w:val="006D5847"/>
    <w:rsid w:val="006D6BD5"/>
    <w:rsid w:val="006E481A"/>
    <w:rsid w:val="006E5298"/>
    <w:rsid w:val="006F4A78"/>
    <w:rsid w:val="006F734A"/>
    <w:rsid w:val="00700D83"/>
    <w:rsid w:val="00704852"/>
    <w:rsid w:val="00706A36"/>
    <w:rsid w:val="007074E9"/>
    <w:rsid w:val="0071033E"/>
    <w:rsid w:val="007103C1"/>
    <w:rsid w:val="00711E31"/>
    <w:rsid w:val="00713DA4"/>
    <w:rsid w:val="00714BF1"/>
    <w:rsid w:val="00721383"/>
    <w:rsid w:val="0072325E"/>
    <w:rsid w:val="0073158B"/>
    <w:rsid w:val="007333CC"/>
    <w:rsid w:val="0073399A"/>
    <w:rsid w:val="00735EEB"/>
    <w:rsid w:val="00740DAD"/>
    <w:rsid w:val="007603F5"/>
    <w:rsid w:val="0076454A"/>
    <w:rsid w:val="00764DB0"/>
    <w:rsid w:val="0076764D"/>
    <w:rsid w:val="0077498C"/>
    <w:rsid w:val="007809BC"/>
    <w:rsid w:val="00784128"/>
    <w:rsid w:val="00787BCC"/>
    <w:rsid w:val="00791909"/>
    <w:rsid w:val="00793173"/>
    <w:rsid w:val="007937CA"/>
    <w:rsid w:val="00793AF9"/>
    <w:rsid w:val="007A2A33"/>
    <w:rsid w:val="007B22CF"/>
    <w:rsid w:val="007B3A5E"/>
    <w:rsid w:val="007B5AC7"/>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1582"/>
    <w:rsid w:val="008723F3"/>
    <w:rsid w:val="00873031"/>
    <w:rsid w:val="00876F56"/>
    <w:rsid w:val="00880404"/>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0E6C"/>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018E"/>
    <w:rsid w:val="00991428"/>
    <w:rsid w:val="0099169D"/>
    <w:rsid w:val="00992676"/>
    <w:rsid w:val="00993420"/>
    <w:rsid w:val="009954B2"/>
    <w:rsid w:val="00996691"/>
    <w:rsid w:val="009A3AB7"/>
    <w:rsid w:val="009B0723"/>
    <w:rsid w:val="009B07AD"/>
    <w:rsid w:val="009B0883"/>
    <w:rsid w:val="009B15E2"/>
    <w:rsid w:val="009B2802"/>
    <w:rsid w:val="009B4976"/>
    <w:rsid w:val="009B530D"/>
    <w:rsid w:val="009C0B8E"/>
    <w:rsid w:val="009C1BC8"/>
    <w:rsid w:val="009C2442"/>
    <w:rsid w:val="009D0811"/>
    <w:rsid w:val="009D0EE1"/>
    <w:rsid w:val="009D20B1"/>
    <w:rsid w:val="009D3F45"/>
    <w:rsid w:val="009E2AEB"/>
    <w:rsid w:val="009E2E27"/>
    <w:rsid w:val="009E45DF"/>
    <w:rsid w:val="009E4DE3"/>
    <w:rsid w:val="009F273B"/>
    <w:rsid w:val="009F275E"/>
    <w:rsid w:val="00A047C6"/>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73F7A"/>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328DF"/>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0BFA"/>
    <w:rsid w:val="00B9639B"/>
    <w:rsid w:val="00BA1BF3"/>
    <w:rsid w:val="00BA3AE6"/>
    <w:rsid w:val="00BA4008"/>
    <w:rsid w:val="00BB0164"/>
    <w:rsid w:val="00BB0F2B"/>
    <w:rsid w:val="00BC2CA2"/>
    <w:rsid w:val="00BD4C52"/>
    <w:rsid w:val="00BE2946"/>
    <w:rsid w:val="00BE4FF3"/>
    <w:rsid w:val="00BF50F7"/>
    <w:rsid w:val="00C00A4D"/>
    <w:rsid w:val="00C02F29"/>
    <w:rsid w:val="00C101EB"/>
    <w:rsid w:val="00C14E48"/>
    <w:rsid w:val="00C17718"/>
    <w:rsid w:val="00C20AFE"/>
    <w:rsid w:val="00C20DD3"/>
    <w:rsid w:val="00C210BA"/>
    <w:rsid w:val="00C22A25"/>
    <w:rsid w:val="00C35671"/>
    <w:rsid w:val="00C35B77"/>
    <w:rsid w:val="00C376EB"/>
    <w:rsid w:val="00C4544B"/>
    <w:rsid w:val="00C46A92"/>
    <w:rsid w:val="00C46EC1"/>
    <w:rsid w:val="00C50D55"/>
    <w:rsid w:val="00C52796"/>
    <w:rsid w:val="00C53E2C"/>
    <w:rsid w:val="00C550C8"/>
    <w:rsid w:val="00C55583"/>
    <w:rsid w:val="00C55824"/>
    <w:rsid w:val="00C56B61"/>
    <w:rsid w:val="00C606C3"/>
    <w:rsid w:val="00C620F4"/>
    <w:rsid w:val="00C63313"/>
    <w:rsid w:val="00C72848"/>
    <w:rsid w:val="00C742C9"/>
    <w:rsid w:val="00C7736C"/>
    <w:rsid w:val="00C82D87"/>
    <w:rsid w:val="00C8712A"/>
    <w:rsid w:val="00C902C8"/>
    <w:rsid w:val="00C919D1"/>
    <w:rsid w:val="00C95BFC"/>
    <w:rsid w:val="00C963D3"/>
    <w:rsid w:val="00CA0C0C"/>
    <w:rsid w:val="00CA7C24"/>
    <w:rsid w:val="00CB1983"/>
    <w:rsid w:val="00CB2CBB"/>
    <w:rsid w:val="00CB7A2C"/>
    <w:rsid w:val="00CB7CAC"/>
    <w:rsid w:val="00CC2820"/>
    <w:rsid w:val="00CC4291"/>
    <w:rsid w:val="00CC5335"/>
    <w:rsid w:val="00CC5BA4"/>
    <w:rsid w:val="00CC6578"/>
    <w:rsid w:val="00CC6748"/>
    <w:rsid w:val="00CD040A"/>
    <w:rsid w:val="00CD4998"/>
    <w:rsid w:val="00CE028F"/>
    <w:rsid w:val="00CE1035"/>
    <w:rsid w:val="00CE5177"/>
    <w:rsid w:val="00CE6E50"/>
    <w:rsid w:val="00CF2819"/>
    <w:rsid w:val="00CF4F9D"/>
    <w:rsid w:val="00CF70DC"/>
    <w:rsid w:val="00CF743F"/>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2752"/>
    <w:rsid w:val="00DF62E5"/>
    <w:rsid w:val="00DF75F8"/>
    <w:rsid w:val="00DF7A3A"/>
    <w:rsid w:val="00E00C00"/>
    <w:rsid w:val="00E07C5A"/>
    <w:rsid w:val="00E11C54"/>
    <w:rsid w:val="00E15BA9"/>
    <w:rsid w:val="00E15DF5"/>
    <w:rsid w:val="00E26E19"/>
    <w:rsid w:val="00E31DF3"/>
    <w:rsid w:val="00E450A4"/>
    <w:rsid w:val="00E506BE"/>
    <w:rsid w:val="00E5153C"/>
    <w:rsid w:val="00E5251A"/>
    <w:rsid w:val="00E55547"/>
    <w:rsid w:val="00E60BB3"/>
    <w:rsid w:val="00E6302B"/>
    <w:rsid w:val="00E6452F"/>
    <w:rsid w:val="00E64F45"/>
    <w:rsid w:val="00E6742D"/>
    <w:rsid w:val="00E6796F"/>
    <w:rsid w:val="00E71CB0"/>
    <w:rsid w:val="00E729EB"/>
    <w:rsid w:val="00E77C3D"/>
    <w:rsid w:val="00E90991"/>
    <w:rsid w:val="00E909F0"/>
    <w:rsid w:val="00E90D47"/>
    <w:rsid w:val="00E92E7A"/>
    <w:rsid w:val="00E93993"/>
    <w:rsid w:val="00E9597C"/>
    <w:rsid w:val="00E962C4"/>
    <w:rsid w:val="00EA0913"/>
    <w:rsid w:val="00EA3F28"/>
    <w:rsid w:val="00EA5B00"/>
    <w:rsid w:val="00EB146B"/>
    <w:rsid w:val="00EB45AC"/>
    <w:rsid w:val="00EC441F"/>
    <w:rsid w:val="00EC4755"/>
    <w:rsid w:val="00ED0BC4"/>
    <w:rsid w:val="00ED2AAA"/>
    <w:rsid w:val="00ED447D"/>
    <w:rsid w:val="00ED5BDC"/>
    <w:rsid w:val="00ED7712"/>
    <w:rsid w:val="00EE07EC"/>
    <w:rsid w:val="00EE4971"/>
    <w:rsid w:val="00EE6CB0"/>
    <w:rsid w:val="00EF090E"/>
    <w:rsid w:val="00EF5572"/>
    <w:rsid w:val="00F033DA"/>
    <w:rsid w:val="00F10E56"/>
    <w:rsid w:val="00F13691"/>
    <w:rsid w:val="00F13FB1"/>
    <w:rsid w:val="00F16C8E"/>
    <w:rsid w:val="00F17165"/>
    <w:rsid w:val="00F24338"/>
    <w:rsid w:val="00F24428"/>
    <w:rsid w:val="00F26DD6"/>
    <w:rsid w:val="00F27CD8"/>
    <w:rsid w:val="00F30351"/>
    <w:rsid w:val="00F3323E"/>
    <w:rsid w:val="00F341F4"/>
    <w:rsid w:val="00F34F9D"/>
    <w:rsid w:val="00F35CCE"/>
    <w:rsid w:val="00F37444"/>
    <w:rsid w:val="00F4105A"/>
    <w:rsid w:val="00F4266C"/>
    <w:rsid w:val="00F50993"/>
    <w:rsid w:val="00F5524B"/>
    <w:rsid w:val="00F57AC5"/>
    <w:rsid w:val="00F60538"/>
    <w:rsid w:val="00F61DD2"/>
    <w:rsid w:val="00F65CBC"/>
    <w:rsid w:val="00F66AFF"/>
    <w:rsid w:val="00F71433"/>
    <w:rsid w:val="00F8458D"/>
    <w:rsid w:val="00F96FF3"/>
    <w:rsid w:val="00F97C5B"/>
    <w:rsid w:val="00FA18CF"/>
    <w:rsid w:val="00FA3D50"/>
    <w:rsid w:val="00FB1D71"/>
    <w:rsid w:val="00FB7C25"/>
    <w:rsid w:val="00FB7FBD"/>
    <w:rsid w:val="00FC374A"/>
    <w:rsid w:val="00FC74C8"/>
    <w:rsid w:val="00FC7B47"/>
    <w:rsid w:val="00FD035C"/>
    <w:rsid w:val="00FD1A35"/>
    <w:rsid w:val="00FD245B"/>
    <w:rsid w:val="00FD2EA4"/>
    <w:rsid w:val="00FD36C5"/>
    <w:rsid w:val="00FD55CF"/>
    <w:rsid w:val="00FD6310"/>
    <w:rsid w:val="00FD7C7B"/>
    <w:rsid w:val="00FE1D12"/>
    <w:rsid w:val="00FE2122"/>
    <w:rsid w:val="00FE2A86"/>
    <w:rsid w:val="00FE2DE2"/>
    <w:rsid w:val="00FE3035"/>
    <w:rsid w:val="00FF296F"/>
    <w:rsid w:val="00FF2D34"/>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76AF"/>
    <w:rPr>
      <w:rFonts w:eastAsia="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30542"/>
  </w:style>
  <w:style w:type="paragraph" w:styleId="Lijstalinea">
    <w:name w:val="List Paragraph"/>
    <w:basedOn w:val="Standaard"/>
    <w:uiPriority w:val="34"/>
    <w:qFormat/>
    <w:rsid w:val="00430FED"/>
    <w:pPr>
      <w:ind w:left="720"/>
      <w:contextualSpacing/>
    </w:pPr>
  </w:style>
  <w:style w:type="paragraph" w:styleId="Voetnootteks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ard"/>
    <w:link w:val="VoetnoottekstChar"/>
    <w:unhideWhenUsed/>
    <w:rsid w:val="00241B44"/>
    <w:rPr>
      <w:szCs w:val="20"/>
    </w:rPr>
  </w:style>
  <w:style w:type="character" w:customStyle="1" w:styleId="VoetnoottekstChar">
    <w:name w:val="Voetnoottekst Char"/>
    <w:aliases w:val="fn Char,Fußnotentext Char Char Char Char Char,Fußnotentext Char Char Char Char Char Char Char,Fußnotentext Char Char Char Char Char Char Char Char Char,Fußnotentextf Char,footnotes Char,Footnote Text Char2 Char Char,Footnote Char"/>
    <w:basedOn w:val="Standaardalinea-lettertype"/>
    <w:link w:val="Voetnoottekst"/>
    <w:rsid w:val="00241B44"/>
    <w:rPr>
      <w:sz w:val="20"/>
      <w:szCs w:val="20"/>
    </w:rPr>
  </w:style>
  <w:style w:type="character" w:styleId="Voetnootmarkering">
    <w:name w:val="footnote reference"/>
    <w:aliases w:val="fr,Footnote Refernece,BVI fnr,callout,16 Point,Superscript 6 Point,Footnote Reference Superscript,Ref,de nota al pie,-E Fußnotenzeichen,number,SUPERS,EN Footnote Reference,-E Fuﬂnotenzeichen,-E Fuûnotenzeichen,Footnote numbe, BVI fnr"/>
    <w:basedOn w:val="Standaardalinea-lettertype"/>
    <w:unhideWhenUsed/>
    <w:qFormat/>
    <w:rsid w:val="00241B44"/>
    <w:rPr>
      <w:vertAlign w:val="superscript"/>
    </w:rPr>
  </w:style>
  <w:style w:type="character" w:styleId="Hyperlink">
    <w:name w:val="Hyperlink"/>
    <w:basedOn w:val="Standaardalinea-lettertype"/>
    <w:uiPriority w:val="99"/>
    <w:unhideWhenUsed/>
    <w:rsid w:val="00A047EE"/>
    <w:rPr>
      <w:color w:val="0563C1" w:themeColor="hyperlink"/>
      <w:u w:val="single"/>
    </w:rPr>
  </w:style>
  <w:style w:type="character" w:customStyle="1" w:styleId="UnresolvedMention1">
    <w:name w:val="Unresolved Mention1"/>
    <w:basedOn w:val="Standaardalinea-lettertype"/>
    <w:uiPriority w:val="99"/>
    <w:rsid w:val="00A047EE"/>
    <w:rPr>
      <w:color w:val="605E5C"/>
      <w:shd w:val="clear" w:color="auto" w:fill="E1DFDD"/>
    </w:rPr>
  </w:style>
  <w:style w:type="character" w:styleId="Verwijzingopmerking">
    <w:name w:val="annotation reference"/>
    <w:basedOn w:val="Standaardalinea-lettertype"/>
    <w:uiPriority w:val="99"/>
    <w:semiHidden/>
    <w:unhideWhenUsed/>
    <w:rsid w:val="008B5333"/>
    <w:rPr>
      <w:sz w:val="16"/>
      <w:szCs w:val="16"/>
    </w:rPr>
  </w:style>
  <w:style w:type="paragraph" w:styleId="Tekstopmerking">
    <w:name w:val="annotation text"/>
    <w:basedOn w:val="Standaard"/>
    <w:link w:val="TekstopmerkingChar"/>
    <w:uiPriority w:val="99"/>
    <w:semiHidden/>
    <w:unhideWhenUsed/>
    <w:rsid w:val="008B5333"/>
    <w:rPr>
      <w:szCs w:val="20"/>
    </w:rPr>
  </w:style>
  <w:style w:type="character" w:customStyle="1" w:styleId="TekstopmerkingChar">
    <w:name w:val="Tekst opmerking Char"/>
    <w:basedOn w:val="Standaardalinea-lettertype"/>
    <w:link w:val="Tekstopmerking"/>
    <w:uiPriority w:val="99"/>
    <w:semiHidden/>
    <w:rsid w:val="008B5333"/>
    <w:rPr>
      <w:rFonts w:eastAsia="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B5333"/>
    <w:rPr>
      <w:b/>
      <w:bCs/>
    </w:rPr>
  </w:style>
  <w:style w:type="character" w:customStyle="1" w:styleId="OnderwerpvanopmerkingChar">
    <w:name w:val="Onderwerp van opmerking Char"/>
    <w:basedOn w:val="TekstopmerkingChar"/>
    <w:link w:val="Onderwerpvanopmerking"/>
    <w:uiPriority w:val="99"/>
    <w:semiHidden/>
    <w:rsid w:val="008B5333"/>
    <w:rPr>
      <w:rFonts w:eastAsia="Times New Roman"/>
      <w:b/>
      <w:bCs/>
      <w:sz w:val="20"/>
      <w:szCs w:val="20"/>
    </w:rPr>
  </w:style>
  <w:style w:type="paragraph" w:styleId="Ballontekst">
    <w:name w:val="Balloon Text"/>
    <w:basedOn w:val="Standaard"/>
    <w:link w:val="BallontekstChar"/>
    <w:uiPriority w:val="99"/>
    <w:semiHidden/>
    <w:unhideWhenUsed/>
    <w:rsid w:val="008B53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333"/>
    <w:rPr>
      <w:rFonts w:ascii="Tahoma" w:eastAsia="Times New Roman" w:hAnsi="Tahoma" w:cs="Tahoma"/>
      <w:sz w:val="16"/>
      <w:szCs w:val="16"/>
    </w:rPr>
  </w:style>
  <w:style w:type="paragraph" w:styleId="Voettekst">
    <w:name w:val="footer"/>
    <w:basedOn w:val="Standaard"/>
    <w:link w:val="VoettekstChar"/>
    <w:uiPriority w:val="99"/>
    <w:unhideWhenUsed/>
    <w:rsid w:val="00FC7B47"/>
    <w:pPr>
      <w:tabs>
        <w:tab w:val="center" w:pos="4513"/>
        <w:tab w:val="right" w:pos="9026"/>
      </w:tabs>
    </w:pPr>
  </w:style>
  <w:style w:type="character" w:customStyle="1" w:styleId="VoettekstChar">
    <w:name w:val="Voettekst Char"/>
    <w:basedOn w:val="Standaardalinea-lettertype"/>
    <w:link w:val="Voettekst"/>
    <w:uiPriority w:val="99"/>
    <w:rsid w:val="00FC7B47"/>
    <w:rPr>
      <w:rFonts w:eastAsia="Times New Roman"/>
      <w:sz w:val="20"/>
    </w:rPr>
  </w:style>
  <w:style w:type="character" w:styleId="Paginanummer">
    <w:name w:val="page number"/>
    <w:basedOn w:val="Standaardalinea-lettertype"/>
    <w:uiPriority w:val="99"/>
    <w:semiHidden/>
    <w:unhideWhenUsed/>
    <w:rsid w:val="00FC7B47"/>
  </w:style>
  <w:style w:type="paragraph" w:styleId="Koptekst">
    <w:name w:val="header"/>
    <w:basedOn w:val="Standaard"/>
    <w:link w:val="KoptekstChar"/>
    <w:uiPriority w:val="99"/>
    <w:unhideWhenUsed/>
    <w:rsid w:val="00FC7B47"/>
    <w:pPr>
      <w:tabs>
        <w:tab w:val="center" w:pos="4513"/>
        <w:tab w:val="right" w:pos="9026"/>
      </w:tabs>
    </w:pPr>
  </w:style>
  <w:style w:type="character" w:customStyle="1" w:styleId="KoptekstChar">
    <w:name w:val="Koptekst Char"/>
    <w:basedOn w:val="Standaardalinea-lettertype"/>
    <w:link w:val="Koptekst"/>
    <w:uiPriority w:val="99"/>
    <w:rsid w:val="00FC7B47"/>
    <w:rPr>
      <w:rFonts w:eastAsia="Times New Roman"/>
      <w:sz w:val="20"/>
    </w:rPr>
  </w:style>
  <w:style w:type="character" w:customStyle="1" w:styleId="UnresolvedMention2">
    <w:name w:val="Unresolved Mention2"/>
    <w:basedOn w:val="Standaardalinea-lettertype"/>
    <w:uiPriority w:val="99"/>
    <w:semiHidden/>
    <w:unhideWhenUsed/>
    <w:rsid w:val="007333CC"/>
    <w:rPr>
      <w:color w:val="605E5C"/>
      <w:shd w:val="clear" w:color="auto" w:fill="E1DFDD"/>
    </w:rPr>
  </w:style>
  <w:style w:type="character" w:styleId="GevolgdeHyperlink">
    <w:name w:val="FollowedHyperlink"/>
    <w:basedOn w:val="Standaardalinea-lettertype"/>
    <w:uiPriority w:val="99"/>
    <w:semiHidden/>
    <w:unhideWhenUsed/>
    <w:rsid w:val="00E6452F"/>
    <w:rPr>
      <w:color w:val="954F72" w:themeColor="followedHyperlink"/>
      <w:u w:val="single"/>
    </w:rPr>
  </w:style>
  <w:style w:type="character" w:styleId="Zwaar">
    <w:name w:val="Strong"/>
    <w:basedOn w:val="Standaardalinea-lettertype"/>
    <w:uiPriority w:val="22"/>
    <w:qFormat/>
    <w:rsid w:val="00E6452F"/>
    <w:rPr>
      <w:b/>
      <w:bCs/>
    </w:rPr>
  </w:style>
  <w:style w:type="paragraph" w:styleId="Normaalweb">
    <w:name w:val="Normal (Web)"/>
    <w:basedOn w:val="Standa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ard"/>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13</Pages>
  <Words>4950</Words>
  <Characters>27231</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Arcas Law</cp:lastModifiedBy>
  <cp:revision>6</cp:revision>
  <cp:lastPrinted>2019-08-27T05:42:00Z</cp:lastPrinted>
  <dcterms:created xsi:type="dcterms:W3CDTF">2022-07-25T09:38:00Z</dcterms:created>
  <dcterms:modified xsi:type="dcterms:W3CDTF">2022-07-28T14:43:00Z</dcterms:modified>
</cp:coreProperties>
</file>