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E2754" w14:textId="7F30A1F2" w:rsidR="0056061F" w:rsidRDefault="00947FFB" w:rsidP="0056061F">
      <w:pPr>
        <w:jc w:val="center"/>
        <w:rPr>
          <w:rFonts w:ascii="Arial" w:hAnsi="Arial" w:cs="Arial"/>
          <w:b/>
          <w:sz w:val="22"/>
          <w:szCs w:val="22"/>
          <w:lang w:val="en-GB"/>
        </w:rPr>
      </w:pPr>
      <w:r>
        <w:rPr>
          <w:rFonts w:ascii="Arial" w:hAnsi="Arial" w:cs="Arial"/>
          <w:b/>
          <w:noProof/>
          <w:sz w:val="22"/>
          <w:szCs w:val="22"/>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56061F" w:rsidRDefault="0056061F" w:rsidP="0056061F">
      <w:pPr>
        <w:jc w:val="center"/>
        <w:rPr>
          <w:rFonts w:ascii="Arial" w:hAnsi="Arial" w:cs="Arial"/>
          <w:b/>
          <w:sz w:val="22"/>
          <w:szCs w:val="22"/>
          <w:lang w:val="en-GB"/>
        </w:rPr>
      </w:pPr>
    </w:p>
    <w:p w14:paraId="7579FDD6" w14:textId="77777777" w:rsidR="0056061F" w:rsidRDefault="0056061F" w:rsidP="0056061F">
      <w:pPr>
        <w:jc w:val="center"/>
        <w:rPr>
          <w:rFonts w:ascii="Arial" w:hAnsi="Arial" w:cs="Arial"/>
          <w:b/>
          <w:sz w:val="22"/>
          <w:szCs w:val="22"/>
          <w:lang w:val="en-GB"/>
        </w:rPr>
      </w:pPr>
    </w:p>
    <w:p w14:paraId="640BE849" w14:textId="77777777" w:rsidR="0056061F" w:rsidRDefault="0056061F" w:rsidP="0056061F">
      <w:pPr>
        <w:jc w:val="center"/>
        <w:rPr>
          <w:rFonts w:ascii="Arial" w:hAnsi="Arial" w:cs="Arial"/>
          <w:b/>
          <w:sz w:val="22"/>
          <w:szCs w:val="22"/>
          <w:lang w:val="en-GB"/>
        </w:rPr>
      </w:pPr>
    </w:p>
    <w:p w14:paraId="37DB27F0" w14:textId="77777777" w:rsidR="0056061F" w:rsidRDefault="0056061F" w:rsidP="0056061F">
      <w:pPr>
        <w:jc w:val="center"/>
        <w:rPr>
          <w:rFonts w:ascii="Arial" w:hAnsi="Arial" w:cs="Arial"/>
          <w:b/>
          <w:sz w:val="22"/>
          <w:szCs w:val="22"/>
          <w:lang w:val="en-GB"/>
        </w:rPr>
      </w:pPr>
    </w:p>
    <w:p w14:paraId="6D97FFD8" w14:textId="77777777" w:rsidR="0056061F" w:rsidRDefault="0056061F" w:rsidP="0056061F">
      <w:pPr>
        <w:jc w:val="center"/>
        <w:rPr>
          <w:rFonts w:ascii="Arial" w:hAnsi="Arial" w:cs="Arial"/>
          <w:b/>
          <w:sz w:val="22"/>
          <w:szCs w:val="22"/>
          <w:lang w:val="en-GB"/>
        </w:rPr>
      </w:pPr>
    </w:p>
    <w:p w14:paraId="7B3F039E" w14:textId="77777777" w:rsidR="0056061F" w:rsidRDefault="0056061F" w:rsidP="0056061F">
      <w:pPr>
        <w:jc w:val="center"/>
        <w:rPr>
          <w:rFonts w:ascii="Arial" w:hAnsi="Arial" w:cs="Arial"/>
          <w:b/>
          <w:sz w:val="22"/>
          <w:szCs w:val="22"/>
          <w:lang w:val="en-GB"/>
        </w:rPr>
      </w:pPr>
    </w:p>
    <w:p w14:paraId="3B7AB1DF" w14:textId="77777777" w:rsidR="0056061F" w:rsidRDefault="0056061F" w:rsidP="0056061F">
      <w:pPr>
        <w:jc w:val="center"/>
        <w:rPr>
          <w:rFonts w:ascii="Arial" w:hAnsi="Arial" w:cs="Arial"/>
          <w:b/>
          <w:sz w:val="22"/>
          <w:szCs w:val="22"/>
          <w:lang w:val="en-GB"/>
        </w:rPr>
      </w:pPr>
    </w:p>
    <w:p w14:paraId="6D067A05" w14:textId="77777777" w:rsidR="0056061F" w:rsidRDefault="0056061F"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56061F"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56061F" w:rsidRDefault="0056061F"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56061F"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56061F" w:rsidRPr="007C6201" w:rsidRDefault="0056061F"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56061F" w:rsidRDefault="0056061F" w:rsidP="0056061F">
      <w:pPr>
        <w:jc w:val="center"/>
        <w:rPr>
          <w:rFonts w:ascii="Arial" w:hAnsi="Arial" w:cs="Arial"/>
          <w:b/>
          <w:color w:val="000000"/>
          <w:sz w:val="22"/>
          <w:szCs w:val="22"/>
          <w:lang w:val="en-GB"/>
        </w:rPr>
      </w:pPr>
    </w:p>
    <w:p w14:paraId="4276954A" w14:textId="77777777" w:rsidR="0056061F" w:rsidRDefault="0056061F" w:rsidP="0056061F">
      <w:pPr>
        <w:jc w:val="center"/>
        <w:rPr>
          <w:rFonts w:ascii="Arial" w:hAnsi="Arial" w:cs="Arial"/>
          <w:b/>
          <w:color w:val="000000"/>
          <w:sz w:val="22"/>
          <w:szCs w:val="22"/>
          <w:lang w:val="en-GB"/>
        </w:rPr>
      </w:pPr>
    </w:p>
    <w:p w14:paraId="5A4A06A2" w14:textId="77777777" w:rsidR="0056061F" w:rsidRDefault="0056061F" w:rsidP="0056061F">
      <w:pPr>
        <w:jc w:val="center"/>
        <w:rPr>
          <w:rFonts w:ascii="Arial" w:hAnsi="Arial" w:cs="Arial"/>
          <w:b/>
          <w:color w:val="000000"/>
          <w:sz w:val="22"/>
          <w:szCs w:val="22"/>
          <w:lang w:val="en-GB"/>
        </w:rPr>
      </w:pPr>
    </w:p>
    <w:p w14:paraId="64ED4B04" w14:textId="77777777" w:rsidR="0056061F" w:rsidRDefault="0056061F" w:rsidP="0056061F">
      <w:pPr>
        <w:jc w:val="center"/>
        <w:rPr>
          <w:rFonts w:ascii="Arial" w:hAnsi="Arial" w:cs="Arial"/>
          <w:b/>
          <w:color w:val="000000"/>
          <w:sz w:val="22"/>
          <w:szCs w:val="22"/>
          <w:lang w:val="en-GB"/>
        </w:rPr>
      </w:pPr>
    </w:p>
    <w:p w14:paraId="7E63D44E" w14:textId="77777777" w:rsidR="0056061F" w:rsidRDefault="0056061F" w:rsidP="0056061F">
      <w:pPr>
        <w:jc w:val="center"/>
        <w:rPr>
          <w:rFonts w:ascii="Arial" w:hAnsi="Arial" w:cs="Arial"/>
          <w:b/>
          <w:color w:val="000000"/>
          <w:sz w:val="22"/>
          <w:szCs w:val="22"/>
          <w:lang w:val="en-GB"/>
        </w:rPr>
      </w:pPr>
    </w:p>
    <w:p w14:paraId="56D4BE34" w14:textId="77777777" w:rsidR="0056061F" w:rsidRDefault="0056061F" w:rsidP="0056061F">
      <w:pPr>
        <w:jc w:val="center"/>
        <w:rPr>
          <w:rFonts w:ascii="Arial" w:hAnsi="Arial" w:cs="Arial"/>
          <w:b/>
          <w:color w:val="000000"/>
          <w:sz w:val="22"/>
          <w:szCs w:val="22"/>
          <w:lang w:val="en-GB"/>
        </w:rPr>
      </w:pPr>
    </w:p>
    <w:p w14:paraId="3A91B31F" w14:textId="77777777" w:rsidR="0056061F" w:rsidRDefault="0056061F" w:rsidP="0056061F">
      <w:pPr>
        <w:jc w:val="center"/>
        <w:rPr>
          <w:rFonts w:ascii="Arial" w:hAnsi="Arial" w:cs="Arial"/>
          <w:b/>
          <w:color w:val="000000"/>
          <w:sz w:val="22"/>
          <w:szCs w:val="22"/>
          <w:lang w:val="en-GB"/>
        </w:rPr>
      </w:pPr>
    </w:p>
    <w:p w14:paraId="02918B20" w14:textId="77777777" w:rsidR="0056061F" w:rsidRDefault="0056061F" w:rsidP="0056061F">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56061F" w:rsidRDefault="008C6FAA" w:rsidP="0056061F">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56061F" w:rsidRDefault="0056061F" w:rsidP="0056061F">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6061F" w:rsidRDefault="0056061F" w:rsidP="0056061F">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56061F" w:rsidRPr="00DB56F2" w:rsidRDefault="008C6FAA" w:rsidP="0056061F">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56061F" w:rsidRPr="00DB56F2" w:rsidRDefault="0056061F" w:rsidP="0056061F">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56061F" w:rsidRDefault="0056061F" w:rsidP="0056061F">
      <w:pPr>
        <w:jc w:val="both"/>
        <w:rPr>
          <w:rFonts w:ascii="Arial" w:hAnsi="Arial" w:cs="Arial"/>
          <w:b/>
          <w:color w:val="767171"/>
          <w:sz w:val="22"/>
          <w:szCs w:val="22"/>
          <w:lang w:val="en-GB"/>
        </w:rPr>
      </w:pPr>
    </w:p>
    <w:p w14:paraId="473EBBAB" w14:textId="77777777" w:rsidR="0056061F" w:rsidRDefault="0056061F" w:rsidP="0056061F">
      <w:pPr>
        <w:jc w:val="both"/>
        <w:rPr>
          <w:rFonts w:ascii="Arial" w:hAnsi="Arial" w:cs="Arial"/>
          <w:b/>
          <w:color w:val="767171"/>
          <w:sz w:val="22"/>
          <w:szCs w:val="22"/>
          <w:lang w:val="en-GB"/>
        </w:rPr>
      </w:pPr>
    </w:p>
    <w:p w14:paraId="4CB26B82" w14:textId="77777777" w:rsidR="0056061F" w:rsidRDefault="0056061F" w:rsidP="0056061F">
      <w:pPr>
        <w:jc w:val="both"/>
        <w:rPr>
          <w:rFonts w:ascii="Arial" w:hAnsi="Arial" w:cs="Arial"/>
          <w:b/>
          <w:color w:val="767171"/>
          <w:sz w:val="22"/>
          <w:szCs w:val="22"/>
          <w:lang w:val="en-GB"/>
        </w:rPr>
      </w:pPr>
    </w:p>
    <w:p w14:paraId="73D332A4" w14:textId="77777777" w:rsidR="0056061F" w:rsidRDefault="0056061F" w:rsidP="0056061F">
      <w:pPr>
        <w:jc w:val="both"/>
        <w:rPr>
          <w:rFonts w:ascii="Arial" w:hAnsi="Arial" w:cs="Arial"/>
          <w:b/>
          <w:color w:val="767171"/>
          <w:sz w:val="22"/>
          <w:szCs w:val="22"/>
          <w:lang w:val="en-GB"/>
        </w:rPr>
      </w:pPr>
    </w:p>
    <w:p w14:paraId="084AA44F" w14:textId="77777777" w:rsidR="0056061F" w:rsidRDefault="0056061F" w:rsidP="0056061F">
      <w:pPr>
        <w:jc w:val="both"/>
        <w:rPr>
          <w:rFonts w:ascii="Arial" w:hAnsi="Arial" w:cs="Arial"/>
          <w:b/>
          <w:color w:val="767171"/>
          <w:sz w:val="22"/>
          <w:szCs w:val="22"/>
          <w:lang w:val="en-GB"/>
        </w:rPr>
      </w:pPr>
    </w:p>
    <w:p w14:paraId="328E1F60" w14:textId="77777777" w:rsidR="0056061F" w:rsidRDefault="0056061F" w:rsidP="0056061F">
      <w:pPr>
        <w:jc w:val="both"/>
        <w:rPr>
          <w:rFonts w:ascii="Arial" w:hAnsi="Arial" w:cs="Arial"/>
          <w:b/>
          <w:color w:val="767171"/>
          <w:sz w:val="22"/>
          <w:szCs w:val="22"/>
          <w:lang w:val="en-GB"/>
        </w:rPr>
      </w:pPr>
    </w:p>
    <w:p w14:paraId="115673F4" w14:textId="77777777" w:rsidR="0056061F" w:rsidRDefault="0056061F" w:rsidP="0056061F">
      <w:pPr>
        <w:jc w:val="both"/>
        <w:rPr>
          <w:rFonts w:ascii="Arial" w:hAnsi="Arial" w:cs="Arial"/>
          <w:b/>
          <w:color w:val="767171"/>
          <w:sz w:val="22"/>
          <w:szCs w:val="22"/>
          <w:lang w:val="en-GB"/>
        </w:rPr>
      </w:pPr>
    </w:p>
    <w:p w14:paraId="3CAB1575" w14:textId="77777777" w:rsidR="0056061F" w:rsidRDefault="0056061F" w:rsidP="0056061F">
      <w:pPr>
        <w:jc w:val="both"/>
        <w:rPr>
          <w:rFonts w:ascii="Arial" w:hAnsi="Arial" w:cs="Arial"/>
          <w:b/>
          <w:color w:val="767171"/>
          <w:sz w:val="22"/>
          <w:szCs w:val="22"/>
          <w:lang w:val="en-GB"/>
        </w:rPr>
      </w:pPr>
    </w:p>
    <w:p w14:paraId="0A62FDBA" w14:textId="77777777" w:rsidR="0056061F" w:rsidRDefault="0056061F" w:rsidP="0056061F">
      <w:pPr>
        <w:jc w:val="both"/>
        <w:rPr>
          <w:rFonts w:ascii="Arial" w:hAnsi="Arial" w:cs="Arial"/>
          <w:b/>
          <w:color w:val="767171"/>
          <w:sz w:val="22"/>
          <w:szCs w:val="22"/>
          <w:lang w:val="en-GB"/>
        </w:rPr>
      </w:pPr>
    </w:p>
    <w:p w14:paraId="12AC8258" w14:textId="07C1C5C4" w:rsidR="0056061F" w:rsidRDefault="0056061F">
      <w:pPr>
        <w:rPr>
          <w:rFonts w:ascii="Arial" w:hAnsi="Arial" w:cs="Arial"/>
          <w:b/>
          <w:sz w:val="22"/>
          <w:szCs w:val="22"/>
          <w:u w:val="single"/>
          <w:lang w:val="en-GB"/>
        </w:rPr>
      </w:pPr>
    </w:p>
    <w:p w14:paraId="7F111F2A" w14:textId="77777777" w:rsidR="0056061F" w:rsidRPr="00D80DC2" w:rsidRDefault="0056061F" w:rsidP="0056061F">
      <w:pPr>
        <w:jc w:val="center"/>
        <w:rPr>
          <w:rFonts w:ascii="Arial" w:hAnsi="Arial" w:cs="Arial"/>
          <w:b/>
          <w:sz w:val="22"/>
          <w:szCs w:val="22"/>
          <w:u w:val="single"/>
          <w:lang w:val="en-GB"/>
        </w:rPr>
      </w:pPr>
    </w:p>
    <w:p w14:paraId="4EE58D1C" w14:textId="77777777" w:rsidR="0056061F" w:rsidRPr="00D80DC2" w:rsidRDefault="0056061F" w:rsidP="0056061F">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w:t>
      </w:r>
      <w:proofErr w:type="gramStart"/>
      <w:r w:rsidRPr="001E23FD">
        <w:rPr>
          <w:rFonts w:ascii="Arial" w:hAnsi="Arial" w:cs="Arial"/>
          <w:sz w:val="22"/>
          <w:szCs w:val="22"/>
          <w:lang w:val="en-GB"/>
        </w:rPr>
        <w:t>submit</w:t>
      </w:r>
      <w:proofErr w:type="gramEnd"/>
      <w:r w:rsidRPr="001E23FD">
        <w:rPr>
          <w:rFonts w:ascii="Arial" w:hAnsi="Arial" w:cs="Arial"/>
          <w:sz w:val="22"/>
          <w:szCs w:val="22"/>
          <w:lang w:val="en-GB"/>
        </w:rPr>
        <w:t xml:space="preserve">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 xml:space="preserve">Please also include the filename as </w:t>
      </w:r>
      <w:proofErr w:type="gramStart"/>
      <w:r w:rsidRPr="001E23FD">
        <w:rPr>
          <w:rFonts w:ascii="Arial" w:hAnsi="Arial" w:cs="Arial"/>
          <w:b/>
          <w:sz w:val="22"/>
          <w:szCs w:val="22"/>
          <w:lang w:val="en-GB"/>
        </w:rPr>
        <w:t>a footer</w:t>
      </w:r>
      <w:proofErr w:type="gramEnd"/>
      <w:r w:rsidRPr="001E23FD">
        <w:rPr>
          <w:rFonts w:ascii="Arial" w:hAnsi="Arial" w:cs="Arial"/>
          <w:b/>
          <w:sz w:val="22"/>
          <w:szCs w:val="22"/>
          <w:lang w:val="en-GB"/>
        </w:rPr>
        <w:t xml:space="preserve">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56061F"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56061F" w:rsidRPr="00D80DC2" w:rsidRDefault="008C6FAA" w:rsidP="0056061F">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56061F" w:rsidRPr="00D80DC2" w:rsidRDefault="0056061F" w:rsidP="0056061F">
      <w:pPr>
        <w:ind w:left="720" w:hanging="720"/>
        <w:jc w:val="both"/>
        <w:rPr>
          <w:rFonts w:ascii="Arial" w:hAnsi="Arial" w:cs="Arial"/>
          <w:sz w:val="22"/>
          <w:szCs w:val="22"/>
          <w:lang w:val="en-GB"/>
        </w:rPr>
      </w:pPr>
    </w:p>
    <w:p w14:paraId="38BD97DF" w14:textId="77777777" w:rsidR="0056061F" w:rsidRPr="00D80DC2" w:rsidRDefault="008C6FAA" w:rsidP="0056061F">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56061F" w:rsidRPr="00D80DC2" w:rsidRDefault="0056061F" w:rsidP="0056061F">
      <w:pPr>
        <w:ind w:left="720" w:hanging="720"/>
        <w:jc w:val="both"/>
        <w:rPr>
          <w:rFonts w:ascii="Arial" w:hAnsi="Arial" w:cs="Arial"/>
          <w:sz w:val="22"/>
          <w:szCs w:val="22"/>
          <w:lang w:val="en-GB"/>
        </w:rPr>
      </w:pPr>
    </w:p>
    <w:p w14:paraId="078A5E73" w14:textId="77777777" w:rsidR="0056061F" w:rsidRPr="00D80DC2" w:rsidRDefault="008C6FAA" w:rsidP="0056061F">
      <w:pPr>
        <w:jc w:val="both"/>
        <w:rPr>
          <w:rFonts w:ascii="Arial" w:hAnsi="Arial" w:cs="Arial"/>
          <w:sz w:val="22"/>
          <w:szCs w:val="22"/>
          <w:lang w:val="en-GB"/>
        </w:rPr>
      </w:pPr>
      <w:r w:rsidRPr="00D80DC2">
        <w:rPr>
          <w:rFonts w:ascii="Arial" w:hAnsi="Arial" w:cs="Arial"/>
          <w:sz w:val="22"/>
          <w:szCs w:val="22"/>
          <w:lang w:val="en-GB"/>
        </w:rPr>
        <w:t xml:space="preserve">Questions 1.1. – 1.10. </w:t>
      </w:r>
      <w:proofErr w:type="gramStart"/>
      <w:r w:rsidRPr="00D80DC2">
        <w:rPr>
          <w:rFonts w:ascii="Arial" w:hAnsi="Arial" w:cs="Arial"/>
          <w:sz w:val="22"/>
          <w:szCs w:val="22"/>
          <w:lang w:val="en-GB"/>
        </w:rPr>
        <w:t>are</w:t>
      </w:r>
      <w:proofErr w:type="gramEnd"/>
      <w:r w:rsidRPr="00D80DC2">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56061F" w:rsidRPr="00D80DC2" w:rsidRDefault="0056061F" w:rsidP="0056061F">
      <w:pPr>
        <w:autoSpaceDE w:val="0"/>
        <w:autoSpaceDN w:val="0"/>
        <w:adjustRightInd w:val="0"/>
        <w:jc w:val="both"/>
        <w:rPr>
          <w:rFonts w:ascii="Arial" w:hAnsi="Arial" w:cs="Arial"/>
          <w:sz w:val="22"/>
          <w:szCs w:val="22"/>
          <w:lang w:val="en-GB"/>
        </w:rPr>
      </w:pPr>
    </w:p>
    <w:p w14:paraId="1A5D9D17" w14:textId="77777777" w:rsidR="0056061F" w:rsidRPr="00D80DC2" w:rsidRDefault="008C6FAA" w:rsidP="0056061F">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56061F" w:rsidRPr="00D80DC2" w:rsidRDefault="0056061F" w:rsidP="0056061F">
      <w:pPr>
        <w:jc w:val="both"/>
        <w:rPr>
          <w:rFonts w:ascii="Arial" w:hAnsi="Arial" w:cs="Arial"/>
          <w:sz w:val="22"/>
          <w:szCs w:val="22"/>
          <w:lang w:val="en-GB"/>
        </w:rPr>
      </w:pPr>
    </w:p>
    <w:p w14:paraId="4C8669CC" w14:textId="77777777" w:rsidR="0056061F" w:rsidRPr="00D80DC2" w:rsidRDefault="008C6FAA" w:rsidP="0056061F">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56061F" w:rsidRPr="00D80DC2" w:rsidRDefault="0056061F" w:rsidP="0056061F">
      <w:pPr>
        <w:ind w:left="720" w:hanging="720"/>
        <w:rPr>
          <w:rFonts w:ascii="Arial" w:hAnsi="Arial" w:cs="Arial"/>
          <w:sz w:val="22"/>
          <w:szCs w:val="22"/>
          <w:lang w:val="en-GB"/>
        </w:rPr>
      </w:pPr>
    </w:p>
    <w:p w14:paraId="124B7E72" w14:textId="503EF5A8" w:rsidR="0056061F" w:rsidRPr="00233682" w:rsidRDefault="008C6FAA" w:rsidP="00107795">
      <w:pPr>
        <w:pStyle w:val="ListParagraph"/>
        <w:numPr>
          <w:ilvl w:val="0"/>
          <w:numId w:val="13"/>
        </w:numPr>
        <w:ind w:left="426"/>
        <w:rPr>
          <w:rFonts w:ascii="Arial" w:hAnsi="Arial" w:cs="Arial"/>
          <w:sz w:val="22"/>
          <w:szCs w:val="22"/>
          <w:highlight w:val="yellow"/>
          <w:lang w:val="en-GB"/>
        </w:rPr>
      </w:pPr>
      <w:r w:rsidRPr="00233682">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56061F"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56061F"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6061F"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56061F" w:rsidRPr="00D80DC2" w:rsidRDefault="0056061F" w:rsidP="0056061F">
      <w:pPr>
        <w:jc w:val="both"/>
        <w:rPr>
          <w:rFonts w:ascii="Arial" w:hAnsi="Arial" w:cs="Arial"/>
          <w:sz w:val="22"/>
          <w:szCs w:val="22"/>
          <w:lang w:val="en-GB"/>
        </w:rPr>
      </w:pPr>
    </w:p>
    <w:p w14:paraId="432493A6" w14:textId="77777777" w:rsidR="0056061F" w:rsidRPr="00D80DC2" w:rsidRDefault="008C6FAA" w:rsidP="0056061F">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56061F" w:rsidRPr="00D80DC2" w:rsidRDefault="0056061F" w:rsidP="0056061F">
      <w:pPr>
        <w:jc w:val="both"/>
        <w:rPr>
          <w:rFonts w:ascii="Arial" w:hAnsi="Arial" w:cs="Arial"/>
          <w:sz w:val="22"/>
          <w:szCs w:val="22"/>
          <w:lang w:val="en-GB"/>
        </w:rPr>
      </w:pPr>
    </w:p>
    <w:p w14:paraId="78EBBFBA" w14:textId="5EBFEB6B" w:rsidR="0056061F" w:rsidRPr="00D80DC2" w:rsidRDefault="003B2F4E" w:rsidP="0056061F">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56061F" w:rsidRPr="00D80DC2" w:rsidRDefault="0056061F" w:rsidP="0056061F">
      <w:pPr>
        <w:ind w:left="720" w:hanging="720"/>
        <w:rPr>
          <w:rFonts w:ascii="Arial" w:hAnsi="Arial" w:cs="Arial"/>
          <w:sz w:val="22"/>
          <w:szCs w:val="22"/>
          <w:lang w:val="en-GB"/>
        </w:rPr>
      </w:pPr>
    </w:p>
    <w:p w14:paraId="08AC7282" w14:textId="4EBFF266" w:rsidR="0056061F" w:rsidRPr="00300EAB" w:rsidRDefault="003B2F4E" w:rsidP="00107795">
      <w:pPr>
        <w:pStyle w:val="ListParagraph"/>
        <w:numPr>
          <w:ilvl w:val="0"/>
          <w:numId w:val="14"/>
        </w:numPr>
        <w:ind w:left="426"/>
        <w:rPr>
          <w:rFonts w:ascii="Arial" w:hAnsi="Arial" w:cs="Arial"/>
          <w:sz w:val="22"/>
          <w:szCs w:val="22"/>
          <w:highlight w:val="yellow"/>
          <w:lang w:val="en-GB"/>
        </w:rPr>
      </w:pPr>
      <w:proofErr w:type="gramStart"/>
      <w:r w:rsidRPr="00300EAB">
        <w:rPr>
          <w:rFonts w:ascii="Arial" w:hAnsi="Arial" w:cs="Arial"/>
          <w:sz w:val="22"/>
          <w:szCs w:val="22"/>
          <w:highlight w:val="yellow"/>
          <w:lang w:val="en-GB"/>
        </w:rPr>
        <w:t>the</w:t>
      </w:r>
      <w:proofErr w:type="gramEnd"/>
      <w:r w:rsidRPr="00300EAB">
        <w:rPr>
          <w:rFonts w:ascii="Arial" w:hAnsi="Arial" w:cs="Arial"/>
          <w:sz w:val="22"/>
          <w:szCs w:val="22"/>
          <w:highlight w:val="yellow"/>
          <w:lang w:val="en-GB"/>
        </w:rPr>
        <w:t xml:space="preserve"> Bankruptcy and Insolvency Act (BIA).</w:t>
      </w:r>
    </w:p>
    <w:p w14:paraId="7A3F685F" w14:textId="77777777" w:rsidR="00107795" w:rsidRPr="00107795" w:rsidRDefault="00107795" w:rsidP="00107795">
      <w:pPr>
        <w:rPr>
          <w:rFonts w:ascii="Arial" w:hAnsi="Arial" w:cs="Arial"/>
          <w:sz w:val="22"/>
          <w:szCs w:val="22"/>
          <w:lang w:val="en-GB"/>
        </w:rPr>
      </w:pPr>
    </w:p>
    <w:p w14:paraId="5AB193D5" w14:textId="39E03C27" w:rsidR="0056061F"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56061F"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56061F"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6061F" w:rsidRPr="00D80DC2" w:rsidRDefault="0056061F" w:rsidP="0056061F">
      <w:pPr>
        <w:ind w:left="66"/>
        <w:jc w:val="both"/>
        <w:rPr>
          <w:rFonts w:ascii="Arial" w:hAnsi="Arial" w:cs="Arial"/>
          <w:iCs/>
          <w:sz w:val="22"/>
          <w:szCs w:val="22"/>
          <w:lang w:val="en-GB"/>
        </w:rPr>
      </w:pPr>
    </w:p>
    <w:p w14:paraId="416BB6AB" w14:textId="77777777" w:rsidR="0056061F" w:rsidRPr="00D80DC2" w:rsidRDefault="008C6FAA" w:rsidP="0056061F">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56061F" w:rsidRPr="00D80DC2" w:rsidRDefault="0056061F" w:rsidP="0056061F">
      <w:pPr>
        <w:jc w:val="both"/>
        <w:rPr>
          <w:rFonts w:ascii="Arial" w:hAnsi="Arial" w:cs="Arial"/>
          <w:sz w:val="22"/>
          <w:szCs w:val="22"/>
          <w:lang w:val="en-GB"/>
        </w:rPr>
      </w:pPr>
    </w:p>
    <w:p w14:paraId="587C67C8" w14:textId="40C6CAED" w:rsidR="0056061F" w:rsidRPr="003B2F4E" w:rsidRDefault="003B2F4E" w:rsidP="0056061F">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56061F" w:rsidRPr="00D80DC2" w:rsidRDefault="0056061F" w:rsidP="0056061F">
      <w:pPr>
        <w:ind w:left="720" w:hanging="720"/>
        <w:rPr>
          <w:rFonts w:ascii="Arial" w:hAnsi="Arial" w:cs="Arial"/>
          <w:sz w:val="22"/>
          <w:szCs w:val="22"/>
          <w:lang w:val="en-GB"/>
        </w:rPr>
      </w:pPr>
    </w:p>
    <w:p w14:paraId="039154C6" w14:textId="22F37315" w:rsidR="0056061F"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56061F" w:rsidRPr="00300EAB" w:rsidRDefault="003B2F4E" w:rsidP="009569A2">
      <w:pPr>
        <w:pStyle w:val="ListParagraph"/>
        <w:numPr>
          <w:ilvl w:val="0"/>
          <w:numId w:val="15"/>
        </w:numPr>
        <w:ind w:left="426"/>
        <w:rPr>
          <w:rFonts w:ascii="Arial" w:hAnsi="Arial" w:cs="Arial"/>
          <w:sz w:val="22"/>
          <w:szCs w:val="22"/>
          <w:highlight w:val="yellow"/>
          <w:lang w:val="en-GB"/>
        </w:rPr>
      </w:pPr>
      <w:r w:rsidRPr="00300EAB">
        <w:rPr>
          <w:rFonts w:ascii="Arial" w:hAnsi="Arial" w:cs="Arial"/>
          <w:sz w:val="22"/>
          <w:szCs w:val="22"/>
          <w:highlight w:val="yellow"/>
          <w:lang w:val="en-GB"/>
        </w:rPr>
        <w:t xml:space="preserve">The CCAA </w:t>
      </w:r>
      <w:r w:rsidR="00135B78" w:rsidRPr="00300EAB">
        <w:rPr>
          <w:rFonts w:ascii="Arial" w:hAnsi="Arial" w:cs="Arial"/>
          <w:sz w:val="22"/>
          <w:szCs w:val="22"/>
          <w:highlight w:val="yellow"/>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56061F"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56061F"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sets out a relatively skeletal framework, and affords broad discretion to a judge as compared to a restructuring under the BIA. </w:t>
      </w:r>
    </w:p>
    <w:p w14:paraId="7CDC70A2" w14:textId="6E8D4965" w:rsidR="0056061F" w:rsidRPr="00D80DC2" w:rsidRDefault="0056061F">
      <w:pPr>
        <w:jc w:val="both"/>
        <w:rPr>
          <w:rFonts w:ascii="Arial" w:hAnsi="Arial" w:cs="Arial"/>
          <w:b/>
          <w:bCs/>
          <w:sz w:val="22"/>
          <w:szCs w:val="22"/>
          <w:lang w:val="en-GB"/>
        </w:rPr>
      </w:pPr>
    </w:p>
    <w:p w14:paraId="2FD9EDF4" w14:textId="77777777" w:rsidR="0056061F" w:rsidRPr="00D80DC2" w:rsidRDefault="0056061F">
      <w:pPr>
        <w:jc w:val="both"/>
        <w:rPr>
          <w:rFonts w:ascii="Arial" w:hAnsi="Arial" w:cs="Arial"/>
          <w:b/>
          <w:bCs/>
          <w:sz w:val="22"/>
          <w:szCs w:val="22"/>
          <w:lang w:val="en-GB"/>
        </w:rPr>
      </w:pPr>
    </w:p>
    <w:p w14:paraId="568A6582" w14:textId="0BDF1319" w:rsidR="0056061F"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56061F" w:rsidRPr="00D80DC2" w:rsidRDefault="0056061F" w:rsidP="0056061F">
      <w:pPr>
        <w:jc w:val="both"/>
        <w:rPr>
          <w:rFonts w:ascii="Arial" w:hAnsi="Arial" w:cs="Arial"/>
          <w:sz w:val="22"/>
          <w:szCs w:val="22"/>
          <w:lang w:val="en-GB"/>
        </w:rPr>
      </w:pPr>
    </w:p>
    <w:p w14:paraId="3D67232F" w14:textId="56C6C04C" w:rsidR="0056061F" w:rsidRPr="00D80DC2" w:rsidRDefault="00E91C87" w:rsidP="0056061F">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56061F" w:rsidRPr="00D80DC2" w:rsidRDefault="0056061F" w:rsidP="0056061F">
      <w:pPr>
        <w:ind w:left="720" w:hanging="720"/>
        <w:rPr>
          <w:rFonts w:ascii="Arial" w:hAnsi="Arial" w:cs="Arial"/>
          <w:sz w:val="22"/>
          <w:szCs w:val="22"/>
          <w:lang w:val="en-GB"/>
        </w:rPr>
      </w:pPr>
    </w:p>
    <w:p w14:paraId="5BDF9F84" w14:textId="30249242" w:rsidR="0056061F" w:rsidRDefault="00E91C87" w:rsidP="002A49B4">
      <w:pPr>
        <w:pStyle w:val="ListParagraph"/>
        <w:numPr>
          <w:ilvl w:val="0"/>
          <w:numId w:val="16"/>
        </w:numPr>
        <w:ind w:left="426"/>
        <w:rPr>
          <w:rFonts w:ascii="Arial" w:hAnsi="Arial" w:cs="Arial"/>
          <w:sz w:val="22"/>
          <w:szCs w:val="22"/>
          <w:lang w:val="en-GB"/>
        </w:rPr>
      </w:pPr>
      <w:proofErr w:type="gramStart"/>
      <w:r>
        <w:rPr>
          <w:rFonts w:ascii="Arial" w:hAnsi="Arial" w:cs="Arial"/>
          <w:sz w:val="22"/>
          <w:szCs w:val="22"/>
          <w:lang w:val="en-GB"/>
        </w:rPr>
        <w:t>provide</w:t>
      </w:r>
      <w:proofErr w:type="gramEnd"/>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56061F" w:rsidRDefault="00E91C87" w:rsidP="002A49B4">
      <w:pPr>
        <w:pStyle w:val="ListParagraph"/>
        <w:numPr>
          <w:ilvl w:val="0"/>
          <w:numId w:val="16"/>
        </w:numPr>
        <w:ind w:left="426"/>
        <w:rPr>
          <w:rFonts w:ascii="Arial" w:hAnsi="Arial" w:cs="Arial"/>
          <w:sz w:val="22"/>
          <w:szCs w:val="22"/>
          <w:lang w:val="en-GB"/>
        </w:rPr>
      </w:pPr>
      <w:proofErr w:type="gramStart"/>
      <w:r>
        <w:rPr>
          <w:rFonts w:ascii="Arial" w:hAnsi="Arial" w:cs="Arial"/>
          <w:sz w:val="22"/>
          <w:szCs w:val="22"/>
          <w:lang w:val="en-GB"/>
        </w:rPr>
        <w:t>allow</w:t>
      </w:r>
      <w:proofErr w:type="gramEnd"/>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56061F" w:rsidRDefault="00E91C87" w:rsidP="002A49B4">
      <w:pPr>
        <w:pStyle w:val="ListParagraph"/>
        <w:numPr>
          <w:ilvl w:val="0"/>
          <w:numId w:val="16"/>
        </w:numPr>
        <w:ind w:left="426"/>
        <w:rPr>
          <w:rFonts w:ascii="Arial" w:hAnsi="Arial" w:cs="Arial"/>
          <w:sz w:val="22"/>
          <w:szCs w:val="22"/>
          <w:lang w:val="en-GB"/>
        </w:rPr>
      </w:pPr>
      <w:proofErr w:type="gramStart"/>
      <w:r>
        <w:rPr>
          <w:rFonts w:ascii="Arial" w:hAnsi="Arial" w:cs="Arial"/>
          <w:sz w:val="22"/>
          <w:szCs w:val="22"/>
          <w:lang w:val="en-GB"/>
        </w:rPr>
        <w:t>provide</w:t>
      </w:r>
      <w:proofErr w:type="gramEnd"/>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300EAB" w:rsidRDefault="003044AE" w:rsidP="002A49B4">
      <w:pPr>
        <w:pStyle w:val="ListParagraph"/>
        <w:numPr>
          <w:ilvl w:val="0"/>
          <w:numId w:val="16"/>
        </w:numPr>
        <w:ind w:left="426"/>
        <w:rPr>
          <w:rFonts w:ascii="Arial" w:hAnsi="Arial" w:cs="Arial"/>
          <w:sz w:val="22"/>
          <w:szCs w:val="22"/>
          <w:highlight w:val="yellow"/>
          <w:lang w:val="en-GB"/>
        </w:rPr>
      </w:pPr>
      <w:r w:rsidRPr="00300EAB">
        <w:rPr>
          <w:rFonts w:ascii="Arial" w:hAnsi="Arial" w:cs="Arial"/>
          <w:sz w:val="22"/>
          <w:szCs w:val="22"/>
          <w:highlight w:val="yellow"/>
          <w:lang w:val="en-GB"/>
        </w:rPr>
        <w:t xml:space="preserve">All of the above. </w:t>
      </w:r>
    </w:p>
    <w:p w14:paraId="59E1BA41" w14:textId="77777777" w:rsidR="0056061F" w:rsidRPr="00D80DC2" w:rsidRDefault="0056061F">
      <w:pPr>
        <w:keepNext/>
        <w:jc w:val="both"/>
        <w:rPr>
          <w:rFonts w:ascii="Arial" w:hAnsi="Arial" w:cs="Arial"/>
          <w:b/>
          <w:bCs/>
          <w:sz w:val="22"/>
          <w:szCs w:val="22"/>
          <w:lang w:val="en-GB"/>
        </w:rPr>
      </w:pPr>
    </w:p>
    <w:p w14:paraId="4BEB1192" w14:textId="77777777" w:rsidR="0056061F" w:rsidRPr="00D80DC2" w:rsidRDefault="008C6FAA" w:rsidP="0056061F">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56061F" w:rsidRPr="00D80DC2" w:rsidRDefault="0056061F" w:rsidP="0056061F">
      <w:pPr>
        <w:autoSpaceDE w:val="0"/>
        <w:autoSpaceDN w:val="0"/>
        <w:adjustRightInd w:val="0"/>
        <w:jc w:val="both"/>
        <w:rPr>
          <w:rFonts w:ascii="Arial" w:hAnsi="Arial" w:cs="Arial"/>
          <w:sz w:val="22"/>
          <w:szCs w:val="22"/>
          <w:lang w:val="en-GB"/>
        </w:rPr>
      </w:pPr>
    </w:p>
    <w:p w14:paraId="13E1283C" w14:textId="4709009B" w:rsidR="0056061F" w:rsidRPr="000F2991" w:rsidRDefault="00E91C87" w:rsidP="0056061F">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56061F" w:rsidRPr="00D80DC2" w:rsidRDefault="0056061F" w:rsidP="0056061F">
      <w:pPr>
        <w:ind w:left="720" w:hanging="720"/>
        <w:rPr>
          <w:rFonts w:ascii="Arial" w:hAnsi="Arial" w:cs="Arial"/>
          <w:sz w:val="22"/>
          <w:szCs w:val="22"/>
          <w:lang w:val="en-GB"/>
        </w:rPr>
      </w:pPr>
    </w:p>
    <w:p w14:paraId="59219D81" w14:textId="739476DC" w:rsidR="0056061F" w:rsidRDefault="00E91C87" w:rsidP="001B0BDE">
      <w:pPr>
        <w:pStyle w:val="ListParagraph"/>
        <w:numPr>
          <w:ilvl w:val="0"/>
          <w:numId w:val="17"/>
        </w:numPr>
        <w:ind w:left="426"/>
        <w:rPr>
          <w:rFonts w:ascii="Arial" w:hAnsi="Arial" w:cs="Arial"/>
          <w:sz w:val="22"/>
          <w:szCs w:val="22"/>
          <w:lang w:val="en-GB"/>
        </w:rPr>
      </w:pPr>
      <w:proofErr w:type="gramStart"/>
      <w:r>
        <w:rPr>
          <w:rFonts w:ascii="Arial" w:hAnsi="Arial" w:cs="Arial"/>
          <w:sz w:val="22"/>
          <w:szCs w:val="22"/>
        </w:rPr>
        <w:t>the</w:t>
      </w:r>
      <w:proofErr w:type="gramEnd"/>
      <w:r>
        <w:rPr>
          <w:rFonts w:ascii="Arial" w:hAnsi="Arial" w:cs="Arial"/>
          <w:sz w:val="22"/>
          <w:szCs w:val="22"/>
        </w:rPr>
        <w:t xml:space="preserv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56061F" w:rsidRDefault="00E91C87" w:rsidP="001B0BDE">
      <w:pPr>
        <w:pStyle w:val="ListParagraph"/>
        <w:numPr>
          <w:ilvl w:val="0"/>
          <w:numId w:val="17"/>
        </w:numPr>
        <w:ind w:left="426"/>
        <w:rPr>
          <w:rFonts w:ascii="Arial" w:hAnsi="Arial" w:cs="Arial"/>
          <w:sz w:val="22"/>
          <w:szCs w:val="22"/>
          <w:lang w:val="en-GB"/>
        </w:rPr>
      </w:pPr>
      <w:proofErr w:type="gramStart"/>
      <w:r>
        <w:rPr>
          <w:rFonts w:ascii="Arial" w:hAnsi="Arial" w:cs="Arial"/>
          <w:sz w:val="22"/>
          <w:szCs w:val="22"/>
        </w:rPr>
        <w:t>the</w:t>
      </w:r>
      <w:proofErr w:type="gramEnd"/>
      <w:r>
        <w:rPr>
          <w:rFonts w:ascii="Arial" w:hAnsi="Arial" w:cs="Arial"/>
          <w:sz w:val="22"/>
          <w:szCs w:val="22"/>
        </w:rPr>
        <w:t xml:space="preserv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56061F" w:rsidRDefault="00E91C87" w:rsidP="001B0BDE">
      <w:pPr>
        <w:pStyle w:val="ListParagraph"/>
        <w:numPr>
          <w:ilvl w:val="0"/>
          <w:numId w:val="17"/>
        </w:numPr>
        <w:ind w:left="426"/>
        <w:rPr>
          <w:rFonts w:ascii="Arial" w:hAnsi="Arial" w:cs="Arial"/>
          <w:sz w:val="22"/>
          <w:szCs w:val="22"/>
          <w:lang w:val="en-GB"/>
        </w:rPr>
      </w:pPr>
      <w:proofErr w:type="gramStart"/>
      <w:r>
        <w:rPr>
          <w:rFonts w:ascii="Arial" w:hAnsi="Arial" w:cs="Arial"/>
          <w:sz w:val="22"/>
          <w:szCs w:val="22"/>
        </w:rPr>
        <w:t>the</w:t>
      </w:r>
      <w:proofErr w:type="gramEnd"/>
      <w:r>
        <w:rPr>
          <w:rFonts w:ascii="Arial" w:hAnsi="Arial" w:cs="Arial"/>
          <w:sz w:val="22"/>
          <w:szCs w:val="22"/>
        </w:rPr>
        <w:t xml:space="preserv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56061F" w:rsidRPr="00300EAB" w:rsidRDefault="00E91C87" w:rsidP="001B0BDE">
      <w:pPr>
        <w:pStyle w:val="ListParagraph"/>
        <w:numPr>
          <w:ilvl w:val="0"/>
          <w:numId w:val="17"/>
        </w:numPr>
        <w:ind w:left="426"/>
        <w:rPr>
          <w:rFonts w:ascii="Arial" w:hAnsi="Arial" w:cs="Arial"/>
          <w:sz w:val="22"/>
          <w:szCs w:val="22"/>
          <w:highlight w:val="yellow"/>
          <w:lang w:val="en-GB"/>
        </w:rPr>
      </w:pPr>
      <w:proofErr w:type="gramStart"/>
      <w:r w:rsidRPr="00300EAB">
        <w:rPr>
          <w:rFonts w:ascii="Arial" w:hAnsi="Arial" w:cs="Arial"/>
          <w:sz w:val="22"/>
          <w:szCs w:val="22"/>
          <w:highlight w:val="yellow"/>
          <w:lang w:val="en-GB"/>
        </w:rPr>
        <w:t>the</w:t>
      </w:r>
      <w:proofErr w:type="gramEnd"/>
      <w:r w:rsidRPr="00300EAB">
        <w:rPr>
          <w:rFonts w:ascii="Arial" w:hAnsi="Arial" w:cs="Arial"/>
          <w:sz w:val="22"/>
          <w:szCs w:val="22"/>
          <w:highlight w:val="yellow"/>
          <w:lang w:val="en-GB"/>
        </w:rPr>
        <w:t xml:space="preserve"> debtor </w:t>
      </w:r>
      <w:r w:rsidR="006C686A" w:rsidRPr="00300EAB">
        <w:rPr>
          <w:rFonts w:ascii="Arial" w:hAnsi="Arial" w:cs="Arial"/>
          <w:sz w:val="22"/>
          <w:szCs w:val="22"/>
          <w:highlight w:val="yellow"/>
          <w:lang w:val="en-GB"/>
        </w:rPr>
        <w:t xml:space="preserve">misses a mortgage payment. </w:t>
      </w:r>
    </w:p>
    <w:p w14:paraId="381396E9" w14:textId="77777777" w:rsidR="0056061F" w:rsidRPr="00D80DC2" w:rsidRDefault="0056061F">
      <w:pPr>
        <w:autoSpaceDE w:val="0"/>
        <w:autoSpaceDN w:val="0"/>
        <w:adjustRightInd w:val="0"/>
        <w:jc w:val="both"/>
        <w:rPr>
          <w:rFonts w:ascii="Arial" w:hAnsi="Arial" w:cs="Arial"/>
          <w:b/>
          <w:bCs/>
          <w:sz w:val="22"/>
          <w:szCs w:val="22"/>
          <w:lang w:val="en-GB"/>
        </w:rPr>
      </w:pPr>
    </w:p>
    <w:p w14:paraId="77323D6D" w14:textId="77777777" w:rsidR="0056061F" w:rsidRPr="00D80DC2" w:rsidRDefault="008C6FAA" w:rsidP="0056061F">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56061F" w:rsidRPr="00D80DC2" w:rsidRDefault="0056061F" w:rsidP="0056061F">
      <w:pPr>
        <w:jc w:val="both"/>
        <w:rPr>
          <w:rFonts w:ascii="Arial" w:hAnsi="Arial" w:cs="Arial"/>
          <w:sz w:val="22"/>
          <w:szCs w:val="22"/>
          <w:lang w:val="en-GB"/>
        </w:rPr>
      </w:pPr>
    </w:p>
    <w:p w14:paraId="099CEEB6" w14:textId="77777777" w:rsidR="001834D3" w:rsidRDefault="001834D3" w:rsidP="0056061F">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56061F">
      <w:pPr>
        <w:jc w:val="both"/>
        <w:rPr>
          <w:rFonts w:ascii="Arial" w:hAnsi="Arial" w:cs="Arial"/>
          <w:sz w:val="22"/>
          <w:szCs w:val="22"/>
          <w:lang w:val="en-GB"/>
        </w:rPr>
      </w:pPr>
    </w:p>
    <w:p w14:paraId="7EFADB14" w14:textId="647E6267" w:rsidR="0056061F" w:rsidRPr="005417F4" w:rsidRDefault="006C686A" w:rsidP="0056061F">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56061F" w:rsidRPr="00D80DC2" w:rsidRDefault="0056061F" w:rsidP="0056061F">
      <w:pPr>
        <w:ind w:left="426" w:hanging="284"/>
        <w:jc w:val="both"/>
        <w:rPr>
          <w:rFonts w:ascii="Arial" w:hAnsi="Arial" w:cs="Arial"/>
          <w:sz w:val="22"/>
          <w:szCs w:val="22"/>
          <w:lang w:val="en-GB"/>
        </w:rPr>
      </w:pPr>
    </w:p>
    <w:p w14:paraId="1C89F69D" w14:textId="2E30383B" w:rsidR="0056061F" w:rsidRPr="00300EAB" w:rsidRDefault="00F73328" w:rsidP="00513258">
      <w:pPr>
        <w:pStyle w:val="ListParagraph"/>
        <w:numPr>
          <w:ilvl w:val="0"/>
          <w:numId w:val="18"/>
        </w:numPr>
        <w:ind w:left="426"/>
        <w:jc w:val="both"/>
        <w:rPr>
          <w:rFonts w:ascii="Arial" w:hAnsi="Arial" w:cs="Arial"/>
          <w:sz w:val="22"/>
          <w:szCs w:val="22"/>
          <w:highlight w:val="yellow"/>
          <w:lang w:val="en-GB"/>
        </w:rPr>
      </w:pPr>
      <w:proofErr w:type="gramStart"/>
      <w:r w:rsidRPr="00300EAB">
        <w:rPr>
          <w:rFonts w:ascii="Arial" w:hAnsi="Arial" w:cs="Arial"/>
          <w:sz w:val="22"/>
          <w:szCs w:val="22"/>
          <w:highlight w:val="yellow"/>
          <w:lang w:val="en-GB"/>
        </w:rPr>
        <w:t>continue</w:t>
      </w:r>
      <w:proofErr w:type="gramEnd"/>
      <w:r w:rsidRPr="00300EAB">
        <w:rPr>
          <w:rFonts w:ascii="Arial" w:hAnsi="Arial" w:cs="Arial"/>
          <w:sz w:val="22"/>
          <w:szCs w:val="22"/>
          <w:highlight w:val="yellow"/>
          <w:lang w:val="en-GB"/>
        </w:rPr>
        <w:t xml:space="preserve"> to </w:t>
      </w:r>
      <w:r w:rsidR="00791452" w:rsidRPr="00300EAB">
        <w:rPr>
          <w:rFonts w:ascii="Arial" w:hAnsi="Arial" w:cs="Arial"/>
          <w:sz w:val="22"/>
          <w:szCs w:val="22"/>
          <w:highlight w:val="yellow"/>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56061F" w:rsidRDefault="00791452" w:rsidP="00513258">
      <w:pPr>
        <w:pStyle w:val="ListParagraph"/>
        <w:numPr>
          <w:ilvl w:val="0"/>
          <w:numId w:val="18"/>
        </w:numPr>
        <w:ind w:left="426"/>
        <w:jc w:val="both"/>
        <w:rPr>
          <w:rFonts w:ascii="Arial" w:hAnsi="Arial" w:cs="Arial"/>
          <w:sz w:val="22"/>
          <w:szCs w:val="22"/>
          <w:lang w:val="en-GB"/>
        </w:rPr>
      </w:pPr>
      <w:proofErr w:type="gramStart"/>
      <w:r>
        <w:rPr>
          <w:rFonts w:ascii="Arial" w:hAnsi="Arial" w:cs="Arial"/>
          <w:sz w:val="22"/>
          <w:szCs w:val="22"/>
          <w:lang w:val="en-GB"/>
        </w:rPr>
        <w:t>no</w:t>
      </w:r>
      <w:proofErr w:type="gramEnd"/>
      <w:r>
        <w:rPr>
          <w:rFonts w:ascii="Arial" w:hAnsi="Arial" w:cs="Arial"/>
          <w:sz w:val="22"/>
          <w:szCs w:val="22"/>
          <w:lang w:val="en-GB"/>
        </w:rPr>
        <w:t xml:space="preserve">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56061F" w:rsidRDefault="00F73328" w:rsidP="00513258">
      <w:pPr>
        <w:pStyle w:val="ListParagraph"/>
        <w:numPr>
          <w:ilvl w:val="0"/>
          <w:numId w:val="18"/>
        </w:numPr>
        <w:ind w:left="426"/>
        <w:jc w:val="both"/>
        <w:rPr>
          <w:rFonts w:ascii="Arial" w:hAnsi="Arial" w:cs="Arial"/>
          <w:sz w:val="22"/>
          <w:szCs w:val="22"/>
          <w:lang w:val="en-GB"/>
        </w:rPr>
      </w:pPr>
      <w:proofErr w:type="gramStart"/>
      <w:r>
        <w:rPr>
          <w:rFonts w:ascii="Arial" w:hAnsi="Arial" w:cs="Arial"/>
          <w:sz w:val="22"/>
          <w:szCs w:val="22"/>
          <w:lang w:val="en-GB"/>
        </w:rPr>
        <w:t>cannot</w:t>
      </w:r>
      <w:proofErr w:type="gramEnd"/>
      <w:r>
        <w:rPr>
          <w:rFonts w:ascii="Arial" w:hAnsi="Arial" w:cs="Arial"/>
          <w:sz w:val="22"/>
          <w:szCs w:val="22"/>
          <w:lang w:val="en-GB"/>
        </w:rPr>
        <w:t xml:space="preserve">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proofErr w:type="gramStart"/>
      <w:r>
        <w:rPr>
          <w:rFonts w:ascii="Arial" w:hAnsi="Arial" w:cs="Arial"/>
          <w:sz w:val="22"/>
          <w:szCs w:val="22"/>
          <w:lang w:val="en-GB"/>
        </w:rPr>
        <w:t>cannot</w:t>
      </w:r>
      <w:proofErr w:type="gramEnd"/>
      <w:r>
        <w:rPr>
          <w:rFonts w:ascii="Arial" w:hAnsi="Arial" w:cs="Arial"/>
          <w:sz w:val="22"/>
          <w:szCs w:val="22"/>
          <w:lang w:val="en-GB"/>
        </w:rPr>
        <w:t xml:space="preserve"> consider, under any circumstances, the interests of creditors, consumers, governments, employees, or any other stakeholder in discharging their duties. </w:t>
      </w:r>
    </w:p>
    <w:p w14:paraId="0A75F239" w14:textId="77777777" w:rsidR="0056061F" w:rsidRPr="00D80DC2" w:rsidRDefault="0056061F">
      <w:pPr>
        <w:jc w:val="both"/>
        <w:rPr>
          <w:rFonts w:ascii="Arial" w:hAnsi="Arial" w:cs="Arial"/>
          <w:b/>
          <w:bCs/>
          <w:sz w:val="22"/>
          <w:szCs w:val="22"/>
          <w:lang w:val="en-GB"/>
        </w:rPr>
      </w:pPr>
    </w:p>
    <w:p w14:paraId="7147449D" w14:textId="77777777" w:rsidR="0056061F" w:rsidRPr="00D80DC2" w:rsidRDefault="008C6FAA" w:rsidP="0056061F">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6061F" w:rsidRPr="00D80DC2" w:rsidRDefault="0056061F" w:rsidP="0056061F">
      <w:pPr>
        <w:jc w:val="both"/>
        <w:rPr>
          <w:rFonts w:ascii="Arial" w:eastAsiaTheme="minorHAnsi" w:hAnsi="Arial" w:cs="Arial"/>
          <w:sz w:val="22"/>
          <w:szCs w:val="22"/>
          <w:lang w:val="en-GB"/>
        </w:rPr>
      </w:pPr>
    </w:p>
    <w:p w14:paraId="429AA2FC" w14:textId="77777777" w:rsidR="00E0683B" w:rsidRPr="00E0683B" w:rsidRDefault="005625A0" w:rsidP="0056061F">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56061F">
      <w:pPr>
        <w:jc w:val="both"/>
        <w:rPr>
          <w:rFonts w:ascii="Arial" w:hAnsi="Arial" w:cs="Arial"/>
          <w:sz w:val="22"/>
          <w:szCs w:val="22"/>
          <w:lang w:val="en-GB"/>
        </w:rPr>
      </w:pPr>
    </w:p>
    <w:p w14:paraId="2CDE0CDF" w14:textId="416B81F3" w:rsidR="0056061F" w:rsidRPr="00D80DC2" w:rsidRDefault="008C6FAA" w:rsidP="0056061F">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56061F" w:rsidRPr="00D80DC2" w:rsidRDefault="0056061F" w:rsidP="0056061F">
      <w:pPr>
        <w:jc w:val="both"/>
        <w:rPr>
          <w:rFonts w:ascii="Arial" w:hAnsi="Arial" w:cs="Arial"/>
          <w:sz w:val="22"/>
          <w:szCs w:val="22"/>
          <w:lang w:val="en-GB"/>
        </w:rPr>
      </w:pPr>
    </w:p>
    <w:p w14:paraId="75BAC333" w14:textId="5E15857F" w:rsidR="0056061F" w:rsidRPr="00F07351" w:rsidRDefault="008C6FAA" w:rsidP="005625A0">
      <w:pPr>
        <w:pStyle w:val="ListParagraph"/>
        <w:numPr>
          <w:ilvl w:val="0"/>
          <w:numId w:val="19"/>
        </w:numPr>
        <w:ind w:left="426"/>
        <w:jc w:val="both"/>
        <w:rPr>
          <w:rFonts w:ascii="Arial" w:hAnsi="Arial" w:cs="Arial"/>
          <w:sz w:val="22"/>
          <w:szCs w:val="22"/>
          <w:highlight w:val="yellow"/>
          <w:lang w:val="en-GB"/>
        </w:rPr>
      </w:pPr>
      <w:r w:rsidRPr="00F07351">
        <w:rPr>
          <w:rFonts w:ascii="Arial" w:hAnsi="Arial" w:cs="Arial"/>
          <w:sz w:val="22"/>
          <w:szCs w:val="22"/>
          <w:highlight w:val="yellow"/>
          <w:lang w:val="en-GB"/>
        </w:rPr>
        <w:t>True</w:t>
      </w:r>
      <w:r w:rsidR="00E0683B" w:rsidRPr="00F07351">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56061F"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56061F">
      <w:pPr>
        <w:jc w:val="both"/>
        <w:rPr>
          <w:rFonts w:ascii="Arial" w:hAnsi="Arial" w:cs="Arial"/>
          <w:b/>
          <w:bCs/>
          <w:sz w:val="22"/>
          <w:szCs w:val="22"/>
          <w:lang w:val="en-GB"/>
        </w:rPr>
      </w:pPr>
    </w:p>
    <w:p w14:paraId="53CA2869" w14:textId="0640D105" w:rsidR="0056061F"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56061F" w:rsidRPr="00D80DC2" w:rsidRDefault="0056061F"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56061F">
      <w:pPr>
        <w:jc w:val="both"/>
        <w:rPr>
          <w:rFonts w:ascii="Arial" w:hAnsi="Arial" w:cs="Arial"/>
          <w:sz w:val="22"/>
          <w:szCs w:val="22"/>
          <w:lang w:val="en-GB"/>
        </w:rPr>
      </w:pPr>
    </w:p>
    <w:p w14:paraId="12C08C0F" w14:textId="73DDE494" w:rsidR="0056061F" w:rsidRPr="00D80DC2" w:rsidRDefault="00F73328" w:rsidP="0056061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56061F" w:rsidRPr="00D80DC2" w:rsidRDefault="0056061F" w:rsidP="0056061F">
      <w:pPr>
        <w:jc w:val="both"/>
        <w:rPr>
          <w:rFonts w:ascii="Arial" w:hAnsi="Arial" w:cs="Arial"/>
          <w:sz w:val="22"/>
          <w:szCs w:val="22"/>
          <w:lang w:val="en-GB"/>
        </w:rPr>
      </w:pPr>
    </w:p>
    <w:p w14:paraId="7EDA2BD3" w14:textId="1C6DC874" w:rsidR="0056061F" w:rsidRPr="00F07351" w:rsidRDefault="008C6FAA" w:rsidP="00E0683B">
      <w:pPr>
        <w:pStyle w:val="ListParagraph"/>
        <w:numPr>
          <w:ilvl w:val="0"/>
          <w:numId w:val="20"/>
        </w:numPr>
        <w:ind w:left="426"/>
        <w:jc w:val="both"/>
        <w:rPr>
          <w:rFonts w:ascii="Arial" w:hAnsi="Arial" w:cs="Arial"/>
          <w:sz w:val="22"/>
          <w:szCs w:val="22"/>
          <w:highlight w:val="yellow"/>
          <w:lang w:val="en-GB"/>
        </w:rPr>
      </w:pPr>
      <w:r w:rsidRPr="00F07351">
        <w:rPr>
          <w:rFonts w:ascii="Arial" w:hAnsi="Arial" w:cs="Arial"/>
          <w:sz w:val="22"/>
          <w:szCs w:val="22"/>
          <w:highlight w:val="yellow"/>
          <w:lang w:val="en-GB"/>
        </w:rPr>
        <w:t>True</w:t>
      </w:r>
      <w:r w:rsidR="00E0683B" w:rsidRPr="00F07351">
        <w:rPr>
          <w:rFonts w:ascii="Arial" w:hAnsi="Arial" w:cs="Arial"/>
          <w:sz w:val="22"/>
          <w:szCs w:val="22"/>
          <w:highlight w:val="yellow"/>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56061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6061F" w:rsidRPr="00D80DC2" w:rsidRDefault="0056061F" w:rsidP="0056061F">
      <w:pPr>
        <w:jc w:val="both"/>
        <w:rPr>
          <w:rFonts w:ascii="Arial" w:eastAsiaTheme="minorHAnsi" w:hAnsi="Arial" w:cs="Arial"/>
          <w:sz w:val="22"/>
          <w:szCs w:val="22"/>
          <w:lang w:val="en-GB"/>
        </w:rPr>
      </w:pPr>
    </w:p>
    <w:p w14:paraId="05F0AF18" w14:textId="77777777" w:rsidR="0056061F" w:rsidRPr="00D80DC2" w:rsidRDefault="008C6FAA" w:rsidP="0056061F">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56061F" w:rsidRPr="00D80DC2" w:rsidRDefault="0056061F" w:rsidP="0056061F">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56061F">
      <w:pPr>
        <w:jc w:val="both"/>
        <w:rPr>
          <w:rFonts w:ascii="Arial" w:hAnsi="Arial" w:cs="Arial"/>
          <w:sz w:val="22"/>
          <w:szCs w:val="22"/>
          <w:lang w:val="en-GB"/>
        </w:rPr>
      </w:pPr>
    </w:p>
    <w:p w14:paraId="46BC5B1D" w14:textId="62FFCA2B" w:rsidR="0056061F" w:rsidRPr="00D80DC2" w:rsidRDefault="00F73328" w:rsidP="0056061F">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56061F" w:rsidRPr="00D80DC2" w:rsidRDefault="0056061F" w:rsidP="0056061F">
      <w:pPr>
        <w:jc w:val="both"/>
        <w:rPr>
          <w:rFonts w:ascii="Arial" w:hAnsi="Arial" w:cs="Arial"/>
          <w:sz w:val="22"/>
          <w:szCs w:val="22"/>
          <w:lang w:val="en-GB"/>
        </w:rPr>
      </w:pPr>
    </w:p>
    <w:p w14:paraId="7B155A56" w14:textId="2CD3A8FA" w:rsidR="0056061F"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56061F" w:rsidRPr="00F07351" w:rsidRDefault="008C6FAA" w:rsidP="00E0683B">
      <w:pPr>
        <w:pStyle w:val="ListParagraph"/>
        <w:numPr>
          <w:ilvl w:val="0"/>
          <w:numId w:val="21"/>
        </w:numPr>
        <w:ind w:left="426"/>
        <w:jc w:val="both"/>
        <w:rPr>
          <w:rFonts w:ascii="Arial" w:hAnsi="Arial" w:cs="Arial"/>
          <w:sz w:val="22"/>
          <w:szCs w:val="22"/>
          <w:highlight w:val="yellow"/>
          <w:lang w:val="en-GB"/>
        </w:rPr>
      </w:pPr>
      <w:r w:rsidRPr="00F07351">
        <w:rPr>
          <w:rFonts w:ascii="Arial" w:hAnsi="Arial" w:cs="Arial"/>
          <w:sz w:val="22"/>
          <w:szCs w:val="22"/>
          <w:highlight w:val="yellow"/>
          <w:lang w:val="en-GB"/>
        </w:rPr>
        <w:t>False</w:t>
      </w:r>
      <w:r w:rsidR="00E0683B" w:rsidRPr="00F07351">
        <w:rPr>
          <w:rFonts w:ascii="Arial" w:hAnsi="Arial" w:cs="Arial"/>
          <w:sz w:val="22"/>
          <w:szCs w:val="22"/>
          <w:highlight w:val="yellow"/>
          <w:lang w:val="en-GB"/>
        </w:rPr>
        <w:t>.</w:t>
      </w:r>
    </w:p>
    <w:p w14:paraId="5A1C34C3" w14:textId="77777777" w:rsidR="0056061F" w:rsidRPr="00D80DC2" w:rsidRDefault="0056061F">
      <w:pPr>
        <w:rPr>
          <w:rFonts w:ascii="Arial" w:hAnsi="Arial" w:cs="Arial"/>
          <w:b/>
          <w:sz w:val="22"/>
          <w:szCs w:val="22"/>
          <w:lang w:val="en-GB"/>
        </w:rPr>
      </w:pPr>
    </w:p>
    <w:p w14:paraId="16FA7F01" w14:textId="77777777" w:rsidR="0056061F" w:rsidRPr="00D80DC2" w:rsidRDefault="008C6FAA" w:rsidP="0056061F">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56061F" w:rsidRPr="00D80DC2" w:rsidRDefault="0056061F" w:rsidP="0056061F">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56061F">
      <w:pPr>
        <w:rPr>
          <w:rFonts w:ascii="Arial" w:hAnsi="Arial" w:cs="Arial"/>
          <w:sz w:val="22"/>
          <w:szCs w:val="22"/>
          <w:lang w:val="en-GB"/>
        </w:rPr>
      </w:pPr>
    </w:p>
    <w:p w14:paraId="16E56316" w14:textId="123359B0" w:rsidR="0056061F" w:rsidRDefault="002D713F" w:rsidP="0056061F">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56061F" w:rsidRPr="00D80DC2" w:rsidRDefault="0056061F" w:rsidP="0056061F">
      <w:pPr>
        <w:rPr>
          <w:rFonts w:ascii="Arial" w:hAnsi="Arial" w:cs="Arial"/>
          <w:sz w:val="22"/>
          <w:szCs w:val="22"/>
          <w:lang w:val="en-GB"/>
        </w:rPr>
      </w:pPr>
    </w:p>
    <w:p w14:paraId="0047F34A" w14:textId="75B35152" w:rsidR="0056061F" w:rsidRPr="00F07351" w:rsidRDefault="008C6FAA" w:rsidP="00A254C1">
      <w:pPr>
        <w:pStyle w:val="ListParagraph"/>
        <w:numPr>
          <w:ilvl w:val="0"/>
          <w:numId w:val="22"/>
        </w:numPr>
        <w:ind w:left="426"/>
        <w:jc w:val="both"/>
        <w:rPr>
          <w:rFonts w:ascii="Arial" w:hAnsi="Arial" w:cs="Arial"/>
          <w:sz w:val="22"/>
          <w:szCs w:val="22"/>
          <w:highlight w:val="yellow"/>
          <w:lang w:val="en-GB"/>
        </w:rPr>
      </w:pPr>
      <w:r w:rsidRPr="00F07351">
        <w:rPr>
          <w:rFonts w:ascii="Arial" w:hAnsi="Arial" w:cs="Arial"/>
          <w:sz w:val="22"/>
          <w:szCs w:val="22"/>
          <w:highlight w:val="yellow"/>
          <w:lang w:val="en-GB"/>
        </w:rPr>
        <w:t>True</w:t>
      </w:r>
      <w:r w:rsidR="00A254C1" w:rsidRPr="00F07351">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56061F"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56061F" w:rsidRPr="00D80DC2" w:rsidRDefault="0056061F" w:rsidP="0056061F">
      <w:pPr>
        <w:rPr>
          <w:rFonts w:ascii="Arial" w:hAnsi="Arial" w:cs="Arial"/>
          <w:b/>
          <w:sz w:val="22"/>
          <w:szCs w:val="22"/>
          <w:lang w:val="en-GB"/>
        </w:rPr>
      </w:pPr>
    </w:p>
    <w:p w14:paraId="6949B42C" w14:textId="77777777" w:rsidR="0056061F" w:rsidRDefault="0056061F" w:rsidP="0056061F">
      <w:pPr>
        <w:jc w:val="both"/>
        <w:rPr>
          <w:rFonts w:ascii="Arial" w:hAnsi="Arial" w:cs="Arial"/>
          <w:bCs/>
          <w:sz w:val="22"/>
          <w:szCs w:val="22"/>
          <w:lang w:val="en-GB"/>
        </w:rPr>
      </w:pPr>
    </w:p>
    <w:p w14:paraId="1E51B2F3" w14:textId="77777777" w:rsidR="0056061F" w:rsidRPr="00D80DC2" w:rsidRDefault="008C6FAA" w:rsidP="0056061F">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56061F" w:rsidRPr="00D80DC2" w:rsidRDefault="0056061F" w:rsidP="0056061F">
      <w:pPr>
        <w:ind w:left="720" w:hanging="720"/>
        <w:jc w:val="both"/>
        <w:rPr>
          <w:rFonts w:ascii="Arial" w:hAnsi="Arial" w:cs="Arial"/>
          <w:sz w:val="22"/>
          <w:szCs w:val="22"/>
          <w:lang w:val="en-GB"/>
        </w:rPr>
      </w:pPr>
    </w:p>
    <w:p w14:paraId="374A95D5" w14:textId="77777777" w:rsidR="0056061F" w:rsidRPr="00D80DC2" w:rsidRDefault="008C6FAA" w:rsidP="0056061F">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56061F" w:rsidRDefault="0056061F" w:rsidP="0056061F">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56061F" w:rsidRPr="00D80DC2" w:rsidRDefault="0056061F" w:rsidP="0056061F">
      <w:pPr>
        <w:ind w:left="720" w:hanging="720"/>
        <w:jc w:val="both"/>
        <w:rPr>
          <w:rFonts w:ascii="Arial" w:hAnsi="Arial" w:cs="Arial"/>
          <w:sz w:val="22"/>
          <w:szCs w:val="22"/>
          <w:lang w:val="en-GB"/>
        </w:rPr>
      </w:pPr>
    </w:p>
    <w:p w14:paraId="13D997D2" w14:textId="77777777" w:rsidR="0056061F" w:rsidRPr="00D80DC2" w:rsidRDefault="008C6FAA" w:rsidP="0056061F">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1DA216F4" w14:textId="4168F782" w:rsidR="0056061F" w:rsidRDefault="001412FB" w:rsidP="001412FB">
      <w:pPr>
        <w:ind w:left="720"/>
        <w:jc w:val="both"/>
        <w:rPr>
          <w:rFonts w:ascii="Arial" w:hAnsi="Arial" w:cs="Arial"/>
          <w:sz w:val="22"/>
          <w:szCs w:val="22"/>
          <w:lang w:val="en-GB"/>
        </w:rPr>
      </w:pPr>
      <w:r w:rsidRPr="001412FB">
        <w:rPr>
          <w:rFonts w:ascii="Arial" w:hAnsi="Arial" w:cs="Arial"/>
          <w:sz w:val="22"/>
          <w:szCs w:val="22"/>
          <w:lang w:val="en-GB"/>
        </w:rPr>
        <w:t>The Supreme Court of Canada has set out the following conditions for a claim to be provable in bankruptcy:</w:t>
      </w:r>
    </w:p>
    <w:p w14:paraId="72EC1C5A" w14:textId="77777777" w:rsidR="001412FB" w:rsidRDefault="001412FB" w:rsidP="001412FB">
      <w:pPr>
        <w:ind w:left="720"/>
        <w:jc w:val="both"/>
        <w:rPr>
          <w:rFonts w:ascii="Arial" w:hAnsi="Arial" w:cs="Arial"/>
          <w:sz w:val="22"/>
          <w:szCs w:val="22"/>
          <w:lang w:val="en-GB"/>
        </w:rPr>
      </w:pPr>
    </w:p>
    <w:p w14:paraId="670898A3" w14:textId="089A0B02" w:rsidR="001412FB" w:rsidRPr="001412FB" w:rsidRDefault="001412FB" w:rsidP="001412FB">
      <w:pPr>
        <w:pStyle w:val="ListParagraph"/>
        <w:numPr>
          <w:ilvl w:val="0"/>
          <w:numId w:val="23"/>
        </w:numPr>
        <w:jc w:val="both"/>
        <w:rPr>
          <w:rFonts w:ascii="Arial" w:hAnsi="Arial" w:cs="Arial"/>
          <w:sz w:val="22"/>
          <w:szCs w:val="22"/>
          <w:lang w:val="en-GB"/>
        </w:rPr>
      </w:pPr>
      <w:proofErr w:type="gramStart"/>
      <w:r w:rsidRPr="001412FB">
        <w:rPr>
          <w:rFonts w:ascii="Arial" w:hAnsi="Arial" w:cs="Arial"/>
          <w:sz w:val="22"/>
          <w:szCs w:val="22"/>
          <w:lang w:val="en-GB"/>
        </w:rPr>
        <w:t>the</w:t>
      </w:r>
      <w:proofErr w:type="gramEnd"/>
      <w:r w:rsidRPr="001412FB">
        <w:rPr>
          <w:rFonts w:ascii="Arial" w:hAnsi="Arial" w:cs="Arial"/>
          <w:sz w:val="22"/>
          <w:szCs w:val="22"/>
          <w:lang w:val="en-GB"/>
        </w:rPr>
        <w:t xml:space="preserve"> debt, liability or obligation must be owed to the creditor;</w:t>
      </w:r>
    </w:p>
    <w:p w14:paraId="425CCDCE" w14:textId="6A8A9779" w:rsidR="001412FB" w:rsidRDefault="001412FB" w:rsidP="001412FB">
      <w:pPr>
        <w:pStyle w:val="ListParagraph"/>
        <w:numPr>
          <w:ilvl w:val="0"/>
          <w:numId w:val="23"/>
        </w:numPr>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 xml:space="preserve"> debt, liability, or obligation must be incurred before the debtor becomes a bankrupt; and</w:t>
      </w:r>
    </w:p>
    <w:p w14:paraId="61E1EE19" w14:textId="2E80F348" w:rsidR="001412FB" w:rsidRPr="001412FB" w:rsidRDefault="001412FB" w:rsidP="001412FB">
      <w:pPr>
        <w:pStyle w:val="ListParagraph"/>
        <w:numPr>
          <w:ilvl w:val="0"/>
          <w:numId w:val="23"/>
        </w:numPr>
        <w:jc w:val="both"/>
        <w:rPr>
          <w:rFonts w:ascii="Arial" w:hAnsi="Arial" w:cs="Arial"/>
          <w:sz w:val="22"/>
          <w:szCs w:val="22"/>
          <w:lang w:val="en-GB"/>
        </w:rPr>
      </w:pPr>
      <w:proofErr w:type="gramStart"/>
      <w:r>
        <w:rPr>
          <w:rFonts w:ascii="Arial" w:hAnsi="Arial" w:cs="Arial"/>
          <w:sz w:val="22"/>
          <w:szCs w:val="22"/>
          <w:lang w:val="en-GB"/>
        </w:rPr>
        <w:t>it</w:t>
      </w:r>
      <w:proofErr w:type="gramEnd"/>
      <w:r>
        <w:rPr>
          <w:rFonts w:ascii="Arial" w:hAnsi="Arial" w:cs="Arial"/>
          <w:sz w:val="22"/>
          <w:szCs w:val="22"/>
          <w:lang w:val="en-GB"/>
        </w:rPr>
        <w:t xml:space="preserve"> must be possible to attach a monetary value to the debt, liability or obligation.</w:t>
      </w:r>
      <w:r>
        <w:rPr>
          <w:rStyle w:val="FootnoteReference"/>
          <w:rFonts w:ascii="Arial" w:hAnsi="Arial" w:cs="Arial"/>
          <w:sz w:val="22"/>
          <w:szCs w:val="22"/>
          <w:lang w:val="en-GB"/>
        </w:rPr>
        <w:footnoteReference w:id="1"/>
      </w:r>
    </w:p>
    <w:p w14:paraId="6E5742F0" w14:textId="77777777" w:rsidR="0056061F" w:rsidRPr="00D80DC2" w:rsidRDefault="0056061F" w:rsidP="0056061F">
      <w:pPr>
        <w:jc w:val="both"/>
        <w:rPr>
          <w:rFonts w:ascii="Arial" w:hAnsi="Arial" w:cs="Arial"/>
          <w:color w:val="7B7B7B"/>
          <w:sz w:val="22"/>
          <w:szCs w:val="22"/>
          <w:lang w:val="en-GB"/>
        </w:rPr>
      </w:pPr>
    </w:p>
    <w:p w14:paraId="24AFE926" w14:textId="77777777" w:rsidR="0056061F" w:rsidRPr="00D80DC2" w:rsidRDefault="008C6FAA" w:rsidP="0056061F">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56061F" w:rsidRPr="00D80DC2" w:rsidRDefault="0056061F" w:rsidP="0056061F">
      <w:pPr>
        <w:ind w:left="720" w:hanging="720"/>
        <w:jc w:val="both"/>
        <w:rPr>
          <w:rFonts w:ascii="Arial" w:hAnsi="Arial" w:cs="Arial"/>
          <w:sz w:val="22"/>
          <w:szCs w:val="22"/>
          <w:lang w:val="en-GB"/>
        </w:rPr>
      </w:pPr>
    </w:p>
    <w:p w14:paraId="348D484A" w14:textId="755F40F0" w:rsidR="0056061F" w:rsidRPr="00D80DC2" w:rsidRDefault="00745755" w:rsidP="0056061F">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w:t>
      </w:r>
      <w:proofErr w:type="gramStart"/>
      <w:r>
        <w:rPr>
          <w:rFonts w:ascii="Arial" w:hAnsi="Arial" w:cs="Arial"/>
          <w:sz w:val="22"/>
          <w:szCs w:val="22"/>
          <w:lang w:val="en-GB"/>
        </w:rPr>
        <w:t>type of assets can a debtor keep</w:t>
      </w:r>
      <w:proofErr w:type="gramEnd"/>
      <w:r>
        <w:rPr>
          <w:rFonts w:ascii="Arial" w:hAnsi="Arial" w:cs="Arial"/>
          <w:sz w:val="22"/>
          <w:szCs w:val="22"/>
          <w:lang w:val="en-GB"/>
        </w:rPr>
        <w:t xml:space="preserve"> in a bankruptcy? </w:t>
      </w:r>
    </w:p>
    <w:p w14:paraId="2B1B0624" w14:textId="77777777" w:rsidR="0056061F" w:rsidRPr="00D80DC2" w:rsidRDefault="0056061F" w:rsidP="0056061F">
      <w:pPr>
        <w:ind w:left="720" w:hanging="720"/>
        <w:jc w:val="both"/>
        <w:rPr>
          <w:rFonts w:ascii="Arial" w:hAnsi="Arial" w:cs="Arial"/>
          <w:sz w:val="22"/>
          <w:szCs w:val="22"/>
          <w:lang w:val="en-GB"/>
        </w:rPr>
      </w:pPr>
    </w:p>
    <w:p w14:paraId="46C762F4" w14:textId="77777777" w:rsidR="0056061F" w:rsidRPr="00D80DC2" w:rsidRDefault="008C6FAA" w:rsidP="0056061F">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lastRenderedPageBreak/>
        <w:t>[Type your answer here]</w:t>
      </w:r>
    </w:p>
    <w:p w14:paraId="6A2BF63E" w14:textId="1D3098A7" w:rsidR="0056061F" w:rsidRPr="00052390" w:rsidRDefault="00052390" w:rsidP="00052390">
      <w:pPr>
        <w:ind w:left="720"/>
        <w:jc w:val="both"/>
        <w:rPr>
          <w:rFonts w:ascii="Arial" w:hAnsi="Arial" w:cs="Arial"/>
          <w:sz w:val="22"/>
          <w:szCs w:val="22"/>
          <w:lang w:val="en-GB"/>
        </w:rPr>
      </w:pPr>
      <w:r w:rsidRPr="00052390">
        <w:rPr>
          <w:rFonts w:ascii="Arial" w:hAnsi="Arial" w:cs="Arial"/>
          <w:sz w:val="22"/>
          <w:szCs w:val="22"/>
          <w:lang w:val="en-GB"/>
        </w:rPr>
        <w:t>Individual bankrupts are entitled to keep a portion of income earned to maintain a reasonable standard of living</w:t>
      </w:r>
      <w:r>
        <w:rPr>
          <w:rFonts w:ascii="Arial" w:hAnsi="Arial" w:cs="Arial"/>
          <w:sz w:val="22"/>
          <w:szCs w:val="22"/>
          <w:lang w:val="en-GB"/>
        </w:rPr>
        <w:t>.</w:t>
      </w:r>
      <w:r>
        <w:rPr>
          <w:rStyle w:val="FootnoteReference"/>
          <w:rFonts w:ascii="Arial" w:hAnsi="Arial" w:cs="Arial"/>
          <w:sz w:val="22"/>
          <w:szCs w:val="22"/>
          <w:lang w:val="en-GB"/>
        </w:rPr>
        <w:footnoteReference w:id="2"/>
      </w:r>
      <w:r>
        <w:rPr>
          <w:rFonts w:ascii="Arial" w:hAnsi="Arial" w:cs="Arial"/>
          <w:sz w:val="22"/>
          <w:szCs w:val="22"/>
          <w:lang w:val="en-GB"/>
        </w:rPr>
        <w:t xml:space="preserve"> Assets that a debtor can keep in a bankruptcy include personal items and clothing; household furniture, food and utensils in a debtor’s permanent home; tools necessary to a debtor’s work; a motor vehicle with a value up to a certain limit; and certain farm property.</w:t>
      </w:r>
      <w:r>
        <w:rPr>
          <w:rStyle w:val="FootnoteReference"/>
          <w:rFonts w:ascii="Arial" w:hAnsi="Arial" w:cs="Arial"/>
          <w:sz w:val="22"/>
          <w:szCs w:val="22"/>
          <w:lang w:val="en-GB"/>
        </w:rPr>
        <w:footnoteReference w:id="3"/>
      </w:r>
    </w:p>
    <w:p w14:paraId="64C840E1" w14:textId="716DE129" w:rsidR="008F5F63" w:rsidRDefault="008F5F63" w:rsidP="0056061F">
      <w:pPr>
        <w:ind w:left="720" w:hanging="720"/>
        <w:jc w:val="both"/>
        <w:rPr>
          <w:rFonts w:ascii="Arial" w:hAnsi="Arial" w:cs="Arial"/>
          <w:color w:val="7B7B7B"/>
          <w:sz w:val="22"/>
          <w:szCs w:val="22"/>
          <w:lang w:val="en-GB"/>
        </w:rPr>
      </w:pPr>
    </w:p>
    <w:p w14:paraId="1835493A" w14:textId="77777777" w:rsidR="0056061F" w:rsidRPr="00D80DC2" w:rsidRDefault="008C6FAA" w:rsidP="0056061F">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56061F" w:rsidRPr="00D80DC2" w:rsidRDefault="0056061F" w:rsidP="0056061F">
      <w:pPr>
        <w:ind w:left="720" w:hanging="720"/>
        <w:jc w:val="both"/>
        <w:rPr>
          <w:rFonts w:ascii="Arial" w:hAnsi="Arial" w:cs="Arial"/>
          <w:b/>
          <w:bCs/>
          <w:sz w:val="22"/>
          <w:szCs w:val="22"/>
          <w:lang w:val="en-GB"/>
        </w:rPr>
      </w:pPr>
    </w:p>
    <w:p w14:paraId="061AC6A8" w14:textId="0BAFD45A" w:rsidR="0056061F" w:rsidRDefault="001A6D29" w:rsidP="0056061F">
      <w:pPr>
        <w:ind w:left="720" w:hanging="720"/>
        <w:jc w:val="both"/>
        <w:rPr>
          <w:rFonts w:ascii="Arial" w:hAnsi="Arial" w:cs="Arial"/>
          <w:sz w:val="22"/>
          <w:szCs w:val="22"/>
          <w:lang w:val="en-GB"/>
        </w:rPr>
      </w:pPr>
      <w:r>
        <w:rPr>
          <w:rFonts w:ascii="Arial" w:hAnsi="Arial" w:cs="Arial"/>
          <w:sz w:val="22"/>
          <w:szCs w:val="22"/>
          <w:lang w:val="en-GB"/>
        </w:rPr>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entering into bankruptcy.  </w:t>
      </w:r>
    </w:p>
    <w:p w14:paraId="79D55983" w14:textId="77777777" w:rsidR="001A6D29" w:rsidRPr="001A6D29" w:rsidRDefault="001A6D29" w:rsidP="0056061F">
      <w:pPr>
        <w:ind w:left="720" w:hanging="720"/>
        <w:jc w:val="both"/>
        <w:rPr>
          <w:rFonts w:ascii="Arial" w:hAnsi="Arial" w:cs="Arial"/>
          <w:sz w:val="22"/>
          <w:szCs w:val="22"/>
          <w:lang w:val="en-GB"/>
        </w:rPr>
      </w:pPr>
    </w:p>
    <w:p w14:paraId="4C43CAE9" w14:textId="77777777" w:rsidR="0056061F" w:rsidRDefault="008C6FAA" w:rsidP="0056061F">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[Type your answer here]</w:t>
      </w:r>
    </w:p>
    <w:p w14:paraId="0DC16BCA" w14:textId="16948790" w:rsidR="0056061F" w:rsidRDefault="0056061F" w:rsidP="0056061F">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ab/>
      </w:r>
      <w:r>
        <w:rPr>
          <w:rFonts w:ascii="Arial" w:hAnsi="Arial" w:cs="Arial"/>
          <w:sz w:val="22"/>
          <w:szCs w:val="22"/>
          <w:lang w:val="en-GB"/>
        </w:rPr>
        <w:t>The three methods for entering into bankruptcy are:</w:t>
      </w:r>
    </w:p>
    <w:p w14:paraId="6DF1A4B4" w14:textId="77777777" w:rsidR="0056061F" w:rsidRDefault="0056061F" w:rsidP="0056061F">
      <w:pPr>
        <w:jc w:val="both"/>
        <w:rPr>
          <w:rFonts w:ascii="Arial" w:hAnsi="Arial" w:cs="Arial"/>
          <w:sz w:val="22"/>
          <w:szCs w:val="22"/>
          <w:lang w:val="en-GB"/>
        </w:rPr>
      </w:pPr>
    </w:p>
    <w:p w14:paraId="5622F818" w14:textId="3B45A438" w:rsidR="0056061F" w:rsidRDefault="0056061F" w:rsidP="0056061F">
      <w:pPr>
        <w:pStyle w:val="ListParagraph"/>
        <w:numPr>
          <w:ilvl w:val="0"/>
          <w:numId w:val="24"/>
        </w:numPr>
        <w:jc w:val="both"/>
        <w:rPr>
          <w:rFonts w:ascii="Arial" w:hAnsi="Arial" w:cs="Arial"/>
          <w:sz w:val="22"/>
          <w:szCs w:val="22"/>
          <w:lang w:val="en-GB"/>
        </w:rPr>
      </w:pPr>
      <w:proofErr w:type="gramStart"/>
      <w:r w:rsidRPr="0056061F">
        <w:rPr>
          <w:rFonts w:ascii="Arial" w:hAnsi="Arial" w:cs="Arial"/>
          <w:sz w:val="22"/>
          <w:szCs w:val="22"/>
          <w:lang w:val="en-GB"/>
        </w:rPr>
        <w:t>involuntary</w:t>
      </w:r>
      <w:proofErr w:type="gramEnd"/>
      <w:r>
        <w:rPr>
          <w:rFonts w:ascii="Arial" w:hAnsi="Arial" w:cs="Arial"/>
          <w:sz w:val="22"/>
          <w:szCs w:val="22"/>
          <w:lang w:val="en-GB"/>
        </w:rPr>
        <w:t xml:space="preserve"> – applied for by creditor(s) who is owed in excess of $1000 CAD, and who provides evidence that the debtor has committed an act of bankruptcy within the last six months of filing of the petition</w:t>
      </w:r>
      <w:r w:rsidRPr="0056061F">
        <w:rPr>
          <w:rFonts w:ascii="Arial" w:hAnsi="Arial" w:cs="Arial"/>
          <w:sz w:val="22"/>
          <w:szCs w:val="22"/>
          <w:lang w:val="en-GB"/>
        </w:rPr>
        <w:t xml:space="preserve">; </w:t>
      </w:r>
    </w:p>
    <w:p w14:paraId="79B9D52D" w14:textId="77777777" w:rsidR="0056061F" w:rsidRPr="0056061F" w:rsidRDefault="0056061F" w:rsidP="0056061F">
      <w:pPr>
        <w:pStyle w:val="ListParagraph"/>
        <w:ind w:left="1080"/>
        <w:jc w:val="both"/>
        <w:rPr>
          <w:rFonts w:ascii="Arial" w:hAnsi="Arial" w:cs="Arial"/>
          <w:sz w:val="22"/>
          <w:szCs w:val="22"/>
          <w:lang w:val="en-GB"/>
        </w:rPr>
      </w:pPr>
    </w:p>
    <w:p w14:paraId="5B2166CB" w14:textId="2BFCB39B" w:rsidR="0056061F" w:rsidRDefault="0056061F" w:rsidP="0056061F">
      <w:pPr>
        <w:pStyle w:val="ListParagraph"/>
        <w:numPr>
          <w:ilvl w:val="0"/>
          <w:numId w:val="24"/>
        </w:numPr>
        <w:jc w:val="both"/>
        <w:rPr>
          <w:rFonts w:ascii="Arial" w:hAnsi="Arial" w:cs="Arial"/>
          <w:sz w:val="22"/>
          <w:szCs w:val="22"/>
          <w:lang w:val="en-GB"/>
        </w:rPr>
      </w:pPr>
      <w:proofErr w:type="gramStart"/>
      <w:r>
        <w:rPr>
          <w:rFonts w:ascii="Arial" w:hAnsi="Arial" w:cs="Arial"/>
          <w:sz w:val="22"/>
          <w:szCs w:val="22"/>
          <w:lang w:val="en-GB"/>
        </w:rPr>
        <w:t>voluntary</w:t>
      </w:r>
      <w:proofErr w:type="gramEnd"/>
      <w:r>
        <w:rPr>
          <w:rFonts w:ascii="Arial" w:hAnsi="Arial" w:cs="Arial"/>
          <w:sz w:val="22"/>
          <w:szCs w:val="22"/>
          <w:lang w:val="en-GB"/>
        </w:rPr>
        <w:t xml:space="preserve"> – occurs when the debtor voluntarily make an assignment into bankruptcy proceedings for the benefit of its creditors; and</w:t>
      </w:r>
    </w:p>
    <w:p w14:paraId="69342192" w14:textId="77777777" w:rsidR="0056061F" w:rsidRPr="0056061F" w:rsidRDefault="0056061F" w:rsidP="0056061F">
      <w:pPr>
        <w:jc w:val="both"/>
        <w:rPr>
          <w:rFonts w:ascii="Arial" w:hAnsi="Arial" w:cs="Arial"/>
          <w:sz w:val="22"/>
          <w:szCs w:val="22"/>
          <w:lang w:val="en-GB"/>
        </w:rPr>
      </w:pPr>
    </w:p>
    <w:p w14:paraId="3A0D4B61" w14:textId="7D0379CF" w:rsidR="0056061F" w:rsidRPr="0056061F" w:rsidRDefault="0056061F" w:rsidP="0056061F">
      <w:pPr>
        <w:pStyle w:val="ListParagraph"/>
        <w:numPr>
          <w:ilvl w:val="0"/>
          <w:numId w:val="24"/>
        </w:numPr>
        <w:jc w:val="both"/>
        <w:rPr>
          <w:rFonts w:ascii="Arial" w:hAnsi="Arial" w:cs="Arial"/>
          <w:sz w:val="22"/>
          <w:szCs w:val="22"/>
          <w:lang w:val="en-GB"/>
        </w:rPr>
      </w:pPr>
      <w:proofErr w:type="gramStart"/>
      <w:r>
        <w:rPr>
          <w:rFonts w:ascii="Arial" w:hAnsi="Arial" w:cs="Arial"/>
          <w:sz w:val="22"/>
          <w:szCs w:val="22"/>
          <w:lang w:val="en-GB"/>
        </w:rPr>
        <w:t>on</w:t>
      </w:r>
      <w:proofErr w:type="gramEnd"/>
      <w:r>
        <w:rPr>
          <w:rFonts w:ascii="Arial" w:hAnsi="Arial" w:cs="Arial"/>
          <w:sz w:val="22"/>
          <w:szCs w:val="22"/>
          <w:lang w:val="en-GB"/>
        </w:rPr>
        <w:t xml:space="preserve"> the failure of, or failure to perform the terms of, a BIA proposal</w:t>
      </w:r>
      <w:r w:rsidR="00827695">
        <w:rPr>
          <w:rFonts w:ascii="Arial" w:hAnsi="Arial" w:cs="Arial"/>
          <w:sz w:val="22"/>
          <w:szCs w:val="22"/>
          <w:lang w:val="en-GB"/>
        </w:rPr>
        <w:t xml:space="preserve"> – If a corporate proposal is rejected by a class of creditors, voting on the proposal</w:t>
      </w:r>
      <w:r>
        <w:rPr>
          <w:rFonts w:ascii="Arial" w:hAnsi="Arial" w:cs="Arial"/>
          <w:sz w:val="22"/>
          <w:szCs w:val="22"/>
          <w:lang w:val="en-GB"/>
        </w:rPr>
        <w:t>.</w:t>
      </w:r>
      <w:r>
        <w:rPr>
          <w:rStyle w:val="FootnoteReference"/>
          <w:rFonts w:ascii="Arial" w:hAnsi="Arial" w:cs="Arial"/>
          <w:sz w:val="22"/>
          <w:szCs w:val="22"/>
          <w:lang w:val="en-GB"/>
        </w:rPr>
        <w:footnoteReference w:id="4"/>
      </w:r>
    </w:p>
    <w:p w14:paraId="5050D995" w14:textId="77777777" w:rsidR="0056061F" w:rsidRPr="00D80DC2" w:rsidRDefault="0056061F" w:rsidP="0056061F">
      <w:pPr>
        <w:ind w:left="720" w:hanging="720"/>
        <w:jc w:val="both"/>
        <w:rPr>
          <w:rFonts w:ascii="Arial" w:hAnsi="Arial" w:cs="Arial"/>
          <w:color w:val="7B7B7B"/>
          <w:sz w:val="22"/>
          <w:szCs w:val="22"/>
          <w:lang w:val="en-GB"/>
        </w:rPr>
      </w:pPr>
    </w:p>
    <w:p w14:paraId="7BACCA67" w14:textId="77777777" w:rsidR="0056061F" w:rsidRPr="00D80DC2" w:rsidRDefault="008C6FAA" w:rsidP="0056061F">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56061F" w:rsidRPr="00D80DC2" w:rsidRDefault="0056061F" w:rsidP="0056061F">
      <w:pPr>
        <w:jc w:val="both"/>
        <w:rPr>
          <w:rFonts w:ascii="Arial" w:hAnsi="Arial" w:cs="Arial"/>
          <w:sz w:val="22"/>
          <w:szCs w:val="22"/>
          <w:lang w:val="en-GB"/>
        </w:rPr>
      </w:pPr>
    </w:p>
    <w:p w14:paraId="146DFFF3" w14:textId="77777777" w:rsidR="001A6D29" w:rsidRPr="001A6D29" w:rsidRDefault="001A6D29" w:rsidP="001A6D29">
      <w:pPr>
        <w:jc w:val="both"/>
        <w:rPr>
          <w:rFonts w:ascii="Arial" w:hAnsi="Arial" w:cs="Arial"/>
          <w:sz w:val="22"/>
          <w:szCs w:val="22"/>
        </w:rPr>
      </w:pPr>
      <w:r>
        <w:rPr>
          <w:rFonts w:ascii="Arial" w:hAnsi="Arial" w:cs="Arial"/>
          <w:sz w:val="22"/>
          <w:szCs w:val="22"/>
        </w:rPr>
        <w:t xml:space="preserve">What is the definition of “debtor” in section 2 of the BIA? </w:t>
      </w:r>
    </w:p>
    <w:p w14:paraId="03E4AB67" w14:textId="77777777" w:rsidR="0056061F" w:rsidRPr="001A6D29" w:rsidRDefault="0056061F">
      <w:pPr>
        <w:ind w:left="720" w:hanging="720"/>
        <w:jc w:val="both"/>
        <w:rPr>
          <w:rFonts w:ascii="Arial" w:hAnsi="Arial" w:cs="Arial"/>
          <w:sz w:val="22"/>
          <w:szCs w:val="22"/>
        </w:rPr>
      </w:pPr>
    </w:p>
    <w:p w14:paraId="16008E18" w14:textId="77777777" w:rsidR="0056061F" w:rsidRPr="00D80DC2" w:rsidRDefault="008C6FAA" w:rsidP="0056061F">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2E57DAB4" w14:textId="1E456E4E" w:rsidR="0056061F" w:rsidRPr="001A4B9C" w:rsidRDefault="001A4B9C" w:rsidP="001A4B9C">
      <w:pPr>
        <w:ind w:left="720"/>
        <w:jc w:val="both"/>
        <w:rPr>
          <w:rFonts w:ascii="Arial" w:hAnsi="Arial" w:cs="Arial"/>
          <w:bCs/>
          <w:sz w:val="22"/>
          <w:szCs w:val="22"/>
          <w:lang w:val="en-GB"/>
        </w:rPr>
      </w:pPr>
      <w:r w:rsidRPr="001A4B9C">
        <w:rPr>
          <w:rFonts w:ascii="Arial" w:hAnsi="Arial" w:cs="Arial"/>
          <w:bCs/>
          <w:sz w:val="22"/>
          <w:szCs w:val="22"/>
          <w:lang w:val="en-GB"/>
        </w:rPr>
        <w:t>A “debtor” in section 2 of the BIA includes an “insolvent person” and any person who, at the time an “act of bankruptcy” was committed by him, resided or carried on business in Canada.</w:t>
      </w:r>
      <w:r w:rsidRPr="001A4B9C">
        <w:rPr>
          <w:rStyle w:val="FootnoteReference"/>
          <w:rFonts w:ascii="Arial" w:hAnsi="Arial" w:cs="Arial"/>
          <w:bCs/>
          <w:sz w:val="22"/>
          <w:szCs w:val="22"/>
          <w:lang w:val="en-GB"/>
        </w:rPr>
        <w:footnoteReference w:id="5"/>
      </w:r>
    </w:p>
    <w:p w14:paraId="7B6DF6C4" w14:textId="77777777" w:rsidR="0056061F" w:rsidRPr="00D80DC2" w:rsidRDefault="0056061F" w:rsidP="0056061F">
      <w:pPr>
        <w:jc w:val="both"/>
        <w:rPr>
          <w:rFonts w:ascii="Arial" w:hAnsi="Arial" w:cs="Arial"/>
          <w:bCs/>
          <w:color w:val="7B7B7B"/>
          <w:sz w:val="22"/>
          <w:szCs w:val="22"/>
          <w:lang w:val="en-GB"/>
        </w:rPr>
      </w:pPr>
    </w:p>
    <w:p w14:paraId="44A0B311" w14:textId="77777777" w:rsidR="0056061F" w:rsidRPr="00D80DC2" w:rsidRDefault="008C6FAA" w:rsidP="0056061F">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56061F" w:rsidRPr="00D80DC2" w:rsidRDefault="0056061F" w:rsidP="0056061F">
      <w:pPr>
        <w:jc w:val="both"/>
        <w:rPr>
          <w:rFonts w:ascii="Arial" w:hAnsi="Arial" w:cs="Arial"/>
          <w:sz w:val="22"/>
          <w:szCs w:val="22"/>
          <w:lang w:val="en-GB"/>
        </w:rPr>
      </w:pPr>
    </w:p>
    <w:p w14:paraId="4A84D67D" w14:textId="77777777" w:rsidR="0056061F" w:rsidRPr="00D80DC2" w:rsidRDefault="008C6FAA" w:rsidP="0056061F">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56061F" w:rsidRPr="00D80DC2" w:rsidRDefault="0056061F" w:rsidP="0056061F">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56061F">
      <w:pPr>
        <w:rPr>
          <w:rFonts w:ascii="Arial" w:hAnsi="Arial" w:cs="Arial"/>
          <w:sz w:val="22"/>
          <w:szCs w:val="22"/>
          <w:lang w:val="en-GB"/>
        </w:rPr>
      </w:pPr>
    </w:p>
    <w:p w14:paraId="2FA8B4FF" w14:textId="665EA37B" w:rsidR="0056061F" w:rsidRDefault="008C6FAA" w:rsidP="0056061F">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56061F">
      <w:pPr>
        <w:rPr>
          <w:rFonts w:ascii="Arial" w:hAnsi="Arial" w:cs="Arial"/>
          <w:sz w:val="22"/>
          <w:szCs w:val="22"/>
          <w:lang w:val="en-GB"/>
        </w:rPr>
      </w:pPr>
    </w:p>
    <w:p w14:paraId="664E43DC" w14:textId="77777777" w:rsidR="0056061F" w:rsidRDefault="008C6FAA" w:rsidP="0056061F">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[Type your answer here]</w:t>
      </w:r>
    </w:p>
    <w:p w14:paraId="0EE3E1BC" w14:textId="6539403C" w:rsidR="00180265" w:rsidRDefault="00180265" w:rsidP="00180265">
      <w:pPr>
        <w:ind w:left="720"/>
        <w:jc w:val="both"/>
        <w:rPr>
          <w:rFonts w:ascii="Arial" w:hAnsi="Arial" w:cs="Arial"/>
          <w:sz w:val="22"/>
          <w:szCs w:val="22"/>
          <w:lang w:val="en-GB"/>
        </w:rPr>
      </w:pPr>
      <w:r w:rsidRPr="00180265">
        <w:rPr>
          <w:rFonts w:ascii="Arial" w:hAnsi="Arial" w:cs="Arial"/>
          <w:sz w:val="22"/>
          <w:szCs w:val="22"/>
          <w:lang w:val="en-GB"/>
        </w:rPr>
        <w:t>The secured creditor appoints a private receiver. A secured creditor’s authority to appoint a private receiver is provided for in the security agreement between the debtor and the secured creditor.</w:t>
      </w:r>
      <w:r w:rsidR="00232808">
        <w:rPr>
          <w:rStyle w:val="FootnoteReference"/>
          <w:rFonts w:ascii="Arial" w:hAnsi="Arial" w:cs="Arial"/>
          <w:sz w:val="22"/>
          <w:szCs w:val="22"/>
          <w:lang w:val="en-GB"/>
        </w:rPr>
        <w:footnoteReference w:id="6"/>
      </w:r>
    </w:p>
    <w:p w14:paraId="116EE80C" w14:textId="77777777" w:rsidR="00232808" w:rsidRDefault="00232808" w:rsidP="00180265">
      <w:pPr>
        <w:ind w:left="720"/>
        <w:jc w:val="both"/>
        <w:rPr>
          <w:rFonts w:ascii="Arial" w:hAnsi="Arial" w:cs="Arial"/>
          <w:sz w:val="22"/>
          <w:szCs w:val="22"/>
          <w:lang w:val="en-GB"/>
        </w:rPr>
      </w:pPr>
    </w:p>
    <w:p w14:paraId="66C8C284" w14:textId="0AD7A75D" w:rsidR="00232808" w:rsidRDefault="00232808" w:rsidP="00180265">
      <w:pPr>
        <w:ind w:left="720"/>
        <w:jc w:val="both"/>
        <w:rPr>
          <w:rFonts w:ascii="Arial" w:hAnsi="Arial" w:cs="Arial"/>
          <w:sz w:val="22"/>
          <w:szCs w:val="22"/>
          <w:lang w:val="en-GB"/>
        </w:rPr>
      </w:pPr>
      <w:r>
        <w:rPr>
          <w:rFonts w:ascii="Arial" w:hAnsi="Arial" w:cs="Arial"/>
          <w:sz w:val="22"/>
          <w:szCs w:val="22"/>
          <w:lang w:val="en-GB"/>
        </w:rPr>
        <w:lastRenderedPageBreak/>
        <w:t>A private receiver’s duties are primarily to the secured creditor that appointed it, however a private receiver has a general duty to act honestly, in good faith and in a commercially reasonable manner, including to maximise recoveries to obtain the best price for the debtor’s assets.</w:t>
      </w:r>
      <w:r>
        <w:rPr>
          <w:rStyle w:val="FootnoteReference"/>
          <w:rFonts w:ascii="Arial" w:hAnsi="Arial" w:cs="Arial"/>
          <w:sz w:val="22"/>
          <w:szCs w:val="22"/>
          <w:lang w:val="en-GB"/>
        </w:rPr>
        <w:footnoteReference w:id="7"/>
      </w:r>
    </w:p>
    <w:p w14:paraId="6948E4D5" w14:textId="77777777" w:rsidR="00232808" w:rsidRDefault="00232808" w:rsidP="00180265">
      <w:pPr>
        <w:ind w:left="720"/>
        <w:jc w:val="both"/>
        <w:rPr>
          <w:rFonts w:ascii="Arial" w:hAnsi="Arial" w:cs="Arial"/>
          <w:sz w:val="22"/>
          <w:szCs w:val="22"/>
          <w:lang w:val="en-GB"/>
        </w:rPr>
      </w:pPr>
    </w:p>
    <w:p w14:paraId="2C7FBD7C" w14:textId="307CB853" w:rsidR="00232808" w:rsidRDefault="00232808" w:rsidP="00180265">
      <w:pPr>
        <w:ind w:left="720"/>
        <w:jc w:val="both"/>
        <w:rPr>
          <w:rFonts w:ascii="Arial" w:hAnsi="Arial" w:cs="Arial"/>
          <w:sz w:val="22"/>
          <w:szCs w:val="22"/>
          <w:lang w:val="en-GB"/>
        </w:rPr>
      </w:pPr>
      <w:r>
        <w:rPr>
          <w:rFonts w:ascii="Arial" w:hAnsi="Arial" w:cs="Arial"/>
          <w:sz w:val="22"/>
          <w:szCs w:val="22"/>
          <w:lang w:val="en-GB"/>
        </w:rPr>
        <w:t xml:space="preserve">A private receiver is generally used where there is a small business or a discrete pool of assets where there </w:t>
      </w:r>
      <w:r w:rsidR="00AE77DE">
        <w:rPr>
          <w:rFonts w:ascii="Arial" w:hAnsi="Arial" w:cs="Arial"/>
          <w:sz w:val="22"/>
          <w:szCs w:val="22"/>
          <w:lang w:val="en-GB"/>
        </w:rPr>
        <w:t>are no competing creditors</w:t>
      </w:r>
      <w:r>
        <w:rPr>
          <w:rFonts w:ascii="Arial" w:hAnsi="Arial" w:cs="Arial"/>
          <w:sz w:val="22"/>
          <w:szCs w:val="22"/>
          <w:lang w:val="en-GB"/>
        </w:rPr>
        <w:t xml:space="preserve"> claims or disputes with the debtor, this is because of concerns over successor liability to receiver’s carrying on business.</w:t>
      </w:r>
      <w:r>
        <w:rPr>
          <w:rStyle w:val="FootnoteReference"/>
          <w:rFonts w:ascii="Arial" w:hAnsi="Arial" w:cs="Arial"/>
          <w:sz w:val="22"/>
          <w:szCs w:val="22"/>
          <w:lang w:val="en-GB"/>
        </w:rPr>
        <w:footnoteReference w:id="8"/>
      </w:r>
    </w:p>
    <w:p w14:paraId="3BB81900" w14:textId="77777777" w:rsidR="00AE77DE" w:rsidRDefault="00AE77DE" w:rsidP="00180265">
      <w:pPr>
        <w:ind w:left="720"/>
        <w:jc w:val="both"/>
        <w:rPr>
          <w:rFonts w:ascii="Arial" w:hAnsi="Arial" w:cs="Arial"/>
          <w:sz w:val="22"/>
          <w:szCs w:val="22"/>
          <w:lang w:val="en-GB"/>
        </w:rPr>
      </w:pPr>
    </w:p>
    <w:p w14:paraId="4ECF995B" w14:textId="77777777" w:rsidR="00595911" w:rsidRDefault="00AE77DE" w:rsidP="00180265">
      <w:pPr>
        <w:ind w:left="720"/>
        <w:jc w:val="both"/>
        <w:rPr>
          <w:rFonts w:ascii="Arial" w:hAnsi="Arial" w:cs="Arial"/>
          <w:sz w:val="22"/>
          <w:szCs w:val="22"/>
          <w:lang w:val="en-GB"/>
        </w:rPr>
      </w:pPr>
      <w:r>
        <w:rPr>
          <w:rFonts w:ascii="Arial" w:hAnsi="Arial" w:cs="Arial"/>
          <w:sz w:val="22"/>
          <w:szCs w:val="22"/>
          <w:lang w:val="en-GB"/>
        </w:rPr>
        <w:t>A court-appointed receiver</w:t>
      </w:r>
      <w:r w:rsidR="00AF087E">
        <w:rPr>
          <w:rFonts w:ascii="Arial" w:hAnsi="Arial" w:cs="Arial"/>
          <w:sz w:val="22"/>
          <w:szCs w:val="22"/>
          <w:lang w:val="en-GB"/>
        </w:rPr>
        <w:t xml:space="preserve"> is </w:t>
      </w:r>
      <w:r w:rsidR="004D7881">
        <w:rPr>
          <w:rFonts w:ascii="Arial" w:hAnsi="Arial" w:cs="Arial"/>
          <w:sz w:val="22"/>
          <w:szCs w:val="22"/>
          <w:lang w:val="en-GB"/>
        </w:rPr>
        <w:t>sometimes</w:t>
      </w:r>
      <w:r w:rsidR="00AF087E">
        <w:rPr>
          <w:rFonts w:ascii="Arial" w:hAnsi="Arial" w:cs="Arial"/>
          <w:sz w:val="22"/>
          <w:szCs w:val="22"/>
          <w:lang w:val="en-GB"/>
        </w:rPr>
        <w:t xml:space="preserve"> appointed pursuant to section </w:t>
      </w:r>
      <w:r w:rsidR="00A765CD">
        <w:rPr>
          <w:rFonts w:ascii="Arial" w:hAnsi="Arial" w:cs="Arial"/>
          <w:sz w:val="22"/>
          <w:szCs w:val="22"/>
          <w:lang w:val="en-GB"/>
        </w:rPr>
        <w:t>243</w:t>
      </w:r>
      <w:r w:rsidR="00AF087E">
        <w:rPr>
          <w:rFonts w:ascii="Arial" w:hAnsi="Arial" w:cs="Arial"/>
          <w:sz w:val="22"/>
          <w:szCs w:val="22"/>
          <w:lang w:val="en-GB"/>
        </w:rPr>
        <w:t xml:space="preserve"> of the Bankruptcy and Insolvency Act RSC 1985, </w:t>
      </w:r>
      <w:proofErr w:type="gramStart"/>
      <w:r w:rsidR="00AF087E">
        <w:rPr>
          <w:rFonts w:ascii="Arial" w:hAnsi="Arial" w:cs="Arial"/>
          <w:sz w:val="22"/>
          <w:szCs w:val="22"/>
          <w:lang w:val="en-GB"/>
        </w:rPr>
        <w:t>c.B</w:t>
      </w:r>
      <w:proofErr w:type="gramEnd"/>
      <w:r w:rsidR="00AF087E">
        <w:rPr>
          <w:rFonts w:ascii="Arial" w:hAnsi="Arial" w:cs="Arial"/>
          <w:sz w:val="22"/>
          <w:szCs w:val="22"/>
          <w:lang w:val="en-GB"/>
        </w:rPr>
        <w:t>-3 (“</w:t>
      </w:r>
      <w:r w:rsidR="00AF087E" w:rsidRPr="00AF087E">
        <w:rPr>
          <w:rFonts w:ascii="Arial" w:hAnsi="Arial" w:cs="Arial"/>
          <w:b/>
          <w:sz w:val="22"/>
          <w:szCs w:val="22"/>
          <w:lang w:val="en-GB"/>
        </w:rPr>
        <w:t>BIA</w:t>
      </w:r>
      <w:r w:rsidR="00AF087E">
        <w:rPr>
          <w:rFonts w:ascii="Arial" w:hAnsi="Arial" w:cs="Arial"/>
          <w:sz w:val="22"/>
          <w:szCs w:val="22"/>
          <w:lang w:val="en-GB"/>
        </w:rPr>
        <w:t>”)</w:t>
      </w:r>
      <w:r w:rsidR="00A765CD">
        <w:rPr>
          <w:rFonts w:ascii="Arial" w:hAnsi="Arial" w:cs="Arial"/>
          <w:sz w:val="22"/>
          <w:szCs w:val="22"/>
          <w:lang w:val="en-GB"/>
        </w:rPr>
        <w:t xml:space="preserve"> which authorizes a secured creditor to apply to court for the appointment of a receiver with national authority to take control of the business when the debtor is unable to meet its </w:t>
      </w:r>
      <w:r w:rsidR="00AA0086">
        <w:rPr>
          <w:rFonts w:ascii="Arial" w:hAnsi="Arial" w:cs="Arial"/>
          <w:sz w:val="22"/>
          <w:szCs w:val="22"/>
          <w:lang w:val="en-GB"/>
        </w:rPr>
        <w:t>obligations</w:t>
      </w:r>
      <w:r w:rsidR="00A765CD">
        <w:rPr>
          <w:rFonts w:ascii="Arial" w:hAnsi="Arial" w:cs="Arial"/>
          <w:sz w:val="22"/>
          <w:szCs w:val="22"/>
          <w:lang w:val="en-GB"/>
        </w:rPr>
        <w:t xml:space="preserve"> under a security agreement</w:t>
      </w:r>
      <w:r w:rsidR="001A7737">
        <w:rPr>
          <w:rFonts w:ascii="Arial" w:hAnsi="Arial" w:cs="Arial"/>
          <w:sz w:val="22"/>
          <w:szCs w:val="22"/>
          <w:lang w:val="en-GB"/>
        </w:rPr>
        <w:t>, though the Courts of Justice Acts of the individual provinces allows the court to appoint a receiver on application by any interested party where it is just and convenient to do so (an “equitable receiver”).</w:t>
      </w:r>
      <w:r w:rsidR="00595911" w:rsidRPr="00595911">
        <w:rPr>
          <w:rStyle w:val="FootnoteReference"/>
          <w:rFonts w:ascii="Arial" w:hAnsi="Arial" w:cs="Arial"/>
          <w:sz w:val="22"/>
          <w:szCs w:val="22"/>
          <w:lang w:val="en-GB"/>
        </w:rPr>
        <w:t xml:space="preserve"> </w:t>
      </w:r>
      <w:r w:rsidR="00595911">
        <w:rPr>
          <w:rStyle w:val="FootnoteReference"/>
          <w:rFonts w:ascii="Arial" w:hAnsi="Arial" w:cs="Arial"/>
          <w:sz w:val="22"/>
          <w:szCs w:val="22"/>
          <w:lang w:val="en-GB"/>
        </w:rPr>
        <w:footnoteReference w:id="9"/>
      </w:r>
      <w:r w:rsidR="001A7737">
        <w:rPr>
          <w:rFonts w:ascii="Arial" w:hAnsi="Arial" w:cs="Arial"/>
          <w:sz w:val="22"/>
          <w:szCs w:val="22"/>
          <w:lang w:val="en-GB"/>
        </w:rPr>
        <w:t xml:space="preserve"> </w:t>
      </w:r>
    </w:p>
    <w:p w14:paraId="2C86C91C" w14:textId="77777777" w:rsidR="00595911" w:rsidRDefault="00595911" w:rsidP="00180265">
      <w:pPr>
        <w:ind w:left="720"/>
        <w:jc w:val="both"/>
        <w:rPr>
          <w:rFonts w:ascii="Arial" w:hAnsi="Arial" w:cs="Arial"/>
          <w:sz w:val="22"/>
          <w:szCs w:val="22"/>
          <w:lang w:val="en-GB"/>
        </w:rPr>
      </w:pPr>
    </w:p>
    <w:p w14:paraId="5B6F40CF" w14:textId="1BF2BB5B" w:rsidR="00595911" w:rsidRDefault="00595911" w:rsidP="00595911">
      <w:pPr>
        <w:ind w:left="720"/>
        <w:jc w:val="both"/>
        <w:rPr>
          <w:rFonts w:ascii="Arial" w:hAnsi="Arial" w:cs="Arial"/>
          <w:sz w:val="22"/>
          <w:szCs w:val="22"/>
          <w:lang w:val="en-GB"/>
        </w:rPr>
      </w:pPr>
      <w:r>
        <w:rPr>
          <w:rFonts w:ascii="Arial" w:hAnsi="Arial" w:cs="Arial"/>
          <w:sz w:val="22"/>
          <w:szCs w:val="22"/>
          <w:lang w:val="en-GB"/>
        </w:rPr>
        <w:t>A receiver appointed by the court derivers its powers form the court order and any specific legislation governing its powers.</w:t>
      </w:r>
      <w:r>
        <w:rPr>
          <w:rStyle w:val="FootnoteReference"/>
          <w:rFonts w:ascii="Arial" w:hAnsi="Arial" w:cs="Arial"/>
          <w:sz w:val="22"/>
          <w:szCs w:val="22"/>
          <w:lang w:val="en-GB"/>
        </w:rPr>
        <w:footnoteReference w:id="10"/>
      </w:r>
      <w:r w:rsidRPr="00595911">
        <w:rPr>
          <w:rStyle w:val="FootnoteReference"/>
          <w:rFonts w:ascii="Arial" w:hAnsi="Arial" w:cs="Arial"/>
          <w:sz w:val="22"/>
          <w:szCs w:val="22"/>
          <w:lang w:val="en-GB"/>
        </w:rPr>
        <w:t xml:space="preserve"> </w:t>
      </w:r>
      <w:r>
        <w:rPr>
          <w:rFonts w:ascii="Arial" w:hAnsi="Arial" w:cs="Arial"/>
          <w:sz w:val="22"/>
          <w:szCs w:val="22"/>
          <w:lang w:val="en-GB"/>
        </w:rPr>
        <w:t xml:space="preserve"> </w:t>
      </w:r>
      <w:r w:rsidR="009D0B22">
        <w:rPr>
          <w:rFonts w:ascii="Arial" w:hAnsi="Arial" w:cs="Arial"/>
          <w:sz w:val="22"/>
          <w:szCs w:val="22"/>
          <w:lang w:val="en-GB"/>
        </w:rPr>
        <w:t>A court appointed receiver is permitted to borrow on a super-priority basis and the court may order critical suppliers to provide continued supply on fair market cash-on-delivery terms.</w:t>
      </w:r>
      <w:r w:rsidR="009D0B22">
        <w:rPr>
          <w:rStyle w:val="FootnoteReference"/>
          <w:rFonts w:ascii="Arial" w:hAnsi="Arial" w:cs="Arial"/>
          <w:sz w:val="22"/>
          <w:szCs w:val="22"/>
          <w:lang w:val="en-GB"/>
        </w:rPr>
        <w:footnoteReference w:id="11"/>
      </w:r>
    </w:p>
    <w:p w14:paraId="7EFA7A85" w14:textId="77777777" w:rsidR="00FB101B" w:rsidRDefault="00FB101B" w:rsidP="00595911">
      <w:pPr>
        <w:ind w:left="720"/>
        <w:jc w:val="both"/>
        <w:rPr>
          <w:rFonts w:ascii="Arial" w:hAnsi="Arial" w:cs="Arial"/>
          <w:sz w:val="22"/>
          <w:szCs w:val="22"/>
          <w:lang w:val="en-GB"/>
        </w:rPr>
      </w:pPr>
    </w:p>
    <w:p w14:paraId="6A3B2B29" w14:textId="4C786730" w:rsidR="00FB101B" w:rsidRDefault="00FB101B" w:rsidP="00595911">
      <w:pPr>
        <w:ind w:left="720"/>
        <w:jc w:val="both"/>
        <w:rPr>
          <w:rFonts w:ascii="Arial" w:hAnsi="Arial" w:cs="Arial"/>
          <w:sz w:val="22"/>
          <w:szCs w:val="22"/>
          <w:lang w:val="en-GB"/>
        </w:rPr>
      </w:pPr>
      <w:r>
        <w:rPr>
          <w:rFonts w:ascii="Arial" w:hAnsi="Arial" w:cs="Arial"/>
          <w:sz w:val="22"/>
          <w:szCs w:val="22"/>
          <w:lang w:val="en-GB"/>
        </w:rPr>
        <w:t xml:space="preserve">A court-appointed receiver is an officer of the court </w:t>
      </w:r>
      <w:proofErr w:type="gramStart"/>
      <w:r>
        <w:rPr>
          <w:rFonts w:ascii="Arial" w:hAnsi="Arial" w:cs="Arial"/>
          <w:sz w:val="22"/>
          <w:szCs w:val="22"/>
          <w:lang w:val="en-GB"/>
        </w:rPr>
        <w:t>an</w:t>
      </w:r>
      <w:proofErr w:type="gramEnd"/>
      <w:r>
        <w:rPr>
          <w:rFonts w:ascii="Arial" w:hAnsi="Arial" w:cs="Arial"/>
          <w:sz w:val="22"/>
          <w:szCs w:val="22"/>
          <w:lang w:val="en-GB"/>
        </w:rPr>
        <w:t xml:space="preserve"> has duties to all creditors of the debtor, not just the creditor that first sought its appointment. It takes directions from the court, not the creditors. Usually the court order appointing the receiver gives </w:t>
      </w:r>
      <w:proofErr w:type="spellStart"/>
      <w:r>
        <w:rPr>
          <w:rFonts w:ascii="Arial" w:hAnsi="Arial" w:cs="Arial"/>
          <w:sz w:val="22"/>
          <w:szCs w:val="22"/>
          <w:lang w:val="en-GB"/>
        </w:rPr>
        <w:t>th</w:t>
      </w:r>
      <w:proofErr w:type="spellEnd"/>
      <w:r>
        <w:rPr>
          <w:rFonts w:ascii="Arial" w:hAnsi="Arial" w:cs="Arial"/>
          <w:sz w:val="22"/>
          <w:szCs w:val="22"/>
          <w:lang w:val="en-GB"/>
        </w:rPr>
        <w:t xml:space="preserve"> receiver broad bowers similar to those normally granted to a privately appointed receiver under a security agreement with certain actions such as major asset sales requiring court approval.</w:t>
      </w:r>
      <w:r>
        <w:rPr>
          <w:rStyle w:val="FootnoteReference"/>
          <w:rFonts w:ascii="Arial" w:hAnsi="Arial" w:cs="Arial"/>
          <w:sz w:val="22"/>
          <w:szCs w:val="22"/>
          <w:lang w:val="en-GB"/>
        </w:rPr>
        <w:footnoteReference w:id="12"/>
      </w:r>
    </w:p>
    <w:p w14:paraId="5616324B" w14:textId="77777777" w:rsidR="00595911" w:rsidRDefault="00595911" w:rsidP="00180265">
      <w:pPr>
        <w:ind w:left="720"/>
        <w:jc w:val="both"/>
        <w:rPr>
          <w:rFonts w:ascii="Arial" w:hAnsi="Arial" w:cs="Arial"/>
          <w:sz w:val="22"/>
          <w:szCs w:val="22"/>
          <w:lang w:val="en-GB"/>
        </w:rPr>
      </w:pPr>
    </w:p>
    <w:p w14:paraId="20A3EE77" w14:textId="40724569" w:rsidR="00AE77DE" w:rsidRPr="00180265" w:rsidRDefault="00595911" w:rsidP="00180265">
      <w:pPr>
        <w:ind w:left="720"/>
        <w:jc w:val="both"/>
        <w:rPr>
          <w:rFonts w:ascii="Arial" w:hAnsi="Arial" w:cs="Arial"/>
          <w:sz w:val="22"/>
          <w:szCs w:val="22"/>
          <w:lang w:val="en-GB"/>
        </w:rPr>
      </w:pPr>
      <w:r>
        <w:rPr>
          <w:rFonts w:ascii="Arial" w:hAnsi="Arial" w:cs="Arial"/>
          <w:sz w:val="22"/>
          <w:szCs w:val="22"/>
          <w:lang w:val="en-GB"/>
        </w:rPr>
        <w:t>A court appointed receiver is usually appointed in more complex cases such as when there are competing claims or disputes between the creditor and the debtor or otherwise when it appears likely from the outset that there assistance of the court will be required on an on-going basis.</w:t>
      </w:r>
      <w:r>
        <w:rPr>
          <w:rStyle w:val="FootnoteReference"/>
          <w:rFonts w:ascii="Arial" w:hAnsi="Arial" w:cs="Arial"/>
          <w:sz w:val="22"/>
          <w:szCs w:val="22"/>
          <w:lang w:val="en-GB"/>
        </w:rPr>
        <w:footnoteReference w:id="13"/>
      </w:r>
      <w:r>
        <w:rPr>
          <w:rFonts w:ascii="Arial" w:hAnsi="Arial" w:cs="Arial"/>
          <w:sz w:val="22"/>
          <w:szCs w:val="22"/>
          <w:lang w:val="en-GB"/>
        </w:rPr>
        <w:t xml:space="preserve"> As the court must approve many of the receiver’s decisions along the way, a court appointed receiver provides a greater degree of comfort for creditors and professionals from a potential liability standpoint than a private receiver.</w:t>
      </w:r>
      <w:r>
        <w:rPr>
          <w:rStyle w:val="FootnoteReference"/>
          <w:rFonts w:ascii="Arial" w:hAnsi="Arial" w:cs="Arial"/>
          <w:sz w:val="22"/>
          <w:szCs w:val="22"/>
          <w:lang w:val="en-GB"/>
        </w:rPr>
        <w:footnoteReference w:id="14"/>
      </w:r>
    </w:p>
    <w:p w14:paraId="638E4262" w14:textId="77777777" w:rsidR="0056061F" w:rsidRDefault="0056061F" w:rsidP="0056061F">
      <w:pPr>
        <w:jc w:val="both"/>
        <w:rPr>
          <w:rFonts w:ascii="Arial" w:hAnsi="Arial" w:cs="Arial"/>
          <w:color w:val="7B7B7B"/>
          <w:sz w:val="22"/>
          <w:szCs w:val="22"/>
          <w:lang w:val="en-GB"/>
        </w:rPr>
      </w:pPr>
    </w:p>
    <w:p w14:paraId="6395A648" w14:textId="77777777" w:rsidR="0056061F" w:rsidRPr="00D80DC2" w:rsidRDefault="0056061F" w:rsidP="0056061F">
      <w:pPr>
        <w:jc w:val="both"/>
        <w:rPr>
          <w:rFonts w:ascii="Arial" w:hAnsi="Arial" w:cs="Arial"/>
          <w:color w:val="7B7B7B"/>
          <w:sz w:val="22"/>
          <w:szCs w:val="22"/>
          <w:lang w:val="en-GB"/>
        </w:rPr>
      </w:pPr>
    </w:p>
    <w:p w14:paraId="7F18FB95" w14:textId="77777777" w:rsidR="0056061F" w:rsidRPr="00AE184B" w:rsidRDefault="008C6FAA" w:rsidP="0056061F">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56061F" w:rsidRDefault="0056061F" w:rsidP="0056061F">
      <w:pPr>
        <w:jc w:val="both"/>
        <w:rPr>
          <w:rFonts w:ascii="Arial" w:hAnsi="Arial" w:cs="Arial"/>
          <w:sz w:val="22"/>
          <w:szCs w:val="22"/>
          <w:shd w:val="clear" w:color="auto" w:fill="FFFFFF"/>
          <w:lang w:val="en-GB"/>
        </w:rPr>
      </w:pPr>
    </w:p>
    <w:p w14:paraId="3689C33F" w14:textId="7FFEBFEF" w:rsidR="0056061F" w:rsidRPr="008404DE" w:rsidRDefault="008C6FAA" w:rsidP="0056061F">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5E140759" w14:textId="77777777" w:rsidR="0056061F" w:rsidRPr="00D80DC2" w:rsidRDefault="0056061F" w:rsidP="0056061F">
      <w:pPr>
        <w:jc w:val="both"/>
        <w:rPr>
          <w:rFonts w:ascii="Arial" w:hAnsi="Arial" w:cs="Arial"/>
          <w:sz w:val="22"/>
          <w:szCs w:val="22"/>
          <w:shd w:val="clear" w:color="auto" w:fill="FFFFFF"/>
          <w:lang w:val="en-GB"/>
        </w:rPr>
      </w:pPr>
    </w:p>
    <w:p w14:paraId="416ADBC4" w14:textId="77777777" w:rsidR="0056061F" w:rsidRPr="00D80DC2" w:rsidRDefault="008C6FAA" w:rsidP="0056061F">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lastRenderedPageBreak/>
        <w:t xml:space="preserve"> [Type your answer here]</w:t>
      </w:r>
    </w:p>
    <w:p w14:paraId="3B7DC066" w14:textId="08604F9D" w:rsidR="0056061F" w:rsidRDefault="00AD59DC" w:rsidP="00AD59DC">
      <w:pPr>
        <w:ind w:left="720"/>
        <w:jc w:val="both"/>
        <w:rPr>
          <w:rFonts w:ascii="Arial" w:hAnsi="Arial" w:cs="Arial"/>
          <w:sz w:val="22"/>
          <w:szCs w:val="22"/>
          <w:lang w:val="en-GB"/>
        </w:rPr>
      </w:pPr>
      <w:r w:rsidRPr="00AD59DC">
        <w:rPr>
          <w:rFonts w:ascii="Arial" w:hAnsi="Arial" w:cs="Arial"/>
          <w:sz w:val="22"/>
          <w:szCs w:val="22"/>
          <w:lang w:val="en-GB"/>
        </w:rPr>
        <w:t>Canada’s insolvency regime aspires to strike a balance between reorganization and liquidation</w:t>
      </w:r>
      <w:r>
        <w:rPr>
          <w:rFonts w:ascii="Arial" w:hAnsi="Arial" w:cs="Arial"/>
          <w:sz w:val="22"/>
          <w:szCs w:val="22"/>
          <w:lang w:val="en-GB"/>
        </w:rPr>
        <w:t>. The Canadian insolvency system focuses on certainty, transparency, asset preservation, value maximization and rehabilitation.</w:t>
      </w:r>
      <w:r>
        <w:rPr>
          <w:rStyle w:val="FootnoteReference"/>
          <w:rFonts w:ascii="Arial" w:hAnsi="Arial" w:cs="Arial"/>
          <w:sz w:val="22"/>
          <w:szCs w:val="22"/>
          <w:lang w:val="en-GB"/>
        </w:rPr>
        <w:footnoteReference w:id="15"/>
      </w:r>
      <w:r>
        <w:rPr>
          <w:rFonts w:ascii="Arial" w:hAnsi="Arial" w:cs="Arial"/>
          <w:sz w:val="22"/>
          <w:szCs w:val="22"/>
          <w:lang w:val="en-GB"/>
        </w:rPr>
        <w:t xml:space="preserve"> Where appropriate the insolvency system provides for and favours, debtor rehabilitation because of the perceived social benefits</w:t>
      </w:r>
      <w:r w:rsidR="00431CC9">
        <w:rPr>
          <w:rFonts w:ascii="Arial" w:hAnsi="Arial" w:cs="Arial"/>
          <w:sz w:val="22"/>
          <w:szCs w:val="22"/>
          <w:lang w:val="en-GB"/>
        </w:rPr>
        <w:t>,</w:t>
      </w:r>
      <w:r>
        <w:rPr>
          <w:rFonts w:ascii="Arial" w:hAnsi="Arial" w:cs="Arial"/>
          <w:sz w:val="22"/>
          <w:szCs w:val="22"/>
          <w:lang w:val="en-GB"/>
        </w:rPr>
        <w:t xml:space="preserve"> which flows from rehabilitation of debtors, including increased recoveries for creditors, maintenance of supplier relationships, local economic activity and the preservation of jobs.</w:t>
      </w:r>
      <w:r>
        <w:rPr>
          <w:rStyle w:val="FootnoteReference"/>
          <w:rFonts w:ascii="Arial" w:hAnsi="Arial" w:cs="Arial"/>
          <w:sz w:val="22"/>
          <w:szCs w:val="22"/>
          <w:lang w:val="en-GB"/>
        </w:rPr>
        <w:footnoteReference w:id="16"/>
      </w:r>
    </w:p>
    <w:p w14:paraId="71DAE2A5" w14:textId="77777777" w:rsidR="00431CC9" w:rsidRDefault="00431CC9" w:rsidP="00AD59DC">
      <w:pPr>
        <w:ind w:left="720"/>
        <w:jc w:val="both"/>
        <w:rPr>
          <w:rFonts w:ascii="Arial" w:hAnsi="Arial" w:cs="Arial"/>
          <w:sz w:val="22"/>
          <w:szCs w:val="22"/>
          <w:lang w:val="en-GB"/>
        </w:rPr>
      </w:pPr>
    </w:p>
    <w:p w14:paraId="7535BF03" w14:textId="38D096F7" w:rsidR="00431CC9" w:rsidRDefault="00ED21C4" w:rsidP="00AD59DC">
      <w:pPr>
        <w:ind w:left="720"/>
        <w:jc w:val="both"/>
        <w:rPr>
          <w:rFonts w:ascii="Arial" w:hAnsi="Arial" w:cs="Arial"/>
          <w:sz w:val="22"/>
          <w:szCs w:val="22"/>
          <w:lang w:val="en-GB"/>
        </w:rPr>
      </w:pPr>
      <w:r>
        <w:rPr>
          <w:rFonts w:ascii="Arial" w:hAnsi="Arial" w:cs="Arial"/>
          <w:sz w:val="22"/>
          <w:szCs w:val="22"/>
          <w:lang w:val="en-GB"/>
        </w:rPr>
        <w:t>Insolvency of a debtor allows for an automatic stay of proceedings on entering bankruptcy proceedings. This allows for some breathing room against unsecured creditors trying to commence or continue action, execution or other proceedings for recovery.</w:t>
      </w:r>
      <w:r>
        <w:rPr>
          <w:rStyle w:val="FootnoteReference"/>
          <w:rFonts w:ascii="Arial" w:hAnsi="Arial" w:cs="Arial"/>
          <w:sz w:val="22"/>
          <w:szCs w:val="22"/>
          <w:lang w:val="en-GB"/>
        </w:rPr>
        <w:footnoteReference w:id="17"/>
      </w:r>
      <w:r>
        <w:rPr>
          <w:rFonts w:ascii="Arial" w:hAnsi="Arial" w:cs="Arial"/>
          <w:sz w:val="22"/>
          <w:szCs w:val="22"/>
          <w:lang w:val="en-GB"/>
        </w:rPr>
        <w:t xml:space="preserve"> </w:t>
      </w:r>
      <w:r w:rsidR="00812142">
        <w:rPr>
          <w:rFonts w:ascii="Arial" w:hAnsi="Arial" w:cs="Arial"/>
          <w:sz w:val="22"/>
          <w:szCs w:val="22"/>
          <w:lang w:val="en-GB"/>
        </w:rPr>
        <w:t>In order for a creditor to prove a claim, they need to meet certain conditions such as the debt must be owed to the creditor, the debt must be incurred before the debtor becomes a bankrupt, an it must be possible to attach a monetary value to the debt</w:t>
      </w:r>
      <w:r w:rsidR="00812142">
        <w:rPr>
          <w:rStyle w:val="FootnoteReference"/>
          <w:rFonts w:ascii="Arial" w:hAnsi="Arial" w:cs="Arial"/>
          <w:sz w:val="22"/>
          <w:szCs w:val="22"/>
          <w:lang w:val="en-GB"/>
        </w:rPr>
        <w:footnoteReference w:id="18"/>
      </w:r>
      <w:r w:rsidR="00812142">
        <w:rPr>
          <w:rFonts w:ascii="Arial" w:hAnsi="Arial" w:cs="Arial"/>
          <w:sz w:val="22"/>
          <w:szCs w:val="22"/>
          <w:lang w:val="en-GB"/>
        </w:rPr>
        <w:t xml:space="preserve"> this ensures that a creditor proving a claim in the insolvency is a legitimate creditor for a debt actually incurred by the debtor and acts as a safeguard promoting value maximization for the pool of unsecured creditors. </w:t>
      </w:r>
    </w:p>
    <w:p w14:paraId="336DE298" w14:textId="77777777" w:rsidR="004B5020" w:rsidRDefault="004B5020" w:rsidP="00AD59DC">
      <w:pPr>
        <w:ind w:left="720"/>
        <w:jc w:val="both"/>
        <w:rPr>
          <w:rFonts w:ascii="Arial" w:hAnsi="Arial" w:cs="Arial"/>
          <w:sz w:val="22"/>
          <w:szCs w:val="22"/>
          <w:lang w:val="en-GB"/>
        </w:rPr>
      </w:pPr>
    </w:p>
    <w:p w14:paraId="199AA7F4" w14:textId="6FBEBB2B" w:rsidR="004B5020" w:rsidRDefault="004B5020" w:rsidP="00AD59DC">
      <w:pPr>
        <w:ind w:left="720"/>
        <w:jc w:val="both"/>
        <w:rPr>
          <w:rFonts w:ascii="Arial" w:hAnsi="Arial" w:cs="Arial"/>
          <w:sz w:val="22"/>
          <w:szCs w:val="22"/>
          <w:lang w:val="en-GB"/>
        </w:rPr>
      </w:pPr>
      <w:r>
        <w:rPr>
          <w:rFonts w:ascii="Arial" w:hAnsi="Arial" w:cs="Arial"/>
          <w:sz w:val="22"/>
          <w:szCs w:val="22"/>
          <w:lang w:val="en-GB"/>
        </w:rPr>
        <w:t>Canadian insolvency system provides for a “single proceeding” model, which is a collective proceeding that supersedes the usual processes available to creditors to enforce their claims. Creditors’ remedies are collectivized in a single proceeding to avoid the social and economic costs of a chaotic free-for-all where creditors are incentivized to enforce their rights to seize assets before other creditors do.</w:t>
      </w:r>
      <w:r>
        <w:rPr>
          <w:rStyle w:val="FootnoteReference"/>
          <w:rFonts w:ascii="Arial" w:hAnsi="Arial" w:cs="Arial"/>
          <w:sz w:val="22"/>
          <w:szCs w:val="22"/>
          <w:lang w:val="en-GB"/>
        </w:rPr>
        <w:footnoteReference w:id="19"/>
      </w:r>
      <w:r>
        <w:rPr>
          <w:rFonts w:ascii="Arial" w:hAnsi="Arial" w:cs="Arial"/>
          <w:sz w:val="22"/>
          <w:szCs w:val="22"/>
          <w:lang w:val="en-GB"/>
        </w:rPr>
        <w:t xml:space="preserve"> This model forms a part of the values set out in the policy goals of the Canadian insolvency system in that there is an orderly fashion of dealing with multiple creditors’ claims against the debtor </w:t>
      </w:r>
      <w:r w:rsidR="002C3783">
        <w:rPr>
          <w:rFonts w:ascii="Arial" w:hAnsi="Arial" w:cs="Arial"/>
          <w:sz w:val="22"/>
          <w:szCs w:val="22"/>
          <w:lang w:val="en-GB"/>
        </w:rPr>
        <w:t>resulting in certainty, transparency and value maximization of assets available for the collective creditors.</w:t>
      </w:r>
    </w:p>
    <w:p w14:paraId="71F56F60" w14:textId="77777777" w:rsidR="002C3783" w:rsidRDefault="002C3783" w:rsidP="00AD59DC">
      <w:pPr>
        <w:ind w:left="720"/>
        <w:jc w:val="both"/>
        <w:rPr>
          <w:rFonts w:ascii="Arial" w:hAnsi="Arial" w:cs="Arial"/>
          <w:sz w:val="22"/>
          <w:szCs w:val="22"/>
          <w:lang w:val="en-GB"/>
        </w:rPr>
      </w:pPr>
    </w:p>
    <w:p w14:paraId="031F6639" w14:textId="2E1B78AB" w:rsidR="002C3783" w:rsidRDefault="002C3783" w:rsidP="00AD59DC">
      <w:pPr>
        <w:ind w:left="720"/>
        <w:jc w:val="both"/>
        <w:rPr>
          <w:rFonts w:ascii="Arial" w:hAnsi="Arial" w:cs="Arial"/>
          <w:sz w:val="22"/>
          <w:szCs w:val="22"/>
          <w:lang w:val="en-GB"/>
        </w:rPr>
      </w:pPr>
      <w:r>
        <w:rPr>
          <w:rFonts w:ascii="Arial" w:hAnsi="Arial" w:cs="Arial"/>
          <w:sz w:val="22"/>
          <w:szCs w:val="22"/>
          <w:lang w:val="en-GB"/>
        </w:rPr>
        <w:t>In terms of restructuring options available, the BIA reorganizations provides for the possibility for the debtor to restructure its affairs through debtor in possession “proposals”</w:t>
      </w:r>
      <w:r>
        <w:rPr>
          <w:rStyle w:val="FootnoteReference"/>
          <w:rFonts w:ascii="Arial" w:hAnsi="Arial" w:cs="Arial"/>
          <w:sz w:val="22"/>
          <w:szCs w:val="22"/>
          <w:lang w:val="en-GB"/>
        </w:rPr>
        <w:footnoteReference w:id="20"/>
      </w:r>
      <w:r>
        <w:rPr>
          <w:rFonts w:ascii="Arial" w:hAnsi="Arial" w:cs="Arial"/>
          <w:sz w:val="22"/>
          <w:szCs w:val="22"/>
          <w:lang w:val="en-GB"/>
        </w:rPr>
        <w:t xml:space="preserve"> and possibly obtain an outcome more beneficial for all parties collectively. Companies can also restructure pursuant to Companies Creditors Arrangement Act (CCAA) reorganizations which is a debtor-in-possession restructuring statute which sets out the framework for reorganization of insolvent companies with debts over CAD $5,000,000 and follows many of the concepts of the US Chapter 11 procedure.</w:t>
      </w:r>
      <w:r>
        <w:rPr>
          <w:rStyle w:val="FootnoteReference"/>
          <w:rFonts w:ascii="Arial" w:hAnsi="Arial" w:cs="Arial"/>
          <w:sz w:val="22"/>
          <w:szCs w:val="22"/>
          <w:lang w:val="en-GB"/>
        </w:rPr>
        <w:footnoteReference w:id="21"/>
      </w:r>
      <w:r>
        <w:rPr>
          <w:rFonts w:ascii="Arial" w:hAnsi="Arial" w:cs="Arial"/>
          <w:sz w:val="22"/>
          <w:szCs w:val="22"/>
          <w:lang w:val="en-GB"/>
        </w:rPr>
        <w:t xml:space="preserve"> A CCAA restructuring provides for “plans of arrangement” so debtors can reach compromises with creditors</w:t>
      </w:r>
      <w:r w:rsidR="00503909">
        <w:rPr>
          <w:rFonts w:ascii="Arial" w:hAnsi="Arial" w:cs="Arial"/>
          <w:sz w:val="22"/>
          <w:szCs w:val="22"/>
          <w:lang w:val="en-GB"/>
        </w:rPr>
        <w:t>.</w:t>
      </w:r>
      <w:r w:rsidR="00503909">
        <w:rPr>
          <w:rStyle w:val="FootnoteReference"/>
          <w:rFonts w:ascii="Arial" w:hAnsi="Arial" w:cs="Arial"/>
          <w:sz w:val="22"/>
          <w:szCs w:val="22"/>
          <w:lang w:val="en-GB"/>
        </w:rPr>
        <w:footnoteReference w:id="22"/>
      </w:r>
      <w:r w:rsidR="00503909">
        <w:rPr>
          <w:rFonts w:ascii="Arial" w:hAnsi="Arial" w:cs="Arial"/>
          <w:sz w:val="22"/>
          <w:szCs w:val="22"/>
          <w:lang w:val="en-GB"/>
        </w:rPr>
        <w:t xml:space="preserve"> These mechanisms allow for rehabilitation where possible, and strive to achieve social objectives such as the preservation of jobs.</w:t>
      </w:r>
    </w:p>
    <w:p w14:paraId="3949A56A" w14:textId="77777777" w:rsidR="00503909" w:rsidRDefault="00503909" w:rsidP="00AD59DC">
      <w:pPr>
        <w:ind w:left="720"/>
        <w:jc w:val="both"/>
        <w:rPr>
          <w:rFonts w:ascii="Arial" w:hAnsi="Arial" w:cs="Arial"/>
          <w:sz w:val="22"/>
          <w:szCs w:val="22"/>
          <w:lang w:val="en-GB"/>
        </w:rPr>
      </w:pPr>
    </w:p>
    <w:p w14:paraId="595BB104" w14:textId="7D69F16D" w:rsidR="00503909" w:rsidRPr="00AD59DC" w:rsidRDefault="00503909" w:rsidP="00AD59DC">
      <w:pPr>
        <w:ind w:left="720"/>
        <w:jc w:val="both"/>
        <w:rPr>
          <w:rFonts w:ascii="Arial" w:hAnsi="Arial" w:cs="Arial"/>
          <w:sz w:val="22"/>
          <w:szCs w:val="22"/>
          <w:lang w:val="en-GB"/>
        </w:rPr>
      </w:pPr>
      <w:r>
        <w:rPr>
          <w:rFonts w:ascii="Arial" w:hAnsi="Arial" w:cs="Arial"/>
          <w:sz w:val="22"/>
          <w:szCs w:val="22"/>
          <w:lang w:val="en-GB"/>
        </w:rPr>
        <w:t>The above are just a few examples of how the Canadian insolvency system provides for ways to achieve its policy goals. Court appointed receivers and in certain instances, the Winding Up and Restructuring Act also provides for their own mechanisms to achieve the policy goals of the Canadian insolvency system.</w:t>
      </w:r>
    </w:p>
    <w:p w14:paraId="624AECDB" w14:textId="77777777" w:rsidR="0056061F" w:rsidRPr="00D80DC2" w:rsidRDefault="0056061F" w:rsidP="0056061F">
      <w:pPr>
        <w:jc w:val="both"/>
        <w:rPr>
          <w:rFonts w:ascii="Arial" w:hAnsi="Arial" w:cs="Arial"/>
          <w:color w:val="7B7B7B"/>
          <w:sz w:val="22"/>
          <w:szCs w:val="22"/>
          <w:lang w:val="en-GB"/>
        </w:rPr>
      </w:pPr>
    </w:p>
    <w:p w14:paraId="6F6D8BA9" w14:textId="77777777" w:rsidR="0056061F" w:rsidRPr="00D80DC2" w:rsidRDefault="008C6FAA" w:rsidP="0056061F">
      <w:pPr>
        <w:jc w:val="both"/>
        <w:rPr>
          <w:rFonts w:ascii="Arial" w:hAnsi="Arial" w:cs="Arial"/>
          <w:b/>
          <w:sz w:val="22"/>
          <w:szCs w:val="22"/>
          <w:lang w:val="en-GB"/>
        </w:rPr>
      </w:pPr>
      <w:r w:rsidRPr="00D80DC2">
        <w:rPr>
          <w:rFonts w:ascii="Arial" w:hAnsi="Arial" w:cs="Arial"/>
          <w:b/>
          <w:sz w:val="22"/>
          <w:szCs w:val="22"/>
          <w:lang w:val="en-GB"/>
        </w:rPr>
        <w:lastRenderedPageBreak/>
        <w:t>QUESTION 4 (fact-based application-type question) [15 marks in total]</w:t>
      </w:r>
    </w:p>
    <w:p w14:paraId="5893C722" w14:textId="77777777" w:rsidR="0056061F" w:rsidRPr="00D80DC2" w:rsidRDefault="0056061F" w:rsidP="0056061F">
      <w:pPr>
        <w:jc w:val="both"/>
        <w:rPr>
          <w:rFonts w:ascii="Arial" w:hAnsi="Arial" w:cs="Arial"/>
          <w:sz w:val="22"/>
          <w:szCs w:val="22"/>
          <w:lang w:val="en-GB"/>
        </w:rPr>
      </w:pPr>
    </w:p>
    <w:p w14:paraId="384B3D31" w14:textId="77777777" w:rsidR="0056061F" w:rsidRPr="00D80DC2" w:rsidRDefault="008C6FAA" w:rsidP="0056061F">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56061F" w:rsidRPr="00D80DC2" w:rsidRDefault="0056061F" w:rsidP="0056061F">
      <w:pPr>
        <w:jc w:val="both"/>
        <w:rPr>
          <w:rFonts w:ascii="Arial" w:hAnsi="Arial" w:cs="Arial"/>
          <w:sz w:val="22"/>
          <w:szCs w:val="22"/>
          <w:lang w:val="en-GB"/>
        </w:rPr>
      </w:pPr>
    </w:p>
    <w:p w14:paraId="31A3C559" w14:textId="41450AF9" w:rsidR="0056061F" w:rsidRDefault="008C6FAA" w:rsidP="0056061F">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6061F" w:rsidRDefault="0056061F" w:rsidP="0056061F">
      <w:pPr>
        <w:jc w:val="both"/>
        <w:rPr>
          <w:rFonts w:ascii="Arial" w:hAnsi="Arial" w:cs="Arial"/>
          <w:sz w:val="22"/>
          <w:szCs w:val="22"/>
          <w:lang w:val="en-GB"/>
        </w:rPr>
      </w:pPr>
    </w:p>
    <w:p w14:paraId="31FFFAB4" w14:textId="77777777" w:rsidR="0056061F" w:rsidRPr="00AE184B" w:rsidRDefault="008C6FAA" w:rsidP="0056061F">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6061F" w:rsidRPr="0050004A" w:rsidRDefault="0056061F" w:rsidP="0056061F">
      <w:pPr>
        <w:jc w:val="both"/>
        <w:rPr>
          <w:rFonts w:ascii="Arial" w:hAnsi="Arial" w:cs="Arial"/>
          <w:sz w:val="22"/>
          <w:szCs w:val="22"/>
          <w:lang w:val="en-GB"/>
        </w:rPr>
      </w:pPr>
    </w:p>
    <w:p w14:paraId="235BB1E7" w14:textId="77777777" w:rsidR="0056061F" w:rsidRPr="00A13E9B" w:rsidRDefault="008C6FAA" w:rsidP="0056061F">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56061F" w:rsidRPr="00D80DC2" w:rsidRDefault="0056061F" w:rsidP="0056061F">
      <w:pPr>
        <w:jc w:val="both"/>
        <w:rPr>
          <w:rFonts w:ascii="Arial" w:hAnsi="Arial" w:cs="Arial"/>
          <w:sz w:val="22"/>
          <w:szCs w:val="22"/>
          <w:lang w:val="en-GB"/>
        </w:rPr>
      </w:pPr>
    </w:p>
    <w:p w14:paraId="0952E872" w14:textId="4D5398AF" w:rsidR="0056061F" w:rsidRDefault="008C6FAA" w:rsidP="0056061F">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56061F" w:rsidRDefault="0056061F" w:rsidP="0056061F">
      <w:pPr>
        <w:jc w:val="both"/>
        <w:rPr>
          <w:rFonts w:ascii="Arial" w:hAnsi="Arial" w:cs="Arial"/>
          <w:sz w:val="22"/>
          <w:szCs w:val="22"/>
          <w:lang w:val="en-GB"/>
        </w:rPr>
      </w:pPr>
    </w:p>
    <w:p w14:paraId="031329D8" w14:textId="77777777" w:rsidR="0056061F" w:rsidRDefault="008C6FAA" w:rsidP="0056061F">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[Type your answer here]</w:t>
      </w:r>
    </w:p>
    <w:p w14:paraId="6FFF01A2" w14:textId="6D897356" w:rsidR="00852FD0" w:rsidRDefault="00852FD0" w:rsidP="00852FD0">
      <w:pPr>
        <w:ind w:left="720"/>
        <w:jc w:val="both"/>
        <w:rPr>
          <w:rFonts w:ascii="Arial" w:hAnsi="Arial" w:cs="Arial"/>
          <w:sz w:val="22"/>
          <w:szCs w:val="22"/>
          <w:lang w:val="en-GB"/>
        </w:rPr>
      </w:pPr>
      <w:r>
        <w:rPr>
          <w:rFonts w:ascii="Arial" w:hAnsi="Arial" w:cs="Arial"/>
          <w:sz w:val="22"/>
          <w:szCs w:val="22"/>
          <w:lang w:val="en-GB"/>
        </w:rPr>
        <w:t>The provisions of the BIS and CCAA on foreign insolvency proceedings require Canadian courts to recognize foreign proceedings of form proof of three main requirements:</w:t>
      </w:r>
    </w:p>
    <w:p w14:paraId="4D1AA221" w14:textId="0B30BF5A" w:rsidR="00852FD0" w:rsidRPr="00852FD0" w:rsidRDefault="00852FD0" w:rsidP="00852FD0">
      <w:pPr>
        <w:pStyle w:val="ListParagraph"/>
        <w:numPr>
          <w:ilvl w:val="0"/>
          <w:numId w:val="25"/>
        </w:numPr>
        <w:jc w:val="both"/>
        <w:rPr>
          <w:rFonts w:ascii="Arial" w:hAnsi="Arial" w:cs="Arial"/>
          <w:sz w:val="22"/>
          <w:szCs w:val="22"/>
          <w:lang w:val="en-GB"/>
        </w:rPr>
      </w:pPr>
      <w:r w:rsidRPr="00852FD0">
        <w:rPr>
          <w:rFonts w:ascii="Arial" w:hAnsi="Arial" w:cs="Arial"/>
          <w:sz w:val="22"/>
          <w:szCs w:val="22"/>
          <w:lang w:val="en-GB"/>
        </w:rPr>
        <w:t>The proceedings is a “foreign proceeding” in accordance with the statutory definition;</w:t>
      </w:r>
    </w:p>
    <w:p w14:paraId="50D61F9D" w14:textId="11FDDCD3" w:rsidR="00852FD0" w:rsidRDefault="00852FD0" w:rsidP="00852FD0">
      <w:pPr>
        <w:pStyle w:val="ListParagraph"/>
        <w:numPr>
          <w:ilvl w:val="0"/>
          <w:numId w:val="25"/>
        </w:numPr>
        <w:jc w:val="both"/>
        <w:rPr>
          <w:rFonts w:ascii="Arial" w:hAnsi="Arial" w:cs="Arial"/>
          <w:sz w:val="22"/>
          <w:szCs w:val="22"/>
          <w:lang w:val="en-GB"/>
        </w:rPr>
      </w:pPr>
      <w:r>
        <w:rPr>
          <w:rFonts w:ascii="Arial" w:hAnsi="Arial" w:cs="Arial"/>
          <w:sz w:val="22"/>
          <w:szCs w:val="22"/>
          <w:lang w:val="en-GB"/>
        </w:rPr>
        <w:t xml:space="preserve">The applicant is a “foreign representative” in accordance with the statutory definition; and </w:t>
      </w:r>
    </w:p>
    <w:p w14:paraId="530D4B2A" w14:textId="40A480F5" w:rsidR="00852FD0" w:rsidRDefault="00852FD0" w:rsidP="00852FD0">
      <w:pPr>
        <w:pStyle w:val="ListParagraph"/>
        <w:numPr>
          <w:ilvl w:val="0"/>
          <w:numId w:val="25"/>
        </w:numPr>
        <w:jc w:val="both"/>
        <w:rPr>
          <w:rFonts w:ascii="Arial" w:hAnsi="Arial" w:cs="Arial"/>
          <w:sz w:val="22"/>
          <w:szCs w:val="22"/>
          <w:lang w:val="en-GB"/>
        </w:rPr>
      </w:pPr>
      <w:r>
        <w:rPr>
          <w:rFonts w:ascii="Arial" w:hAnsi="Arial" w:cs="Arial"/>
          <w:sz w:val="22"/>
          <w:szCs w:val="22"/>
          <w:lang w:val="en-GB"/>
        </w:rPr>
        <w:t>Whether the “foreign proceeding” is a “foreign main proceeding” or a “foreign non-main proceeding” based on the centre of main interest (COMI) analysis.</w:t>
      </w:r>
      <w:r>
        <w:rPr>
          <w:rStyle w:val="FootnoteReference"/>
          <w:rFonts w:ascii="Arial" w:hAnsi="Arial" w:cs="Arial"/>
          <w:sz w:val="22"/>
          <w:szCs w:val="22"/>
          <w:lang w:val="en-GB"/>
        </w:rPr>
        <w:footnoteReference w:id="23"/>
      </w:r>
    </w:p>
    <w:p w14:paraId="6BCD35B6" w14:textId="77777777" w:rsidR="00852FD0" w:rsidRDefault="00852FD0" w:rsidP="00852FD0">
      <w:pPr>
        <w:jc w:val="both"/>
        <w:rPr>
          <w:rFonts w:ascii="Arial" w:hAnsi="Arial" w:cs="Arial"/>
          <w:sz w:val="22"/>
          <w:szCs w:val="22"/>
          <w:lang w:val="en-GB"/>
        </w:rPr>
      </w:pPr>
    </w:p>
    <w:p w14:paraId="146FC815" w14:textId="16C38639" w:rsidR="00852FD0" w:rsidRDefault="00852FD0" w:rsidP="00852FD0">
      <w:pPr>
        <w:ind w:left="720"/>
        <w:jc w:val="both"/>
        <w:rPr>
          <w:rFonts w:ascii="Arial" w:hAnsi="Arial" w:cs="Arial"/>
          <w:sz w:val="22"/>
          <w:szCs w:val="22"/>
          <w:lang w:val="en-GB"/>
        </w:rPr>
      </w:pPr>
      <w:r>
        <w:rPr>
          <w:rFonts w:ascii="Arial" w:hAnsi="Arial" w:cs="Arial"/>
          <w:sz w:val="22"/>
          <w:szCs w:val="22"/>
          <w:lang w:val="en-GB"/>
        </w:rPr>
        <w:t xml:space="preserve">The foreign representative filing sufficient evidence of the foreign proceedings to allow the Canadian court to determine that </w:t>
      </w:r>
      <w:r w:rsidR="00615E85">
        <w:rPr>
          <w:rFonts w:ascii="Arial" w:hAnsi="Arial" w:cs="Arial"/>
          <w:sz w:val="22"/>
          <w:szCs w:val="22"/>
          <w:lang w:val="en-GB"/>
        </w:rPr>
        <w:t>he/she</w:t>
      </w:r>
      <w:r>
        <w:rPr>
          <w:rFonts w:ascii="Arial" w:hAnsi="Arial" w:cs="Arial"/>
          <w:sz w:val="22"/>
          <w:szCs w:val="22"/>
          <w:lang w:val="en-GB"/>
        </w:rPr>
        <w:t xml:space="preserve"> </w:t>
      </w:r>
      <w:r w:rsidR="00615E85">
        <w:rPr>
          <w:rFonts w:ascii="Arial" w:hAnsi="Arial" w:cs="Arial"/>
          <w:sz w:val="22"/>
          <w:szCs w:val="22"/>
          <w:lang w:val="en-GB"/>
        </w:rPr>
        <w:t>is</w:t>
      </w:r>
      <w:r>
        <w:rPr>
          <w:rFonts w:ascii="Arial" w:hAnsi="Arial" w:cs="Arial"/>
          <w:sz w:val="22"/>
          <w:szCs w:val="22"/>
          <w:lang w:val="en-GB"/>
        </w:rPr>
        <w:t xml:space="preserve"> a foreign representative and the proceedings is a foreign proceeding commences the recognition application.</w:t>
      </w:r>
      <w:r w:rsidR="00615E85">
        <w:rPr>
          <w:rFonts w:ascii="Arial" w:hAnsi="Arial" w:cs="Arial"/>
          <w:sz w:val="22"/>
          <w:szCs w:val="22"/>
          <w:lang w:val="en-GB"/>
        </w:rPr>
        <w:t xml:space="preserve"> This determination is given a broad and purposive interpretation in case law allowing the applicant to meet requirements for recognition without great difficulty.</w:t>
      </w:r>
      <w:r w:rsidR="008B6BA6">
        <w:rPr>
          <w:rFonts w:ascii="Arial" w:hAnsi="Arial" w:cs="Arial"/>
          <w:sz w:val="22"/>
          <w:szCs w:val="22"/>
          <w:lang w:val="en-GB"/>
        </w:rPr>
        <w:t xml:space="preserve"> Once requirements are met, the recognition is automatic and compulsory, similar to the Model Law.</w:t>
      </w:r>
      <w:r>
        <w:rPr>
          <w:rStyle w:val="FootnoteReference"/>
          <w:rFonts w:ascii="Arial" w:hAnsi="Arial" w:cs="Arial"/>
          <w:sz w:val="22"/>
          <w:szCs w:val="22"/>
          <w:lang w:val="en-GB"/>
        </w:rPr>
        <w:footnoteReference w:id="24"/>
      </w:r>
    </w:p>
    <w:p w14:paraId="1F5B82FB" w14:textId="77777777" w:rsidR="00852FD0" w:rsidRDefault="00852FD0" w:rsidP="00852FD0">
      <w:pPr>
        <w:ind w:left="720"/>
        <w:jc w:val="both"/>
        <w:rPr>
          <w:rFonts w:ascii="Arial" w:hAnsi="Arial" w:cs="Arial"/>
          <w:sz w:val="22"/>
          <w:szCs w:val="22"/>
          <w:lang w:val="en-GB"/>
        </w:rPr>
      </w:pPr>
    </w:p>
    <w:p w14:paraId="1138FE97" w14:textId="6600F0C0" w:rsidR="0056061F" w:rsidRPr="008B6BA6" w:rsidRDefault="00852FD0" w:rsidP="008B6BA6">
      <w:pPr>
        <w:ind w:left="720"/>
        <w:jc w:val="both"/>
        <w:rPr>
          <w:rFonts w:ascii="Arial" w:hAnsi="Arial" w:cs="Arial"/>
          <w:sz w:val="22"/>
          <w:szCs w:val="22"/>
          <w:lang w:val="en-GB"/>
        </w:rPr>
      </w:pPr>
      <w:r>
        <w:rPr>
          <w:rFonts w:ascii="Arial" w:hAnsi="Arial" w:cs="Arial"/>
          <w:sz w:val="22"/>
          <w:szCs w:val="22"/>
          <w:lang w:val="en-GB"/>
        </w:rPr>
        <w:t xml:space="preserve">In this case, the foreign representative is a representative from a jurisdiction where senior management of the company have their offices, and have their registered offices in the foreign jurisdiction. Accordingly this will be a “foreign main proceeding” </w:t>
      </w:r>
      <w:r>
        <w:rPr>
          <w:rFonts w:ascii="Arial" w:hAnsi="Arial" w:cs="Arial"/>
          <w:sz w:val="22"/>
          <w:szCs w:val="22"/>
          <w:lang w:val="en-GB"/>
        </w:rPr>
        <w:lastRenderedPageBreak/>
        <w:t>on a COMI analysis as the “nerve centre” of the company is in that foreign jurisdiction.</w:t>
      </w:r>
      <w:r>
        <w:rPr>
          <w:rStyle w:val="FootnoteReference"/>
          <w:rFonts w:ascii="Arial" w:hAnsi="Arial" w:cs="Arial"/>
          <w:sz w:val="22"/>
          <w:szCs w:val="22"/>
          <w:lang w:val="en-GB"/>
        </w:rPr>
        <w:footnoteReference w:id="25"/>
      </w:r>
    </w:p>
    <w:p w14:paraId="528BA665" w14:textId="77777777" w:rsidR="0056061F" w:rsidRPr="00D80DC2" w:rsidRDefault="0056061F" w:rsidP="0056061F">
      <w:pPr>
        <w:autoSpaceDE w:val="0"/>
        <w:autoSpaceDN w:val="0"/>
        <w:adjustRightInd w:val="0"/>
        <w:jc w:val="both"/>
        <w:rPr>
          <w:rFonts w:ascii="Arial" w:hAnsi="Arial" w:cs="Arial"/>
          <w:color w:val="7B7B7B"/>
          <w:sz w:val="22"/>
          <w:szCs w:val="22"/>
          <w:lang w:val="en-GB"/>
        </w:rPr>
      </w:pPr>
    </w:p>
    <w:p w14:paraId="527B62BB" w14:textId="77777777" w:rsidR="0056061F" w:rsidRPr="00AE184B" w:rsidRDefault="008C6FAA" w:rsidP="0056061F">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56061F" w:rsidRPr="00D80DC2" w:rsidRDefault="0056061F" w:rsidP="0056061F">
      <w:pPr>
        <w:autoSpaceDE w:val="0"/>
        <w:autoSpaceDN w:val="0"/>
        <w:adjustRightInd w:val="0"/>
        <w:jc w:val="both"/>
        <w:rPr>
          <w:rFonts w:ascii="Arial" w:hAnsi="Arial" w:cs="Arial"/>
          <w:sz w:val="22"/>
          <w:szCs w:val="22"/>
          <w:lang w:val="en-GB"/>
        </w:rPr>
      </w:pPr>
    </w:p>
    <w:p w14:paraId="04F81458" w14:textId="77777777" w:rsidR="0056061F" w:rsidRDefault="008C6FAA" w:rsidP="0056061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56061F" w:rsidRDefault="0056061F" w:rsidP="0056061F">
      <w:pPr>
        <w:autoSpaceDE w:val="0"/>
        <w:autoSpaceDN w:val="0"/>
        <w:adjustRightInd w:val="0"/>
        <w:jc w:val="both"/>
        <w:rPr>
          <w:rFonts w:ascii="Arial" w:hAnsi="Arial" w:cs="Arial"/>
          <w:sz w:val="22"/>
          <w:szCs w:val="22"/>
          <w:lang w:val="en-GB"/>
        </w:rPr>
      </w:pPr>
    </w:p>
    <w:p w14:paraId="43E89BEA" w14:textId="77777777" w:rsidR="0056061F" w:rsidRDefault="008C6FAA" w:rsidP="0056061F">
      <w:pPr>
        <w:autoSpaceDE w:val="0"/>
        <w:autoSpaceDN w:val="0"/>
        <w:adjustRightInd w:val="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4DB23FB1" w14:textId="1DB82B86" w:rsidR="0056061F" w:rsidRDefault="008B6BA6" w:rsidP="008B6BA6">
      <w:pPr>
        <w:autoSpaceDE w:val="0"/>
        <w:autoSpaceDN w:val="0"/>
        <w:adjustRightInd w:val="0"/>
        <w:ind w:left="720"/>
        <w:jc w:val="both"/>
        <w:rPr>
          <w:rFonts w:ascii="Arial" w:hAnsi="Arial" w:cs="Arial"/>
          <w:sz w:val="22"/>
          <w:szCs w:val="22"/>
          <w:lang w:val="en-GB"/>
        </w:rPr>
      </w:pPr>
      <w:r>
        <w:rPr>
          <w:rFonts w:ascii="Arial" w:hAnsi="Arial" w:cs="Arial"/>
          <w:sz w:val="22"/>
          <w:szCs w:val="22"/>
          <w:lang w:val="en-GB"/>
        </w:rPr>
        <w:t>If a foreign proceeding is recognised as a foreign-main proceeding (as discussed in 4.1 above, in this instance it is), an automatic stay occurs in Canada. If it the proceeding is a foreign non-main proceeding, then a stay may still be obtained but it must be requested and justified.</w:t>
      </w:r>
      <w:r>
        <w:rPr>
          <w:rStyle w:val="FootnoteReference"/>
          <w:rFonts w:ascii="Arial" w:hAnsi="Arial" w:cs="Arial"/>
          <w:sz w:val="22"/>
          <w:szCs w:val="22"/>
          <w:lang w:val="en-GB"/>
        </w:rPr>
        <w:footnoteReference w:id="26"/>
      </w:r>
    </w:p>
    <w:p w14:paraId="3D6A7F48" w14:textId="77777777" w:rsidR="008B6BA6" w:rsidRDefault="008B6BA6" w:rsidP="008B6BA6">
      <w:pPr>
        <w:autoSpaceDE w:val="0"/>
        <w:autoSpaceDN w:val="0"/>
        <w:adjustRightInd w:val="0"/>
        <w:ind w:left="720"/>
        <w:jc w:val="both"/>
        <w:rPr>
          <w:rFonts w:ascii="Arial" w:hAnsi="Arial" w:cs="Arial"/>
          <w:sz w:val="22"/>
          <w:szCs w:val="22"/>
          <w:lang w:val="en-GB"/>
        </w:rPr>
      </w:pPr>
    </w:p>
    <w:p w14:paraId="39A1D190" w14:textId="581BEE80" w:rsidR="008B6BA6" w:rsidRDefault="008B6BA6" w:rsidP="008B6BA6">
      <w:pPr>
        <w:autoSpaceDE w:val="0"/>
        <w:autoSpaceDN w:val="0"/>
        <w:adjustRightInd w:val="0"/>
        <w:ind w:left="720"/>
        <w:jc w:val="both"/>
        <w:rPr>
          <w:rFonts w:ascii="Arial" w:hAnsi="Arial" w:cs="Arial"/>
          <w:sz w:val="22"/>
          <w:szCs w:val="22"/>
          <w:lang w:val="en-GB"/>
        </w:rPr>
      </w:pPr>
      <w:r>
        <w:rPr>
          <w:rFonts w:ascii="Arial" w:hAnsi="Arial" w:cs="Arial"/>
          <w:sz w:val="22"/>
          <w:szCs w:val="22"/>
          <w:lang w:val="en-GB"/>
        </w:rPr>
        <w:t xml:space="preserve">Once recognised as either a foreign main or foreign non-main proceeding, the foreign representative is given a standing to appear and be heard in Canadian courts and recognition imposes an obligation on Canadian officials to cooperate with the foreign representative and he foreign court. The BIA and CCAA provide </w:t>
      </w:r>
      <w:r w:rsidR="000C3FB9">
        <w:rPr>
          <w:rFonts w:ascii="Arial" w:hAnsi="Arial" w:cs="Arial"/>
          <w:sz w:val="22"/>
          <w:szCs w:val="22"/>
          <w:lang w:val="en-GB"/>
        </w:rPr>
        <w:t>that on application of a foreign representative,</w:t>
      </w:r>
      <w:r>
        <w:rPr>
          <w:rFonts w:ascii="Arial" w:hAnsi="Arial" w:cs="Arial"/>
          <w:sz w:val="22"/>
          <w:szCs w:val="22"/>
          <w:lang w:val="en-GB"/>
        </w:rPr>
        <w:t xml:space="preserve"> a court </w:t>
      </w:r>
      <w:r w:rsidR="000C3FB9">
        <w:rPr>
          <w:rFonts w:ascii="Arial" w:hAnsi="Arial" w:cs="Arial"/>
          <w:sz w:val="22"/>
          <w:szCs w:val="22"/>
          <w:lang w:val="en-GB"/>
        </w:rPr>
        <w:t>“make any order it considers appropriate” once satisfied that the necessary protection of the debtor companies property or the interest of creditors are in place and that it is not contrary to public policy.</w:t>
      </w:r>
      <w:r w:rsidR="000C3FB9">
        <w:rPr>
          <w:rStyle w:val="FootnoteReference"/>
          <w:rFonts w:ascii="Arial" w:hAnsi="Arial" w:cs="Arial"/>
          <w:sz w:val="22"/>
          <w:szCs w:val="22"/>
          <w:lang w:val="en-GB"/>
        </w:rPr>
        <w:footnoteReference w:id="27"/>
      </w:r>
    </w:p>
    <w:p w14:paraId="4852F0A2" w14:textId="77777777" w:rsidR="00591481" w:rsidRDefault="00591481" w:rsidP="008B6BA6">
      <w:pPr>
        <w:autoSpaceDE w:val="0"/>
        <w:autoSpaceDN w:val="0"/>
        <w:adjustRightInd w:val="0"/>
        <w:ind w:left="720"/>
        <w:jc w:val="both"/>
        <w:rPr>
          <w:rFonts w:ascii="Arial" w:hAnsi="Arial" w:cs="Arial"/>
          <w:sz w:val="22"/>
          <w:szCs w:val="22"/>
          <w:lang w:val="en-GB"/>
        </w:rPr>
      </w:pPr>
    </w:p>
    <w:p w14:paraId="30E6441B" w14:textId="63E61035" w:rsidR="00591481" w:rsidRPr="008B6BA6" w:rsidRDefault="00591481" w:rsidP="008B6BA6">
      <w:pPr>
        <w:autoSpaceDE w:val="0"/>
        <w:autoSpaceDN w:val="0"/>
        <w:adjustRightInd w:val="0"/>
        <w:ind w:left="720"/>
        <w:jc w:val="both"/>
        <w:rPr>
          <w:rFonts w:ascii="Arial" w:hAnsi="Arial" w:cs="Arial"/>
          <w:sz w:val="22"/>
          <w:szCs w:val="22"/>
          <w:lang w:val="en-GB"/>
        </w:rPr>
      </w:pPr>
      <w:r>
        <w:rPr>
          <w:rFonts w:ascii="Arial" w:hAnsi="Arial" w:cs="Arial"/>
          <w:sz w:val="22"/>
          <w:szCs w:val="22"/>
          <w:lang w:val="en-GB"/>
        </w:rPr>
        <w:t xml:space="preserve">Accordingly, yes, on recognition of the foreign agent, in this instance as a representative in a foreign main proceeding, an automatic stay of proceedings </w:t>
      </w:r>
      <w:proofErr w:type="gramStart"/>
      <w:r>
        <w:rPr>
          <w:rFonts w:ascii="Arial" w:hAnsi="Arial" w:cs="Arial"/>
          <w:sz w:val="22"/>
          <w:szCs w:val="22"/>
          <w:lang w:val="en-GB"/>
        </w:rPr>
        <w:t>applies,</w:t>
      </w:r>
      <w:proofErr w:type="gramEnd"/>
      <w:r>
        <w:rPr>
          <w:rFonts w:ascii="Arial" w:hAnsi="Arial" w:cs="Arial"/>
          <w:sz w:val="22"/>
          <w:szCs w:val="22"/>
          <w:lang w:val="en-GB"/>
        </w:rPr>
        <w:t xml:space="preserve"> there is no need to specifically apply for a stay in this instance.</w:t>
      </w:r>
    </w:p>
    <w:p w14:paraId="4A42416B" w14:textId="77777777" w:rsidR="0056061F" w:rsidRDefault="0056061F" w:rsidP="0056061F">
      <w:pPr>
        <w:autoSpaceDE w:val="0"/>
        <w:autoSpaceDN w:val="0"/>
        <w:adjustRightInd w:val="0"/>
        <w:jc w:val="both"/>
        <w:rPr>
          <w:rFonts w:ascii="Arial" w:hAnsi="Arial" w:cs="Arial"/>
          <w:color w:val="7B7B7B"/>
          <w:sz w:val="22"/>
          <w:szCs w:val="22"/>
          <w:lang w:val="en-GB"/>
        </w:rPr>
      </w:pPr>
    </w:p>
    <w:p w14:paraId="67DA3E22" w14:textId="77777777" w:rsidR="0056061F" w:rsidRPr="00AE184B" w:rsidRDefault="008C6FAA" w:rsidP="0056061F">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56061F" w:rsidRPr="00D80DC2" w:rsidRDefault="0056061F" w:rsidP="0056061F">
      <w:pPr>
        <w:autoSpaceDE w:val="0"/>
        <w:autoSpaceDN w:val="0"/>
        <w:adjustRightInd w:val="0"/>
        <w:jc w:val="both"/>
        <w:rPr>
          <w:rFonts w:ascii="Arial" w:hAnsi="Arial" w:cs="Arial"/>
          <w:sz w:val="22"/>
          <w:szCs w:val="22"/>
          <w:lang w:val="en-GB"/>
        </w:rPr>
      </w:pPr>
    </w:p>
    <w:bookmarkEnd w:id="0"/>
    <w:p w14:paraId="0C3D4112" w14:textId="7177AECB" w:rsidR="0056061F" w:rsidRDefault="008C6FAA" w:rsidP="0056061F">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7777777" w:rsidR="0056061F" w:rsidRDefault="0056061F" w:rsidP="0056061F">
      <w:pPr>
        <w:jc w:val="both"/>
        <w:rPr>
          <w:rFonts w:ascii="Arial" w:hAnsi="Arial" w:cs="Arial"/>
          <w:color w:val="000000"/>
          <w:sz w:val="22"/>
          <w:szCs w:val="22"/>
          <w:lang w:val="en-GB"/>
        </w:rPr>
      </w:pPr>
    </w:p>
    <w:p w14:paraId="0FB2E18A" w14:textId="77777777" w:rsidR="0056061F" w:rsidRDefault="008C6FAA" w:rsidP="0056061F">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5C831B76" w14:textId="1C72A1EC" w:rsidR="0056061F" w:rsidRDefault="00F1028B" w:rsidP="00C71F80">
      <w:pPr>
        <w:ind w:left="720"/>
        <w:jc w:val="both"/>
        <w:rPr>
          <w:rFonts w:ascii="Arial" w:hAnsi="Arial" w:cs="Arial"/>
          <w:sz w:val="22"/>
          <w:szCs w:val="22"/>
          <w:lang w:val="en-GB"/>
        </w:rPr>
      </w:pPr>
      <w:r>
        <w:rPr>
          <w:rFonts w:ascii="Arial" w:hAnsi="Arial" w:cs="Arial"/>
          <w:sz w:val="22"/>
          <w:szCs w:val="22"/>
          <w:lang w:val="en-GB"/>
        </w:rPr>
        <w:t>The Canadian insolvency law system is “universalist” in that it purports to extend to the debtor’s assets wherever</w:t>
      </w:r>
      <w:r w:rsidR="003D6549">
        <w:rPr>
          <w:rFonts w:ascii="Arial" w:hAnsi="Arial" w:cs="Arial"/>
          <w:sz w:val="22"/>
          <w:szCs w:val="22"/>
          <w:lang w:val="en-GB"/>
        </w:rPr>
        <w:t xml:space="preserve"> located. It</w:t>
      </w:r>
      <w:r>
        <w:rPr>
          <w:rFonts w:ascii="Arial" w:hAnsi="Arial" w:cs="Arial"/>
          <w:sz w:val="22"/>
          <w:szCs w:val="22"/>
          <w:lang w:val="en-GB"/>
        </w:rPr>
        <w:t xml:space="preserve"> is reciprocal in that it permits foreign creditors to participate in Canadian insolvency proceedings with the same rights and </w:t>
      </w:r>
      <w:r w:rsidR="00C71F80">
        <w:rPr>
          <w:rFonts w:ascii="Arial" w:hAnsi="Arial" w:cs="Arial"/>
          <w:sz w:val="22"/>
          <w:szCs w:val="22"/>
          <w:lang w:val="en-GB"/>
        </w:rPr>
        <w:t>priorities</w:t>
      </w:r>
      <w:r>
        <w:rPr>
          <w:rFonts w:ascii="Arial" w:hAnsi="Arial" w:cs="Arial"/>
          <w:sz w:val="22"/>
          <w:szCs w:val="22"/>
          <w:lang w:val="en-GB"/>
        </w:rPr>
        <w:t xml:space="preserve"> as similarly situated domestic creditors</w:t>
      </w:r>
      <w:r w:rsidR="00C71F80">
        <w:rPr>
          <w:rFonts w:ascii="Arial" w:hAnsi="Arial" w:cs="Arial"/>
          <w:sz w:val="22"/>
          <w:szCs w:val="22"/>
          <w:lang w:val="en-GB"/>
        </w:rPr>
        <w:t>.</w:t>
      </w:r>
      <w:r w:rsidR="00C71F80">
        <w:rPr>
          <w:rStyle w:val="FootnoteReference"/>
          <w:rFonts w:ascii="Arial" w:hAnsi="Arial" w:cs="Arial"/>
          <w:sz w:val="22"/>
          <w:szCs w:val="22"/>
          <w:lang w:val="en-GB"/>
        </w:rPr>
        <w:footnoteReference w:id="28"/>
      </w:r>
      <w:r w:rsidR="00C71F80">
        <w:rPr>
          <w:rFonts w:ascii="Arial" w:hAnsi="Arial" w:cs="Arial"/>
          <w:sz w:val="22"/>
          <w:szCs w:val="22"/>
          <w:lang w:val="en-GB"/>
        </w:rPr>
        <w:t xml:space="preserve"> However it is noted that no all countries reciprocate this approach in its treatment of Canadian creditors in their jurisdiction. Accordingly, Canada approaches the challenge posed pragmatically on the basis of “modified universalism” accepting that concurrent insolvency proceedings in multiple jurisdiction may sometimes be necessary. Canadian judges retain a high degree of discretion to employ the statutory provisions on the recognition of foreign proceedings in a way that accords with this underlying policy rationale in individual circumstances.</w:t>
      </w:r>
      <w:r w:rsidR="00C71F80">
        <w:rPr>
          <w:rStyle w:val="FootnoteReference"/>
          <w:rFonts w:ascii="Arial" w:hAnsi="Arial" w:cs="Arial"/>
          <w:sz w:val="22"/>
          <w:szCs w:val="22"/>
          <w:lang w:val="en-GB"/>
        </w:rPr>
        <w:footnoteReference w:id="29"/>
      </w:r>
    </w:p>
    <w:p w14:paraId="74BA88F6" w14:textId="77777777" w:rsidR="003D6549" w:rsidRDefault="003D6549" w:rsidP="00C71F80">
      <w:pPr>
        <w:ind w:left="720"/>
        <w:jc w:val="both"/>
        <w:rPr>
          <w:rFonts w:ascii="Arial" w:hAnsi="Arial" w:cs="Arial"/>
          <w:sz w:val="22"/>
          <w:szCs w:val="22"/>
          <w:lang w:val="en-GB"/>
        </w:rPr>
      </w:pPr>
    </w:p>
    <w:p w14:paraId="33254858" w14:textId="054A4957" w:rsidR="003D6549" w:rsidRDefault="003D6549" w:rsidP="00C71F80">
      <w:pPr>
        <w:ind w:left="720"/>
        <w:jc w:val="both"/>
        <w:rPr>
          <w:rFonts w:ascii="Arial" w:hAnsi="Arial" w:cs="Arial"/>
          <w:sz w:val="22"/>
          <w:szCs w:val="22"/>
          <w:lang w:val="en-GB"/>
        </w:rPr>
      </w:pPr>
      <w:r>
        <w:rPr>
          <w:rFonts w:ascii="Arial" w:hAnsi="Arial" w:cs="Arial"/>
          <w:sz w:val="22"/>
          <w:szCs w:val="22"/>
          <w:lang w:val="en-GB"/>
        </w:rPr>
        <w:t>Most Canadian provinces has enacted “reciprocal enforcement of judgments” legislation which allow a litigant to “register: a judgment by way of simplified court application and thereafter enforce, this however only available to reciprocating jurisdictions.</w:t>
      </w:r>
      <w:r>
        <w:rPr>
          <w:rStyle w:val="FootnoteReference"/>
          <w:rFonts w:ascii="Arial" w:hAnsi="Arial" w:cs="Arial"/>
          <w:sz w:val="22"/>
          <w:szCs w:val="22"/>
          <w:lang w:val="en-GB"/>
        </w:rPr>
        <w:footnoteReference w:id="30"/>
      </w:r>
      <w:r>
        <w:rPr>
          <w:rFonts w:ascii="Arial" w:hAnsi="Arial" w:cs="Arial"/>
          <w:sz w:val="22"/>
          <w:szCs w:val="22"/>
          <w:lang w:val="en-GB"/>
        </w:rPr>
        <w:t xml:space="preserve"> Canada is also party to se</w:t>
      </w:r>
      <w:r w:rsidR="00416888">
        <w:rPr>
          <w:rFonts w:ascii="Arial" w:hAnsi="Arial" w:cs="Arial"/>
          <w:sz w:val="22"/>
          <w:szCs w:val="22"/>
          <w:lang w:val="en-GB"/>
        </w:rPr>
        <w:t>veral international conventions</w:t>
      </w:r>
      <w:r>
        <w:rPr>
          <w:rFonts w:ascii="Arial" w:hAnsi="Arial" w:cs="Arial"/>
          <w:sz w:val="22"/>
          <w:szCs w:val="22"/>
          <w:lang w:val="en-GB"/>
        </w:rPr>
        <w:t xml:space="preserve"> such as the </w:t>
      </w:r>
      <w:r w:rsidRPr="008222AE">
        <w:rPr>
          <w:rFonts w:ascii="Arial" w:hAnsi="Arial" w:cs="Arial"/>
          <w:i/>
          <w:sz w:val="22"/>
          <w:szCs w:val="22"/>
          <w:lang w:val="en-GB"/>
        </w:rPr>
        <w:lastRenderedPageBreak/>
        <w:t xml:space="preserve">Convention Between Canada and the United Kingdom of Great Britain and Northern Ireland Providing for the Reciprocal Recognition and </w:t>
      </w:r>
      <w:r w:rsidR="008222AE" w:rsidRPr="008222AE">
        <w:rPr>
          <w:rFonts w:ascii="Arial" w:hAnsi="Arial" w:cs="Arial"/>
          <w:i/>
          <w:sz w:val="22"/>
          <w:szCs w:val="22"/>
          <w:lang w:val="en-GB"/>
        </w:rPr>
        <w:t>Enforcement</w:t>
      </w:r>
      <w:r w:rsidRPr="008222AE">
        <w:rPr>
          <w:rFonts w:ascii="Arial" w:hAnsi="Arial" w:cs="Arial"/>
          <w:i/>
          <w:sz w:val="22"/>
          <w:szCs w:val="22"/>
          <w:lang w:val="en-GB"/>
        </w:rPr>
        <w:t xml:space="preserve"> of </w:t>
      </w:r>
      <w:r w:rsidR="008222AE" w:rsidRPr="008222AE">
        <w:rPr>
          <w:rFonts w:ascii="Arial" w:hAnsi="Arial" w:cs="Arial"/>
          <w:i/>
          <w:sz w:val="22"/>
          <w:szCs w:val="22"/>
          <w:lang w:val="en-GB"/>
        </w:rPr>
        <w:t>Judgments</w:t>
      </w:r>
      <w:r w:rsidRPr="008222AE">
        <w:rPr>
          <w:rFonts w:ascii="Arial" w:hAnsi="Arial" w:cs="Arial"/>
          <w:i/>
          <w:sz w:val="22"/>
          <w:szCs w:val="22"/>
          <w:lang w:val="en-GB"/>
        </w:rPr>
        <w:t xml:space="preserve"> in Civil and Commercial Matters</w:t>
      </w:r>
      <w:r>
        <w:rPr>
          <w:rFonts w:ascii="Arial" w:hAnsi="Arial" w:cs="Arial"/>
          <w:sz w:val="22"/>
          <w:szCs w:val="22"/>
          <w:lang w:val="en-GB"/>
        </w:rPr>
        <w:t xml:space="preserve">, which allow Canadian federal and provincial </w:t>
      </w:r>
      <w:r w:rsidR="008222AE">
        <w:rPr>
          <w:rFonts w:ascii="Arial" w:hAnsi="Arial" w:cs="Arial"/>
          <w:sz w:val="22"/>
          <w:szCs w:val="22"/>
          <w:lang w:val="en-GB"/>
        </w:rPr>
        <w:t>governments</w:t>
      </w:r>
      <w:r>
        <w:rPr>
          <w:rFonts w:ascii="Arial" w:hAnsi="Arial" w:cs="Arial"/>
          <w:sz w:val="22"/>
          <w:szCs w:val="22"/>
          <w:lang w:val="en-GB"/>
        </w:rPr>
        <w:t xml:space="preserve"> as well as governments of </w:t>
      </w:r>
      <w:r w:rsidR="008222AE">
        <w:rPr>
          <w:rFonts w:ascii="Arial" w:hAnsi="Arial" w:cs="Arial"/>
          <w:sz w:val="22"/>
          <w:szCs w:val="22"/>
          <w:lang w:val="en-GB"/>
        </w:rPr>
        <w:t>Great Britain and Northern Ireland to mutually register and enforce judgments obtained in each others’ jurisdictions with the same force and effect, provided it is within six years of the judgment.</w:t>
      </w:r>
      <w:r>
        <w:rPr>
          <w:rStyle w:val="FootnoteReference"/>
          <w:rFonts w:ascii="Arial" w:hAnsi="Arial" w:cs="Arial"/>
          <w:sz w:val="22"/>
          <w:szCs w:val="22"/>
          <w:lang w:val="en-GB"/>
        </w:rPr>
        <w:footnoteReference w:id="31"/>
      </w:r>
    </w:p>
    <w:p w14:paraId="5BAFE218" w14:textId="77777777" w:rsidR="008222AE" w:rsidRDefault="008222AE" w:rsidP="00C71F80">
      <w:pPr>
        <w:ind w:left="720"/>
        <w:jc w:val="both"/>
        <w:rPr>
          <w:rFonts w:ascii="Arial" w:hAnsi="Arial" w:cs="Arial"/>
          <w:sz w:val="22"/>
          <w:szCs w:val="22"/>
          <w:lang w:val="en-GB"/>
        </w:rPr>
      </w:pPr>
    </w:p>
    <w:p w14:paraId="0581A55D" w14:textId="11FC0F96" w:rsidR="008222AE" w:rsidRPr="00F1028B" w:rsidRDefault="008222AE" w:rsidP="00C71F80">
      <w:pPr>
        <w:ind w:left="720"/>
        <w:jc w:val="both"/>
        <w:rPr>
          <w:rFonts w:ascii="Arial" w:hAnsi="Arial" w:cs="Arial"/>
          <w:sz w:val="22"/>
          <w:szCs w:val="22"/>
          <w:lang w:val="en-GB"/>
        </w:rPr>
      </w:pPr>
      <w:r>
        <w:rPr>
          <w:rFonts w:ascii="Arial" w:hAnsi="Arial" w:cs="Arial"/>
          <w:sz w:val="22"/>
          <w:szCs w:val="22"/>
          <w:lang w:val="en-GB"/>
        </w:rPr>
        <w:t>Depending on the foreign jurisdiction, Canadian courts may not be limited to Canadian Entitlements and remedies in the relief they can provide.</w:t>
      </w:r>
    </w:p>
    <w:p w14:paraId="2CC15DC7" w14:textId="77777777" w:rsidR="0056061F" w:rsidRDefault="0056061F" w:rsidP="0056061F">
      <w:pPr>
        <w:jc w:val="both"/>
        <w:rPr>
          <w:rFonts w:ascii="Arial" w:hAnsi="Arial" w:cs="Arial"/>
          <w:color w:val="000000"/>
          <w:sz w:val="22"/>
          <w:szCs w:val="22"/>
          <w:lang w:val="en-GB"/>
        </w:rPr>
      </w:pPr>
    </w:p>
    <w:p w14:paraId="113761F4" w14:textId="77777777" w:rsidR="0056061F" w:rsidRPr="00D80DC2" w:rsidRDefault="0056061F" w:rsidP="0056061F">
      <w:pPr>
        <w:jc w:val="both"/>
        <w:rPr>
          <w:rFonts w:ascii="Arial" w:hAnsi="Arial" w:cs="Arial"/>
          <w:color w:val="000000"/>
          <w:sz w:val="22"/>
          <w:szCs w:val="22"/>
          <w:lang w:val="en-GB"/>
        </w:rPr>
      </w:pPr>
    </w:p>
    <w:p w14:paraId="14B58C22" w14:textId="77777777" w:rsidR="0056061F" w:rsidRPr="00D80DC2" w:rsidRDefault="008C6FAA" w:rsidP="0056061F">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56061F" w:rsidRPr="00D80DC2" w:rsidSect="0056061F">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BACAE" w14:textId="77777777" w:rsidR="003D6549" w:rsidRDefault="003D6549">
      <w:r>
        <w:separator/>
      </w:r>
    </w:p>
  </w:endnote>
  <w:endnote w:type="continuationSeparator" w:id="0">
    <w:p w14:paraId="0F11340F" w14:textId="77777777" w:rsidR="003D6549" w:rsidRDefault="003D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3D6549" w:rsidRPr="00FC7B47" w:rsidRDefault="003D6549" w:rsidP="0056061F">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3D6549" w:rsidRPr="00FC7B47" w:rsidRDefault="003D6549" w:rsidP="0056061F">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EF306" w14:textId="458E67A7" w:rsidR="003D6549" w:rsidRPr="009B4976" w:rsidRDefault="003D6549" w:rsidP="0056061F">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416888">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sdtContent>
    </w:sdt>
  </w:p>
  <w:p w14:paraId="296E07EB" w14:textId="20B9BFB6" w:rsidR="003D6549" w:rsidRPr="009B4976" w:rsidRDefault="003D6549" w:rsidP="0056061F">
    <w:pPr>
      <w:pStyle w:val="Footer"/>
      <w:ind w:right="360"/>
      <w:rPr>
        <w:rFonts w:ascii="Arial" w:hAnsi="Arial" w:cs="Arial"/>
        <w:sz w:val="18"/>
        <w:szCs w:val="18"/>
        <w:lang w:val="en-GB"/>
      </w:rPr>
    </w:pPr>
    <w:r>
      <w:rPr>
        <w:rFonts w:ascii="Arial" w:hAnsi="Arial" w:cs="Arial"/>
        <w:sz w:val="18"/>
        <w:szCs w:val="18"/>
      </w:rPr>
      <w:t>202122-603</w:t>
    </w:r>
    <w:r w:rsidRPr="009B4976">
      <w:rPr>
        <w:rFonts w:ascii="Arial" w:hAnsi="Arial" w:cs="Arial"/>
        <w:sz w:val="18"/>
        <w:szCs w:val="18"/>
        <w:lang w:val="en-GB"/>
      </w:rPr>
      <w:t>.assessment</w:t>
    </w:r>
    <w:r>
      <w:rPr>
        <w:rFonts w:ascii="Arial" w:hAnsi="Arial" w:cs="Arial"/>
        <w:sz w:val="18"/>
        <w:szCs w:val="18"/>
        <w:lang w:val="en-GB"/>
      </w:rPr>
      <w:t>4C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0514" w14:textId="4B7A5F43" w:rsidR="003D6549" w:rsidRDefault="003D6549">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98BA9" w14:textId="77777777" w:rsidR="003D6549" w:rsidRDefault="003D6549">
      <w:r>
        <w:separator/>
      </w:r>
    </w:p>
  </w:footnote>
  <w:footnote w:type="continuationSeparator" w:id="0">
    <w:p w14:paraId="7F42D33A" w14:textId="77777777" w:rsidR="003D6549" w:rsidRDefault="003D6549">
      <w:r>
        <w:continuationSeparator/>
      </w:r>
    </w:p>
  </w:footnote>
  <w:footnote w:id="1">
    <w:p w14:paraId="2401EF1E" w14:textId="629BD49E" w:rsidR="003D6549" w:rsidRDefault="003D6549">
      <w:pPr>
        <w:pStyle w:val="FootnoteText"/>
      </w:pPr>
      <w:r>
        <w:rPr>
          <w:rStyle w:val="FootnoteReference"/>
        </w:rPr>
        <w:footnoteRef/>
      </w:r>
      <w:r>
        <w:t xml:space="preserve"> Finlayson, Gavin H, Foundation Certificate in International Insolvency Law, Module 4C Guidance Text Canada 2021/2022 (“</w:t>
      </w:r>
      <w:r w:rsidRPr="00FF7AE1">
        <w:rPr>
          <w:b/>
        </w:rPr>
        <w:t>Guidance Text</w:t>
      </w:r>
      <w:r>
        <w:t xml:space="preserve">”) page 25, 6.2.7; Case: Newfoundland and Labrador v </w:t>
      </w:r>
      <w:proofErr w:type="spellStart"/>
      <w:r>
        <w:t>AbitibiBowater</w:t>
      </w:r>
      <w:proofErr w:type="spellEnd"/>
      <w:r>
        <w:t xml:space="preserve"> </w:t>
      </w:r>
      <w:proofErr w:type="spellStart"/>
      <w:r>
        <w:t>Inc</w:t>
      </w:r>
      <w:proofErr w:type="spellEnd"/>
      <w:r>
        <w:t xml:space="preserve"> [2012] SCC 67 at </w:t>
      </w:r>
      <w:proofErr w:type="spellStart"/>
      <w:r>
        <w:t>para</w:t>
      </w:r>
      <w:proofErr w:type="spellEnd"/>
      <w:r>
        <w:t xml:space="preserve"> 26</w:t>
      </w:r>
    </w:p>
  </w:footnote>
  <w:footnote w:id="2">
    <w:p w14:paraId="35CC97A0" w14:textId="6C598759" w:rsidR="003D6549" w:rsidRDefault="003D6549">
      <w:pPr>
        <w:pStyle w:val="FootnoteText"/>
      </w:pPr>
      <w:r>
        <w:rPr>
          <w:rStyle w:val="FootnoteReference"/>
        </w:rPr>
        <w:footnoteRef/>
      </w:r>
      <w:r>
        <w:t xml:space="preserve"> Guidance Text page 19, 6.2</w:t>
      </w:r>
    </w:p>
  </w:footnote>
  <w:footnote w:id="3">
    <w:p w14:paraId="6C5D131C" w14:textId="0CD97749" w:rsidR="003D6549" w:rsidRDefault="003D6549">
      <w:pPr>
        <w:pStyle w:val="FootnoteText"/>
      </w:pPr>
      <w:r>
        <w:rPr>
          <w:rStyle w:val="FootnoteReference"/>
        </w:rPr>
        <w:footnoteRef/>
      </w:r>
      <w:r>
        <w:t xml:space="preserve"> Guidance Text page 27, 6.2.10</w:t>
      </w:r>
    </w:p>
  </w:footnote>
  <w:footnote w:id="4">
    <w:p w14:paraId="7EE6F2CD" w14:textId="2DB11E70" w:rsidR="003D6549" w:rsidRDefault="003D6549">
      <w:pPr>
        <w:pStyle w:val="FootnoteText"/>
      </w:pPr>
      <w:r>
        <w:rPr>
          <w:rStyle w:val="FootnoteReference"/>
        </w:rPr>
        <w:footnoteRef/>
      </w:r>
      <w:r>
        <w:t xml:space="preserve"> Guidance Text page 20, 6.2.2; page 20, 6.2.2.1; page 21, 6.2.2.2; page 22, 6.2.2.3</w:t>
      </w:r>
    </w:p>
  </w:footnote>
  <w:footnote w:id="5">
    <w:p w14:paraId="0DA22155" w14:textId="750D676B" w:rsidR="003D6549" w:rsidRDefault="003D6549">
      <w:pPr>
        <w:pStyle w:val="FootnoteText"/>
      </w:pPr>
      <w:r>
        <w:rPr>
          <w:rStyle w:val="FootnoteReference"/>
        </w:rPr>
        <w:footnoteRef/>
      </w:r>
      <w:r>
        <w:t xml:space="preserve"> Guidance Text page 19, 6.2.1</w:t>
      </w:r>
    </w:p>
  </w:footnote>
  <w:footnote w:id="6">
    <w:p w14:paraId="60623A53" w14:textId="70ED17A9" w:rsidR="003D6549" w:rsidRDefault="003D6549">
      <w:pPr>
        <w:pStyle w:val="FootnoteText"/>
      </w:pPr>
      <w:r>
        <w:rPr>
          <w:rStyle w:val="FootnoteReference"/>
        </w:rPr>
        <w:footnoteRef/>
      </w:r>
      <w:r>
        <w:t xml:space="preserve"> Guidance Text page 39, 6.4.1</w:t>
      </w:r>
    </w:p>
  </w:footnote>
  <w:footnote w:id="7">
    <w:p w14:paraId="0E3C437A" w14:textId="2C58E4A9" w:rsidR="003D6549" w:rsidRDefault="003D6549">
      <w:pPr>
        <w:pStyle w:val="FootnoteText"/>
      </w:pPr>
      <w:r>
        <w:rPr>
          <w:rStyle w:val="FootnoteReference"/>
        </w:rPr>
        <w:footnoteRef/>
      </w:r>
      <w:r>
        <w:t xml:space="preserve"> Guidance Text page 39, 6.4.1</w:t>
      </w:r>
    </w:p>
  </w:footnote>
  <w:footnote w:id="8">
    <w:p w14:paraId="7A90590B" w14:textId="4BF208F9" w:rsidR="003D6549" w:rsidRDefault="003D6549">
      <w:pPr>
        <w:pStyle w:val="FootnoteText"/>
      </w:pPr>
      <w:r>
        <w:rPr>
          <w:rStyle w:val="FootnoteReference"/>
        </w:rPr>
        <w:footnoteRef/>
      </w:r>
      <w:r>
        <w:t xml:space="preserve"> Guidance Text page 39, 6.4.1</w:t>
      </w:r>
    </w:p>
  </w:footnote>
  <w:footnote w:id="9">
    <w:p w14:paraId="5B28434B" w14:textId="77777777" w:rsidR="003D6549" w:rsidRDefault="003D6549" w:rsidP="00595911">
      <w:pPr>
        <w:pStyle w:val="FootnoteText"/>
      </w:pPr>
      <w:r>
        <w:rPr>
          <w:rStyle w:val="FootnoteReference"/>
        </w:rPr>
        <w:footnoteRef/>
      </w:r>
      <w:r>
        <w:t xml:space="preserve"> Guidance Text page 30, 6.4.2</w:t>
      </w:r>
    </w:p>
  </w:footnote>
  <w:footnote w:id="10">
    <w:p w14:paraId="29C6A199" w14:textId="245E0080" w:rsidR="003D6549" w:rsidRDefault="003D6549">
      <w:pPr>
        <w:pStyle w:val="FootnoteText"/>
      </w:pPr>
      <w:r>
        <w:rPr>
          <w:rStyle w:val="FootnoteReference"/>
        </w:rPr>
        <w:footnoteRef/>
      </w:r>
      <w:r>
        <w:t xml:space="preserve"> Guidance Text page 30, 6.4.2</w:t>
      </w:r>
    </w:p>
  </w:footnote>
  <w:footnote w:id="11">
    <w:p w14:paraId="4A0A45FC" w14:textId="1E68807F" w:rsidR="003D6549" w:rsidRDefault="003D6549">
      <w:pPr>
        <w:pStyle w:val="FootnoteText"/>
      </w:pPr>
      <w:r>
        <w:rPr>
          <w:rStyle w:val="FootnoteReference"/>
        </w:rPr>
        <w:footnoteRef/>
      </w:r>
      <w:r>
        <w:t xml:space="preserve"> Guidance Text page 30, 6.4.2</w:t>
      </w:r>
    </w:p>
  </w:footnote>
  <w:footnote w:id="12">
    <w:p w14:paraId="6F0EFF13" w14:textId="457947AA" w:rsidR="003D6549" w:rsidRDefault="003D6549">
      <w:pPr>
        <w:pStyle w:val="FootnoteText"/>
      </w:pPr>
      <w:r>
        <w:rPr>
          <w:rStyle w:val="FootnoteReference"/>
        </w:rPr>
        <w:footnoteRef/>
      </w:r>
      <w:r>
        <w:t xml:space="preserve"> Guidance Text page 31, 6.4.2</w:t>
      </w:r>
    </w:p>
  </w:footnote>
  <w:footnote w:id="13">
    <w:p w14:paraId="2A8A839C" w14:textId="48CB9882" w:rsidR="003D6549" w:rsidRDefault="003D6549">
      <w:pPr>
        <w:pStyle w:val="FootnoteText"/>
      </w:pPr>
      <w:r>
        <w:rPr>
          <w:rStyle w:val="FootnoteReference"/>
        </w:rPr>
        <w:footnoteRef/>
      </w:r>
      <w:r>
        <w:t xml:space="preserve"> Guidance Text page 30, 6.4.2</w:t>
      </w:r>
    </w:p>
  </w:footnote>
  <w:footnote w:id="14">
    <w:p w14:paraId="23EB7AEA" w14:textId="5A650847" w:rsidR="003D6549" w:rsidRDefault="003D6549">
      <w:pPr>
        <w:pStyle w:val="FootnoteText"/>
      </w:pPr>
      <w:r>
        <w:rPr>
          <w:rStyle w:val="FootnoteReference"/>
        </w:rPr>
        <w:footnoteRef/>
      </w:r>
      <w:r>
        <w:t xml:space="preserve"> Guidance Text page 30, 6.4.2</w:t>
      </w:r>
    </w:p>
  </w:footnote>
  <w:footnote w:id="15">
    <w:p w14:paraId="1FEE914A" w14:textId="08315C42" w:rsidR="003D6549" w:rsidRDefault="003D6549">
      <w:pPr>
        <w:pStyle w:val="FootnoteText"/>
      </w:pPr>
      <w:r>
        <w:rPr>
          <w:rStyle w:val="FootnoteReference"/>
        </w:rPr>
        <w:footnoteRef/>
      </w:r>
      <w:r>
        <w:t xml:space="preserve"> Guidance Text page 17, 6.1.1</w:t>
      </w:r>
    </w:p>
  </w:footnote>
  <w:footnote w:id="16">
    <w:p w14:paraId="4404D294" w14:textId="2542E18E" w:rsidR="003D6549" w:rsidRDefault="003D6549">
      <w:pPr>
        <w:pStyle w:val="FootnoteText"/>
      </w:pPr>
      <w:r>
        <w:rPr>
          <w:rStyle w:val="FootnoteReference"/>
        </w:rPr>
        <w:footnoteRef/>
      </w:r>
      <w:r>
        <w:t xml:space="preserve"> Guidance Text page 17, 6.1.1</w:t>
      </w:r>
    </w:p>
  </w:footnote>
  <w:footnote w:id="17">
    <w:p w14:paraId="5075FDB6" w14:textId="7ECB4E29" w:rsidR="003D6549" w:rsidRDefault="003D6549">
      <w:pPr>
        <w:pStyle w:val="FootnoteText"/>
      </w:pPr>
      <w:r>
        <w:rPr>
          <w:rStyle w:val="FootnoteReference"/>
        </w:rPr>
        <w:footnoteRef/>
      </w:r>
      <w:r>
        <w:t xml:space="preserve"> Guidance Text pages 23-24, 6.2.5</w:t>
      </w:r>
    </w:p>
  </w:footnote>
  <w:footnote w:id="18">
    <w:p w14:paraId="7EF8B719" w14:textId="11653EFF" w:rsidR="003D6549" w:rsidRDefault="003D6549">
      <w:pPr>
        <w:pStyle w:val="FootnoteText"/>
      </w:pPr>
      <w:r>
        <w:rPr>
          <w:rStyle w:val="FootnoteReference"/>
        </w:rPr>
        <w:footnoteRef/>
      </w:r>
      <w:r>
        <w:t xml:space="preserve"> Guidance Text page 25, 6.2.7</w:t>
      </w:r>
    </w:p>
  </w:footnote>
  <w:footnote w:id="19">
    <w:p w14:paraId="54673184" w14:textId="3D3E86AF" w:rsidR="003D6549" w:rsidRDefault="003D6549">
      <w:pPr>
        <w:pStyle w:val="FootnoteText"/>
      </w:pPr>
      <w:r>
        <w:rPr>
          <w:rStyle w:val="FootnoteReference"/>
        </w:rPr>
        <w:footnoteRef/>
      </w:r>
      <w:r>
        <w:t xml:space="preserve"> Guidance Text page 11, 4.2.3</w:t>
      </w:r>
    </w:p>
  </w:footnote>
  <w:footnote w:id="20">
    <w:p w14:paraId="3F016813" w14:textId="1944AC49" w:rsidR="003D6549" w:rsidRDefault="003D6549">
      <w:pPr>
        <w:pStyle w:val="FootnoteText"/>
      </w:pPr>
      <w:r>
        <w:rPr>
          <w:rStyle w:val="FootnoteReference"/>
        </w:rPr>
        <w:footnoteRef/>
      </w:r>
      <w:r>
        <w:t xml:space="preserve"> Guidance Text page 6, 4.1.2</w:t>
      </w:r>
    </w:p>
  </w:footnote>
  <w:footnote w:id="21">
    <w:p w14:paraId="75F96210" w14:textId="305BCA65" w:rsidR="003D6549" w:rsidRDefault="003D6549">
      <w:pPr>
        <w:pStyle w:val="FootnoteText"/>
      </w:pPr>
      <w:r>
        <w:rPr>
          <w:rStyle w:val="FootnoteReference"/>
        </w:rPr>
        <w:footnoteRef/>
      </w:r>
      <w:r>
        <w:t xml:space="preserve"> Guidance Text page 6, 4.1.2</w:t>
      </w:r>
    </w:p>
  </w:footnote>
  <w:footnote w:id="22">
    <w:p w14:paraId="50010422" w14:textId="35026E2E" w:rsidR="003D6549" w:rsidRDefault="003D6549">
      <w:pPr>
        <w:pStyle w:val="FootnoteText"/>
      </w:pPr>
      <w:r>
        <w:rPr>
          <w:rStyle w:val="FootnoteReference"/>
        </w:rPr>
        <w:footnoteRef/>
      </w:r>
      <w:r>
        <w:t xml:space="preserve"> Guidance Text page 6, 4.1.2</w:t>
      </w:r>
    </w:p>
  </w:footnote>
  <w:footnote w:id="23">
    <w:p w14:paraId="2E5AB77A" w14:textId="38BAA809" w:rsidR="003D6549" w:rsidRDefault="003D6549">
      <w:pPr>
        <w:pStyle w:val="FootnoteText"/>
      </w:pPr>
      <w:r>
        <w:rPr>
          <w:rStyle w:val="FootnoteReference"/>
        </w:rPr>
        <w:footnoteRef/>
      </w:r>
      <w:r>
        <w:t xml:space="preserve"> Guidance Text page 59, 7.4</w:t>
      </w:r>
    </w:p>
  </w:footnote>
  <w:footnote w:id="24">
    <w:p w14:paraId="0571EAA2" w14:textId="011DC6DD" w:rsidR="003D6549" w:rsidRDefault="003D6549">
      <w:pPr>
        <w:pStyle w:val="FootnoteText"/>
      </w:pPr>
      <w:r>
        <w:rPr>
          <w:rStyle w:val="FootnoteReference"/>
        </w:rPr>
        <w:footnoteRef/>
      </w:r>
      <w:r>
        <w:t xml:space="preserve"> Guidance Text page 59, 7.4</w:t>
      </w:r>
    </w:p>
  </w:footnote>
  <w:footnote w:id="25">
    <w:p w14:paraId="72E366FF" w14:textId="25E9C679" w:rsidR="003D6549" w:rsidRDefault="003D6549">
      <w:pPr>
        <w:pStyle w:val="FootnoteText"/>
      </w:pPr>
      <w:r>
        <w:rPr>
          <w:rStyle w:val="FootnoteReference"/>
        </w:rPr>
        <w:footnoteRef/>
      </w:r>
      <w:r>
        <w:t xml:space="preserve"> Guidance Text page 60, 7.5</w:t>
      </w:r>
    </w:p>
  </w:footnote>
  <w:footnote w:id="26">
    <w:p w14:paraId="575E9E79" w14:textId="2216AD4C" w:rsidR="003D6549" w:rsidRDefault="003D6549">
      <w:pPr>
        <w:pStyle w:val="FootnoteText"/>
      </w:pPr>
      <w:r>
        <w:rPr>
          <w:rStyle w:val="FootnoteReference"/>
        </w:rPr>
        <w:footnoteRef/>
      </w:r>
      <w:r>
        <w:t xml:space="preserve"> Guidance Text page 60, 7.6</w:t>
      </w:r>
    </w:p>
  </w:footnote>
  <w:footnote w:id="27">
    <w:p w14:paraId="42998AB4" w14:textId="2D6B280F" w:rsidR="003D6549" w:rsidRDefault="003D6549">
      <w:pPr>
        <w:pStyle w:val="FootnoteText"/>
      </w:pPr>
      <w:r>
        <w:rPr>
          <w:rStyle w:val="FootnoteReference"/>
        </w:rPr>
        <w:footnoteRef/>
      </w:r>
      <w:r>
        <w:t xml:space="preserve"> Guidance Text pages 60-61, 7.6, 7.7</w:t>
      </w:r>
    </w:p>
  </w:footnote>
  <w:footnote w:id="28">
    <w:p w14:paraId="0B7E4E59" w14:textId="5EC4D9C0" w:rsidR="003D6549" w:rsidRDefault="003D6549">
      <w:pPr>
        <w:pStyle w:val="FootnoteText"/>
      </w:pPr>
      <w:r>
        <w:rPr>
          <w:rStyle w:val="FootnoteReference"/>
        </w:rPr>
        <w:footnoteRef/>
      </w:r>
      <w:r>
        <w:t xml:space="preserve"> Guidance Text pages 56-57, 7.1</w:t>
      </w:r>
      <w:bookmarkStart w:id="1" w:name="_GoBack"/>
      <w:bookmarkEnd w:id="1"/>
    </w:p>
  </w:footnote>
  <w:footnote w:id="29">
    <w:p w14:paraId="0997A1CB" w14:textId="401B6690" w:rsidR="003D6549" w:rsidRDefault="003D6549">
      <w:pPr>
        <w:pStyle w:val="FootnoteText"/>
      </w:pPr>
      <w:r>
        <w:rPr>
          <w:rStyle w:val="FootnoteReference"/>
        </w:rPr>
        <w:footnoteRef/>
      </w:r>
      <w:r>
        <w:t xml:space="preserve"> Guidance Text page 57, 7.1</w:t>
      </w:r>
    </w:p>
  </w:footnote>
  <w:footnote w:id="30">
    <w:p w14:paraId="28482824" w14:textId="3F089538" w:rsidR="003D6549" w:rsidRDefault="003D6549">
      <w:pPr>
        <w:pStyle w:val="FootnoteText"/>
      </w:pPr>
      <w:r>
        <w:rPr>
          <w:rStyle w:val="FootnoteReference"/>
        </w:rPr>
        <w:footnoteRef/>
      </w:r>
      <w:r>
        <w:t xml:space="preserve"> Guidance Text page 68, 8.2</w:t>
      </w:r>
    </w:p>
  </w:footnote>
  <w:footnote w:id="31">
    <w:p w14:paraId="3C36875E" w14:textId="6DB5E67D" w:rsidR="003D6549" w:rsidRDefault="003D6549">
      <w:pPr>
        <w:pStyle w:val="FootnoteText"/>
      </w:pPr>
      <w:r>
        <w:rPr>
          <w:rStyle w:val="FootnoteReference"/>
        </w:rPr>
        <w:footnoteRef/>
      </w:r>
      <w:r>
        <w:t xml:space="preserve"> Guidance Text page 69, 8.2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4854" w14:textId="77777777" w:rsidR="003D6549" w:rsidRDefault="003D6549">
    <w:pPr>
      <w:pStyle w:val="Heade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B77E" w14:textId="77777777" w:rsidR="003D6549" w:rsidRDefault="003D6549">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nsid w:val="18A40A5B"/>
    <w:multiLevelType w:val="hybridMultilevel"/>
    <w:tmpl w:val="EE4A1504"/>
    <w:lvl w:ilvl="0" w:tplc="6AF25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1">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2">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4B9606D8"/>
    <w:multiLevelType w:val="hybridMultilevel"/>
    <w:tmpl w:val="F9F27B4E"/>
    <w:lvl w:ilvl="0" w:tplc="4922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8">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9">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0">
    <w:nsid w:val="68282041"/>
    <w:multiLevelType w:val="hybridMultilevel"/>
    <w:tmpl w:val="91389624"/>
    <w:lvl w:ilvl="0" w:tplc="6888C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2">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3">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7"/>
  </w:num>
  <w:num w:numId="2">
    <w:abstractNumId w:val="22"/>
  </w:num>
  <w:num w:numId="3">
    <w:abstractNumId w:val="2"/>
  </w:num>
  <w:num w:numId="4">
    <w:abstractNumId w:val="19"/>
  </w:num>
  <w:num w:numId="5">
    <w:abstractNumId w:val="24"/>
  </w:num>
  <w:num w:numId="6">
    <w:abstractNumId w:val="18"/>
  </w:num>
  <w:num w:numId="7">
    <w:abstractNumId w:val="0"/>
  </w:num>
  <w:num w:numId="8">
    <w:abstractNumId w:val="21"/>
  </w:num>
  <w:num w:numId="9">
    <w:abstractNumId w:val="3"/>
  </w:num>
  <w:num w:numId="10">
    <w:abstractNumId w:val="9"/>
  </w:num>
  <w:num w:numId="11">
    <w:abstractNumId w:val="10"/>
  </w:num>
  <w:num w:numId="12">
    <w:abstractNumId w:val="11"/>
  </w:num>
  <w:num w:numId="13">
    <w:abstractNumId w:val="16"/>
  </w:num>
  <w:num w:numId="14">
    <w:abstractNumId w:val="6"/>
  </w:num>
  <w:num w:numId="15">
    <w:abstractNumId w:val="8"/>
  </w:num>
  <w:num w:numId="16">
    <w:abstractNumId w:val="5"/>
  </w:num>
  <w:num w:numId="17">
    <w:abstractNumId w:val="1"/>
  </w:num>
  <w:num w:numId="18">
    <w:abstractNumId w:val="14"/>
  </w:num>
  <w:num w:numId="19">
    <w:abstractNumId w:val="23"/>
  </w:num>
  <w:num w:numId="20">
    <w:abstractNumId w:val="12"/>
  </w:num>
  <w:num w:numId="21">
    <w:abstractNumId w:val="7"/>
  </w:num>
  <w:num w:numId="22">
    <w:abstractNumId w:val="13"/>
  </w:num>
  <w:num w:numId="23">
    <w:abstractNumId w:val="4"/>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CC"/>
    <w:rsid w:val="00004E08"/>
    <w:rsid w:val="00035DCA"/>
    <w:rsid w:val="00052390"/>
    <w:rsid w:val="00055CC5"/>
    <w:rsid w:val="000B0B73"/>
    <w:rsid w:val="000C3FB9"/>
    <w:rsid w:val="000E06EA"/>
    <w:rsid w:val="000F2991"/>
    <w:rsid w:val="00107795"/>
    <w:rsid w:val="00135B78"/>
    <w:rsid w:val="001412FB"/>
    <w:rsid w:val="00157A36"/>
    <w:rsid w:val="00180265"/>
    <w:rsid w:val="001834D3"/>
    <w:rsid w:val="0019721F"/>
    <w:rsid w:val="001A4B9C"/>
    <w:rsid w:val="001A6D29"/>
    <w:rsid w:val="001A7737"/>
    <w:rsid w:val="001B0BDE"/>
    <w:rsid w:val="001E45D9"/>
    <w:rsid w:val="00232808"/>
    <w:rsid w:val="00233682"/>
    <w:rsid w:val="00266441"/>
    <w:rsid w:val="002A49B4"/>
    <w:rsid w:val="002C3783"/>
    <w:rsid w:val="002D713F"/>
    <w:rsid w:val="00300EAB"/>
    <w:rsid w:val="003044AE"/>
    <w:rsid w:val="00393EB8"/>
    <w:rsid w:val="003B2F4E"/>
    <w:rsid w:val="003D6549"/>
    <w:rsid w:val="0040437D"/>
    <w:rsid w:val="00410C9A"/>
    <w:rsid w:val="00416888"/>
    <w:rsid w:val="00431CC9"/>
    <w:rsid w:val="004B5020"/>
    <w:rsid w:val="004D7881"/>
    <w:rsid w:val="004E240A"/>
    <w:rsid w:val="00503909"/>
    <w:rsid w:val="00513258"/>
    <w:rsid w:val="00554069"/>
    <w:rsid w:val="0056061F"/>
    <w:rsid w:val="005625A0"/>
    <w:rsid w:val="00591481"/>
    <w:rsid w:val="00595911"/>
    <w:rsid w:val="00615E85"/>
    <w:rsid w:val="006A6A7E"/>
    <w:rsid w:val="006C686A"/>
    <w:rsid w:val="00714B82"/>
    <w:rsid w:val="0072094D"/>
    <w:rsid w:val="00745755"/>
    <w:rsid w:val="00791452"/>
    <w:rsid w:val="00812142"/>
    <w:rsid w:val="008222AE"/>
    <w:rsid w:val="00827695"/>
    <w:rsid w:val="0083074D"/>
    <w:rsid w:val="00852FD0"/>
    <w:rsid w:val="008B6BA6"/>
    <w:rsid w:val="008C6FAA"/>
    <w:rsid w:val="008F5F63"/>
    <w:rsid w:val="00947FFB"/>
    <w:rsid w:val="00950086"/>
    <w:rsid w:val="009569A2"/>
    <w:rsid w:val="009D0B22"/>
    <w:rsid w:val="00A13E9B"/>
    <w:rsid w:val="00A254C1"/>
    <w:rsid w:val="00A70963"/>
    <w:rsid w:val="00A765CD"/>
    <w:rsid w:val="00AA0086"/>
    <w:rsid w:val="00AD59DC"/>
    <w:rsid w:val="00AE42F3"/>
    <w:rsid w:val="00AE77DE"/>
    <w:rsid w:val="00AF087E"/>
    <w:rsid w:val="00C158CC"/>
    <w:rsid w:val="00C71F80"/>
    <w:rsid w:val="00CB6023"/>
    <w:rsid w:val="00CD7568"/>
    <w:rsid w:val="00E0683B"/>
    <w:rsid w:val="00E74BC3"/>
    <w:rsid w:val="00E91C87"/>
    <w:rsid w:val="00ED21C4"/>
    <w:rsid w:val="00F07351"/>
    <w:rsid w:val="00F1028B"/>
    <w:rsid w:val="00F73328"/>
    <w:rsid w:val="00F83D52"/>
    <w:rsid w:val="00FB101B"/>
    <w:rsid w:val="00FD78CA"/>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1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E029-C360-CE4B-A332-7B588D51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11</Pages>
  <Words>3304</Words>
  <Characters>18837</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Kaveer Soni</cp:lastModifiedBy>
  <cp:revision>32</cp:revision>
  <dcterms:created xsi:type="dcterms:W3CDTF">2022-07-25T00:13:00Z</dcterms:created>
  <dcterms:modified xsi:type="dcterms:W3CDTF">2022-07-28T03:34:00Z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