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bookmarkStart w:id="0" w:name="_GoBack"/>
      <w:bookmarkEnd w:id="0"/>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280C79" w:rsidRDefault="00A6325B" w:rsidP="006F4751">
      <w:pPr>
        <w:pStyle w:val="ListParagraph"/>
        <w:numPr>
          <w:ilvl w:val="1"/>
          <w:numId w:val="5"/>
        </w:numPr>
        <w:ind w:left="426"/>
        <w:jc w:val="both"/>
        <w:rPr>
          <w:rFonts w:ascii="Arial" w:hAnsi="Arial" w:cs="Arial"/>
          <w:sz w:val="22"/>
          <w:szCs w:val="22"/>
          <w:highlight w:val="yellow"/>
          <w:lang w:val="en-GB"/>
        </w:rPr>
      </w:pPr>
      <w:r w:rsidRPr="00280C79">
        <w:rPr>
          <w:rFonts w:ascii="Arial" w:hAnsi="Arial" w:cs="Arial"/>
          <w:sz w:val="22"/>
          <w:szCs w:val="22"/>
          <w:highlight w:val="yellow"/>
          <w:lang w:val="en-GB"/>
        </w:rPr>
        <w:t>a</w:t>
      </w:r>
      <w:r w:rsidR="00286642" w:rsidRPr="00280C79">
        <w:rPr>
          <w:rFonts w:ascii="Arial" w:hAnsi="Arial" w:cs="Arial"/>
          <w:sz w:val="22"/>
          <w:szCs w:val="22"/>
          <w:highlight w:val="yellow"/>
          <w:lang w:val="en-GB"/>
        </w:rPr>
        <w:t>ny of the above</w:t>
      </w:r>
      <w:r w:rsidRPr="00280C79">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0F2BDB" w:rsidRDefault="005D093D" w:rsidP="009578F6">
      <w:pPr>
        <w:pStyle w:val="ListParagraph"/>
        <w:numPr>
          <w:ilvl w:val="0"/>
          <w:numId w:val="6"/>
        </w:numPr>
        <w:ind w:left="426"/>
        <w:jc w:val="both"/>
        <w:rPr>
          <w:rFonts w:ascii="Arial" w:hAnsi="Arial" w:cs="Arial"/>
          <w:sz w:val="22"/>
          <w:szCs w:val="22"/>
          <w:highlight w:val="yellow"/>
          <w:lang w:val="en-GB"/>
        </w:rPr>
      </w:pPr>
      <w:r w:rsidRPr="000F2BDB">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8E760F" w:rsidRDefault="00B81F6E" w:rsidP="006F4751">
      <w:pPr>
        <w:pStyle w:val="ListParagraph"/>
        <w:numPr>
          <w:ilvl w:val="1"/>
          <w:numId w:val="7"/>
        </w:numPr>
        <w:ind w:left="426"/>
        <w:jc w:val="both"/>
        <w:rPr>
          <w:rFonts w:ascii="Arial" w:hAnsi="Arial" w:cs="Arial"/>
          <w:sz w:val="22"/>
          <w:szCs w:val="22"/>
          <w:highlight w:val="yellow"/>
          <w:lang w:val="en-GB"/>
        </w:rPr>
      </w:pPr>
      <w:r w:rsidRPr="008E760F">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4C380A" w:rsidRDefault="00FE53A3" w:rsidP="009578F6">
      <w:pPr>
        <w:pStyle w:val="ListParagraph"/>
        <w:numPr>
          <w:ilvl w:val="0"/>
          <w:numId w:val="8"/>
        </w:numPr>
        <w:ind w:left="426"/>
        <w:jc w:val="both"/>
        <w:rPr>
          <w:rFonts w:ascii="Arial" w:hAnsi="Arial" w:cs="Arial"/>
          <w:sz w:val="22"/>
          <w:szCs w:val="22"/>
          <w:highlight w:val="yellow"/>
          <w:lang w:val="en-GB"/>
        </w:rPr>
      </w:pPr>
      <w:r w:rsidRPr="004C380A">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376DF7" w:rsidRDefault="0041438F" w:rsidP="009578F6">
      <w:pPr>
        <w:pStyle w:val="ListParagraph"/>
        <w:numPr>
          <w:ilvl w:val="0"/>
          <w:numId w:val="9"/>
        </w:numPr>
        <w:ind w:left="426"/>
        <w:jc w:val="both"/>
        <w:rPr>
          <w:rFonts w:ascii="Arial" w:hAnsi="Arial" w:cs="Arial"/>
          <w:sz w:val="22"/>
          <w:szCs w:val="22"/>
          <w:highlight w:val="yellow"/>
          <w:lang w:val="en-GB"/>
        </w:rPr>
      </w:pPr>
      <w:r w:rsidRPr="00376DF7">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4B3B87" w:rsidRDefault="006F4751" w:rsidP="009578F6">
      <w:pPr>
        <w:pStyle w:val="ListParagraph"/>
        <w:numPr>
          <w:ilvl w:val="0"/>
          <w:numId w:val="10"/>
        </w:numPr>
        <w:ind w:left="426"/>
        <w:jc w:val="both"/>
        <w:rPr>
          <w:rFonts w:ascii="Arial" w:hAnsi="Arial" w:cs="Arial"/>
          <w:sz w:val="22"/>
          <w:szCs w:val="22"/>
          <w:highlight w:val="yellow"/>
          <w:lang w:val="en-GB"/>
        </w:rPr>
      </w:pPr>
      <w:r w:rsidRPr="004B3B87">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1" w:name="_Hlk83037526"/>
      <w:r w:rsidRPr="009578F6">
        <w:rPr>
          <w:rFonts w:ascii="Arial" w:hAnsi="Arial" w:cs="Arial"/>
          <w:sz w:val="22"/>
          <w:szCs w:val="22"/>
          <w:lang w:val="en-GB"/>
        </w:rPr>
        <w:t>from t</w:t>
      </w:r>
      <w:bookmarkEnd w:id="1"/>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983EA8"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983EA8">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FD767A" w:rsidRDefault="00B22016" w:rsidP="00B22016">
      <w:pPr>
        <w:pStyle w:val="ListParagraph"/>
        <w:numPr>
          <w:ilvl w:val="1"/>
          <w:numId w:val="14"/>
        </w:numPr>
        <w:ind w:left="426"/>
        <w:jc w:val="both"/>
        <w:rPr>
          <w:rFonts w:ascii="Arial" w:hAnsi="Arial" w:cs="Arial"/>
          <w:sz w:val="22"/>
          <w:szCs w:val="22"/>
          <w:highlight w:val="yellow"/>
          <w:lang w:val="en-GB"/>
        </w:rPr>
      </w:pPr>
      <w:r w:rsidRPr="00FD767A">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85379E" w:rsidRDefault="005D54B3" w:rsidP="005D54B3">
      <w:pPr>
        <w:pStyle w:val="ListParagraph"/>
        <w:numPr>
          <w:ilvl w:val="0"/>
          <w:numId w:val="15"/>
        </w:numPr>
        <w:ind w:left="426"/>
        <w:jc w:val="both"/>
        <w:rPr>
          <w:rFonts w:ascii="Arial" w:hAnsi="Arial" w:cs="Arial"/>
          <w:sz w:val="22"/>
          <w:szCs w:val="22"/>
          <w:highlight w:val="yellow"/>
          <w:lang w:val="en-GB"/>
        </w:rPr>
      </w:pPr>
      <w:r w:rsidRPr="0085379E">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6742C7" w:rsidRDefault="009578F6" w:rsidP="009578F6">
      <w:pPr>
        <w:pStyle w:val="ListParagraph"/>
        <w:numPr>
          <w:ilvl w:val="0"/>
          <w:numId w:val="18"/>
        </w:numPr>
        <w:ind w:left="426"/>
        <w:jc w:val="both"/>
        <w:rPr>
          <w:rFonts w:ascii="Arial" w:hAnsi="Arial" w:cs="Arial"/>
          <w:sz w:val="22"/>
          <w:szCs w:val="22"/>
          <w:highlight w:val="yellow"/>
          <w:lang w:val="en-GB"/>
        </w:rPr>
      </w:pPr>
      <w:r w:rsidRPr="006742C7">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1F721F61" w14:textId="3AE33650" w:rsidR="00AD316A" w:rsidRDefault="00A17CD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requirements for a debtor to be </w:t>
      </w:r>
      <w:r w:rsidR="005B612E">
        <w:rPr>
          <w:rFonts w:ascii="Arial" w:hAnsi="Arial" w:cs="Arial"/>
          <w:color w:val="7B7B7B" w:themeColor="accent3" w:themeShade="BF"/>
          <w:sz w:val="22"/>
          <w:szCs w:val="22"/>
        </w:rPr>
        <w:t xml:space="preserve">made </w:t>
      </w:r>
      <w:r>
        <w:rPr>
          <w:rFonts w:ascii="Arial" w:hAnsi="Arial" w:cs="Arial"/>
          <w:color w:val="7B7B7B" w:themeColor="accent3" w:themeShade="BF"/>
          <w:sz w:val="22"/>
          <w:szCs w:val="22"/>
        </w:rPr>
        <w:t>subject to the jurisdiction of the Hong Kong court are set out in section 4 of the Bank</w:t>
      </w:r>
      <w:r w:rsidR="00AD316A">
        <w:rPr>
          <w:rFonts w:ascii="Arial" w:hAnsi="Arial" w:cs="Arial"/>
          <w:color w:val="7B7B7B" w:themeColor="accent3" w:themeShade="BF"/>
          <w:sz w:val="22"/>
          <w:szCs w:val="22"/>
        </w:rPr>
        <w:t xml:space="preserve">ruptcy Ordinance, and are as follows: </w:t>
      </w:r>
    </w:p>
    <w:p w14:paraId="29A3618C" w14:textId="77777777" w:rsidR="00AD316A" w:rsidRPr="00AD316A" w:rsidRDefault="00AD316A" w:rsidP="00AD316A">
      <w:pPr>
        <w:pStyle w:val="ListParagraph"/>
        <w:numPr>
          <w:ilvl w:val="0"/>
          <w:numId w:val="28"/>
        </w:numPr>
        <w:jc w:val="both"/>
        <w:rPr>
          <w:rFonts w:ascii="Arial" w:hAnsi="Arial" w:cs="Arial"/>
          <w:sz w:val="22"/>
          <w:szCs w:val="22"/>
        </w:rPr>
      </w:pPr>
      <w:r>
        <w:rPr>
          <w:rFonts w:ascii="Arial" w:hAnsi="Arial" w:cs="Arial"/>
          <w:color w:val="7B7B7B" w:themeColor="accent3" w:themeShade="BF"/>
          <w:sz w:val="22"/>
          <w:szCs w:val="22"/>
        </w:rPr>
        <w:t xml:space="preserve">The debtor must be domiciled in Hong Kong; or </w:t>
      </w:r>
    </w:p>
    <w:p w14:paraId="5C3E8FAF" w14:textId="77777777" w:rsidR="00AD316A" w:rsidRPr="00AD316A" w:rsidRDefault="00AD316A" w:rsidP="00AD316A">
      <w:pPr>
        <w:pStyle w:val="ListParagraph"/>
        <w:numPr>
          <w:ilvl w:val="0"/>
          <w:numId w:val="28"/>
        </w:numPr>
        <w:jc w:val="both"/>
        <w:rPr>
          <w:rFonts w:ascii="Arial" w:hAnsi="Arial" w:cs="Arial"/>
          <w:sz w:val="22"/>
          <w:szCs w:val="22"/>
        </w:rPr>
      </w:pPr>
      <w:r>
        <w:rPr>
          <w:rFonts w:ascii="Arial" w:hAnsi="Arial" w:cs="Arial"/>
          <w:color w:val="7B7B7B" w:themeColor="accent3" w:themeShade="BF"/>
          <w:sz w:val="22"/>
          <w:szCs w:val="22"/>
        </w:rPr>
        <w:t xml:space="preserve">Is personally present in Hong Kong on the day on which the petition is presented; or </w:t>
      </w:r>
    </w:p>
    <w:p w14:paraId="0AA2C965" w14:textId="77777777" w:rsidR="00C72FC6" w:rsidRPr="00C72FC6" w:rsidRDefault="00AD316A" w:rsidP="00AD316A">
      <w:pPr>
        <w:pStyle w:val="ListParagraph"/>
        <w:numPr>
          <w:ilvl w:val="0"/>
          <w:numId w:val="28"/>
        </w:numPr>
        <w:jc w:val="both"/>
        <w:rPr>
          <w:rFonts w:ascii="Arial" w:hAnsi="Arial" w:cs="Arial"/>
          <w:sz w:val="22"/>
          <w:szCs w:val="22"/>
        </w:rPr>
      </w:pPr>
      <w:r>
        <w:rPr>
          <w:rFonts w:ascii="Arial" w:hAnsi="Arial" w:cs="Arial"/>
          <w:color w:val="7B7B7B" w:themeColor="accent3" w:themeShade="BF"/>
          <w:sz w:val="22"/>
          <w:szCs w:val="22"/>
        </w:rPr>
        <w:t xml:space="preserve">At any time in the period of 3 years ending with that day- (i) has been ordinarily resident, or has had a place of residence, in Hong Kong, or (ii) has carried on business </w:t>
      </w:r>
      <w:r w:rsidR="00C72FC6">
        <w:rPr>
          <w:rFonts w:ascii="Arial" w:hAnsi="Arial" w:cs="Arial"/>
          <w:color w:val="7B7B7B" w:themeColor="accent3" w:themeShade="BF"/>
          <w:sz w:val="22"/>
          <w:szCs w:val="22"/>
        </w:rPr>
        <w:t xml:space="preserve">in Hong Kong. </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65E74DD4" w14:textId="5B630B21" w:rsidR="00CA3AFC" w:rsidRDefault="000853C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core requirements </w:t>
      </w:r>
      <w:r w:rsidR="00922C8D">
        <w:rPr>
          <w:rFonts w:ascii="Arial" w:hAnsi="Arial" w:cs="Arial"/>
          <w:color w:val="7B7B7B" w:themeColor="accent3" w:themeShade="BF"/>
          <w:sz w:val="22"/>
          <w:szCs w:val="22"/>
        </w:rPr>
        <w:t xml:space="preserve">that enable the Hong Kong court to exercise its jurisdiction to wind up a non-Hong Kong company </w:t>
      </w:r>
      <w:r>
        <w:rPr>
          <w:rFonts w:ascii="Arial" w:hAnsi="Arial" w:cs="Arial"/>
          <w:color w:val="7B7B7B" w:themeColor="accent3" w:themeShade="BF"/>
          <w:sz w:val="22"/>
          <w:szCs w:val="22"/>
        </w:rPr>
        <w:t xml:space="preserve">are set out in section 327 of the </w:t>
      </w:r>
      <w:r w:rsidR="00CA3AFC">
        <w:rPr>
          <w:rFonts w:ascii="Arial" w:hAnsi="Arial" w:cs="Arial"/>
          <w:color w:val="7B7B7B" w:themeColor="accent3" w:themeShade="BF"/>
          <w:sz w:val="22"/>
          <w:szCs w:val="22"/>
        </w:rPr>
        <w:t xml:space="preserve">Companies (Winding Up and Miscellaneous Provisions) Ordinance (Cap 32) ("CWUMPO") and are as follows: </w:t>
      </w:r>
    </w:p>
    <w:p w14:paraId="09DC9769" w14:textId="77777777" w:rsidR="00CA3AFC" w:rsidRPr="00CA3AFC" w:rsidRDefault="00CA3AFC" w:rsidP="00CA3AFC">
      <w:pPr>
        <w:pStyle w:val="ListParagraph"/>
        <w:numPr>
          <w:ilvl w:val="0"/>
          <w:numId w:val="29"/>
        </w:numPr>
        <w:jc w:val="both"/>
        <w:rPr>
          <w:rFonts w:ascii="Arial" w:hAnsi="Arial" w:cs="Arial"/>
          <w:sz w:val="22"/>
          <w:szCs w:val="22"/>
        </w:rPr>
      </w:pPr>
      <w:r>
        <w:rPr>
          <w:rFonts w:ascii="Arial" w:hAnsi="Arial" w:cs="Arial"/>
          <w:color w:val="7B7B7B" w:themeColor="accent3" w:themeShade="BF"/>
          <w:sz w:val="22"/>
          <w:szCs w:val="22"/>
        </w:rPr>
        <w:t>Sufficient connection with Hong Kong, but this does not necessarily have to consist of the presence of assets within the jurisdiction;</w:t>
      </w:r>
    </w:p>
    <w:p w14:paraId="2AC2AEE4" w14:textId="77777777" w:rsidR="00CA3AFC" w:rsidRPr="00CA3AFC" w:rsidRDefault="00CA3AFC" w:rsidP="00CA3AFC">
      <w:pPr>
        <w:pStyle w:val="ListParagraph"/>
        <w:numPr>
          <w:ilvl w:val="0"/>
          <w:numId w:val="29"/>
        </w:numPr>
        <w:jc w:val="both"/>
        <w:rPr>
          <w:rFonts w:ascii="Arial" w:hAnsi="Arial" w:cs="Arial"/>
          <w:sz w:val="22"/>
          <w:szCs w:val="22"/>
        </w:rPr>
      </w:pPr>
      <w:r>
        <w:rPr>
          <w:rFonts w:ascii="Arial" w:hAnsi="Arial" w:cs="Arial"/>
          <w:color w:val="7B7B7B" w:themeColor="accent3" w:themeShade="BF"/>
          <w:sz w:val="22"/>
          <w:szCs w:val="22"/>
        </w:rPr>
        <w:t xml:space="preserve">Reasonable possibility that the winding-up order would benefit those applying for it; and </w:t>
      </w:r>
    </w:p>
    <w:p w14:paraId="51832862" w14:textId="58B6C741" w:rsidR="00193428" w:rsidRPr="008C3F02" w:rsidRDefault="00CA3AFC" w:rsidP="008C3F02">
      <w:pPr>
        <w:pStyle w:val="ListParagraph"/>
        <w:numPr>
          <w:ilvl w:val="0"/>
          <w:numId w:val="29"/>
        </w:numPr>
        <w:jc w:val="both"/>
        <w:rPr>
          <w:rFonts w:ascii="Arial" w:hAnsi="Arial" w:cs="Arial"/>
          <w:color w:val="7B7B7B" w:themeColor="accent3" w:themeShade="BF"/>
          <w:sz w:val="22"/>
          <w:szCs w:val="22"/>
        </w:rPr>
      </w:pPr>
      <w:r w:rsidRPr="008C3F02">
        <w:rPr>
          <w:rFonts w:ascii="Arial" w:hAnsi="Arial" w:cs="Arial"/>
          <w:color w:val="7B7B7B" w:themeColor="accent3" w:themeShade="BF"/>
          <w:sz w:val="22"/>
          <w:szCs w:val="22"/>
        </w:rPr>
        <w:t xml:space="preserve">The court must be able to exercise jurisdiction </w:t>
      </w:r>
      <w:r w:rsidR="008C3F02" w:rsidRPr="008C3F02">
        <w:rPr>
          <w:rFonts w:ascii="Arial" w:hAnsi="Arial" w:cs="Arial"/>
          <w:color w:val="7B7B7B" w:themeColor="accent3" w:themeShade="BF"/>
          <w:sz w:val="22"/>
          <w:szCs w:val="22"/>
        </w:rPr>
        <w:t xml:space="preserve">over one or more persons interested in the distribution of the </w:t>
      </w:r>
      <w:r w:rsidR="008C3F02">
        <w:rPr>
          <w:rFonts w:ascii="Arial" w:hAnsi="Arial" w:cs="Arial"/>
          <w:color w:val="7B7B7B" w:themeColor="accent3" w:themeShade="BF"/>
          <w:sz w:val="22"/>
          <w:szCs w:val="22"/>
        </w:rPr>
        <w:t>company's assets</w:t>
      </w:r>
      <w:r w:rsidR="008C3F02">
        <w:rPr>
          <w:rStyle w:val="FootnoteReference"/>
          <w:rFonts w:ascii="Arial" w:hAnsi="Arial" w:cs="Arial"/>
          <w:color w:val="7B7B7B" w:themeColor="accent3" w:themeShade="BF"/>
          <w:sz w:val="22"/>
          <w:szCs w:val="22"/>
        </w:rPr>
        <w:footnoteReference w:id="1"/>
      </w:r>
      <w:r w:rsidR="0052306E">
        <w:rPr>
          <w:rFonts w:ascii="Arial" w:hAnsi="Arial" w:cs="Arial"/>
          <w:color w:val="7B7B7B" w:themeColor="accent3" w:themeShade="BF"/>
          <w:sz w:val="22"/>
          <w:szCs w:val="22"/>
        </w:rPr>
        <w:t>.</w:t>
      </w:r>
    </w:p>
    <w:p w14:paraId="34966ACC" w14:textId="67FE290C" w:rsidR="008C3F02" w:rsidRDefault="008C3F02" w:rsidP="008C3F02">
      <w:pPr>
        <w:pStyle w:val="ListParagraph"/>
        <w:jc w:val="both"/>
        <w:rPr>
          <w:rFonts w:ascii="Arial" w:hAnsi="Arial" w:cs="Arial"/>
          <w:color w:val="7B7B7B" w:themeColor="accent3" w:themeShade="BF"/>
          <w:sz w:val="22"/>
          <w:szCs w:val="22"/>
        </w:rPr>
      </w:pPr>
    </w:p>
    <w:p w14:paraId="1C79A43A" w14:textId="77777777" w:rsidR="008C3F02" w:rsidRPr="008C3F02" w:rsidRDefault="008C3F02" w:rsidP="008C3F02">
      <w:pPr>
        <w:pStyle w:val="ListParagraph"/>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63FF42CF" w14:textId="77777777" w:rsidR="00D45046" w:rsidRDefault="00B54854" w:rsidP="00D4504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As summarized in the case of China Solar Energy Holdings Limited H</w:t>
      </w:r>
      <w:r w:rsidR="00330073">
        <w:rPr>
          <w:rFonts w:ascii="Arial" w:hAnsi="Arial" w:cs="Arial"/>
          <w:color w:val="7B7B7B" w:themeColor="accent3" w:themeShade="BF"/>
          <w:sz w:val="22"/>
          <w:szCs w:val="22"/>
        </w:rPr>
        <w:t xml:space="preserve">CCW 108/2015, [2018] HKCFI 555, provisional liquidators can be appointed for matters associated with a winding-up, including asset preservation, but not solely for restructuring when the matters associated with a winding-up are absent. </w:t>
      </w:r>
      <w:r w:rsidR="00D45046">
        <w:rPr>
          <w:rFonts w:ascii="Arial" w:hAnsi="Arial" w:cs="Arial"/>
          <w:color w:val="7B7B7B" w:themeColor="accent3" w:themeShade="BF"/>
          <w:sz w:val="22"/>
          <w:szCs w:val="22"/>
        </w:rPr>
        <w:t xml:space="preserve">Following their appointment, provisional liquidators can carry out restructuring, even when that becomes their sole remaining function. </w:t>
      </w:r>
    </w:p>
    <w:p w14:paraId="6E9F15D1" w14:textId="6CFDEFCB" w:rsidR="00893B7C" w:rsidRPr="00D45046" w:rsidRDefault="00330073" w:rsidP="00D45046">
      <w:pPr>
        <w:ind w:left="720" w:hanging="720"/>
        <w:jc w:val="both"/>
        <w:rPr>
          <w:rFonts w:ascii="Arial" w:hAnsi="Arial" w:cs="Arial"/>
          <w:color w:val="7B7B7B" w:themeColor="accent3" w:themeShade="BF"/>
          <w:sz w:val="22"/>
          <w:szCs w:val="22"/>
        </w:rPr>
      </w:pPr>
      <w:r w:rsidRPr="00D45046">
        <w:rPr>
          <w:rFonts w:ascii="Arial" w:hAnsi="Arial" w:cs="Arial"/>
          <w:color w:val="7B7B7B" w:themeColor="accent3" w:themeShade="BF"/>
          <w:sz w:val="22"/>
          <w:szCs w:val="22"/>
        </w:rPr>
        <w:t>Where the matters associated with a winding-up are absent, in particular where the company's assets are not in jeopardy, it would not be appropriate to order a provisional liquidation, despite the company's general need for a restructuring</w:t>
      </w:r>
      <w:r w:rsidR="00D45046">
        <w:rPr>
          <w:rStyle w:val="FootnoteReference"/>
          <w:rFonts w:ascii="Arial" w:hAnsi="Arial" w:cs="Arial"/>
          <w:color w:val="7B7B7B" w:themeColor="accent3" w:themeShade="BF"/>
          <w:sz w:val="22"/>
          <w:szCs w:val="22"/>
        </w:rPr>
        <w:footnoteReference w:id="2"/>
      </w:r>
      <w:r w:rsidRPr="00D45046">
        <w:rPr>
          <w:rFonts w:ascii="Arial" w:hAnsi="Arial" w:cs="Arial"/>
          <w:color w:val="7B7B7B" w:themeColor="accent3" w:themeShade="BF"/>
          <w:sz w:val="22"/>
          <w:szCs w:val="22"/>
        </w:rPr>
        <w:t xml:space="preserve">. </w:t>
      </w:r>
    </w:p>
    <w:p w14:paraId="6EB710B4" w14:textId="7402D099" w:rsidR="00330073" w:rsidRDefault="00330073" w:rsidP="00330073">
      <w:pPr>
        <w:jc w:val="both"/>
        <w:rPr>
          <w:rFonts w:ascii="Arial" w:hAnsi="Arial" w:cs="Arial"/>
          <w:sz w:val="22"/>
          <w:szCs w:val="22"/>
          <w:lang w:val="en-GB"/>
        </w:rPr>
      </w:pPr>
    </w:p>
    <w:p w14:paraId="2B09680F" w14:textId="77777777" w:rsidR="00330073" w:rsidRPr="00330073" w:rsidRDefault="00330073" w:rsidP="00330073">
      <w:pPr>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6761D419" w14:textId="4F40CCD8" w:rsidR="00B0019C" w:rsidRDefault="00B135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liquidator is a</w:t>
      </w:r>
      <w:r w:rsidR="00AB0E30">
        <w:rPr>
          <w:rFonts w:ascii="Arial" w:hAnsi="Arial" w:cs="Arial"/>
          <w:color w:val="7B7B7B" w:themeColor="accent3" w:themeShade="BF"/>
          <w:sz w:val="22"/>
          <w:szCs w:val="22"/>
        </w:rPr>
        <w:t>ble to take action to challenge</w:t>
      </w:r>
      <w:r>
        <w:rPr>
          <w:rFonts w:ascii="Arial" w:hAnsi="Arial" w:cs="Arial"/>
          <w:color w:val="7B7B7B" w:themeColor="accent3" w:themeShade="BF"/>
          <w:sz w:val="22"/>
          <w:szCs w:val="22"/>
        </w:rPr>
        <w:t xml:space="preserve"> an unfair preference because</w:t>
      </w:r>
      <w:r w:rsidR="00B0019C">
        <w:rPr>
          <w:rFonts w:ascii="Arial" w:hAnsi="Arial" w:cs="Arial"/>
          <w:color w:val="7B7B7B" w:themeColor="accent3" w:themeShade="BF"/>
          <w:sz w:val="22"/>
          <w:szCs w:val="22"/>
        </w:rPr>
        <w:t xml:space="preserve"> it would inequitable for them to not be able to claw-back or recover assets that were improperly paid out of an insolvent company, and which should instead be properly applied to the company's debts. </w:t>
      </w:r>
    </w:p>
    <w:p w14:paraId="1232ED30" w14:textId="77777777" w:rsidR="00B0019C" w:rsidRDefault="00B135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any application to set aside su</w:t>
      </w:r>
      <w:r w:rsidR="00AB0E30">
        <w:rPr>
          <w:rFonts w:ascii="Arial" w:hAnsi="Arial" w:cs="Arial"/>
          <w:color w:val="7B7B7B" w:themeColor="accent3" w:themeShade="BF"/>
          <w:sz w:val="22"/>
          <w:szCs w:val="22"/>
        </w:rPr>
        <w:t>ch transactions, the liquidator must show that, in relation to a person connected to the company, at the time the unfair preference was given, the company was unable to pay its debts or became unable to pay its debts as a result of a transaction concerned.</w:t>
      </w:r>
      <w:r w:rsidR="00764444">
        <w:rPr>
          <w:rFonts w:ascii="Arial" w:hAnsi="Arial" w:cs="Arial"/>
          <w:color w:val="7B7B7B" w:themeColor="accent3" w:themeShade="BF"/>
          <w:sz w:val="22"/>
          <w:szCs w:val="22"/>
        </w:rPr>
        <w:t xml:space="preserve"> </w:t>
      </w:r>
    </w:p>
    <w:p w14:paraId="54448E91" w14:textId="601FCAE5" w:rsidR="00764444" w:rsidRDefault="0076444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must also prove that the company was "influenced by a desire" to improve that person's position in the event of a liquidation. </w:t>
      </w:r>
      <w:r w:rsidR="00A52844">
        <w:rPr>
          <w:rFonts w:ascii="Arial" w:hAnsi="Arial" w:cs="Arial"/>
          <w:color w:val="7B7B7B" w:themeColor="accent3" w:themeShade="BF"/>
          <w:sz w:val="22"/>
          <w:szCs w:val="22"/>
        </w:rPr>
        <w:t>A transaction will not be set aside as an unfair preference "unless the company positively wished to improve the creditor's position in the event of its own insolvent liquidation" and a person does not "desire" all of the "necessary consequences of his actions</w:t>
      </w:r>
      <w:r w:rsidR="00A52844">
        <w:rPr>
          <w:rStyle w:val="FootnoteReference"/>
          <w:rFonts w:ascii="Arial" w:hAnsi="Arial" w:cs="Arial"/>
          <w:color w:val="7B7B7B" w:themeColor="accent3" w:themeShade="BF"/>
          <w:sz w:val="22"/>
          <w:szCs w:val="22"/>
        </w:rPr>
        <w:footnoteReference w:id="3"/>
      </w:r>
      <w:r w:rsidR="0093349E">
        <w:rPr>
          <w:rFonts w:ascii="Arial" w:hAnsi="Arial" w:cs="Arial"/>
          <w:color w:val="7B7B7B" w:themeColor="accent3" w:themeShade="BF"/>
          <w:sz w:val="22"/>
          <w:szCs w:val="22"/>
        </w:rPr>
        <w:t xml:space="preserve"> </w:t>
      </w:r>
      <w:r w:rsidR="00B0019C">
        <w:rPr>
          <w:rStyle w:val="FootnoteReference"/>
          <w:rFonts w:ascii="Arial" w:hAnsi="Arial" w:cs="Arial"/>
          <w:color w:val="7B7B7B" w:themeColor="accent3" w:themeShade="BF"/>
          <w:sz w:val="22"/>
          <w:szCs w:val="22"/>
        </w:rPr>
        <w:footnoteReference w:id="4"/>
      </w:r>
      <w:r w:rsidR="00A52844">
        <w:rPr>
          <w:rFonts w:ascii="Arial" w:hAnsi="Arial" w:cs="Arial"/>
          <w:color w:val="7B7B7B" w:themeColor="accent3" w:themeShade="BF"/>
          <w:sz w:val="22"/>
          <w:szCs w:val="22"/>
        </w:rPr>
        <w:t xml:space="preserve">". </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683155EE" w14:textId="3AD56637" w:rsidR="008F4EE2" w:rsidRDefault="000C3086"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Yes and no-</w:t>
      </w:r>
      <w:r w:rsidR="00A54CEA">
        <w:rPr>
          <w:rFonts w:ascii="Arial" w:hAnsi="Arial" w:cs="Arial"/>
          <w:color w:val="7B7B7B" w:themeColor="accent3" w:themeShade="BF"/>
          <w:sz w:val="22"/>
          <w:szCs w:val="22"/>
        </w:rPr>
        <w:t xml:space="preserve">because there </w:t>
      </w:r>
      <w:r w:rsidR="008A2970">
        <w:rPr>
          <w:rFonts w:ascii="Arial" w:hAnsi="Arial" w:cs="Arial"/>
          <w:color w:val="7B7B7B" w:themeColor="accent3" w:themeShade="BF"/>
          <w:sz w:val="22"/>
          <w:szCs w:val="22"/>
        </w:rPr>
        <w:t>is not</w:t>
      </w:r>
      <w:r w:rsidR="00A54CEA">
        <w:rPr>
          <w:rFonts w:ascii="Arial" w:hAnsi="Arial" w:cs="Arial"/>
          <w:color w:val="7B7B7B" w:themeColor="accent3" w:themeShade="BF"/>
          <w:sz w:val="22"/>
          <w:szCs w:val="22"/>
        </w:rPr>
        <w:t xml:space="preserve"> a wholesale provision dealing with cross-border insolvency between Hong Kong and the Mainland. </w:t>
      </w:r>
    </w:p>
    <w:p w14:paraId="08ADEF6B" w14:textId="24A1B008" w:rsidR="008F4EE2" w:rsidRDefault="00AF1320" w:rsidP="00F908D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Following the so-called Sino-British Joint Declaration</w:t>
      </w:r>
      <w:r w:rsidR="00367E60">
        <w:rPr>
          <w:rFonts w:ascii="Arial" w:hAnsi="Arial" w:cs="Arial"/>
          <w:color w:val="7B7B7B" w:themeColor="accent3" w:themeShade="BF"/>
          <w:sz w:val="22"/>
          <w:szCs w:val="22"/>
        </w:rPr>
        <w:t xml:space="preserve">, </w:t>
      </w:r>
      <w:r w:rsidR="008A2970">
        <w:rPr>
          <w:rFonts w:ascii="Arial" w:hAnsi="Arial" w:cs="Arial"/>
          <w:color w:val="7B7B7B" w:themeColor="accent3" w:themeShade="BF"/>
          <w:sz w:val="22"/>
          <w:szCs w:val="22"/>
        </w:rPr>
        <w:t xml:space="preserve">signed in 1984 and ratified in </w:t>
      </w:r>
      <w:r>
        <w:rPr>
          <w:rFonts w:ascii="Arial" w:hAnsi="Arial" w:cs="Arial"/>
          <w:color w:val="7B7B7B" w:themeColor="accent3" w:themeShade="BF"/>
          <w:sz w:val="22"/>
          <w:szCs w:val="22"/>
        </w:rPr>
        <w:t xml:space="preserve">1985, Hong Kong was ceded to </w:t>
      </w:r>
      <w:r w:rsidR="00367E60">
        <w:rPr>
          <w:rFonts w:ascii="Arial" w:hAnsi="Arial" w:cs="Arial"/>
          <w:color w:val="7B7B7B" w:themeColor="accent3" w:themeShade="BF"/>
          <w:sz w:val="22"/>
          <w:szCs w:val="22"/>
        </w:rPr>
        <w:t>the PRC in 1997. However, it then became a "Special Administrative Region" of the PRC, w</w:t>
      </w:r>
      <w:r w:rsidR="00237BC9">
        <w:rPr>
          <w:rFonts w:ascii="Arial" w:hAnsi="Arial" w:cs="Arial"/>
          <w:color w:val="7B7B7B" w:themeColor="accent3" w:themeShade="BF"/>
          <w:sz w:val="22"/>
          <w:szCs w:val="22"/>
        </w:rPr>
        <w:t>ith a "high degree of autonomy"</w:t>
      </w:r>
      <w:r w:rsidR="00367E60">
        <w:rPr>
          <w:rStyle w:val="FootnoteReference"/>
          <w:rFonts w:ascii="Arial" w:hAnsi="Arial" w:cs="Arial"/>
          <w:color w:val="7B7B7B" w:themeColor="accent3" w:themeShade="BF"/>
          <w:sz w:val="22"/>
          <w:szCs w:val="22"/>
        </w:rPr>
        <w:footnoteReference w:id="5"/>
      </w:r>
      <w:r w:rsidR="00237BC9">
        <w:rPr>
          <w:rFonts w:ascii="Arial" w:hAnsi="Arial" w:cs="Arial"/>
          <w:color w:val="7B7B7B" w:themeColor="accent3" w:themeShade="BF"/>
          <w:sz w:val="22"/>
          <w:szCs w:val="22"/>
        </w:rPr>
        <w:t xml:space="preserve">. The PRC is responsible for issues of defence and foreign affairs, but </w:t>
      </w:r>
      <w:r w:rsidR="00C50EE4">
        <w:rPr>
          <w:rFonts w:ascii="Arial" w:hAnsi="Arial" w:cs="Arial"/>
          <w:color w:val="7B7B7B" w:themeColor="accent3" w:themeShade="BF"/>
          <w:sz w:val="22"/>
          <w:szCs w:val="22"/>
        </w:rPr>
        <w:t>s</w:t>
      </w:r>
      <w:r w:rsidR="008F4EE2">
        <w:rPr>
          <w:rFonts w:ascii="Arial" w:hAnsi="Arial" w:cs="Arial"/>
          <w:color w:val="7B7B7B" w:themeColor="accent3" w:themeShade="BF"/>
          <w:sz w:val="22"/>
          <w:szCs w:val="22"/>
        </w:rPr>
        <w:t xml:space="preserve">ince 1 July 1997, Hong Kong has operated under Deng </w:t>
      </w:r>
      <w:r>
        <w:rPr>
          <w:rFonts w:ascii="Arial" w:hAnsi="Arial" w:cs="Arial"/>
          <w:color w:val="7B7B7B" w:themeColor="accent3" w:themeShade="BF"/>
          <w:sz w:val="22"/>
          <w:szCs w:val="22"/>
        </w:rPr>
        <w:t>Xiaoping's</w:t>
      </w:r>
      <w:r w:rsidR="008F4EE2">
        <w:rPr>
          <w:rFonts w:ascii="Arial" w:hAnsi="Arial" w:cs="Arial"/>
          <w:color w:val="7B7B7B" w:themeColor="accent3" w:themeShade="BF"/>
          <w:sz w:val="22"/>
          <w:szCs w:val="22"/>
        </w:rPr>
        <w:t xml:space="preserve"> principle of "One Country, Two Systems</w:t>
      </w:r>
      <w:r w:rsidR="00F908DE">
        <w:rPr>
          <w:rFonts w:ascii="Arial" w:hAnsi="Arial" w:cs="Arial"/>
          <w:color w:val="7B7B7B" w:themeColor="accent3" w:themeShade="BF"/>
          <w:sz w:val="22"/>
          <w:szCs w:val="22"/>
        </w:rPr>
        <w:t>"</w:t>
      </w:r>
      <w:r w:rsidR="00C50EE4">
        <w:rPr>
          <w:rFonts w:ascii="Arial" w:hAnsi="Arial" w:cs="Arial"/>
          <w:color w:val="7B7B7B" w:themeColor="accent3" w:themeShade="BF"/>
          <w:sz w:val="22"/>
          <w:szCs w:val="22"/>
        </w:rPr>
        <w:t>, which allows Hong Kong to retain its own legal system</w:t>
      </w:r>
      <w:r w:rsidR="008F4EE2">
        <w:rPr>
          <w:rStyle w:val="FootnoteReference"/>
          <w:rFonts w:ascii="Arial" w:hAnsi="Arial" w:cs="Arial"/>
          <w:color w:val="7B7B7B" w:themeColor="accent3" w:themeShade="BF"/>
          <w:sz w:val="22"/>
          <w:szCs w:val="22"/>
        </w:rPr>
        <w:footnoteReference w:id="6"/>
      </w:r>
      <w:r w:rsidR="00F908DE">
        <w:rPr>
          <w:rFonts w:ascii="Arial" w:hAnsi="Arial" w:cs="Arial"/>
          <w:color w:val="7B7B7B" w:themeColor="accent3" w:themeShade="BF"/>
          <w:sz w:val="22"/>
          <w:szCs w:val="22"/>
        </w:rPr>
        <w:t xml:space="preserve">, separate and distinct from the PRC. </w:t>
      </w:r>
    </w:p>
    <w:p w14:paraId="4770C733" w14:textId="73B06767" w:rsidR="003C10EB" w:rsidRPr="005D2CD6" w:rsidRDefault="00A54CEA" w:rsidP="003C10EB">
      <w:pPr>
        <w:ind w:left="720" w:hanging="720"/>
        <w:jc w:val="both"/>
        <w:rPr>
          <w:rFonts w:ascii="Arial" w:hAnsi="Arial" w:cs="Arial"/>
          <w:sz w:val="22"/>
          <w:szCs w:val="22"/>
        </w:rPr>
      </w:pPr>
      <w:r>
        <w:rPr>
          <w:rFonts w:ascii="Arial" w:hAnsi="Arial" w:cs="Arial"/>
          <w:color w:val="7B7B7B" w:themeColor="accent3" w:themeShade="BF"/>
          <w:sz w:val="22"/>
          <w:szCs w:val="22"/>
        </w:rPr>
        <w:t>A</w:t>
      </w:r>
      <w:r w:rsidR="00982807">
        <w:rPr>
          <w:rFonts w:ascii="Arial" w:hAnsi="Arial" w:cs="Arial"/>
          <w:color w:val="7B7B7B" w:themeColor="accent3" w:themeShade="BF"/>
          <w:sz w:val="22"/>
          <w:szCs w:val="22"/>
        </w:rPr>
        <w:t xml:space="preserve">s of May 2021, there is an arrangement between Hong Kong and certain areas of the Mainland, which </w:t>
      </w:r>
      <w:r w:rsidR="0036785A">
        <w:rPr>
          <w:rFonts w:ascii="Arial" w:hAnsi="Arial" w:cs="Arial"/>
          <w:color w:val="7B7B7B" w:themeColor="accent3" w:themeShade="BF"/>
          <w:sz w:val="22"/>
          <w:szCs w:val="22"/>
        </w:rPr>
        <w:t>stems from a Record of Meeting between the PRC Supreme Court a</w:t>
      </w:r>
      <w:r w:rsidR="00B60DDF">
        <w:rPr>
          <w:rFonts w:ascii="Arial" w:hAnsi="Arial" w:cs="Arial"/>
          <w:color w:val="7B7B7B" w:themeColor="accent3" w:themeShade="BF"/>
          <w:sz w:val="22"/>
          <w:szCs w:val="22"/>
        </w:rPr>
        <w:t xml:space="preserve">nd the Hong Kong Government. It </w:t>
      </w:r>
      <w:r w:rsidR="00982807">
        <w:rPr>
          <w:rFonts w:ascii="Arial" w:hAnsi="Arial" w:cs="Arial"/>
          <w:color w:val="7B7B7B" w:themeColor="accent3" w:themeShade="BF"/>
          <w:sz w:val="22"/>
          <w:szCs w:val="22"/>
        </w:rPr>
        <w:t xml:space="preserve">is a pilot mechanism for co-operation between Hong Kong and the Mainland on cross-border insolvencies between the two jurisdictions. The arrangement currently provides for Hong Kong officeholders to obtain recognition and assistance in </w:t>
      </w:r>
      <w:r w:rsidR="0036785A">
        <w:rPr>
          <w:rFonts w:ascii="Arial" w:hAnsi="Arial" w:cs="Arial"/>
          <w:color w:val="7B7B7B" w:themeColor="accent3" w:themeShade="BF"/>
          <w:sz w:val="22"/>
          <w:szCs w:val="22"/>
        </w:rPr>
        <w:t>Shanghai, Xiamen and Shenzhe</w:t>
      </w:r>
      <w:r w:rsidR="00EB0CEF">
        <w:rPr>
          <w:rFonts w:ascii="Arial" w:hAnsi="Arial" w:cs="Arial"/>
          <w:color w:val="7B7B7B" w:themeColor="accent3" w:themeShade="BF"/>
          <w:sz w:val="22"/>
          <w:szCs w:val="22"/>
        </w:rPr>
        <w:t>n and vice versa for PRC office</w:t>
      </w:r>
      <w:r w:rsidR="0036785A">
        <w:rPr>
          <w:rFonts w:ascii="Arial" w:hAnsi="Arial" w:cs="Arial"/>
          <w:color w:val="7B7B7B" w:themeColor="accent3" w:themeShade="BF"/>
          <w:sz w:val="22"/>
          <w:szCs w:val="22"/>
        </w:rPr>
        <w:t>holder</w:t>
      </w:r>
      <w:r w:rsidR="00EB0CEF">
        <w:rPr>
          <w:rFonts w:ascii="Arial" w:hAnsi="Arial" w:cs="Arial"/>
          <w:color w:val="7B7B7B" w:themeColor="accent3" w:themeShade="BF"/>
          <w:sz w:val="22"/>
          <w:szCs w:val="22"/>
        </w:rPr>
        <w:t>s</w:t>
      </w:r>
      <w:r w:rsidR="0036785A">
        <w:rPr>
          <w:rFonts w:ascii="Arial" w:hAnsi="Arial" w:cs="Arial"/>
          <w:color w:val="7B7B7B" w:themeColor="accent3" w:themeShade="BF"/>
          <w:sz w:val="22"/>
          <w:szCs w:val="22"/>
        </w:rPr>
        <w:t xml:space="preserve"> of those areas</w:t>
      </w:r>
      <w:r w:rsidR="0036785A">
        <w:rPr>
          <w:rStyle w:val="FootnoteReference"/>
          <w:rFonts w:ascii="Arial" w:hAnsi="Arial" w:cs="Arial"/>
          <w:color w:val="7B7B7B" w:themeColor="accent3" w:themeShade="BF"/>
          <w:sz w:val="22"/>
          <w:szCs w:val="22"/>
        </w:rPr>
        <w:footnoteReference w:id="7"/>
      </w:r>
      <w:r w:rsidR="0036785A">
        <w:rPr>
          <w:rFonts w:ascii="Arial" w:hAnsi="Arial" w:cs="Arial"/>
          <w:color w:val="7B7B7B" w:themeColor="accent3" w:themeShade="BF"/>
          <w:sz w:val="22"/>
          <w:szCs w:val="22"/>
        </w:rPr>
        <w:t xml:space="preserve">. </w:t>
      </w:r>
      <w:r w:rsidR="00F908DE">
        <w:rPr>
          <w:rFonts w:ascii="Arial" w:hAnsi="Arial" w:cs="Arial"/>
          <w:color w:val="7B7B7B" w:themeColor="accent3" w:themeShade="BF"/>
          <w:sz w:val="22"/>
          <w:szCs w:val="22"/>
        </w:rPr>
        <w:t xml:space="preserve">Other than this pilot scheme, there is currently no general reciprocity in place between Hong Kong and the Mainland.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60ADAAB6" w14:textId="365D9069" w:rsidR="00711999" w:rsidRDefault="002A0184" w:rsidP="002A063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Hong Kong scheme of arrangement acts as a court sanctioned compromise, binding on all creditors or the relevant class, including those who voted against it. </w:t>
      </w:r>
      <w:r w:rsidR="007623A7">
        <w:rPr>
          <w:rFonts w:ascii="Arial" w:hAnsi="Arial" w:cs="Arial"/>
          <w:color w:val="7B7B7B" w:themeColor="accent3" w:themeShade="BF"/>
          <w:sz w:val="22"/>
          <w:szCs w:val="22"/>
        </w:rPr>
        <w:t>The regulatory structure for such schemes of arrangements is set out in section 166 of CWUMPO</w:t>
      </w:r>
      <w:r w:rsidR="001D03E3">
        <w:rPr>
          <w:rStyle w:val="FootnoteReference"/>
          <w:rFonts w:ascii="Arial" w:hAnsi="Arial" w:cs="Arial"/>
          <w:color w:val="7B7B7B" w:themeColor="accent3" w:themeShade="BF"/>
          <w:sz w:val="22"/>
          <w:szCs w:val="22"/>
        </w:rPr>
        <w:footnoteReference w:id="8"/>
      </w:r>
      <w:r w:rsidR="000A7710">
        <w:rPr>
          <w:rFonts w:ascii="Arial" w:hAnsi="Arial" w:cs="Arial"/>
          <w:color w:val="7B7B7B" w:themeColor="accent3" w:themeShade="BF"/>
          <w:sz w:val="22"/>
          <w:szCs w:val="22"/>
        </w:rPr>
        <w:t xml:space="preserve">. </w:t>
      </w:r>
    </w:p>
    <w:p w14:paraId="48BFC6D3" w14:textId="7621A08D" w:rsidR="002A0637" w:rsidRDefault="002A0637" w:rsidP="002A063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company in financial diffic</w:t>
      </w:r>
      <w:r w:rsidR="00165686">
        <w:rPr>
          <w:rFonts w:ascii="Arial" w:hAnsi="Arial" w:cs="Arial"/>
          <w:color w:val="7B7B7B" w:themeColor="accent3" w:themeShade="BF"/>
          <w:sz w:val="22"/>
          <w:szCs w:val="22"/>
        </w:rPr>
        <w:t xml:space="preserve">ulties usually begins the scheme process with the help of its professional advisors (usually its solicitors and insolvency practitioners). A proposal to compromise the company's debts (and often to </w:t>
      </w:r>
      <w:r w:rsidR="001D03E3">
        <w:rPr>
          <w:rFonts w:ascii="Arial" w:hAnsi="Arial" w:cs="Arial"/>
          <w:color w:val="7B7B7B" w:themeColor="accent3" w:themeShade="BF"/>
          <w:sz w:val="22"/>
          <w:szCs w:val="22"/>
        </w:rPr>
        <w:t>allow for continued operations under new ownership) is presented to the company's creditors and shareholders. A compromise usually entails creditors accepting less than they are owed in full and final settlement of any claims they may have against the company</w:t>
      </w:r>
      <w:r w:rsidR="001D03E3">
        <w:rPr>
          <w:rStyle w:val="FootnoteReference"/>
          <w:rFonts w:ascii="Arial" w:hAnsi="Arial" w:cs="Arial"/>
          <w:color w:val="7B7B7B" w:themeColor="accent3" w:themeShade="BF"/>
          <w:sz w:val="22"/>
          <w:szCs w:val="22"/>
        </w:rPr>
        <w:footnoteReference w:id="9"/>
      </w:r>
      <w:r w:rsidR="001D03E3">
        <w:rPr>
          <w:rFonts w:ascii="Arial" w:hAnsi="Arial" w:cs="Arial"/>
          <w:color w:val="7B7B7B" w:themeColor="accent3" w:themeShade="BF"/>
          <w:sz w:val="22"/>
          <w:szCs w:val="22"/>
        </w:rPr>
        <w:t xml:space="preserve">. </w:t>
      </w:r>
    </w:p>
    <w:p w14:paraId="03193AE9" w14:textId="2546B852" w:rsidR="00D779C1" w:rsidRDefault="00D779C1" w:rsidP="002A063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an initial court hearing, the court decides whether to grant leave for the scheme proponent to convene meetings of creditors. Meetings of creditors are convened for a vote on the proposed scheme. A majority, i.e. over 50% in number, representing at least 75% in value of creditors present </w:t>
      </w:r>
      <w:r w:rsidR="009574BB">
        <w:rPr>
          <w:rFonts w:ascii="Arial" w:hAnsi="Arial" w:cs="Arial"/>
          <w:color w:val="7B7B7B" w:themeColor="accent3" w:themeShade="BF"/>
          <w:sz w:val="22"/>
          <w:szCs w:val="22"/>
        </w:rPr>
        <w:t>and voting at a creditors' meeting must vote in favour of the proposed scheme for it to be approved. If there are multiple classes of creditors whose debts would be compromised pursuant to the scheme, all classes must approve the scheme.</w:t>
      </w:r>
      <w:r w:rsidR="000B25B7">
        <w:rPr>
          <w:rFonts w:ascii="Arial" w:hAnsi="Arial" w:cs="Arial"/>
          <w:color w:val="7B7B7B" w:themeColor="accent3" w:themeShade="BF"/>
          <w:sz w:val="22"/>
          <w:szCs w:val="22"/>
        </w:rPr>
        <w:t xml:space="preserve"> Following creditors' approval of the scheme, the scheme proponent submits the scheme to the court for final approval</w:t>
      </w:r>
      <w:r w:rsidR="000B25B7">
        <w:rPr>
          <w:rStyle w:val="FootnoteReference"/>
          <w:rFonts w:ascii="Arial" w:hAnsi="Arial" w:cs="Arial"/>
          <w:color w:val="7B7B7B" w:themeColor="accent3" w:themeShade="BF"/>
          <w:sz w:val="22"/>
          <w:szCs w:val="22"/>
        </w:rPr>
        <w:footnoteReference w:id="10"/>
      </w:r>
      <w:r w:rsidR="000B25B7">
        <w:rPr>
          <w:rFonts w:ascii="Arial" w:hAnsi="Arial" w:cs="Arial"/>
          <w:color w:val="7B7B7B" w:themeColor="accent3" w:themeShade="BF"/>
          <w:sz w:val="22"/>
          <w:szCs w:val="22"/>
        </w:rPr>
        <w:t xml:space="preserve">. </w:t>
      </w:r>
    </w:p>
    <w:p w14:paraId="48E5C8DD" w14:textId="7CBB6A79" w:rsidR="000B25B7" w:rsidRDefault="000B25B7" w:rsidP="002A063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At a second court hearing, the court checks compliance with the statutory requirements and that the proposed scheme of arrangement between the company and its creditors is fair</w:t>
      </w:r>
      <w:r>
        <w:rPr>
          <w:rStyle w:val="FootnoteReference"/>
          <w:rFonts w:ascii="Arial" w:hAnsi="Arial" w:cs="Arial"/>
          <w:color w:val="7B7B7B" w:themeColor="accent3" w:themeShade="BF"/>
          <w:sz w:val="22"/>
          <w:szCs w:val="22"/>
        </w:rPr>
        <w:footnoteReference w:id="11"/>
      </w:r>
      <w:r>
        <w:rPr>
          <w:rFonts w:ascii="Arial" w:hAnsi="Arial" w:cs="Arial"/>
          <w:color w:val="7B7B7B" w:themeColor="accent3" w:themeShade="BF"/>
          <w:sz w:val="22"/>
          <w:szCs w:val="22"/>
        </w:rPr>
        <w:t xml:space="preserve">. </w:t>
      </w:r>
    </w:p>
    <w:p w14:paraId="411BC9F4" w14:textId="2EA7B851" w:rsidR="009C2775" w:rsidRDefault="009C2775" w:rsidP="002A063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key advantages of a Hong Kong scheme are </w:t>
      </w:r>
      <w:r w:rsidR="00A932F4">
        <w:rPr>
          <w:rFonts w:ascii="Arial" w:hAnsi="Arial" w:cs="Arial"/>
          <w:color w:val="7B7B7B" w:themeColor="accent3" w:themeShade="BF"/>
          <w:sz w:val="22"/>
          <w:szCs w:val="22"/>
        </w:rPr>
        <w:t xml:space="preserve">less publicity compared to other insolvency procedures, </w:t>
      </w:r>
      <w:r>
        <w:rPr>
          <w:rFonts w:ascii="Arial" w:hAnsi="Arial" w:cs="Arial"/>
          <w:color w:val="7B7B7B" w:themeColor="accent3" w:themeShade="BF"/>
          <w:sz w:val="22"/>
          <w:szCs w:val="22"/>
        </w:rPr>
        <w:t>lower legal fees due to less court involvement, large write down of existing debts, potential for directors to remain in control of the company, potential for the company to continue to trade whilst being restructured, avoiding liquidation</w:t>
      </w:r>
      <w:r w:rsidR="00A932F4">
        <w:rPr>
          <w:rFonts w:ascii="Arial" w:hAnsi="Arial" w:cs="Arial"/>
          <w:color w:val="7B7B7B" w:themeColor="accent3" w:themeShade="BF"/>
          <w:sz w:val="22"/>
          <w:szCs w:val="22"/>
        </w:rPr>
        <w:t>, potentially getting out of contractual terms which require unanimous agreement on various issues (their potentially being superseded by lower approval thresholds within the scheme)</w:t>
      </w:r>
      <w:r>
        <w:rPr>
          <w:rFonts w:ascii="Arial" w:hAnsi="Arial" w:cs="Arial"/>
          <w:color w:val="7B7B7B" w:themeColor="accent3" w:themeShade="BF"/>
          <w:sz w:val="22"/>
          <w:szCs w:val="22"/>
        </w:rPr>
        <w:t xml:space="preserve"> and the fact that, once completed, a scheme </w:t>
      </w:r>
      <w:r w:rsidR="002D4463">
        <w:rPr>
          <w:rFonts w:ascii="Arial" w:hAnsi="Arial" w:cs="Arial"/>
          <w:color w:val="7B7B7B" w:themeColor="accent3" w:themeShade="BF"/>
          <w:sz w:val="22"/>
          <w:szCs w:val="22"/>
        </w:rPr>
        <w:t xml:space="preserve">creates </w:t>
      </w:r>
      <w:r>
        <w:rPr>
          <w:rFonts w:ascii="Arial" w:hAnsi="Arial" w:cs="Arial"/>
          <w:color w:val="7B7B7B" w:themeColor="accent3" w:themeShade="BF"/>
          <w:sz w:val="22"/>
          <w:szCs w:val="22"/>
        </w:rPr>
        <w:t>a</w:t>
      </w:r>
      <w:r w:rsidR="002D4463">
        <w:rPr>
          <w:rFonts w:ascii="Arial" w:hAnsi="Arial" w:cs="Arial"/>
          <w:color w:val="7B7B7B" w:themeColor="accent3" w:themeShade="BF"/>
          <w:sz w:val="22"/>
          <w:szCs w:val="22"/>
        </w:rPr>
        <w:t>n arrangement that is legally binding on a</w:t>
      </w:r>
      <w:r>
        <w:rPr>
          <w:rFonts w:ascii="Arial" w:hAnsi="Arial" w:cs="Arial"/>
          <w:color w:val="7B7B7B" w:themeColor="accent3" w:themeShade="BF"/>
          <w:sz w:val="22"/>
          <w:szCs w:val="22"/>
        </w:rPr>
        <w:t>ll creditors</w:t>
      </w:r>
      <w:r w:rsidR="002D4463">
        <w:rPr>
          <w:rStyle w:val="FootnoteReference"/>
          <w:rFonts w:ascii="Arial" w:hAnsi="Arial" w:cs="Arial"/>
          <w:color w:val="7B7B7B" w:themeColor="accent3" w:themeShade="BF"/>
          <w:sz w:val="22"/>
          <w:szCs w:val="22"/>
        </w:rPr>
        <w:footnoteReference w:id="12"/>
      </w:r>
      <w:r>
        <w:rPr>
          <w:rFonts w:ascii="Arial" w:hAnsi="Arial" w:cs="Arial"/>
          <w:color w:val="7B7B7B" w:themeColor="accent3" w:themeShade="BF"/>
          <w:sz w:val="22"/>
          <w:szCs w:val="22"/>
        </w:rPr>
        <w:t xml:space="preserve">. </w:t>
      </w:r>
      <w:r w:rsidR="00494C5F">
        <w:rPr>
          <w:rFonts w:ascii="Arial" w:hAnsi="Arial" w:cs="Arial"/>
          <w:color w:val="7B7B7B" w:themeColor="accent3" w:themeShade="BF"/>
          <w:sz w:val="22"/>
          <w:szCs w:val="22"/>
        </w:rPr>
        <w:t>Additionally, a scheme may be sanctioned by the Hong Kong court even if it concerns a foreign company, (i.e. not Hong Kong registered) if there is a "sufficient connection" between that foreign company and Hong Kong</w:t>
      </w:r>
      <w:r w:rsidR="00494C5F">
        <w:rPr>
          <w:rStyle w:val="FootnoteReference"/>
          <w:rFonts w:ascii="Arial" w:hAnsi="Arial" w:cs="Arial"/>
          <w:color w:val="7B7B7B" w:themeColor="accent3" w:themeShade="BF"/>
          <w:sz w:val="22"/>
          <w:szCs w:val="22"/>
        </w:rPr>
        <w:footnoteReference w:id="13"/>
      </w:r>
      <w:r w:rsidR="00494C5F">
        <w:rPr>
          <w:rFonts w:ascii="Arial" w:hAnsi="Arial" w:cs="Arial"/>
          <w:color w:val="7B7B7B" w:themeColor="accent3" w:themeShade="BF"/>
          <w:sz w:val="22"/>
          <w:szCs w:val="22"/>
        </w:rPr>
        <w:t xml:space="preserve">. </w:t>
      </w:r>
    </w:p>
    <w:p w14:paraId="7356BB43" w14:textId="71BC308A" w:rsidR="00A932F4" w:rsidRDefault="00C467B2" w:rsidP="002A063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potential disadvantages of a scheme are cost (as, although it is likely to be less costly than a purely court administered process, it is still expensive), the potential of difficulty in having other jurisdictions recognize the scheme and the lack of automatic moratorium. </w:t>
      </w:r>
    </w:p>
    <w:p w14:paraId="6761E2D5" w14:textId="550470BD" w:rsidR="000A7710" w:rsidRDefault="000A7710" w:rsidP="00E14FA7">
      <w:pPr>
        <w:jc w:val="both"/>
        <w:rPr>
          <w:rFonts w:ascii="Arial" w:hAnsi="Arial" w:cs="Arial"/>
          <w:color w:val="7B7B7B" w:themeColor="accent3" w:themeShade="BF"/>
          <w:sz w:val="22"/>
          <w:szCs w:val="22"/>
        </w:rPr>
      </w:pPr>
    </w:p>
    <w:p w14:paraId="7E84C57C" w14:textId="77777777" w:rsidR="000A7710" w:rsidRPr="00711999" w:rsidRDefault="000A7710"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2"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66EA4E89" w14:textId="3DCE8425" w:rsidR="000712BD" w:rsidRDefault="00F87DE8" w:rsidP="000712B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Firstly,</w:t>
      </w:r>
      <w:r w:rsidR="00673573">
        <w:rPr>
          <w:rFonts w:ascii="Arial" w:hAnsi="Arial" w:cs="Arial"/>
          <w:color w:val="7B7B7B" w:themeColor="accent3" w:themeShade="BF"/>
          <w:sz w:val="22"/>
          <w:szCs w:val="22"/>
        </w:rPr>
        <w:t xml:space="preserve"> I would advise Mr Chan that</w:t>
      </w:r>
      <w:r>
        <w:rPr>
          <w:rFonts w:ascii="Arial" w:hAnsi="Arial" w:cs="Arial"/>
          <w:color w:val="7B7B7B" w:themeColor="accent3" w:themeShade="BF"/>
          <w:sz w:val="22"/>
          <w:szCs w:val="22"/>
        </w:rPr>
        <w:t xml:space="preserve"> </w:t>
      </w:r>
      <w:r w:rsidR="00CD5887">
        <w:rPr>
          <w:rFonts w:ascii="Arial" w:hAnsi="Arial" w:cs="Arial"/>
          <w:color w:val="7B7B7B" w:themeColor="accent3" w:themeShade="BF"/>
          <w:sz w:val="22"/>
          <w:szCs w:val="22"/>
        </w:rPr>
        <w:t xml:space="preserve">if he </w:t>
      </w:r>
      <w:r w:rsidR="00E97178">
        <w:rPr>
          <w:rFonts w:ascii="Arial" w:hAnsi="Arial" w:cs="Arial"/>
          <w:color w:val="7B7B7B" w:themeColor="accent3" w:themeShade="BF"/>
          <w:sz w:val="22"/>
          <w:szCs w:val="22"/>
        </w:rPr>
        <w:t xml:space="preserve">is </w:t>
      </w:r>
      <w:r w:rsidR="00CD5887">
        <w:rPr>
          <w:rFonts w:ascii="Arial" w:hAnsi="Arial" w:cs="Arial"/>
          <w:color w:val="7B7B7B" w:themeColor="accent3" w:themeShade="BF"/>
          <w:sz w:val="22"/>
          <w:szCs w:val="22"/>
        </w:rPr>
        <w:t xml:space="preserve">aware that the company is in financial difficulties and is unlikely to be able to continue in business, </w:t>
      </w:r>
      <w:r w:rsidR="006149DD">
        <w:rPr>
          <w:rFonts w:ascii="Arial" w:hAnsi="Arial" w:cs="Arial"/>
          <w:color w:val="7B7B7B" w:themeColor="accent3" w:themeShade="BF"/>
          <w:sz w:val="22"/>
          <w:szCs w:val="22"/>
        </w:rPr>
        <w:t xml:space="preserve">and he is contemplating winding up the company, </w:t>
      </w:r>
      <w:r w:rsidR="00A04E9A">
        <w:rPr>
          <w:rFonts w:ascii="Arial" w:hAnsi="Arial" w:cs="Arial"/>
          <w:color w:val="7B7B7B" w:themeColor="accent3" w:themeShade="BF"/>
          <w:sz w:val="22"/>
          <w:szCs w:val="22"/>
        </w:rPr>
        <w:t>he must consider whether members' voluntary liquidation or creditors' voluntary liquidation is appropriate. MVL is appropriate if the company will be able to settle all liabilities within 12 months of the commencement of the liquidation</w:t>
      </w:r>
      <w:r w:rsidR="00A04E9A">
        <w:rPr>
          <w:rStyle w:val="FootnoteReference"/>
          <w:rFonts w:ascii="Arial" w:hAnsi="Arial" w:cs="Arial"/>
          <w:color w:val="7B7B7B" w:themeColor="accent3" w:themeShade="BF"/>
          <w:sz w:val="22"/>
          <w:szCs w:val="22"/>
        </w:rPr>
        <w:footnoteReference w:id="14"/>
      </w:r>
      <w:r w:rsidR="00E97178">
        <w:rPr>
          <w:rFonts w:ascii="Arial" w:hAnsi="Arial" w:cs="Arial"/>
          <w:color w:val="7B7B7B" w:themeColor="accent3" w:themeShade="BF"/>
          <w:sz w:val="22"/>
          <w:szCs w:val="22"/>
        </w:rPr>
        <w:t>. CVL is appropriate where the company is not solvent</w:t>
      </w:r>
      <w:r w:rsidR="00E97178">
        <w:rPr>
          <w:rStyle w:val="FootnoteReference"/>
          <w:rFonts w:ascii="Arial" w:hAnsi="Arial" w:cs="Arial"/>
          <w:color w:val="7B7B7B" w:themeColor="accent3" w:themeShade="BF"/>
          <w:sz w:val="22"/>
          <w:szCs w:val="22"/>
        </w:rPr>
        <w:footnoteReference w:id="15"/>
      </w:r>
      <w:r w:rsidR="00E97178">
        <w:rPr>
          <w:rFonts w:ascii="Arial" w:hAnsi="Arial" w:cs="Arial"/>
          <w:color w:val="7B7B7B" w:themeColor="accent3" w:themeShade="BF"/>
          <w:sz w:val="22"/>
          <w:szCs w:val="22"/>
        </w:rPr>
        <w:t>.</w:t>
      </w:r>
      <w:r w:rsidR="00E64CF4">
        <w:rPr>
          <w:rFonts w:ascii="Arial" w:hAnsi="Arial" w:cs="Arial"/>
          <w:color w:val="7B7B7B" w:themeColor="accent3" w:themeShade="BF"/>
          <w:sz w:val="22"/>
          <w:szCs w:val="22"/>
        </w:rPr>
        <w:t xml:space="preserve"> I would further advise Mr Chan that if he believes the company has no reasonable prospect of avoiding insolvency that under case law he owes his fiduciary duties to the creditors of the company, and must consider their interests in his decision making and that he could, in some circumstances face personal liability..</w:t>
      </w:r>
    </w:p>
    <w:p w14:paraId="60A6DE4A" w14:textId="2AC872D6" w:rsidR="00B1367F" w:rsidRDefault="00CD5887" w:rsidP="000712B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Secondly, I would advise Mr Chan that </w:t>
      </w:r>
      <w:r w:rsidR="00F87DE8">
        <w:rPr>
          <w:rFonts w:ascii="Arial" w:hAnsi="Arial" w:cs="Arial"/>
          <w:color w:val="7B7B7B" w:themeColor="accent3" w:themeShade="BF"/>
          <w:sz w:val="22"/>
          <w:szCs w:val="22"/>
        </w:rPr>
        <w:t xml:space="preserve">winding up is not </w:t>
      </w:r>
      <w:r w:rsidR="007C7630">
        <w:rPr>
          <w:rFonts w:ascii="Arial" w:hAnsi="Arial" w:cs="Arial"/>
          <w:color w:val="7B7B7B" w:themeColor="accent3" w:themeShade="BF"/>
          <w:sz w:val="22"/>
          <w:szCs w:val="22"/>
        </w:rPr>
        <w:t xml:space="preserve">the only option available to a Hong Kong company that is insolvent </w:t>
      </w:r>
      <w:r w:rsidR="006B73D4">
        <w:rPr>
          <w:rFonts w:ascii="Arial" w:hAnsi="Arial" w:cs="Arial"/>
          <w:color w:val="7B7B7B" w:themeColor="accent3" w:themeShade="BF"/>
          <w:sz w:val="22"/>
          <w:szCs w:val="22"/>
        </w:rPr>
        <w:t xml:space="preserve">or near insolvency. </w:t>
      </w:r>
      <w:r w:rsidR="00954F21">
        <w:rPr>
          <w:rFonts w:ascii="Arial" w:hAnsi="Arial" w:cs="Arial"/>
          <w:color w:val="7B7B7B" w:themeColor="accent3" w:themeShade="BF"/>
          <w:sz w:val="22"/>
          <w:szCs w:val="22"/>
        </w:rPr>
        <w:t xml:space="preserve">Informal workouts or schemes of arrangements are the two main ways a Hong Kong company might restructure its debt without </w:t>
      </w:r>
      <w:r w:rsidR="00B1367F">
        <w:rPr>
          <w:rFonts w:ascii="Arial" w:hAnsi="Arial" w:cs="Arial"/>
          <w:color w:val="7B7B7B" w:themeColor="accent3" w:themeShade="BF"/>
          <w:sz w:val="22"/>
          <w:szCs w:val="22"/>
        </w:rPr>
        <w:t>being wound up</w:t>
      </w:r>
      <w:r w:rsidR="00B1367F">
        <w:rPr>
          <w:rStyle w:val="FootnoteReference"/>
          <w:rFonts w:ascii="Arial" w:hAnsi="Arial" w:cs="Arial"/>
          <w:color w:val="7B7B7B" w:themeColor="accent3" w:themeShade="BF"/>
          <w:sz w:val="22"/>
          <w:szCs w:val="22"/>
        </w:rPr>
        <w:footnoteReference w:id="16"/>
      </w:r>
      <w:r w:rsidR="00B1367F">
        <w:rPr>
          <w:rFonts w:ascii="Arial" w:hAnsi="Arial" w:cs="Arial"/>
          <w:color w:val="7B7B7B" w:themeColor="accent3" w:themeShade="BF"/>
          <w:sz w:val="22"/>
          <w:szCs w:val="22"/>
        </w:rPr>
        <w:t xml:space="preserve">. </w:t>
      </w:r>
    </w:p>
    <w:p w14:paraId="64DF1203" w14:textId="77777777" w:rsidR="00E60EC6" w:rsidRDefault="00B1367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informal workout </w:t>
      </w:r>
      <w:r w:rsidR="00E60EC6">
        <w:rPr>
          <w:rFonts w:ascii="Arial" w:hAnsi="Arial" w:cs="Arial"/>
          <w:color w:val="7B7B7B" w:themeColor="accent3" w:themeShade="BF"/>
          <w:sz w:val="22"/>
          <w:szCs w:val="22"/>
        </w:rPr>
        <w:t xml:space="preserve">is a flexible plan and </w:t>
      </w:r>
      <w:r>
        <w:rPr>
          <w:rFonts w:ascii="Arial" w:hAnsi="Arial" w:cs="Arial"/>
          <w:color w:val="7B7B7B" w:themeColor="accent3" w:themeShade="BF"/>
          <w:sz w:val="22"/>
          <w:szCs w:val="22"/>
        </w:rPr>
        <w:t>consists of contractual agreements between a debtor company and its creditors. As it is an out of court process, it can be attempted at any time</w:t>
      </w:r>
      <w:r w:rsidR="00E60EC6">
        <w:rPr>
          <w:rFonts w:ascii="Arial" w:hAnsi="Arial" w:cs="Arial"/>
          <w:color w:val="7B7B7B" w:themeColor="accent3" w:themeShade="BF"/>
          <w:sz w:val="22"/>
          <w:szCs w:val="22"/>
        </w:rPr>
        <w:t xml:space="preserve">, even at the same time as a scheme of arrangement. </w:t>
      </w:r>
    </w:p>
    <w:p w14:paraId="7DD4B838" w14:textId="6F8B5FDC" w:rsidR="003C10EB" w:rsidRDefault="00E60EC6" w:rsidP="0067357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a court-sanctioned arrangement between a debtor company and all its creditors (or a class of creditors). The arrangement is given statutory effect to bind such creditors even if they did not consent to the arrangement. </w:t>
      </w:r>
      <w:r w:rsidR="00673573">
        <w:rPr>
          <w:rFonts w:ascii="Arial" w:hAnsi="Arial" w:cs="Arial"/>
          <w:color w:val="7B7B7B" w:themeColor="accent3" w:themeShade="BF"/>
          <w:sz w:val="22"/>
          <w:szCs w:val="22"/>
        </w:rPr>
        <w:t xml:space="preserve">Companies in liquidation can still use a scheme. </w:t>
      </w:r>
    </w:p>
    <w:p w14:paraId="50E97774" w14:textId="670556DB" w:rsidR="00673573" w:rsidRDefault="00673573" w:rsidP="0067357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relation to the view of Mr Chan's friend that he should appoint a "friendly" liquidator who will not investigate the company's affairs too closely, I would advise Mr Chan to dis</w:t>
      </w:r>
      <w:r w:rsidR="0097792E">
        <w:rPr>
          <w:rFonts w:ascii="Arial" w:hAnsi="Arial" w:cs="Arial"/>
          <w:color w:val="7B7B7B" w:themeColor="accent3" w:themeShade="BF"/>
          <w:sz w:val="22"/>
          <w:szCs w:val="22"/>
        </w:rPr>
        <w:t>regard such advice immediately, because to select a "friendly" liquidato</w:t>
      </w:r>
      <w:r w:rsidR="00975364">
        <w:rPr>
          <w:rFonts w:ascii="Arial" w:hAnsi="Arial" w:cs="Arial"/>
          <w:color w:val="7B7B7B" w:themeColor="accent3" w:themeShade="BF"/>
          <w:sz w:val="22"/>
          <w:szCs w:val="22"/>
        </w:rPr>
        <w:t>r</w:t>
      </w:r>
      <w:r w:rsidR="00E117D0">
        <w:rPr>
          <w:rFonts w:ascii="Arial" w:hAnsi="Arial" w:cs="Arial"/>
          <w:color w:val="7B7B7B" w:themeColor="accent3" w:themeShade="BF"/>
          <w:sz w:val="22"/>
          <w:szCs w:val="22"/>
        </w:rPr>
        <w:t xml:space="preserve">, </w:t>
      </w:r>
      <w:r w:rsidR="000712BD">
        <w:rPr>
          <w:rFonts w:ascii="Arial" w:hAnsi="Arial" w:cs="Arial"/>
          <w:color w:val="7B7B7B" w:themeColor="accent3" w:themeShade="BF"/>
          <w:sz w:val="22"/>
          <w:szCs w:val="22"/>
        </w:rPr>
        <w:t>the description of which suggests a liquidator who would</w:t>
      </w:r>
      <w:r w:rsidR="00E117D0">
        <w:rPr>
          <w:rFonts w:ascii="Arial" w:hAnsi="Arial" w:cs="Arial"/>
          <w:color w:val="7B7B7B" w:themeColor="accent3" w:themeShade="BF"/>
          <w:sz w:val="22"/>
          <w:szCs w:val="22"/>
        </w:rPr>
        <w:t xml:space="preserve"> not act in accordance with their professional and other duties,</w:t>
      </w:r>
      <w:r w:rsidR="00975364">
        <w:rPr>
          <w:rFonts w:ascii="Arial" w:hAnsi="Arial" w:cs="Arial"/>
          <w:color w:val="7B7B7B" w:themeColor="accent3" w:themeShade="BF"/>
          <w:sz w:val="22"/>
          <w:szCs w:val="22"/>
        </w:rPr>
        <w:t xml:space="preserve"> and for</w:t>
      </w:r>
      <w:r w:rsidR="0097792E">
        <w:rPr>
          <w:rFonts w:ascii="Arial" w:hAnsi="Arial" w:cs="Arial"/>
          <w:color w:val="7B7B7B" w:themeColor="accent3" w:themeShade="BF"/>
          <w:sz w:val="22"/>
          <w:szCs w:val="22"/>
        </w:rPr>
        <w:t xml:space="preserve"> the reason suggested</w:t>
      </w:r>
      <w:r w:rsidR="00E117D0">
        <w:rPr>
          <w:rFonts w:ascii="Arial" w:hAnsi="Arial" w:cs="Arial"/>
          <w:color w:val="7B7B7B" w:themeColor="accent3" w:themeShade="BF"/>
          <w:sz w:val="22"/>
          <w:szCs w:val="22"/>
        </w:rPr>
        <w:t>,</w:t>
      </w:r>
      <w:r w:rsidR="0097792E">
        <w:rPr>
          <w:rFonts w:ascii="Arial" w:hAnsi="Arial" w:cs="Arial"/>
          <w:color w:val="7B7B7B" w:themeColor="accent3" w:themeShade="BF"/>
          <w:sz w:val="22"/>
          <w:szCs w:val="22"/>
        </w:rPr>
        <w:t xml:space="preserve"> would be in breach of Mr Chan's duties to the company, and the liquidator would be acting in breach of his own </w:t>
      </w:r>
      <w:r w:rsidR="000712BD">
        <w:rPr>
          <w:rFonts w:ascii="Arial" w:hAnsi="Arial" w:cs="Arial"/>
          <w:color w:val="7B7B7B" w:themeColor="accent3" w:themeShade="BF"/>
          <w:sz w:val="22"/>
          <w:szCs w:val="22"/>
        </w:rPr>
        <w:t>duties also</w:t>
      </w:r>
      <w:r w:rsidR="001A7EFF">
        <w:rPr>
          <w:rFonts w:ascii="Arial" w:hAnsi="Arial" w:cs="Arial"/>
          <w:color w:val="7B7B7B" w:themeColor="accent3" w:themeShade="BF"/>
          <w:sz w:val="22"/>
          <w:szCs w:val="22"/>
        </w:rPr>
        <w:t xml:space="preserve">: </w:t>
      </w:r>
    </w:p>
    <w:p w14:paraId="6F927645" w14:textId="7E1AD0B9" w:rsidR="001A7EFF" w:rsidRDefault="001A7EFF" w:rsidP="001A7EFF">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a director of a company in the insolvent zone, Mr Chan has a duty as a director of the company to preserve the assets of the company to make them available for distribution to creditors as a whole. In so doing, he must act bona fide in what he believes to be the best interests of the company</w:t>
      </w:r>
      <w:r>
        <w:rPr>
          <w:rStyle w:val="FootnoteReference"/>
          <w:rFonts w:ascii="Arial" w:hAnsi="Arial" w:cs="Arial"/>
          <w:color w:val="7B7B7B" w:themeColor="accent3" w:themeShade="BF"/>
          <w:sz w:val="22"/>
          <w:szCs w:val="22"/>
        </w:rPr>
        <w:footnoteReference w:id="17"/>
      </w:r>
      <w:r>
        <w:rPr>
          <w:rFonts w:ascii="Arial" w:hAnsi="Arial" w:cs="Arial"/>
          <w:color w:val="7B7B7B" w:themeColor="accent3" w:themeShade="BF"/>
          <w:sz w:val="22"/>
          <w:szCs w:val="22"/>
        </w:rPr>
        <w:t xml:space="preserve">. </w:t>
      </w:r>
    </w:p>
    <w:p w14:paraId="292D979B" w14:textId="2D34F91E" w:rsidR="003E10A7" w:rsidRPr="006149DD" w:rsidRDefault="001A7EFF" w:rsidP="006149DD">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Any liquidator of a Hong Kong company has a duty to protect and realise that company's assets and distribute the proceeds </w:t>
      </w:r>
      <w:r w:rsidR="00E117D0">
        <w:rPr>
          <w:rFonts w:ascii="Arial" w:hAnsi="Arial" w:cs="Arial"/>
          <w:color w:val="7B7B7B" w:themeColor="accent3" w:themeShade="BF"/>
          <w:sz w:val="22"/>
          <w:szCs w:val="22"/>
        </w:rPr>
        <w:t xml:space="preserve">to creditors and shareholders, </w:t>
      </w:r>
      <w:r>
        <w:rPr>
          <w:rFonts w:ascii="Arial" w:hAnsi="Arial" w:cs="Arial"/>
          <w:color w:val="7B7B7B" w:themeColor="accent3" w:themeShade="BF"/>
          <w:sz w:val="22"/>
          <w:szCs w:val="22"/>
        </w:rPr>
        <w:t xml:space="preserve">in accordance with the statutory rules on distribution. </w:t>
      </w:r>
      <w:r w:rsidR="000712BD">
        <w:rPr>
          <w:rFonts w:ascii="Arial" w:hAnsi="Arial" w:cs="Arial"/>
          <w:color w:val="7B7B7B" w:themeColor="accent3" w:themeShade="BF"/>
          <w:sz w:val="22"/>
          <w:szCs w:val="22"/>
        </w:rPr>
        <w:t>This includes a duty to report Mr Chan to t</w:t>
      </w:r>
      <w:r w:rsidR="00380621">
        <w:rPr>
          <w:rFonts w:ascii="Arial" w:hAnsi="Arial" w:cs="Arial"/>
          <w:color w:val="7B7B7B" w:themeColor="accent3" w:themeShade="BF"/>
          <w:sz w:val="22"/>
          <w:szCs w:val="22"/>
        </w:rPr>
        <w:t>he Official Receiver's Office if</w:t>
      </w:r>
      <w:r w:rsidR="000712BD">
        <w:rPr>
          <w:rFonts w:ascii="Arial" w:hAnsi="Arial" w:cs="Arial"/>
          <w:color w:val="7B7B7B" w:themeColor="accent3" w:themeShade="BF"/>
          <w:sz w:val="22"/>
          <w:szCs w:val="22"/>
        </w:rPr>
        <w:t xml:space="preserve"> his conduct has breached his duty as a director of the company. </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2583A0E6" w14:textId="3E4B17AB" w:rsidR="00AC63B1" w:rsidRDefault="00A35507" w:rsidP="00AC63B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We are told that GFL has the benefit of a fixed charge over Kite's receivables. </w:t>
      </w:r>
      <w:r w:rsidR="00B83105">
        <w:rPr>
          <w:rFonts w:ascii="Arial" w:hAnsi="Arial" w:cs="Arial"/>
          <w:color w:val="7B7B7B" w:themeColor="accent3" w:themeShade="BF"/>
          <w:sz w:val="22"/>
          <w:szCs w:val="22"/>
        </w:rPr>
        <w:t xml:space="preserve">Therefore, </w:t>
      </w:r>
      <w:r w:rsidR="00BC3D4F">
        <w:rPr>
          <w:rFonts w:ascii="Arial" w:hAnsi="Arial" w:cs="Arial"/>
          <w:color w:val="7B7B7B" w:themeColor="accent3" w:themeShade="BF"/>
          <w:sz w:val="22"/>
          <w:szCs w:val="22"/>
        </w:rPr>
        <w:t xml:space="preserve">without further facts, </w:t>
      </w:r>
      <w:r w:rsidR="000D5CCB">
        <w:rPr>
          <w:rFonts w:ascii="Arial" w:hAnsi="Arial" w:cs="Arial"/>
          <w:color w:val="7B7B7B" w:themeColor="accent3" w:themeShade="BF"/>
          <w:sz w:val="22"/>
          <w:szCs w:val="22"/>
        </w:rPr>
        <w:t xml:space="preserve">the primary view is that </w:t>
      </w:r>
      <w:r w:rsidR="00B83105">
        <w:rPr>
          <w:rFonts w:ascii="Arial" w:hAnsi="Arial" w:cs="Arial"/>
          <w:color w:val="7B7B7B" w:themeColor="accent3" w:themeShade="BF"/>
          <w:sz w:val="22"/>
          <w:szCs w:val="22"/>
        </w:rPr>
        <w:t>GFL is a secured creditor, and is entitle</w:t>
      </w:r>
      <w:r w:rsidR="000D5CCB">
        <w:rPr>
          <w:rFonts w:ascii="Arial" w:hAnsi="Arial" w:cs="Arial"/>
          <w:color w:val="7B7B7B" w:themeColor="accent3" w:themeShade="BF"/>
          <w:sz w:val="22"/>
          <w:szCs w:val="22"/>
        </w:rPr>
        <w:t>d to look to the asset, i.e. Kite</w:t>
      </w:r>
      <w:r w:rsidR="00B83105">
        <w:rPr>
          <w:rFonts w:ascii="Arial" w:hAnsi="Arial" w:cs="Arial"/>
          <w:color w:val="7B7B7B" w:themeColor="accent3" w:themeShade="BF"/>
          <w:sz w:val="22"/>
          <w:szCs w:val="22"/>
        </w:rPr>
        <w:t>'s receivables, for repayment, irrespective of the interests of other creditors</w:t>
      </w:r>
      <w:r w:rsidR="00C64C5E">
        <w:rPr>
          <w:rFonts w:ascii="Arial" w:hAnsi="Arial" w:cs="Arial"/>
          <w:color w:val="7B7B7B" w:themeColor="accent3" w:themeShade="BF"/>
          <w:sz w:val="22"/>
          <w:szCs w:val="22"/>
        </w:rPr>
        <w:t>, including in the liquidation</w:t>
      </w:r>
      <w:r w:rsidR="0009382C">
        <w:rPr>
          <w:rFonts w:ascii="Arial" w:hAnsi="Arial" w:cs="Arial"/>
          <w:color w:val="7B7B7B" w:themeColor="accent3" w:themeShade="BF"/>
          <w:sz w:val="22"/>
          <w:szCs w:val="22"/>
        </w:rPr>
        <w:t xml:space="preserve">. This is </w:t>
      </w:r>
      <w:r w:rsidR="00B83105">
        <w:rPr>
          <w:rFonts w:ascii="Arial" w:hAnsi="Arial" w:cs="Arial"/>
          <w:color w:val="7B7B7B" w:themeColor="accent3" w:themeShade="BF"/>
          <w:sz w:val="22"/>
          <w:szCs w:val="22"/>
        </w:rPr>
        <w:t>subject to the duty of a chargee to act in good faith when exercising a power of sale to obtain a proper price</w:t>
      </w:r>
      <w:r w:rsidR="0009382C">
        <w:rPr>
          <w:rFonts w:ascii="Arial" w:hAnsi="Arial" w:cs="Arial"/>
          <w:color w:val="7B7B7B" w:themeColor="accent3" w:themeShade="BF"/>
          <w:sz w:val="22"/>
          <w:szCs w:val="22"/>
        </w:rPr>
        <w:t xml:space="preserve"> (Esquire (Electronics) Limited v The Hong Kong and Shanghai Banking Corporation Ltd [2007] 3 HKLRD 439).</w:t>
      </w:r>
      <w:r w:rsidR="00B83105">
        <w:rPr>
          <w:rStyle w:val="FootnoteReference"/>
          <w:rFonts w:ascii="Arial" w:hAnsi="Arial" w:cs="Arial"/>
          <w:color w:val="7B7B7B" w:themeColor="accent3" w:themeShade="BF"/>
          <w:sz w:val="22"/>
          <w:szCs w:val="22"/>
        </w:rPr>
        <w:footnoteReference w:id="18"/>
      </w:r>
    </w:p>
    <w:p w14:paraId="10796BEA" w14:textId="610C6891" w:rsidR="003C10EB" w:rsidRDefault="000D5CCB" w:rsidP="0042341D">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t>
      </w:r>
      <w:r w:rsidR="006359F1">
        <w:rPr>
          <w:rFonts w:ascii="Arial" w:hAnsi="Arial" w:cs="Arial"/>
          <w:color w:val="808080" w:themeColor="background1" w:themeShade="80"/>
          <w:sz w:val="22"/>
          <w:szCs w:val="22"/>
          <w:lang w:val="en-GB"/>
        </w:rPr>
        <w:t xml:space="preserve">wever, we are also told that </w:t>
      </w:r>
      <w:r w:rsidR="0042341D">
        <w:rPr>
          <w:rFonts w:ascii="Arial" w:hAnsi="Arial" w:cs="Arial"/>
          <w:color w:val="808080" w:themeColor="background1" w:themeShade="80"/>
          <w:sz w:val="22"/>
          <w:szCs w:val="22"/>
          <w:lang w:val="en-GB"/>
        </w:rPr>
        <w:t>GFL insisted on the fixed charge because it was troubled by the way that Kite's business was heading. This fact raises concerns surrounding the anti-deprivation principle, which will not permit a creditor to be put in a better position than other creditors if the mechanism is considered a "fraud on the insolvency laws"</w:t>
      </w:r>
      <w:r w:rsidR="00266B42">
        <w:rPr>
          <w:rFonts w:ascii="Arial" w:hAnsi="Arial" w:cs="Arial"/>
          <w:color w:val="808080" w:themeColor="background1" w:themeShade="80"/>
          <w:sz w:val="22"/>
          <w:szCs w:val="22"/>
          <w:lang w:val="en-GB"/>
        </w:rPr>
        <w:t>.</w:t>
      </w:r>
      <w:r w:rsidR="0042341D">
        <w:rPr>
          <w:rStyle w:val="FootnoteReference"/>
          <w:rFonts w:ascii="Arial" w:hAnsi="Arial" w:cs="Arial"/>
          <w:color w:val="808080" w:themeColor="background1" w:themeShade="80"/>
          <w:sz w:val="22"/>
          <w:szCs w:val="22"/>
          <w:lang w:val="en-GB"/>
        </w:rPr>
        <w:footnoteReference w:id="19"/>
      </w:r>
      <w:r w:rsidR="00AC63B1">
        <w:rPr>
          <w:rFonts w:ascii="Arial" w:hAnsi="Arial" w:cs="Arial"/>
          <w:color w:val="808080" w:themeColor="background1" w:themeShade="80"/>
          <w:sz w:val="22"/>
          <w:szCs w:val="22"/>
          <w:lang w:val="en-GB"/>
        </w:rPr>
        <w:t xml:space="preserve"> </w:t>
      </w:r>
    </w:p>
    <w:p w14:paraId="34146FFF" w14:textId="1D3F2691" w:rsidR="00266B42" w:rsidRDefault="00266B42" w:rsidP="0042341D">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leading Hong Kong authority on this principle is </w:t>
      </w:r>
      <w:r w:rsidR="005E5ECC">
        <w:rPr>
          <w:rFonts w:ascii="Arial" w:hAnsi="Arial" w:cs="Arial"/>
          <w:color w:val="808080" w:themeColor="background1" w:themeShade="80"/>
          <w:sz w:val="22"/>
          <w:szCs w:val="22"/>
          <w:lang w:val="en-GB"/>
        </w:rPr>
        <w:t xml:space="preserve">the Hong Kong Court of Appeal authority of Peregrine Investments Holdings Ltd v Asian Infrastructure Fund Management Co Ltd [2004] 1 HKLRD 598. </w:t>
      </w:r>
      <w:r w:rsidR="00C20557">
        <w:rPr>
          <w:rFonts w:ascii="Arial" w:hAnsi="Arial" w:cs="Arial"/>
          <w:color w:val="808080" w:themeColor="background1" w:themeShade="80"/>
          <w:sz w:val="22"/>
          <w:szCs w:val="22"/>
          <w:lang w:val="en-GB"/>
        </w:rPr>
        <w:t>The collapse of the Lehman Brothers</w:t>
      </w:r>
      <w:r w:rsidR="00C20557">
        <w:rPr>
          <w:rStyle w:val="FootnoteReference"/>
          <w:rFonts w:ascii="Arial" w:hAnsi="Arial" w:cs="Arial"/>
          <w:color w:val="808080" w:themeColor="background1" w:themeShade="80"/>
          <w:sz w:val="22"/>
          <w:szCs w:val="22"/>
          <w:lang w:val="en-GB"/>
        </w:rPr>
        <w:footnoteReference w:id="20"/>
      </w:r>
      <w:r w:rsidR="00C20557">
        <w:rPr>
          <w:rFonts w:ascii="Arial" w:hAnsi="Arial" w:cs="Arial"/>
          <w:color w:val="808080" w:themeColor="background1" w:themeShade="80"/>
          <w:sz w:val="22"/>
          <w:szCs w:val="22"/>
          <w:lang w:val="en-GB"/>
        </w:rPr>
        <w:t xml:space="preserve"> has also contributed to the learning on the topic.</w:t>
      </w:r>
      <w:r w:rsidR="003117CB">
        <w:rPr>
          <w:rFonts w:ascii="Arial" w:hAnsi="Arial" w:cs="Arial"/>
          <w:color w:val="808080" w:themeColor="background1" w:themeShade="80"/>
          <w:sz w:val="22"/>
          <w:szCs w:val="22"/>
          <w:lang w:val="en-GB"/>
        </w:rPr>
        <w:t xml:space="preserve"> In summary, if the fixed charge arrangement is part of a genuine commercial transaction and not entered into with the intention of </w:t>
      </w:r>
      <w:r w:rsidR="00AA214B">
        <w:rPr>
          <w:rFonts w:ascii="Arial" w:hAnsi="Arial" w:cs="Arial"/>
          <w:color w:val="808080" w:themeColor="background1" w:themeShade="80"/>
          <w:sz w:val="22"/>
          <w:szCs w:val="22"/>
          <w:lang w:val="en-GB"/>
        </w:rPr>
        <w:t xml:space="preserve">GFL </w:t>
      </w:r>
      <w:r w:rsidR="003117CB">
        <w:rPr>
          <w:rFonts w:ascii="Arial" w:hAnsi="Arial" w:cs="Arial"/>
          <w:color w:val="808080" w:themeColor="background1" w:themeShade="80"/>
          <w:sz w:val="22"/>
          <w:szCs w:val="22"/>
          <w:lang w:val="en-GB"/>
        </w:rPr>
        <w:t xml:space="preserve">creating an advantage on the insolvency </w:t>
      </w:r>
      <w:r w:rsidR="00AA214B">
        <w:rPr>
          <w:rFonts w:ascii="Arial" w:hAnsi="Arial" w:cs="Arial"/>
          <w:color w:val="808080" w:themeColor="background1" w:themeShade="80"/>
          <w:sz w:val="22"/>
          <w:szCs w:val="22"/>
          <w:lang w:val="en-GB"/>
        </w:rPr>
        <w:t xml:space="preserve">of Kite, then the arrangement is likely to be upheld. </w:t>
      </w:r>
    </w:p>
    <w:p w14:paraId="7DE01E4E" w14:textId="77777777" w:rsidR="008D008D" w:rsidRDefault="00AA214B" w:rsidP="0042341D">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We are also told that Kite did not open a separate account in relation to the receivables subject to fixed charge, and instead kept it in the company's general operating account, where payments were made in and out in the ordinary course of business. This creates several issues. Firstly, the receivables should have been put into a separate account and use of that asset restricted in terms of payments out. </w:t>
      </w:r>
      <w:r w:rsidR="008D008D">
        <w:rPr>
          <w:rFonts w:ascii="Arial" w:hAnsi="Arial" w:cs="Arial"/>
          <w:color w:val="808080" w:themeColor="background1" w:themeShade="80"/>
          <w:sz w:val="22"/>
          <w:szCs w:val="22"/>
          <w:lang w:val="en-GB"/>
        </w:rPr>
        <w:t>The mixing of fixed charge receivables might mean that a forensic accountant needs to confirm, for example, what sums were paid in in relation to the charged receivables.</w:t>
      </w:r>
    </w:p>
    <w:p w14:paraId="6678009D" w14:textId="29652B4D" w:rsidR="00AA214B" w:rsidRPr="0042341D" w:rsidRDefault="008D008D" w:rsidP="0042341D">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Now that the company is under liquidation, the fixed charge stands outside of the liquidation, and GFL's receiver can keep the realisations made from the receivables</w:t>
      </w:r>
      <w:r w:rsidR="00BC3D4F">
        <w:rPr>
          <w:rFonts w:ascii="Arial" w:hAnsi="Arial" w:cs="Arial"/>
          <w:color w:val="808080" w:themeColor="background1" w:themeShade="80"/>
          <w:sz w:val="22"/>
          <w:szCs w:val="22"/>
          <w:lang w:val="en-GB"/>
        </w:rPr>
        <w:t xml:space="preserve"> (if identified)</w:t>
      </w:r>
      <w:r>
        <w:rPr>
          <w:rFonts w:ascii="Arial" w:hAnsi="Arial" w:cs="Arial"/>
          <w:color w:val="808080" w:themeColor="background1" w:themeShade="80"/>
          <w:sz w:val="22"/>
          <w:szCs w:val="22"/>
          <w:lang w:val="en-GB"/>
        </w:rPr>
        <w:t xml:space="preserve"> insofar as it is needed to meet the balance owed. The GFL-appointed receiver is under a duty to </w:t>
      </w:r>
      <w:r w:rsidR="00307AF2">
        <w:rPr>
          <w:rFonts w:ascii="Arial" w:hAnsi="Arial" w:cs="Arial"/>
          <w:color w:val="808080" w:themeColor="background1" w:themeShade="80"/>
          <w:sz w:val="22"/>
          <w:szCs w:val="22"/>
          <w:lang w:val="en-GB"/>
        </w:rPr>
        <w:t xml:space="preserve">sell the assets appropriately and to remit the balance to the liquidator, after GFL's loan is repaid. </w:t>
      </w:r>
      <w:r w:rsidR="00C64C5E">
        <w:rPr>
          <w:rFonts w:ascii="Arial" w:hAnsi="Arial" w:cs="Arial"/>
          <w:color w:val="808080" w:themeColor="background1" w:themeShade="80"/>
          <w:sz w:val="22"/>
          <w:szCs w:val="22"/>
          <w:lang w:val="en-GB"/>
        </w:rPr>
        <w:t>The liquidator cannot insist on the receiver handing over the realisations from the sale of the receivables prior to GFL's loan being paid, unless the entire transaction is successfully cha</w:t>
      </w:r>
      <w:r w:rsidR="009017F9">
        <w:rPr>
          <w:rFonts w:ascii="Arial" w:hAnsi="Arial" w:cs="Arial"/>
          <w:color w:val="808080" w:themeColor="background1" w:themeShade="80"/>
          <w:sz w:val="22"/>
          <w:szCs w:val="22"/>
          <w:lang w:val="en-GB"/>
        </w:rPr>
        <w:t xml:space="preserve">llenged on the basis of the anti-deprivation principle. </w:t>
      </w:r>
    </w:p>
    <w:p w14:paraId="3AC1A622" w14:textId="77777777" w:rsidR="0009382C" w:rsidRPr="007E1E1F" w:rsidRDefault="0009382C" w:rsidP="00E14FA7">
      <w:pPr>
        <w:autoSpaceDE w:val="0"/>
        <w:autoSpaceDN w:val="0"/>
        <w:adjustRightInd w:val="0"/>
        <w:jc w:val="both"/>
        <w:rPr>
          <w:rFonts w:ascii="Arial" w:hAnsi="Arial" w:cs="Arial"/>
          <w:color w:val="808080" w:themeColor="background1" w:themeShade="80"/>
          <w:sz w:val="22"/>
          <w:szCs w:val="22"/>
          <w:lang w:val="en-GB"/>
        </w:rPr>
      </w:pPr>
    </w:p>
    <w:bookmarkEnd w:id="2"/>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0A97A697" w14:textId="000F9CC2" w:rsidR="00A65616" w:rsidRPr="00C22657" w:rsidRDefault="00635494" w:rsidP="00C72DB3">
      <w:pPr>
        <w:pStyle w:val="ListParagraph"/>
        <w:numPr>
          <w:ilvl w:val="0"/>
          <w:numId w:val="32"/>
        </w:numPr>
        <w:jc w:val="both"/>
        <w:rPr>
          <w:rFonts w:ascii="Arial" w:hAnsi="Arial" w:cs="Arial"/>
          <w:sz w:val="22"/>
          <w:szCs w:val="22"/>
        </w:rPr>
      </w:pPr>
      <w:r>
        <w:rPr>
          <w:rFonts w:ascii="Arial" w:hAnsi="Arial" w:cs="Arial"/>
          <w:color w:val="7B7B7B" w:themeColor="accent3" w:themeShade="BF"/>
          <w:sz w:val="22"/>
          <w:szCs w:val="22"/>
        </w:rPr>
        <w:t>In relation to the FA clause that all assets vest in Mr Qi upon insolvency of the company</w:t>
      </w:r>
      <w:r w:rsidR="00731F20">
        <w:rPr>
          <w:rFonts w:ascii="Arial" w:hAnsi="Arial" w:cs="Arial"/>
          <w:color w:val="7B7B7B" w:themeColor="accent3" w:themeShade="BF"/>
          <w:sz w:val="22"/>
          <w:szCs w:val="22"/>
        </w:rPr>
        <w:t xml:space="preserve"> t</w:t>
      </w:r>
      <w:r w:rsidR="00B23CBA">
        <w:rPr>
          <w:rFonts w:ascii="Arial" w:hAnsi="Arial" w:cs="Arial"/>
          <w:color w:val="7B7B7B" w:themeColor="accent3" w:themeShade="BF"/>
          <w:sz w:val="22"/>
          <w:szCs w:val="22"/>
        </w:rPr>
        <w:t>here are</w:t>
      </w:r>
      <w:r>
        <w:rPr>
          <w:rFonts w:ascii="Arial" w:hAnsi="Arial" w:cs="Arial"/>
          <w:color w:val="7B7B7B" w:themeColor="accent3" w:themeShade="BF"/>
          <w:sz w:val="22"/>
          <w:szCs w:val="22"/>
        </w:rPr>
        <w:t xml:space="preserve"> good reasons to suspect </w:t>
      </w:r>
      <w:r w:rsidR="00B23CBA">
        <w:rPr>
          <w:rFonts w:ascii="Arial" w:hAnsi="Arial" w:cs="Arial"/>
          <w:color w:val="7B7B7B" w:themeColor="accent3" w:themeShade="BF"/>
          <w:sz w:val="22"/>
          <w:szCs w:val="22"/>
        </w:rPr>
        <w:t xml:space="preserve">the entire dealing is </w:t>
      </w:r>
      <w:r>
        <w:rPr>
          <w:rFonts w:ascii="Arial" w:hAnsi="Arial" w:cs="Arial"/>
          <w:color w:val="7B7B7B" w:themeColor="accent3" w:themeShade="BF"/>
          <w:sz w:val="22"/>
          <w:szCs w:val="22"/>
        </w:rPr>
        <w:t xml:space="preserve">a fraudulent one perpetrated </w:t>
      </w:r>
      <w:r w:rsidR="00B23CBA">
        <w:rPr>
          <w:rFonts w:ascii="Arial" w:hAnsi="Arial" w:cs="Arial"/>
          <w:color w:val="7B7B7B" w:themeColor="accent3" w:themeShade="BF"/>
          <w:sz w:val="22"/>
          <w:szCs w:val="22"/>
        </w:rPr>
        <w:t xml:space="preserve">by Mr Qi </w:t>
      </w:r>
      <w:r>
        <w:rPr>
          <w:rFonts w:ascii="Arial" w:hAnsi="Arial" w:cs="Arial"/>
          <w:color w:val="7B7B7B" w:themeColor="accent3" w:themeShade="BF"/>
          <w:sz w:val="22"/>
          <w:szCs w:val="22"/>
        </w:rPr>
        <w:t>against Mr Xu</w:t>
      </w:r>
      <w:r w:rsidR="00B23CBA">
        <w:rPr>
          <w:rFonts w:ascii="Arial" w:hAnsi="Arial" w:cs="Arial"/>
          <w:color w:val="7B7B7B" w:themeColor="accent3" w:themeShade="BF"/>
          <w:sz w:val="22"/>
          <w:szCs w:val="22"/>
        </w:rPr>
        <w:t>, including</w:t>
      </w:r>
      <w:r w:rsidR="00C72DB3">
        <w:rPr>
          <w:rFonts w:ascii="Arial" w:hAnsi="Arial" w:cs="Arial"/>
          <w:color w:val="7B7B7B" w:themeColor="accent3" w:themeShade="BF"/>
          <w:sz w:val="22"/>
          <w:szCs w:val="22"/>
        </w:rPr>
        <w:t xml:space="preserve"> this contractual provision,</w:t>
      </w:r>
      <w:r w:rsidR="00B23CBA">
        <w:rPr>
          <w:rFonts w:ascii="Arial" w:hAnsi="Arial" w:cs="Arial"/>
          <w:color w:val="7B7B7B" w:themeColor="accent3" w:themeShade="BF"/>
          <w:sz w:val="22"/>
          <w:szCs w:val="22"/>
        </w:rPr>
        <w:t xml:space="preserve"> the del</w:t>
      </w:r>
      <w:r w:rsidR="00C72DB3">
        <w:rPr>
          <w:rFonts w:ascii="Arial" w:hAnsi="Arial" w:cs="Arial"/>
          <w:color w:val="7B7B7B" w:themeColor="accent3" w:themeShade="BF"/>
          <w:sz w:val="22"/>
          <w:szCs w:val="22"/>
        </w:rPr>
        <w:t xml:space="preserve">ay and </w:t>
      </w:r>
      <w:r w:rsidR="00B23CBA">
        <w:rPr>
          <w:rFonts w:ascii="Arial" w:hAnsi="Arial" w:cs="Arial"/>
          <w:color w:val="7B7B7B" w:themeColor="accent3" w:themeShade="BF"/>
          <w:sz w:val="22"/>
          <w:szCs w:val="22"/>
        </w:rPr>
        <w:t>lack of answers</w:t>
      </w:r>
      <w:r>
        <w:rPr>
          <w:rFonts w:ascii="Arial" w:hAnsi="Arial" w:cs="Arial"/>
          <w:color w:val="7B7B7B" w:themeColor="accent3" w:themeShade="BF"/>
          <w:sz w:val="22"/>
          <w:szCs w:val="22"/>
        </w:rPr>
        <w:t xml:space="preserve">. </w:t>
      </w:r>
      <w:r w:rsidR="00723CA3">
        <w:rPr>
          <w:rFonts w:ascii="Arial" w:hAnsi="Arial" w:cs="Arial"/>
          <w:color w:val="7B7B7B" w:themeColor="accent3" w:themeShade="BF"/>
          <w:sz w:val="22"/>
          <w:szCs w:val="22"/>
        </w:rPr>
        <w:t>As</w:t>
      </w:r>
      <w:r w:rsidR="00C72DB3">
        <w:rPr>
          <w:rFonts w:ascii="Arial" w:hAnsi="Arial" w:cs="Arial"/>
          <w:color w:val="7B7B7B" w:themeColor="accent3" w:themeShade="BF"/>
          <w:sz w:val="22"/>
          <w:szCs w:val="22"/>
        </w:rPr>
        <w:t xml:space="preserve"> the FA is subject to Hong Law, Mr Xu is likely to have commenced a civil fraud claim in Hong Kong to have the FA declared void on account of fraud, and to obtain an order from the Hong Kong court </w:t>
      </w:r>
      <w:r w:rsidR="0053382C">
        <w:rPr>
          <w:rFonts w:ascii="Arial" w:hAnsi="Arial" w:cs="Arial"/>
          <w:color w:val="7B7B7B" w:themeColor="accent3" w:themeShade="BF"/>
          <w:sz w:val="22"/>
          <w:szCs w:val="22"/>
        </w:rPr>
        <w:t xml:space="preserve">against both SPL and its directing mind, MR Qi, </w:t>
      </w:r>
      <w:r w:rsidR="00C72DB3">
        <w:rPr>
          <w:rFonts w:ascii="Arial" w:hAnsi="Arial" w:cs="Arial"/>
          <w:color w:val="7B7B7B" w:themeColor="accent3" w:themeShade="BF"/>
          <w:sz w:val="22"/>
          <w:szCs w:val="22"/>
        </w:rPr>
        <w:t>for the return of his loan. It would certainly seem a more logical route than trying to e</w:t>
      </w:r>
      <w:r w:rsidR="0053382C">
        <w:rPr>
          <w:rFonts w:ascii="Arial" w:hAnsi="Arial" w:cs="Arial"/>
          <w:color w:val="7B7B7B" w:themeColor="accent3" w:themeShade="BF"/>
          <w:sz w:val="22"/>
          <w:szCs w:val="22"/>
        </w:rPr>
        <w:t>nforce what appears to be an FA</w:t>
      </w:r>
      <w:r w:rsidR="00C72DB3">
        <w:rPr>
          <w:rFonts w:ascii="Arial" w:hAnsi="Arial" w:cs="Arial"/>
          <w:color w:val="7B7B7B" w:themeColor="accent3" w:themeShade="BF"/>
          <w:sz w:val="22"/>
          <w:szCs w:val="22"/>
        </w:rPr>
        <w:t xml:space="preserve"> permeated by fraud. </w:t>
      </w:r>
      <w:r w:rsidR="0053382C">
        <w:rPr>
          <w:rFonts w:ascii="Arial" w:hAnsi="Arial" w:cs="Arial"/>
          <w:color w:val="7B7B7B" w:themeColor="accent3" w:themeShade="BF"/>
          <w:sz w:val="22"/>
          <w:szCs w:val="22"/>
        </w:rPr>
        <w:t xml:space="preserve">Once the FA is voided, it becomes a matter of Mr Xu seeking to recover a judgment debt of US$20m from SPL and Mr Qi. Mr Xu may have then </w:t>
      </w:r>
      <w:r w:rsidR="00C22657">
        <w:rPr>
          <w:rFonts w:ascii="Arial" w:hAnsi="Arial" w:cs="Arial"/>
          <w:color w:val="7B7B7B" w:themeColor="accent3" w:themeShade="BF"/>
          <w:sz w:val="22"/>
          <w:szCs w:val="22"/>
        </w:rPr>
        <w:t xml:space="preserve">issued a statutory demand in the BVI pursuant to the debt, and then made an application before the BVI court to wind up SPL after the demand was not satisfied or challenged. We are told the liquidator was appointed by an order of the BVI court, which is why this scenario seems the most likely. It is surprising, therefore, that the liquidator is concerned that Mr Xu did not have standing to apply for the winding up order. He will have been a valid creditor of SPL because of the loan, and would have had grounds under BVI law to apply for the order. In any event, the liquidator is bound to investigate matters thoroughly and obtain appropriate legal advice if he/she suspects that the appropriate rules haven’t been complied with. </w:t>
      </w:r>
    </w:p>
    <w:p w14:paraId="3C057CBB" w14:textId="4075D6DE" w:rsidR="008A6C45" w:rsidRPr="00B16013" w:rsidRDefault="007333DF" w:rsidP="00B16013">
      <w:pPr>
        <w:pStyle w:val="ListParagraph"/>
        <w:numPr>
          <w:ilvl w:val="0"/>
          <w:numId w:val="32"/>
        </w:numPr>
        <w:jc w:val="both"/>
        <w:rPr>
          <w:rFonts w:ascii="Arial" w:hAnsi="Arial" w:cs="Arial"/>
          <w:sz w:val="22"/>
          <w:szCs w:val="22"/>
        </w:rPr>
      </w:pPr>
      <w:r>
        <w:rPr>
          <w:rFonts w:ascii="Arial" w:hAnsi="Arial" w:cs="Arial"/>
          <w:color w:val="7B7B7B" w:themeColor="accent3" w:themeShade="BF"/>
          <w:sz w:val="22"/>
          <w:szCs w:val="22"/>
        </w:rPr>
        <w:t xml:space="preserve">The liquidator should consider whether to </w:t>
      </w:r>
      <w:r w:rsidR="00851449">
        <w:rPr>
          <w:rFonts w:ascii="Arial" w:hAnsi="Arial" w:cs="Arial"/>
          <w:color w:val="7B7B7B" w:themeColor="accent3" w:themeShade="BF"/>
          <w:sz w:val="22"/>
          <w:szCs w:val="22"/>
        </w:rPr>
        <w:t>issue</w:t>
      </w:r>
      <w:r w:rsidR="0034266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 </w:t>
      </w:r>
      <w:r w:rsidR="0034266A">
        <w:rPr>
          <w:rFonts w:ascii="Arial" w:hAnsi="Arial" w:cs="Arial"/>
          <w:color w:val="7B7B7B" w:themeColor="accent3" w:themeShade="BF"/>
          <w:sz w:val="22"/>
          <w:szCs w:val="22"/>
        </w:rPr>
        <w:t xml:space="preserve">fraud </w:t>
      </w:r>
      <w:r>
        <w:rPr>
          <w:rFonts w:ascii="Arial" w:hAnsi="Arial" w:cs="Arial"/>
          <w:color w:val="7B7B7B" w:themeColor="accent3" w:themeShade="BF"/>
          <w:sz w:val="22"/>
          <w:szCs w:val="22"/>
        </w:rPr>
        <w:t>claim in Hong Kong,</w:t>
      </w:r>
      <w:r w:rsidR="008A6C45">
        <w:rPr>
          <w:rFonts w:ascii="Arial" w:hAnsi="Arial" w:cs="Arial"/>
          <w:color w:val="7B7B7B" w:themeColor="accent3" w:themeShade="BF"/>
          <w:sz w:val="22"/>
          <w:szCs w:val="22"/>
        </w:rPr>
        <w:t xml:space="preserve"> against the "i</w:t>
      </w:r>
      <w:r>
        <w:rPr>
          <w:rFonts w:ascii="Arial" w:hAnsi="Arial" w:cs="Arial"/>
          <w:color w:val="7B7B7B" w:themeColor="accent3" w:themeShade="BF"/>
          <w:sz w:val="22"/>
          <w:szCs w:val="22"/>
        </w:rPr>
        <w:t>ndep</w:t>
      </w:r>
      <w:r w:rsidR="008A6C45">
        <w:rPr>
          <w:rFonts w:ascii="Arial" w:hAnsi="Arial" w:cs="Arial"/>
          <w:color w:val="7B7B7B" w:themeColor="accent3" w:themeShade="BF"/>
          <w:sz w:val="22"/>
          <w:szCs w:val="22"/>
        </w:rPr>
        <w:t>endent director</w:t>
      </w:r>
      <w:r w:rsidR="00D24AC7">
        <w:rPr>
          <w:rFonts w:ascii="Arial" w:hAnsi="Arial" w:cs="Arial"/>
          <w:color w:val="7B7B7B" w:themeColor="accent3" w:themeShade="BF"/>
          <w:sz w:val="22"/>
          <w:szCs w:val="22"/>
        </w:rPr>
        <w:t>"</w:t>
      </w:r>
      <w:r w:rsidR="008A6C45">
        <w:rPr>
          <w:rFonts w:ascii="Arial" w:hAnsi="Arial" w:cs="Arial"/>
          <w:color w:val="7B7B7B" w:themeColor="accent3" w:themeShade="BF"/>
          <w:sz w:val="22"/>
          <w:szCs w:val="22"/>
        </w:rPr>
        <w:t xml:space="preserve"> and book-keeper</w:t>
      </w:r>
      <w:r w:rsidR="00D24AC7">
        <w:rPr>
          <w:rFonts w:ascii="Arial" w:hAnsi="Arial" w:cs="Arial"/>
          <w:color w:val="7B7B7B" w:themeColor="accent3" w:themeShade="BF"/>
          <w:sz w:val="22"/>
          <w:szCs w:val="22"/>
        </w:rPr>
        <w:t xml:space="preserve"> of SPL, who </w:t>
      </w:r>
      <w:r>
        <w:rPr>
          <w:rFonts w:ascii="Arial" w:hAnsi="Arial" w:cs="Arial"/>
          <w:color w:val="7B7B7B" w:themeColor="accent3" w:themeShade="BF"/>
          <w:sz w:val="22"/>
          <w:szCs w:val="22"/>
        </w:rPr>
        <w:t>w</w:t>
      </w:r>
      <w:r w:rsidR="0034266A">
        <w:rPr>
          <w:rFonts w:ascii="Arial" w:hAnsi="Arial" w:cs="Arial"/>
          <w:color w:val="7B7B7B" w:themeColor="accent3" w:themeShade="BF"/>
          <w:sz w:val="22"/>
          <w:szCs w:val="22"/>
        </w:rPr>
        <w:t xml:space="preserve">e are told are Hong Kong based, or, if a fraud claim was already commenced to declare the FA void and to obtain an order for return of the loan, to include these </w:t>
      </w:r>
      <w:r w:rsidR="008A6C45">
        <w:rPr>
          <w:rFonts w:ascii="Arial" w:hAnsi="Arial" w:cs="Arial"/>
          <w:color w:val="7B7B7B" w:themeColor="accent3" w:themeShade="BF"/>
          <w:sz w:val="22"/>
          <w:szCs w:val="22"/>
        </w:rPr>
        <w:t>individuals in that claim,</w:t>
      </w:r>
      <w:r w:rsidR="0034266A">
        <w:rPr>
          <w:rFonts w:ascii="Arial" w:hAnsi="Arial" w:cs="Arial"/>
          <w:color w:val="7B7B7B" w:themeColor="accent3" w:themeShade="BF"/>
          <w:sz w:val="22"/>
          <w:szCs w:val="22"/>
        </w:rPr>
        <w:t xml:space="preserve"> on the basis that </w:t>
      </w:r>
      <w:r w:rsidR="008A6C45">
        <w:rPr>
          <w:rFonts w:ascii="Arial" w:hAnsi="Arial" w:cs="Arial"/>
          <w:color w:val="7B7B7B" w:themeColor="accent3" w:themeShade="BF"/>
          <w:sz w:val="22"/>
          <w:szCs w:val="22"/>
        </w:rPr>
        <w:t>they</w:t>
      </w:r>
      <w:r w:rsidR="0034266A">
        <w:rPr>
          <w:rFonts w:ascii="Arial" w:hAnsi="Arial" w:cs="Arial"/>
          <w:color w:val="7B7B7B" w:themeColor="accent3" w:themeShade="BF"/>
          <w:sz w:val="22"/>
          <w:szCs w:val="22"/>
        </w:rPr>
        <w:t xml:space="preserve"> either knowingly participated in the fraudulent business of the company or were negligent </w:t>
      </w:r>
      <w:r w:rsidR="008A6C45">
        <w:rPr>
          <w:rFonts w:ascii="Arial" w:hAnsi="Arial" w:cs="Arial"/>
          <w:color w:val="7B7B7B" w:themeColor="accent3" w:themeShade="BF"/>
          <w:sz w:val="22"/>
          <w:szCs w:val="22"/>
        </w:rPr>
        <w:t xml:space="preserve">and facilitated a fraud against </w:t>
      </w:r>
      <w:r w:rsidR="0034266A">
        <w:rPr>
          <w:rFonts w:ascii="Arial" w:hAnsi="Arial" w:cs="Arial"/>
          <w:color w:val="7B7B7B" w:themeColor="accent3" w:themeShade="BF"/>
          <w:sz w:val="22"/>
          <w:szCs w:val="22"/>
        </w:rPr>
        <w:t xml:space="preserve">Mr Xu. </w:t>
      </w:r>
      <w:r w:rsidR="00D24AC7">
        <w:rPr>
          <w:rFonts w:ascii="Arial" w:hAnsi="Arial" w:cs="Arial"/>
          <w:color w:val="7B7B7B" w:themeColor="accent3" w:themeShade="BF"/>
          <w:sz w:val="22"/>
          <w:szCs w:val="22"/>
        </w:rPr>
        <w:t xml:space="preserve">These </w:t>
      </w:r>
      <w:r w:rsidR="00B16013">
        <w:rPr>
          <w:rFonts w:ascii="Arial" w:hAnsi="Arial" w:cs="Arial"/>
          <w:color w:val="7B7B7B" w:themeColor="accent3" w:themeShade="BF"/>
          <w:sz w:val="22"/>
          <w:szCs w:val="22"/>
        </w:rPr>
        <w:t xml:space="preserve">persons </w:t>
      </w:r>
      <w:r w:rsidR="00D24AC7">
        <w:rPr>
          <w:rFonts w:ascii="Arial" w:hAnsi="Arial" w:cs="Arial"/>
          <w:color w:val="7B7B7B" w:themeColor="accent3" w:themeShade="BF"/>
          <w:sz w:val="22"/>
          <w:szCs w:val="22"/>
        </w:rPr>
        <w:t xml:space="preserve"> should be pursued for personal liability for the company's debt to Mr Xu</w:t>
      </w:r>
      <w:r w:rsidR="00D24AC7">
        <w:rPr>
          <w:rStyle w:val="FootnoteReference"/>
          <w:rFonts w:ascii="Arial" w:hAnsi="Arial" w:cs="Arial"/>
          <w:color w:val="7B7B7B" w:themeColor="accent3" w:themeShade="BF"/>
          <w:sz w:val="22"/>
          <w:szCs w:val="22"/>
        </w:rPr>
        <w:footnoteReference w:id="21"/>
      </w:r>
      <w:r w:rsidR="00D24AC7">
        <w:rPr>
          <w:rFonts w:ascii="Arial" w:hAnsi="Arial" w:cs="Arial"/>
          <w:color w:val="7B7B7B" w:themeColor="accent3" w:themeShade="BF"/>
          <w:sz w:val="22"/>
          <w:szCs w:val="22"/>
        </w:rPr>
        <w:t xml:space="preserve">. </w:t>
      </w:r>
      <w:r w:rsidR="008A6C45">
        <w:rPr>
          <w:rFonts w:ascii="Arial" w:hAnsi="Arial" w:cs="Arial"/>
          <w:color w:val="7B7B7B" w:themeColor="accent3" w:themeShade="BF"/>
          <w:sz w:val="22"/>
          <w:szCs w:val="22"/>
        </w:rPr>
        <w:t xml:space="preserve">It is also possible for these persons to be fined or imprisoned for up to five years, if found liable for fraudulent trading. </w:t>
      </w:r>
    </w:p>
    <w:p w14:paraId="03C0EB4A" w14:textId="7F0ED7FD" w:rsidR="00B16013" w:rsidRPr="00863841" w:rsidRDefault="00B16013" w:rsidP="00B16013">
      <w:pPr>
        <w:pStyle w:val="ListParagraph"/>
        <w:numPr>
          <w:ilvl w:val="0"/>
          <w:numId w:val="32"/>
        </w:numPr>
        <w:jc w:val="both"/>
        <w:rPr>
          <w:rFonts w:ascii="Arial" w:hAnsi="Arial" w:cs="Arial"/>
          <w:sz w:val="22"/>
          <w:szCs w:val="22"/>
        </w:rPr>
      </w:pPr>
      <w:r>
        <w:rPr>
          <w:rFonts w:ascii="Arial" w:hAnsi="Arial" w:cs="Arial"/>
          <w:color w:val="7B7B7B" w:themeColor="accent3" w:themeShade="BF"/>
          <w:sz w:val="22"/>
          <w:szCs w:val="22"/>
        </w:rPr>
        <w:t>I assume that the liquidator is either a sole BVI liquidator, as we are not told that he/she is a joint liquidator. As a foreign representative, if he wishes to deal with the Hong Kong based asset of SPL (i.e. the bank account), the liquidator will need to apply for a specific recognition order</w:t>
      </w:r>
      <w:r>
        <w:rPr>
          <w:rStyle w:val="FootnoteReference"/>
          <w:rFonts w:ascii="Arial" w:hAnsi="Arial" w:cs="Arial"/>
          <w:color w:val="7B7B7B" w:themeColor="accent3" w:themeShade="BF"/>
          <w:sz w:val="22"/>
          <w:szCs w:val="22"/>
        </w:rPr>
        <w:footnoteReference w:id="22"/>
      </w:r>
      <w:r w:rsidR="00115E47">
        <w:rPr>
          <w:rFonts w:ascii="Arial" w:hAnsi="Arial" w:cs="Arial"/>
          <w:color w:val="7B7B7B" w:themeColor="accent3" w:themeShade="BF"/>
          <w:sz w:val="22"/>
          <w:szCs w:val="22"/>
        </w:rPr>
        <w:t xml:space="preserve">. </w:t>
      </w:r>
      <w:r w:rsidR="008A026F">
        <w:rPr>
          <w:rFonts w:ascii="Arial" w:hAnsi="Arial" w:cs="Arial"/>
          <w:color w:val="7B7B7B" w:themeColor="accent3" w:themeShade="BF"/>
          <w:sz w:val="22"/>
          <w:szCs w:val="22"/>
        </w:rPr>
        <w:t xml:space="preserve">It may make sense to appoint a joint liquidator who is a Hong Kong qualified liquidator, to assist with recovering assets in HK and the Mainland and proceedings thereto. </w:t>
      </w:r>
    </w:p>
    <w:p w14:paraId="56F0BE95" w14:textId="37E0A00F" w:rsidR="00863841" w:rsidRPr="00EA7CFA" w:rsidRDefault="00863841" w:rsidP="00EA7CFA">
      <w:pPr>
        <w:pStyle w:val="ListParagraph"/>
        <w:numPr>
          <w:ilvl w:val="0"/>
          <w:numId w:val="32"/>
        </w:numPr>
        <w:jc w:val="both"/>
        <w:rPr>
          <w:rFonts w:ascii="Arial" w:hAnsi="Arial" w:cs="Arial"/>
          <w:sz w:val="22"/>
          <w:szCs w:val="22"/>
        </w:rPr>
      </w:pPr>
      <w:r>
        <w:rPr>
          <w:rFonts w:ascii="Arial" w:hAnsi="Arial" w:cs="Arial"/>
          <w:color w:val="7B7B7B" w:themeColor="accent3" w:themeShade="BF"/>
          <w:sz w:val="22"/>
          <w:szCs w:val="22"/>
        </w:rPr>
        <w:t xml:space="preserve">If Mr Qi is a Hong Kong resident, he can still be included in any fraud or other claims in Hong Kong, as his residency provides a sufficient tie for proceedings to commence against him in that jurisdiction. </w:t>
      </w:r>
    </w:p>
    <w:p w14:paraId="3F6934A5" w14:textId="71FD5C12" w:rsidR="00EA7CFA" w:rsidRPr="00EA7CFA" w:rsidRDefault="00EA7CFA" w:rsidP="00EA7CFA">
      <w:pPr>
        <w:pStyle w:val="ListParagraph"/>
        <w:numPr>
          <w:ilvl w:val="0"/>
          <w:numId w:val="32"/>
        </w:numPr>
        <w:jc w:val="both"/>
        <w:rPr>
          <w:rFonts w:ascii="Arial" w:hAnsi="Arial" w:cs="Arial"/>
          <w:sz w:val="22"/>
          <w:szCs w:val="22"/>
        </w:rPr>
      </w:pPr>
      <w:r>
        <w:rPr>
          <w:rFonts w:ascii="Arial" w:hAnsi="Arial" w:cs="Arial"/>
          <w:color w:val="7B7B7B" w:themeColor="accent3" w:themeShade="BF"/>
          <w:sz w:val="22"/>
          <w:szCs w:val="22"/>
        </w:rPr>
        <w:t xml:space="preserve">If SPL's assets in the Mainland are in a pilot area, then the liquidator may consider whether he/she can apply for recognition and assistance </w:t>
      </w:r>
      <w:r w:rsidR="00DB69D1">
        <w:rPr>
          <w:rFonts w:ascii="Arial" w:hAnsi="Arial" w:cs="Arial"/>
          <w:color w:val="7B7B7B" w:themeColor="accent3" w:themeShade="BF"/>
          <w:sz w:val="22"/>
          <w:szCs w:val="22"/>
        </w:rPr>
        <w:t>pursuant to the recent co-operative mechanism. If the assets are not in a pilot area, or it is not possible to determine where the assets are located, such that a search of some kind is necessary in the Mainland, then it is imperative that the liquidator obtain advi</w:t>
      </w:r>
      <w:r w:rsidR="00731F20">
        <w:rPr>
          <w:rFonts w:ascii="Arial" w:hAnsi="Arial" w:cs="Arial"/>
          <w:color w:val="7B7B7B" w:themeColor="accent3" w:themeShade="BF"/>
          <w:sz w:val="22"/>
          <w:szCs w:val="22"/>
        </w:rPr>
        <w:t>c</w:t>
      </w:r>
      <w:r w:rsidR="00DB69D1">
        <w:rPr>
          <w:rFonts w:ascii="Arial" w:hAnsi="Arial" w:cs="Arial"/>
          <w:color w:val="7B7B7B" w:themeColor="accent3" w:themeShade="BF"/>
          <w:sz w:val="22"/>
          <w:szCs w:val="22"/>
        </w:rPr>
        <w:t xml:space="preserve">e from </w:t>
      </w:r>
      <w:r w:rsidR="00DB69D1">
        <w:rPr>
          <w:rFonts w:ascii="Arial" w:hAnsi="Arial" w:cs="Arial"/>
          <w:color w:val="7B7B7B" w:themeColor="accent3" w:themeShade="BF"/>
          <w:sz w:val="22"/>
          <w:szCs w:val="22"/>
        </w:rPr>
        <w:lastRenderedPageBreak/>
        <w:t xml:space="preserve">PRC counsel as soon as possible as to how </w:t>
      </w:r>
      <w:r w:rsidR="008A026F">
        <w:rPr>
          <w:rFonts w:ascii="Arial" w:hAnsi="Arial" w:cs="Arial"/>
          <w:color w:val="7B7B7B" w:themeColor="accent3" w:themeShade="BF"/>
          <w:sz w:val="22"/>
          <w:szCs w:val="22"/>
        </w:rPr>
        <w:t xml:space="preserve">the assets may be traced and recovered. </w:t>
      </w: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430D" w14:textId="77777777" w:rsidR="00FB44D4" w:rsidRDefault="00FB44D4" w:rsidP="00241B44">
      <w:r>
        <w:separator/>
      </w:r>
    </w:p>
  </w:endnote>
  <w:endnote w:type="continuationSeparator" w:id="0">
    <w:p w14:paraId="6625C609" w14:textId="77777777" w:rsidR="00FB44D4" w:rsidRDefault="00FB4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55B939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824FD">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30F05E79" w14:textId="45B3B74A" w:rsidR="00241FA3" w:rsidRDefault="003824FD" w:rsidP="009B4976">
    <w:pPr>
      <w:pStyle w:val="Footer"/>
      <w:ind w:right="360"/>
      <w:rPr>
        <w:rFonts w:ascii="Arial" w:hAnsi="Arial" w:cs="Arial"/>
        <w:sz w:val="18"/>
        <w:szCs w:val="18"/>
        <w:lang w:val="en-GB"/>
      </w:rPr>
    </w:pPr>
    <w:r>
      <w:rPr>
        <w:rFonts w:ascii="Arial" w:hAnsi="Arial" w:cs="Arial"/>
        <w:sz w:val="18"/>
        <w:szCs w:val="18"/>
        <w:lang w:val="en-GB"/>
      </w:rPr>
      <w:t>202122-348</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BB16E8" w:rsidRPr="003D7879" w:rsidRDefault="00BB16E8"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41D9" w14:textId="77777777" w:rsidR="00FB44D4" w:rsidRDefault="00FB44D4" w:rsidP="00241B44">
      <w:r>
        <w:separator/>
      </w:r>
    </w:p>
  </w:footnote>
  <w:footnote w:type="continuationSeparator" w:id="0">
    <w:p w14:paraId="7C52732E" w14:textId="77777777" w:rsidR="00FB44D4" w:rsidRDefault="00FB44D4" w:rsidP="00241B44">
      <w:r>
        <w:continuationSeparator/>
      </w:r>
    </w:p>
  </w:footnote>
  <w:footnote w:id="1">
    <w:p w14:paraId="3C14579A" w14:textId="1252A80D" w:rsidR="008C3F02" w:rsidRDefault="008C3F02">
      <w:pPr>
        <w:pStyle w:val="FootnoteText"/>
      </w:pPr>
      <w:r>
        <w:rPr>
          <w:rStyle w:val="FootnoteReference"/>
        </w:rPr>
        <w:footnoteRef/>
      </w:r>
      <w:r>
        <w:t xml:space="preserve"> INSOL Guidance Text</w:t>
      </w:r>
      <w:r w:rsidR="0052306E">
        <w:t xml:space="preserve"> Module 8C Hong Kong, chapter 7; Kam Leung Sui Kwan v Kam Kwan Lai and Others (2015) 18 HKCFAR 501. </w:t>
      </w:r>
    </w:p>
  </w:footnote>
  <w:footnote w:id="2">
    <w:p w14:paraId="64E52A1E" w14:textId="47B29FD0" w:rsidR="00D45046" w:rsidRDefault="00D45046">
      <w:pPr>
        <w:pStyle w:val="FootnoteText"/>
      </w:pPr>
      <w:r>
        <w:rPr>
          <w:rStyle w:val="FootnoteReference"/>
        </w:rPr>
        <w:footnoteRef/>
      </w:r>
      <w:r>
        <w:t xml:space="preserve"> </w:t>
      </w:r>
      <w:hyperlink r:id="rId1" w:history="1">
        <w:r w:rsidRPr="00190731">
          <w:rPr>
            <w:rStyle w:val="Hyperlink"/>
          </w:rPr>
          <w:t>https://www.hk-lawyer.org/content/provisional-liquidators%E2%80%99-role-and-powers-clarified</w:t>
        </w:r>
      </w:hyperlink>
      <w:r>
        <w:t xml:space="preserve"> </w:t>
      </w:r>
    </w:p>
  </w:footnote>
  <w:footnote w:id="3">
    <w:p w14:paraId="70796460" w14:textId="37B78E9A" w:rsidR="00A52844" w:rsidRDefault="00A52844">
      <w:pPr>
        <w:pStyle w:val="FootnoteText"/>
      </w:pPr>
      <w:r>
        <w:rPr>
          <w:rStyle w:val="FootnoteReference"/>
        </w:rPr>
        <w:footnoteRef/>
      </w:r>
      <w:r>
        <w:t xml:space="preserve"> Re MC Bacon [1990] BCLC 324; and in Hong Kong Osman Mohammed</w:t>
      </w:r>
      <w:r w:rsidR="00B0019C">
        <w:t xml:space="preserve"> Arab v Cashbox Credit Services </w:t>
      </w:r>
      <w:r>
        <w:t xml:space="preserve">Ltd [2017] HKEC 2435. </w:t>
      </w:r>
    </w:p>
  </w:footnote>
  <w:footnote w:id="4">
    <w:p w14:paraId="166AA855" w14:textId="256BCCC5" w:rsidR="00B0019C" w:rsidRDefault="00B0019C">
      <w:pPr>
        <w:pStyle w:val="FootnoteText"/>
      </w:pPr>
      <w:r>
        <w:rPr>
          <w:rStyle w:val="FootnoteReference"/>
        </w:rPr>
        <w:footnoteRef/>
      </w:r>
      <w:r>
        <w:t xml:space="preserve"> INSOL Guidance Text Module 8C Hong Kong, chapter 6</w:t>
      </w:r>
    </w:p>
  </w:footnote>
  <w:footnote w:id="5">
    <w:p w14:paraId="6ACEB199" w14:textId="7544F139" w:rsidR="00367E60" w:rsidRDefault="00367E60">
      <w:pPr>
        <w:pStyle w:val="FootnoteText"/>
      </w:pPr>
      <w:r>
        <w:rPr>
          <w:rStyle w:val="FootnoteReference"/>
        </w:rPr>
        <w:footnoteRef/>
      </w:r>
      <w:r>
        <w:t xml:space="preserve"> </w:t>
      </w:r>
      <w:r w:rsidR="00237BC9">
        <w:t>INSOL Guidance Text Module 8C Hong Kong, chapter 3</w:t>
      </w:r>
    </w:p>
  </w:footnote>
  <w:footnote w:id="6">
    <w:p w14:paraId="16E38697" w14:textId="3569BCB2" w:rsidR="008F4EE2" w:rsidRDefault="008F4EE2">
      <w:pPr>
        <w:pStyle w:val="FootnoteText"/>
      </w:pPr>
      <w:r>
        <w:rPr>
          <w:rStyle w:val="FootnoteReference"/>
        </w:rPr>
        <w:footnoteRef/>
      </w:r>
      <w:r>
        <w:t xml:space="preserve"> INSOL Guidance Text Module 8C Hong Kong, chapter 3</w:t>
      </w:r>
    </w:p>
  </w:footnote>
  <w:footnote w:id="7">
    <w:p w14:paraId="66E06CDD" w14:textId="7F68739C" w:rsidR="0036785A" w:rsidRDefault="0036785A" w:rsidP="0036785A">
      <w:pPr>
        <w:pStyle w:val="FootnoteText"/>
      </w:pPr>
      <w:r>
        <w:rPr>
          <w:rStyle w:val="FootnoteReference"/>
        </w:rPr>
        <w:footnoteRef/>
      </w:r>
      <w:r>
        <w:t xml:space="preserve"> INSOL Guidance Text Module 8C Hong Kong, chapter 7</w:t>
      </w:r>
    </w:p>
    <w:p w14:paraId="170BDACE" w14:textId="73B01681" w:rsidR="0036785A" w:rsidRDefault="0036785A">
      <w:pPr>
        <w:pStyle w:val="FootnoteText"/>
      </w:pPr>
    </w:p>
  </w:footnote>
  <w:footnote w:id="8">
    <w:p w14:paraId="3E79E562" w14:textId="52587BFC" w:rsidR="001D03E3" w:rsidRDefault="001D03E3">
      <w:pPr>
        <w:pStyle w:val="FootnoteText"/>
      </w:pPr>
      <w:r>
        <w:rPr>
          <w:rStyle w:val="FootnoteReference"/>
        </w:rPr>
        <w:footnoteRef/>
      </w:r>
      <w:r>
        <w:t xml:space="preserve"> </w:t>
      </w:r>
      <w:hyperlink r:id="rId2" w:history="1">
        <w:r w:rsidRPr="00190731">
          <w:rPr>
            <w:rStyle w:val="Hyperlink"/>
          </w:rPr>
          <w:t>https://www.briscoewong.com/wp-content/uploads/2020/06/Guide-Schemes-Arrangement-Hong-Kong2.pdf</w:t>
        </w:r>
      </w:hyperlink>
      <w:r>
        <w:t xml:space="preserve"> </w:t>
      </w:r>
    </w:p>
  </w:footnote>
  <w:footnote w:id="9">
    <w:p w14:paraId="24F27E0E" w14:textId="195154AF" w:rsidR="001D03E3" w:rsidRDefault="001D03E3">
      <w:pPr>
        <w:pStyle w:val="FootnoteText"/>
      </w:pPr>
      <w:r>
        <w:rPr>
          <w:rStyle w:val="FootnoteReference"/>
        </w:rPr>
        <w:footnoteRef/>
      </w:r>
      <w:r>
        <w:t xml:space="preserve"> </w:t>
      </w:r>
      <w:hyperlink r:id="rId3" w:history="1">
        <w:r w:rsidRPr="00190731">
          <w:rPr>
            <w:rStyle w:val="Hyperlink"/>
          </w:rPr>
          <w:t>https://www.briscoewong.com/wp-content/uploads/2020/06/Guide-Schemes-Arrangement-Hong-Kong2.pdf</w:t>
        </w:r>
      </w:hyperlink>
      <w:r>
        <w:t xml:space="preserve"> </w:t>
      </w:r>
    </w:p>
  </w:footnote>
  <w:footnote w:id="10">
    <w:p w14:paraId="2519F782" w14:textId="687B2350" w:rsidR="000B25B7" w:rsidRDefault="000B25B7">
      <w:pPr>
        <w:pStyle w:val="FootnoteText"/>
      </w:pPr>
      <w:r>
        <w:rPr>
          <w:rStyle w:val="FootnoteReference"/>
        </w:rPr>
        <w:footnoteRef/>
      </w:r>
      <w:r>
        <w:t xml:space="preserve"> </w:t>
      </w:r>
      <w:hyperlink r:id="rId4" w:anchor=":~:text=Hong%20Kong%20law.,going%20through%20a%20winding%2Dup.&amp;text=A%20workout%20comprises%20contractual%20arrangements%20between%20a%20debtor%20company%20and%20its%20creditors" w:history="1">
        <w:r w:rsidRPr="00371A82">
          <w:rPr>
            <w:rStyle w:val="Hyperlink"/>
          </w:rPr>
          <w:t>https://www.lw.com/thoughtLeadership/restructuring-and-insolvency-in-hong-kong#:~:text=Hong%20Kong%20law.,going%20through%20a%20winding%2Dup.&amp;text=A%20workout%20comprises%20contractual%20arrangements%20between%20a%20debtor%20company%20and%20its%20creditors</w:t>
        </w:r>
      </w:hyperlink>
      <w:r>
        <w:t xml:space="preserve"> </w:t>
      </w:r>
    </w:p>
  </w:footnote>
  <w:footnote w:id="11">
    <w:p w14:paraId="3CF0AD87" w14:textId="0F40B164" w:rsidR="000B25B7" w:rsidRDefault="000B25B7">
      <w:pPr>
        <w:pStyle w:val="FootnoteText"/>
      </w:pPr>
      <w:r>
        <w:rPr>
          <w:rStyle w:val="FootnoteReference"/>
        </w:rPr>
        <w:footnoteRef/>
      </w:r>
      <w:r>
        <w:t xml:space="preserve"> [ibid]</w:t>
      </w:r>
    </w:p>
  </w:footnote>
  <w:footnote w:id="12">
    <w:p w14:paraId="7DC50C94" w14:textId="29716D3A" w:rsidR="002D4463" w:rsidRDefault="002D4463">
      <w:pPr>
        <w:pStyle w:val="FootnoteText"/>
      </w:pPr>
      <w:r>
        <w:rPr>
          <w:rStyle w:val="FootnoteReference"/>
        </w:rPr>
        <w:footnoteRef/>
      </w:r>
      <w:r>
        <w:t xml:space="preserve"> </w:t>
      </w:r>
      <w:hyperlink r:id="rId5" w:history="1">
        <w:r w:rsidRPr="00371A82">
          <w:rPr>
            <w:rStyle w:val="Hyperlink"/>
          </w:rPr>
          <w:t>https://www2.deloitte.com/ie/en/pages/finance/solutions/schemes-of-arrangement.html</w:t>
        </w:r>
      </w:hyperlink>
      <w:r>
        <w:t xml:space="preserve"> </w:t>
      </w:r>
    </w:p>
  </w:footnote>
  <w:footnote w:id="13">
    <w:p w14:paraId="257BD6F3" w14:textId="73AD32D7" w:rsidR="00494C5F" w:rsidRDefault="00494C5F">
      <w:pPr>
        <w:pStyle w:val="FootnoteText"/>
      </w:pPr>
      <w:r>
        <w:rPr>
          <w:rStyle w:val="FootnoteReference"/>
        </w:rPr>
        <w:footnoteRef/>
      </w:r>
      <w:r>
        <w:t xml:space="preserve"> </w:t>
      </w:r>
      <w:hyperlink r:id="rId6" w:anchor=":~:text=Hong%20Kong%20law.,going%20through%20a%20winding%2Dup.&amp;text=A%20workout%20comprises%20contractual%20arrangements%20between%20a%20debtor%20company%20and%20its%20creditors" w:history="1">
        <w:r w:rsidRPr="00371A82">
          <w:rPr>
            <w:rStyle w:val="Hyperlink"/>
          </w:rPr>
          <w:t>https://www.lw.com/thoughtLeadership/restructuring-and-insolvency-in-hong-kong#:~:text=Hong%20Kong%20law.,going%20through%20a%20winding%2Dup.&amp;text=A%20workout%20comprises%20contractual%20arrangements%20between%20a%20debtor%20company%20and%20its%20creditors</w:t>
        </w:r>
      </w:hyperlink>
    </w:p>
    <w:p w14:paraId="10D337FB" w14:textId="77777777" w:rsidR="00494C5F" w:rsidRDefault="00494C5F">
      <w:pPr>
        <w:pStyle w:val="FootnoteText"/>
      </w:pPr>
    </w:p>
  </w:footnote>
  <w:footnote w:id="14">
    <w:p w14:paraId="114EDAE0" w14:textId="6FB622AD" w:rsidR="00A04E9A" w:rsidRDefault="00A04E9A">
      <w:pPr>
        <w:pStyle w:val="FootnoteText"/>
      </w:pPr>
      <w:r>
        <w:rPr>
          <w:rStyle w:val="FootnoteReference"/>
        </w:rPr>
        <w:footnoteRef/>
      </w:r>
      <w:r>
        <w:t xml:space="preserve"> </w:t>
      </w:r>
      <w:r w:rsidR="008E3469">
        <w:t>CWUMPO s 233 (1)</w:t>
      </w:r>
    </w:p>
  </w:footnote>
  <w:footnote w:id="15">
    <w:p w14:paraId="238A58BE" w14:textId="1425CFCB" w:rsidR="00E97178" w:rsidRDefault="00E97178">
      <w:pPr>
        <w:pStyle w:val="FootnoteText"/>
      </w:pPr>
      <w:r>
        <w:rPr>
          <w:rStyle w:val="FootnoteReference"/>
        </w:rPr>
        <w:footnoteRef/>
      </w:r>
      <w:r>
        <w:t xml:space="preserve"> Idem s 233 (4)</w:t>
      </w:r>
    </w:p>
  </w:footnote>
  <w:footnote w:id="16">
    <w:p w14:paraId="69660D02" w14:textId="432B7AAA" w:rsidR="00B1367F" w:rsidRDefault="00B1367F">
      <w:pPr>
        <w:pStyle w:val="FootnoteText"/>
      </w:pPr>
      <w:r>
        <w:rPr>
          <w:rStyle w:val="FootnoteReference"/>
        </w:rPr>
        <w:footnoteRef/>
      </w:r>
      <w:r>
        <w:t xml:space="preserve"> </w:t>
      </w:r>
      <w:hyperlink r:id="rId7" w:anchor=":~:text=There%20is%20currently%20no%20provision,pay%20all%20creditors%20in%20full" w:history="1">
        <w:r w:rsidRPr="00AC7C96">
          <w:rPr>
            <w:rStyle w:val="Hyperlink"/>
          </w:rPr>
          <w:t>https://www.lw.com/thoughtLeadership/restructuring-and-insolvency-in-hong-kong#:~:text=There%20is%20currently%20no%20provision,pay%20all%20creditors%20in%20full</w:t>
        </w:r>
      </w:hyperlink>
      <w:r w:rsidRPr="00B1367F">
        <w:t>.</w:t>
      </w:r>
      <w:r>
        <w:t xml:space="preserve"> </w:t>
      </w:r>
    </w:p>
  </w:footnote>
  <w:footnote w:id="17">
    <w:p w14:paraId="65C64D4E" w14:textId="5D1A0909" w:rsidR="001A7EFF" w:rsidRDefault="001A7EFF">
      <w:pPr>
        <w:pStyle w:val="FootnoteText"/>
      </w:pPr>
      <w:r>
        <w:rPr>
          <w:rStyle w:val="FootnoteReference"/>
        </w:rPr>
        <w:footnoteRef/>
      </w:r>
      <w:r>
        <w:t xml:space="preserve"> </w:t>
      </w:r>
      <w:hyperlink r:id="rId8" w:anchor=":~:text=As%20a%20company%20enters%20the,best%20interests%20of%20the%20company" w:history="1">
        <w:r w:rsidRPr="00AC7C96">
          <w:rPr>
            <w:rStyle w:val="Hyperlink"/>
          </w:rPr>
          <w:t>https://www.mondaq.com/hongkong/shareholders/994844/personal-liability-of-directors-director-duties-when-trading-in-the-insolvency-zone#:~:text=As%20a%20company%20enters%20the,best%20interests%20of%20the%20company</w:t>
        </w:r>
      </w:hyperlink>
      <w:r w:rsidRPr="001A7EFF">
        <w:t>.</w:t>
      </w:r>
      <w:r>
        <w:t xml:space="preserve"> </w:t>
      </w:r>
    </w:p>
  </w:footnote>
  <w:footnote w:id="18">
    <w:p w14:paraId="3AF6396F" w14:textId="1BEA16CE" w:rsidR="0009382C" w:rsidRDefault="00B83105" w:rsidP="0009382C">
      <w:pPr>
        <w:pStyle w:val="FootnoteText"/>
      </w:pPr>
      <w:r>
        <w:rPr>
          <w:rStyle w:val="FootnoteReference"/>
        </w:rPr>
        <w:footnoteRef/>
      </w:r>
      <w:r>
        <w:t xml:space="preserve"> </w:t>
      </w:r>
      <w:r w:rsidR="0009382C">
        <w:t>INSOL Guidance Text Module 8C Hong Kong, chapter 5.6</w:t>
      </w:r>
    </w:p>
    <w:p w14:paraId="67C8F3D6" w14:textId="502D0E9F" w:rsidR="00B83105" w:rsidRDefault="00B83105">
      <w:pPr>
        <w:pStyle w:val="FootnoteText"/>
      </w:pPr>
    </w:p>
  </w:footnote>
  <w:footnote w:id="19">
    <w:p w14:paraId="09615979" w14:textId="6D296345" w:rsidR="00266B42" w:rsidRDefault="0042341D" w:rsidP="00266B42">
      <w:pPr>
        <w:pStyle w:val="FootnoteText"/>
      </w:pPr>
      <w:r>
        <w:rPr>
          <w:rStyle w:val="FootnoteReference"/>
        </w:rPr>
        <w:footnoteRef/>
      </w:r>
      <w:r>
        <w:t xml:space="preserve"> </w:t>
      </w:r>
      <w:r w:rsidR="00266B42">
        <w:t>INSOL Guidance Text Module 8C Hong Kong, chapter 5.7</w:t>
      </w:r>
    </w:p>
    <w:p w14:paraId="43998165" w14:textId="40661FE0" w:rsidR="0042341D" w:rsidRDefault="0042341D">
      <w:pPr>
        <w:pStyle w:val="FootnoteText"/>
      </w:pPr>
    </w:p>
  </w:footnote>
  <w:footnote w:id="20">
    <w:p w14:paraId="7608092F" w14:textId="514C64B5" w:rsidR="00C20557" w:rsidRDefault="00C20557">
      <w:pPr>
        <w:pStyle w:val="FootnoteText"/>
      </w:pPr>
      <w:r>
        <w:rPr>
          <w:rStyle w:val="FootnoteReference"/>
        </w:rPr>
        <w:footnoteRef/>
      </w:r>
      <w:r>
        <w:t xml:space="preserve"> Belmont Pak Investments Pty Ltd v BNY Corporate Trustee Services Ltd [2012] 1 AC 383. </w:t>
      </w:r>
    </w:p>
  </w:footnote>
  <w:footnote w:id="21">
    <w:p w14:paraId="772C8F5F" w14:textId="6F8CDB91" w:rsidR="00D24AC7" w:rsidRDefault="00D24AC7">
      <w:pPr>
        <w:pStyle w:val="FootnoteText"/>
      </w:pPr>
      <w:r>
        <w:rPr>
          <w:rStyle w:val="FootnoteReference"/>
        </w:rPr>
        <w:footnoteRef/>
      </w:r>
      <w:r>
        <w:t xml:space="preserve"> CWUMPO s 275, ss168L.</w:t>
      </w:r>
    </w:p>
  </w:footnote>
  <w:footnote w:id="22">
    <w:p w14:paraId="60CF2C9D" w14:textId="3FC4701E" w:rsidR="00B16013" w:rsidRDefault="00B16013">
      <w:pPr>
        <w:pStyle w:val="FootnoteText"/>
      </w:pPr>
      <w:r>
        <w:rPr>
          <w:rStyle w:val="FootnoteReference"/>
        </w:rPr>
        <w:footnoteRef/>
      </w:r>
      <w:r>
        <w:t xml:space="preserve"> </w:t>
      </w:r>
      <w:r w:rsidR="00115E47">
        <w:t xml:space="preserve">Re China Lumena New Materials Corp (in Provisional Liquidation) [2018] HKCFI 276.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43E6E"/>
    <w:multiLevelType w:val="hybridMultilevel"/>
    <w:tmpl w:val="69CC0CF0"/>
    <w:lvl w:ilvl="0" w:tplc="14E85B2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94FAB"/>
    <w:multiLevelType w:val="hybridMultilevel"/>
    <w:tmpl w:val="DA487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C54C6"/>
    <w:multiLevelType w:val="hybridMultilevel"/>
    <w:tmpl w:val="F132D0BC"/>
    <w:lvl w:ilvl="0" w:tplc="C620601E">
      <w:start w:val="1"/>
      <w:numFmt w:val="lowerLetter"/>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0FC22E5"/>
    <w:multiLevelType w:val="hybridMultilevel"/>
    <w:tmpl w:val="199E2A5C"/>
    <w:lvl w:ilvl="0" w:tplc="BB286A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784815"/>
    <w:multiLevelType w:val="hybridMultilevel"/>
    <w:tmpl w:val="31B658D8"/>
    <w:lvl w:ilvl="0" w:tplc="F15636F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2"/>
  </w:num>
  <w:num w:numId="4">
    <w:abstractNumId w:val="17"/>
  </w:num>
  <w:num w:numId="5">
    <w:abstractNumId w:val="9"/>
  </w:num>
  <w:num w:numId="6">
    <w:abstractNumId w:val="8"/>
  </w:num>
  <w:num w:numId="7">
    <w:abstractNumId w:val="7"/>
  </w:num>
  <w:num w:numId="8">
    <w:abstractNumId w:val="16"/>
  </w:num>
  <w:num w:numId="9">
    <w:abstractNumId w:val="4"/>
  </w:num>
  <w:num w:numId="10">
    <w:abstractNumId w:val="22"/>
  </w:num>
  <w:num w:numId="11">
    <w:abstractNumId w:val="11"/>
  </w:num>
  <w:num w:numId="12">
    <w:abstractNumId w:val="18"/>
  </w:num>
  <w:num w:numId="13">
    <w:abstractNumId w:val="31"/>
  </w:num>
  <w:num w:numId="14">
    <w:abstractNumId w:val="23"/>
  </w:num>
  <w:num w:numId="15">
    <w:abstractNumId w:val="20"/>
  </w:num>
  <w:num w:numId="16">
    <w:abstractNumId w:val="19"/>
  </w:num>
  <w:num w:numId="17">
    <w:abstractNumId w:val="5"/>
  </w:num>
  <w:num w:numId="18">
    <w:abstractNumId w:val="30"/>
  </w:num>
  <w:num w:numId="19">
    <w:abstractNumId w:val="24"/>
  </w:num>
  <w:num w:numId="20">
    <w:abstractNumId w:val="27"/>
  </w:num>
  <w:num w:numId="21">
    <w:abstractNumId w:val="10"/>
  </w:num>
  <w:num w:numId="22">
    <w:abstractNumId w:val="15"/>
  </w:num>
  <w:num w:numId="23">
    <w:abstractNumId w:val="0"/>
  </w:num>
  <w:num w:numId="24">
    <w:abstractNumId w:val="25"/>
  </w:num>
  <w:num w:numId="25">
    <w:abstractNumId w:val="6"/>
  </w:num>
  <w:num w:numId="26">
    <w:abstractNumId w:val="2"/>
  </w:num>
  <w:num w:numId="27">
    <w:abstractNumId w:val="3"/>
  </w:num>
  <w:num w:numId="28">
    <w:abstractNumId w:val="14"/>
  </w:num>
  <w:num w:numId="29">
    <w:abstractNumId w:val="29"/>
  </w:num>
  <w:num w:numId="30">
    <w:abstractNumId w:val="1"/>
  </w:num>
  <w:num w:numId="31">
    <w:abstractNumId w:val="13"/>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6701"/>
    <w:rsid w:val="00007BF3"/>
    <w:rsid w:val="00010809"/>
    <w:rsid w:val="00010BA0"/>
    <w:rsid w:val="000168DB"/>
    <w:rsid w:val="00020557"/>
    <w:rsid w:val="00021FC2"/>
    <w:rsid w:val="000250C7"/>
    <w:rsid w:val="00026F16"/>
    <w:rsid w:val="00036FD5"/>
    <w:rsid w:val="00037621"/>
    <w:rsid w:val="00044D46"/>
    <w:rsid w:val="00045088"/>
    <w:rsid w:val="00045904"/>
    <w:rsid w:val="00046FA0"/>
    <w:rsid w:val="000502FD"/>
    <w:rsid w:val="0005076F"/>
    <w:rsid w:val="00057102"/>
    <w:rsid w:val="00061A3C"/>
    <w:rsid w:val="00065166"/>
    <w:rsid w:val="000712BD"/>
    <w:rsid w:val="00074890"/>
    <w:rsid w:val="00080018"/>
    <w:rsid w:val="00082609"/>
    <w:rsid w:val="000851CC"/>
    <w:rsid w:val="000853C2"/>
    <w:rsid w:val="00087F21"/>
    <w:rsid w:val="0009382C"/>
    <w:rsid w:val="00093BE8"/>
    <w:rsid w:val="00095D54"/>
    <w:rsid w:val="000A1AC9"/>
    <w:rsid w:val="000A407B"/>
    <w:rsid w:val="000A463E"/>
    <w:rsid w:val="000A68ED"/>
    <w:rsid w:val="000A7710"/>
    <w:rsid w:val="000B05A3"/>
    <w:rsid w:val="000B1C00"/>
    <w:rsid w:val="000B25B7"/>
    <w:rsid w:val="000B5FF1"/>
    <w:rsid w:val="000B609F"/>
    <w:rsid w:val="000C3086"/>
    <w:rsid w:val="000D55A8"/>
    <w:rsid w:val="000D5CCB"/>
    <w:rsid w:val="000E0E3B"/>
    <w:rsid w:val="000E4841"/>
    <w:rsid w:val="000E7B06"/>
    <w:rsid w:val="000F1677"/>
    <w:rsid w:val="000F2BDB"/>
    <w:rsid w:val="000F3D6C"/>
    <w:rsid w:val="00100999"/>
    <w:rsid w:val="00101707"/>
    <w:rsid w:val="00102CC9"/>
    <w:rsid w:val="0010593A"/>
    <w:rsid w:val="0011473D"/>
    <w:rsid w:val="00115C85"/>
    <w:rsid w:val="00115E47"/>
    <w:rsid w:val="00116A3D"/>
    <w:rsid w:val="00123305"/>
    <w:rsid w:val="00123855"/>
    <w:rsid w:val="00126397"/>
    <w:rsid w:val="00126A4D"/>
    <w:rsid w:val="0014171F"/>
    <w:rsid w:val="00142B28"/>
    <w:rsid w:val="0014622C"/>
    <w:rsid w:val="00152348"/>
    <w:rsid w:val="0015456D"/>
    <w:rsid w:val="00155FA2"/>
    <w:rsid w:val="00161F1B"/>
    <w:rsid w:val="00162829"/>
    <w:rsid w:val="00165552"/>
    <w:rsid w:val="00165686"/>
    <w:rsid w:val="00180548"/>
    <w:rsid w:val="00180AC4"/>
    <w:rsid w:val="00180CCE"/>
    <w:rsid w:val="00181AD4"/>
    <w:rsid w:val="0018267A"/>
    <w:rsid w:val="00182779"/>
    <w:rsid w:val="001830DF"/>
    <w:rsid w:val="001844D8"/>
    <w:rsid w:val="00193428"/>
    <w:rsid w:val="001966D9"/>
    <w:rsid w:val="001A007A"/>
    <w:rsid w:val="001A7E9A"/>
    <w:rsid w:val="001A7EFF"/>
    <w:rsid w:val="001B0F6F"/>
    <w:rsid w:val="001B0F70"/>
    <w:rsid w:val="001B5016"/>
    <w:rsid w:val="001B6568"/>
    <w:rsid w:val="001C45FC"/>
    <w:rsid w:val="001C6BC7"/>
    <w:rsid w:val="001D03E3"/>
    <w:rsid w:val="001D0469"/>
    <w:rsid w:val="001D29C0"/>
    <w:rsid w:val="001D4862"/>
    <w:rsid w:val="001E11FC"/>
    <w:rsid w:val="001E25B9"/>
    <w:rsid w:val="001E2A61"/>
    <w:rsid w:val="001E49E0"/>
    <w:rsid w:val="001E6F05"/>
    <w:rsid w:val="001E7B5A"/>
    <w:rsid w:val="001F7412"/>
    <w:rsid w:val="0020090A"/>
    <w:rsid w:val="00202DFE"/>
    <w:rsid w:val="0020725B"/>
    <w:rsid w:val="002110F1"/>
    <w:rsid w:val="00225ADF"/>
    <w:rsid w:val="002356EA"/>
    <w:rsid w:val="00237BC9"/>
    <w:rsid w:val="0024116D"/>
    <w:rsid w:val="002414D3"/>
    <w:rsid w:val="00241B44"/>
    <w:rsid w:val="00241FA3"/>
    <w:rsid w:val="00245EFB"/>
    <w:rsid w:val="0025386E"/>
    <w:rsid w:val="002638B0"/>
    <w:rsid w:val="0026647A"/>
    <w:rsid w:val="002668D3"/>
    <w:rsid w:val="00266B42"/>
    <w:rsid w:val="0027299F"/>
    <w:rsid w:val="00280C79"/>
    <w:rsid w:val="00284EBE"/>
    <w:rsid w:val="00286642"/>
    <w:rsid w:val="002903A7"/>
    <w:rsid w:val="002908C7"/>
    <w:rsid w:val="0029433F"/>
    <w:rsid w:val="00294829"/>
    <w:rsid w:val="0029690F"/>
    <w:rsid w:val="00297C8A"/>
    <w:rsid w:val="002A0184"/>
    <w:rsid w:val="002A0637"/>
    <w:rsid w:val="002A2A60"/>
    <w:rsid w:val="002A37BB"/>
    <w:rsid w:val="002B1C45"/>
    <w:rsid w:val="002C13C8"/>
    <w:rsid w:val="002C3547"/>
    <w:rsid w:val="002C6462"/>
    <w:rsid w:val="002D0021"/>
    <w:rsid w:val="002D299D"/>
    <w:rsid w:val="002D30E7"/>
    <w:rsid w:val="002D3473"/>
    <w:rsid w:val="002D4463"/>
    <w:rsid w:val="002F1956"/>
    <w:rsid w:val="002F3440"/>
    <w:rsid w:val="002F75A3"/>
    <w:rsid w:val="0030392B"/>
    <w:rsid w:val="00303C2F"/>
    <w:rsid w:val="00307AF2"/>
    <w:rsid w:val="003117CB"/>
    <w:rsid w:val="003144EF"/>
    <w:rsid w:val="00317D3D"/>
    <w:rsid w:val="00321FE0"/>
    <w:rsid w:val="00326292"/>
    <w:rsid w:val="00326415"/>
    <w:rsid w:val="00330073"/>
    <w:rsid w:val="00330937"/>
    <w:rsid w:val="00330F31"/>
    <w:rsid w:val="003311A1"/>
    <w:rsid w:val="00334648"/>
    <w:rsid w:val="0033768C"/>
    <w:rsid w:val="00337938"/>
    <w:rsid w:val="00340769"/>
    <w:rsid w:val="00341AA6"/>
    <w:rsid w:val="0034266A"/>
    <w:rsid w:val="003518BB"/>
    <w:rsid w:val="00361A0A"/>
    <w:rsid w:val="00364836"/>
    <w:rsid w:val="0036565C"/>
    <w:rsid w:val="0036625E"/>
    <w:rsid w:val="0036785A"/>
    <w:rsid w:val="00367E60"/>
    <w:rsid w:val="0037383A"/>
    <w:rsid w:val="0037465A"/>
    <w:rsid w:val="003765EF"/>
    <w:rsid w:val="00376DF7"/>
    <w:rsid w:val="00380621"/>
    <w:rsid w:val="003824FD"/>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2341D"/>
    <w:rsid w:val="00430FED"/>
    <w:rsid w:val="00434A8C"/>
    <w:rsid w:val="0043616E"/>
    <w:rsid w:val="00437297"/>
    <w:rsid w:val="00444284"/>
    <w:rsid w:val="00445CE6"/>
    <w:rsid w:val="004534C2"/>
    <w:rsid w:val="0045446F"/>
    <w:rsid w:val="0045683E"/>
    <w:rsid w:val="00457072"/>
    <w:rsid w:val="00477C72"/>
    <w:rsid w:val="00485546"/>
    <w:rsid w:val="00491675"/>
    <w:rsid w:val="00493855"/>
    <w:rsid w:val="00494C5F"/>
    <w:rsid w:val="00495E79"/>
    <w:rsid w:val="00496120"/>
    <w:rsid w:val="00497A38"/>
    <w:rsid w:val="00497D07"/>
    <w:rsid w:val="004A2D83"/>
    <w:rsid w:val="004A57DD"/>
    <w:rsid w:val="004A7B51"/>
    <w:rsid w:val="004A7D71"/>
    <w:rsid w:val="004A7EF3"/>
    <w:rsid w:val="004B11FD"/>
    <w:rsid w:val="004B23A2"/>
    <w:rsid w:val="004B3B87"/>
    <w:rsid w:val="004C380A"/>
    <w:rsid w:val="004D1A5A"/>
    <w:rsid w:val="004D2FFF"/>
    <w:rsid w:val="004D3721"/>
    <w:rsid w:val="004D64F9"/>
    <w:rsid w:val="004E3A6B"/>
    <w:rsid w:val="004E622C"/>
    <w:rsid w:val="004F5FDF"/>
    <w:rsid w:val="005051E4"/>
    <w:rsid w:val="005153A9"/>
    <w:rsid w:val="0051771D"/>
    <w:rsid w:val="005177FE"/>
    <w:rsid w:val="0052263B"/>
    <w:rsid w:val="0052306E"/>
    <w:rsid w:val="005234E4"/>
    <w:rsid w:val="00524728"/>
    <w:rsid w:val="005331CA"/>
    <w:rsid w:val="0053382C"/>
    <w:rsid w:val="00537970"/>
    <w:rsid w:val="00540E3A"/>
    <w:rsid w:val="00544127"/>
    <w:rsid w:val="005463A9"/>
    <w:rsid w:val="00553EB2"/>
    <w:rsid w:val="00560534"/>
    <w:rsid w:val="0056391B"/>
    <w:rsid w:val="005650E2"/>
    <w:rsid w:val="00565889"/>
    <w:rsid w:val="00567AD7"/>
    <w:rsid w:val="00575B2D"/>
    <w:rsid w:val="005778B6"/>
    <w:rsid w:val="005833D0"/>
    <w:rsid w:val="005846F3"/>
    <w:rsid w:val="0058622F"/>
    <w:rsid w:val="00592F82"/>
    <w:rsid w:val="005A0CCA"/>
    <w:rsid w:val="005A6FF2"/>
    <w:rsid w:val="005A726D"/>
    <w:rsid w:val="005B612E"/>
    <w:rsid w:val="005B67AC"/>
    <w:rsid w:val="005B79F4"/>
    <w:rsid w:val="005D093D"/>
    <w:rsid w:val="005D16DD"/>
    <w:rsid w:val="005D43E0"/>
    <w:rsid w:val="005D446E"/>
    <w:rsid w:val="005D54B3"/>
    <w:rsid w:val="005D58A3"/>
    <w:rsid w:val="005E1B79"/>
    <w:rsid w:val="005E5ECC"/>
    <w:rsid w:val="005E6076"/>
    <w:rsid w:val="005E7008"/>
    <w:rsid w:val="005F026D"/>
    <w:rsid w:val="005F2AEA"/>
    <w:rsid w:val="005F2D0B"/>
    <w:rsid w:val="005F38FD"/>
    <w:rsid w:val="005F4B31"/>
    <w:rsid w:val="00610388"/>
    <w:rsid w:val="00610AC7"/>
    <w:rsid w:val="00612CA5"/>
    <w:rsid w:val="006149DD"/>
    <w:rsid w:val="006153EC"/>
    <w:rsid w:val="00621A17"/>
    <w:rsid w:val="00627CC9"/>
    <w:rsid w:val="00627E7B"/>
    <w:rsid w:val="00630542"/>
    <w:rsid w:val="00630C2F"/>
    <w:rsid w:val="00632E44"/>
    <w:rsid w:val="00634622"/>
    <w:rsid w:val="00634895"/>
    <w:rsid w:val="00635494"/>
    <w:rsid w:val="006359F1"/>
    <w:rsid w:val="00636808"/>
    <w:rsid w:val="00641515"/>
    <w:rsid w:val="00654C2F"/>
    <w:rsid w:val="00657087"/>
    <w:rsid w:val="0066105D"/>
    <w:rsid w:val="006639DB"/>
    <w:rsid w:val="006661EF"/>
    <w:rsid w:val="00673573"/>
    <w:rsid w:val="006742C7"/>
    <w:rsid w:val="00677AEB"/>
    <w:rsid w:val="00680EF2"/>
    <w:rsid w:val="00687A1D"/>
    <w:rsid w:val="00690B0B"/>
    <w:rsid w:val="00697EA1"/>
    <w:rsid w:val="006A2646"/>
    <w:rsid w:val="006A6530"/>
    <w:rsid w:val="006B435A"/>
    <w:rsid w:val="006B4C64"/>
    <w:rsid w:val="006B5069"/>
    <w:rsid w:val="006B73D4"/>
    <w:rsid w:val="006D02CE"/>
    <w:rsid w:val="006D22D1"/>
    <w:rsid w:val="006D6BD5"/>
    <w:rsid w:val="006E481A"/>
    <w:rsid w:val="006E5298"/>
    <w:rsid w:val="006E532E"/>
    <w:rsid w:val="006F22B2"/>
    <w:rsid w:val="006F4751"/>
    <w:rsid w:val="006F4A78"/>
    <w:rsid w:val="006F734A"/>
    <w:rsid w:val="00700D83"/>
    <w:rsid w:val="007020B5"/>
    <w:rsid w:val="00704852"/>
    <w:rsid w:val="007074E9"/>
    <w:rsid w:val="0071143E"/>
    <w:rsid w:val="00711999"/>
    <w:rsid w:val="00713DA4"/>
    <w:rsid w:val="00714BF1"/>
    <w:rsid w:val="00721383"/>
    <w:rsid w:val="00723CA3"/>
    <w:rsid w:val="00726A39"/>
    <w:rsid w:val="0073158B"/>
    <w:rsid w:val="00731F20"/>
    <w:rsid w:val="007333CC"/>
    <w:rsid w:val="007333DF"/>
    <w:rsid w:val="0073399A"/>
    <w:rsid w:val="00737749"/>
    <w:rsid w:val="00740DAD"/>
    <w:rsid w:val="00742110"/>
    <w:rsid w:val="007454FF"/>
    <w:rsid w:val="007603F5"/>
    <w:rsid w:val="007623A7"/>
    <w:rsid w:val="00764444"/>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C636E"/>
    <w:rsid w:val="007C7630"/>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3C7"/>
    <w:rsid w:val="0082483F"/>
    <w:rsid w:val="008279C0"/>
    <w:rsid w:val="00844E12"/>
    <w:rsid w:val="00851449"/>
    <w:rsid w:val="00852D90"/>
    <w:rsid w:val="0085379E"/>
    <w:rsid w:val="00863841"/>
    <w:rsid w:val="00867701"/>
    <w:rsid w:val="008723F3"/>
    <w:rsid w:val="00876F56"/>
    <w:rsid w:val="00880795"/>
    <w:rsid w:val="00881DE6"/>
    <w:rsid w:val="008837A6"/>
    <w:rsid w:val="00884C75"/>
    <w:rsid w:val="0089145D"/>
    <w:rsid w:val="00893B7C"/>
    <w:rsid w:val="00897D68"/>
    <w:rsid w:val="008A026F"/>
    <w:rsid w:val="008A2970"/>
    <w:rsid w:val="008A298C"/>
    <w:rsid w:val="008A4DF2"/>
    <w:rsid w:val="008A6C45"/>
    <w:rsid w:val="008A6CFE"/>
    <w:rsid w:val="008B5333"/>
    <w:rsid w:val="008B6223"/>
    <w:rsid w:val="008C3F02"/>
    <w:rsid w:val="008C66E0"/>
    <w:rsid w:val="008D008D"/>
    <w:rsid w:val="008E3339"/>
    <w:rsid w:val="008E3469"/>
    <w:rsid w:val="008E760F"/>
    <w:rsid w:val="008F20FC"/>
    <w:rsid w:val="008F4673"/>
    <w:rsid w:val="008F4EE2"/>
    <w:rsid w:val="008F5FFE"/>
    <w:rsid w:val="009017F9"/>
    <w:rsid w:val="00902E95"/>
    <w:rsid w:val="00905A43"/>
    <w:rsid w:val="009127E6"/>
    <w:rsid w:val="00912C79"/>
    <w:rsid w:val="00912F26"/>
    <w:rsid w:val="00913343"/>
    <w:rsid w:val="00921B8C"/>
    <w:rsid w:val="00922C8D"/>
    <w:rsid w:val="0093349E"/>
    <w:rsid w:val="009337CE"/>
    <w:rsid w:val="00942123"/>
    <w:rsid w:val="00950429"/>
    <w:rsid w:val="0095052A"/>
    <w:rsid w:val="0095207B"/>
    <w:rsid w:val="00954F21"/>
    <w:rsid w:val="009574BB"/>
    <w:rsid w:val="009578F6"/>
    <w:rsid w:val="00962045"/>
    <w:rsid w:val="00966B3B"/>
    <w:rsid w:val="00974D2B"/>
    <w:rsid w:val="00975364"/>
    <w:rsid w:val="0097792E"/>
    <w:rsid w:val="00980E61"/>
    <w:rsid w:val="0098256E"/>
    <w:rsid w:val="00982807"/>
    <w:rsid w:val="00983EA8"/>
    <w:rsid w:val="00991428"/>
    <w:rsid w:val="00992676"/>
    <w:rsid w:val="009954B2"/>
    <w:rsid w:val="00996691"/>
    <w:rsid w:val="009A3A68"/>
    <w:rsid w:val="009A3AB7"/>
    <w:rsid w:val="009B0207"/>
    <w:rsid w:val="009B0723"/>
    <w:rsid w:val="009B07AD"/>
    <w:rsid w:val="009B0883"/>
    <w:rsid w:val="009B15E2"/>
    <w:rsid w:val="009B245D"/>
    <w:rsid w:val="009B4171"/>
    <w:rsid w:val="009B4976"/>
    <w:rsid w:val="009C0B8E"/>
    <w:rsid w:val="009C1BC8"/>
    <w:rsid w:val="009C2442"/>
    <w:rsid w:val="009C2775"/>
    <w:rsid w:val="009C7059"/>
    <w:rsid w:val="009D0811"/>
    <w:rsid w:val="009D0EE1"/>
    <w:rsid w:val="009E2AEB"/>
    <w:rsid w:val="009E2E27"/>
    <w:rsid w:val="009E45DF"/>
    <w:rsid w:val="009E4DE3"/>
    <w:rsid w:val="009F275E"/>
    <w:rsid w:val="00A0319B"/>
    <w:rsid w:val="00A047EE"/>
    <w:rsid w:val="00A04E9A"/>
    <w:rsid w:val="00A17CD7"/>
    <w:rsid w:val="00A2274A"/>
    <w:rsid w:val="00A235B7"/>
    <w:rsid w:val="00A27A7A"/>
    <w:rsid w:val="00A303C9"/>
    <w:rsid w:val="00A34ABE"/>
    <w:rsid w:val="00A35507"/>
    <w:rsid w:val="00A407EF"/>
    <w:rsid w:val="00A46B4C"/>
    <w:rsid w:val="00A5117B"/>
    <w:rsid w:val="00A52844"/>
    <w:rsid w:val="00A54CEA"/>
    <w:rsid w:val="00A56D34"/>
    <w:rsid w:val="00A60074"/>
    <w:rsid w:val="00A6325B"/>
    <w:rsid w:val="00A65616"/>
    <w:rsid w:val="00A6627C"/>
    <w:rsid w:val="00A706C7"/>
    <w:rsid w:val="00A71019"/>
    <w:rsid w:val="00A81029"/>
    <w:rsid w:val="00A8147C"/>
    <w:rsid w:val="00A845F5"/>
    <w:rsid w:val="00A87BA2"/>
    <w:rsid w:val="00A932F4"/>
    <w:rsid w:val="00A96489"/>
    <w:rsid w:val="00AA0C60"/>
    <w:rsid w:val="00AA214B"/>
    <w:rsid w:val="00AB0E30"/>
    <w:rsid w:val="00AB2425"/>
    <w:rsid w:val="00AB685C"/>
    <w:rsid w:val="00AB6C2D"/>
    <w:rsid w:val="00AC08F7"/>
    <w:rsid w:val="00AC3839"/>
    <w:rsid w:val="00AC63B1"/>
    <w:rsid w:val="00AC7082"/>
    <w:rsid w:val="00AD316A"/>
    <w:rsid w:val="00AD4BE8"/>
    <w:rsid w:val="00AF1320"/>
    <w:rsid w:val="00AF228E"/>
    <w:rsid w:val="00B0019C"/>
    <w:rsid w:val="00B016A8"/>
    <w:rsid w:val="00B10F09"/>
    <w:rsid w:val="00B1350F"/>
    <w:rsid w:val="00B1367F"/>
    <w:rsid w:val="00B14819"/>
    <w:rsid w:val="00B15E2F"/>
    <w:rsid w:val="00B16013"/>
    <w:rsid w:val="00B17AA9"/>
    <w:rsid w:val="00B22016"/>
    <w:rsid w:val="00B23CBA"/>
    <w:rsid w:val="00B25814"/>
    <w:rsid w:val="00B44713"/>
    <w:rsid w:val="00B46A79"/>
    <w:rsid w:val="00B51B95"/>
    <w:rsid w:val="00B52ACB"/>
    <w:rsid w:val="00B5317F"/>
    <w:rsid w:val="00B5423F"/>
    <w:rsid w:val="00B54854"/>
    <w:rsid w:val="00B56103"/>
    <w:rsid w:val="00B60DDF"/>
    <w:rsid w:val="00B64929"/>
    <w:rsid w:val="00B736DF"/>
    <w:rsid w:val="00B743D6"/>
    <w:rsid w:val="00B74FBD"/>
    <w:rsid w:val="00B77F46"/>
    <w:rsid w:val="00B81F6E"/>
    <w:rsid w:val="00B82586"/>
    <w:rsid w:val="00B829A3"/>
    <w:rsid w:val="00B83105"/>
    <w:rsid w:val="00B84BB1"/>
    <w:rsid w:val="00B86DB1"/>
    <w:rsid w:val="00B87869"/>
    <w:rsid w:val="00B9639B"/>
    <w:rsid w:val="00BA05C6"/>
    <w:rsid w:val="00BB0F2B"/>
    <w:rsid w:val="00BB16E8"/>
    <w:rsid w:val="00BB48AA"/>
    <w:rsid w:val="00BC2EDB"/>
    <w:rsid w:val="00BC3D4F"/>
    <w:rsid w:val="00BD2F2E"/>
    <w:rsid w:val="00BD4070"/>
    <w:rsid w:val="00BD6762"/>
    <w:rsid w:val="00BE4FF3"/>
    <w:rsid w:val="00BF04AE"/>
    <w:rsid w:val="00BF50F7"/>
    <w:rsid w:val="00BF5746"/>
    <w:rsid w:val="00C02F29"/>
    <w:rsid w:val="00C17718"/>
    <w:rsid w:val="00C20557"/>
    <w:rsid w:val="00C20AFE"/>
    <w:rsid w:val="00C22657"/>
    <w:rsid w:val="00C22A25"/>
    <w:rsid w:val="00C328C8"/>
    <w:rsid w:val="00C35671"/>
    <w:rsid w:val="00C35B77"/>
    <w:rsid w:val="00C376EB"/>
    <w:rsid w:val="00C44889"/>
    <w:rsid w:val="00C467B2"/>
    <w:rsid w:val="00C46A92"/>
    <w:rsid w:val="00C46EC1"/>
    <w:rsid w:val="00C50EE4"/>
    <w:rsid w:val="00C52796"/>
    <w:rsid w:val="00C53E2C"/>
    <w:rsid w:val="00C550C8"/>
    <w:rsid w:val="00C55824"/>
    <w:rsid w:val="00C56B61"/>
    <w:rsid w:val="00C606C3"/>
    <w:rsid w:val="00C620F4"/>
    <w:rsid w:val="00C64C5E"/>
    <w:rsid w:val="00C72848"/>
    <w:rsid w:val="00C72DB3"/>
    <w:rsid w:val="00C72FC6"/>
    <w:rsid w:val="00C7575F"/>
    <w:rsid w:val="00C7736C"/>
    <w:rsid w:val="00C778DA"/>
    <w:rsid w:val="00C82D87"/>
    <w:rsid w:val="00C850A6"/>
    <w:rsid w:val="00C8712A"/>
    <w:rsid w:val="00C902C8"/>
    <w:rsid w:val="00C919D1"/>
    <w:rsid w:val="00C963D3"/>
    <w:rsid w:val="00CA3AFC"/>
    <w:rsid w:val="00CB0227"/>
    <w:rsid w:val="00CB1983"/>
    <w:rsid w:val="00CB21FB"/>
    <w:rsid w:val="00CB2CBB"/>
    <w:rsid w:val="00CB7CAC"/>
    <w:rsid w:val="00CC5335"/>
    <w:rsid w:val="00CC5BA4"/>
    <w:rsid w:val="00CD4998"/>
    <w:rsid w:val="00CD5887"/>
    <w:rsid w:val="00CE1035"/>
    <w:rsid w:val="00CE6C50"/>
    <w:rsid w:val="00CE6E50"/>
    <w:rsid w:val="00CE7AFA"/>
    <w:rsid w:val="00CF1E7A"/>
    <w:rsid w:val="00CF2819"/>
    <w:rsid w:val="00CF4F9D"/>
    <w:rsid w:val="00CF70DC"/>
    <w:rsid w:val="00D027D9"/>
    <w:rsid w:val="00D148DC"/>
    <w:rsid w:val="00D17FDC"/>
    <w:rsid w:val="00D21D8C"/>
    <w:rsid w:val="00D24AC7"/>
    <w:rsid w:val="00D27A96"/>
    <w:rsid w:val="00D423E5"/>
    <w:rsid w:val="00D45046"/>
    <w:rsid w:val="00D53719"/>
    <w:rsid w:val="00D63EFD"/>
    <w:rsid w:val="00D759CE"/>
    <w:rsid w:val="00D779C1"/>
    <w:rsid w:val="00D832A3"/>
    <w:rsid w:val="00D84752"/>
    <w:rsid w:val="00D86B3B"/>
    <w:rsid w:val="00D8748A"/>
    <w:rsid w:val="00D92542"/>
    <w:rsid w:val="00D93196"/>
    <w:rsid w:val="00D94882"/>
    <w:rsid w:val="00D94F60"/>
    <w:rsid w:val="00DA0DC0"/>
    <w:rsid w:val="00DA0F55"/>
    <w:rsid w:val="00DB243C"/>
    <w:rsid w:val="00DB482A"/>
    <w:rsid w:val="00DB50FB"/>
    <w:rsid w:val="00DB56F2"/>
    <w:rsid w:val="00DB69D1"/>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17D0"/>
    <w:rsid w:val="00E14FA7"/>
    <w:rsid w:val="00E15753"/>
    <w:rsid w:val="00E15BA9"/>
    <w:rsid w:val="00E26E19"/>
    <w:rsid w:val="00E30B9A"/>
    <w:rsid w:val="00E31DF3"/>
    <w:rsid w:val="00E35DD9"/>
    <w:rsid w:val="00E450A4"/>
    <w:rsid w:val="00E506BE"/>
    <w:rsid w:val="00E55547"/>
    <w:rsid w:val="00E56D82"/>
    <w:rsid w:val="00E60EC6"/>
    <w:rsid w:val="00E6302B"/>
    <w:rsid w:val="00E6452F"/>
    <w:rsid w:val="00E64CF4"/>
    <w:rsid w:val="00E64F45"/>
    <w:rsid w:val="00E6742D"/>
    <w:rsid w:val="00E71CB0"/>
    <w:rsid w:val="00E71E80"/>
    <w:rsid w:val="00E76657"/>
    <w:rsid w:val="00E77C3D"/>
    <w:rsid w:val="00E86004"/>
    <w:rsid w:val="00E90991"/>
    <w:rsid w:val="00E909F0"/>
    <w:rsid w:val="00E90D47"/>
    <w:rsid w:val="00E93993"/>
    <w:rsid w:val="00E9597C"/>
    <w:rsid w:val="00E97178"/>
    <w:rsid w:val="00EA0913"/>
    <w:rsid w:val="00EA5B00"/>
    <w:rsid w:val="00EA7CFA"/>
    <w:rsid w:val="00EB0CEF"/>
    <w:rsid w:val="00EB146B"/>
    <w:rsid w:val="00EB3C08"/>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87DE8"/>
    <w:rsid w:val="00F908DE"/>
    <w:rsid w:val="00F946AC"/>
    <w:rsid w:val="00F971F4"/>
    <w:rsid w:val="00F97C5B"/>
    <w:rsid w:val="00FA3D50"/>
    <w:rsid w:val="00FB44D4"/>
    <w:rsid w:val="00FB7FBD"/>
    <w:rsid w:val="00FC374A"/>
    <w:rsid w:val="00FC74C8"/>
    <w:rsid w:val="00FC7B47"/>
    <w:rsid w:val="00FD035C"/>
    <w:rsid w:val="00FD1A35"/>
    <w:rsid w:val="00FD2EA4"/>
    <w:rsid w:val="00FD36C5"/>
    <w:rsid w:val="00FD3A07"/>
    <w:rsid w:val="00FD6310"/>
    <w:rsid w:val="00FD767A"/>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ondaq.com/hongkong/shareholders/994844/personal-liability-of-directors-director-duties-when-trading-in-the-insolvency-zone" TargetMode="External"/><Relationship Id="rId3" Type="http://schemas.openxmlformats.org/officeDocument/2006/relationships/hyperlink" Target="https://www.briscoewong.com/wp-content/uploads/2020/06/Guide-Schemes-Arrangement-Hong-Kong2.pdf" TargetMode="External"/><Relationship Id="rId7" Type="http://schemas.openxmlformats.org/officeDocument/2006/relationships/hyperlink" Target="https://www.lw.com/thoughtLeadership/restructuring-and-insolvency-in-hong-kong" TargetMode="External"/><Relationship Id="rId2" Type="http://schemas.openxmlformats.org/officeDocument/2006/relationships/hyperlink" Target="https://www.briscoewong.com/wp-content/uploads/2020/06/Guide-Schemes-Arrangement-Hong-Kong2.pdf" TargetMode="External"/><Relationship Id="rId1" Type="http://schemas.openxmlformats.org/officeDocument/2006/relationships/hyperlink" Target="https://www.hk-lawyer.org/content/provisional-liquidators%E2%80%99-role-and-powers-clarified" TargetMode="External"/><Relationship Id="rId6" Type="http://schemas.openxmlformats.org/officeDocument/2006/relationships/hyperlink" Target="https://www.lw.com/thoughtLeadership/restructuring-and-insolvency-in-hong-kong" TargetMode="External"/><Relationship Id="rId5" Type="http://schemas.openxmlformats.org/officeDocument/2006/relationships/hyperlink" Target="https://www2.deloitte.com/ie/en/pages/finance/solutions/schemes-of-arrangement.html" TargetMode="External"/><Relationship Id="rId4" Type="http://schemas.openxmlformats.org/officeDocument/2006/relationships/hyperlink" Target="https://www.lw.com/thoughtLeadership/restructuring-and-insolvency-in-hong-k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BFEF-9FC9-40A3-9A90-32EDC427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13</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Martha Ramtahal</cp:lastModifiedBy>
  <cp:revision>70</cp:revision>
  <cp:lastPrinted>2020-06-08T04:09:00Z</cp:lastPrinted>
  <dcterms:created xsi:type="dcterms:W3CDTF">2022-06-07T19:27:00Z</dcterms:created>
  <dcterms:modified xsi:type="dcterms:W3CDTF">2022-07-27T19:30:00Z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