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F258BA" w:rsidRDefault="00831582" w:rsidP="00BE65AA">
      <w:pPr>
        <w:pStyle w:val="PargrafodaLista"/>
        <w:numPr>
          <w:ilvl w:val="0"/>
          <w:numId w:val="4"/>
        </w:numPr>
        <w:ind w:left="426"/>
        <w:jc w:val="both"/>
        <w:rPr>
          <w:rFonts w:ascii="Arial" w:hAnsi="Arial" w:cs="Arial"/>
          <w:sz w:val="22"/>
          <w:szCs w:val="22"/>
          <w:highlight w:val="yellow"/>
          <w:lang w:val="en-GB"/>
        </w:rPr>
      </w:pPr>
      <w:r w:rsidRPr="00F258BA">
        <w:rPr>
          <w:rFonts w:ascii="Arial" w:hAnsi="Arial" w:cs="Arial"/>
          <w:sz w:val="22"/>
          <w:szCs w:val="22"/>
          <w:highlight w:val="yellow"/>
          <w:lang w:val="en-GB"/>
        </w:rPr>
        <w:t>To</w:t>
      </w:r>
      <w:r w:rsidR="005E32B3" w:rsidRPr="00F258BA">
        <w:rPr>
          <w:rFonts w:ascii="Arial" w:hAnsi="Arial" w:cs="Arial"/>
          <w:sz w:val="22"/>
          <w:szCs w:val="22"/>
          <w:highlight w:val="yellow"/>
          <w:lang w:val="en-GB"/>
        </w:rPr>
        <w:t xml:space="preserve"> run the business of the </w:t>
      </w:r>
      <w:r w:rsidR="00787521" w:rsidRPr="00F258BA">
        <w:rPr>
          <w:rFonts w:ascii="Arial" w:hAnsi="Arial" w:cs="Arial"/>
          <w:sz w:val="22"/>
          <w:szCs w:val="22"/>
          <w:highlight w:val="yellow"/>
          <w:lang w:val="en-GB"/>
        </w:rPr>
        <w:t xml:space="preserve">debtor </w:t>
      </w:r>
      <w:r w:rsidR="005E32B3" w:rsidRPr="00F258BA">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PargrafodaLista"/>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PargrafodaLista"/>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PargrafodaLista"/>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0032B9" w:rsidRDefault="004C294D" w:rsidP="00BE65AA">
      <w:pPr>
        <w:pStyle w:val="PargrafodaLista"/>
        <w:numPr>
          <w:ilvl w:val="0"/>
          <w:numId w:val="5"/>
        </w:numPr>
        <w:ind w:left="426"/>
        <w:jc w:val="both"/>
        <w:rPr>
          <w:rFonts w:ascii="Arial" w:hAnsi="Arial" w:cs="Arial"/>
          <w:sz w:val="22"/>
          <w:szCs w:val="22"/>
          <w:highlight w:val="yellow"/>
          <w:lang w:val="en-GB"/>
        </w:rPr>
      </w:pPr>
      <w:r w:rsidRPr="000032B9">
        <w:rPr>
          <w:rFonts w:ascii="Arial" w:hAnsi="Arial" w:cs="Arial"/>
          <w:sz w:val="22"/>
          <w:szCs w:val="22"/>
          <w:highlight w:val="yellow"/>
          <w:lang w:val="en-GB"/>
        </w:rPr>
        <w:t>A</w:t>
      </w:r>
      <w:r w:rsidR="00C041E8" w:rsidRPr="000032B9">
        <w:rPr>
          <w:rFonts w:ascii="Arial" w:hAnsi="Arial" w:cs="Arial"/>
          <w:sz w:val="22"/>
          <w:szCs w:val="22"/>
          <w:highlight w:val="yellow"/>
          <w:lang w:val="en-GB"/>
        </w:rPr>
        <w:t xml:space="preserve"> </w:t>
      </w:r>
      <w:r w:rsidR="00DE0963" w:rsidRPr="000032B9">
        <w:rPr>
          <w:rFonts w:ascii="Arial" w:hAnsi="Arial" w:cs="Arial"/>
          <w:sz w:val="22"/>
          <w:szCs w:val="22"/>
          <w:highlight w:val="yellow"/>
          <w:lang w:val="en-GB"/>
        </w:rPr>
        <w:t>pledge</w:t>
      </w:r>
      <w:r w:rsidR="0007291B" w:rsidRPr="000032B9">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PargrafodaLista"/>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Pr="000127BC" w:rsidRDefault="00EA6F96" w:rsidP="00BE65AA">
      <w:pPr>
        <w:pStyle w:val="PargrafodaLista"/>
        <w:numPr>
          <w:ilvl w:val="0"/>
          <w:numId w:val="6"/>
        </w:numPr>
        <w:ind w:left="426"/>
        <w:jc w:val="both"/>
        <w:rPr>
          <w:rFonts w:ascii="Arial" w:hAnsi="Arial" w:cs="Arial"/>
          <w:sz w:val="22"/>
          <w:szCs w:val="22"/>
          <w:highlight w:val="yellow"/>
          <w:lang w:val="en-GB"/>
        </w:rPr>
      </w:pPr>
      <w:r w:rsidRPr="000127BC">
        <w:rPr>
          <w:rFonts w:ascii="Arial" w:hAnsi="Arial" w:cs="Arial"/>
          <w:sz w:val="22"/>
          <w:szCs w:val="22"/>
          <w:highlight w:val="yellow"/>
          <w:lang w:val="en-GB"/>
        </w:rPr>
        <w:t>T</w:t>
      </w:r>
      <w:r w:rsidR="00FC32B6" w:rsidRPr="000127BC">
        <w:rPr>
          <w:rFonts w:ascii="Arial" w:hAnsi="Arial" w:cs="Arial"/>
          <w:sz w:val="22"/>
          <w:szCs w:val="22"/>
          <w:highlight w:val="yellow"/>
          <w:lang w:val="en-GB"/>
        </w:rPr>
        <w:t xml:space="preserve">he </w:t>
      </w:r>
      <w:r w:rsidR="006452E6" w:rsidRPr="000127BC">
        <w:rPr>
          <w:rFonts w:ascii="Arial" w:hAnsi="Arial" w:cs="Arial"/>
          <w:sz w:val="22"/>
          <w:szCs w:val="22"/>
          <w:highlight w:val="yellow"/>
          <w:lang w:val="en-GB"/>
        </w:rPr>
        <w:t xml:space="preserve">debtor is registered as a foreign company </w:t>
      </w:r>
      <w:r w:rsidR="00FC32B6" w:rsidRPr="000127BC">
        <w:rPr>
          <w:rFonts w:ascii="Arial" w:hAnsi="Arial" w:cs="Arial"/>
          <w:sz w:val="22"/>
          <w:szCs w:val="22"/>
          <w:highlight w:val="yellow"/>
          <w:lang w:val="en-GB"/>
        </w:rPr>
        <w:t>in Singapore</w:t>
      </w:r>
      <w:r w:rsidRPr="000127BC">
        <w:rPr>
          <w:rFonts w:ascii="Arial" w:hAnsi="Arial" w:cs="Arial"/>
          <w:sz w:val="22"/>
          <w:szCs w:val="22"/>
          <w:highlight w:val="yellow"/>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Any of the above</w:t>
      </w:r>
      <w:r w:rsidR="00EA6F96">
        <w:rPr>
          <w:rFonts w:ascii="Arial" w:hAnsi="Arial" w:cs="Arial"/>
          <w:sz w:val="22"/>
          <w:szCs w:val="22"/>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Pr="000032B9" w:rsidRDefault="0007291B" w:rsidP="00BE65AA">
      <w:pPr>
        <w:pStyle w:val="PargrafodaLista"/>
        <w:numPr>
          <w:ilvl w:val="0"/>
          <w:numId w:val="7"/>
        </w:numPr>
        <w:ind w:left="426"/>
        <w:jc w:val="both"/>
        <w:rPr>
          <w:rFonts w:ascii="Arial" w:hAnsi="Arial" w:cs="Arial"/>
          <w:sz w:val="22"/>
          <w:szCs w:val="22"/>
          <w:highlight w:val="yellow"/>
          <w:lang w:val="en-GB"/>
        </w:rPr>
      </w:pPr>
      <w:r w:rsidRPr="000032B9">
        <w:rPr>
          <w:rFonts w:ascii="Arial" w:hAnsi="Arial" w:cs="Arial"/>
          <w:sz w:val="22"/>
          <w:szCs w:val="22"/>
          <w:highlight w:val="yellow"/>
          <w:lang w:val="en-GB"/>
        </w:rPr>
        <w:t>Over 50% in</w:t>
      </w:r>
      <w:r w:rsidR="00483BC6" w:rsidRPr="000032B9">
        <w:rPr>
          <w:rFonts w:ascii="Arial" w:hAnsi="Arial" w:cs="Arial"/>
          <w:sz w:val="22"/>
          <w:szCs w:val="22"/>
          <w:highlight w:val="yellow"/>
          <w:lang w:val="en-GB"/>
        </w:rPr>
        <w:t xml:space="preserve"> value</w:t>
      </w:r>
      <w:r w:rsidR="00F50041" w:rsidRPr="000032B9">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PargrafodaLista"/>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PargrafodaLista"/>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C55824" w:rsidRDefault="0007291B" w:rsidP="00BE65AA">
      <w:pPr>
        <w:pStyle w:val="PargrafodaLista"/>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83BC6">
        <w:rPr>
          <w:rFonts w:ascii="Arial" w:hAnsi="Arial" w:cs="Arial"/>
          <w:sz w:val="22"/>
          <w:szCs w:val="22"/>
          <w:lang w:val="en-GB"/>
        </w:rPr>
        <w:t>value</w:t>
      </w:r>
      <w:r w:rsidR="00F50041">
        <w:rPr>
          <w:rFonts w:ascii="Arial" w:hAnsi="Arial" w:cs="Arial"/>
          <w:sz w:val="22"/>
          <w:szCs w:val="22"/>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PargrafodaLista"/>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PargrafodaLista"/>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PargrafodaLista"/>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0032B9" w:rsidRDefault="00FC32B6" w:rsidP="00BE65AA">
      <w:pPr>
        <w:pStyle w:val="PargrafodaLista"/>
        <w:numPr>
          <w:ilvl w:val="0"/>
          <w:numId w:val="8"/>
        </w:numPr>
        <w:ind w:left="426"/>
        <w:jc w:val="both"/>
        <w:rPr>
          <w:rFonts w:ascii="Arial" w:hAnsi="Arial" w:cs="Arial"/>
          <w:sz w:val="22"/>
          <w:szCs w:val="22"/>
          <w:highlight w:val="yellow"/>
          <w:lang w:val="en-GB"/>
        </w:rPr>
      </w:pPr>
      <w:r w:rsidRPr="000032B9">
        <w:rPr>
          <w:rFonts w:ascii="Arial" w:hAnsi="Arial" w:cs="Arial"/>
          <w:sz w:val="22"/>
          <w:szCs w:val="22"/>
          <w:highlight w:val="yellow"/>
          <w:lang w:val="en-GB"/>
        </w:rPr>
        <w:t>T</w:t>
      </w:r>
      <w:r w:rsidR="00DE2CD9" w:rsidRPr="000032B9">
        <w:rPr>
          <w:rFonts w:ascii="Arial" w:hAnsi="Arial" w:cs="Arial"/>
          <w:sz w:val="22"/>
          <w:szCs w:val="22"/>
          <w:highlight w:val="yellow"/>
          <w:lang w:val="en-GB"/>
        </w:rPr>
        <w:t>o not travel overseas under any circumstances whatsoever</w:t>
      </w:r>
      <w:r w:rsidR="00384F62" w:rsidRPr="000032B9">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PargrafodaLista"/>
        <w:ind w:left="426"/>
        <w:jc w:val="both"/>
        <w:rPr>
          <w:rFonts w:ascii="Arial" w:hAnsi="Arial" w:cs="Arial"/>
          <w:sz w:val="22"/>
          <w:szCs w:val="22"/>
          <w:lang w:val="en-GB"/>
        </w:rPr>
      </w:pPr>
    </w:p>
    <w:p w14:paraId="488B0709" w14:textId="4359ED8E" w:rsidR="00E45264" w:rsidRPr="000127BC" w:rsidRDefault="00FA4DD1" w:rsidP="00C2645B">
      <w:pPr>
        <w:pStyle w:val="PargrafodaLista"/>
        <w:numPr>
          <w:ilvl w:val="0"/>
          <w:numId w:val="9"/>
        </w:numPr>
        <w:ind w:left="426"/>
        <w:jc w:val="both"/>
        <w:rPr>
          <w:rFonts w:ascii="Arial" w:hAnsi="Arial" w:cs="Arial"/>
          <w:sz w:val="22"/>
          <w:szCs w:val="22"/>
          <w:highlight w:val="yellow"/>
          <w:lang w:val="en-GB"/>
        </w:rPr>
      </w:pPr>
      <w:r w:rsidRPr="000127BC">
        <w:rPr>
          <w:rFonts w:ascii="Arial" w:hAnsi="Arial" w:cs="Arial"/>
          <w:sz w:val="22"/>
          <w:szCs w:val="22"/>
          <w:highlight w:val="yellow"/>
          <w:lang w:val="en-GB"/>
        </w:rPr>
        <w:t>The court can deny recognition only if recognition is “manifestly contrary” to public policy</w:t>
      </w:r>
      <w:r w:rsidR="00EB7B75" w:rsidRPr="000127BC">
        <w:rPr>
          <w:rFonts w:ascii="Arial" w:hAnsi="Arial" w:cs="Arial"/>
          <w:sz w:val="22"/>
          <w:szCs w:val="22"/>
          <w:highlight w:val="yellow"/>
          <w:lang w:val="en-GB"/>
        </w:rPr>
        <w:t>.</w:t>
      </w:r>
    </w:p>
    <w:p w14:paraId="3FEA754C" w14:textId="77777777" w:rsidR="006302A0" w:rsidRPr="00C2645B" w:rsidRDefault="006302A0" w:rsidP="00384F62">
      <w:pPr>
        <w:pStyle w:val="PargrafodaLista"/>
        <w:ind w:left="426"/>
        <w:jc w:val="both"/>
        <w:rPr>
          <w:lang w:val="en-GB"/>
        </w:rPr>
      </w:pPr>
    </w:p>
    <w:p w14:paraId="529C5696" w14:textId="5D02C1D0" w:rsidR="00E45264" w:rsidRDefault="006302A0" w:rsidP="00384F62">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PargrafodaLista"/>
        <w:ind w:left="426"/>
        <w:jc w:val="both"/>
        <w:rPr>
          <w:rFonts w:ascii="Arial" w:hAnsi="Arial" w:cs="Arial"/>
          <w:sz w:val="22"/>
          <w:szCs w:val="22"/>
          <w:lang w:val="en-GB"/>
        </w:rPr>
      </w:pPr>
    </w:p>
    <w:p w14:paraId="70188075" w14:textId="45991FED" w:rsidR="00B50EA0" w:rsidRPr="00384F62" w:rsidRDefault="00E45264" w:rsidP="00384F62">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PargrafodaLista"/>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PargrafodaLista"/>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PargrafodaLista"/>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0127BC" w:rsidRDefault="00C87FF9" w:rsidP="00BE65AA">
      <w:pPr>
        <w:pStyle w:val="PargrafodaLista"/>
        <w:numPr>
          <w:ilvl w:val="0"/>
          <w:numId w:val="10"/>
        </w:numPr>
        <w:ind w:left="426"/>
        <w:jc w:val="both"/>
        <w:rPr>
          <w:rFonts w:ascii="Arial" w:hAnsi="Arial" w:cs="Arial"/>
          <w:sz w:val="22"/>
          <w:szCs w:val="22"/>
          <w:highlight w:val="yellow"/>
          <w:lang w:val="en-GB"/>
        </w:rPr>
      </w:pPr>
      <w:r w:rsidRPr="000127BC">
        <w:rPr>
          <w:rFonts w:ascii="Arial" w:hAnsi="Arial" w:cs="Arial"/>
          <w:sz w:val="22"/>
          <w:szCs w:val="22"/>
          <w:highlight w:val="yellow"/>
          <w:lang w:val="en-GB"/>
        </w:rPr>
        <w:t xml:space="preserve">Restrictions on </w:t>
      </w:r>
      <w:r w:rsidR="00BC2272" w:rsidRPr="000127BC">
        <w:rPr>
          <w:rFonts w:ascii="Arial" w:hAnsi="Arial" w:cs="Arial"/>
          <w:i/>
          <w:iCs/>
          <w:sz w:val="22"/>
          <w:szCs w:val="22"/>
          <w:highlight w:val="yellow"/>
          <w:lang w:val="en-GB"/>
        </w:rPr>
        <w:t>ipso facto</w:t>
      </w:r>
      <w:r w:rsidR="00BC2272" w:rsidRPr="000127BC">
        <w:rPr>
          <w:rFonts w:ascii="Arial" w:hAnsi="Arial" w:cs="Arial"/>
          <w:sz w:val="22"/>
          <w:szCs w:val="22"/>
          <w:highlight w:val="yellow"/>
          <w:lang w:val="en-GB"/>
        </w:rPr>
        <w:t xml:space="preserve"> clauses</w:t>
      </w:r>
      <w:r w:rsidR="00384F62" w:rsidRPr="000127BC">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PargrafodaLista"/>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PargrafodaLista"/>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0127BC" w:rsidRDefault="00C21EB5" w:rsidP="00BE65AA">
      <w:pPr>
        <w:pStyle w:val="PargrafodaLista"/>
        <w:numPr>
          <w:ilvl w:val="0"/>
          <w:numId w:val="11"/>
        </w:numPr>
        <w:ind w:left="426"/>
        <w:jc w:val="both"/>
        <w:rPr>
          <w:rFonts w:ascii="Arial" w:hAnsi="Arial" w:cs="Arial"/>
          <w:sz w:val="22"/>
          <w:szCs w:val="22"/>
          <w:highlight w:val="yellow"/>
          <w:lang w:val="en-GB"/>
        </w:rPr>
      </w:pPr>
      <w:r w:rsidRPr="000127BC">
        <w:rPr>
          <w:rFonts w:ascii="Arial" w:hAnsi="Arial" w:cs="Arial"/>
          <w:sz w:val="22"/>
          <w:szCs w:val="22"/>
          <w:highlight w:val="yellow"/>
          <w:lang w:val="en-GB"/>
        </w:rPr>
        <w:t xml:space="preserve">The </w:t>
      </w:r>
      <w:r w:rsidR="00384F62" w:rsidRPr="000127BC">
        <w:rPr>
          <w:rFonts w:ascii="Arial" w:hAnsi="Arial" w:cs="Arial"/>
          <w:sz w:val="22"/>
          <w:szCs w:val="22"/>
          <w:highlight w:val="yellow"/>
          <w:lang w:val="en-GB"/>
        </w:rPr>
        <w:t>l</w:t>
      </w:r>
      <w:r w:rsidRPr="000127BC">
        <w:rPr>
          <w:rFonts w:ascii="Arial" w:hAnsi="Arial" w:cs="Arial"/>
          <w:sz w:val="22"/>
          <w:szCs w:val="22"/>
          <w:highlight w:val="yellow"/>
          <w:lang w:val="en-GB"/>
        </w:rPr>
        <w:t xml:space="preserve">iquidator by way of an application to </w:t>
      </w:r>
      <w:r w:rsidR="00384F62" w:rsidRPr="000127BC">
        <w:rPr>
          <w:rFonts w:ascii="Arial" w:hAnsi="Arial" w:cs="Arial"/>
          <w:sz w:val="22"/>
          <w:szCs w:val="22"/>
          <w:highlight w:val="yellow"/>
          <w:lang w:val="en-GB"/>
        </w:rPr>
        <w:t>c</w:t>
      </w:r>
      <w:r w:rsidRPr="000127BC">
        <w:rPr>
          <w:rFonts w:ascii="Arial" w:hAnsi="Arial" w:cs="Arial"/>
          <w:sz w:val="22"/>
          <w:szCs w:val="22"/>
          <w:highlight w:val="yellow"/>
          <w:lang w:val="en-GB"/>
        </w:rPr>
        <w:t>ourt</w:t>
      </w:r>
      <w:r w:rsidR="00384F62" w:rsidRPr="000127BC">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PargrafodaLista"/>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PargrafodaLista"/>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PargrafodaLista"/>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PargrafodaLista"/>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PargrafodaLista"/>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0032B9" w:rsidRDefault="00391426" w:rsidP="00BE65AA">
      <w:pPr>
        <w:pStyle w:val="PargrafodaLista"/>
        <w:numPr>
          <w:ilvl w:val="0"/>
          <w:numId w:val="12"/>
        </w:numPr>
        <w:ind w:left="426"/>
        <w:jc w:val="both"/>
        <w:rPr>
          <w:rFonts w:ascii="Arial" w:hAnsi="Arial" w:cs="Arial"/>
          <w:sz w:val="22"/>
          <w:szCs w:val="22"/>
          <w:highlight w:val="yellow"/>
          <w:lang w:val="en-GB"/>
        </w:rPr>
      </w:pPr>
      <w:r w:rsidRPr="000032B9">
        <w:rPr>
          <w:rFonts w:ascii="Arial" w:hAnsi="Arial" w:cs="Arial"/>
          <w:sz w:val="22"/>
          <w:szCs w:val="22"/>
          <w:highlight w:val="yellow"/>
          <w:lang w:val="en-GB"/>
        </w:rPr>
        <w:t>Not being able to travel overseas at all</w:t>
      </w:r>
      <w:r w:rsidR="00384F62" w:rsidRPr="000032B9">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PargrafodaLista"/>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PargrafodaLista"/>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PargrafodaLista"/>
        <w:ind w:left="426"/>
        <w:jc w:val="both"/>
        <w:rPr>
          <w:rFonts w:ascii="Arial" w:hAnsi="Arial" w:cs="Arial"/>
          <w:sz w:val="22"/>
          <w:szCs w:val="22"/>
          <w:lang w:val="en-GB"/>
        </w:rPr>
      </w:pPr>
    </w:p>
    <w:p w14:paraId="7512816B" w14:textId="1C57A5C8" w:rsidR="008B16E7" w:rsidRPr="000127BC" w:rsidRDefault="0007291B" w:rsidP="00384F62">
      <w:pPr>
        <w:pStyle w:val="PargrafodaLista"/>
        <w:numPr>
          <w:ilvl w:val="0"/>
          <w:numId w:val="16"/>
        </w:numPr>
        <w:ind w:left="426"/>
        <w:jc w:val="both"/>
        <w:rPr>
          <w:rFonts w:ascii="Arial" w:hAnsi="Arial" w:cs="Arial"/>
          <w:sz w:val="22"/>
          <w:szCs w:val="22"/>
          <w:highlight w:val="yellow"/>
          <w:lang w:val="en-GB"/>
        </w:rPr>
      </w:pPr>
      <w:r w:rsidRPr="000127BC">
        <w:rPr>
          <w:rFonts w:ascii="Arial" w:hAnsi="Arial" w:cs="Arial"/>
          <w:sz w:val="22"/>
          <w:szCs w:val="22"/>
          <w:highlight w:val="yellow"/>
          <w:lang w:val="en-GB"/>
        </w:rPr>
        <w:t xml:space="preserve">The </w:t>
      </w:r>
      <w:r w:rsidR="008569B9" w:rsidRPr="000127BC">
        <w:rPr>
          <w:rFonts w:ascii="Arial" w:hAnsi="Arial" w:cs="Arial"/>
          <w:sz w:val="22"/>
          <w:szCs w:val="22"/>
          <w:highlight w:val="yellow"/>
          <w:lang w:val="en-GB"/>
        </w:rPr>
        <w:t>more advantageous realisation of the property than in a liquidation</w:t>
      </w:r>
      <w:r w:rsidR="00384F62" w:rsidRPr="000127BC">
        <w:rPr>
          <w:rFonts w:ascii="Arial" w:hAnsi="Arial" w:cs="Arial"/>
          <w:sz w:val="22"/>
          <w:szCs w:val="22"/>
          <w:highlight w:val="yellow"/>
          <w:lang w:val="en-GB"/>
        </w:rPr>
        <w:t>.</w:t>
      </w:r>
    </w:p>
    <w:p w14:paraId="6BAC1FA2" w14:textId="77777777" w:rsidR="008569B9" w:rsidRPr="00C2645B" w:rsidRDefault="008569B9" w:rsidP="00384F62">
      <w:pPr>
        <w:pStyle w:val="PargrafodaLista"/>
        <w:ind w:left="426"/>
        <w:jc w:val="both"/>
        <w:rPr>
          <w:lang w:val="en-GB"/>
        </w:rPr>
      </w:pPr>
    </w:p>
    <w:p w14:paraId="436FAE60" w14:textId="62D54F54" w:rsidR="008569B9" w:rsidRPr="00384F62" w:rsidRDefault="008B16E7" w:rsidP="00384F62">
      <w:pPr>
        <w:pStyle w:val="PargrafodaLista"/>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PargrafodaLista"/>
        <w:ind w:left="426"/>
        <w:jc w:val="both"/>
        <w:rPr>
          <w:rFonts w:ascii="Arial" w:hAnsi="Arial" w:cs="Arial"/>
          <w:sz w:val="22"/>
          <w:szCs w:val="22"/>
          <w:lang w:val="en-GB"/>
        </w:rPr>
      </w:pPr>
    </w:p>
    <w:p w14:paraId="70FF61A2" w14:textId="2C513065" w:rsidR="00876F56" w:rsidRPr="00C66D43" w:rsidRDefault="0007291B" w:rsidP="00384F62">
      <w:pPr>
        <w:pStyle w:val="PargrafodaLista"/>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4D3F8AA6" w14:textId="4916F528"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In </w:t>
      </w:r>
      <w:r>
        <w:rPr>
          <w:rFonts w:ascii="Arial" w:hAnsi="Arial" w:cs="Arial"/>
          <w:i/>
          <w:iCs/>
          <w:color w:val="7B7B7B" w:themeColor="accent3" w:themeShade="BF"/>
          <w:sz w:val="22"/>
          <w:szCs w:val="22"/>
          <w:lang w:val="en-GB"/>
        </w:rPr>
        <w:t>Sun Electric Power Pte Ltd v RCMA Asia Pte Ltd</w:t>
      </w:r>
      <w:r>
        <w:rPr>
          <w:rFonts w:ascii="Arial" w:hAnsi="Arial" w:cs="Arial"/>
          <w:color w:val="7B7B7B" w:themeColor="accent3" w:themeShade="BF"/>
          <w:sz w:val="22"/>
          <w:szCs w:val="22"/>
          <w:lang w:val="en-GB"/>
        </w:rPr>
        <w:t xml:space="preserve"> [2021] SGCA 60 the Singapore Court of Appeal decided that the inability to pay debts provided by section 125 (2) (c) of the IRD Act as a requirement to apply for a compulsory winding up against a company should be proved through the cash flow test.</w:t>
      </w:r>
    </w:p>
    <w:p w14:paraId="19B6E8E2"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test must consider, between other aspects: all the debts due in the present and near future, if the payment of those debts were demanded or would be in a near future, if the company already demonstrates being unable to pay any debt, the amount and the period </w:t>
      </w:r>
      <w:r>
        <w:rPr>
          <w:rFonts w:ascii="Arial" w:hAnsi="Arial" w:cs="Arial"/>
          <w:color w:val="7B7B7B" w:themeColor="accent3" w:themeShade="BF"/>
          <w:sz w:val="22"/>
          <w:szCs w:val="22"/>
          <w:lang w:val="en-GB"/>
        </w:rPr>
        <w:lastRenderedPageBreak/>
        <w:t>that this payment wasn’t made, the current assets and those which will be realisable in the near future, the state of the company’s business, etc.</w:t>
      </w:r>
    </w:p>
    <w:p w14:paraId="1910F321"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test, it is possible to see how important it is to prove, in detail, the actual financial distress that the company is experiencing and if it’s a problem that will really affect the continuation of the company’s business in the near future or if it is a temporary situation, which could be the case, to apply for a type of corporate rescue instead of a liquidation.</w:t>
      </w: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164B7348" w14:textId="77777777" w:rsidR="000127BC" w:rsidRDefault="000127BC" w:rsidP="000127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Four examples of new features introduced by the amendment of the IRD Act in 2017 are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the restriction of the ipso fact clause (section 440 of the IRD Act); (ii) the provision of a new and simplified proceeding to assetless or companies with little assets (section 209 to 211 of the IRD Act; (iii) the new notion of wrongful trading with the inclusion of personal liability (section 239 of the act); and (iv) the voluntary judicial management, that can be initiated without needing to apply to the court.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2F5B0468"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alternatives to formal bankruptcy is the </w:t>
      </w:r>
      <w:r>
        <w:rPr>
          <w:rFonts w:ascii="Arial" w:hAnsi="Arial" w:cs="Arial"/>
          <w:b/>
          <w:bCs/>
          <w:color w:val="7B7B7B" w:themeColor="accent3" w:themeShade="BF"/>
          <w:sz w:val="22"/>
          <w:szCs w:val="22"/>
          <w:lang w:val="en-GB"/>
        </w:rPr>
        <w:t>Voluntary Arrangement</w:t>
      </w:r>
      <w:r>
        <w:rPr>
          <w:rFonts w:ascii="Arial" w:hAnsi="Arial" w:cs="Arial"/>
          <w:color w:val="7B7B7B" w:themeColor="accent3" w:themeShade="BF"/>
          <w:sz w:val="22"/>
          <w:szCs w:val="22"/>
          <w:lang w:val="en-GB"/>
        </w:rPr>
        <w:t>. As the name says, it is a proceeding initiated by the debtor and has the goal to renegotiate the debts with the creditors (section 276, IRD Act). When the Court makes an interim order to initiate the Voluntary Arrangement, it may grant a moratorium to avoid the beginning or continuing of actions against the person or property of the debtor, including a bankruptcy application (section 278, IRD Act).</w:t>
      </w:r>
    </w:p>
    <w:p w14:paraId="51C4D53C"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interim order is in effect for 42 days after the debtor makes that application and that period can be extended by the Court.</w:t>
      </w:r>
    </w:p>
    <w:p w14:paraId="07353545"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that proceeding, the debtor appoints a licensed insolvency practitioner as a nominee, who will be responsible to supervise the process and act as a trustee, so one of its responsibilities is to preside over the meeting with creditors that will vote in the arrangement proposed by the debtor and report the decision to the Court.</w:t>
      </w:r>
    </w:p>
    <w:p w14:paraId="1F493CB5"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purpose made by the debtor must be approved by the majority of creditors to be bound and the consequence, if the debtor doesn’t follow the agreement, is that one of the creditors may make an application for bankruptcy.</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478FD4A8" w14:textId="77777777" w:rsidR="000127BC" w:rsidRDefault="000127BC" w:rsidP="000127BC">
      <w:pPr>
        <w:jc w:val="both"/>
        <w:rPr>
          <w:rFonts w:ascii="Arial" w:hAnsi="Arial" w:cs="Arial"/>
          <w:sz w:val="22"/>
          <w:szCs w:val="22"/>
        </w:rPr>
      </w:pPr>
    </w:p>
    <w:p w14:paraId="73DE0147"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and a judicial manager may bring actions to void transactions made in the suspect period (prior to the beginning of the liquidation or judicial management) that has the potential to interfere in the company’s assets and, consequently, the fair distribution between creditors. Two examples are actions against transactions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give creditors or guarantors unfair preference or (ii) were undervalued.</w:t>
      </w:r>
    </w:p>
    <w:p w14:paraId="26E3EF3D" w14:textId="77777777" w:rsidR="000127BC" w:rsidRDefault="000127BC" w:rsidP="000127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lastRenderedPageBreak/>
        <w:t>To bring action to invalid transactions that give  a creditor or guarantor unfair preference, the liquidator or judicial manager may apply to the Court, proving that the company does or suffers anything that “</w:t>
      </w:r>
      <w:r>
        <w:rPr>
          <w:rFonts w:ascii="Arial" w:hAnsi="Arial" w:cs="Arial"/>
          <w:i/>
          <w:iCs/>
          <w:color w:val="7B7B7B" w:themeColor="accent3" w:themeShade="BF"/>
          <w:sz w:val="22"/>
          <w:szCs w:val="22"/>
        </w:rPr>
        <w:t>has the effect of putting that person into a position which, in the event of the company’s winding up, will be better than the position that person would have been in if that thing had not been done</w:t>
      </w:r>
      <w:r>
        <w:rPr>
          <w:rFonts w:ascii="Arial" w:hAnsi="Arial" w:cs="Arial"/>
          <w:color w:val="7B7B7B" w:themeColor="accent3" w:themeShade="BF"/>
          <w:sz w:val="22"/>
          <w:szCs w:val="22"/>
        </w:rPr>
        <w:t>” (section 225 (3) (b) of the IRD Act).</w:t>
      </w:r>
    </w:p>
    <w:p w14:paraId="115DC71D" w14:textId="77777777" w:rsidR="000127BC" w:rsidRDefault="000127BC" w:rsidP="000127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that case, the liquidator or judicial manager must also prove that the company had the intention of giving that creditor or guarantor the preference (section 225 (4)), that the transaction occurred in 2 years before the commencement of the insolvency proceeding, and that the company was unable to pay its debts in that period or became unable as a consequence of the transaction (section 226 (1) (b) and (2)).</w:t>
      </w:r>
    </w:p>
    <w:p w14:paraId="55AC4FBE" w14:textId="6BDD78BC" w:rsidR="000127BC" w:rsidRDefault="000127BC" w:rsidP="000127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Once the</w:t>
      </w:r>
      <w:r>
        <w:rPr>
          <w:rFonts w:ascii="Arial" w:hAnsi="Arial" w:cs="Arial"/>
          <w:color w:val="7B7B7B" w:themeColor="accent3" w:themeShade="BF"/>
          <w:sz w:val="22"/>
          <w:szCs w:val="22"/>
        </w:rPr>
        <w:t xml:space="preserve"> unfair preference has been proven, the Court may make an order to “restore the position to what it would have been if the company had not given that unfair preference” (section 225 (2)).</w:t>
      </w:r>
    </w:p>
    <w:p w14:paraId="08D5A129" w14:textId="77777777" w:rsidR="000127BC" w:rsidRDefault="000127BC" w:rsidP="000127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other hand</w:t>
      </w:r>
      <w:r>
        <w:rPr>
          <w:rFonts w:ascii="Arial" w:hAnsi="Arial" w:cs="Arial"/>
          <w:color w:val="7B7B7B" w:themeColor="accent3" w:themeShade="BF"/>
          <w:sz w:val="22"/>
          <w:szCs w:val="22"/>
        </w:rPr>
        <w:t>, t</w:t>
      </w:r>
      <w:r w:rsidR="00627CFF">
        <w:rPr>
          <w:rFonts w:ascii="Arial" w:hAnsi="Arial" w:cs="Arial"/>
          <w:color w:val="7B7B7B" w:themeColor="accent3" w:themeShade="BF"/>
          <w:sz w:val="22"/>
          <w:szCs w:val="22"/>
        </w:rPr>
        <w:t xml:space="preserve">he action to void undervalue transaction, </w:t>
      </w:r>
      <w:r>
        <w:rPr>
          <w:rFonts w:ascii="Arial" w:hAnsi="Arial" w:cs="Arial"/>
          <w:color w:val="7B7B7B" w:themeColor="accent3" w:themeShade="BF"/>
          <w:sz w:val="22"/>
          <w:szCs w:val="22"/>
        </w:rPr>
        <w:t>the liquidator or judicial manager must prove that the company gave a gift or made a transaction with someone at an undervalue in 3 years before the commencement of winding up or judicial management, time that the company was insolvent or becomes so as a consequence of this transaction (sections 224 (3) and 226 (2)).</w:t>
      </w:r>
    </w:p>
    <w:p w14:paraId="06944C88" w14:textId="77777777" w:rsidR="000127BC" w:rsidRDefault="000127BC" w:rsidP="000127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or judicial manager must prove that the company wasn’t acting in good faith and didn’t believe that this transaction would benefit the company (section 224 (4)).</w:t>
      </w:r>
    </w:p>
    <w:p w14:paraId="0248BE73" w14:textId="77777777" w:rsidR="000127BC" w:rsidRDefault="000127BC" w:rsidP="000127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Another important thing that should be considered is if the person who benefits from the transaction is or isn’t “</w:t>
      </w:r>
      <w:r>
        <w:rPr>
          <w:rFonts w:ascii="Arial" w:hAnsi="Arial" w:cs="Arial"/>
          <w:i/>
          <w:iCs/>
          <w:color w:val="7B7B7B" w:themeColor="accent3" w:themeShade="BF"/>
          <w:sz w:val="22"/>
          <w:szCs w:val="22"/>
        </w:rPr>
        <w:t>connected with the company</w:t>
      </w:r>
      <w:r>
        <w:rPr>
          <w:rFonts w:ascii="Arial" w:hAnsi="Arial" w:cs="Arial"/>
          <w:color w:val="7B7B7B" w:themeColor="accent3" w:themeShade="BF"/>
          <w:sz w:val="22"/>
          <w:szCs w:val="22"/>
        </w:rPr>
        <w:t>”, because when we talk about a connected person, there’s a presumption that the company was unable to pay its debts or becomes so as a result of the transaction (section 226 (3)).</w:t>
      </w:r>
    </w:p>
    <w:p w14:paraId="3BBEE85E" w14:textId="77777777" w:rsidR="000127BC" w:rsidRDefault="000127BC" w:rsidP="000127BC">
      <w:pPr>
        <w:ind w:firstLine="709"/>
        <w:jc w:val="both"/>
        <w:rPr>
          <w:rFonts w:ascii="Arial" w:hAnsi="Arial" w:cs="Arial"/>
          <w:sz w:val="22"/>
          <w:szCs w:val="22"/>
        </w:rPr>
      </w:pPr>
      <w:r>
        <w:rPr>
          <w:rFonts w:ascii="Arial" w:hAnsi="Arial" w:cs="Arial"/>
          <w:color w:val="7B7B7B" w:themeColor="accent3" w:themeShade="BF"/>
          <w:sz w:val="22"/>
          <w:szCs w:val="22"/>
        </w:rPr>
        <w:t>If all the requirements are verified, the Court may also make an order to restore the position that existed before the transaction (section 225, (2)).</w:t>
      </w:r>
    </w:p>
    <w:p w14:paraId="25E52689" w14:textId="77777777" w:rsidR="000127BC" w:rsidRDefault="000127BC" w:rsidP="000127BC">
      <w:pPr>
        <w:ind w:left="720" w:hanging="720"/>
        <w:jc w:val="both"/>
        <w:rPr>
          <w:rFonts w:ascii="Arial" w:hAnsi="Arial" w:cs="Arial"/>
          <w:sz w:val="22"/>
          <w:szCs w:val="22"/>
        </w:rPr>
      </w:pPr>
    </w:p>
    <w:p w14:paraId="703729DF" w14:textId="63040BB7" w:rsidR="007E40F0" w:rsidRPr="00323BF3" w:rsidRDefault="007E40F0" w:rsidP="000127BC">
      <w:pPr>
        <w:ind w:firstLine="709"/>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743CA720"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Judicial Management is a creditor-in-possession restructuring procedure that usually needs to be filled by the directors of the company (by board resolution), the company itself (by members resolution), or one or more creditors in the Court.</w:t>
      </w:r>
    </w:p>
    <w:p w14:paraId="55E46944"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applier must prove in the moment of the application that the company is or will become unable to pay its debts and there’s a probability that after the proceeding the company will be rescued totally or partially from the financial distress or that the realisation of its assets made by the Judicial Manager will be profitable than the realisation through a winding-up proceeding.</w:t>
      </w:r>
    </w:p>
    <w:p w14:paraId="36A72C3F"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Voluntary Judicial Management is a type of judicial management introduced by the IRD Act 2018. Different from the judicial management, this proceeding is initiated out-of-court by the company when it gets a resolution of the company’s creditors approving the judicial management.</w:t>
      </w:r>
    </w:p>
    <w:p w14:paraId="46593EDC"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still needs to prove that the company is or will soon be unable to pay its debts and that the expected result of the proceeding will rescue the company or at least will be better than a result achieved by a winding-up proceeding, but the main difference is that the company can choose </w:t>
      </w:r>
      <w:proofErr w:type="spellStart"/>
      <w:r>
        <w:rPr>
          <w:rFonts w:ascii="Arial" w:hAnsi="Arial" w:cs="Arial"/>
          <w:color w:val="7B7B7B" w:themeColor="accent3" w:themeShade="BF"/>
          <w:sz w:val="22"/>
          <w:szCs w:val="22"/>
          <w:lang w:val="en-GB"/>
        </w:rPr>
        <w:t>a</w:t>
      </w:r>
      <w:proofErr w:type="spellEnd"/>
      <w:r>
        <w:rPr>
          <w:rFonts w:ascii="Arial" w:hAnsi="Arial" w:cs="Arial"/>
          <w:color w:val="7B7B7B" w:themeColor="accent3" w:themeShade="BF"/>
          <w:sz w:val="22"/>
          <w:szCs w:val="22"/>
          <w:lang w:val="en-GB"/>
        </w:rPr>
        <w:t xml:space="preserve"> interim judicial manager (following the requirements of the section 94 (3) of the IRD Act) and is mandatory the assembly of a creditors meeting where, between other subjects, it will be deliberated if the company will be placed under judicial management (which depends on the approval of the majority of creditors in number and value - section 94 (11) (d)) and, once approved, the creditors must appoint a formal judicial manager, who will replace the interim one</w:t>
      </w:r>
    </w:p>
    <w:p w14:paraId="68CD4CD2" w14:textId="77777777" w:rsidR="000127BC" w:rsidRDefault="000127BC" w:rsidP="000127B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Once the creditors approve the initiation of judicial management, a judicial order is not necessary, but the company must write a notice to the Official Receiver and to the Register of Companies informing that one interim judicial manager was appointed (section 94 (5)).</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PargrafodaLista"/>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PargrafodaLista"/>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PargrafodaLista"/>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PargrafodaLista"/>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PargrafodaLista"/>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PargrafodaLista"/>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 xml:space="preserve">to </w:t>
      </w:r>
      <w:r>
        <w:rPr>
          <w:rFonts w:ascii="Arial" w:hAnsi="Arial" w:cs="Arial"/>
          <w:sz w:val="22"/>
          <w:szCs w:val="22"/>
          <w:lang w:val="en-GB"/>
        </w:rPr>
        <w:lastRenderedPageBreak/>
        <w:t>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10DBBE43" w14:textId="77777777" w:rsidR="000127BC" w:rsidRDefault="000127BC" w:rsidP="000127B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must prove that it proposes or intends to propose an arrangement with all or part of its creditors. If the arrangement was already proposed, the company must prove that the creditors involved in the arrangement support the plan; or in the case of the company, where there is the intention to propose the arrangement, its necessary to prove to the court that the arrangement is feasible.</w:t>
      </w:r>
    </w:p>
    <w:p w14:paraId="591EB979" w14:textId="77777777" w:rsidR="000127BC" w:rsidRDefault="000127BC" w:rsidP="000127BC">
      <w:pPr>
        <w:ind w:firstLine="709"/>
        <w:jc w:val="both"/>
        <w:rPr>
          <w:rFonts w:ascii="Arial" w:hAnsi="Arial" w:cs="Arial"/>
          <w:sz w:val="22"/>
          <w:szCs w:val="22"/>
          <w:lang w:val="en-GB"/>
        </w:rPr>
      </w:pPr>
      <w:r>
        <w:rPr>
          <w:rFonts w:ascii="Arial" w:hAnsi="Arial" w:cs="Arial"/>
          <w:color w:val="7B7B7B" w:themeColor="accent3" w:themeShade="BF"/>
          <w:sz w:val="22"/>
          <w:szCs w:val="22"/>
        </w:rPr>
        <w:t>Besides that, the company has to publish the notice of the application in the official gazette, in at least one English daily newspaper and needs to notify its creditors (the court may dismiss this requirement) and provide to the court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a list of its secured and unsecured credits; and (ii) documents to demonstrate the financial situation of the company (section 64 (3), (4) and (6).</w:t>
      </w: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284A4348"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65(1) provides the possibility of extending the moratorium granted to a company to its subsidiary, holding company or ultimate holding company. It’s a possibility available to companies related to the one that applied for the moratorium under section 64(1) – called the ‘subject company’. They receive the same benefit in order to guarantee the success of the arrangement proposed or that will be proposed by the subject company.</w:t>
      </w:r>
    </w:p>
    <w:p w14:paraId="4403F321" w14:textId="77777777" w:rsidR="00315D27" w:rsidRDefault="00315D27" w:rsidP="00315D27">
      <w:pPr>
        <w:ind w:firstLine="709"/>
        <w:jc w:val="both"/>
        <w:rPr>
          <w:rFonts w:ascii="Arial" w:hAnsi="Arial" w:cs="Arial"/>
          <w:sz w:val="22"/>
          <w:szCs w:val="22"/>
        </w:rPr>
      </w:pPr>
      <w:r>
        <w:rPr>
          <w:rFonts w:ascii="Arial" w:hAnsi="Arial" w:cs="Arial"/>
          <w:color w:val="7B7B7B" w:themeColor="accent3" w:themeShade="BF"/>
          <w:sz w:val="22"/>
          <w:szCs w:val="22"/>
        </w:rPr>
        <w:t xml:space="preserve">It’s important to note that the relation between the companies isn’t just a formal organization of a company group, but the subsidiary or holding company must prove that it plays an important role in the arrangement proposed or that will be proposed by the subject company and any action taken against that related company can compromise the success of the arrangement. </w:t>
      </w:r>
    </w:p>
    <w:p w14:paraId="073CA7D3" w14:textId="77777777" w:rsidR="00384F62" w:rsidRPr="00315D27" w:rsidRDefault="00384F62" w:rsidP="00384F62">
      <w:pPr>
        <w:jc w:val="both"/>
        <w:rPr>
          <w:rFonts w:ascii="Arial" w:hAnsi="Arial" w:cs="Arial"/>
          <w:sz w:val="22"/>
          <w:szCs w:val="22"/>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PargrafodaLista"/>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32DDBEB1"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If the company proposes or intends to propose an arrangement between part or all its creditors, the company may apply for a moratorium that can have extra territorial effect if the company requires that this order must be applied to a specific person or act that takes place outside of Singapore, according to section 64 (5) (b) of IRD Act.</w:t>
      </w:r>
    </w:p>
    <w:p w14:paraId="7FE95CB2" w14:textId="77777777" w:rsidR="00315D27" w:rsidRDefault="00315D27" w:rsidP="00315D27">
      <w:pPr>
        <w:ind w:firstLine="709"/>
        <w:jc w:val="both"/>
        <w:rPr>
          <w:rFonts w:ascii="Arial" w:hAnsi="Arial" w:cs="Arial"/>
          <w:sz w:val="22"/>
          <w:szCs w:val="22"/>
        </w:rPr>
      </w:pPr>
      <w:r>
        <w:rPr>
          <w:rFonts w:ascii="Arial" w:hAnsi="Arial" w:cs="Arial"/>
          <w:color w:val="7B7B7B" w:themeColor="accent3" w:themeShade="BF"/>
          <w:sz w:val="22"/>
          <w:szCs w:val="22"/>
        </w:rPr>
        <w:t>In that case, the extra territorial effect and the person or act must be expressed by the Courts decision.</w:t>
      </w:r>
    </w:p>
    <w:p w14:paraId="6F9CA317" w14:textId="77777777" w:rsidR="00384F62" w:rsidRPr="00315D27" w:rsidRDefault="00384F62" w:rsidP="00384F62">
      <w:pPr>
        <w:jc w:val="both"/>
        <w:rPr>
          <w:rFonts w:ascii="Arial" w:hAnsi="Arial" w:cs="Arial"/>
          <w:sz w:val="22"/>
          <w:szCs w:val="22"/>
        </w:rPr>
      </w:pPr>
    </w:p>
    <w:p w14:paraId="6DDB3861" w14:textId="77777777" w:rsidR="00384F62" w:rsidRPr="004076F1" w:rsidRDefault="00384F62" w:rsidP="00384F62">
      <w:pPr>
        <w:pStyle w:val="PargrafodaLista"/>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5740104D" w14:textId="77777777" w:rsidR="00315D27" w:rsidRDefault="00315D27" w:rsidP="00315D27">
      <w:pPr>
        <w:ind w:firstLine="709"/>
        <w:jc w:val="both"/>
        <w:rPr>
          <w:rFonts w:ascii="Arial" w:hAnsi="Arial" w:cs="Arial"/>
          <w:color w:val="7B7B7B" w:themeColor="accent3" w:themeShade="BF"/>
          <w:sz w:val="22"/>
          <w:szCs w:val="22"/>
        </w:rPr>
      </w:pPr>
    </w:p>
    <w:p w14:paraId="644FD323" w14:textId="4FBE3F33"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210 (1) of the Companies Act establishes a proceeding where a liquidator, a company or its creditor, member or holder may apply to a court to have an order that consists of organizing a meeting with the interested parties to vote on an arrangement.</w:t>
      </w:r>
    </w:p>
    <w:p w14:paraId="6563C7F2"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arrangement may be proposed between the company and its creditors, members or holders (totally or partially) and needs to be approved by the majority of the participants voting (creditor, members or holders, depends on the object of the arrangement), which must represent three-fours of the value managed in that specific case, to bind all parts of the arrangement. </w:t>
      </w:r>
    </w:p>
    <w:p w14:paraId="3FFA6DC6"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If a company decides to apply for a Court to commence a scheme of arrangement, the company will need to specify to the court which creditors will be involved in the negotiation and these creditors will need to be divided in different classes that will vote separately in the arrangement. The court will call a meeting and notify the creditors involved in the scheme. These creditors will vote to approve or reject the arrangement. With the creditor’s approval, the company must adhere to the court’s decision.</w:t>
      </w:r>
    </w:p>
    <w:p w14:paraId="05521D20"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prepack scheme of arrangement is like a simplified version of the scheme of arrangement, as the prepack proceeding allows the court to approve the scheme of arrangement without a meeting to deliberate the arrangement.</w:t>
      </w:r>
    </w:p>
    <w:p w14:paraId="3A340016"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that case, the company must prove that the proposed arrangement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was detailed for the creditors involved; (ii) was announced to these creditors and the public in general; (iii) is supported by the creditors in the same proportion as if the meeting had been held.</w:t>
      </w:r>
    </w:p>
    <w:p w14:paraId="77F40CF4"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this application, the company may require a pre-vote of the arrangement by the creditors involved in order to prove their support to the court.</w:t>
      </w:r>
    </w:p>
    <w:p w14:paraId="22C3169A" w14:textId="77777777" w:rsidR="00384F62" w:rsidRPr="00315D27" w:rsidRDefault="00384F62" w:rsidP="00384F62">
      <w:pPr>
        <w:jc w:val="both"/>
        <w:rPr>
          <w:rFonts w:ascii="Arial" w:hAnsi="Arial" w:cs="Arial"/>
          <w:b/>
          <w:bCs/>
          <w:sz w:val="22"/>
          <w:szCs w:val="22"/>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5FD649C7"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rescue financing (or post-commencement financing or DIP financing) is a type of financing where a company had to either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achieve the rescue of the company in a restructuring proceeding (like a scheme of arrangement); or (ii) have a more advantageous realization of the assets if the rescue wasn’t possible.</w:t>
      </w:r>
    </w:p>
    <w:p w14:paraId="3AD94B82"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that case, if the company that has submitted an application to initiate a scheme of arrangement (under section 210(1) of the Companies Act or section 64(1) of the IRD) or had commenced a judicial management, the company may apply to the court to grant a super priority to this financial credit rescue (section 67(1), 101(1) of the IRD Act).</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Corpodetexto"/>
        <w:rPr>
          <w:lang w:val="en-GB"/>
        </w:rPr>
      </w:pPr>
    </w:p>
    <w:p w14:paraId="3D4A4699"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Since 2017, Singapore has adopted the UNCITRAL Model law to deal with cross-border insolvency cases, so the foreign insolvency proceeding can be recognized through an application made by the foreign representative of the foreign proceeding.</w:t>
      </w:r>
    </w:p>
    <w:p w14:paraId="6583386B" w14:textId="5D2B70EE"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To do this, the foreign representative must apply to the Singapore Courts with the documents stipulated in article 15 (2) of the Model Law, which includes proof of the decision that initiated the foreign proceeding (with the proof that this specific court had international jurisdiction over the case</w:t>
      </w:r>
      <w:r w:rsidR="0067412A">
        <w:rPr>
          <w:rFonts w:ascii="Arial" w:hAnsi="Arial" w:cs="Arial"/>
          <w:color w:val="7B7B7B" w:themeColor="accent3" w:themeShade="BF"/>
          <w:sz w:val="22"/>
          <w:szCs w:val="22"/>
        </w:rPr>
        <w:t>) and</w:t>
      </w:r>
      <w:r>
        <w:rPr>
          <w:rFonts w:ascii="Arial" w:hAnsi="Arial" w:cs="Arial"/>
          <w:color w:val="7B7B7B" w:themeColor="accent3" w:themeShade="BF"/>
          <w:sz w:val="22"/>
          <w:szCs w:val="22"/>
        </w:rPr>
        <w:t xml:space="preserve"> the power </w:t>
      </w:r>
      <w:r w:rsidR="0067412A">
        <w:rPr>
          <w:rFonts w:ascii="Arial" w:hAnsi="Arial" w:cs="Arial"/>
          <w:color w:val="7B7B7B" w:themeColor="accent3" w:themeShade="BF"/>
          <w:sz w:val="22"/>
          <w:szCs w:val="22"/>
        </w:rPr>
        <w:t xml:space="preserve">granted to </w:t>
      </w:r>
      <w:r>
        <w:rPr>
          <w:rFonts w:ascii="Arial" w:hAnsi="Arial" w:cs="Arial"/>
          <w:color w:val="7B7B7B" w:themeColor="accent3" w:themeShade="BF"/>
          <w:sz w:val="22"/>
          <w:szCs w:val="22"/>
        </w:rPr>
        <w:t>the foreign representative</w:t>
      </w:r>
      <w:r w:rsidR="001E2B01">
        <w:rPr>
          <w:rFonts w:ascii="Arial" w:hAnsi="Arial" w:cs="Arial"/>
          <w:color w:val="7B7B7B" w:themeColor="accent3" w:themeShade="BF"/>
          <w:sz w:val="22"/>
          <w:szCs w:val="22"/>
        </w:rPr>
        <w:t>.</w:t>
      </w:r>
    </w:p>
    <w:p w14:paraId="76183CBB" w14:textId="77777777"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Once recognized, it will be possible to grant a moratorium or stay of the actions and executions against the debtor, depending on the type of proceeding (if main or secondary, according to article 20 of the Model Law).</w:t>
      </w:r>
    </w:p>
    <w:p w14:paraId="1ADEC64D" w14:textId="0179A4CD" w:rsidR="00315D27" w:rsidRDefault="00315D27" w:rsidP="00315D2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It’s important to note that the Singapore Court may refuse to </w:t>
      </w:r>
      <w:r w:rsidRPr="00315D27">
        <w:rPr>
          <w:rFonts w:ascii="Arial" w:hAnsi="Arial" w:cs="Arial"/>
          <w:color w:val="7B7B7B" w:themeColor="accent3" w:themeShade="BF"/>
          <w:sz w:val="22"/>
          <w:szCs w:val="22"/>
        </w:rPr>
        <w:t>grant</w:t>
      </w:r>
      <w:r>
        <w:rPr>
          <w:rFonts w:ascii="Arial" w:hAnsi="Arial" w:cs="Arial"/>
          <w:color w:val="7B7B7B" w:themeColor="accent3" w:themeShade="BF"/>
          <w:sz w:val="22"/>
          <w:szCs w:val="22"/>
        </w:rPr>
        <w:t xml:space="preserve"> any order that is contrary to the public polic</w:t>
      </w:r>
      <w:r>
        <w:rPr>
          <w:rFonts w:ascii="Arial" w:hAnsi="Arial" w:cs="Arial"/>
          <w:color w:val="7B7B7B" w:themeColor="accent3" w:themeShade="BF"/>
          <w:sz w:val="22"/>
          <w:szCs w:val="22"/>
        </w:rPr>
        <w:t>y</w:t>
      </w:r>
      <w:r>
        <w:rPr>
          <w:rFonts w:ascii="Arial" w:hAnsi="Arial" w:cs="Arial"/>
          <w:color w:val="7B7B7B" w:themeColor="accent3" w:themeShade="BF"/>
          <w:sz w:val="22"/>
          <w:szCs w:val="22"/>
        </w:rPr>
        <w:t xml:space="preserve"> of Singapore (article 6 of the model law).</w:t>
      </w:r>
    </w:p>
    <w:p w14:paraId="66D4B224" w14:textId="77777777" w:rsidR="00384F62" w:rsidRPr="00315D27" w:rsidRDefault="00384F62" w:rsidP="00384F62">
      <w:pPr>
        <w:pStyle w:val="Corpodetexto"/>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8569" w14:textId="77777777" w:rsidR="005C06FD" w:rsidRDefault="005C06FD">
      <w:r>
        <w:separator/>
      </w:r>
    </w:p>
  </w:endnote>
  <w:endnote w:type="continuationSeparator" w:id="0">
    <w:p w14:paraId="02B30641" w14:textId="77777777" w:rsidR="005C06FD" w:rsidRDefault="005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71CA4A86" w14:textId="77777777" w:rsidR="008569B9" w:rsidRPr="00FC7B47" w:rsidRDefault="008569B9"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899F0F6" w14:textId="77777777" w:rsidR="008569B9" w:rsidRPr="00FC7B47" w:rsidRDefault="008569B9"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6DF9108" w14:textId="07899691" w:rsidR="008569B9" w:rsidRPr="009B4976" w:rsidRDefault="008569B9"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C2645B">
          <w:rPr>
            <w:rStyle w:val="Nmerodepgina"/>
            <w:rFonts w:ascii="Arial" w:hAnsi="Arial" w:cs="Arial"/>
            <w:b/>
            <w:bCs/>
            <w:noProof/>
            <w:sz w:val="18"/>
            <w:szCs w:val="18"/>
          </w:rPr>
          <w:t>2</w:t>
        </w:r>
        <w:r w:rsidRPr="0010593A">
          <w:rPr>
            <w:rStyle w:val="Nmerodepgina"/>
            <w:rFonts w:ascii="Arial" w:hAnsi="Arial" w:cs="Arial"/>
            <w:b/>
            <w:bCs/>
            <w:sz w:val="18"/>
            <w:szCs w:val="18"/>
          </w:rPr>
          <w:fldChar w:fldCharType="end"/>
        </w:r>
      </w:p>
    </w:sdtContent>
  </w:sdt>
  <w:p w14:paraId="09CBBDDF" w14:textId="2CF840D2" w:rsidR="008569B9" w:rsidRPr="009B4976" w:rsidRDefault="00F258BA" w:rsidP="009B4976">
    <w:pPr>
      <w:pStyle w:val="Rodap"/>
      <w:ind w:right="360"/>
      <w:rPr>
        <w:rFonts w:ascii="Arial" w:hAnsi="Arial" w:cs="Arial"/>
        <w:sz w:val="18"/>
        <w:szCs w:val="18"/>
        <w:lang w:val="en-GB"/>
      </w:rPr>
    </w:pPr>
    <w:r>
      <w:rPr>
        <w:rFonts w:ascii="Arial" w:hAnsi="Arial" w:cs="Arial"/>
        <w:sz w:val="18"/>
        <w:szCs w:val="18"/>
        <w:lang w:val="en-GB"/>
      </w:rPr>
      <w:t>202122-561</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3531" w14:textId="77777777" w:rsidR="005C06FD" w:rsidRDefault="005C06FD">
      <w:r>
        <w:separator/>
      </w:r>
    </w:p>
  </w:footnote>
  <w:footnote w:type="continuationSeparator" w:id="0">
    <w:p w14:paraId="4DA632CC" w14:textId="77777777" w:rsidR="005C06FD" w:rsidRDefault="005C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3"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4"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243808106">
    <w:abstractNumId w:val="3"/>
  </w:num>
  <w:num w:numId="2" w16cid:durableId="324893871">
    <w:abstractNumId w:val="2"/>
  </w:num>
  <w:num w:numId="3" w16cid:durableId="160195765">
    <w:abstractNumId w:val="7"/>
  </w:num>
  <w:num w:numId="4" w16cid:durableId="531235370">
    <w:abstractNumId w:val="0"/>
  </w:num>
  <w:num w:numId="5" w16cid:durableId="2135975434">
    <w:abstractNumId w:val="8"/>
  </w:num>
  <w:num w:numId="6" w16cid:durableId="504250508">
    <w:abstractNumId w:val="15"/>
  </w:num>
  <w:num w:numId="7" w16cid:durableId="881751871">
    <w:abstractNumId w:val="1"/>
  </w:num>
  <w:num w:numId="8" w16cid:durableId="477456524">
    <w:abstractNumId w:val="12"/>
  </w:num>
  <w:num w:numId="9" w16cid:durableId="1256094973">
    <w:abstractNumId w:val="13"/>
  </w:num>
  <w:num w:numId="10" w16cid:durableId="1444417967">
    <w:abstractNumId w:val="6"/>
  </w:num>
  <w:num w:numId="11" w16cid:durableId="1825508499">
    <w:abstractNumId w:val="11"/>
  </w:num>
  <w:num w:numId="12" w16cid:durableId="1722483342">
    <w:abstractNumId w:val="9"/>
  </w:num>
  <w:num w:numId="13" w16cid:durableId="4981428">
    <w:abstractNumId w:val="10"/>
  </w:num>
  <w:num w:numId="14" w16cid:durableId="1578855435">
    <w:abstractNumId w:val="14"/>
  </w:num>
  <w:num w:numId="15" w16cid:durableId="1433739181">
    <w:abstractNumId w:val="5"/>
  </w:num>
  <w:num w:numId="16" w16cid:durableId="38957756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2B9"/>
    <w:rsid w:val="000036E5"/>
    <w:rsid w:val="00010BA0"/>
    <w:rsid w:val="000127BC"/>
    <w:rsid w:val="00015FF5"/>
    <w:rsid w:val="00020557"/>
    <w:rsid w:val="000214ED"/>
    <w:rsid w:val="00021FC2"/>
    <w:rsid w:val="000232A1"/>
    <w:rsid w:val="000250C7"/>
    <w:rsid w:val="00026F16"/>
    <w:rsid w:val="00033C8E"/>
    <w:rsid w:val="00037621"/>
    <w:rsid w:val="000379D6"/>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378"/>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2B01"/>
    <w:rsid w:val="001E49E0"/>
    <w:rsid w:val="001E7B5A"/>
    <w:rsid w:val="001F7412"/>
    <w:rsid w:val="0020090A"/>
    <w:rsid w:val="00202DFE"/>
    <w:rsid w:val="0020725B"/>
    <w:rsid w:val="002110F1"/>
    <w:rsid w:val="002208D9"/>
    <w:rsid w:val="0022171F"/>
    <w:rsid w:val="00223CAE"/>
    <w:rsid w:val="002311E3"/>
    <w:rsid w:val="00233987"/>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67ED7"/>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15D27"/>
    <w:rsid w:val="00323BF3"/>
    <w:rsid w:val="0032487A"/>
    <w:rsid w:val="00326292"/>
    <w:rsid w:val="00326415"/>
    <w:rsid w:val="00330937"/>
    <w:rsid w:val="00330F31"/>
    <w:rsid w:val="0033447F"/>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3CA"/>
    <w:rsid w:val="003B170F"/>
    <w:rsid w:val="003B3C5F"/>
    <w:rsid w:val="003B6014"/>
    <w:rsid w:val="003C4471"/>
    <w:rsid w:val="003C6FAB"/>
    <w:rsid w:val="003D0A6D"/>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0CE4"/>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366"/>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06FD"/>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CFF"/>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412A"/>
    <w:rsid w:val="00677AEB"/>
    <w:rsid w:val="00680EF2"/>
    <w:rsid w:val="00684441"/>
    <w:rsid w:val="00687A1D"/>
    <w:rsid w:val="00697EA1"/>
    <w:rsid w:val="006A2646"/>
    <w:rsid w:val="006A6530"/>
    <w:rsid w:val="006B435A"/>
    <w:rsid w:val="006B4C64"/>
    <w:rsid w:val="006C03D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603F5"/>
    <w:rsid w:val="00764DB0"/>
    <w:rsid w:val="0076764D"/>
    <w:rsid w:val="00773907"/>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A03A4"/>
    <w:rsid w:val="008A4DF2"/>
    <w:rsid w:val="008A6CFE"/>
    <w:rsid w:val="008B0F78"/>
    <w:rsid w:val="008B155E"/>
    <w:rsid w:val="008B16E7"/>
    <w:rsid w:val="008B5333"/>
    <w:rsid w:val="008B6223"/>
    <w:rsid w:val="008B779D"/>
    <w:rsid w:val="008C66E0"/>
    <w:rsid w:val="008E3339"/>
    <w:rsid w:val="008F20FC"/>
    <w:rsid w:val="008F5FFE"/>
    <w:rsid w:val="00905A43"/>
    <w:rsid w:val="00912C79"/>
    <w:rsid w:val="00921B8C"/>
    <w:rsid w:val="00942123"/>
    <w:rsid w:val="0095207B"/>
    <w:rsid w:val="00954F89"/>
    <w:rsid w:val="009603CC"/>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84D70"/>
    <w:rsid w:val="00A915E4"/>
    <w:rsid w:val="00A92054"/>
    <w:rsid w:val="00A94591"/>
    <w:rsid w:val="00A94F39"/>
    <w:rsid w:val="00A96489"/>
    <w:rsid w:val="00AB124F"/>
    <w:rsid w:val="00AB2425"/>
    <w:rsid w:val="00AB4451"/>
    <w:rsid w:val="00AB6201"/>
    <w:rsid w:val="00AB685C"/>
    <w:rsid w:val="00AB6C2D"/>
    <w:rsid w:val="00AC0677"/>
    <w:rsid w:val="00AC08F7"/>
    <w:rsid w:val="00AC3839"/>
    <w:rsid w:val="00AC7082"/>
    <w:rsid w:val="00AD4BE8"/>
    <w:rsid w:val="00AE2020"/>
    <w:rsid w:val="00AE43E0"/>
    <w:rsid w:val="00AF228E"/>
    <w:rsid w:val="00AF44E3"/>
    <w:rsid w:val="00AF5D9C"/>
    <w:rsid w:val="00B00457"/>
    <w:rsid w:val="00B016A8"/>
    <w:rsid w:val="00B14819"/>
    <w:rsid w:val="00B15E2F"/>
    <w:rsid w:val="00B1637A"/>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D17AA"/>
    <w:rsid w:val="00BE4FF3"/>
    <w:rsid w:val="00BE5B8E"/>
    <w:rsid w:val="00BE65AA"/>
    <w:rsid w:val="00BF42A8"/>
    <w:rsid w:val="00BF50F7"/>
    <w:rsid w:val="00C02F29"/>
    <w:rsid w:val="00C041E8"/>
    <w:rsid w:val="00C0731E"/>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02A0"/>
    <w:rsid w:val="00C82D87"/>
    <w:rsid w:val="00C84E08"/>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22C89"/>
    <w:rsid w:val="00D307FA"/>
    <w:rsid w:val="00D442B8"/>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34E"/>
    <w:rsid w:val="00EC441F"/>
    <w:rsid w:val="00EC4755"/>
    <w:rsid w:val="00EC6A65"/>
    <w:rsid w:val="00ED0BC4"/>
    <w:rsid w:val="00ED21C1"/>
    <w:rsid w:val="00ED29B3"/>
    <w:rsid w:val="00ED447D"/>
    <w:rsid w:val="00EE030D"/>
    <w:rsid w:val="00EE1701"/>
    <w:rsid w:val="00EE4971"/>
    <w:rsid w:val="00EE6CB0"/>
    <w:rsid w:val="00EF090E"/>
    <w:rsid w:val="00EF4D30"/>
    <w:rsid w:val="00EF4EE8"/>
    <w:rsid w:val="00EF5572"/>
    <w:rsid w:val="00F01BA7"/>
    <w:rsid w:val="00F033DA"/>
    <w:rsid w:val="00F0392F"/>
    <w:rsid w:val="00F130CF"/>
    <w:rsid w:val="00F13691"/>
    <w:rsid w:val="00F13FB1"/>
    <w:rsid w:val="00F22C53"/>
    <w:rsid w:val="00F23FF9"/>
    <w:rsid w:val="00F258BA"/>
    <w:rsid w:val="00F27CD8"/>
    <w:rsid w:val="00F30351"/>
    <w:rsid w:val="00F3323E"/>
    <w:rsid w:val="00F341F4"/>
    <w:rsid w:val="00F34F9D"/>
    <w:rsid w:val="00F35CCE"/>
    <w:rsid w:val="00F50041"/>
    <w:rsid w:val="00F5524B"/>
    <w:rsid w:val="00F5682A"/>
    <w:rsid w:val="00F60538"/>
    <w:rsid w:val="00F6117C"/>
    <w:rsid w:val="00F61DD2"/>
    <w:rsid w:val="00F66AFF"/>
    <w:rsid w:val="00F674C7"/>
    <w:rsid w:val="00F71433"/>
    <w:rsid w:val="00F7197D"/>
    <w:rsid w:val="00F73185"/>
    <w:rsid w:val="00F74EAE"/>
    <w:rsid w:val="00F83F59"/>
    <w:rsid w:val="00F860C9"/>
    <w:rsid w:val="00F927F0"/>
    <w:rsid w:val="00F97C5B"/>
    <w:rsid w:val="00FA01D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ootnote,Footnote Text Char Char1 Char,Footnote Text Char2 Char,Footnote Text1,Fußnotentext Char Char Char Char,Fußnotentext Char Char Char Char Char Char,Fußnotentext Char Char Char Char Char Char Char Char,Fußnotentextf,fn,ft"/>
    <w:basedOn w:val="Normal"/>
    <w:link w:val="TextodenotaderodapChar"/>
    <w:unhideWhenUsed/>
    <w:rsid w:val="00241B44"/>
    <w:rPr>
      <w:szCs w:val="20"/>
    </w:rPr>
  </w:style>
  <w:style w:type="character" w:customStyle="1" w:styleId="TextodenotaderodapChar">
    <w:name w:val="Texto de nota de rodapé Char"/>
    <w:aliases w:val="Footnote Char,Footnote Text Char Char1 Char Char,Footnote Text Char2 Char Char,Footnote Text1 Char,Fußnotentext Char Char Char Char Char,Fußnotentext Char Char Char Char Char Char Char,Fußnotentextf Char,fn Char,ft Char"/>
    <w:basedOn w:val="Fontepargpadro"/>
    <w:link w:val="Textodenotaderodap"/>
    <w:rsid w:val="00241B44"/>
    <w:rPr>
      <w:sz w:val="20"/>
      <w:szCs w:val="20"/>
    </w:rPr>
  </w:style>
  <w:style w:type="character" w:styleId="Refdenotaderodap">
    <w:name w:val="footnote reference"/>
    <w:aliases w:val=" BVI fnr,-E Fußnotenzeichen,-E Fuûnotenzeichen,-E Fuﬂnotenzeichen,16 Point,BVI fnr,EN Footnote Reference,Footnote Reference Superscript,Footnote Refernece,Footnote numbe,Ref,SUPERS,Superscript 6 Point,callout,de nota al pie,fr"/>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Corpodetexto">
    <w:name w:val="Body Text"/>
    <w:basedOn w:val="Normal"/>
    <w:link w:val="CorpodetextoChar"/>
    <w:rsid w:val="00384F62"/>
    <w:rPr>
      <w:lang w:eastAsia="en-GB"/>
    </w:rPr>
  </w:style>
  <w:style w:type="character" w:customStyle="1" w:styleId="CorpodetextoChar">
    <w:name w:val="Corpo de texto Char"/>
    <w:basedOn w:val="Fontepargpadro"/>
    <w:link w:val="Corpodetexto"/>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043">
      <w:bodyDiv w:val="1"/>
      <w:marLeft w:val="0"/>
      <w:marRight w:val="0"/>
      <w:marTop w:val="0"/>
      <w:marBottom w:val="0"/>
      <w:divBdr>
        <w:top w:val="none" w:sz="0" w:space="0" w:color="auto"/>
        <w:left w:val="none" w:sz="0" w:space="0" w:color="auto"/>
        <w:bottom w:val="none" w:sz="0" w:space="0" w:color="auto"/>
        <w:right w:val="none" w:sz="0" w:space="0" w:color="auto"/>
      </w:divBdr>
    </w:div>
    <w:div w:id="207688984">
      <w:bodyDiv w:val="1"/>
      <w:marLeft w:val="0"/>
      <w:marRight w:val="0"/>
      <w:marTop w:val="0"/>
      <w:marBottom w:val="0"/>
      <w:divBdr>
        <w:top w:val="none" w:sz="0" w:space="0" w:color="auto"/>
        <w:left w:val="none" w:sz="0" w:space="0" w:color="auto"/>
        <w:bottom w:val="none" w:sz="0" w:space="0" w:color="auto"/>
        <w:right w:val="none" w:sz="0" w:space="0" w:color="auto"/>
      </w:divBdr>
    </w:div>
    <w:div w:id="411436874">
      <w:bodyDiv w:val="1"/>
      <w:marLeft w:val="0"/>
      <w:marRight w:val="0"/>
      <w:marTop w:val="0"/>
      <w:marBottom w:val="0"/>
      <w:divBdr>
        <w:top w:val="none" w:sz="0" w:space="0" w:color="auto"/>
        <w:left w:val="none" w:sz="0" w:space="0" w:color="auto"/>
        <w:bottom w:val="none" w:sz="0" w:space="0" w:color="auto"/>
        <w:right w:val="none" w:sz="0" w:space="0" w:color="auto"/>
      </w:divBdr>
    </w:div>
    <w:div w:id="705720630">
      <w:bodyDiv w:val="1"/>
      <w:marLeft w:val="0"/>
      <w:marRight w:val="0"/>
      <w:marTop w:val="0"/>
      <w:marBottom w:val="0"/>
      <w:divBdr>
        <w:top w:val="none" w:sz="0" w:space="0" w:color="auto"/>
        <w:left w:val="none" w:sz="0" w:space="0" w:color="auto"/>
        <w:bottom w:val="none" w:sz="0" w:space="0" w:color="auto"/>
        <w:right w:val="none" w:sz="0" w:space="0" w:color="auto"/>
      </w:divBdr>
    </w:div>
    <w:div w:id="917255569">
      <w:bodyDiv w:val="1"/>
      <w:marLeft w:val="0"/>
      <w:marRight w:val="0"/>
      <w:marTop w:val="0"/>
      <w:marBottom w:val="0"/>
      <w:divBdr>
        <w:top w:val="none" w:sz="0" w:space="0" w:color="auto"/>
        <w:left w:val="none" w:sz="0" w:space="0" w:color="auto"/>
        <w:bottom w:val="none" w:sz="0" w:space="0" w:color="auto"/>
        <w:right w:val="none" w:sz="0" w:space="0" w:color="auto"/>
      </w:divBdr>
    </w:div>
    <w:div w:id="984427902">
      <w:bodyDiv w:val="1"/>
      <w:marLeft w:val="0"/>
      <w:marRight w:val="0"/>
      <w:marTop w:val="0"/>
      <w:marBottom w:val="0"/>
      <w:divBdr>
        <w:top w:val="none" w:sz="0" w:space="0" w:color="auto"/>
        <w:left w:val="none" w:sz="0" w:space="0" w:color="auto"/>
        <w:bottom w:val="none" w:sz="0" w:space="0" w:color="auto"/>
        <w:right w:val="none" w:sz="0" w:space="0" w:color="auto"/>
      </w:divBdr>
    </w:div>
    <w:div w:id="1481927225">
      <w:bodyDiv w:val="1"/>
      <w:marLeft w:val="0"/>
      <w:marRight w:val="0"/>
      <w:marTop w:val="0"/>
      <w:marBottom w:val="0"/>
      <w:divBdr>
        <w:top w:val="none" w:sz="0" w:space="0" w:color="auto"/>
        <w:left w:val="none" w:sz="0" w:space="0" w:color="auto"/>
        <w:bottom w:val="none" w:sz="0" w:space="0" w:color="auto"/>
        <w:right w:val="none" w:sz="0" w:space="0" w:color="auto"/>
      </w:divBdr>
    </w:div>
    <w:div w:id="1502618268">
      <w:bodyDiv w:val="1"/>
      <w:marLeft w:val="0"/>
      <w:marRight w:val="0"/>
      <w:marTop w:val="0"/>
      <w:marBottom w:val="0"/>
      <w:divBdr>
        <w:top w:val="none" w:sz="0" w:space="0" w:color="auto"/>
        <w:left w:val="none" w:sz="0" w:space="0" w:color="auto"/>
        <w:bottom w:val="none" w:sz="0" w:space="0" w:color="auto"/>
        <w:right w:val="none" w:sz="0" w:space="0" w:color="auto"/>
      </w:divBdr>
    </w:div>
    <w:div w:id="1729958646">
      <w:bodyDiv w:val="1"/>
      <w:marLeft w:val="0"/>
      <w:marRight w:val="0"/>
      <w:marTop w:val="0"/>
      <w:marBottom w:val="0"/>
      <w:divBdr>
        <w:top w:val="none" w:sz="0" w:space="0" w:color="auto"/>
        <w:left w:val="none" w:sz="0" w:space="0" w:color="auto"/>
        <w:bottom w:val="none" w:sz="0" w:space="0" w:color="auto"/>
        <w:right w:val="none" w:sz="0" w:space="0" w:color="auto"/>
      </w:divBdr>
    </w:div>
    <w:div w:id="1876456662">
      <w:bodyDiv w:val="1"/>
      <w:marLeft w:val="0"/>
      <w:marRight w:val="0"/>
      <w:marTop w:val="0"/>
      <w:marBottom w:val="0"/>
      <w:divBdr>
        <w:top w:val="none" w:sz="0" w:space="0" w:color="auto"/>
        <w:left w:val="none" w:sz="0" w:space="0" w:color="auto"/>
        <w:bottom w:val="none" w:sz="0" w:space="0" w:color="auto"/>
        <w:right w:val="none" w:sz="0" w:space="0" w:color="auto"/>
      </w:divBdr>
    </w:div>
    <w:div w:id="1898592945">
      <w:bodyDiv w:val="1"/>
      <w:marLeft w:val="0"/>
      <w:marRight w:val="0"/>
      <w:marTop w:val="0"/>
      <w:marBottom w:val="0"/>
      <w:divBdr>
        <w:top w:val="none" w:sz="0" w:space="0" w:color="auto"/>
        <w:left w:val="none" w:sz="0" w:space="0" w:color="auto"/>
        <w:bottom w:val="none" w:sz="0" w:space="0" w:color="auto"/>
        <w:right w:val="none" w:sz="0" w:space="0" w:color="auto"/>
      </w:divBdr>
    </w:div>
    <w:div w:id="20031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4156</Words>
  <Characters>22446</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Marcelly Verdam Farias</cp:lastModifiedBy>
  <cp:revision>4</cp:revision>
  <dcterms:created xsi:type="dcterms:W3CDTF">2022-07-27T14:36:00Z</dcterms:created>
  <dcterms:modified xsi:type="dcterms:W3CDTF">2022-07-27T14:38:00Z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