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of your answers to each question. </w:t>
      </w:r>
      <w:proofErr w:type="gramStart"/>
      <w:r>
        <w:rPr>
          <w:rFonts w:ascii="Arial" w:hAnsi="Arial" w:cs="Arial"/>
          <w:sz w:val="22"/>
          <w:szCs w:val="22"/>
          <w:lang w:val="en-GB"/>
        </w:rPr>
        <w:t>More often than not</w:t>
      </w:r>
      <w:proofErr w:type="gramEnd"/>
      <w:r>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w:t>
      </w:r>
      <w:r w:rsidR="00265D2D">
        <w:rPr>
          <w:rFonts w:ascii="Arial" w:hAnsi="Arial" w:cs="Arial"/>
          <w:bCs/>
          <w:sz w:val="22"/>
          <w:szCs w:val="22"/>
          <w:lang w:val="en-GB"/>
        </w:rPr>
        <w:t>ID</w:t>
      </w:r>
      <w:proofErr w:type="spellEnd"/>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PargrafodaLista"/>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PargrafodaLista"/>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PargrafodaLista"/>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415934" w:rsidRDefault="00AD12C7" w:rsidP="00265D2D">
      <w:pPr>
        <w:pStyle w:val="PargrafodaLista"/>
        <w:numPr>
          <w:ilvl w:val="0"/>
          <w:numId w:val="11"/>
        </w:numPr>
        <w:ind w:left="426"/>
        <w:jc w:val="both"/>
        <w:rPr>
          <w:rFonts w:ascii="Arial" w:hAnsi="Arial" w:cs="Arial"/>
          <w:sz w:val="22"/>
          <w:szCs w:val="22"/>
          <w:highlight w:val="yellow"/>
          <w:lang w:val="en-GB"/>
        </w:rPr>
      </w:pPr>
      <w:r w:rsidRPr="00415934">
        <w:rPr>
          <w:rFonts w:ascii="Arial" w:hAnsi="Arial" w:cs="Arial"/>
          <w:sz w:val="22"/>
          <w:szCs w:val="22"/>
          <w:highlight w:val="yellow"/>
          <w:lang w:val="en-GB"/>
        </w:rPr>
        <w:t>apply to the court for the decision to be reversed or varied</w:t>
      </w:r>
      <w:r w:rsidR="005A2E18" w:rsidRPr="00415934">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A16569" w:rsidRDefault="005A2E18" w:rsidP="00265D2D">
      <w:pPr>
        <w:pStyle w:val="PargrafodaLista"/>
        <w:numPr>
          <w:ilvl w:val="0"/>
          <w:numId w:val="12"/>
        </w:numPr>
        <w:ind w:left="426"/>
        <w:rPr>
          <w:rFonts w:ascii="Arial" w:hAnsi="Arial" w:cs="Arial"/>
          <w:sz w:val="22"/>
          <w:szCs w:val="22"/>
          <w:highlight w:val="yellow"/>
          <w:lang w:val="en-GB"/>
        </w:rPr>
      </w:pPr>
      <w:r w:rsidRPr="00A16569">
        <w:rPr>
          <w:rFonts w:ascii="Arial" w:hAnsi="Arial" w:cs="Arial"/>
          <w:sz w:val="22"/>
          <w:szCs w:val="22"/>
          <w:highlight w:val="yellow"/>
          <w:lang w:val="en-GB"/>
        </w:rPr>
        <w:t>R</w:t>
      </w:r>
      <w:r w:rsidR="00AD12C7" w:rsidRPr="00A16569">
        <w:rPr>
          <w:rFonts w:ascii="Arial" w:hAnsi="Arial" w:cs="Arial"/>
          <w:sz w:val="22"/>
          <w:szCs w:val="22"/>
          <w:highlight w:val="yellow"/>
          <w:lang w:val="en-GB"/>
        </w:rPr>
        <w:t>eceivership</w:t>
      </w:r>
      <w:r w:rsidRPr="00A16569">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PargrafodaLista"/>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PargrafodaLista"/>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PargrafodaLista"/>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A16569" w:rsidRDefault="0089536F" w:rsidP="00265D2D">
      <w:pPr>
        <w:pStyle w:val="PargrafodaLista"/>
        <w:numPr>
          <w:ilvl w:val="0"/>
          <w:numId w:val="13"/>
        </w:numPr>
        <w:ind w:left="426"/>
        <w:jc w:val="both"/>
        <w:rPr>
          <w:rFonts w:ascii="Arial" w:hAnsi="Arial" w:cs="Arial"/>
          <w:sz w:val="22"/>
          <w:szCs w:val="22"/>
          <w:highlight w:val="yellow"/>
          <w:lang w:val="en-GB"/>
        </w:rPr>
      </w:pPr>
      <w:r w:rsidRPr="00A16569">
        <w:rPr>
          <w:rFonts w:ascii="Arial" w:hAnsi="Arial" w:cs="Arial"/>
          <w:sz w:val="22"/>
          <w:szCs w:val="22"/>
          <w:highlight w:val="yellow"/>
          <w:lang w:val="en-GB"/>
        </w:rPr>
        <w:t>creditors’ scheme of arrangement</w:t>
      </w:r>
      <w:r w:rsidR="00265D2D" w:rsidRPr="00A16569">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PargrafodaLista"/>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PargrafodaLista"/>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PargrafodaLista"/>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PargrafodaLista"/>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PargrafodaLista"/>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PargrafodaLista"/>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A16569" w:rsidRDefault="00321D73" w:rsidP="00265D2D">
      <w:pPr>
        <w:pStyle w:val="PargrafodaLista"/>
        <w:numPr>
          <w:ilvl w:val="0"/>
          <w:numId w:val="14"/>
        </w:numPr>
        <w:ind w:left="426"/>
        <w:rPr>
          <w:rFonts w:ascii="Arial" w:hAnsi="Arial" w:cs="Arial"/>
          <w:sz w:val="22"/>
          <w:szCs w:val="22"/>
          <w:highlight w:val="yellow"/>
          <w:lang w:val="en-GB"/>
        </w:rPr>
      </w:pPr>
      <w:r w:rsidRPr="00A16569">
        <w:rPr>
          <w:rFonts w:ascii="Arial" w:hAnsi="Arial" w:cs="Arial"/>
          <w:sz w:val="22"/>
          <w:szCs w:val="22"/>
          <w:highlight w:val="yellow"/>
          <w:lang w:val="en-GB"/>
        </w:rPr>
        <w:t>A</w:t>
      </w:r>
      <w:r w:rsidR="000D2487" w:rsidRPr="00A16569">
        <w:rPr>
          <w:rFonts w:ascii="Arial" w:hAnsi="Arial" w:cs="Arial"/>
          <w:sz w:val="22"/>
          <w:szCs w:val="22"/>
          <w:highlight w:val="yellow"/>
          <w:lang w:val="en-GB"/>
        </w:rPr>
        <w:t xml:space="preserve"> small business restructuring plan</w:t>
      </w:r>
      <w:r w:rsidR="00265D2D" w:rsidRPr="00A16569">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PargrafodaLista"/>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PargrafodaLista"/>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PargrafodaLista"/>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PargrafodaLista"/>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Pr="00A16569" w:rsidRDefault="00FB4C6B" w:rsidP="00265D2D">
      <w:pPr>
        <w:pStyle w:val="PargrafodaLista"/>
        <w:numPr>
          <w:ilvl w:val="0"/>
          <w:numId w:val="15"/>
        </w:numPr>
        <w:ind w:left="426"/>
        <w:rPr>
          <w:rFonts w:ascii="Arial" w:hAnsi="Arial" w:cs="Arial"/>
          <w:sz w:val="22"/>
          <w:szCs w:val="22"/>
          <w:highlight w:val="yellow"/>
          <w:lang w:val="en-GB"/>
        </w:rPr>
      </w:pPr>
      <w:r w:rsidRPr="00A16569">
        <w:rPr>
          <w:rFonts w:ascii="Arial" w:hAnsi="Arial" w:cs="Arial"/>
          <w:sz w:val="22"/>
          <w:szCs w:val="22"/>
          <w:highlight w:val="yellow"/>
          <w:lang w:val="en-GB"/>
        </w:rPr>
        <w:t>The bankrupt’s family home</w:t>
      </w:r>
      <w:r w:rsidR="007B3A5E" w:rsidRPr="00A16569">
        <w:rPr>
          <w:rFonts w:ascii="Arial" w:hAnsi="Arial" w:cs="Arial"/>
          <w:sz w:val="22"/>
          <w:szCs w:val="22"/>
          <w:highlight w:val="yellow"/>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PargrafodaLista"/>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PargrafodaLista"/>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A16569" w:rsidRDefault="007B3A5E" w:rsidP="00265D2D">
      <w:pPr>
        <w:pStyle w:val="PargrafodaLista"/>
        <w:numPr>
          <w:ilvl w:val="0"/>
          <w:numId w:val="16"/>
        </w:numPr>
        <w:ind w:left="426"/>
        <w:jc w:val="both"/>
        <w:rPr>
          <w:rFonts w:ascii="Arial" w:hAnsi="Arial" w:cs="Arial"/>
          <w:sz w:val="22"/>
          <w:szCs w:val="22"/>
          <w:highlight w:val="yellow"/>
          <w:lang w:val="en-GB"/>
        </w:rPr>
      </w:pPr>
      <w:r w:rsidRPr="00A16569">
        <w:rPr>
          <w:rFonts w:ascii="Arial" w:hAnsi="Arial" w:cs="Arial"/>
          <w:sz w:val="22"/>
          <w:szCs w:val="22"/>
          <w:highlight w:val="yellow"/>
          <w:lang w:val="en-GB"/>
        </w:rPr>
        <w:t>T</w:t>
      </w:r>
      <w:r w:rsidR="00AD12C7" w:rsidRPr="00A16569">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PargrafodaLista"/>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PargrafodaLista"/>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PargrafodaLista"/>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PargrafodaLista"/>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PargrafodaLista"/>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PargrafodaLista"/>
        <w:numPr>
          <w:ilvl w:val="0"/>
          <w:numId w:val="17"/>
        </w:numPr>
        <w:ind w:left="426"/>
        <w:rPr>
          <w:rFonts w:ascii="Arial" w:hAnsi="Arial" w:cs="Arial"/>
          <w:sz w:val="22"/>
          <w:szCs w:val="22"/>
          <w:lang w:val="en-GB"/>
        </w:rPr>
      </w:pPr>
      <w:r w:rsidRPr="00A16569">
        <w:rPr>
          <w:rFonts w:ascii="Arial" w:hAnsi="Arial" w:cs="Arial"/>
          <w:sz w:val="22"/>
          <w:szCs w:val="22"/>
          <w:highlight w:val="yellow"/>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65D2D" w:rsidRDefault="0089536F" w:rsidP="00265D2D">
      <w:pPr>
        <w:pStyle w:val="PargrafodaLista"/>
        <w:numPr>
          <w:ilvl w:val="0"/>
          <w:numId w:val="17"/>
        </w:numPr>
        <w:ind w:left="426"/>
        <w:rPr>
          <w:rFonts w:ascii="Arial" w:hAnsi="Arial" w:cs="Arial"/>
          <w:sz w:val="22"/>
          <w:szCs w:val="22"/>
          <w:lang w:val="en-GB"/>
        </w:rPr>
      </w:pPr>
      <w:r w:rsidRPr="00265D2D">
        <w:rPr>
          <w:rFonts w:ascii="Arial" w:hAnsi="Arial" w:cs="Arial"/>
          <w:sz w:val="22"/>
          <w:szCs w:val="22"/>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PargrafodaLista"/>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Pr="00A16569" w:rsidRDefault="00AD12C7" w:rsidP="00265D2D">
      <w:pPr>
        <w:pStyle w:val="PargrafodaLista"/>
        <w:numPr>
          <w:ilvl w:val="0"/>
          <w:numId w:val="19"/>
        </w:numPr>
        <w:ind w:left="426"/>
        <w:jc w:val="both"/>
        <w:rPr>
          <w:rFonts w:ascii="Arial" w:hAnsi="Arial" w:cs="Arial"/>
          <w:sz w:val="22"/>
          <w:szCs w:val="22"/>
          <w:highlight w:val="yellow"/>
          <w:lang w:val="en-GB"/>
        </w:rPr>
      </w:pPr>
      <w:r w:rsidRPr="00A16569">
        <w:rPr>
          <w:rFonts w:ascii="Arial" w:hAnsi="Arial" w:cs="Arial"/>
          <w:sz w:val="22"/>
          <w:szCs w:val="22"/>
          <w:highlight w:val="yellow"/>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PargrafodaLista"/>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and not of the secured creditor that appointed the </w:t>
      </w:r>
      <w:proofErr w:type="gramStart"/>
      <w:r w:rsidRPr="00023705">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PargrafodaLista"/>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PargrafodaLista"/>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PargrafodaLista"/>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PargrafodaLista"/>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PargrafodaLista"/>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PargrafodaLista"/>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416D2B" w:rsidRDefault="00416D2B" w:rsidP="00265D2D">
      <w:pPr>
        <w:pStyle w:val="PargrafodaLista"/>
        <w:numPr>
          <w:ilvl w:val="0"/>
          <w:numId w:val="20"/>
        </w:numPr>
        <w:ind w:left="426"/>
        <w:jc w:val="both"/>
        <w:rPr>
          <w:rFonts w:ascii="Arial" w:hAnsi="Arial" w:cs="Arial"/>
          <w:sz w:val="22"/>
          <w:szCs w:val="22"/>
          <w:lang w:val="en-GB"/>
        </w:rPr>
      </w:pPr>
      <w:r w:rsidRPr="00260B45">
        <w:rPr>
          <w:rFonts w:ascii="Arial" w:hAnsi="Arial" w:cs="Arial"/>
          <w:sz w:val="22"/>
          <w:szCs w:val="22"/>
          <w:highlight w:val="yellow"/>
          <w:lang w:val="en-GB"/>
        </w:rPr>
        <w:t>T</w:t>
      </w:r>
      <w:r w:rsidR="002476AF" w:rsidRPr="00260B45">
        <w:rPr>
          <w:rFonts w:ascii="Arial" w:hAnsi="Arial" w:cs="Arial"/>
          <w:sz w:val="22"/>
          <w:szCs w:val="22"/>
          <w:highlight w:val="yellow"/>
          <w:lang w:val="en-GB"/>
        </w:rPr>
        <w:t xml:space="preserve">he part dealing with receivers, and other controllers, of property of </w:t>
      </w:r>
      <w:r w:rsidRPr="00260B45">
        <w:rPr>
          <w:rFonts w:ascii="Arial" w:hAnsi="Arial" w:cs="Arial"/>
          <w:sz w:val="22"/>
          <w:szCs w:val="22"/>
          <w:highlight w:val="yellow"/>
          <w:lang w:val="en-GB"/>
        </w:rPr>
        <w:t xml:space="preserve">the </w:t>
      </w:r>
      <w:r w:rsidR="002476AF" w:rsidRPr="00260B45">
        <w:rPr>
          <w:rFonts w:ascii="Arial" w:hAnsi="Arial" w:cs="Arial"/>
          <w:sz w:val="22"/>
          <w:szCs w:val="22"/>
          <w:highlight w:val="yellow"/>
          <w:lang w:val="en-GB"/>
        </w:rPr>
        <w:t>corporation</w:t>
      </w:r>
      <w:r w:rsidRPr="00260B45">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PargrafodaLista"/>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A16569" w:rsidRDefault="002476AF" w:rsidP="00265D2D">
      <w:pPr>
        <w:pStyle w:val="PargrafodaLista"/>
        <w:numPr>
          <w:ilvl w:val="0"/>
          <w:numId w:val="21"/>
        </w:numPr>
        <w:ind w:left="426"/>
        <w:jc w:val="both"/>
        <w:rPr>
          <w:rFonts w:ascii="Arial" w:hAnsi="Arial" w:cs="Arial"/>
          <w:sz w:val="22"/>
          <w:szCs w:val="22"/>
          <w:highlight w:val="yellow"/>
          <w:lang w:val="en-GB"/>
        </w:rPr>
      </w:pPr>
      <w:r w:rsidRPr="00A16569">
        <w:rPr>
          <w:rFonts w:ascii="Arial" w:hAnsi="Arial" w:cs="Arial"/>
          <w:sz w:val="22"/>
          <w:szCs w:val="22"/>
          <w:highlight w:val="yellow"/>
          <w:lang w:val="en-GB"/>
        </w:rPr>
        <w:t xml:space="preserve">simplified </w:t>
      </w:r>
      <w:r w:rsidR="008235B7" w:rsidRPr="00A16569">
        <w:rPr>
          <w:rFonts w:ascii="Arial" w:hAnsi="Arial" w:cs="Arial"/>
          <w:sz w:val="22"/>
          <w:szCs w:val="22"/>
          <w:highlight w:val="yellow"/>
          <w:lang w:val="en-GB"/>
        </w:rPr>
        <w:t>restructuring and liquidation regimes for small companies</w:t>
      </w:r>
      <w:r w:rsidRPr="00A16569">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PargrafodaLista"/>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PargrafodaLista"/>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741267C9" w14:textId="76C6298E"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types of voidable transactions are the ones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are undervalued; (ii) made to defeat creditors; and (iii) give preferential payment to creditors.</w:t>
      </w:r>
    </w:p>
    <w:p w14:paraId="01246FED"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undervalued transactions are not void if performed more than 2 years before the bankruptcy – or 4 years, if the transferee is related to the debtor – and the debtor was proved solvent at the time that the transaction was made (section 120 (3) of the Bankruptcy Act).</w:t>
      </w:r>
    </w:p>
    <w:p w14:paraId="6DE68BC5"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the transaction made with the purpose of harming the creditors can be maintained if the transfer of property was made with an equivalent consideration by the transferee or if the transferee didn’t know about the insolvency status of the debtor and didn’t know or doesn’t have reason to believe that the debtor had the intention of harming its creditors (section 121 (4) of the Bankruptcy Act).</w:t>
      </w:r>
    </w:p>
    <w:p w14:paraId="408CF902"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operation of preferential payment won’t be reversed if the creditor proves that they received the payment in the ordinary course of business, in good faith or if it was made in return of an equivalent consideration (section 122 (2) of the Bankruptcy Act).</w:t>
      </w:r>
    </w:p>
    <w:p w14:paraId="7095EC99" w14:textId="77777777" w:rsidR="005D7FBF" w:rsidRDefault="005D7FBF" w:rsidP="00E2724D">
      <w:pPr>
        <w:ind w:firstLine="709"/>
        <w:jc w:val="both"/>
        <w:rPr>
          <w:rFonts w:ascii="Arial" w:hAnsi="Arial" w:cs="Arial"/>
          <w:color w:val="7B7B7B" w:themeColor="accent3" w:themeShade="BF"/>
          <w:sz w:val="22"/>
          <w:szCs w:val="22"/>
          <w:lang w:val="en-GB"/>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744DC848" w14:textId="77777777" w:rsidR="00BC1CA6" w:rsidRDefault="00BC1CA6" w:rsidP="00BC1CA6">
      <w:pPr>
        <w:ind w:firstLine="709"/>
        <w:jc w:val="both"/>
        <w:rPr>
          <w:rFonts w:ascii="Arial" w:eastAsia="MS Mincho" w:hAnsi="Arial" w:cs="Arial"/>
          <w:color w:val="7B7B7B" w:themeColor="accent3" w:themeShade="BF"/>
          <w:sz w:val="22"/>
          <w:szCs w:val="22"/>
        </w:rPr>
      </w:pPr>
      <w:r>
        <w:rPr>
          <w:rFonts w:ascii="Arial" w:eastAsia="MS Mincho" w:hAnsi="Arial" w:cs="Arial"/>
          <w:color w:val="7B7B7B" w:themeColor="accent3" w:themeShade="BF"/>
          <w:sz w:val="22"/>
          <w:szCs w:val="22"/>
        </w:rPr>
        <w:t>The Model Law provides in its article 20 that the commencement or continuation of all individual action and execution against the debtor is stayed after the recognition of a main proceeding. Acts of the debtor to dispose or transfer assets are also stayed.</w:t>
      </w:r>
    </w:p>
    <w:p w14:paraId="67096073" w14:textId="77777777" w:rsidR="00BC1CA6" w:rsidRDefault="00BC1CA6" w:rsidP="00BC1CA6">
      <w:pPr>
        <w:ind w:firstLine="709"/>
        <w:jc w:val="both"/>
        <w:rPr>
          <w:rFonts w:ascii="Arial" w:eastAsia="MS Mincho" w:hAnsi="Arial" w:cs="Arial"/>
          <w:color w:val="7B7B7B" w:themeColor="accent3" w:themeShade="BF"/>
          <w:sz w:val="22"/>
          <w:szCs w:val="22"/>
        </w:rPr>
      </w:pPr>
      <w:r>
        <w:rPr>
          <w:rFonts w:ascii="Arial" w:eastAsia="MS Mincho" w:hAnsi="Arial" w:cs="Arial"/>
          <w:color w:val="7B7B7B" w:themeColor="accent3" w:themeShade="BF"/>
          <w:sz w:val="22"/>
          <w:szCs w:val="22"/>
        </w:rPr>
        <w:t>However, when Australia adopted the Model Law, the Cross-Border Insolvency Act 2008 established that the stay granted to the debtor will be the same one applied to the bankruptcy, liquidation or the restructuring proceedings provided by the Corporations Act (section 16 of CBIA) and the application of one or another type of stay would depend on the case and specifically the type of proceeding that was opened in another country.</w:t>
      </w:r>
    </w:p>
    <w:p w14:paraId="6DC60400" w14:textId="42E0A4F4" w:rsidR="00BC1CA6" w:rsidRDefault="00BC1CA6" w:rsidP="00BC1CA6">
      <w:pPr>
        <w:ind w:firstLine="709"/>
        <w:jc w:val="both"/>
        <w:rPr>
          <w:rFonts w:ascii="Arial" w:eastAsia="MS Mincho" w:hAnsi="Arial" w:cs="Arial"/>
          <w:color w:val="7B7B7B" w:themeColor="accent3" w:themeShade="BF"/>
          <w:sz w:val="22"/>
          <w:szCs w:val="22"/>
        </w:rPr>
      </w:pPr>
      <w:r>
        <w:rPr>
          <w:rFonts w:ascii="Arial" w:eastAsia="MS Mincho" w:hAnsi="Arial" w:cs="Arial"/>
          <w:color w:val="7B7B7B" w:themeColor="accent3" w:themeShade="BF"/>
          <w:sz w:val="22"/>
          <w:szCs w:val="22"/>
        </w:rPr>
        <w:t xml:space="preserve">This means essentially that the court must decide if the stay will affect both secured and unsecured creditors or just the latter. In practice, the stay that has an impact on secured creditors (applied in the voluntary administration proceeding) is usually granted when the proceeding opened has the goal of restructuring the company from the financial distress </w:t>
      </w:r>
      <w:r>
        <w:rPr>
          <w:rFonts w:ascii="Arial" w:eastAsia="MS Mincho" w:hAnsi="Arial" w:cs="Arial"/>
          <w:color w:val="7B7B7B" w:themeColor="accent3" w:themeShade="BF"/>
          <w:sz w:val="22"/>
          <w:szCs w:val="22"/>
        </w:rPr>
        <w:lastRenderedPageBreak/>
        <w:t>(voluntary administration moratorium); the stay applied only to unsecured creditors commonly is given to proceedings that aim to pay creditors and close the company (liquidation moratorium).</w:t>
      </w:r>
    </w:p>
    <w:p w14:paraId="7F8C089D" w14:textId="77777777" w:rsidR="00FE2DE2" w:rsidRPr="00BC1CA6" w:rsidRDefault="00FE2DE2" w:rsidP="002A37BB">
      <w:pPr>
        <w:ind w:left="720" w:hanging="720"/>
        <w:jc w:val="both"/>
        <w:rPr>
          <w:rFonts w:ascii="Arial" w:hAnsi="Arial" w:cs="Arial"/>
          <w:sz w:val="22"/>
          <w:szCs w:val="22"/>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6EABEBC4"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ipso facto clause is a contractual clause – usually inserted in an executory contract – where the creditor has the right to terminate or modify the contract if the debtor becomes insolvent. That clause may establish that this termination is automatic in cases where a debtor </w:t>
      </w:r>
      <w:proofErr w:type="gramStart"/>
      <w:r>
        <w:rPr>
          <w:rFonts w:ascii="Arial" w:hAnsi="Arial" w:cs="Arial"/>
          <w:color w:val="7B7B7B" w:themeColor="accent3" w:themeShade="BF"/>
          <w:sz w:val="22"/>
          <w:szCs w:val="22"/>
          <w:lang w:val="en-GB"/>
        </w:rPr>
        <w:t>enters into</w:t>
      </w:r>
      <w:proofErr w:type="gramEnd"/>
      <w:r>
        <w:rPr>
          <w:rFonts w:ascii="Arial" w:hAnsi="Arial" w:cs="Arial"/>
          <w:color w:val="7B7B7B" w:themeColor="accent3" w:themeShade="BF"/>
          <w:sz w:val="22"/>
          <w:szCs w:val="22"/>
          <w:lang w:val="en-GB"/>
        </w:rPr>
        <w:t xml:space="preserve"> an insolvency or restructuring proceeding.</w:t>
      </w:r>
    </w:p>
    <w:p w14:paraId="5480C200" w14:textId="22F667BB"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context of insolvency proceeding as a liquidation in Australia, for example, a creditor that has the right of ipso facto could terminate the contract as soon as the debtor enters in liquidation, which means that even if it’s an essential contract to maintain ongoing business–selling, for example – or if it is a lucrative deal to the estate, the contract may be terminated by the creditor exercising this right.</w:t>
      </w:r>
    </w:p>
    <w:p w14:paraId="7C60BC1E" w14:textId="2DD29487" w:rsidR="00C550C8" w:rsidRDefault="00C550C8" w:rsidP="00260B45">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proofErr w:type="gramStart"/>
      <w:r w:rsidR="0089536F">
        <w:rPr>
          <w:rFonts w:ascii="Arial" w:hAnsi="Arial" w:cs="Arial"/>
          <w:sz w:val="22"/>
          <w:szCs w:val="22"/>
          <w:lang w:val="en-GB"/>
        </w:rPr>
        <w:t>creditor-friendly</w:t>
      </w:r>
      <w:proofErr w:type="gramEnd"/>
      <w:r w:rsidR="0089536F">
        <w:rPr>
          <w:rFonts w:ascii="Arial" w:hAnsi="Arial" w:cs="Arial"/>
          <w:sz w:val="22"/>
          <w:szCs w:val="22"/>
          <w:lang w:val="en-GB"/>
        </w:rPr>
        <w:t xml:space="preserve">.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5AC28041"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Provisions such as the guarantee of secured creditors enforces its security even when the debtor is under bankruptcy or liquidation proceedings with a moratorium granted. The possibility of appointment of a receiver to administrate and realise assets to enforce the security when the security was given over the whole or significant part of the debtor’s assets, the liability of directors for voidable transactions and the shareholder’s credits being the last one in the priority ranking of creditors in a liquidation, between other examples, makes possible the conclusion that the Australian has a creditor-friendly insolvency system.</w:t>
      </w:r>
    </w:p>
    <w:p w14:paraId="72BF2B4E"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A creditor-friendly approach usually means that the focus on the structure of the insolvency system is to protect the creditor’s interest and its trust in the financial and economic system in general. Being simplistic, with more trust of the enforcement of its credits, the companies have more incentive to continue doing business with other companies, which in the end, improves the economy overall.</w:t>
      </w:r>
    </w:p>
    <w:p w14:paraId="2AED4C8B"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Despite this historic creditor-friendly approach, recent modifications in the Australian insolvency law (specifically in 2017/2018) to strengthen the restructuring proceedings, especially the voluntary administration, which embraced some provisions in favour of the debtors such as the moratorium granted specifically for the ipso facto cause, which prevents the creditor from enforcing its right to terminate or modify contracts solely because the debtor initiated a voluntary administration and the application of the stay to secured creditors, besides the creation of the “safe harbour” to prevent the directors of liabilities from insolvent trading, is changing, even if just a little bit, the intensity of the pro-creditor’s rules existing.</w:t>
      </w:r>
    </w:p>
    <w:p w14:paraId="6C9E380D"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Personally, despite agreeing that these new rules provide more protection for the debtor and gives to it better chances to be rescued from a financial distress, I don’t think that it makes the Australian’s insolvency a debtor-friendly system.</w:t>
      </w:r>
    </w:p>
    <w:p w14:paraId="0CD93679"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Even though the importance of the protection to creditor’s right to the confidence in the financial system, multiple adversities may have an impact on the regular course of a viable business, so the debtor needs to have the necessary tools to pass through the </w:t>
      </w:r>
      <w:r>
        <w:rPr>
          <w:rFonts w:ascii="Arial" w:eastAsia="MS Mincho" w:hAnsi="Arial" w:cs="Arial"/>
          <w:color w:val="7B7B7B" w:themeColor="accent3" w:themeShade="BF"/>
          <w:sz w:val="22"/>
          <w:szCs w:val="22"/>
          <w:lang w:val="en-GB"/>
        </w:rPr>
        <w:lastRenderedPageBreak/>
        <w:t>financial difficulty and maintain the business, which consequently will preserve employment and tax collection.</w:t>
      </w:r>
    </w:p>
    <w:p w14:paraId="040B7B3B"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One important tool that needs to be available to guarantee an effective restructuring of a viable business is a debtor-in-possession restructuring proceeding, that should give to the debtor a breath space – with the stay applied to all creditors, secured or not – to negotiate with creditors and getting to a solution that will be beneficial to everyone. Naturally it won’t be a perfect solution for anyone, so all parties need to be aware that everyone needs to compromise for this common solution that is, in many cases, better than the closing of the company.</w:t>
      </w:r>
    </w:p>
    <w:p w14:paraId="6F724901" w14:textId="17C14DFE" w:rsidR="00D17FDC" w:rsidRPr="00260B45" w:rsidRDefault="00D17FDC" w:rsidP="002A37BB">
      <w:pPr>
        <w:jc w:val="both"/>
        <w:rPr>
          <w:rFonts w:ascii="Arial" w:hAnsi="Arial" w:cs="Arial"/>
          <w:sz w:val="22"/>
          <w:szCs w:val="22"/>
          <w:shd w:val="clear" w:color="auto" w:fill="FFFFFF"/>
          <w:lang w:val="en-GB"/>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Pty Ltd (</w:t>
      </w:r>
      <w:proofErr w:type="spellStart"/>
      <w:r w:rsidRPr="00FA18CF">
        <w:rPr>
          <w:rFonts w:ascii="Arial" w:hAnsi="Arial" w:cs="Arial"/>
          <w:bCs/>
          <w:sz w:val="22"/>
          <w:szCs w:val="22"/>
          <w:lang w:val="en-GB"/>
        </w:rPr>
        <w:t>Aussiebee</w:t>
      </w:r>
      <w:proofErr w:type="spellEnd"/>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w:t>
      </w:r>
      <w:proofErr w:type="spellStart"/>
      <w:r>
        <w:rPr>
          <w:rFonts w:ascii="Arial" w:hAnsi="Arial" w:cs="Arial"/>
          <w:sz w:val="22"/>
          <w:szCs w:val="22"/>
          <w:lang w:val="en-GB"/>
        </w:rPr>
        <w:t>NewYums</w:t>
      </w:r>
      <w:proofErr w:type="spellEnd"/>
      <w:r>
        <w:rPr>
          <w:rFonts w:ascii="Arial" w:hAnsi="Arial" w:cs="Arial"/>
          <w:sz w:val="22"/>
          <w:szCs w:val="22"/>
          <w:lang w:val="en-GB"/>
        </w:rPr>
        <w:t xml:space="preserve"> Pty Ltd (</w:t>
      </w:r>
      <w:proofErr w:type="spellStart"/>
      <w:r>
        <w:rPr>
          <w:rFonts w:ascii="Arial" w:hAnsi="Arial" w:cs="Arial"/>
          <w:sz w:val="22"/>
          <w:szCs w:val="22"/>
          <w:lang w:val="en-GB"/>
        </w:rPr>
        <w:t>NewYums</w:t>
      </w:r>
      <w:proofErr w:type="spellEnd"/>
      <w:r>
        <w:rPr>
          <w:rFonts w:ascii="Arial" w:hAnsi="Arial" w:cs="Arial"/>
          <w:sz w:val="22"/>
          <w:szCs w:val="22"/>
          <w:lang w:val="en-GB"/>
        </w:rPr>
        <w:t xml:space="preserve">), an Australian-incorporated </w:t>
      </w:r>
      <w:proofErr w:type="gramStart"/>
      <w:r>
        <w:rPr>
          <w:rFonts w:ascii="Arial" w:hAnsi="Arial" w:cs="Arial"/>
          <w:sz w:val="22"/>
          <w:szCs w:val="22"/>
          <w:lang w:val="en-GB"/>
        </w:rPr>
        <w:t>wholly-owned</w:t>
      </w:r>
      <w:proofErr w:type="gramEnd"/>
      <w:r>
        <w:rPr>
          <w:rFonts w:ascii="Arial" w:hAnsi="Arial" w:cs="Arial"/>
          <w:sz w:val="22"/>
          <w:szCs w:val="22"/>
          <w:lang w:val="en-GB"/>
        </w:rPr>
        <w:t xml:space="preserve"> subsidiary of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has offices and warehouses in both Sydney and in Lyonesse.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w:t>
      </w:r>
      <w:proofErr w:type="spellStart"/>
      <w:r>
        <w:rPr>
          <w:rFonts w:ascii="Arial" w:hAnsi="Arial" w:cs="Arial"/>
          <w:sz w:val="22"/>
          <w:szCs w:val="22"/>
          <w:lang w:val="en-GB"/>
        </w:rPr>
        <w:t>Aussie</w:t>
      </w:r>
      <w:r w:rsidR="0089536F">
        <w:rPr>
          <w:rFonts w:ascii="Arial" w:hAnsi="Arial" w:cs="Arial"/>
          <w:sz w:val="22"/>
          <w:szCs w:val="22"/>
          <w:lang w:val="en-GB"/>
        </w:rPr>
        <w:t>b</w:t>
      </w:r>
      <w:r>
        <w:rPr>
          <w:rFonts w:ascii="Arial" w:hAnsi="Arial" w:cs="Arial"/>
          <w:sz w:val="22"/>
          <w:szCs w:val="22"/>
          <w:lang w:val="en-GB"/>
        </w:rPr>
        <w:t>ee</w:t>
      </w:r>
      <w:proofErr w:type="spellEnd"/>
      <w:r>
        <w:rPr>
          <w:rFonts w:ascii="Arial" w:hAnsi="Arial" w:cs="Arial"/>
          <w:sz w:val="22"/>
          <w:szCs w:val="22"/>
          <w:lang w:val="en-GB"/>
        </w:rPr>
        <w:t xml:space="preserve"> and </w:t>
      </w:r>
      <w:proofErr w:type="spellStart"/>
      <w:r>
        <w:rPr>
          <w:rFonts w:ascii="Arial" w:hAnsi="Arial" w:cs="Arial"/>
          <w:sz w:val="22"/>
          <w:szCs w:val="22"/>
          <w:lang w:val="en-GB"/>
        </w:rPr>
        <w:t>NewYums</w:t>
      </w:r>
      <w:proofErr w:type="spellEnd"/>
      <w:r>
        <w:rPr>
          <w:rFonts w:ascii="Arial" w:hAnsi="Arial" w:cs="Arial"/>
          <w:sz w:val="22"/>
          <w:szCs w:val="22"/>
          <w:lang w:val="en-GB"/>
        </w:rPr>
        <w:t xml:space="preserve"> share a board of directors, made up of six Australians and one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w:t>
      </w:r>
      <w:proofErr w:type="spellStart"/>
      <w:r>
        <w:rPr>
          <w:rFonts w:ascii="Arial" w:hAnsi="Arial" w:cs="Arial"/>
          <w:sz w:val="22"/>
          <w:szCs w:val="22"/>
          <w:lang w:val="en-GB"/>
        </w:rPr>
        <w:t>Aussi</w:t>
      </w:r>
      <w:r w:rsidR="0089536F">
        <w:rPr>
          <w:rFonts w:ascii="Arial" w:hAnsi="Arial" w:cs="Arial"/>
          <w:sz w:val="22"/>
          <w:szCs w:val="22"/>
          <w:lang w:val="en-GB"/>
        </w:rPr>
        <w:t>e</w:t>
      </w:r>
      <w:r>
        <w:rPr>
          <w:rFonts w:ascii="Arial" w:hAnsi="Arial" w:cs="Arial"/>
          <w:sz w:val="22"/>
          <w:szCs w:val="22"/>
          <w:lang w:val="en-GB"/>
        </w:rPr>
        <w:t>bee</w:t>
      </w:r>
      <w:proofErr w:type="spellEnd"/>
      <w:r>
        <w:rPr>
          <w:rFonts w:ascii="Arial" w:hAnsi="Arial" w:cs="Arial"/>
          <w:sz w:val="22"/>
          <w:szCs w:val="22"/>
          <w:lang w:val="en-GB"/>
        </w:rPr>
        <w:t xml:space="preserve"> employed 40 staff</w:t>
      </w:r>
      <w:r w:rsidR="00A55389">
        <w:rPr>
          <w:rFonts w:ascii="Arial" w:hAnsi="Arial" w:cs="Arial"/>
          <w:sz w:val="22"/>
          <w:szCs w:val="22"/>
          <w:lang w:val="en-GB"/>
        </w:rPr>
        <w:t xml:space="preserve">: </w:t>
      </w:r>
      <w:r>
        <w:rPr>
          <w:rFonts w:ascii="Arial" w:hAnsi="Arial" w:cs="Arial"/>
          <w:sz w:val="22"/>
          <w:szCs w:val="22"/>
          <w:lang w:val="en-GB"/>
        </w:rPr>
        <w:t xml:space="preserve">20 in Sydney and 20 in Lyonesse.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CEO is an Australian, but resident in Lyonesse.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is insolvent. </w:t>
      </w:r>
      <w:proofErr w:type="spellStart"/>
      <w:r>
        <w:rPr>
          <w:rFonts w:ascii="Arial" w:hAnsi="Arial" w:cs="Arial"/>
          <w:sz w:val="22"/>
          <w:szCs w:val="22"/>
          <w:lang w:val="en-GB"/>
        </w:rPr>
        <w:t>NewYums</w:t>
      </w:r>
      <w:proofErr w:type="spellEnd"/>
      <w:r>
        <w:rPr>
          <w:rFonts w:ascii="Arial" w:hAnsi="Arial" w:cs="Arial"/>
          <w:sz w:val="22"/>
          <w:szCs w:val="22"/>
          <w:lang w:val="en-GB"/>
        </w:rPr>
        <w:t>,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 xml:space="preserve">A liquidator has been appointed to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in Lyonesse. She applies to the Federal Court of Australia for recognition of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 as a foreign main proceeding, and for orders entrusting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assets (including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shares in </w:t>
      </w:r>
      <w:proofErr w:type="spellStart"/>
      <w:r>
        <w:rPr>
          <w:rFonts w:ascii="Arial" w:hAnsi="Arial" w:cs="Arial"/>
          <w:sz w:val="22"/>
          <w:szCs w:val="22"/>
          <w:lang w:val="en-GB"/>
        </w:rPr>
        <w:t>NewYums</w:t>
      </w:r>
      <w:proofErr w:type="spellEnd"/>
      <w:r>
        <w:rPr>
          <w:rFonts w:ascii="Arial" w:hAnsi="Arial" w:cs="Arial"/>
          <w:sz w:val="22"/>
          <w:szCs w:val="22"/>
          <w:lang w:val="en-GB"/>
        </w:rPr>
        <w:t xml:space="preserve"> which are worth AUD</w:t>
      </w:r>
      <w:r w:rsidR="001316B3">
        <w:rPr>
          <w:rFonts w:ascii="Arial" w:hAnsi="Arial" w:cs="Arial"/>
          <w:sz w:val="22"/>
          <w:szCs w:val="22"/>
          <w:lang w:val="en-GB"/>
        </w:rPr>
        <w:t xml:space="preserve"> </w:t>
      </w:r>
      <w:r>
        <w:rPr>
          <w:rFonts w:ascii="Arial" w:hAnsi="Arial" w:cs="Arial"/>
          <w:sz w:val="22"/>
          <w:szCs w:val="22"/>
          <w:lang w:val="en-GB"/>
        </w:rPr>
        <w:t xml:space="preserve">20 million) to her, so that she can realise them for the benefit of creditors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owes AUD</w:t>
      </w:r>
      <w:r w:rsidR="001316B3">
        <w:rPr>
          <w:rFonts w:ascii="Arial" w:hAnsi="Arial" w:cs="Arial"/>
          <w:sz w:val="22"/>
          <w:szCs w:val="22"/>
          <w:lang w:val="en-GB"/>
        </w:rPr>
        <w:t xml:space="preserve"> </w:t>
      </w:r>
      <w:r>
        <w:rPr>
          <w:rFonts w:ascii="Arial" w:hAnsi="Arial" w:cs="Arial"/>
          <w:sz w:val="22"/>
          <w:szCs w:val="22"/>
          <w:lang w:val="en-GB"/>
        </w:rPr>
        <w:t xml:space="preserve">12 million in taxes in Australia, payable to the Australian Taxation Office (ATO). Assume that revenue creditors such as the ATO are not entitled to prove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59F4794B" w14:textId="77777777" w:rsidR="00260B45" w:rsidRDefault="00260B45" w:rsidP="00260B45">
      <w:pPr>
        <w:ind w:firstLine="709"/>
        <w:jc w:val="both"/>
        <w:rPr>
          <w:rFonts w:ascii="Arial" w:eastAsia="MS Mincho" w:hAnsi="Arial" w:cs="Arial"/>
          <w:color w:val="7B7B7B" w:themeColor="accent3" w:themeShade="BF"/>
          <w:sz w:val="22"/>
          <w:szCs w:val="22"/>
          <w:lang w:val="en-GB"/>
        </w:rPr>
      </w:pPr>
    </w:p>
    <w:p w14:paraId="6B1AFE51" w14:textId="77777777" w:rsidR="00260B45" w:rsidRDefault="00260B45" w:rsidP="00260B45">
      <w:pPr>
        <w:ind w:firstLine="709"/>
        <w:jc w:val="both"/>
        <w:rPr>
          <w:rFonts w:ascii="Arial" w:eastAsia="MS Mincho" w:hAnsi="Arial" w:cs="Arial"/>
          <w:color w:val="7B7B7B" w:themeColor="accent3" w:themeShade="BF"/>
          <w:sz w:val="22"/>
          <w:szCs w:val="22"/>
          <w:lang w:val="en-GB"/>
        </w:rPr>
      </w:pPr>
    </w:p>
    <w:p w14:paraId="4FC19FC3"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Considering the </w:t>
      </w:r>
      <w:proofErr w:type="spellStart"/>
      <w:r>
        <w:rPr>
          <w:rFonts w:ascii="Arial" w:eastAsia="MS Mincho" w:hAnsi="Arial" w:cs="Arial"/>
          <w:color w:val="7B7B7B" w:themeColor="accent3" w:themeShade="BF"/>
          <w:sz w:val="22"/>
          <w:szCs w:val="22"/>
          <w:lang w:val="en-GB"/>
        </w:rPr>
        <w:t>Aussiebee’s</w:t>
      </w:r>
      <w:proofErr w:type="spellEnd"/>
      <w:r>
        <w:rPr>
          <w:rFonts w:ascii="Arial" w:eastAsia="MS Mincho" w:hAnsi="Arial" w:cs="Arial"/>
          <w:color w:val="7B7B7B" w:themeColor="accent3" w:themeShade="BF"/>
          <w:sz w:val="22"/>
          <w:szCs w:val="22"/>
          <w:lang w:val="en-GB"/>
        </w:rPr>
        <w:t xml:space="preserve"> operation in Sydney and the existence of assets owned by </w:t>
      </w:r>
      <w:proofErr w:type="spellStart"/>
      <w:r>
        <w:rPr>
          <w:rFonts w:ascii="Arial" w:eastAsia="MS Mincho" w:hAnsi="Arial" w:cs="Arial"/>
          <w:color w:val="7B7B7B" w:themeColor="accent3" w:themeShade="BF"/>
          <w:sz w:val="22"/>
          <w:szCs w:val="22"/>
          <w:lang w:val="en-GB"/>
        </w:rPr>
        <w:t>Aussiebee</w:t>
      </w:r>
      <w:proofErr w:type="spellEnd"/>
      <w:r>
        <w:rPr>
          <w:rFonts w:ascii="Arial" w:eastAsia="MS Mincho" w:hAnsi="Arial" w:cs="Arial"/>
          <w:color w:val="7B7B7B" w:themeColor="accent3" w:themeShade="BF"/>
          <w:sz w:val="22"/>
          <w:szCs w:val="22"/>
          <w:lang w:val="en-GB"/>
        </w:rPr>
        <w:t xml:space="preserve"> in Australia, it is possible to conclude that the foreign main proceeding would be recognized by the Australian Court according to article 1 (a) of the Model Law.</w:t>
      </w:r>
    </w:p>
    <w:p w14:paraId="521AE078"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Considering that the foreign main proceeding would be recognized, the Model Law provides the possibility of the court, before the decision or upon recognition of a main foreign insolvency proceeding, to grant a feel type of relief to provide more effectiveness to the foreign insolvency proceeding (articles 19 and 21). One of the reliefs is entrusting the foreign representative with the assets of the debtor located in the State where the recognition is sought. </w:t>
      </w:r>
    </w:p>
    <w:p w14:paraId="6C223342"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However, this kind of relief just can be given if the interest of local creditors is properly secured.</w:t>
      </w:r>
    </w:p>
    <w:p w14:paraId="771558BE"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In this specific case, the ATO are not entitled to prove its credit in the </w:t>
      </w:r>
      <w:proofErr w:type="spellStart"/>
      <w:r>
        <w:rPr>
          <w:rFonts w:ascii="Arial" w:eastAsia="MS Mincho" w:hAnsi="Arial" w:cs="Arial"/>
          <w:color w:val="7B7B7B" w:themeColor="accent3" w:themeShade="BF"/>
          <w:sz w:val="22"/>
          <w:szCs w:val="22"/>
          <w:lang w:val="en-GB"/>
        </w:rPr>
        <w:t>Lyonessian</w:t>
      </w:r>
      <w:proofErr w:type="spellEnd"/>
      <w:r>
        <w:rPr>
          <w:rFonts w:ascii="Arial" w:eastAsia="MS Mincho" w:hAnsi="Arial" w:cs="Arial"/>
          <w:color w:val="7B7B7B" w:themeColor="accent3" w:themeShade="BF"/>
          <w:sz w:val="22"/>
          <w:szCs w:val="22"/>
          <w:lang w:val="en-GB"/>
        </w:rPr>
        <w:t xml:space="preserve"> liquidation, which means that the ATO wouldn’t be paid under the </w:t>
      </w:r>
      <w:proofErr w:type="spellStart"/>
      <w:r>
        <w:rPr>
          <w:rFonts w:ascii="Arial" w:eastAsia="MS Mincho" w:hAnsi="Arial" w:cs="Arial"/>
          <w:color w:val="7B7B7B" w:themeColor="accent3" w:themeShade="BF"/>
          <w:sz w:val="22"/>
          <w:szCs w:val="22"/>
          <w:lang w:val="en-GB"/>
        </w:rPr>
        <w:t>Lyionessian</w:t>
      </w:r>
      <w:proofErr w:type="spellEnd"/>
      <w:r>
        <w:rPr>
          <w:rFonts w:ascii="Arial" w:eastAsia="MS Mincho" w:hAnsi="Arial" w:cs="Arial"/>
          <w:color w:val="7B7B7B" w:themeColor="accent3" w:themeShade="BF"/>
          <w:sz w:val="22"/>
          <w:szCs w:val="22"/>
          <w:lang w:val="en-GB"/>
        </w:rPr>
        <w:t xml:space="preserve"> proceeding </w:t>
      </w:r>
      <w:r>
        <w:rPr>
          <w:rFonts w:ascii="Arial" w:eastAsia="MS Mincho" w:hAnsi="Arial" w:cs="Arial"/>
          <w:color w:val="7B7B7B" w:themeColor="accent3" w:themeShade="BF"/>
          <w:sz w:val="22"/>
          <w:szCs w:val="22"/>
          <w:lang w:val="en-GB"/>
        </w:rPr>
        <w:lastRenderedPageBreak/>
        <w:t xml:space="preserve">and, consequently, if the foreign representative of </w:t>
      </w:r>
      <w:proofErr w:type="spellStart"/>
      <w:r>
        <w:rPr>
          <w:rFonts w:ascii="Arial" w:eastAsia="MS Mincho" w:hAnsi="Arial" w:cs="Arial"/>
          <w:color w:val="7B7B7B" w:themeColor="accent3" w:themeShade="BF"/>
          <w:sz w:val="22"/>
          <w:szCs w:val="22"/>
          <w:lang w:val="en-GB"/>
        </w:rPr>
        <w:t>Aussiebee’s</w:t>
      </w:r>
      <w:proofErr w:type="spellEnd"/>
      <w:r>
        <w:rPr>
          <w:rFonts w:ascii="Arial" w:eastAsia="MS Mincho" w:hAnsi="Arial" w:cs="Arial"/>
          <w:color w:val="7B7B7B" w:themeColor="accent3" w:themeShade="BF"/>
          <w:sz w:val="22"/>
          <w:szCs w:val="22"/>
          <w:lang w:val="en-GB"/>
        </w:rPr>
        <w:t xml:space="preserve"> liquidation was entrusted with all of </w:t>
      </w:r>
      <w:proofErr w:type="spellStart"/>
      <w:r>
        <w:rPr>
          <w:rFonts w:ascii="Arial" w:eastAsia="MS Mincho" w:hAnsi="Arial" w:cs="Arial"/>
          <w:color w:val="7B7B7B" w:themeColor="accent3" w:themeShade="BF"/>
          <w:sz w:val="22"/>
          <w:szCs w:val="22"/>
          <w:lang w:val="en-GB"/>
        </w:rPr>
        <w:t>Aussiebee’s</w:t>
      </w:r>
      <w:proofErr w:type="spellEnd"/>
      <w:r>
        <w:rPr>
          <w:rFonts w:ascii="Arial" w:eastAsia="MS Mincho" w:hAnsi="Arial" w:cs="Arial"/>
          <w:color w:val="7B7B7B" w:themeColor="accent3" w:themeShade="BF"/>
          <w:sz w:val="22"/>
          <w:szCs w:val="22"/>
          <w:lang w:val="en-GB"/>
        </w:rPr>
        <w:t xml:space="preserve"> assets in Sydney for the purpose of realisation, the product of the realization would be used to pay the creditors that were proved under the </w:t>
      </w:r>
      <w:proofErr w:type="spellStart"/>
      <w:r>
        <w:rPr>
          <w:rFonts w:ascii="Arial" w:eastAsia="MS Mincho" w:hAnsi="Arial" w:cs="Arial"/>
          <w:color w:val="7B7B7B" w:themeColor="accent3" w:themeShade="BF"/>
          <w:sz w:val="22"/>
          <w:szCs w:val="22"/>
          <w:lang w:val="en-GB"/>
        </w:rPr>
        <w:t>Lyionessian</w:t>
      </w:r>
      <w:proofErr w:type="spellEnd"/>
      <w:r>
        <w:rPr>
          <w:rFonts w:ascii="Arial" w:eastAsia="MS Mincho" w:hAnsi="Arial" w:cs="Arial"/>
          <w:color w:val="7B7B7B" w:themeColor="accent3" w:themeShade="BF"/>
          <w:sz w:val="22"/>
          <w:szCs w:val="22"/>
          <w:lang w:val="en-GB"/>
        </w:rPr>
        <w:t xml:space="preserve"> proceeding with the exclusion of ATO’s credit, in violation of the </w:t>
      </w:r>
      <w:proofErr w:type="spellStart"/>
      <w:r>
        <w:rPr>
          <w:rFonts w:ascii="Arial" w:eastAsia="MS Mincho" w:hAnsi="Arial" w:cs="Arial"/>
          <w:i/>
          <w:iCs/>
          <w:color w:val="7B7B7B" w:themeColor="accent3" w:themeShade="BF"/>
          <w:sz w:val="22"/>
          <w:szCs w:val="22"/>
          <w:lang w:val="en-GB"/>
        </w:rPr>
        <w:t>pari</w:t>
      </w:r>
      <w:proofErr w:type="spellEnd"/>
      <w:r>
        <w:rPr>
          <w:rFonts w:ascii="Arial" w:eastAsia="MS Mincho" w:hAnsi="Arial" w:cs="Arial"/>
          <w:i/>
          <w:iCs/>
          <w:color w:val="7B7B7B" w:themeColor="accent3" w:themeShade="BF"/>
          <w:sz w:val="22"/>
          <w:szCs w:val="22"/>
          <w:lang w:val="en-GB"/>
        </w:rPr>
        <w:t xml:space="preserve"> passu</w:t>
      </w:r>
      <w:r>
        <w:rPr>
          <w:rFonts w:ascii="Arial" w:eastAsia="MS Mincho" w:hAnsi="Arial" w:cs="Arial"/>
          <w:color w:val="7B7B7B" w:themeColor="accent3" w:themeShade="BF"/>
          <w:sz w:val="22"/>
          <w:szCs w:val="22"/>
          <w:lang w:val="en-GB"/>
        </w:rPr>
        <w:t xml:space="preserve"> principle.</w:t>
      </w:r>
    </w:p>
    <w:p w14:paraId="08FA7547"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Having this fact in mind and considering the Ackers v Deputy Commissioner of Taxation case, when the Federal Court of Australia held that if a credit can’t be proven in the foreign main proceeding, a relief that allows the foreign representative the realization of assets situated in the territory where the relief was granted is contrary to the </w:t>
      </w:r>
      <w:proofErr w:type="spellStart"/>
      <w:r>
        <w:rPr>
          <w:rFonts w:ascii="Arial" w:eastAsia="MS Mincho" w:hAnsi="Arial" w:cs="Arial"/>
          <w:i/>
          <w:iCs/>
          <w:color w:val="7B7B7B" w:themeColor="accent3" w:themeShade="BF"/>
          <w:sz w:val="22"/>
          <w:szCs w:val="22"/>
          <w:lang w:val="en-GB"/>
        </w:rPr>
        <w:t>pari</w:t>
      </w:r>
      <w:proofErr w:type="spellEnd"/>
      <w:r>
        <w:rPr>
          <w:rFonts w:ascii="Arial" w:eastAsia="MS Mincho" w:hAnsi="Arial" w:cs="Arial"/>
          <w:i/>
          <w:iCs/>
          <w:color w:val="7B7B7B" w:themeColor="accent3" w:themeShade="BF"/>
          <w:sz w:val="22"/>
          <w:szCs w:val="22"/>
          <w:lang w:val="en-GB"/>
        </w:rPr>
        <w:t xml:space="preserve"> passu</w:t>
      </w:r>
      <w:r>
        <w:rPr>
          <w:rFonts w:ascii="Arial" w:eastAsia="MS Mincho" w:hAnsi="Arial" w:cs="Arial"/>
          <w:color w:val="7B7B7B" w:themeColor="accent3" w:themeShade="BF"/>
          <w:sz w:val="22"/>
          <w:szCs w:val="22"/>
          <w:lang w:val="en-GB"/>
        </w:rPr>
        <w:t xml:space="preserve"> principle and the security of local creditors.</w:t>
      </w:r>
    </w:p>
    <w:p w14:paraId="0B71C8D6"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In that case, the Federal Court allows the Deputy Commissioner of Taxation to enforce its claim in Australia in order to receive the same amount as it would receive if the proof of the debt was possible in the foreign main proceeding. </w:t>
      </w:r>
    </w:p>
    <w:p w14:paraId="27327B62" w14:textId="77777777" w:rsidR="00BC1CA6" w:rsidRDefault="00BC1CA6" w:rsidP="00BC1CA6">
      <w:pPr>
        <w:ind w:firstLine="709"/>
        <w:jc w:val="both"/>
        <w:rPr>
          <w:rFonts w:ascii="Arial" w:eastAsia="MS Mincho" w:hAnsi="Arial" w:cs="Arial"/>
          <w:color w:val="7B7B7B" w:themeColor="accent3" w:themeShade="BF"/>
          <w:sz w:val="22"/>
          <w:szCs w:val="22"/>
          <w:lang w:val="en-GB"/>
        </w:rPr>
      </w:pPr>
      <w:r>
        <w:rPr>
          <w:rFonts w:ascii="Arial" w:eastAsia="MS Mincho" w:hAnsi="Arial" w:cs="Arial"/>
          <w:color w:val="7B7B7B" w:themeColor="accent3" w:themeShade="BF"/>
          <w:sz w:val="22"/>
          <w:szCs w:val="22"/>
          <w:lang w:val="en-GB"/>
        </w:rPr>
        <w:t xml:space="preserve">For that reason, I would advise the ATO to apply to the Federal Court of Australia requiring the rejection of the order to entrust the foreign representative with the </w:t>
      </w:r>
      <w:proofErr w:type="spellStart"/>
      <w:r>
        <w:rPr>
          <w:rFonts w:ascii="Arial" w:eastAsia="MS Mincho" w:hAnsi="Arial" w:cs="Arial"/>
          <w:color w:val="7B7B7B" w:themeColor="accent3" w:themeShade="BF"/>
          <w:sz w:val="22"/>
          <w:szCs w:val="22"/>
          <w:lang w:val="en-GB"/>
        </w:rPr>
        <w:t>Aussiebee’s</w:t>
      </w:r>
      <w:proofErr w:type="spellEnd"/>
      <w:r>
        <w:rPr>
          <w:rFonts w:ascii="Arial" w:eastAsia="MS Mincho" w:hAnsi="Arial" w:cs="Arial"/>
          <w:color w:val="7B7B7B" w:themeColor="accent3" w:themeShade="BF"/>
          <w:sz w:val="22"/>
          <w:szCs w:val="22"/>
          <w:lang w:val="en-GB"/>
        </w:rPr>
        <w:t xml:space="preserve"> assets in Australia with the purpose of the realisation. The ATO should also apply for an order to allow the enforcement of its claim to receive the same amount as the other unsecured creditors that will be received with the liquidation.</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proofErr w:type="spellStart"/>
      <w:r>
        <w:rPr>
          <w:rFonts w:ascii="Arial" w:hAnsi="Arial" w:cs="Arial"/>
          <w:sz w:val="22"/>
          <w:szCs w:val="22"/>
          <w:lang w:val="en-GB"/>
        </w:rPr>
        <w:t>Hy</w:t>
      </w:r>
      <w:r w:rsidR="00E409FC">
        <w:rPr>
          <w:rFonts w:ascii="Arial" w:hAnsi="Arial" w:cs="Arial"/>
          <w:sz w:val="22"/>
          <w:szCs w:val="22"/>
          <w:lang w:val="en-GB"/>
        </w:rPr>
        <w:t>rofine</w:t>
      </w:r>
      <w:proofErr w:type="spellEnd"/>
      <w:r w:rsidR="00E409FC">
        <w:rPr>
          <w:rFonts w:ascii="Arial" w:hAnsi="Arial" w:cs="Arial"/>
          <w:sz w:val="22"/>
          <w:szCs w:val="22"/>
          <w:lang w:val="en-GB"/>
        </w:rPr>
        <w:t xml:space="preserv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proofErr w:type="gramStart"/>
      <w:r w:rsidR="00533704">
        <w:rPr>
          <w:rFonts w:ascii="Arial" w:hAnsi="Arial" w:cs="Arial"/>
          <w:sz w:val="22"/>
          <w:szCs w:val="22"/>
          <w:lang w:val="en-GB"/>
        </w:rPr>
        <w:t>All of</w:t>
      </w:r>
      <w:proofErr w:type="gramEnd"/>
      <w:r w:rsidR="00533704">
        <w:rPr>
          <w:rFonts w:ascii="Arial" w:hAnsi="Arial" w:cs="Arial"/>
          <w:sz w:val="22"/>
          <w:szCs w:val="22"/>
          <w:lang w:val="en-GB"/>
        </w:rPr>
        <w:t xml:space="preserve"> the shares in HA are owned by HA’s parent company, </w:t>
      </w:r>
      <w:proofErr w:type="spellStart"/>
      <w:r w:rsidR="00533704">
        <w:rPr>
          <w:rFonts w:ascii="Arial" w:hAnsi="Arial" w:cs="Arial"/>
          <w:sz w:val="22"/>
          <w:szCs w:val="22"/>
          <w:lang w:val="en-GB"/>
        </w:rPr>
        <w:t>Hyrofine</w:t>
      </w:r>
      <w:proofErr w:type="spellEnd"/>
      <w:r w:rsidR="00533704">
        <w:rPr>
          <w:rFonts w:ascii="Arial" w:hAnsi="Arial" w:cs="Arial"/>
          <w:sz w:val="22"/>
          <w:szCs w:val="22"/>
          <w:lang w:val="en-GB"/>
        </w:rPr>
        <w:t xml:space="preserv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proofErr w:type="gramStart"/>
      <w:r w:rsidR="00FC7249">
        <w:rPr>
          <w:rFonts w:ascii="Arial" w:hAnsi="Arial" w:cs="Arial"/>
          <w:sz w:val="22"/>
          <w:szCs w:val="22"/>
          <w:lang w:val="en-GB"/>
        </w:rPr>
        <w:t>unprofitable</w:t>
      </w:r>
      <w:proofErr w:type="gramEnd"/>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proofErr w:type="gramStart"/>
      <w:r w:rsidR="00FA0CE9">
        <w:rPr>
          <w:rFonts w:ascii="Arial" w:hAnsi="Arial" w:cs="Arial"/>
          <w:sz w:val="22"/>
          <w:szCs w:val="22"/>
          <w:lang w:val="en-GB"/>
        </w:rPr>
        <w:t>enters into</w:t>
      </w:r>
      <w:proofErr w:type="gramEnd"/>
      <w:r w:rsidR="00FA0CE9">
        <w:rPr>
          <w:rFonts w:ascii="Arial" w:hAnsi="Arial" w:cs="Arial"/>
          <w:sz w:val="22"/>
          <w:szCs w:val="22"/>
          <w:lang w:val="en-GB"/>
        </w:rPr>
        <w:t xml:space="preserve">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 xml:space="preserve">oard tells you that HA has been insolvent since the judgment was handed down in October 2020, because HA does not earn enough from its </w:t>
      </w:r>
      <w:r w:rsidR="003A540E">
        <w:rPr>
          <w:rFonts w:ascii="Arial" w:hAnsi="Arial" w:cs="Arial"/>
          <w:sz w:val="22"/>
          <w:szCs w:val="22"/>
          <w:lang w:val="en-GB"/>
        </w:rPr>
        <w:lastRenderedPageBreak/>
        <w:t>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w:t>
      </w:r>
      <w:proofErr w:type="gramStart"/>
      <w:r>
        <w:rPr>
          <w:rFonts w:ascii="Arial" w:hAnsi="Arial" w:cs="Arial"/>
          <w:sz w:val="22"/>
          <w:szCs w:val="22"/>
          <w:lang w:val="en-GB"/>
        </w:rPr>
        <w:t xml:space="preserve">in </w:t>
      </w:r>
      <w:r w:rsidR="00FC7249">
        <w:rPr>
          <w:rFonts w:ascii="Arial" w:hAnsi="Arial" w:cs="Arial"/>
          <w:sz w:val="22"/>
          <w:szCs w:val="22"/>
          <w:lang w:val="en-GB"/>
        </w:rPr>
        <w:t>light of</w:t>
      </w:r>
      <w:proofErr w:type="gramEnd"/>
      <w:r w:rsidR="00FC7249">
        <w:rPr>
          <w:rFonts w:ascii="Arial" w:hAnsi="Arial" w:cs="Arial"/>
          <w:sz w:val="22"/>
          <w:szCs w:val="22"/>
          <w:lang w:val="en-GB"/>
        </w:rPr>
        <w:t xml:space="preserve">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1E5980EA"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the information above, the principal debts owned by HA are loans taken from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a shareholder of HGL, which, despite being the bigger in amount, is unsecured but is granted in favour of the creditor’s ipso facto right; (ii) CBA, which has an unregistered security but needs to be repaid in the short-term and (iii) HGL.</w:t>
      </w:r>
    </w:p>
    <w:p w14:paraId="6AB35976"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Considering these debts, it is important to make the following considerations:</w:t>
      </w:r>
    </w:p>
    <w:p w14:paraId="7D7BF681" w14:textId="77777777" w:rsidR="00BC1CA6" w:rsidRDefault="00BC1CA6" w:rsidP="00BC1CA6">
      <w:pPr>
        <w:pStyle w:val="PargrafodaLista"/>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Australian law (section 267 of the Personal Property Securities Act) establishes that an unregistered security can be vested in favour of the grantor (the debtor, in this case) in case of liquidation of the debtor.</w:t>
      </w:r>
    </w:p>
    <w:p w14:paraId="17ACAF9F" w14:textId="77777777" w:rsidR="00BC1CA6" w:rsidRDefault="00BC1CA6" w:rsidP="00BC1CA6">
      <w:pPr>
        <w:pStyle w:val="PargrafodaLista"/>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ipso facto clause in the HGL major shareholder’s loan, which gives to the creditor the right to claim the whole credit in case HA </w:t>
      </w:r>
      <w:proofErr w:type="gramStart"/>
      <w:r>
        <w:rPr>
          <w:rFonts w:ascii="Arial" w:hAnsi="Arial" w:cs="Arial"/>
          <w:color w:val="7B7B7B" w:themeColor="accent3" w:themeShade="BF"/>
          <w:sz w:val="22"/>
          <w:szCs w:val="22"/>
          <w:lang w:val="en-GB"/>
        </w:rPr>
        <w:t>enters into</w:t>
      </w:r>
      <w:proofErr w:type="gramEnd"/>
      <w:r>
        <w:rPr>
          <w:rFonts w:ascii="Arial" w:hAnsi="Arial" w:cs="Arial"/>
          <w:color w:val="7B7B7B" w:themeColor="accent3" w:themeShade="BF"/>
          <w:sz w:val="22"/>
          <w:szCs w:val="22"/>
          <w:lang w:val="en-GB"/>
        </w:rPr>
        <w:t xml:space="preserve"> a formal insolvency or restructuring proceeding, is important to highlight the provision of sections 451D and 451E which provides an ipso facto moratorium when the debtor starts a voluntary administration. </w:t>
      </w:r>
    </w:p>
    <w:p w14:paraId="56DA2ADF"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It’s also important to underline the fact that HA continued to trade even when the insolvency status was initiated. Despite that there’s no obligation to a company that initiates a formal insolvency proceeding if it became insolvent, the conduct of the directors during this period and the transactions made for them may bring some personal liabilities.</w:t>
      </w:r>
    </w:p>
    <w:p w14:paraId="0AAB8B20"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Examples of these liabilities that directors are subjected to is for insolvent trading, which is a compensation that the former director may be liable to repair the company when it’s been proven that some transactions shouldn’t have been made.</w:t>
      </w:r>
    </w:p>
    <w:p w14:paraId="7205037E"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obligations of the directors is to take some actions to prevent the insolvency of the company or at least to manage the assets and liabilities to minimize the financial prejudice to the company and its creditors.</w:t>
      </w:r>
    </w:p>
    <w:p w14:paraId="4563F3CE"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other hand, when the directors promote actions to prevent the insolvency or to minimize the economic effect of the insolvency status, the Companies Act provides a mechanism to protect the directors from the liability, the “safe harbour”.</w:t>
      </w:r>
    </w:p>
    <w:p w14:paraId="268D0991" w14:textId="77777777" w:rsidR="00BC1CA6" w:rsidRDefault="00BC1CA6" w:rsidP="00BC1CA6">
      <w:pPr>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Keeping those facts and provisions of Australian law in mind, I would advise the boarder to recognize the insolvency status of HA and would initiate a voluntary administration in order to stay the enforcement of claims from HGL shareholder and CBA to try a rearrangement with the creditors or at least a better liquidation of the company and, at the same time, try to avoid liabilities to the directors.</w:t>
      </w:r>
    </w:p>
    <w:p w14:paraId="0BB4D074" w14:textId="77777777" w:rsidR="00BC1CA6" w:rsidRDefault="00BC1CA6" w:rsidP="00BC1CA6">
      <w:pPr>
        <w:rPr>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812F" w14:textId="77777777" w:rsidR="00B32CEA" w:rsidRDefault="00B32CEA" w:rsidP="00241B44">
      <w:r>
        <w:separator/>
      </w:r>
    </w:p>
  </w:endnote>
  <w:endnote w:type="continuationSeparator" w:id="0">
    <w:p w14:paraId="790C03D1" w14:textId="77777777" w:rsidR="00B32CEA" w:rsidRDefault="00B32CE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5BBCC268" w14:textId="77777777" w:rsidR="00542A3A" w:rsidRPr="00FC7B47" w:rsidRDefault="00542A3A"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737AF335" w14:textId="77777777" w:rsidR="00542A3A" w:rsidRPr="00FC7B47" w:rsidRDefault="00542A3A"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4BA64FDE" w14:textId="77777777" w:rsidR="00542A3A" w:rsidRPr="009B4976" w:rsidRDefault="00542A3A" w:rsidP="00542A3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4652DD67" w14:textId="22E87E08" w:rsidR="00542A3A" w:rsidRPr="009B4976" w:rsidRDefault="00440CDA" w:rsidP="009B4976">
    <w:pPr>
      <w:pStyle w:val="Rodap"/>
      <w:ind w:right="360"/>
      <w:rPr>
        <w:rFonts w:ascii="Arial" w:hAnsi="Arial" w:cs="Arial"/>
        <w:sz w:val="18"/>
        <w:szCs w:val="18"/>
        <w:lang w:val="en-GB"/>
      </w:rPr>
    </w:pPr>
    <w:r>
      <w:rPr>
        <w:rFonts w:ascii="Arial" w:hAnsi="Arial" w:cs="Arial"/>
        <w:sz w:val="18"/>
        <w:szCs w:val="18"/>
        <w:lang w:val="en-GB"/>
      </w:rPr>
      <w:t>202122-561</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637F" w14:textId="77777777" w:rsidR="00B32CEA" w:rsidRDefault="00B32CEA" w:rsidP="00241B44">
      <w:r>
        <w:separator/>
      </w:r>
    </w:p>
  </w:footnote>
  <w:footnote w:type="continuationSeparator" w:id="0">
    <w:p w14:paraId="271E4526" w14:textId="77777777" w:rsidR="00B32CEA" w:rsidRDefault="00B32CE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EB85DCE"/>
    <w:multiLevelType w:val="hybridMultilevel"/>
    <w:tmpl w:val="1FFC8EC4"/>
    <w:lvl w:ilvl="0" w:tplc="82A8D61A">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707592">
    <w:abstractNumId w:val="19"/>
  </w:num>
  <w:num w:numId="2" w16cid:durableId="118107532">
    <w:abstractNumId w:val="11"/>
  </w:num>
  <w:num w:numId="3" w16cid:durableId="89007131">
    <w:abstractNumId w:val="9"/>
  </w:num>
  <w:num w:numId="4" w16cid:durableId="1757435212">
    <w:abstractNumId w:val="17"/>
  </w:num>
  <w:num w:numId="5" w16cid:durableId="383874501">
    <w:abstractNumId w:val="10"/>
  </w:num>
  <w:num w:numId="6" w16cid:durableId="852113911">
    <w:abstractNumId w:val="12"/>
  </w:num>
  <w:num w:numId="7" w16cid:durableId="1029792761">
    <w:abstractNumId w:val="18"/>
  </w:num>
  <w:num w:numId="8" w16cid:durableId="1134325356">
    <w:abstractNumId w:val="15"/>
  </w:num>
  <w:num w:numId="9" w16cid:durableId="140848384">
    <w:abstractNumId w:val="8"/>
  </w:num>
  <w:num w:numId="10" w16cid:durableId="2033799838">
    <w:abstractNumId w:val="6"/>
  </w:num>
  <w:num w:numId="11" w16cid:durableId="1011494885">
    <w:abstractNumId w:val="0"/>
  </w:num>
  <w:num w:numId="12" w16cid:durableId="1853764216">
    <w:abstractNumId w:val="16"/>
  </w:num>
  <w:num w:numId="13" w16cid:durableId="1649822531">
    <w:abstractNumId w:val="20"/>
  </w:num>
  <w:num w:numId="14" w16cid:durableId="974411882">
    <w:abstractNumId w:val="7"/>
  </w:num>
  <w:num w:numId="15" w16cid:durableId="1658920468">
    <w:abstractNumId w:val="4"/>
  </w:num>
  <w:num w:numId="16" w16cid:durableId="258178154">
    <w:abstractNumId w:val="1"/>
  </w:num>
  <w:num w:numId="17" w16cid:durableId="693968916">
    <w:abstractNumId w:val="21"/>
  </w:num>
  <w:num w:numId="18" w16cid:durableId="494302661">
    <w:abstractNumId w:val="5"/>
  </w:num>
  <w:num w:numId="19" w16cid:durableId="1379011746">
    <w:abstractNumId w:val="14"/>
  </w:num>
  <w:num w:numId="20" w16cid:durableId="1016493069">
    <w:abstractNumId w:val="3"/>
  </w:num>
  <w:num w:numId="21" w16cid:durableId="452528812">
    <w:abstractNumId w:val="13"/>
  </w:num>
  <w:num w:numId="22" w16cid:durableId="1528905259">
    <w:abstractNumId w:val="2"/>
  </w:num>
  <w:num w:numId="23" w16cid:durableId="2113282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1F7E3F"/>
    <w:rsid w:val="0020090A"/>
    <w:rsid w:val="00202DFE"/>
    <w:rsid w:val="0020725B"/>
    <w:rsid w:val="002110F1"/>
    <w:rsid w:val="00216FA9"/>
    <w:rsid w:val="002172B8"/>
    <w:rsid w:val="002239AF"/>
    <w:rsid w:val="002356EA"/>
    <w:rsid w:val="00237A25"/>
    <w:rsid w:val="0024116D"/>
    <w:rsid w:val="00241B44"/>
    <w:rsid w:val="00241FA3"/>
    <w:rsid w:val="0024390A"/>
    <w:rsid w:val="00245EFB"/>
    <w:rsid w:val="002476AF"/>
    <w:rsid w:val="0025386E"/>
    <w:rsid w:val="00260B45"/>
    <w:rsid w:val="002638B0"/>
    <w:rsid w:val="00265D2D"/>
    <w:rsid w:val="0026647A"/>
    <w:rsid w:val="002668D3"/>
    <w:rsid w:val="0027299F"/>
    <w:rsid w:val="00277678"/>
    <w:rsid w:val="00284EBE"/>
    <w:rsid w:val="00285815"/>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F1956"/>
    <w:rsid w:val="002F3440"/>
    <w:rsid w:val="002F75A3"/>
    <w:rsid w:val="00302A97"/>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61264"/>
    <w:rsid w:val="00361A0A"/>
    <w:rsid w:val="00364836"/>
    <w:rsid w:val="0036565C"/>
    <w:rsid w:val="0036625E"/>
    <w:rsid w:val="0037465A"/>
    <w:rsid w:val="00382C98"/>
    <w:rsid w:val="0038533C"/>
    <w:rsid w:val="00386568"/>
    <w:rsid w:val="00390B57"/>
    <w:rsid w:val="003948D5"/>
    <w:rsid w:val="0039681F"/>
    <w:rsid w:val="00396821"/>
    <w:rsid w:val="00397D3A"/>
    <w:rsid w:val="003A051E"/>
    <w:rsid w:val="003A540E"/>
    <w:rsid w:val="003B170F"/>
    <w:rsid w:val="003B3C5F"/>
    <w:rsid w:val="003C4471"/>
    <w:rsid w:val="003D0A6D"/>
    <w:rsid w:val="003E0B16"/>
    <w:rsid w:val="003E67D1"/>
    <w:rsid w:val="00404329"/>
    <w:rsid w:val="00405DC1"/>
    <w:rsid w:val="004074D2"/>
    <w:rsid w:val="00415934"/>
    <w:rsid w:val="00415F1F"/>
    <w:rsid w:val="00416D2B"/>
    <w:rsid w:val="0042108F"/>
    <w:rsid w:val="00430FED"/>
    <w:rsid w:val="00434A8C"/>
    <w:rsid w:val="00437297"/>
    <w:rsid w:val="00440CDA"/>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1ACF"/>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32230"/>
    <w:rsid w:val="005331CA"/>
    <w:rsid w:val="00533704"/>
    <w:rsid w:val="00537970"/>
    <w:rsid w:val="00540E3A"/>
    <w:rsid w:val="00542A3A"/>
    <w:rsid w:val="00544127"/>
    <w:rsid w:val="005441C8"/>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D7FBF"/>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458"/>
    <w:rsid w:val="00671AF1"/>
    <w:rsid w:val="00677AEB"/>
    <w:rsid w:val="00680EF2"/>
    <w:rsid w:val="0068624C"/>
    <w:rsid w:val="00687A1D"/>
    <w:rsid w:val="00690AFA"/>
    <w:rsid w:val="00697EA1"/>
    <w:rsid w:val="006A2646"/>
    <w:rsid w:val="006A5375"/>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4F7E"/>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41F8"/>
    <w:rsid w:val="007F659B"/>
    <w:rsid w:val="00800BA5"/>
    <w:rsid w:val="0080454E"/>
    <w:rsid w:val="00804C32"/>
    <w:rsid w:val="00806302"/>
    <w:rsid w:val="00807119"/>
    <w:rsid w:val="00816B7A"/>
    <w:rsid w:val="008235B7"/>
    <w:rsid w:val="00823B29"/>
    <w:rsid w:val="00824135"/>
    <w:rsid w:val="0082483F"/>
    <w:rsid w:val="008279C0"/>
    <w:rsid w:val="00846B6B"/>
    <w:rsid w:val="008570C4"/>
    <w:rsid w:val="00867088"/>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E3339"/>
    <w:rsid w:val="008F20FC"/>
    <w:rsid w:val="008F2C4E"/>
    <w:rsid w:val="008F5FFE"/>
    <w:rsid w:val="00905A43"/>
    <w:rsid w:val="00912C79"/>
    <w:rsid w:val="00921B8C"/>
    <w:rsid w:val="00942123"/>
    <w:rsid w:val="009512E1"/>
    <w:rsid w:val="0095207B"/>
    <w:rsid w:val="00962045"/>
    <w:rsid w:val="009806C5"/>
    <w:rsid w:val="00980E61"/>
    <w:rsid w:val="00984CF9"/>
    <w:rsid w:val="00991428"/>
    <w:rsid w:val="0099169D"/>
    <w:rsid w:val="00992676"/>
    <w:rsid w:val="009954B2"/>
    <w:rsid w:val="00996691"/>
    <w:rsid w:val="009A079E"/>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1E28"/>
    <w:rsid w:val="009F275E"/>
    <w:rsid w:val="009F2E51"/>
    <w:rsid w:val="009F70EA"/>
    <w:rsid w:val="00A047EE"/>
    <w:rsid w:val="00A15DC7"/>
    <w:rsid w:val="00A16569"/>
    <w:rsid w:val="00A21FA5"/>
    <w:rsid w:val="00A2274A"/>
    <w:rsid w:val="00A235B7"/>
    <w:rsid w:val="00A27A7A"/>
    <w:rsid w:val="00A31CF7"/>
    <w:rsid w:val="00A34ABE"/>
    <w:rsid w:val="00A35A16"/>
    <w:rsid w:val="00A407EF"/>
    <w:rsid w:val="00A46B4C"/>
    <w:rsid w:val="00A5117B"/>
    <w:rsid w:val="00A55389"/>
    <w:rsid w:val="00A56D34"/>
    <w:rsid w:val="00A60074"/>
    <w:rsid w:val="00A6627C"/>
    <w:rsid w:val="00A71019"/>
    <w:rsid w:val="00A81029"/>
    <w:rsid w:val="00A845F5"/>
    <w:rsid w:val="00A93D62"/>
    <w:rsid w:val="00A96489"/>
    <w:rsid w:val="00AA672D"/>
    <w:rsid w:val="00AB2425"/>
    <w:rsid w:val="00AB685C"/>
    <w:rsid w:val="00AB6C2D"/>
    <w:rsid w:val="00AC08F7"/>
    <w:rsid w:val="00AC2F1F"/>
    <w:rsid w:val="00AC3839"/>
    <w:rsid w:val="00AC43F8"/>
    <w:rsid w:val="00AC68D5"/>
    <w:rsid w:val="00AC7082"/>
    <w:rsid w:val="00AD12C7"/>
    <w:rsid w:val="00AD4BE8"/>
    <w:rsid w:val="00AF228E"/>
    <w:rsid w:val="00AF6CD7"/>
    <w:rsid w:val="00B016A8"/>
    <w:rsid w:val="00B038E3"/>
    <w:rsid w:val="00B14819"/>
    <w:rsid w:val="00B15E2F"/>
    <w:rsid w:val="00B17AA9"/>
    <w:rsid w:val="00B240F9"/>
    <w:rsid w:val="00B32CEA"/>
    <w:rsid w:val="00B37C3C"/>
    <w:rsid w:val="00B44713"/>
    <w:rsid w:val="00B51B95"/>
    <w:rsid w:val="00B53FBE"/>
    <w:rsid w:val="00B56103"/>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1CA6"/>
    <w:rsid w:val="00BC5A60"/>
    <w:rsid w:val="00BD1D15"/>
    <w:rsid w:val="00BE4FF3"/>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3562"/>
    <w:rsid w:val="00C7736C"/>
    <w:rsid w:val="00C82D87"/>
    <w:rsid w:val="00C83026"/>
    <w:rsid w:val="00C8712A"/>
    <w:rsid w:val="00C902C8"/>
    <w:rsid w:val="00C919D1"/>
    <w:rsid w:val="00C95222"/>
    <w:rsid w:val="00C963D3"/>
    <w:rsid w:val="00CB1983"/>
    <w:rsid w:val="00CB2CBB"/>
    <w:rsid w:val="00CB5057"/>
    <w:rsid w:val="00CB7CAC"/>
    <w:rsid w:val="00CC5335"/>
    <w:rsid w:val="00CC5BA4"/>
    <w:rsid w:val="00CC6748"/>
    <w:rsid w:val="00CD4998"/>
    <w:rsid w:val="00CE0A89"/>
    <w:rsid w:val="00CE1035"/>
    <w:rsid w:val="00CE6E50"/>
    <w:rsid w:val="00CF128D"/>
    <w:rsid w:val="00CF2819"/>
    <w:rsid w:val="00CF4F9D"/>
    <w:rsid w:val="00CF70DC"/>
    <w:rsid w:val="00D148DC"/>
    <w:rsid w:val="00D17FDC"/>
    <w:rsid w:val="00D21D8C"/>
    <w:rsid w:val="00D45B4F"/>
    <w:rsid w:val="00D514E8"/>
    <w:rsid w:val="00D53719"/>
    <w:rsid w:val="00D6188D"/>
    <w:rsid w:val="00D63EF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1BD7"/>
    <w:rsid w:val="00DD2E11"/>
    <w:rsid w:val="00DE03AF"/>
    <w:rsid w:val="00DE121C"/>
    <w:rsid w:val="00DE6633"/>
    <w:rsid w:val="00DF75F8"/>
    <w:rsid w:val="00DF7A3A"/>
    <w:rsid w:val="00E00C00"/>
    <w:rsid w:val="00E05C07"/>
    <w:rsid w:val="00E07C5A"/>
    <w:rsid w:val="00E11C54"/>
    <w:rsid w:val="00E14FED"/>
    <w:rsid w:val="00E15BA9"/>
    <w:rsid w:val="00E20800"/>
    <w:rsid w:val="00E21190"/>
    <w:rsid w:val="00E26E19"/>
    <w:rsid w:val="00E2724D"/>
    <w:rsid w:val="00E31DF3"/>
    <w:rsid w:val="00E409FC"/>
    <w:rsid w:val="00E450A4"/>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42E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369">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3067537">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77525354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83781078">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635721696">
      <w:bodyDiv w:val="1"/>
      <w:marLeft w:val="0"/>
      <w:marRight w:val="0"/>
      <w:marTop w:val="0"/>
      <w:marBottom w:val="0"/>
      <w:divBdr>
        <w:top w:val="none" w:sz="0" w:space="0" w:color="auto"/>
        <w:left w:val="none" w:sz="0" w:space="0" w:color="auto"/>
        <w:bottom w:val="none" w:sz="0" w:space="0" w:color="auto"/>
        <w:right w:val="none" w:sz="0" w:space="0" w:color="auto"/>
      </w:divBdr>
    </w:div>
    <w:div w:id="1796287398">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3782</Words>
  <Characters>20427</Characters>
  <Application>Microsoft Office Word</Application>
  <DocSecurity>4</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Marcelly Verdam Farias</cp:lastModifiedBy>
  <cp:revision>2</cp:revision>
  <cp:lastPrinted>2019-08-27T05:42:00Z</cp:lastPrinted>
  <dcterms:created xsi:type="dcterms:W3CDTF">2022-07-27T14:24:00Z</dcterms:created>
  <dcterms:modified xsi:type="dcterms:W3CDTF">2022-07-27T14:24:00Z</dcterms:modified>
</cp:coreProperties>
</file>