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PargrafodaLista"/>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PargrafodaLista"/>
        <w:ind w:left="426"/>
        <w:jc w:val="both"/>
        <w:rPr>
          <w:rFonts w:ascii="Arial" w:hAnsi="Arial" w:cs="Arial"/>
          <w:sz w:val="22"/>
          <w:szCs w:val="22"/>
          <w:lang w:val="en-GB"/>
        </w:rPr>
      </w:pPr>
    </w:p>
    <w:p w14:paraId="284B9BBE" w14:textId="18A26DD1" w:rsidR="005B79F4" w:rsidRPr="00D21F62" w:rsidRDefault="00D21F62" w:rsidP="003C4BCB">
      <w:pPr>
        <w:pStyle w:val="PargrafodaLista"/>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PargrafodaLista"/>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A43CB5" w:rsidRDefault="00D21F62" w:rsidP="003C4BCB">
      <w:pPr>
        <w:pStyle w:val="PargrafodaLista"/>
        <w:numPr>
          <w:ilvl w:val="0"/>
          <w:numId w:val="2"/>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A43CB5">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A43CB5" w:rsidRDefault="006D217A" w:rsidP="006D217A">
      <w:pPr>
        <w:pStyle w:val="PargrafodaLista"/>
        <w:numPr>
          <w:ilvl w:val="0"/>
          <w:numId w:val="3"/>
        </w:numPr>
        <w:ind w:left="426"/>
        <w:jc w:val="both"/>
        <w:rPr>
          <w:rFonts w:ascii="Arial" w:hAnsi="Arial" w:cs="Arial"/>
          <w:iCs/>
          <w:sz w:val="22"/>
          <w:szCs w:val="22"/>
          <w:highlight w:val="yellow"/>
          <w:lang w:val="en-GB"/>
        </w:rPr>
      </w:pPr>
      <w:r w:rsidRPr="00A43CB5">
        <w:rPr>
          <w:rFonts w:ascii="Arial" w:hAnsi="Arial" w:cs="Arial"/>
          <w:iCs/>
          <w:sz w:val="22"/>
          <w:szCs w:val="22"/>
          <w:highlight w:val="yellow"/>
          <w:lang w:val="en-GB"/>
        </w:rPr>
        <w:t>False</w:t>
      </w:r>
      <w:r w:rsidR="00D21F62" w:rsidRPr="00A43CB5">
        <w:rPr>
          <w:rFonts w:ascii="Arial" w:hAnsi="Arial" w:cs="Arial"/>
          <w:iCs/>
          <w:sz w:val="22"/>
          <w:szCs w:val="22"/>
          <w:highlight w:val="yellow"/>
          <w:lang w:val="en-GB"/>
        </w:rPr>
        <w:t>.</w:t>
      </w:r>
      <w:r w:rsidRPr="00A43CB5">
        <w:rPr>
          <w:rFonts w:ascii="Arial" w:hAnsi="Arial" w:cs="Arial"/>
          <w:iCs/>
          <w:sz w:val="22"/>
          <w:szCs w:val="22"/>
          <w:highlight w:val="yellow"/>
          <w:lang w:val="en-GB"/>
        </w:rPr>
        <w:t xml:space="preserve"> </w:t>
      </w:r>
      <w:r w:rsidR="00D21F62" w:rsidRPr="00A43CB5">
        <w:rPr>
          <w:rFonts w:ascii="Arial" w:hAnsi="Arial" w:cs="Arial"/>
          <w:sz w:val="22"/>
          <w:szCs w:val="22"/>
          <w:highlight w:val="yellow"/>
          <w:lang w:val="en-GB"/>
        </w:rPr>
        <w:t>T</w:t>
      </w:r>
      <w:r w:rsidRPr="00A43CB5">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PargrafodaLista"/>
        <w:ind w:left="426"/>
        <w:jc w:val="both"/>
        <w:rPr>
          <w:rFonts w:ascii="Arial" w:hAnsi="Arial" w:cs="Arial"/>
          <w:iCs/>
          <w:sz w:val="22"/>
          <w:szCs w:val="22"/>
          <w:lang w:val="en-GB"/>
        </w:rPr>
      </w:pPr>
    </w:p>
    <w:p w14:paraId="41F30847" w14:textId="15ADA3FC"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PargrafodaLista"/>
        <w:ind w:left="426"/>
        <w:jc w:val="both"/>
        <w:rPr>
          <w:rFonts w:ascii="Arial" w:hAnsi="Arial" w:cs="Arial"/>
          <w:iCs/>
          <w:sz w:val="22"/>
          <w:szCs w:val="22"/>
          <w:lang w:val="en-GB"/>
        </w:rPr>
      </w:pPr>
    </w:p>
    <w:p w14:paraId="74C0E9B6" w14:textId="67EBDC94" w:rsidR="005B79F4" w:rsidRPr="005D2CD6" w:rsidRDefault="006D217A" w:rsidP="00D21F62">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PargrafodaLista"/>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A43CB5" w:rsidRDefault="00D21F62" w:rsidP="003C4BCB">
      <w:pPr>
        <w:pStyle w:val="PargrafodaLista"/>
        <w:numPr>
          <w:ilvl w:val="0"/>
          <w:numId w:val="4"/>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lastRenderedPageBreak/>
        <w:t xml:space="preserve">False. While </w:t>
      </w:r>
      <w:proofErr w:type="gramStart"/>
      <w:r w:rsidRPr="00A43CB5">
        <w:rPr>
          <w:rFonts w:ascii="Arial" w:hAnsi="Arial" w:cs="Arial"/>
          <w:sz w:val="22"/>
          <w:szCs w:val="22"/>
          <w:highlight w:val="yellow"/>
          <w:lang w:val="en-GB"/>
        </w:rPr>
        <w:t>a number of</w:t>
      </w:r>
      <w:proofErr w:type="gramEnd"/>
      <w:r w:rsidRPr="00A43CB5">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PargrafodaLista"/>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A43CB5" w:rsidRDefault="00971896" w:rsidP="003C4BCB">
      <w:pPr>
        <w:pStyle w:val="PargrafodaLista"/>
        <w:numPr>
          <w:ilvl w:val="0"/>
          <w:numId w:val="5"/>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t xml:space="preserve">Although the EIR Recast includes relevant and useful innovations, it has stuck with the framework of the </w:t>
      </w:r>
      <w:r w:rsidR="006F0106" w:rsidRPr="00A43CB5">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A43CB5" w:rsidRDefault="008E7371" w:rsidP="003C4BCB">
      <w:pPr>
        <w:pStyle w:val="PargrafodaLista"/>
        <w:numPr>
          <w:ilvl w:val="0"/>
          <w:numId w:val="6"/>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A43CB5" w:rsidRDefault="00113E29" w:rsidP="00D509A5">
      <w:pPr>
        <w:pStyle w:val="PargrafodaLista"/>
        <w:numPr>
          <w:ilvl w:val="0"/>
          <w:numId w:val="7"/>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t xml:space="preserve">The </w:t>
      </w:r>
      <w:r w:rsidR="008E7371" w:rsidRPr="00A43CB5">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PargrafodaLista"/>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PargrafodaLista"/>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PargrafodaLista"/>
        <w:ind w:left="426"/>
        <w:jc w:val="both"/>
        <w:rPr>
          <w:rFonts w:ascii="Arial" w:hAnsi="Arial" w:cs="Arial"/>
          <w:sz w:val="22"/>
          <w:szCs w:val="22"/>
          <w:lang w:val="en-GB"/>
        </w:rPr>
      </w:pPr>
    </w:p>
    <w:p w14:paraId="7793DAFC" w14:textId="67E69AED" w:rsidR="00F814B4" w:rsidRPr="00ED6F9D" w:rsidRDefault="0034705B" w:rsidP="003C4BCB">
      <w:pPr>
        <w:pStyle w:val="PargrafodaLista"/>
        <w:numPr>
          <w:ilvl w:val="0"/>
          <w:numId w:val="8"/>
        </w:numPr>
        <w:ind w:left="426"/>
        <w:jc w:val="both"/>
        <w:rPr>
          <w:rFonts w:ascii="Arial" w:hAnsi="Arial" w:cs="Arial"/>
          <w:sz w:val="22"/>
          <w:szCs w:val="22"/>
          <w:highlight w:val="yellow"/>
          <w:lang w:val="en-GB"/>
        </w:rPr>
      </w:pPr>
      <w:r w:rsidRPr="00ED6F9D">
        <w:rPr>
          <w:rFonts w:ascii="Arial" w:hAnsi="Arial" w:cs="Arial"/>
          <w:sz w:val="22"/>
          <w:szCs w:val="22"/>
          <w:highlight w:val="yellow"/>
          <w:lang w:val="en-GB"/>
        </w:rPr>
        <w:t>“</w:t>
      </w:r>
      <w:r w:rsidR="00F814B4" w:rsidRPr="00ED6F9D">
        <w:rPr>
          <w:rFonts w:ascii="Arial" w:hAnsi="Arial" w:cs="Arial"/>
          <w:sz w:val="22"/>
          <w:szCs w:val="22"/>
          <w:highlight w:val="yellow"/>
          <w:lang w:val="en-GB"/>
        </w:rPr>
        <w:t>Synthetic proceedings</w:t>
      </w:r>
      <w:r w:rsidRPr="00ED6F9D">
        <w:rPr>
          <w:rFonts w:ascii="Arial" w:hAnsi="Arial" w:cs="Arial"/>
          <w:sz w:val="22"/>
          <w:szCs w:val="22"/>
          <w:highlight w:val="yellow"/>
          <w:lang w:val="en-GB"/>
        </w:rPr>
        <w:t>”</w:t>
      </w:r>
      <w:r w:rsidR="00F814B4" w:rsidRPr="00ED6F9D">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Textodecomentrio"/>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PargrafodaLista"/>
        <w:ind w:left="426"/>
        <w:jc w:val="both"/>
        <w:rPr>
          <w:rFonts w:ascii="Arial" w:hAnsi="Arial" w:cs="Arial"/>
          <w:sz w:val="22"/>
          <w:szCs w:val="22"/>
          <w:lang w:val="en-GB"/>
        </w:rPr>
      </w:pPr>
    </w:p>
    <w:p w14:paraId="2C0C9375" w14:textId="74A9BBD3"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PargrafodaLista"/>
        <w:ind w:left="426"/>
        <w:jc w:val="both"/>
        <w:rPr>
          <w:rFonts w:ascii="Arial" w:hAnsi="Arial" w:cs="Arial"/>
          <w:sz w:val="22"/>
          <w:szCs w:val="22"/>
          <w:lang w:val="en-GB"/>
        </w:rPr>
      </w:pPr>
    </w:p>
    <w:p w14:paraId="7CF1BB8B" w14:textId="77777777" w:rsidR="00F814B4" w:rsidRPr="00A43CB5" w:rsidRDefault="00F814B4" w:rsidP="00F814B4">
      <w:pPr>
        <w:pStyle w:val="PargrafodaLista"/>
        <w:numPr>
          <w:ilvl w:val="0"/>
          <w:numId w:val="10"/>
        </w:numPr>
        <w:ind w:left="426"/>
        <w:jc w:val="both"/>
        <w:rPr>
          <w:rFonts w:ascii="Arial" w:hAnsi="Arial" w:cs="Arial"/>
          <w:sz w:val="22"/>
          <w:szCs w:val="22"/>
          <w:highlight w:val="yellow"/>
          <w:lang w:val="en-GB"/>
        </w:rPr>
      </w:pPr>
      <w:r w:rsidRPr="00A43CB5">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PargrafodaLista"/>
        <w:ind w:left="426"/>
        <w:jc w:val="both"/>
        <w:rPr>
          <w:rFonts w:ascii="Arial" w:hAnsi="Arial" w:cs="Arial"/>
          <w:sz w:val="22"/>
          <w:szCs w:val="22"/>
          <w:lang w:val="en-GB"/>
        </w:rPr>
      </w:pPr>
    </w:p>
    <w:p w14:paraId="1A7B7775" w14:textId="4A1D42B1" w:rsidR="00375D11" w:rsidRPr="005D2CD6" w:rsidRDefault="00113E29"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PargrafodaLista"/>
        <w:ind w:left="426"/>
        <w:jc w:val="both"/>
        <w:rPr>
          <w:rFonts w:ascii="Arial" w:hAnsi="Arial" w:cs="Arial"/>
          <w:sz w:val="22"/>
          <w:szCs w:val="22"/>
          <w:lang w:val="en-GB"/>
        </w:rPr>
      </w:pPr>
    </w:p>
    <w:p w14:paraId="3BB4C572" w14:textId="0D9E3986" w:rsidR="00375D11" w:rsidRPr="008B3394" w:rsidRDefault="00375D11" w:rsidP="00375D11">
      <w:pPr>
        <w:pStyle w:val="PargrafodaLista"/>
        <w:numPr>
          <w:ilvl w:val="0"/>
          <w:numId w:val="9"/>
        </w:numPr>
        <w:ind w:left="426"/>
        <w:jc w:val="both"/>
        <w:rPr>
          <w:rFonts w:ascii="Arial" w:hAnsi="Arial" w:cs="Arial"/>
          <w:sz w:val="22"/>
          <w:szCs w:val="22"/>
          <w:highlight w:val="yellow"/>
          <w:lang w:val="en-GB"/>
        </w:rPr>
      </w:pPr>
      <w:r w:rsidRPr="008B3394">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8B3394">
        <w:rPr>
          <w:rFonts w:ascii="Arial" w:hAnsi="Arial" w:cs="Arial"/>
          <w:sz w:val="22"/>
          <w:szCs w:val="22"/>
          <w:highlight w:val="yellow"/>
          <w:lang w:val="en-GB"/>
        </w:rPr>
        <w:t>on the basis of</w:t>
      </w:r>
      <w:proofErr w:type="gramEnd"/>
      <w:r w:rsidRPr="008B3394">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825ABC" w:rsidRDefault="00FC48D8" w:rsidP="003C4BCB">
      <w:pPr>
        <w:pStyle w:val="PargrafodaLista"/>
        <w:numPr>
          <w:ilvl w:val="0"/>
          <w:numId w:val="11"/>
        </w:numPr>
        <w:ind w:left="426"/>
        <w:jc w:val="both"/>
        <w:rPr>
          <w:rFonts w:ascii="Arial" w:hAnsi="Arial" w:cs="Arial"/>
          <w:sz w:val="22"/>
          <w:szCs w:val="22"/>
          <w:highlight w:val="yellow"/>
          <w:lang w:val="en-GB"/>
        </w:rPr>
      </w:pPr>
      <w:r w:rsidRPr="00825ABC">
        <w:rPr>
          <w:rFonts w:ascii="Arial" w:hAnsi="Arial" w:cs="Arial"/>
          <w:sz w:val="22"/>
          <w:szCs w:val="22"/>
          <w:highlight w:val="yellow"/>
          <w:lang w:val="en-GB"/>
        </w:rPr>
        <w:t>Within 30 days following the publication of the opening of insolvency proceedings in th</w:t>
      </w:r>
      <w:r w:rsidR="007772BD" w:rsidRPr="00825ABC">
        <w:rPr>
          <w:rFonts w:ascii="Arial" w:hAnsi="Arial" w:cs="Arial"/>
          <w:sz w:val="22"/>
          <w:szCs w:val="22"/>
          <w:highlight w:val="yellow"/>
          <w:lang w:val="en-GB"/>
        </w:rPr>
        <w:t>e insolvency register of Spain</w:t>
      </w:r>
      <w:r w:rsidRPr="00825ABC">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DEA0BFC" w:rsidR="00636C15" w:rsidRDefault="00825ABC" w:rsidP="00825A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w:t>
      </w:r>
      <w:r w:rsidR="00FF0A35">
        <w:rPr>
          <w:rFonts w:ascii="Arial" w:hAnsi="Arial" w:cs="Arial"/>
          <w:color w:val="7B7B7B" w:themeColor="accent3" w:themeShade="BF"/>
          <w:sz w:val="22"/>
          <w:szCs w:val="22"/>
        </w:rPr>
        <w:t xml:space="preserve"> provision </w:t>
      </w:r>
      <w:r>
        <w:rPr>
          <w:rFonts w:ascii="Arial" w:hAnsi="Arial" w:cs="Arial"/>
          <w:color w:val="7B7B7B" w:themeColor="accent3" w:themeShade="BF"/>
          <w:sz w:val="22"/>
          <w:szCs w:val="22"/>
        </w:rPr>
        <w:t>of the universality of the main insolvency proceeding</w:t>
      </w:r>
      <w:r w:rsidR="00FF0A35">
        <w:rPr>
          <w:rFonts w:ascii="Arial" w:hAnsi="Arial" w:cs="Arial"/>
          <w:color w:val="7B7B7B" w:themeColor="accent3" w:themeShade="BF"/>
          <w:sz w:val="22"/>
          <w:szCs w:val="22"/>
        </w:rPr>
        <w:t xml:space="preserve"> with the </w:t>
      </w:r>
      <w:r w:rsidR="00F11512">
        <w:rPr>
          <w:rFonts w:ascii="Arial" w:hAnsi="Arial" w:cs="Arial"/>
          <w:color w:val="7B7B7B" w:themeColor="accent3" w:themeShade="BF"/>
          <w:sz w:val="22"/>
          <w:szCs w:val="22"/>
        </w:rPr>
        <w:t>observance of the creditor’s rights to lodge its claims and receive its debits</w:t>
      </w:r>
      <w:r w:rsidR="00FF0A35">
        <w:rPr>
          <w:rFonts w:ascii="Arial" w:hAnsi="Arial" w:cs="Arial"/>
          <w:color w:val="7B7B7B" w:themeColor="accent3" w:themeShade="BF"/>
          <w:sz w:val="22"/>
          <w:szCs w:val="22"/>
        </w:rPr>
        <w:t>, Article 36 (1) EIR Recast.</w:t>
      </w:r>
    </w:p>
    <w:p w14:paraId="2AE63CC8" w14:textId="77777777" w:rsidR="00FF0A35" w:rsidRDefault="00FF0A35" w:rsidP="00825ABC">
      <w:pPr>
        <w:ind w:firstLine="709"/>
        <w:jc w:val="both"/>
        <w:rPr>
          <w:rFonts w:ascii="Arial" w:hAnsi="Arial" w:cs="Arial"/>
          <w:color w:val="7B7B7B" w:themeColor="accent3" w:themeShade="BF"/>
          <w:sz w:val="22"/>
          <w:szCs w:val="22"/>
        </w:rPr>
      </w:pPr>
    </w:p>
    <w:p w14:paraId="13DC3BA7" w14:textId="594E4BC8" w:rsidR="00FF0A35" w:rsidRPr="005D2CD6" w:rsidRDefault="00FF0A35" w:rsidP="00825ABC">
      <w:pPr>
        <w:ind w:firstLine="709"/>
        <w:jc w:val="both"/>
        <w:rPr>
          <w:rFonts w:ascii="Arial" w:hAnsi="Arial" w:cs="Arial"/>
          <w:sz w:val="22"/>
          <w:szCs w:val="22"/>
        </w:rPr>
      </w:pPr>
      <w:r>
        <w:rPr>
          <w:rFonts w:ascii="Arial" w:hAnsi="Arial" w:cs="Arial"/>
          <w:color w:val="7B7B7B" w:themeColor="accent3" w:themeShade="BF"/>
          <w:sz w:val="22"/>
          <w:szCs w:val="22"/>
        </w:rPr>
        <w:t xml:space="preserve">Statement 2 </w:t>
      </w:r>
      <w:r w:rsidR="008C33B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8C33B5">
        <w:rPr>
          <w:rFonts w:ascii="Arial" w:hAnsi="Arial" w:cs="Arial"/>
          <w:color w:val="7B7B7B" w:themeColor="accent3" w:themeShade="BF"/>
          <w:sz w:val="22"/>
          <w:szCs w:val="22"/>
        </w:rPr>
        <w:t xml:space="preserve">cooperation and coordination between all actors involved in the insolvency proceeding </w:t>
      </w:r>
      <w:r w:rsidR="00BD6445">
        <w:rPr>
          <w:rFonts w:ascii="Arial" w:hAnsi="Arial" w:cs="Arial"/>
          <w:color w:val="7B7B7B" w:themeColor="accent3" w:themeShade="BF"/>
          <w:sz w:val="22"/>
          <w:szCs w:val="22"/>
        </w:rPr>
        <w:t>to</w:t>
      </w:r>
      <w:r w:rsidR="008C33B5">
        <w:rPr>
          <w:rFonts w:ascii="Arial" w:hAnsi="Arial" w:cs="Arial"/>
          <w:color w:val="7B7B7B" w:themeColor="accent3" w:themeShade="BF"/>
          <w:sz w:val="22"/>
          <w:szCs w:val="22"/>
        </w:rPr>
        <w:t xml:space="preserve"> guarantee effectiveness to the </w:t>
      </w:r>
      <w:r w:rsidR="00BD6445">
        <w:rPr>
          <w:rFonts w:ascii="Arial" w:hAnsi="Arial" w:cs="Arial"/>
          <w:color w:val="7B7B7B" w:themeColor="accent3" w:themeShade="BF"/>
          <w:sz w:val="22"/>
          <w:szCs w:val="22"/>
        </w:rPr>
        <w:t>insolvency</w:t>
      </w:r>
      <w:r w:rsidR="008C33B5">
        <w:rPr>
          <w:rFonts w:ascii="Arial" w:hAnsi="Arial" w:cs="Arial"/>
          <w:color w:val="7B7B7B" w:themeColor="accent3" w:themeShade="BF"/>
          <w:sz w:val="22"/>
          <w:szCs w:val="22"/>
        </w:rPr>
        <w:t xml:space="preserve"> proceeding with an efficient administration of the insolvency estate, equal treatment between creditors and the effective realization of the assets (article</w:t>
      </w:r>
      <w:r w:rsidR="00BD6445">
        <w:rPr>
          <w:rFonts w:ascii="Arial" w:hAnsi="Arial" w:cs="Arial"/>
          <w:color w:val="7B7B7B" w:themeColor="accent3" w:themeShade="BF"/>
          <w:sz w:val="22"/>
          <w:szCs w:val="22"/>
        </w:rPr>
        <w:t>s 41-43 and 56-58).</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0A8E16C6" w:rsidR="00636C15" w:rsidRPr="005D2CD6" w:rsidRDefault="00E378D2" w:rsidP="00E378D2">
      <w:pPr>
        <w:ind w:firstLine="709"/>
        <w:jc w:val="both"/>
        <w:rPr>
          <w:rFonts w:ascii="Arial" w:hAnsi="Arial" w:cs="Arial"/>
          <w:sz w:val="22"/>
          <w:szCs w:val="22"/>
          <w:lang w:val="en-GB"/>
        </w:rPr>
      </w:pPr>
      <w:r w:rsidRPr="00BD6445">
        <w:rPr>
          <w:rFonts w:ascii="Arial" w:hAnsi="Arial" w:cs="Arial"/>
          <w:color w:val="7B7B7B" w:themeColor="accent3" w:themeShade="BF"/>
          <w:sz w:val="22"/>
          <w:szCs w:val="22"/>
          <w:lang w:val="en-GB"/>
        </w:rPr>
        <w:t xml:space="preserve">Three examples of provisions made by the EIR Recast in adoption to the modified universalism approach is </w:t>
      </w:r>
      <w:r w:rsidR="0095773E">
        <w:rPr>
          <w:rFonts w:ascii="Arial" w:hAnsi="Arial" w:cs="Arial"/>
          <w:color w:val="7B7B7B" w:themeColor="accent3" w:themeShade="BF"/>
          <w:sz w:val="22"/>
          <w:szCs w:val="22"/>
          <w:lang w:val="en-GB"/>
        </w:rPr>
        <w:t>(</w:t>
      </w:r>
      <w:proofErr w:type="spellStart"/>
      <w:r w:rsidR="0095773E">
        <w:rPr>
          <w:rFonts w:ascii="Arial" w:hAnsi="Arial" w:cs="Arial"/>
          <w:color w:val="7B7B7B" w:themeColor="accent3" w:themeShade="BF"/>
          <w:sz w:val="22"/>
          <w:szCs w:val="22"/>
          <w:lang w:val="en-GB"/>
        </w:rPr>
        <w:t>i</w:t>
      </w:r>
      <w:proofErr w:type="spellEnd"/>
      <w:r w:rsidR="0095773E">
        <w:rPr>
          <w:rFonts w:ascii="Arial" w:hAnsi="Arial" w:cs="Arial"/>
          <w:color w:val="7B7B7B" w:themeColor="accent3" w:themeShade="BF"/>
          <w:sz w:val="22"/>
          <w:szCs w:val="22"/>
          <w:lang w:val="en-GB"/>
        </w:rPr>
        <w:t xml:space="preserve">) </w:t>
      </w:r>
      <w:r w:rsidRPr="00BD6445">
        <w:rPr>
          <w:rFonts w:ascii="Arial" w:hAnsi="Arial" w:cs="Arial"/>
          <w:color w:val="7B7B7B" w:themeColor="accent3" w:themeShade="BF"/>
          <w:sz w:val="22"/>
          <w:szCs w:val="22"/>
          <w:lang w:val="en-GB"/>
        </w:rPr>
        <w:t>the possibility of the opening of</w:t>
      </w:r>
      <w:r w:rsidR="00BD6445">
        <w:rPr>
          <w:rFonts w:ascii="Arial" w:hAnsi="Arial" w:cs="Arial"/>
          <w:color w:val="7B7B7B" w:themeColor="accent3" w:themeShade="BF"/>
          <w:sz w:val="22"/>
          <w:szCs w:val="22"/>
          <w:lang w:val="en-GB"/>
        </w:rPr>
        <w:t xml:space="preserve"> main and secondary proceeding,</w:t>
      </w:r>
      <w:r w:rsidRPr="00BD6445">
        <w:rPr>
          <w:rFonts w:ascii="Arial" w:hAnsi="Arial" w:cs="Arial"/>
          <w:color w:val="7B7B7B" w:themeColor="accent3" w:themeShade="BF"/>
          <w:sz w:val="22"/>
          <w:szCs w:val="22"/>
          <w:lang w:val="en-GB"/>
        </w:rPr>
        <w:t xml:space="preserve"> </w:t>
      </w:r>
      <w:r w:rsidR="00BD6445">
        <w:rPr>
          <w:rFonts w:ascii="Arial" w:hAnsi="Arial" w:cs="Arial"/>
          <w:color w:val="7B7B7B" w:themeColor="accent3" w:themeShade="BF"/>
          <w:sz w:val="22"/>
          <w:szCs w:val="22"/>
          <w:lang w:val="en-GB"/>
        </w:rPr>
        <w:t xml:space="preserve">where the main proceeding has universal </w:t>
      </w:r>
      <w:r w:rsidR="0095773E">
        <w:rPr>
          <w:rFonts w:ascii="Arial" w:hAnsi="Arial" w:cs="Arial"/>
          <w:color w:val="7B7B7B" w:themeColor="accent3" w:themeShade="BF"/>
          <w:sz w:val="22"/>
          <w:szCs w:val="22"/>
          <w:lang w:val="en-GB"/>
        </w:rPr>
        <w:t>scope,</w:t>
      </w:r>
      <w:r w:rsidR="00BD6445">
        <w:rPr>
          <w:rFonts w:ascii="Arial" w:hAnsi="Arial" w:cs="Arial"/>
          <w:color w:val="7B7B7B" w:themeColor="accent3" w:themeShade="BF"/>
          <w:sz w:val="22"/>
          <w:szCs w:val="22"/>
          <w:lang w:val="en-GB"/>
        </w:rPr>
        <w:t xml:space="preserve"> and the secondary has territorial scope</w:t>
      </w:r>
      <w:r w:rsidR="00094526">
        <w:rPr>
          <w:rFonts w:ascii="Arial" w:hAnsi="Arial" w:cs="Arial"/>
          <w:color w:val="7B7B7B" w:themeColor="accent3" w:themeShade="BF"/>
          <w:sz w:val="22"/>
          <w:szCs w:val="22"/>
          <w:lang w:val="en-GB"/>
        </w:rPr>
        <w:t xml:space="preserve"> (article 3 (1) and (2))</w:t>
      </w:r>
      <w:r w:rsidR="0095773E">
        <w:rPr>
          <w:rFonts w:ascii="Arial" w:hAnsi="Arial" w:cs="Arial"/>
          <w:color w:val="7B7B7B" w:themeColor="accent3" w:themeShade="BF"/>
          <w:sz w:val="22"/>
          <w:szCs w:val="22"/>
          <w:lang w:val="en-GB"/>
        </w:rPr>
        <w:t xml:space="preserve">; (ii) </w:t>
      </w:r>
      <w:r w:rsidR="00385844">
        <w:rPr>
          <w:rFonts w:ascii="Arial" w:hAnsi="Arial" w:cs="Arial"/>
          <w:color w:val="7B7B7B" w:themeColor="accent3" w:themeShade="BF"/>
          <w:sz w:val="22"/>
          <w:szCs w:val="22"/>
          <w:lang w:val="en-GB"/>
        </w:rPr>
        <w:t xml:space="preserve">the possibility to stay the opening of secondary proceeding to </w:t>
      </w:r>
      <w:r w:rsidR="00E63D5B">
        <w:rPr>
          <w:rFonts w:ascii="Arial" w:hAnsi="Arial" w:cs="Arial"/>
          <w:color w:val="7B7B7B" w:themeColor="accent3" w:themeShade="BF"/>
          <w:sz w:val="22"/>
          <w:szCs w:val="22"/>
          <w:lang w:val="en-GB"/>
        </w:rPr>
        <w:t xml:space="preserve">allow negotiations in the main proceeding (article 38 (3)); and </w:t>
      </w:r>
      <w:r w:rsidR="000F7EE6">
        <w:rPr>
          <w:rFonts w:ascii="Arial" w:hAnsi="Arial" w:cs="Arial"/>
          <w:color w:val="7B7B7B" w:themeColor="accent3" w:themeShade="BF"/>
          <w:sz w:val="22"/>
          <w:szCs w:val="22"/>
          <w:lang w:val="en-GB"/>
        </w:rPr>
        <w:t xml:space="preserve">(iii) </w:t>
      </w:r>
      <w:r w:rsidR="0095773E">
        <w:rPr>
          <w:rFonts w:ascii="Arial" w:hAnsi="Arial" w:cs="Arial"/>
          <w:color w:val="7B7B7B" w:themeColor="accent3" w:themeShade="BF"/>
          <w:sz w:val="22"/>
          <w:szCs w:val="22"/>
          <w:lang w:val="en-GB"/>
        </w:rPr>
        <w:t>the possibility of the insolvency practitioner of the main proceeding avoid</w:t>
      </w:r>
      <w:r w:rsidR="003D6FE6">
        <w:rPr>
          <w:rFonts w:ascii="Arial" w:hAnsi="Arial" w:cs="Arial"/>
          <w:color w:val="7B7B7B" w:themeColor="accent3" w:themeShade="BF"/>
          <w:sz w:val="22"/>
          <w:szCs w:val="22"/>
          <w:lang w:val="en-GB"/>
        </w:rPr>
        <w:t>s</w:t>
      </w:r>
      <w:r w:rsidR="0095773E">
        <w:rPr>
          <w:rFonts w:ascii="Arial" w:hAnsi="Arial" w:cs="Arial"/>
          <w:color w:val="7B7B7B" w:themeColor="accent3" w:themeShade="BF"/>
          <w:sz w:val="22"/>
          <w:szCs w:val="22"/>
          <w:lang w:val="en-GB"/>
        </w:rPr>
        <w:t xml:space="preserve"> the opening of secondary proceeding (article 36, EIR Recast).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49E3F406" w:rsidR="00C72848" w:rsidRDefault="00A36B40" w:rsidP="00A36B40">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provide more </w:t>
      </w:r>
      <w:r w:rsidR="00526904">
        <w:rPr>
          <w:rFonts w:ascii="Arial" w:hAnsi="Arial" w:cs="Arial"/>
          <w:color w:val="7B7B7B" w:themeColor="accent3" w:themeShade="BF"/>
          <w:sz w:val="22"/>
          <w:szCs w:val="22"/>
          <w:lang w:val="en-GB"/>
        </w:rPr>
        <w:t>efficiency</w:t>
      </w:r>
      <w:r>
        <w:rPr>
          <w:rFonts w:ascii="Arial" w:hAnsi="Arial" w:cs="Arial"/>
          <w:color w:val="7B7B7B" w:themeColor="accent3" w:themeShade="BF"/>
          <w:sz w:val="22"/>
          <w:szCs w:val="22"/>
          <w:lang w:val="en-GB"/>
        </w:rPr>
        <w:t xml:space="preserve"> of</w:t>
      </w:r>
      <w:r w:rsidR="00CD56B6">
        <w:rPr>
          <w:rFonts w:ascii="Arial" w:hAnsi="Arial" w:cs="Arial"/>
          <w:color w:val="7B7B7B" w:themeColor="accent3" w:themeShade="BF"/>
          <w:sz w:val="22"/>
          <w:szCs w:val="22"/>
          <w:lang w:val="en-GB"/>
        </w:rPr>
        <w:t xml:space="preserve"> the insolvency proceeding</w:t>
      </w:r>
      <w:r w:rsidR="00526904">
        <w:rPr>
          <w:rFonts w:ascii="Arial" w:hAnsi="Arial" w:cs="Arial"/>
          <w:color w:val="7B7B7B" w:themeColor="accent3" w:themeShade="BF"/>
          <w:sz w:val="22"/>
          <w:szCs w:val="22"/>
          <w:lang w:val="en-GB"/>
        </w:rPr>
        <w:t>’s purpose</w:t>
      </w:r>
      <w:r w:rsidR="00CD56B6">
        <w:rPr>
          <w:rFonts w:ascii="Arial" w:hAnsi="Arial" w:cs="Arial"/>
          <w:color w:val="7B7B7B" w:themeColor="accent3" w:themeShade="BF"/>
          <w:sz w:val="22"/>
          <w:szCs w:val="22"/>
          <w:lang w:val="en-GB"/>
        </w:rPr>
        <w:t xml:space="preserve"> (which </w:t>
      </w:r>
      <w:r w:rsidR="00526904">
        <w:rPr>
          <w:rFonts w:ascii="Arial" w:hAnsi="Arial" w:cs="Arial"/>
          <w:color w:val="7B7B7B" w:themeColor="accent3" w:themeShade="BF"/>
          <w:sz w:val="22"/>
          <w:szCs w:val="22"/>
          <w:lang w:val="en-GB"/>
        </w:rPr>
        <w:t>impl</w:t>
      </w:r>
      <w:r w:rsidR="003D6FE6">
        <w:rPr>
          <w:rFonts w:ascii="Arial" w:hAnsi="Arial" w:cs="Arial"/>
          <w:color w:val="7B7B7B" w:themeColor="accent3" w:themeShade="BF"/>
          <w:sz w:val="22"/>
          <w:szCs w:val="22"/>
          <w:lang w:val="en-GB"/>
        </w:rPr>
        <w:t>ies</w:t>
      </w:r>
      <w:r w:rsidR="00CD56B6">
        <w:rPr>
          <w:rFonts w:ascii="Arial" w:hAnsi="Arial" w:cs="Arial"/>
          <w:color w:val="7B7B7B" w:themeColor="accent3" w:themeShade="BF"/>
          <w:sz w:val="22"/>
          <w:szCs w:val="22"/>
          <w:lang w:val="en-GB"/>
        </w:rPr>
        <w:t xml:space="preserve">, in </w:t>
      </w:r>
      <w:r w:rsidR="003D6FE6">
        <w:rPr>
          <w:rFonts w:ascii="Arial" w:hAnsi="Arial" w:cs="Arial"/>
          <w:color w:val="7B7B7B" w:themeColor="accent3" w:themeShade="BF"/>
          <w:sz w:val="22"/>
          <w:szCs w:val="22"/>
          <w:lang w:val="en-GB"/>
        </w:rPr>
        <w:t>the end</w:t>
      </w:r>
      <w:r w:rsidR="00526904">
        <w:rPr>
          <w:rFonts w:ascii="Arial" w:hAnsi="Arial" w:cs="Arial"/>
          <w:color w:val="7B7B7B" w:themeColor="accent3" w:themeShade="BF"/>
          <w:sz w:val="22"/>
          <w:szCs w:val="22"/>
          <w:lang w:val="en-GB"/>
        </w:rPr>
        <w:t>, in the benefit to</w:t>
      </w:r>
      <w:r w:rsidR="00CD56B6">
        <w:rPr>
          <w:rFonts w:ascii="Arial" w:hAnsi="Arial" w:cs="Arial"/>
          <w:color w:val="7B7B7B" w:themeColor="accent3" w:themeShade="BF"/>
          <w:sz w:val="22"/>
          <w:szCs w:val="22"/>
          <w:lang w:val="en-GB"/>
        </w:rPr>
        <w:t xml:space="preserve"> </w:t>
      </w:r>
      <w:r w:rsidR="00526904">
        <w:rPr>
          <w:rFonts w:ascii="Arial" w:hAnsi="Arial" w:cs="Arial"/>
          <w:color w:val="7B7B7B" w:themeColor="accent3" w:themeShade="BF"/>
          <w:sz w:val="22"/>
          <w:szCs w:val="22"/>
          <w:lang w:val="en-GB"/>
        </w:rPr>
        <w:t xml:space="preserve">the </w:t>
      </w:r>
      <w:r w:rsidR="00CD56B6">
        <w:rPr>
          <w:rFonts w:ascii="Arial" w:hAnsi="Arial" w:cs="Arial"/>
          <w:color w:val="7B7B7B" w:themeColor="accent3" w:themeShade="BF"/>
          <w:sz w:val="22"/>
          <w:szCs w:val="22"/>
          <w:lang w:val="en-GB"/>
        </w:rPr>
        <w:t>creditor</w:t>
      </w:r>
      <w:r w:rsidR="00526904">
        <w:rPr>
          <w:rFonts w:ascii="Arial" w:hAnsi="Arial" w:cs="Arial"/>
          <w:color w:val="7B7B7B" w:themeColor="accent3" w:themeShade="BF"/>
          <w:sz w:val="22"/>
          <w:szCs w:val="22"/>
          <w:lang w:val="en-GB"/>
        </w:rPr>
        <w:t>s</w:t>
      </w:r>
      <w:r w:rsidR="00CD56B6">
        <w:rPr>
          <w:rFonts w:ascii="Arial" w:hAnsi="Arial" w:cs="Arial"/>
          <w:color w:val="7B7B7B" w:themeColor="accent3" w:themeShade="BF"/>
          <w:sz w:val="22"/>
          <w:szCs w:val="22"/>
          <w:lang w:val="en-GB"/>
        </w:rPr>
        <w:t xml:space="preserve"> and </w:t>
      </w:r>
      <w:r w:rsidR="00526904">
        <w:rPr>
          <w:rFonts w:ascii="Arial" w:hAnsi="Arial" w:cs="Arial"/>
          <w:color w:val="7B7B7B" w:themeColor="accent3" w:themeShade="BF"/>
          <w:sz w:val="22"/>
          <w:szCs w:val="22"/>
          <w:lang w:val="en-GB"/>
        </w:rPr>
        <w:t xml:space="preserve">the </w:t>
      </w:r>
      <w:r w:rsidR="00F835A6">
        <w:rPr>
          <w:rFonts w:ascii="Arial" w:hAnsi="Arial" w:cs="Arial"/>
          <w:color w:val="7B7B7B" w:themeColor="accent3" w:themeShade="BF"/>
          <w:sz w:val="22"/>
          <w:szCs w:val="22"/>
          <w:lang w:val="en-GB"/>
        </w:rPr>
        <w:t>continuation of the debtor’s business, in some cases</w:t>
      </w:r>
      <w:r w:rsidR="00526904">
        <w:rPr>
          <w:rFonts w:ascii="Arial" w:hAnsi="Arial" w:cs="Arial"/>
          <w:color w:val="7B7B7B" w:themeColor="accent3" w:themeShade="BF"/>
          <w:sz w:val="22"/>
          <w:szCs w:val="22"/>
          <w:lang w:val="en-GB"/>
        </w:rPr>
        <w:t>)</w:t>
      </w:r>
      <w:r w:rsidR="00CD56B6">
        <w:rPr>
          <w:rFonts w:ascii="Arial" w:hAnsi="Arial" w:cs="Arial"/>
          <w:color w:val="7B7B7B" w:themeColor="accent3" w:themeShade="BF"/>
          <w:sz w:val="22"/>
          <w:szCs w:val="22"/>
          <w:lang w:val="en-GB"/>
        </w:rPr>
        <w:t xml:space="preserve">, the EIR Recast provides several rules to guarantee an </w:t>
      </w:r>
      <w:r w:rsidR="00526904">
        <w:rPr>
          <w:rFonts w:ascii="Arial" w:hAnsi="Arial" w:cs="Arial"/>
          <w:color w:val="7B7B7B" w:themeColor="accent3" w:themeShade="BF"/>
          <w:sz w:val="22"/>
          <w:szCs w:val="22"/>
          <w:lang w:val="en-GB"/>
        </w:rPr>
        <w:t>effective</w:t>
      </w:r>
      <w:r w:rsidR="00CD56B6">
        <w:rPr>
          <w:rFonts w:ascii="Arial" w:hAnsi="Arial" w:cs="Arial"/>
          <w:color w:val="7B7B7B" w:themeColor="accent3" w:themeShade="BF"/>
          <w:sz w:val="22"/>
          <w:szCs w:val="22"/>
          <w:lang w:val="en-GB"/>
        </w:rPr>
        <w:t xml:space="preserve"> co-ordination between the participants of the main and secondary proceedings, especially the courts and the insolvency practitioner</w:t>
      </w:r>
      <w:r w:rsidR="00F835A6">
        <w:rPr>
          <w:rFonts w:ascii="Arial" w:hAnsi="Arial" w:cs="Arial"/>
          <w:color w:val="7B7B7B" w:themeColor="accent3" w:themeShade="BF"/>
          <w:sz w:val="22"/>
          <w:szCs w:val="22"/>
          <w:lang w:val="en-GB"/>
        </w:rPr>
        <w:t>s</w:t>
      </w:r>
      <w:r w:rsidR="00CD56B6">
        <w:rPr>
          <w:rFonts w:ascii="Arial" w:hAnsi="Arial" w:cs="Arial"/>
          <w:color w:val="7B7B7B" w:themeColor="accent3" w:themeShade="BF"/>
          <w:sz w:val="22"/>
          <w:szCs w:val="22"/>
          <w:lang w:val="en-GB"/>
        </w:rPr>
        <w:t>.</w:t>
      </w:r>
    </w:p>
    <w:p w14:paraId="12E85110" w14:textId="62549D0A" w:rsidR="001D14B3" w:rsidRDefault="00526904" w:rsidP="001D14B3">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court specifically, the EIR Recast establish</w:t>
      </w:r>
      <w:r w:rsidR="003D6FE6">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that the courts </w:t>
      </w:r>
      <w:r w:rsidR="00CB11C1">
        <w:rPr>
          <w:rFonts w:ascii="Arial" w:hAnsi="Arial" w:cs="Arial"/>
          <w:color w:val="7B7B7B" w:themeColor="accent3" w:themeShade="BF"/>
          <w:sz w:val="22"/>
          <w:szCs w:val="22"/>
          <w:lang w:val="en-GB"/>
        </w:rPr>
        <w:t xml:space="preserve">of the main and </w:t>
      </w:r>
      <w:r w:rsidR="00D1188B">
        <w:rPr>
          <w:rFonts w:ascii="Arial" w:hAnsi="Arial" w:cs="Arial"/>
          <w:color w:val="7B7B7B" w:themeColor="accent3" w:themeShade="BF"/>
          <w:sz w:val="22"/>
          <w:szCs w:val="22"/>
          <w:lang w:val="en-GB"/>
        </w:rPr>
        <w:t xml:space="preserve">secondary </w:t>
      </w:r>
      <w:r w:rsidR="00CB11C1">
        <w:rPr>
          <w:rFonts w:ascii="Arial" w:hAnsi="Arial" w:cs="Arial"/>
          <w:color w:val="7B7B7B" w:themeColor="accent3" w:themeShade="BF"/>
          <w:sz w:val="22"/>
          <w:szCs w:val="22"/>
          <w:lang w:val="en-GB"/>
        </w:rPr>
        <w:t xml:space="preserve">insolvency proceedings </w:t>
      </w:r>
      <w:r w:rsidR="007B6F13">
        <w:rPr>
          <w:rFonts w:ascii="Arial" w:hAnsi="Arial" w:cs="Arial"/>
          <w:color w:val="7B7B7B" w:themeColor="accent3" w:themeShade="BF"/>
          <w:sz w:val="22"/>
          <w:szCs w:val="22"/>
          <w:lang w:val="en-GB"/>
        </w:rPr>
        <w:t>must</w:t>
      </w:r>
      <w:r w:rsidR="00CB11C1">
        <w:rPr>
          <w:rFonts w:ascii="Arial" w:hAnsi="Arial" w:cs="Arial"/>
          <w:color w:val="7B7B7B" w:themeColor="accent3" w:themeShade="BF"/>
          <w:sz w:val="22"/>
          <w:szCs w:val="22"/>
          <w:lang w:val="en-GB"/>
        </w:rPr>
        <w:t xml:space="preserve"> </w:t>
      </w:r>
      <w:r w:rsidR="007B6F13">
        <w:rPr>
          <w:rFonts w:ascii="Arial" w:hAnsi="Arial" w:cs="Arial"/>
          <w:color w:val="7B7B7B" w:themeColor="accent3" w:themeShade="BF"/>
          <w:sz w:val="22"/>
          <w:szCs w:val="22"/>
          <w:lang w:val="en-GB"/>
        </w:rPr>
        <w:t>c</w:t>
      </w:r>
      <w:r w:rsidR="00CB11C1">
        <w:rPr>
          <w:rFonts w:ascii="Arial" w:hAnsi="Arial" w:cs="Arial"/>
          <w:color w:val="7B7B7B" w:themeColor="accent3" w:themeShade="BF"/>
          <w:sz w:val="22"/>
          <w:szCs w:val="22"/>
          <w:lang w:val="en-GB"/>
        </w:rPr>
        <w:t xml:space="preserve">ooperate </w:t>
      </w:r>
      <w:r w:rsidR="007B6F13">
        <w:rPr>
          <w:rFonts w:ascii="Arial" w:hAnsi="Arial" w:cs="Arial"/>
          <w:color w:val="7B7B7B" w:themeColor="accent3" w:themeShade="BF"/>
          <w:sz w:val="22"/>
          <w:szCs w:val="22"/>
          <w:lang w:val="en-GB"/>
        </w:rPr>
        <w:t>with</w:t>
      </w:r>
      <w:r w:rsidR="00CB11C1">
        <w:rPr>
          <w:rFonts w:ascii="Arial" w:hAnsi="Arial" w:cs="Arial"/>
          <w:color w:val="7B7B7B" w:themeColor="accent3" w:themeShade="BF"/>
          <w:sz w:val="22"/>
          <w:szCs w:val="22"/>
          <w:lang w:val="en-GB"/>
        </w:rPr>
        <w:t xml:space="preserve"> each other</w:t>
      </w:r>
      <w:r w:rsidR="00C11E39">
        <w:rPr>
          <w:rFonts w:ascii="Arial" w:hAnsi="Arial" w:cs="Arial"/>
          <w:color w:val="7B7B7B" w:themeColor="accent3" w:themeShade="BF"/>
          <w:sz w:val="22"/>
          <w:szCs w:val="22"/>
          <w:lang w:val="en-GB"/>
        </w:rPr>
        <w:t>,</w:t>
      </w:r>
      <w:r w:rsidR="00CB11C1">
        <w:rPr>
          <w:rFonts w:ascii="Arial" w:hAnsi="Arial" w:cs="Arial"/>
          <w:color w:val="7B7B7B" w:themeColor="accent3" w:themeShade="BF"/>
          <w:sz w:val="22"/>
          <w:szCs w:val="22"/>
          <w:lang w:val="en-GB"/>
        </w:rPr>
        <w:t xml:space="preserve"> even before the decision to open the proceeding (article 41 (1), EIR Recast).</w:t>
      </w:r>
      <w:r w:rsidR="007B6F13">
        <w:rPr>
          <w:rFonts w:ascii="Arial" w:hAnsi="Arial" w:cs="Arial"/>
          <w:color w:val="7B7B7B" w:themeColor="accent3" w:themeShade="BF"/>
          <w:sz w:val="22"/>
          <w:szCs w:val="22"/>
          <w:lang w:val="en-GB"/>
        </w:rPr>
        <w:t xml:space="preserve"> </w:t>
      </w:r>
      <w:r w:rsidR="00065990">
        <w:rPr>
          <w:rFonts w:ascii="Arial" w:hAnsi="Arial" w:cs="Arial"/>
          <w:color w:val="7B7B7B" w:themeColor="accent3" w:themeShade="BF"/>
          <w:sz w:val="22"/>
          <w:szCs w:val="22"/>
          <w:lang w:val="en-GB"/>
        </w:rPr>
        <w:t>They</w:t>
      </w:r>
      <w:r w:rsidR="00C11E39">
        <w:rPr>
          <w:rFonts w:ascii="Arial" w:hAnsi="Arial" w:cs="Arial"/>
          <w:color w:val="7B7B7B" w:themeColor="accent3" w:themeShade="BF"/>
          <w:sz w:val="22"/>
          <w:szCs w:val="22"/>
          <w:lang w:val="en-GB"/>
        </w:rPr>
        <w:t xml:space="preserve"> </w:t>
      </w:r>
      <w:r w:rsidR="00065990">
        <w:rPr>
          <w:rFonts w:ascii="Arial" w:hAnsi="Arial" w:cs="Arial"/>
          <w:color w:val="7B7B7B" w:themeColor="accent3" w:themeShade="BF"/>
          <w:sz w:val="22"/>
          <w:szCs w:val="22"/>
          <w:lang w:val="en-GB"/>
        </w:rPr>
        <w:t xml:space="preserve">should communicate </w:t>
      </w:r>
      <w:r w:rsidR="001D14B3">
        <w:rPr>
          <w:rFonts w:ascii="Arial" w:hAnsi="Arial" w:cs="Arial"/>
          <w:color w:val="7B7B7B" w:themeColor="accent3" w:themeShade="BF"/>
          <w:sz w:val="22"/>
          <w:szCs w:val="22"/>
          <w:lang w:val="en-GB"/>
        </w:rPr>
        <w:t xml:space="preserve">to receive information about </w:t>
      </w:r>
      <w:r w:rsidR="00065990">
        <w:rPr>
          <w:rFonts w:ascii="Arial" w:hAnsi="Arial" w:cs="Arial"/>
          <w:color w:val="7B7B7B" w:themeColor="accent3" w:themeShade="BF"/>
          <w:sz w:val="22"/>
          <w:szCs w:val="22"/>
          <w:lang w:val="en-GB"/>
        </w:rPr>
        <w:t xml:space="preserve">the </w:t>
      </w:r>
      <w:r w:rsidR="001D14B3">
        <w:rPr>
          <w:rFonts w:ascii="Arial" w:hAnsi="Arial" w:cs="Arial"/>
          <w:color w:val="7B7B7B" w:themeColor="accent3" w:themeShade="BF"/>
          <w:sz w:val="22"/>
          <w:szCs w:val="22"/>
          <w:lang w:val="en-GB"/>
        </w:rPr>
        <w:t>creditor’s</w:t>
      </w:r>
      <w:r w:rsidR="00065990">
        <w:rPr>
          <w:rFonts w:ascii="Arial" w:hAnsi="Arial" w:cs="Arial"/>
          <w:color w:val="7B7B7B" w:themeColor="accent3" w:themeShade="BF"/>
          <w:sz w:val="22"/>
          <w:szCs w:val="22"/>
          <w:lang w:val="en-GB"/>
        </w:rPr>
        <w:t xml:space="preserve"> rights (article 41 (2)), </w:t>
      </w:r>
      <w:r w:rsidR="001D14B3">
        <w:rPr>
          <w:rFonts w:ascii="Arial" w:hAnsi="Arial" w:cs="Arial"/>
          <w:color w:val="7B7B7B" w:themeColor="accent3" w:themeShade="BF"/>
          <w:sz w:val="22"/>
          <w:szCs w:val="22"/>
          <w:lang w:val="en-GB"/>
        </w:rPr>
        <w:t xml:space="preserve">the debtor’s assets and affairs, </w:t>
      </w:r>
      <w:r w:rsidR="00065990">
        <w:rPr>
          <w:rFonts w:ascii="Arial" w:hAnsi="Arial" w:cs="Arial"/>
          <w:color w:val="7B7B7B" w:themeColor="accent3" w:themeShade="BF"/>
          <w:sz w:val="22"/>
          <w:szCs w:val="22"/>
          <w:lang w:val="en-GB"/>
        </w:rPr>
        <w:t xml:space="preserve">to </w:t>
      </w:r>
      <w:r w:rsidR="00065990">
        <w:rPr>
          <w:rFonts w:ascii="Arial" w:hAnsi="Arial" w:cs="Arial"/>
          <w:color w:val="7B7B7B" w:themeColor="accent3" w:themeShade="BF"/>
          <w:sz w:val="22"/>
          <w:szCs w:val="22"/>
          <w:lang w:val="en-GB"/>
        </w:rPr>
        <w:lastRenderedPageBreak/>
        <w:t xml:space="preserve">approve protocols </w:t>
      </w:r>
      <w:r w:rsidR="001D14B3">
        <w:rPr>
          <w:rFonts w:ascii="Arial" w:hAnsi="Arial" w:cs="Arial"/>
          <w:color w:val="7B7B7B" w:themeColor="accent3" w:themeShade="BF"/>
          <w:sz w:val="22"/>
          <w:szCs w:val="22"/>
          <w:lang w:val="en-GB"/>
        </w:rPr>
        <w:t>(both in article 41 (3), EIR Recast)</w:t>
      </w:r>
      <w:r w:rsidR="00065990">
        <w:rPr>
          <w:rFonts w:ascii="Arial" w:hAnsi="Arial" w:cs="Arial"/>
          <w:color w:val="7B7B7B" w:themeColor="accent3" w:themeShade="BF"/>
          <w:sz w:val="22"/>
          <w:szCs w:val="22"/>
          <w:lang w:val="en-GB"/>
        </w:rPr>
        <w:t xml:space="preserve"> and </w:t>
      </w:r>
      <w:r w:rsidR="001D14B3">
        <w:rPr>
          <w:rFonts w:ascii="Arial" w:hAnsi="Arial" w:cs="Arial"/>
          <w:color w:val="7B7B7B" w:themeColor="accent3" w:themeShade="BF"/>
          <w:sz w:val="22"/>
          <w:szCs w:val="22"/>
          <w:lang w:val="en-GB"/>
        </w:rPr>
        <w:t>they may also cooperate by “coordinating the appointment of insolvency practitioner” which include</w:t>
      </w:r>
      <w:r w:rsidR="003D6FE6">
        <w:rPr>
          <w:rFonts w:ascii="Arial" w:hAnsi="Arial" w:cs="Arial"/>
          <w:color w:val="7B7B7B" w:themeColor="accent3" w:themeShade="BF"/>
          <w:sz w:val="22"/>
          <w:szCs w:val="22"/>
          <w:lang w:val="en-GB"/>
        </w:rPr>
        <w:t>s</w:t>
      </w:r>
      <w:r w:rsidR="001D14B3">
        <w:rPr>
          <w:rFonts w:ascii="Arial" w:hAnsi="Arial" w:cs="Arial"/>
          <w:color w:val="7B7B7B" w:themeColor="accent3" w:themeShade="BF"/>
          <w:sz w:val="22"/>
          <w:szCs w:val="22"/>
          <w:lang w:val="en-GB"/>
        </w:rPr>
        <w:t xml:space="preserve"> the possibility of appointment of just one for </w:t>
      </w:r>
      <w:r w:rsidR="00F2607B">
        <w:rPr>
          <w:rFonts w:ascii="Arial" w:hAnsi="Arial" w:cs="Arial"/>
          <w:color w:val="7B7B7B" w:themeColor="accent3" w:themeShade="BF"/>
          <w:sz w:val="22"/>
          <w:szCs w:val="22"/>
          <w:lang w:val="en-GB"/>
        </w:rPr>
        <w:t>m</w:t>
      </w:r>
      <w:r w:rsidR="001D14B3">
        <w:rPr>
          <w:rFonts w:ascii="Arial" w:hAnsi="Arial" w:cs="Arial"/>
          <w:color w:val="7B7B7B" w:themeColor="accent3" w:themeShade="BF"/>
          <w:sz w:val="22"/>
          <w:szCs w:val="22"/>
          <w:lang w:val="en-GB"/>
        </w:rPr>
        <w:t>ore than one proceeding (Recital 50, EIR Recast).</w:t>
      </w:r>
    </w:p>
    <w:p w14:paraId="4E83136E" w14:textId="10F87364" w:rsidR="00526904" w:rsidRDefault="00C11E39" w:rsidP="00A36B40">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courts </w:t>
      </w:r>
      <w:r w:rsidR="001D14B3">
        <w:rPr>
          <w:rFonts w:ascii="Arial" w:hAnsi="Arial" w:cs="Arial"/>
          <w:color w:val="7B7B7B" w:themeColor="accent3" w:themeShade="BF"/>
          <w:sz w:val="22"/>
          <w:szCs w:val="22"/>
          <w:lang w:val="en-GB"/>
        </w:rPr>
        <w:t>can indicate a person or body to act on their behalf</w:t>
      </w:r>
      <w:r w:rsidR="00F2607B">
        <w:rPr>
          <w:rFonts w:ascii="Arial" w:hAnsi="Arial" w:cs="Arial"/>
          <w:color w:val="7B7B7B" w:themeColor="accent3" w:themeShade="BF"/>
          <w:sz w:val="22"/>
          <w:szCs w:val="22"/>
          <w:lang w:val="en-GB"/>
        </w:rPr>
        <w:t xml:space="preserve"> </w:t>
      </w:r>
      <w:r w:rsidR="00D1188B">
        <w:rPr>
          <w:rFonts w:ascii="Arial" w:hAnsi="Arial" w:cs="Arial"/>
          <w:color w:val="7B7B7B" w:themeColor="accent3" w:themeShade="BF"/>
          <w:sz w:val="22"/>
          <w:szCs w:val="22"/>
          <w:lang w:val="en-GB"/>
        </w:rPr>
        <w:t xml:space="preserve">if that measure is able to </w:t>
      </w:r>
      <w:r w:rsidR="001D14B3">
        <w:rPr>
          <w:rFonts w:ascii="Arial" w:hAnsi="Arial" w:cs="Arial"/>
          <w:color w:val="7B7B7B" w:themeColor="accent3" w:themeShade="BF"/>
          <w:sz w:val="22"/>
          <w:szCs w:val="22"/>
          <w:lang w:val="en-GB"/>
        </w:rPr>
        <w:t xml:space="preserve">facilitate the communication (article 41 (2), EIR Recast).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14C1AE0C" w14:textId="520FF8E7" w:rsidR="00F94E40" w:rsidRDefault="00A90F10" w:rsidP="008C126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example is the undertaking to avoid the opening of secondary proceeding, inserted in article 36 EIR Recast. This </w:t>
      </w:r>
      <w:r w:rsidR="00B227CF">
        <w:rPr>
          <w:rFonts w:ascii="Arial" w:hAnsi="Arial" w:cs="Arial"/>
          <w:color w:val="7B7B7B" w:themeColor="accent3" w:themeShade="BF"/>
          <w:sz w:val="22"/>
          <w:szCs w:val="22"/>
          <w:lang w:val="en-GB"/>
        </w:rPr>
        <w:t xml:space="preserve">instrument </w:t>
      </w:r>
      <w:r w:rsidR="00F94E40">
        <w:rPr>
          <w:rFonts w:ascii="Arial" w:hAnsi="Arial" w:cs="Arial"/>
          <w:color w:val="7B7B7B" w:themeColor="accent3" w:themeShade="BF"/>
          <w:sz w:val="22"/>
          <w:szCs w:val="22"/>
          <w:lang w:val="en-GB"/>
        </w:rPr>
        <w:t>allows</w:t>
      </w:r>
      <w:r w:rsidR="00B227CF">
        <w:rPr>
          <w:rFonts w:ascii="Arial" w:hAnsi="Arial" w:cs="Arial"/>
          <w:color w:val="7B7B7B" w:themeColor="accent3" w:themeShade="BF"/>
          <w:sz w:val="22"/>
          <w:szCs w:val="22"/>
          <w:lang w:val="en-GB"/>
        </w:rPr>
        <w:t xml:space="preserve"> the insolvency practitioner in the main insolvency proceeding </w:t>
      </w:r>
      <w:r w:rsidR="003D6FE6">
        <w:rPr>
          <w:rFonts w:ascii="Arial" w:hAnsi="Arial" w:cs="Arial"/>
          <w:color w:val="7B7B7B" w:themeColor="accent3" w:themeShade="BF"/>
          <w:sz w:val="22"/>
          <w:szCs w:val="22"/>
          <w:lang w:val="en-GB"/>
        </w:rPr>
        <w:t xml:space="preserve">to </w:t>
      </w:r>
      <w:r w:rsidR="00B227CF">
        <w:rPr>
          <w:rFonts w:ascii="Arial" w:hAnsi="Arial" w:cs="Arial"/>
          <w:color w:val="7B7B7B" w:themeColor="accent3" w:themeShade="BF"/>
          <w:sz w:val="22"/>
          <w:szCs w:val="22"/>
          <w:lang w:val="en-GB"/>
        </w:rPr>
        <w:t>prevent the opening of</w:t>
      </w:r>
      <w:r w:rsidR="003D6FE6">
        <w:rPr>
          <w:rFonts w:ascii="Arial" w:hAnsi="Arial" w:cs="Arial"/>
          <w:color w:val="7B7B7B" w:themeColor="accent3" w:themeShade="BF"/>
          <w:sz w:val="22"/>
          <w:szCs w:val="22"/>
          <w:lang w:val="en-GB"/>
        </w:rPr>
        <w:t xml:space="preserve"> a</w:t>
      </w:r>
      <w:r w:rsidR="00B227CF">
        <w:rPr>
          <w:rFonts w:ascii="Arial" w:hAnsi="Arial" w:cs="Arial"/>
          <w:color w:val="7B7B7B" w:themeColor="accent3" w:themeShade="BF"/>
          <w:sz w:val="22"/>
          <w:szCs w:val="22"/>
          <w:lang w:val="en-GB"/>
        </w:rPr>
        <w:t xml:space="preserve"> secondary proceeding if </w:t>
      </w:r>
      <w:r w:rsidR="003D6FE6">
        <w:rPr>
          <w:rFonts w:ascii="Arial" w:hAnsi="Arial" w:cs="Arial"/>
          <w:color w:val="7B7B7B" w:themeColor="accent3" w:themeShade="BF"/>
          <w:sz w:val="22"/>
          <w:szCs w:val="22"/>
          <w:lang w:val="en-GB"/>
        </w:rPr>
        <w:t xml:space="preserve">it </w:t>
      </w:r>
      <w:r w:rsidR="00B227CF">
        <w:rPr>
          <w:rFonts w:ascii="Arial" w:hAnsi="Arial" w:cs="Arial"/>
          <w:color w:val="7B7B7B" w:themeColor="accent3" w:themeShade="BF"/>
          <w:sz w:val="22"/>
          <w:szCs w:val="22"/>
          <w:lang w:val="en-GB"/>
        </w:rPr>
        <w:t>ensure</w:t>
      </w:r>
      <w:r w:rsidR="003D6FE6">
        <w:rPr>
          <w:rFonts w:ascii="Arial" w:hAnsi="Arial" w:cs="Arial"/>
          <w:color w:val="7B7B7B" w:themeColor="accent3" w:themeShade="BF"/>
          <w:sz w:val="22"/>
          <w:szCs w:val="22"/>
          <w:lang w:val="en-GB"/>
        </w:rPr>
        <w:t>s</w:t>
      </w:r>
      <w:r w:rsidR="00B227CF">
        <w:rPr>
          <w:rFonts w:ascii="Arial" w:hAnsi="Arial" w:cs="Arial"/>
          <w:color w:val="7B7B7B" w:themeColor="accent3" w:themeShade="BF"/>
          <w:sz w:val="22"/>
          <w:szCs w:val="22"/>
          <w:lang w:val="en-GB"/>
        </w:rPr>
        <w:t xml:space="preserve"> the local creditors that all its rights under the national law will be respected</w:t>
      </w:r>
      <w:r w:rsidR="009E5322">
        <w:rPr>
          <w:rFonts w:ascii="Arial" w:hAnsi="Arial" w:cs="Arial"/>
          <w:color w:val="7B7B7B" w:themeColor="accent3" w:themeShade="BF"/>
          <w:sz w:val="22"/>
          <w:szCs w:val="22"/>
          <w:lang w:val="en-GB"/>
        </w:rPr>
        <w:t xml:space="preserve"> as if the secondary proceeding have been opened.</w:t>
      </w:r>
      <w:r w:rsidR="000721EC">
        <w:rPr>
          <w:rFonts w:ascii="Arial" w:hAnsi="Arial" w:cs="Arial"/>
          <w:color w:val="7B7B7B" w:themeColor="accent3" w:themeShade="BF"/>
          <w:sz w:val="22"/>
          <w:szCs w:val="22"/>
          <w:lang w:val="en-GB"/>
        </w:rPr>
        <w:t xml:space="preserve"> </w:t>
      </w:r>
    </w:p>
    <w:p w14:paraId="296A8396" w14:textId="335C0461" w:rsidR="009954B2" w:rsidRPr="005D2CD6" w:rsidRDefault="009E5322" w:rsidP="008C126D">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The second example is the </w:t>
      </w:r>
      <w:r w:rsidR="00B24580">
        <w:rPr>
          <w:rFonts w:ascii="Arial" w:hAnsi="Arial" w:cs="Arial"/>
          <w:color w:val="7B7B7B" w:themeColor="accent3" w:themeShade="BF"/>
          <w:sz w:val="22"/>
          <w:szCs w:val="22"/>
          <w:lang w:val="en-GB"/>
        </w:rPr>
        <w:t xml:space="preserve">possibility </w:t>
      </w:r>
      <w:r w:rsidR="003D6FE6">
        <w:rPr>
          <w:rFonts w:ascii="Arial" w:hAnsi="Arial" w:cs="Arial"/>
          <w:color w:val="7B7B7B" w:themeColor="accent3" w:themeShade="BF"/>
          <w:sz w:val="22"/>
          <w:szCs w:val="22"/>
          <w:lang w:val="en-GB"/>
        </w:rPr>
        <w:t>to</w:t>
      </w:r>
      <w:r w:rsidR="00B24580">
        <w:rPr>
          <w:rFonts w:ascii="Arial" w:hAnsi="Arial" w:cs="Arial"/>
          <w:color w:val="7B7B7B" w:themeColor="accent3" w:themeShade="BF"/>
          <w:sz w:val="22"/>
          <w:szCs w:val="22"/>
          <w:lang w:val="en-GB"/>
        </w:rPr>
        <w:t xml:space="preserve"> stay the opening of secondary proceeding, granted in article 38 (3) EIR Recast. In that case, the insolvency practitioner of the main insolvency proceeding </w:t>
      </w:r>
      <w:r w:rsidR="00F40CAB">
        <w:rPr>
          <w:rFonts w:ascii="Arial" w:hAnsi="Arial" w:cs="Arial"/>
          <w:color w:val="7B7B7B" w:themeColor="accent3" w:themeShade="BF"/>
          <w:sz w:val="22"/>
          <w:szCs w:val="22"/>
          <w:lang w:val="en-GB"/>
        </w:rPr>
        <w:t>may</w:t>
      </w:r>
      <w:r w:rsidR="00B24580">
        <w:rPr>
          <w:rFonts w:ascii="Arial" w:hAnsi="Arial" w:cs="Arial"/>
          <w:color w:val="7B7B7B" w:themeColor="accent3" w:themeShade="BF"/>
          <w:sz w:val="22"/>
          <w:szCs w:val="22"/>
          <w:lang w:val="en-GB"/>
        </w:rPr>
        <w:t xml:space="preserve"> request the stay of the opening of secondary proceeding if it proves that </w:t>
      </w:r>
      <w:r w:rsidR="00F40CAB">
        <w:rPr>
          <w:rFonts w:ascii="Arial" w:hAnsi="Arial" w:cs="Arial"/>
          <w:color w:val="7B7B7B" w:themeColor="accent3" w:themeShade="BF"/>
          <w:sz w:val="22"/>
          <w:szCs w:val="22"/>
          <w:lang w:val="en-GB"/>
        </w:rPr>
        <w:t xml:space="preserve">the opening of this secondary proceeding is able to threaten the success of </w:t>
      </w:r>
      <w:r w:rsidR="00091C1C">
        <w:rPr>
          <w:rFonts w:ascii="Arial" w:hAnsi="Arial" w:cs="Arial"/>
          <w:color w:val="7B7B7B" w:themeColor="accent3" w:themeShade="BF"/>
          <w:sz w:val="22"/>
          <w:szCs w:val="22"/>
          <w:lang w:val="en-GB"/>
        </w:rPr>
        <w:t>a</w:t>
      </w:r>
      <w:r w:rsidR="00F40CAB">
        <w:rPr>
          <w:rFonts w:ascii="Arial" w:hAnsi="Arial" w:cs="Arial"/>
          <w:color w:val="7B7B7B" w:themeColor="accent3" w:themeShade="BF"/>
          <w:sz w:val="22"/>
          <w:szCs w:val="22"/>
          <w:lang w:val="en-GB"/>
        </w:rPr>
        <w:t xml:space="preserve"> negotiation between creditors and debtor in course.</w:t>
      </w:r>
      <w:r w:rsidR="000721EC">
        <w:rPr>
          <w:rFonts w:ascii="Arial" w:hAnsi="Arial" w:cs="Arial"/>
          <w:color w:val="7B7B7B" w:themeColor="accent3" w:themeShade="BF"/>
          <w:sz w:val="22"/>
          <w:szCs w:val="22"/>
          <w:lang w:val="en-GB"/>
        </w:rPr>
        <w:t xml:space="preserve">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0DDFB176" w14:textId="0236132B" w:rsidR="005C3E0B" w:rsidRPr="005C3E0B" w:rsidRDefault="005C3E0B" w:rsidP="005C3E0B">
      <w:pPr>
        <w:ind w:firstLine="851"/>
        <w:jc w:val="both"/>
        <w:rPr>
          <w:rFonts w:ascii="Arial" w:eastAsia="MS Mincho" w:hAnsi="Arial" w:cs="Arial"/>
          <w:color w:val="7B7B7B" w:themeColor="accent3" w:themeShade="BF"/>
          <w:sz w:val="22"/>
          <w:szCs w:val="22"/>
          <w:lang w:val="en-GB"/>
        </w:rPr>
      </w:pPr>
      <w:r w:rsidRPr="005C3E0B">
        <w:rPr>
          <w:rFonts w:ascii="Arial" w:eastAsia="MS Mincho" w:hAnsi="Arial" w:cs="Arial"/>
          <w:color w:val="7B7B7B" w:themeColor="accent3" w:themeShade="BF"/>
          <w:sz w:val="22"/>
          <w:szCs w:val="22"/>
          <w:lang w:val="en-GB"/>
        </w:rPr>
        <w:t xml:space="preserve">As specified by the European Commission in </w:t>
      </w:r>
      <w:r w:rsidR="003D7DCF">
        <w:rPr>
          <w:rFonts w:ascii="Arial" w:eastAsia="MS Mincho" w:hAnsi="Arial" w:cs="Arial"/>
          <w:color w:val="7B7B7B" w:themeColor="accent3" w:themeShade="BF"/>
          <w:sz w:val="22"/>
          <w:szCs w:val="22"/>
          <w:lang w:val="en-GB"/>
        </w:rPr>
        <w:t>December/</w:t>
      </w:r>
      <w:r w:rsidRPr="005C3E0B">
        <w:rPr>
          <w:rFonts w:ascii="Arial" w:eastAsia="MS Mincho" w:hAnsi="Arial" w:cs="Arial"/>
          <w:color w:val="7B7B7B" w:themeColor="accent3" w:themeShade="BF"/>
          <w:sz w:val="22"/>
          <w:szCs w:val="22"/>
          <w:lang w:val="en-GB"/>
        </w:rPr>
        <w:t xml:space="preserve">2012, the EIR 2000 needed to be reformulated to </w:t>
      </w:r>
      <w:r w:rsidR="003D6FE6">
        <w:rPr>
          <w:rFonts w:ascii="Arial" w:eastAsia="MS Mincho" w:hAnsi="Arial" w:cs="Arial"/>
          <w:color w:val="7B7B7B" w:themeColor="accent3" w:themeShade="BF"/>
          <w:sz w:val="22"/>
          <w:szCs w:val="22"/>
          <w:lang w:val="en-GB"/>
        </w:rPr>
        <w:t>adhere to</w:t>
      </w:r>
      <w:r w:rsidRPr="005C3E0B">
        <w:rPr>
          <w:rFonts w:ascii="Arial" w:eastAsia="MS Mincho" w:hAnsi="Arial" w:cs="Arial"/>
          <w:color w:val="7B7B7B" w:themeColor="accent3" w:themeShade="BF"/>
          <w:sz w:val="22"/>
          <w:szCs w:val="22"/>
          <w:lang w:val="en-GB"/>
        </w:rPr>
        <w:t xml:space="preserve"> the insolvency practice naturally developed after 12 years since the EIR started to operate.</w:t>
      </w:r>
    </w:p>
    <w:p w14:paraId="59A7AD05" w14:textId="423BDB8D" w:rsidR="005C3E0B" w:rsidRDefault="005C3E0B" w:rsidP="005C3E0B">
      <w:pPr>
        <w:ind w:firstLine="851"/>
        <w:jc w:val="both"/>
        <w:rPr>
          <w:rFonts w:ascii="Arial" w:eastAsia="MS Mincho" w:hAnsi="Arial" w:cs="Arial"/>
          <w:color w:val="7B7B7B" w:themeColor="accent3" w:themeShade="BF"/>
          <w:sz w:val="22"/>
          <w:szCs w:val="22"/>
          <w:lang w:val="en-GB"/>
        </w:rPr>
      </w:pPr>
      <w:r w:rsidRPr="005C3E0B">
        <w:rPr>
          <w:rFonts w:ascii="Arial" w:eastAsia="MS Mincho" w:hAnsi="Arial" w:cs="Arial"/>
          <w:color w:val="7B7B7B" w:themeColor="accent3" w:themeShade="BF"/>
          <w:sz w:val="22"/>
          <w:szCs w:val="22"/>
          <w:lang w:val="en-GB"/>
        </w:rPr>
        <w:t>The most important things that needed to be reformulate or adjusted were (</w:t>
      </w:r>
      <w:proofErr w:type="spellStart"/>
      <w:r w:rsidRPr="005C3E0B">
        <w:rPr>
          <w:rFonts w:ascii="Arial" w:eastAsia="MS Mincho" w:hAnsi="Arial" w:cs="Arial"/>
          <w:color w:val="7B7B7B" w:themeColor="accent3" w:themeShade="BF"/>
          <w:sz w:val="22"/>
          <w:szCs w:val="22"/>
          <w:lang w:val="en-GB"/>
        </w:rPr>
        <w:t>i</w:t>
      </w:r>
      <w:proofErr w:type="spellEnd"/>
      <w:r w:rsidRPr="005C3E0B">
        <w:rPr>
          <w:rFonts w:ascii="Arial" w:eastAsia="MS Mincho" w:hAnsi="Arial" w:cs="Arial"/>
          <w:color w:val="7B7B7B" w:themeColor="accent3" w:themeShade="BF"/>
          <w:sz w:val="22"/>
          <w:szCs w:val="22"/>
          <w:lang w:val="en-GB"/>
        </w:rPr>
        <w:t>) the creation of a general regulation to restructuring proceeding</w:t>
      </w:r>
      <w:r w:rsidR="000F7167">
        <w:rPr>
          <w:rFonts w:ascii="Arial" w:eastAsia="MS Mincho" w:hAnsi="Arial" w:cs="Arial"/>
          <w:color w:val="7B7B7B" w:themeColor="accent3" w:themeShade="BF"/>
          <w:sz w:val="22"/>
          <w:szCs w:val="22"/>
          <w:lang w:val="en-GB"/>
        </w:rPr>
        <w:t xml:space="preserve">; (ii) the regulation of a proceeding </w:t>
      </w:r>
      <w:r w:rsidR="003D6FE6">
        <w:rPr>
          <w:rFonts w:ascii="Arial" w:eastAsia="MS Mincho" w:hAnsi="Arial" w:cs="Arial"/>
          <w:color w:val="7B7B7B" w:themeColor="accent3" w:themeShade="BF"/>
          <w:sz w:val="22"/>
          <w:szCs w:val="22"/>
          <w:lang w:val="en-GB"/>
        </w:rPr>
        <w:t>for</w:t>
      </w:r>
      <w:r w:rsidR="000F7167">
        <w:rPr>
          <w:rFonts w:ascii="Arial" w:eastAsia="MS Mincho" w:hAnsi="Arial" w:cs="Arial"/>
          <w:color w:val="7B7B7B" w:themeColor="accent3" w:themeShade="BF"/>
          <w:sz w:val="22"/>
          <w:szCs w:val="22"/>
          <w:lang w:val="en-GB"/>
        </w:rPr>
        <w:t xml:space="preserve"> groups of companies; and (iii) strength </w:t>
      </w:r>
      <w:r w:rsidR="003D6FE6">
        <w:rPr>
          <w:rFonts w:ascii="Arial" w:eastAsia="MS Mincho" w:hAnsi="Arial" w:cs="Arial"/>
          <w:color w:val="7B7B7B" w:themeColor="accent3" w:themeShade="BF"/>
          <w:sz w:val="22"/>
          <w:szCs w:val="22"/>
          <w:lang w:val="en-GB"/>
        </w:rPr>
        <w:t>of</w:t>
      </w:r>
      <w:r w:rsidR="000F7167">
        <w:rPr>
          <w:rFonts w:ascii="Arial" w:eastAsia="MS Mincho" w:hAnsi="Arial" w:cs="Arial"/>
          <w:color w:val="7B7B7B" w:themeColor="accent3" w:themeShade="BF"/>
          <w:sz w:val="22"/>
          <w:szCs w:val="22"/>
          <w:lang w:val="en-GB"/>
        </w:rPr>
        <w:t xml:space="preserve"> rules </w:t>
      </w:r>
      <w:r w:rsidR="003D6FE6">
        <w:rPr>
          <w:rFonts w:ascii="Arial" w:eastAsia="MS Mincho" w:hAnsi="Arial" w:cs="Arial"/>
          <w:color w:val="7B7B7B" w:themeColor="accent3" w:themeShade="BF"/>
          <w:sz w:val="22"/>
          <w:szCs w:val="22"/>
          <w:lang w:val="en-GB"/>
        </w:rPr>
        <w:t>concerning</w:t>
      </w:r>
      <w:r w:rsidR="000F7167">
        <w:rPr>
          <w:rFonts w:ascii="Arial" w:eastAsia="MS Mincho" w:hAnsi="Arial" w:cs="Arial"/>
          <w:color w:val="7B7B7B" w:themeColor="accent3" w:themeShade="BF"/>
          <w:sz w:val="22"/>
          <w:szCs w:val="22"/>
          <w:lang w:val="en-GB"/>
        </w:rPr>
        <w:t xml:space="preserve"> cooperation and coordination.</w:t>
      </w:r>
    </w:p>
    <w:p w14:paraId="41B1DC2A" w14:textId="2E59F864" w:rsidR="003D6FE6"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The restructuring proceeding has the aim of rescuing the debtor from bankruptcy. This type of proceeding is very important to debtors who are going through financial distress but have a viable business. To introduce this point, the EIR Recast established expressly in Recital 10 and article 1 that the scope of the regulation is not just to regulate proceeding to liquidate companies but also the restructuring ones</w:t>
      </w:r>
      <w:r>
        <w:rPr>
          <w:rFonts w:ascii="Arial" w:eastAsia="MS Mincho" w:hAnsi="Arial" w:cs="Arial"/>
          <w:color w:val="7B7B7B" w:themeColor="accent3" w:themeShade="BF"/>
          <w:sz w:val="22"/>
          <w:szCs w:val="22"/>
          <w:lang w:val="en-GB"/>
        </w:rPr>
        <w:t>.</w:t>
      </w:r>
    </w:p>
    <w:p w14:paraId="5F57FE37" w14:textId="77777777" w:rsidR="003D6FE6"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The second important point was the necessity to regulate insolvency proceeding that can interfere with a whole group of companies who have mixed assets and affairs. The EIR </w:t>
      </w:r>
      <w:r>
        <w:rPr>
          <w:rFonts w:ascii="Arial" w:eastAsia="MS Mincho" w:hAnsi="Arial" w:cs="Arial"/>
          <w:color w:val="7B7B7B" w:themeColor="accent3" w:themeShade="BF"/>
          <w:sz w:val="22"/>
          <w:szCs w:val="22"/>
          <w:lang w:val="en-GB"/>
        </w:rPr>
        <w:lastRenderedPageBreak/>
        <w:t>Recast, different from its predecessor, includes a whole chapter (Chapter V) to regulate this type of proceeding (articles 56-83).</w:t>
      </w:r>
    </w:p>
    <w:p w14:paraId="4DC05E58" w14:textId="69F2AFDE" w:rsidR="003D6FE6" w:rsidRPr="005C3E0B"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Finally, better communication between actors of the proceeding was needed to give more effectiveness to cross-border insolvency proceeding in general. Different from the EIR 2000, the EIR Recast expressly established mandatory rules for courts and insolvency practitioners to cooperate with each other (articles </w:t>
      </w:r>
      <w:r>
        <w:rPr>
          <w:rFonts w:ascii="Arial" w:hAnsi="Arial" w:cs="Arial"/>
          <w:color w:val="7B7B7B" w:themeColor="accent3" w:themeShade="BF"/>
          <w:sz w:val="22"/>
          <w:szCs w:val="22"/>
        </w:rPr>
        <w:t>41-43 and 56-58).</w:t>
      </w:r>
    </w:p>
    <w:p w14:paraId="4A637290" w14:textId="4A0282A0" w:rsidR="00544127" w:rsidRPr="005C3E0B" w:rsidRDefault="00544127" w:rsidP="002A37BB">
      <w:pPr>
        <w:ind w:left="720" w:hanging="720"/>
        <w:jc w:val="both"/>
        <w:rPr>
          <w:rFonts w:ascii="Arial" w:hAnsi="Arial" w:cs="Arial"/>
          <w:sz w:val="22"/>
          <w:szCs w:val="22"/>
          <w:lang w:val="en-GB"/>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7C2B36" w:rsidRDefault="00B12499" w:rsidP="002A37BB">
      <w:pPr>
        <w:jc w:val="both"/>
        <w:rPr>
          <w:rFonts w:ascii="Arial" w:hAnsi="Arial" w:cs="Arial"/>
          <w:sz w:val="22"/>
          <w:szCs w:val="22"/>
          <w:lang w:val="en-GB"/>
        </w:rPr>
      </w:pPr>
      <w:r w:rsidRPr="007C2B3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sidRPr="007C2B36">
        <w:rPr>
          <w:rFonts w:ascii="Arial" w:hAnsi="Arial" w:cs="Arial"/>
          <w:sz w:val="22"/>
          <w:szCs w:val="22"/>
          <w:lang w:val="en-GB"/>
        </w:rPr>
        <w:t>manner</w:t>
      </w:r>
      <w:r w:rsidRPr="007C2B36">
        <w:rPr>
          <w:rFonts w:ascii="Arial" w:hAnsi="Arial" w:cs="Arial"/>
          <w:sz w:val="22"/>
          <w:szCs w:val="22"/>
          <w:lang w:val="en-GB"/>
        </w:rPr>
        <w:t xml:space="preserve"> </w:t>
      </w:r>
      <w:r w:rsidR="005E784A" w:rsidRPr="007C2B36">
        <w:rPr>
          <w:rFonts w:ascii="Arial" w:hAnsi="Arial" w:cs="Arial"/>
          <w:sz w:val="22"/>
          <w:szCs w:val="22"/>
          <w:lang w:val="en-GB"/>
        </w:rPr>
        <w:t>in which</w:t>
      </w:r>
      <w:proofErr w:type="gramEnd"/>
      <w:r w:rsidR="005E784A" w:rsidRPr="007C2B36">
        <w:rPr>
          <w:rFonts w:ascii="Arial" w:hAnsi="Arial" w:cs="Arial"/>
          <w:sz w:val="22"/>
          <w:szCs w:val="22"/>
          <w:lang w:val="en-GB"/>
        </w:rPr>
        <w:t xml:space="preserve"> </w:t>
      </w:r>
      <w:r w:rsidRPr="007C2B36">
        <w:rPr>
          <w:rFonts w:ascii="Arial" w:hAnsi="Arial" w:cs="Arial"/>
          <w:sz w:val="22"/>
          <w:szCs w:val="22"/>
          <w:lang w:val="en-GB"/>
        </w:rPr>
        <w:t>the Regulation support</w:t>
      </w:r>
      <w:r w:rsidR="005E784A" w:rsidRPr="007C2B36">
        <w:rPr>
          <w:rFonts w:ascii="Arial" w:hAnsi="Arial" w:cs="Arial"/>
          <w:sz w:val="22"/>
          <w:szCs w:val="22"/>
          <w:lang w:val="en-GB"/>
        </w:rPr>
        <w:t>s</w:t>
      </w:r>
      <w:r w:rsidRPr="007C2B36">
        <w:rPr>
          <w:rFonts w:ascii="Arial" w:hAnsi="Arial" w:cs="Arial"/>
          <w:sz w:val="22"/>
          <w:szCs w:val="22"/>
          <w:lang w:val="en-GB"/>
        </w:rPr>
        <w:t xml:space="preserve"> the administration of a cross-border case in an efficient manner. Describe </w:t>
      </w:r>
      <w:r w:rsidRPr="007C2B36">
        <w:rPr>
          <w:rFonts w:ascii="Arial" w:hAnsi="Arial" w:cs="Arial"/>
          <w:b/>
          <w:sz w:val="22"/>
          <w:szCs w:val="22"/>
          <w:lang w:val="en-GB"/>
        </w:rPr>
        <w:t>three (3)</w:t>
      </w:r>
      <w:r w:rsidRPr="007C2B36">
        <w:rPr>
          <w:rFonts w:ascii="Arial" w:hAnsi="Arial" w:cs="Arial"/>
          <w:sz w:val="22"/>
          <w:szCs w:val="22"/>
          <w:lang w:val="en-GB"/>
        </w:rPr>
        <w:t xml:space="preserve"> improvements</w:t>
      </w:r>
      <w:r w:rsidR="005E784A" w:rsidRPr="007C2B36">
        <w:rPr>
          <w:rFonts w:ascii="Arial" w:hAnsi="Arial" w:cs="Arial"/>
          <w:sz w:val="22"/>
          <w:szCs w:val="22"/>
          <w:lang w:val="en-GB"/>
        </w:rPr>
        <w:t xml:space="preserve"> </w:t>
      </w:r>
      <w:r w:rsidRPr="007C2B36">
        <w:rPr>
          <w:rFonts w:ascii="Arial" w:hAnsi="Arial" w:cs="Arial"/>
          <w:sz w:val="22"/>
          <w:szCs w:val="22"/>
          <w:lang w:val="en-GB"/>
        </w:rPr>
        <w:t>/</w:t>
      </w:r>
      <w:r w:rsidR="005E784A" w:rsidRPr="007C2B36">
        <w:rPr>
          <w:rFonts w:ascii="Arial" w:hAnsi="Arial" w:cs="Arial"/>
          <w:sz w:val="22"/>
          <w:szCs w:val="22"/>
          <w:lang w:val="en-GB"/>
        </w:rPr>
        <w:t xml:space="preserve"> </w:t>
      </w:r>
      <w:r w:rsidRPr="007C2B36">
        <w:rPr>
          <w:rFonts w:ascii="Arial" w:hAnsi="Arial" w:cs="Arial"/>
          <w:sz w:val="22"/>
          <w:szCs w:val="22"/>
          <w:lang w:val="en-GB"/>
        </w:rPr>
        <w:t xml:space="preserve">innovations </w:t>
      </w:r>
      <w:r w:rsidR="005E784A" w:rsidRPr="007C2B36">
        <w:rPr>
          <w:rFonts w:ascii="Arial" w:hAnsi="Arial" w:cs="Arial"/>
          <w:sz w:val="22"/>
          <w:szCs w:val="22"/>
          <w:lang w:val="en-GB"/>
        </w:rPr>
        <w:t>that</w:t>
      </w:r>
      <w:r w:rsidRPr="007C2B36">
        <w:rPr>
          <w:rFonts w:ascii="Arial" w:hAnsi="Arial" w:cs="Arial"/>
          <w:sz w:val="22"/>
          <w:szCs w:val="22"/>
          <w:lang w:val="en-GB"/>
        </w:rPr>
        <w:t xml:space="preserve"> made their way into the EIR Recast. </w:t>
      </w:r>
    </w:p>
    <w:p w14:paraId="2F029E55" w14:textId="1280FB99" w:rsidR="00DF75F8" w:rsidRPr="007C2B36" w:rsidRDefault="00DF75F8" w:rsidP="002A37BB">
      <w:pPr>
        <w:jc w:val="both"/>
        <w:rPr>
          <w:rFonts w:ascii="Arial" w:hAnsi="Arial" w:cs="Arial"/>
          <w:sz w:val="22"/>
          <w:szCs w:val="22"/>
        </w:rPr>
      </w:pPr>
    </w:p>
    <w:p w14:paraId="21A74083" w14:textId="77777777" w:rsidR="003D6FE6" w:rsidRPr="00CA1B95" w:rsidRDefault="003D6FE6" w:rsidP="003D6FE6">
      <w:pPr>
        <w:ind w:firstLine="709"/>
        <w:jc w:val="both"/>
        <w:rPr>
          <w:rFonts w:ascii="Arial" w:hAnsi="Arial" w:cs="Arial"/>
          <w:color w:val="7B7B7B" w:themeColor="accent3" w:themeShade="BF"/>
          <w:sz w:val="22"/>
          <w:szCs w:val="22"/>
          <w:lang w:val="en-GB"/>
        </w:rPr>
      </w:pPr>
      <w:r w:rsidRPr="00CA1B95">
        <w:rPr>
          <w:rFonts w:ascii="Arial" w:hAnsi="Arial" w:cs="Arial"/>
          <w:color w:val="7B7B7B" w:themeColor="accent3" w:themeShade="BF"/>
          <w:sz w:val="22"/>
          <w:szCs w:val="22"/>
          <w:lang w:val="en-GB"/>
        </w:rPr>
        <w:t xml:space="preserve">As recommended </w:t>
      </w:r>
      <w:r>
        <w:rPr>
          <w:rFonts w:ascii="Arial" w:hAnsi="Arial" w:cs="Arial"/>
          <w:color w:val="7B7B7B" w:themeColor="accent3" w:themeShade="BF"/>
          <w:sz w:val="22"/>
          <w:szCs w:val="22"/>
          <w:lang w:val="en-GB"/>
        </w:rPr>
        <w:t>by</w:t>
      </w:r>
      <w:r w:rsidRPr="00CA1B95">
        <w:rPr>
          <w:rFonts w:ascii="Arial" w:hAnsi="Arial" w:cs="Arial"/>
          <w:color w:val="7B7B7B" w:themeColor="accent3" w:themeShade="BF"/>
          <w:sz w:val="22"/>
          <w:szCs w:val="22"/>
          <w:lang w:val="en-GB"/>
        </w:rPr>
        <w:t xml:space="preserve"> the European Commission in December/2012, the EIR Recast brought – or at least tr</w:t>
      </w:r>
      <w:r>
        <w:rPr>
          <w:rFonts w:ascii="Arial" w:hAnsi="Arial" w:cs="Arial"/>
          <w:color w:val="7B7B7B" w:themeColor="accent3" w:themeShade="BF"/>
          <w:sz w:val="22"/>
          <w:szCs w:val="22"/>
          <w:lang w:val="en-GB"/>
        </w:rPr>
        <w:t>ied</w:t>
      </w:r>
      <w:r w:rsidRPr="00CA1B95">
        <w:rPr>
          <w:rFonts w:ascii="Arial" w:hAnsi="Arial" w:cs="Arial"/>
          <w:color w:val="7B7B7B" w:themeColor="accent3" w:themeShade="BF"/>
          <w:sz w:val="22"/>
          <w:szCs w:val="22"/>
          <w:lang w:val="en-GB"/>
        </w:rPr>
        <w:t xml:space="preserve"> to </w:t>
      </w:r>
      <w:r>
        <w:rPr>
          <w:rFonts w:ascii="Arial" w:hAnsi="Arial" w:cs="Arial"/>
          <w:color w:val="7B7B7B" w:themeColor="accent3" w:themeShade="BF"/>
          <w:sz w:val="22"/>
          <w:szCs w:val="22"/>
          <w:lang w:val="en-GB"/>
        </w:rPr>
        <w:t>bring</w:t>
      </w:r>
      <w:r w:rsidRPr="00CA1B95">
        <w:rPr>
          <w:rFonts w:ascii="Arial" w:hAnsi="Arial" w:cs="Arial"/>
          <w:color w:val="7B7B7B" w:themeColor="accent3" w:themeShade="BF"/>
          <w:sz w:val="22"/>
          <w:szCs w:val="22"/>
          <w:lang w:val="en-GB"/>
        </w:rPr>
        <w:t xml:space="preserve">– solutions to problems identified while its predecessor was </w:t>
      </w:r>
      <w:r>
        <w:rPr>
          <w:rFonts w:ascii="Arial" w:hAnsi="Arial" w:cs="Arial"/>
          <w:color w:val="7B7B7B" w:themeColor="accent3" w:themeShade="BF"/>
          <w:sz w:val="22"/>
          <w:szCs w:val="22"/>
          <w:lang w:val="en-GB"/>
        </w:rPr>
        <w:t>enforced</w:t>
      </w:r>
      <w:r w:rsidRPr="00CA1B95">
        <w:rPr>
          <w:rFonts w:ascii="Arial" w:hAnsi="Arial" w:cs="Arial"/>
          <w:color w:val="7B7B7B" w:themeColor="accent3" w:themeShade="BF"/>
          <w:sz w:val="22"/>
          <w:szCs w:val="22"/>
          <w:lang w:val="en-GB"/>
        </w:rPr>
        <w:t>, either improving tools already present in EIR 2000 or implementing new ones. For example, the EIR Recast introduced the possibility of an insolvency proceeding for an enterprise group</w:t>
      </w:r>
      <w:r>
        <w:rPr>
          <w:rFonts w:ascii="Arial" w:hAnsi="Arial" w:cs="Arial"/>
          <w:color w:val="7B7B7B" w:themeColor="accent3" w:themeShade="BF"/>
          <w:sz w:val="22"/>
          <w:szCs w:val="22"/>
          <w:lang w:val="en-GB"/>
        </w:rPr>
        <w:t>, named Group Coordination Proceeding</w:t>
      </w:r>
      <w:r w:rsidRPr="00CA1B95">
        <w:rPr>
          <w:rFonts w:ascii="Arial" w:hAnsi="Arial" w:cs="Arial"/>
          <w:color w:val="7B7B7B" w:themeColor="accent3" w:themeShade="BF"/>
          <w:sz w:val="22"/>
          <w:szCs w:val="22"/>
          <w:lang w:val="en-GB"/>
        </w:rPr>
        <w:t>.</w:t>
      </w:r>
    </w:p>
    <w:p w14:paraId="2862A973" w14:textId="77777777" w:rsidR="003D6FE6" w:rsidRPr="00CA1B95" w:rsidRDefault="003D6FE6" w:rsidP="003D6FE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CA1B95">
        <w:rPr>
          <w:rFonts w:ascii="Arial" w:hAnsi="Arial" w:cs="Arial"/>
          <w:color w:val="7B7B7B" w:themeColor="accent3" w:themeShade="BF"/>
          <w:sz w:val="22"/>
          <w:szCs w:val="22"/>
          <w:lang w:val="en-GB"/>
        </w:rPr>
        <w:t>he opening of a group coordination proceeding regarding enterprise group</w:t>
      </w:r>
      <w:r>
        <w:rPr>
          <w:rFonts w:ascii="Arial" w:hAnsi="Arial" w:cs="Arial"/>
          <w:color w:val="7B7B7B" w:themeColor="accent3" w:themeShade="BF"/>
          <w:sz w:val="22"/>
          <w:szCs w:val="22"/>
          <w:lang w:val="en-GB"/>
        </w:rPr>
        <w:t>s is not mandatory</w:t>
      </w:r>
      <w:r w:rsidRPr="00CA1B9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but</w:t>
      </w:r>
      <w:r w:rsidRPr="00CA1B95">
        <w:rPr>
          <w:rFonts w:ascii="Arial" w:hAnsi="Arial" w:cs="Arial"/>
          <w:color w:val="7B7B7B" w:themeColor="accent3" w:themeShade="BF"/>
          <w:sz w:val="22"/>
          <w:szCs w:val="22"/>
          <w:lang w:val="en-GB"/>
        </w:rPr>
        <w:t xml:space="preserve"> the EIR Recast allow</w:t>
      </w:r>
      <w:r>
        <w:rPr>
          <w:rFonts w:ascii="Arial" w:hAnsi="Arial" w:cs="Arial"/>
          <w:color w:val="7B7B7B" w:themeColor="accent3" w:themeShade="BF"/>
          <w:sz w:val="22"/>
          <w:szCs w:val="22"/>
          <w:lang w:val="en-GB"/>
        </w:rPr>
        <w:t>s</w:t>
      </w:r>
      <w:r w:rsidRPr="00CA1B9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the possibility of </w:t>
      </w:r>
      <w:r w:rsidRPr="00CA1B95">
        <w:rPr>
          <w:rFonts w:ascii="Arial" w:hAnsi="Arial" w:cs="Arial"/>
          <w:color w:val="7B7B7B" w:themeColor="accent3" w:themeShade="BF"/>
          <w:sz w:val="22"/>
          <w:szCs w:val="22"/>
          <w:lang w:val="en-GB"/>
        </w:rPr>
        <w:t>this proceeding when it’s requested by the insolvency practitioner of one proceeding (article 61 (1))</w:t>
      </w:r>
      <w:r>
        <w:rPr>
          <w:rFonts w:ascii="Arial" w:hAnsi="Arial" w:cs="Arial"/>
          <w:color w:val="7B7B7B" w:themeColor="accent3" w:themeShade="BF"/>
          <w:sz w:val="22"/>
          <w:szCs w:val="22"/>
          <w:lang w:val="en-GB"/>
        </w:rPr>
        <w:t xml:space="preserve"> and when it’s not requested, the regulation obligates  communication and coordination between the courts and insolvency practitioners when the insolvency proceeding of more than one company of an enterprise group is opened in different Member States (articles 56-58).</w:t>
      </w:r>
    </w:p>
    <w:p w14:paraId="6C0B5BAB" w14:textId="77777777" w:rsidR="003D6FE6" w:rsidRDefault="003D6FE6" w:rsidP="003D6FE6">
      <w:pPr>
        <w:ind w:firstLine="709"/>
        <w:jc w:val="both"/>
        <w:rPr>
          <w:rFonts w:ascii="Arial" w:hAnsi="Arial" w:cs="Arial"/>
          <w:color w:val="7B7B7B" w:themeColor="accent3" w:themeShade="BF"/>
          <w:sz w:val="22"/>
          <w:szCs w:val="22"/>
        </w:rPr>
      </w:pPr>
      <w:r w:rsidRPr="00CA1B95">
        <w:rPr>
          <w:rFonts w:ascii="Arial" w:hAnsi="Arial" w:cs="Arial"/>
          <w:color w:val="7B7B7B" w:themeColor="accent3" w:themeShade="BF"/>
          <w:sz w:val="22"/>
          <w:szCs w:val="22"/>
          <w:lang w:val="en-GB"/>
        </w:rPr>
        <w:t xml:space="preserve">Another innovation is the possibility of </w:t>
      </w:r>
      <w:r>
        <w:rPr>
          <w:rFonts w:ascii="Arial" w:hAnsi="Arial" w:cs="Arial"/>
          <w:color w:val="7B7B7B" w:themeColor="accent3" w:themeShade="BF"/>
          <w:sz w:val="22"/>
          <w:szCs w:val="22"/>
          <w:lang w:val="en-GB"/>
        </w:rPr>
        <w:t>restructuring proceedings being regulated by the EIR Recast. Different from EIR 2000 that just applies to proceedings to “</w:t>
      </w:r>
      <w:r w:rsidRPr="00A75F35">
        <w:rPr>
          <w:rFonts w:ascii="Arial" w:hAnsi="Arial" w:cs="Arial"/>
          <w:i/>
          <w:iCs/>
          <w:color w:val="7B7B7B" w:themeColor="accent3" w:themeShade="BF"/>
          <w:sz w:val="22"/>
          <w:szCs w:val="22"/>
        </w:rPr>
        <w:t>entail the partial or total divestment of a debtor and the appointment of a liquidator</w:t>
      </w:r>
      <w:r>
        <w:rPr>
          <w:rFonts w:ascii="Arial" w:hAnsi="Arial" w:cs="Arial"/>
          <w:color w:val="7B7B7B" w:themeColor="accent3" w:themeShade="BF"/>
          <w:sz w:val="22"/>
          <w:szCs w:val="22"/>
        </w:rPr>
        <w:t>” (article 1, EIR 2000), the EIR Recast applies specifically to proceedings that have the purpose of “rescue, adjustment of debt, reorganization or liquidation” (article 1, (1), EIR Recast).</w:t>
      </w:r>
    </w:p>
    <w:p w14:paraId="0AC8A67C" w14:textId="7965FF42" w:rsidR="003D6FE6" w:rsidRPr="00CA1B95" w:rsidRDefault="003D6FE6" w:rsidP="003D6FE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inclusion of restructuring proceedings under the scope of the EIR Recast is an important tool to provide a coordinated and effective proceeding to help a debtor that is going through financial distress but has the possibility to maintain its activity.</w:t>
      </w:r>
    </w:p>
    <w:p w14:paraId="4EA7A429" w14:textId="58FE6EE7" w:rsidR="003D6FE6" w:rsidRPr="0081737F" w:rsidRDefault="003D6FE6" w:rsidP="003D6FE6">
      <w:pPr>
        <w:ind w:firstLine="709"/>
        <w:jc w:val="both"/>
        <w:rPr>
          <w:rFonts w:ascii="Arial" w:hAnsi="Arial" w:cs="Arial"/>
          <w:color w:val="7B7B7B" w:themeColor="accent3" w:themeShade="BF"/>
          <w:sz w:val="22"/>
          <w:szCs w:val="22"/>
          <w:lang w:val="en-GB"/>
        </w:rPr>
      </w:pPr>
      <w:r w:rsidRPr="00CA1B95">
        <w:rPr>
          <w:rFonts w:ascii="Arial" w:hAnsi="Arial" w:cs="Arial"/>
          <w:color w:val="7B7B7B" w:themeColor="accent3" w:themeShade="BF"/>
          <w:sz w:val="22"/>
          <w:szCs w:val="22"/>
          <w:lang w:val="en-GB"/>
        </w:rPr>
        <w:t>The EIR Recast also brought specific rules to improve the communication to creditors, especially the foreign one</w:t>
      </w:r>
      <w:r>
        <w:rPr>
          <w:rFonts w:ascii="Arial" w:hAnsi="Arial" w:cs="Arial"/>
          <w:color w:val="7B7B7B" w:themeColor="accent3" w:themeShade="BF"/>
          <w:sz w:val="22"/>
          <w:szCs w:val="22"/>
          <w:lang w:val="en-GB"/>
        </w:rPr>
        <w:t>s</w:t>
      </w:r>
      <w:r w:rsidRPr="00CA1B95">
        <w:rPr>
          <w:rFonts w:ascii="Arial" w:hAnsi="Arial" w:cs="Arial"/>
          <w:color w:val="7B7B7B" w:themeColor="accent3" w:themeShade="BF"/>
          <w:sz w:val="22"/>
          <w:szCs w:val="22"/>
          <w:lang w:val="en-GB"/>
        </w:rPr>
        <w:t>, giving to them real opportunity to participate in the insolvency proceeding and forcing the insolvency practitioner to publicise the notice of the opening of insolvency proceeding</w:t>
      </w:r>
      <w:r>
        <w:rPr>
          <w:rFonts w:ascii="Arial" w:hAnsi="Arial" w:cs="Arial"/>
          <w:color w:val="7B7B7B" w:themeColor="accent3" w:themeShade="BF"/>
          <w:sz w:val="22"/>
          <w:szCs w:val="22"/>
          <w:lang w:val="en-GB"/>
        </w:rPr>
        <w:t xml:space="preserve"> in any other Member State where the debtor has an establishment (article 28 (1)) and the obligation of the court to notify the known foreign creditors about the proceeding (article 54 (1)).</w:t>
      </w:r>
    </w:p>
    <w:p w14:paraId="3DAA6780" w14:textId="657CEFE1" w:rsidR="00962045" w:rsidRPr="003D6FE6" w:rsidRDefault="00962045" w:rsidP="002A37BB">
      <w:pPr>
        <w:jc w:val="both"/>
        <w:rPr>
          <w:rFonts w:ascii="Arial" w:hAnsi="Arial" w:cs="Arial"/>
          <w:sz w:val="22"/>
          <w:szCs w:val="22"/>
          <w:highlight w:val="yellow"/>
          <w:shd w:val="clear" w:color="auto" w:fill="FFFFFF"/>
          <w:lang w:val="en-GB"/>
        </w:rPr>
      </w:pPr>
    </w:p>
    <w:p w14:paraId="050B7D02" w14:textId="77777777" w:rsidR="00D17FDC" w:rsidRPr="00DF5A1B" w:rsidRDefault="00D17FDC" w:rsidP="002A37BB">
      <w:pPr>
        <w:jc w:val="both"/>
        <w:rPr>
          <w:rFonts w:ascii="Arial" w:hAnsi="Arial" w:cs="Arial"/>
          <w:sz w:val="22"/>
          <w:szCs w:val="22"/>
          <w:shd w:val="clear" w:color="auto" w:fill="FFFFFF"/>
        </w:rPr>
      </w:pPr>
    </w:p>
    <w:p w14:paraId="4B3595C7" w14:textId="740AD509" w:rsidR="00DF75F8" w:rsidRPr="00DF5A1B" w:rsidRDefault="00DF75F8" w:rsidP="002A37BB">
      <w:pPr>
        <w:ind w:left="720" w:hanging="720"/>
        <w:jc w:val="both"/>
        <w:rPr>
          <w:rFonts w:ascii="Arial" w:hAnsi="Arial" w:cs="Arial"/>
          <w:sz w:val="22"/>
          <w:szCs w:val="22"/>
          <w:shd w:val="clear" w:color="auto" w:fill="FFFFFF"/>
        </w:rPr>
      </w:pPr>
      <w:r w:rsidRPr="00DF5A1B">
        <w:rPr>
          <w:rFonts w:ascii="Arial" w:hAnsi="Arial" w:cs="Arial"/>
          <w:b/>
          <w:bCs/>
          <w:sz w:val="22"/>
          <w:szCs w:val="22"/>
          <w:shd w:val="clear" w:color="auto" w:fill="FFFFFF"/>
        </w:rPr>
        <w:t xml:space="preserve">Question </w:t>
      </w:r>
      <w:r w:rsidR="00962045" w:rsidRPr="00DF5A1B">
        <w:rPr>
          <w:rFonts w:ascii="Arial" w:hAnsi="Arial" w:cs="Arial"/>
          <w:b/>
          <w:bCs/>
          <w:sz w:val="22"/>
          <w:szCs w:val="22"/>
          <w:shd w:val="clear" w:color="auto" w:fill="FFFFFF"/>
        </w:rPr>
        <w:t>3.</w:t>
      </w:r>
      <w:r w:rsidR="00807119" w:rsidRPr="00DF5A1B">
        <w:rPr>
          <w:rFonts w:ascii="Arial" w:hAnsi="Arial" w:cs="Arial"/>
          <w:b/>
          <w:bCs/>
          <w:sz w:val="22"/>
          <w:szCs w:val="22"/>
          <w:shd w:val="clear" w:color="auto" w:fill="FFFFFF"/>
        </w:rPr>
        <w:t>3</w:t>
      </w:r>
      <w:r w:rsidRPr="00DF5A1B">
        <w:rPr>
          <w:rFonts w:ascii="Arial" w:hAnsi="Arial" w:cs="Arial"/>
          <w:b/>
          <w:bCs/>
          <w:sz w:val="22"/>
          <w:szCs w:val="22"/>
          <w:shd w:val="clear" w:color="auto" w:fill="FFFFFF"/>
        </w:rPr>
        <w:t xml:space="preserve"> </w:t>
      </w:r>
      <w:r w:rsidRPr="00DF5A1B">
        <w:rPr>
          <w:rFonts w:ascii="Arial" w:hAnsi="Arial" w:cs="Arial"/>
          <w:b/>
          <w:bCs/>
          <w:sz w:val="22"/>
          <w:szCs w:val="22"/>
          <w:lang w:val="en-GB"/>
        </w:rPr>
        <w:t>[</w:t>
      </w:r>
      <w:r w:rsidR="006A2646" w:rsidRPr="00DF5A1B">
        <w:rPr>
          <w:rFonts w:ascii="Arial" w:hAnsi="Arial" w:cs="Arial"/>
          <w:b/>
          <w:bCs/>
          <w:sz w:val="22"/>
          <w:szCs w:val="22"/>
          <w:lang w:val="en-GB"/>
        </w:rPr>
        <w:t>m</w:t>
      </w:r>
      <w:r w:rsidRPr="00DF5A1B">
        <w:rPr>
          <w:rFonts w:ascii="Arial" w:hAnsi="Arial" w:cs="Arial"/>
          <w:b/>
          <w:bCs/>
          <w:sz w:val="22"/>
          <w:szCs w:val="22"/>
          <w:lang w:val="en-GB"/>
        </w:rPr>
        <w:t xml:space="preserve">aximum </w:t>
      </w:r>
      <w:r w:rsidR="00980E61" w:rsidRPr="00DF5A1B">
        <w:rPr>
          <w:rFonts w:ascii="Arial" w:hAnsi="Arial" w:cs="Arial"/>
          <w:b/>
          <w:bCs/>
          <w:sz w:val="22"/>
          <w:szCs w:val="22"/>
          <w:lang w:val="en-GB"/>
        </w:rPr>
        <w:t>5</w:t>
      </w:r>
      <w:r w:rsidRPr="00DF5A1B">
        <w:rPr>
          <w:rFonts w:ascii="Arial" w:hAnsi="Arial" w:cs="Arial"/>
          <w:b/>
          <w:bCs/>
          <w:sz w:val="22"/>
          <w:szCs w:val="22"/>
          <w:lang w:val="en-GB"/>
        </w:rPr>
        <w:t xml:space="preserve"> marks]</w:t>
      </w:r>
    </w:p>
    <w:p w14:paraId="14F4111F" w14:textId="77777777" w:rsidR="00DF75F8" w:rsidRPr="00DF5A1B" w:rsidRDefault="00DF75F8" w:rsidP="002A37BB">
      <w:pPr>
        <w:ind w:left="720" w:hanging="720"/>
        <w:jc w:val="both"/>
        <w:rPr>
          <w:rFonts w:ascii="Arial" w:hAnsi="Arial" w:cs="Arial"/>
          <w:sz w:val="22"/>
          <w:szCs w:val="22"/>
          <w:shd w:val="clear" w:color="auto" w:fill="FFFFFF"/>
        </w:rPr>
      </w:pPr>
    </w:p>
    <w:p w14:paraId="32B2CF3F" w14:textId="279A685D" w:rsidR="00800B1B" w:rsidRPr="00DF5A1B" w:rsidRDefault="00800B1B" w:rsidP="002A37BB">
      <w:pPr>
        <w:jc w:val="both"/>
        <w:rPr>
          <w:rFonts w:ascii="Arial" w:hAnsi="Arial" w:cs="Arial"/>
          <w:sz w:val="22"/>
          <w:szCs w:val="22"/>
          <w:lang w:val="en-GB"/>
        </w:rPr>
      </w:pPr>
      <w:r w:rsidRPr="00DF5A1B">
        <w:rPr>
          <w:rFonts w:ascii="Arial" w:hAnsi="Arial" w:cs="Arial"/>
          <w:sz w:val="22"/>
          <w:szCs w:val="22"/>
          <w:lang w:val="en-GB"/>
        </w:rPr>
        <w:t xml:space="preserve">While the EIR Recast was welcomed by most stakeholders, it was also criticised by some as a </w:t>
      </w:r>
      <w:r w:rsidR="005E784A" w:rsidRPr="00DF5A1B">
        <w:rPr>
          <w:rFonts w:ascii="Arial" w:hAnsi="Arial" w:cs="Arial"/>
          <w:sz w:val="22"/>
          <w:szCs w:val="22"/>
          <w:lang w:val="en-GB"/>
        </w:rPr>
        <w:t>“</w:t>
      </w:r>
      <w:r w:rsidRPr="00DF5A1B">
        <w:rPr>
          <w:rFonts w:ascii="Arial" w:hAnsi="Arial" w:cs="Arial"/>
          <w:sz w:val="22"/>
          <w:szCs w:val="22"/>
          <w:lang w:val="en-GB"/>
        </w:rPr>
        <w:t>missed opportunity</w:t>
      </w:r>
      <w:r w:rsidR="005E784A" w:rsidRPr="00DF5A1B">
        <w:rPr>
          <w:rFonts w:ascii="Arial" w:hAnsi="Arial" w:cs="Arial"/>
          <w:sz w:val="22"/>
          <w:szCs w:val="22"/>
          <w:lang w:val="en-GB"/>
        </w:rPr>
        <w:t>”</w:t>
      </w:r>
      <w:r w:rsidRPr="00DF5A1B">
        <w:rPr>
          <w:rFonts w:ascii="Arial" w:hAnsi="Arial" w:cs="Arial"/>
          <w:sz w:val="22"/>
          <w:szCs w:val="22"/>
          <w:lang w:val="en-GB"/>
        </w:rPr>
        <w:t xml:space="preserve"> and </w:t>
      </w:r>
      <w:r w:rsidR="005E784A" w:rsidRPr="00DF5A1B">
        <w:rPr>
          <w:rFonts w:ascii="Arial" w:hAnsi="Arial" w:cs="Arial"/>
          <w:sz w:val="22"/>
          <w:szCs w:val="22"/>
          <w:lang w:val="en-GB"/>
        </w:rPr>
        <w:t>“</w:t>
      </w:r>
      <w:r w:rsidRPr="00DF5A1B">
        <w:rPr>
          <w:rFonts w:ascii="Arial" w:hAnsi="Arial" w:cs="Arial"/>
          <w:sz w:val="22"/>
          <w:szCs w:val="22"/>
          <w:lang w:val="en-GB"/>
        </w:rPr>
        <w:t>modest</w:t>
      </w:r>
      <w:r w:rsidR="005E784A" w:rsidRPr="00DF5A1B">
        <w:rPr>
          <w:rFonts w:ascii="Arial" w:hAnsi="Arial" w:cs="Arial"/>
          <w:sz w:val="22"/>
          <w:szCs w:val="22"/>
          <w:lang w:val="en-GB"/>
        </w:rPr>
        <w:t>”</w:t>
      </w:r>
      <w:r w:rsidRPr="00DF5A1B">
        <w:rPr>
          <w:rFonts w:ascii="Arial" w:hAnsi="Arial" w:cs="Arial"/>
          <w:sz w:val="22"/>
          <w:szCs w:val="22"/>
          <w:lang w:val="en-GB"/>
        </w:rPr>
        <w:t xml:space="preserve">. List </w:t>
      </w:r>
      <w:r w:rsidRPr="00DF5A1B">
        <w:rPr>
          <w:rFonts w:ascii="Arial" w:hAnsi="Arial" w:cs="Arial"/>
          <w:b/>
          <w:sz w:val="22"/>
          <w:szCs w:val="22"/>
          <w:u w:val="single"/>
          <w:lang w:val="en-GB"/>
        </w:rPr>
        <w:t>two (2) flaws</w:t>
      </w:r>
      <w:r w:rsidRPr="00DF5A1B">
        <w:rPr>
          <w:rFonts w:ascii="Arial" w:hAnsi="Arial" w:cs="Arial"/>
          <w:sz w:val="22"/>
          <w:szCs w:val="22"/>
          <w:lang w:val="en-GB"/>
        </w:rPr>
        <w:t xml:space="preserve"> or shortcomings of the EIR Recast and explain how you consider they could be corrected</w:t>
      </w:r>
      <w:r w:rsidR="00C46DF7" w:rsidRPr="00DF5A1B">
        <w:rPr>
          <w:rFonts w:ascii="Arial" w:hAnsi="Arial" w:cs="Arial"/>
          <w:sz w:val="22"/>
          <w:szCs w:val="22"/>
          <w:lang w:val="en-GB"/>
        </w:rPr>
        <w:t>.</w:t>
      </w:r>
      <w:r w:rsidRPr="00DF5A1B">
        <w:rPr>
          <w:rFonts w:ascii="Arial" w:hAnsi="Arial" w:cs="Arial"/>
          <w:sz w:val="22"/>
          <w:szCs w:val="22"/>
          <w:lang w:val="en-GB"/>
        </w:rPr>
        <w:t xml:space="preserve"> </w:t>
      </w:r>
    </w:p>
    <w:p w14:paraId="722B5381" w14:textId="032F740D" w:rsidR="00DF75F8" w:rsidRPr="00BC37C7" w:rsidRDefault="00DF75F8" w:rsidP="002A37BB">
      <w:pPr>
        <w:jc w:val="both"/>
        <w:rPr>
          <w:rFonts w:ascii="Arial" w:hAnsi="Arial" w:cs="Arial"/>
          <w:sz w:val="22"/>
          <w:szCs w:val="22"/>
          <w:highlight w:val="yellow"/>
          <w:lang w:val="en-GB"/>
        </w:rPr>
      </w:pPr>
    </w:p>
    <w:p w14:paraId="7E2B6C12" w14:textId="77777777" w:rsidR="003D6FE6" w:rsidRDefault="003D6FE6" w:rsidP="003D6FE6">
      <w:pPr>
        <w:ind w:firstLine="709"/>
        <w:jc w:val="both"/>
        <w:rPr>
          <w:rFonts w:ascii="Arial" w:eastAsia="MS Mincho" w:hAnsi="Arial" w:cs="Arial"/>
          <w:color w:val="7B7B7B" w:themeColor="accent3" w:themeShade="BF"/>
          <w:sz w:val="22"/>
          <w:szCs w:val="22"/>
          <w:lang w:val="en-GB"/>
        </w:rPr>
      </w:pPr>
      <w:r w:rsidRPr="005C3E0B">
        <w:rPr>
          <w:rFonts w:ascii="Arial" w:eastAsia="MS Mincho" w:hAnsi="Arial" w:cs="Arial"/>
          <w:color w:val="7B7B7B" w:themeColor="accent3" w:themeShade="BF"/>
          <w:sz w:val="22"/>
          <w:szCs w:val="22"/>
          <w:lang w:val="en-GB"/>
        </w:rPr>
        <w:t xml:space="preserve">We can’t deny that the EIR Recast brought important innovations </w:t>
      </w:r>
      <w:r>
        <w:rPr>
          <w:rFonts w:ascii="Arial" w:eastAsia="MS Mincho" w:hAnsi="Arial" w:cs="Arial"/>
          <w:color w:val="7B7B7B" w:themeColor="accent3" w:themeShade="BF"/>
          <w:sz w:val="22"/>
          <w:szCs w:val="22"/>
          <w:lang w:val="en-GB"/>
        </w:rPr>
        <w:t>for</w:t>
      </w:r>
      <w:r w:rsidRPr="005C3E0B">
        <w:rPr>
          <w:rFonts w:ascii="Arial" w:eastAsia="MS Mincho" w:hAnsi="Arial" w:cs="Arial"/>
          <w:color w:val="7B7B7B" w:themeColor="accent3" w:themeShade="BF"/>
          <w:sz w:val="22"/>
          <w:szCs w:val="22"/>
          <w:lang w:val="en-GB"/>
        </w:rPr>
        <w:t xml:space="preserve"> the treatment of cross-border insolvency proceedings under the European Union. However, in some </w:t>
      </w:r>
      <w:proofErr w:type="gramStart"/>
      <w:r w:rsidRPr="00742938">
        <w:rPr>
          <w:rFonts w:ascii="Arial" w:eastAsia="MS Mincho" w:hAnsi="Arial" w:cs="Arial"/>
          <w:color w:val="7B7B7B" w:themeColor="accent3" w:themeShade="BF"/>
          <w:sz w:val="22"/>
          <w:szCs w:val="22"/>
          <w:lang w:val="en-GB"/>
        </w:rPr>
        <w:t>aspects</w:t>
      </w:r>
      <w:proofErr w:type="gramEnd"/>
      <w:r w:rsidRPr="005C3E0B">
        <w:rPr>
          <w:rFonts w:ascii="Arial" w:eastAsia="MS Mincho" w:hAnsi="Arial" w:cs="Arial"/>
          <w:color w:val="7B7B7B" w:themeColor="accent3" w:themeShade="BF"/>
          <w:sz w:val="22"/>
          <w:szCs w:val="22"/>
          <w:lang w:val="en-GB"/>
        </w:rPr>
        <w:t xml:space="preserve">, specially dealing with </w:t>
      </w:r>
      <w:r>
        <w:rPr>
          <w:rFonts w:ascii="Arial" w:eastAsia="MS Mincho" w:hAnsi="Arial" w:cs="Arial"/>
          <w:color w:val="7B7B7B" w:themeColor="accent3" w:themeShade="BF"/>
          <w:sz w:val="22"/>
          <w:szCs w:val="22"/>
          <w:lang w:val="en-GB"/>
        </w:rPr>
        <w:t>enterprise</w:t>
      </w:r>
      <w:r w:rsidRPr="005C3E0B">
        <w:rPr>
          <w:rFonts w:ascii="Arial" w:eastAsia="MS Mincho" w:hAnsi="Arial" w:cs="Arial"/>
          <w:color w:val="7B7B7B" w:themeColor="accent3" w:themeShade="BF"/>
          <w:sz w:val="22"/>
          <w:szCs w:val="22"/>
          <w:lang w:val="en-GB"/>
        </w:rPr>
        <w:t xml:space="preserve"> groups, the EIR Recast missed the opportunity to </w:t>
      </w:r>
      <w:r>
        <w:rPr>
          <w:rFonts w:ascii="Arial" w:eastAsia="MS Mincho" w:hAnsi="Arial" w:cs="Arial"/>
          <w:color w:val="7B7B7B" w:themeColor="accent3" w:themeShade="BF"/>
          <w:sz w:val="22"/>
          <w:szCs w:val="22"/>
          <w:lang w:val="en-GB"/>
        </w:rPr>
        <w:t>provide a more effective measure to guarantee an efficient insolvency proceeding.</w:t>
      </w:r>
    </w:p>
    <w:p w14:paraId="62DDE479" w14:textId="77777777" w:rsidR="003D6FE6" w:rsidRDefault="003D6FE6" w:rsidP="003D6FE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For example, the EIR Recast doesn’t provide rules for a substantive or even procedural consolidation between insolvency proceedings opened against different debtors that are part of the same enterprise group.</w:t>
      </w:r>
    </w:p>
    <w:p w14:paraId="7592F28F" w14:textId="77777777" w:rsidR="003D6FE6" w:rsidRDefault="003D6FE6" w:rsidP="003D6FE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lastRenderedPageBreak/>
        <w:t>Sometimes, especially when the debtors who are part of the same group act as a single big company and have cross-guarantees and intra-group loans, at least a procedural consolidation is necessary to guarantee effectiveness to the insolvency proceeding and especially the creditors.</w:t>
      </w:r>
    </w:p>
    <w:p w14:paraId="21705AC7" w14:textId="77777777" w:rsidR="003D6FE6" w:rsidRDefault="003D6FE6" w:rsidP="003D6FE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Besides that, although the EIR Recast allows the insolvency practitioner appointed in an insolvency proceeding opened against one debtor that is part of an enterprise group to require the opening of a group coordination proceeding (article 61), which is a mechanism to guarantee better coordination between the different insolvency proceedings; this is not mandatory. </w:t>
      </w:r>
    </w:p>
    <w:p w14:paraId="6E573D76" w14:textId="77777777" w:rsidR="003D6FE6" w:rsidRPr="005C3E0B" w:rsidRDefault="003D6FE6" w:rsidP="003D6FE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In addition, even if the insolvency practitioner decided to open the group coordination proceeding, there is no provision to hear or even communicate with the creditors affected by this proceeding, which can bring prejudice to the creditor’s rights and even the effectiveness of this group proceeding.</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0ECDAAA" w14:textId="77777777" w:rsidR="003D6FE6"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The EIR 2000 prescribed its application to the proceeding opened against the debtor that had its COMI in the Member States where the regulation was ratified, which is the case in Ireland. </w:t>
      </w:r>
    </w:p>
    <w:p w14:paraId="72773763" w14:textId="025F6751" w:rsidR="00D4149E" w:rsidRDefault="003772C5" w:rsidP="005C3E0B">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The proceeding could be main</w:t>
      </w:r>
      <w:r w:rsidR="003D6FE6">
        <w:rPr>
          <w:rFonts w:ascii="Arial" w:eastAsia="MS Mincho" w:hAnsi="Arial" w:cs="Arial"/>
          <w:color w:val="7B7B7B" w:themeColor="accent3" w:themeShade="BF"/>
          <w:sz w:val="22"/>
          <w:szCs w:val="22"/>
          <w:lang w:val="en-GB"/>
        </w:rPr>
        <w:t xml:space="preserve"> one</w:t>
      </w:r>
      <w:r>
        <w:rPr>
          <w:rFonts w:ascii="Arial" w:eastAsia="MS Mincho" w:hAnsi="Arial" w:cs="Arial"/>
          <w:color w:val="7B7B7B" w:themeColor="accent3" w:themeShade="BF"/>
          <w:sz w:val="22"/>
          <w:szCs w:val="22"/>
          <w:lang w:val="en-GB"/>
        </w:rPr>
        <w:t xml:space="preserve">, when opened where the </w:t>
      </w:r>
      <w:r w:rsidR="00221D36">
        <w:rPr>
          <w:rFonts w:ascii="Arial" w:eastAsia="MS Mincho" w:hAnsi="Arial" w:cs="Arial"/>
          <w:color w:val="7B7B7B" w:themeColor="accent3" w:themeShade="BF"/>
          <w:sz w:val="22"/>
          <w:szCs w:val="22"/>
          <w:lang w:val="en-GB"/>
        </w:rPr>
        <w:t>debtor</w:t>
      </w:r>
      <w:r>
        <w:rPr>
          <w:rFonts w:ascii="Arial" w:eastAsia="MS Mincho" w:hAnsi="Arial" w:cs="Arial"/>
          <w:color w:val="7B7B7B" w:themeColor="accent3" w:themeShade="BF"/>
          <w:sz w:val="22"/>
          <w:szCs w:val="22"/>
          <w:lang w:val="en-GB"/>
        </w:rPr>
        <w:t xml:space="preserve"> has its COMI</w:t>
      </w:r>
      <w:r w:rsidR="00221D36">
        <w:rPr>
          <w:rFonts w:ascii="Arial" w:eastAsia="MS Mincho" w:hAnsi="Arial" w:cs="Arial"/>
          <w:color w:val="7B7B7B" w:themeColor="accent3" w:themeShade="BF"/>
          <w:sz w:val="22"/>
          <w:szCs w:val="22"/>
          <w:lang w:val="en-GB"/>
        </w:rPr>
        <w:t>, or secondary, when opened where the debtor has an establishment (article 3, paragraph 1 and 2).</w:t>
      </w:r>
    </w:p>
    <w:p w14:paraId="5E27A458" w14:textId="77777777" w:rsidR="003D6FE6" w:rsidRPr="005C3E0B"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T</w:t>
      </w:r>
      <w:r w:rsidRPr="005C3E0B">
        <w:rPr>
          <w:rFonts w:ascii="Arial" w:eastAsia="MS Mincho" w:hAnsi="Arial" w:cs="Arial"/>
          <w:color w:val="7B7B7B" w:themeColor="accent3" w:themeShade="BF"/>
          <w:sz w:val="22"/>
          <w:szCs w:val="22"/>
          <w:lang w:val="en-GB"/>
        </w:rPr>
        <w:t>he EIR 2000 didn’t provide a clear definition of COMI</w:t>
      </w:r>
      <w:r>
        <w:rPr>
          <w:rFonts w:ascii="Arial" w:eastAsia="MS Mincho" w:hAnsi="Arial" w:cs="Arial"/>
          <w:color w:val="7B7B7B" w:themeColor="accent3" w:themeShade="BF"/>
          <w:sz w:val="22"/>
          <w:szCs w:val="22"/>
          <w:lang w:val="en-GB"/>
        </w:rPr>
        <w:t xml:space="preserve"> as its successor, the EIR Recast, did;</w:t>
      </w:r>
      <w:r w:rsidRPr="005C3E0B">
        <w:rPr>
          <w:rFonts w:ascii="Arial" w:eastAsia="MS Mincho" w:hAnsi="Arial" w:cs="Arial"/>
          <w:color w:val="7B7B7B" w:themeColor="accent3" w:themeShade="BF"/>
          <w:sz w:val="22"/>
          <w:szCs w:val="22"/>
          <w:lang w:val="en-GB"/>
        </w:rPr>
        <w:t xml:space="preserve"> </w:t>
      </w:r>
      <w:r>
        <w:rPr>
          <w:rFonts w:ascii="Arial" w:eastAsia="MS Mincho" w:hAnsi="Arial" w:cs="Arial"/>
          <w:color w:val="7B7B7B" w:themeColor="accent3" w:themeShade="BF"/>
          <w:sz w:val="22"/>
          <w:szCs w:val="22"/>
          <w:lang w:val="en-GB"/>
        </w:rPr>
        <w:t>but the Recital 13 stipulates that the COMI “</w:t>
      </w:r>
      <w:r w:rsidRPr="009459AE">
        <w:rPr>
          <w:rFonts w:ascii="Arial" w:eastAsia="MS Mincho" w:hAnsi="Arial" w:cs="Arial"/>
          <w:i/>
          <w:iCs/>
          <w:color w:val="7B7B7B" w:themeColor="accent3" w:themeShade="BF"/>
          <w:sz w:val="22"/>
          <w:szCs w:val="22"/>
        </w:rPr>
        <w:t>should correspond to the place where the debtor conducts the administration of his interests on a regular basis and is therefore ascertainable by third parties</w:t>
      </w:r>
      <w:r>
        <w:rPr>
          <w:rFonts w:ascii="Arial" w:eastAsia="MS Mincho" w:hAnsi="Arial" w:cs="Arial"/>
          <w:color w:val="7B7B7B" w:themeColor="accent3" w:themeShade="BF"/>
          <w:sz w:val="22"/>
          <w:szCs w:val="22"/>
        </w:rPr>
        <w:t>”. As a result of this vague definition, t</w:t>
      </w:r>
      <w:r w:rsidRPr="005C3E0B">
        <w:rPr>
          <w:rFonts w:ascii="Arial" w:eastAsia="MS Mincho" w:hAnsi="Arial" w:cs="Arial"/>
          <w:color w:val="7B7B7B" w:themeColor="accent3" w:themeShade="BF"/>
          <w:sz w:val="22"/>
          <w:szCs w:val="22"/>
          <w:lang w:val="en-GB"/>
        </w:rPr>
        <w:t>he CJEU clarif</w:t>
      </w:r>
      <w:r>
        <w:rPr>
          <w:rFonts w:ascii="Arial" w:eastAsia="MS Mincho" w:hAnsi="Arial" w:cs="Arial"/>
          <w:color w:val="7B7B7B" w:themeColor="accent3" w:themeShade="BF"/>
          <w:sz w:val="22"/>
          <w:szCs w:val="22"/>
          <w:lang w:val="en-GB"/>
        </w:rPr>
        <w:t>ies</w:t>
      </w:r>
      <w:r w:rsidRPr="005C3E0B">
        <w:rPr>
          <w:rFonts w:ascii="Arial" w:eastAsia="MS Mincho" w:hAnsi="Arial" w:cs="Arial"/>
          <w:color w:val="7B7B7B" w:themeColor="accent3" w:themeShade="BF"/>
          <w:sz w:val="22"/>
          <w:szCs w:val="22"/>
          <w:lang w:val="en-GB"/>
        </w:rPr>
        <w:t xml:space="preserve"> in the judgment of the </w:t>
      </w:r>
      <w:proofErr w:type="spellStart"/>
      <w:r w:rsidRPr="005C3E0B">
        <w:rPr>
          <w:rFonts w:ascii="Arial" w:eastAsia="MS Mincho" w:hAnsi="Arial" w:cs="Arial"/>
          <w:color w:val="7B7B7B" w:themeColor="accent3" w:themeShade="BF"/>
          <w:sz w:val="22"/>
          <w:szCs w:val="22"/>
          <w:lang w:val="en-GB"/>
        </w:rPr>
        <w:t>Eurofood</w:t>
      </w:r>
      <w:proofErr w:type="spellEnd"/>
      <w:r w:rsidRPr="005C3E0B">
        <w:rPr>
          <w:rFonts w:ascii="Arial" w:eastAsia="MS Mincho" w:hAnsi="Arial" w:cs="Arial"/>
          <w:color w:val="7B7B7B" w:themeColor="accent3" w:themeShade="BF"/>
          <w:sz w:val="22"/>
          <w:szCs w:val="22"/>
          <w:lang w:val="en-GB"/>
        </w:rPr>
        <w:t xml:space="preserve"> IFSC Ltd </w:t>
      </w:r>
      <w:r>
        <w:rPr>
          <w:rFonts w:ascii="Arial" w:eastAsia="MS Mincho" w:hAnsi="Arial" w:cs="Arial"/>
          <w:color w:val="7B7B7B" w:themeColor="accent3" w:themeShade="BF"/>
          <w:sz w:val="22"/>
          <w:szCs w:val="22"/>
          <w:lang w:val="en-GB"/>
        </w:rPr>
        <w:t xml:space="preserve">case </w:t>
      </w:r>
      <w:r w:rsidRPr="005C3E0B">
        <w:rPr>
          <w:rFonts w:ascii="Arial" w:eastAsia="MS Mincho" w:hAnsi="Arial" w:cs="Arial"/>
          <w:color w:val="7B7B7B" w:themeColor="accent3" w:themeShade="BF"/>
          <w:sz w:val="22"/>
          <w:szCs w:val="22"/>
          <w:lang w:val="en-GB"/>
        </w:rPr>
        <w:t>(case C-341/04, ECLI:EU:C:2006:281 – May 2, 2006), that</w:t>
      </w:r>
      <w:r>
        <w:rPr>
          <w:rFonts w:ascii="Arial" w:eastAsia="MS Mincho" w:hAnsi="Arial" w:cs="Arial"/>
          <w:color w:val="7B7B7B" w:themeColor="accent3" w:themeShade="BF"/>
          <w:sz w:val="22"/>
          <w:szCs w:val="22"/>
          <w:lang w:val="en-GB"/>
        </w:rPr>
        <w:t xml:space="preserve"> the interpretation of</w:t>
      </w:r>
      <w:r w:rsidRPr="005C3E0B">
        <w:rPr>
          <w:rFonts w:ascii="Arial" w:eastAsia="MS Mincho" w:hAnsi="Arial" w:cs="Arial"/>
          <w:color w:val="7B7B7B" w:themeColor="accent3" w:themeShade="BF"/>
          <w:sz w:val="22"/>
          <w:szCs w:val="22"/>
          <w:lang w:val="en-GB"/>
        </w:rPr>
        <w:t xml:space="preserve"> COMI </w:t>
      </w:r>
      <w:r>
        <w:rPr>
          <w:rFonts w:ascii="Arial" w:eastAsia="MS Mincho" w:hAnsi="Arial" w:cs="Arial"/>
          <w:color w:val="7B7B7B" w:themeColor="accent3" w:themeShade="BF"/>
          <w:sz w:val="22"/>
          <w:szCs w:val="22"/>
          <w:lang w:val="en-GB"/>
        </w:rPr>
        <w:t xml:space="preserve">is independent from eventual definition provided by the domestic/national law of a specific case and </w:t>
      </w:r>
      <w:r w:rsidRPr="005C3E0B">
        <w:rPr>
          <w:rFonts w:ascii="Arial" w:eastAsia="MS Mincho" w:hAnsi="Arial" w:cs="Arial"/>
          <w:color w:val="7B7B7B" w:themeColor="accent3" w:themeShade="BF"/>
          <w:sz w:val="22"/>
          <w:szCs w:val="22"/>
          <w:lang w:val="en-GB"/>
        </w:rPr>
        <w:t>should be an objective place, which is ascertainable by third parties.</w:t>
      </w:r>
    </w:p>
    <w:p w14:paraId="31D89BB6" w14:textId="77777777" w:rsidR="003D6FE6" w:rsidRDefault="003D6FE6" w:rsidP="003D6FE6">
      <w:pPr>
        <w:ind w:firstLine="851"/>
        <w:jc w:val="both"/>
        <w:rPr>
          <w:rFonts w:ascii="Arial" w:eastAsia="MS Mincho" w:hAnsi="Arial" w:cs="Arial"/>
          <w:color w:val="7B7B7B" w:themeColor="accent3" w:themeShade="BF"/>
          <w:sz w:val="22"/>
          <w:szCs w:val="22"/>
          <w:lang w:val="en-GB"/>
        </w:rPr>
      </w:pPr>
      <w:r w:rsidRPr="005C3E0B">
        <w:rPr>
          <w:rFonts w:ascii="Arial" w:eastAsia="MS Mincho" w:hAnsi="Arial" w:cs="Arial"/>
          <w:color w:val="7B7B7B" w:themeColor="accent3" w:themeShade="BF"/>
          <w:sz w:val="22"/>
          <w:szCs w:val="22"/>
          <w:lang w:val="en-GB"/>
        </w:rPr>
        <w:t>In that case</w:t>
      </w:r>
      <w:r>
        <w:rPr>
          <w:rFonts w:ascii="Arial" w:eastAsia="MS Mincho" w:hAnsi="Arial" w:cs="Arial"/>
          <w:color w:val="7B7B7B" w:themeColor="accent3" w:themeShade="BF"/>
          <w:sz w:val="22"/>
          <w:szCs w:val="22"/>
          <w:lang w:val="en-GB"/>
        </w:rPr>
        <w:t>, one of</w:t>
      </w:r>
      <w:r w:rsidRPr="005C3E0B">
        <w:rPr>
          <w:rFonts w:ascii="Arial" w:eastAsia="MS Mincho" w:hAnsi="Arial" w:cs="Arial"/>
          <w:color w:val="7B7B7B" w:themeColor="accent3" w:themeShade="BF"/>
          <w:sz w:val="22"/>
          <w:szCs w:val="22"/>
          <w:lang w:val="en-GB"/>
        </w:rPr>
        <w:t xml:space="preserve"> the main discussions </w:t>
      </w:r>
      <w:r>
        <w:rPr>
          <w:rFonts w:ascii="Arial" w:eastAsia="MS Mincho" w:hAnsi="Arial" w:cs="Arial"/>
          <w:color w:val="7B7B7B" w:themeColor="accent3" w:themeShade="BF"/>
          <w:sz w:val="22"/>
          <w:szCs w:val="22"/>
          <w:lang w:val="en-GB"/>
        </w:rPr>
        <w:t>was</w:t>
      </w:r>
      <w:r w:rsidRPr="005C3E0B">
        <w:rPr>
          <w:rFonts w:ascii="Arial" w:eastAsia="MS Mincho" w:hAnsi="Arial" w:cs="Arial"/>
          <w:color w:val="7B7B7B" w:themeColor="accent3" w:themeShade="BF"/>
          <w:sz w:val="22"/>
          <w:szCs w:val="22"/>
          <w:lang w:val="en-GB"/>
        </w:rPr>
        <w:t xml:space="preserve"> </w:t>
      </w:r>
      <w:r>
        <w:rPr>
          <w:rFonts w:ascii="Arial" w:eastAsia="MS Mincho" w:hAnsi="Arial" w:cs="Arial"/>
          <w:color w:val="7B7B7B" w:themeColor="accent3" w:themeShade="BF"/>
          <w:sz w:val="22"/>
          <w:szCs w:val="22"/>
          <w:lang w:val="en-GB"/>
        </w:rPr>
        <w:t>if</w:t>
      </w:r>
      <w:r w:rsidRPr="005C3E0B">
        <w:rPr>
          <w:rFonts w:ascii="Arial" w:eastAsia="MS Mincho" w:hAnsi="Arial" w:cs="Arial"/>
          <w:color w:val="7B7B7B" w:themeColor="accent3" w:themeShade="BF"/>
          <w:sz w:val="22"/>
          <w:szCs w:val="22"/>
          <w:lang w:val="en-GB"/>
        </w:rPr>
        <w:t xml:space="preserve"> </w:t>
      </w:r>
      <w:proofErr w:type="spellStart"/>
      <w:r w:rsidRPr="005C3E0B">
        <w:rPr>
          <w:rFonts w:ascii="Arial" w:eastAsia="MS Mincho" w:hAnsi="Arial" w:cs="Arial"/>
          <w:color w:val="7B7B7B" w:themeColor="accent3" w:themeShade="BF"/>
          <w:sz w:val="22"/>
          <w:szCs w:val="22"/>
          <w:lang w:val="en-GB"/>
        </w:rPr>
        <w:t>Eurofood’s</w:t>
      </w:r>
      <w:proofErr w:type="spellEnd"/>
      <w:r w:rsidRPr="005C3E0B">
        <w:rPr>
          <w:rFonts w:ascii="Arial" w:eastAsia="MS Mincho" w:hAnsi="Arial" w:cs="Arial"/>
          <w:color w:val="7B7B7B" w:themeColor="accent3" w:themeShade="BF"/>
          <w:sz w:val="22"/>
          <w:szCs w:val="22"/>
          <w:lang w:val="en-GB"/>
        </w:rPr>
        <w:t xml:space="preserve"> COMI</w:t>
      </w:r>
      <w:r>
        <w:rPr>
          <w:rFonts w:ascii="Arial" w:eastAsia="MS Mincho" w:hAnsi="Arial" w:cs="Arial"/>
          <w:color w:val="7B7B7B" w:themeColor="accent3" w:themeShade="BF"/>
          <w:sz w:val="22"/>
          <w:szCs w:val="22"/>
          <w:lang w:val="en-GB"/>
        </w:rPr>
        <w:t xml:space="preserve"> should be considered in Ireland, the place where the company has its registered office, or in Italy, the place where the </w:t>
      </w:r>
      <w:proofErr w:type="spellStart"/>
      <w:r>
        <w:rPr>
          <w:rFonts w:ascii="Arial" w:eastAsia="MS Mincho" w:hAnsi="Arial" w:cs="Arial"/>
          <w:color w:val="7B7B7B" w:themeColor="accent3" w:themeShade="BF"/>
          <w:sz w:val="22"/>
          <w:szCs w:val="22"/>
          <w:lang w:val="en-GB"/>
        </w:rPr>
        <w:t>Eurofood</w:t>
      </w:r>
      <w:proofErr w:type="spellEnd"/>
      <w:r>
        <w:rPr>
          <w:rFonts w:ascii="Arial" w:eastAsia="MS Mincho" w:hAnsi="Arial" w:cs="Arial"/>
          <w:color w:val="7B7B7B" w:themeColor="accent3" w:themeShade="BF"/>
          <w:sz w:val="22"/>
          <w:szCs w:val="22"/>
          <w:lang w:val="en-GB"/>
        </w:rPr>
        <w:t xml:space="preserve"> parent company had opened a main insolvency proceeding.</w:t>
      </w:r>
    </w:p>
    <w:p w14:paraId="5DDA637E" w14:textId="77777777" w:rsidR="003D6FE6"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lastRenderedPageBreak/>
        <w:t>As mentioned above, t</w:t>
      </w:r>
      <w:r w:rsidRPr="005C3E0B">
        <w:rPr>
          <w:rFonts w:ascii="Arial" w:eastAsia="MS Mincho" w:hAnsi="Arial" w:cs="Arial"/>
          <w:color w:val="7B7B7B" w:themeColor="accent3" w:themeShade="BF"/>
          <w:sz w:val="22"/>
          <w:szCs w:val="22"/>
          <w:lang w:val="en-GB"/>
        </w:rPr>
        <w:t xml:space="preserve">he CJEU </w:t>
      </w:r>
      <w:r>
        <w:rPr>
          <w:rFonts w:ascii="Arial" w:eastAsia="MS Mincho" w:hAnsi="Arial" w:cs="Arial"/>
          <w:color w:val="7B7B7B" w:themeColor="accent3" w:themeShade="BF"/>
          <w:sz w:val="22"/>
          <w:szCs w:val="22"/>
          <w:lang w:val="en-GB"/>
        </w:rPr>
        <w:t xml:space="preserve">understood that according to EIR 2000, the COMI should be an objective place, </w:t>
      </w:r>
      <w:r w:rsidRPr="005C3E0B">
        <w:rPr>
          <w:rFonts w:ascii="Arial" w:eastAsia="MS Mincho" w:hAnsi="Arial" w:cs="Arial"/>
          <w:color w:val="7B7B7B" w:themeColor="accent3" w:themeShade="BF"/>
          <w:sz w:val="22"/>
          <w:szCs w:val="22"/>
          <w:lang w:val="en-GB"/>
        </w:rPr>
        <w:t>ascertainable by third parties</w:t>
      </w:r>
      <w:r>
        <w:rPr>
          <w:rFonts w:ascii="Arial" w:eastAsia="MS Mincho" w:hAnsi="Arial" w:cs="Arial"/>
          <w:color w:val="7B7B7B" w:themeColor="accent3" w:themeShade="BF"/>
          <w:sz w:val="22"/>
          <w:szCs w:val="22"/>
          <w:lang w:val="en-GB"/>
        </w:rPr>
        <w:t xml:space="preserve">. As </w:t>
      </w:r>
      <w:proofErr w:type="spellStart"/>
      <w:r>
        <w:rPr>
          <w:rFonts w:ascii="Arial" w:eastAsia="MS Mincho" w:hAnsi="Arial" w:cs="Arial"/>
          <w:color w:val="7B7B7B" w:themeColor="accent3" w:themeShade="BF"/>
          <w:sz w:val="22"/>
          <w:szCs w:val="22"/>
          <w:lang w:val="en-GB"/>
        </w:rPr>
        <w:t>Eurofood</w:t>
      </w:r>
      <w:proofErr w:type="spellEnd"/>
      <w:r>
        <w:rPr>
          <w:rFonts w:ascii="Arial" w:eastAsia="MS Mincho" w:hAnsi="Arial" w:cs="Arial"/>
          <w:color w:val="7B7B7B" w:themeColor="accent3" w:themeShade="BF"/>
          <w:sz w:val="22"/>
          <w:szCs w:val="22"/>
          <w:lang w:val="en-GB"/>
        </w:rPr>
        <w:t xml:space="preserve"> was a company registered and with operations in Ireland and the connection to Italy was just the parent company, the </w:t>
      </w:r>
      <w:r w:rsidRPr="005C3E0B">
        <w:rPr>
          <w:rFonts w:ascii="Arial" w:eastAsia="MS Mincho" w:hAnsi="Arial" w:cs="Arial"/>
          <w:color w:val="7B7B7B" w:themeColor="accent3" w:themeShade="BF"/>
          <w:sz w:val="22"/>
          <w:szCs w:val="22"/>
          <w:lang w:val="en-GB"/>
        </w:rPr>
        <w:t>CJEU</w:t>
      </w:r>
      <w:r>
        <w:rPr>
          <w:rFonts w:ascii="Arial" w:eastAsia="MS Mincho" w:hAnsi="Arial" w:cs="Arial"/>
          <w:color w:val="7B7B7B" w:themeColor="accent3" w:themeShade="BF"/>
          <w:sz w:val="22"/>
          <w:szCs w:val="22"/>
          <w:lang w:val="en-GB"/>
        </w:rPr>
        <w:t xml:space="preserve"> concluded that the Irish court was much more accessible by creditors than the Italian court.</w:t>
      </w:r>
    </w:p>
    <w:p w14:paraId="1E27B277" w14:textId="77777777" w:rsidR="003D6FE6"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Following this definition to this specific case, considering that Cardinal Home is a company registered in Ireland and has operated there for many years, it is possible to conclude that the Irish Court has international jurisdiction to open the mentioned proceeding.</w:t>
      </w:r>
    </w:p>
    <w:p w14:paraId="73F642F6" w14:textId="77777777" w:rsidR="003D6FE6" w:rsidRPr="005C3E0B" w:rsidRDefault="003D6FE6" w:rsidP="003D6FE6">
      <w:pPr>
        <w:ind w:firstLine="851"/>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On the other hand, if the Dublin High Court has the jurisdiction to open this proceeding is a matter to be decided by national law, as the EIR only establishes international jurisdiction (Recital 15). So, if the Irish domestic law grants that jurisdiction to Dublin High Court, the main proceeding could be opened there.</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5D9A04D0" w14:textId="77777777"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conclude if the EIR Recast is applicable, it is important to analyse all scopes of the regulation, i.e., the temporal, material, personal, and territorial.</w:t>
      </w:r>
    </w:p>
    <w:p w14:paraId="78B79798" w14:textId="58C209B8"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Concerning the temporal scope, the EIR Recast provides in article 92 all insolvency proceedings opened from 26/06/2017 in the Member State that adopted the regulation. Considering that this case is dated after 26/06/2017, the EIR Recast would be applicable.</w:t>
      </w:r>
    </w:p>
    <w:p w14:paraId="363FA1F9" w14:textId="77777777"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provides, on the other hand, that it applies to proceedings listed in Annex A (article 2 (4)). Since the examinership is in that annex, the EIR Recast would also be applied in the material scope.</w:t>
      </w:r>
    </w:p>
    <w:p w14:paraId="42359BC2" w14:textId="77777777"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territorial scope, the regulation applies when the centre of main interest of the debtor </w:t>
      </w:r>
      <w:proofErr w:type="gramStart"/>
      <w:r>
        <w:rPr>
          <w:rFonts w:ascii="Arial" w:hAnsi="Arial" w:cs="Arial"/>
          <w:color w:val="7B7B7B" w:themeColor="accent3" w:themeShade="BF"/>
          <w:sz w:val="22"/>
          <w:szCs w:val="22"/>
          <w:lang w:val="en-GB"/>
        </w:rPr>
        <w:t>is located in</w:t>
      </w:r>
      <w:proofErr w:type="gramEnd"/>
      <w:r>
        <w:rPr>
          <w:rFonts w:ascii="Arial" w:hAnsi="Arial" w:cs="Arial"/>
          <w:color w:val="7B7B7B" w:themeColor="accent3" w:themeShade="BF"/>
          <w:sz w:val="22"/>
          <w:szCs w:val="22"/>
          <w:lang w:val="en-GB"/>
        </w:rPr>
        <w:t xml:space="preserve"> any Member States of the European Union (except for Denmark), which includes Ireland (Recital 87), so in this aspect, the EIR Recast would also apply.</w:t>
      </w:r>
    </w:p>
    <w:p w14:paraId="1DA53433" w14:textId="77777777"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EIR Recast applies if the debtor is a “natural person or legal person, a trader or an individual” (Recital 9).</w:t>
      </w:r>
    </w:p>
    <w:p w14:paraId="65D05062" w14:textId="77777777" w:rsidR="00AC7B3D" w:rsidRDefault="00AC7B3D" w:rsidP="00AC7B3D">
      <w:pPr>
        <w:autoSpaceDE w:val="0"/>
        <w:autoSpaceDN w:val="0"/>
        <w:adjustRightInd w:val="0"/>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analysing all aspects of the EIR Recast we can conclude that its terms are applicable to the opening of examinership in Dublin </w:t>
      </w:r>
      <w:r w:rsidRPr="00AC7B3D">
        <w:rPr>
          <w:rFonts w:ascii="Arial" w:hAnsi="Arial" w:cs="Arial"/>
          <w:color w:val="7B7B7B" w:themeColor="accent3" w:themeShade="BF"/>
          <w:sz w:val="22"/>
          <w:szCs w:val="22"/>
          <w:lang w:val="en-GB"/>
        </w:rPr>
        <w:t>High</w:t>
      </w:r>
      <w:r>
        <w:rPr>
          <w:rFonts w:ascii="Arial" w:hAnsi="Arial" w:cs="Arial"/>
          <w:color w:val="7B7B7B" w:themeColor="accent3" w:themeShade="BF"/>
          <w:sz w:val="22"/>
          <w:szCs w:val="22"/>
          <w:lang w:val="en-GB"/>
        </w:rPr>
        <w:t xml:space="preserve"> Court.</w:t>
      </w:r>
    </w:p>
    <w:p w14:paraId="1B5E2F08" w14:textId="43AA2127" w:rsidR="002D3473" w:rsidRPr="008500BD" w:rsidRDefault="002D3473" w:rsidP="005508FB">
      <w:pPr>
        <w:autoSpaceDE w:val="0"/>
        <w:autoSpaceDN w:val="0"/>
        <w:adjustRightInd w:val="0"/>
        <w:ind w:firstLine="851"/>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D104F2B" w14:textId="77777777" w:rsidR="00AC7B3D" w:rsidRPr="008500BD" w:rsidRDefault="00AC7B3D" w:rsidP="00AC7B3D">
      <w:pPr>
        <w:jc w:val="both"/>
        <w:rPr>
          <w:rFonts w:ascii="Arial" w:hAnsi="Arial" w:cs="Arial"/>
          <w:sz w:val="22"/>
          <w:szCs w:val="22"/>
          <w:lang w:val="en-GB"/>
        </w:rPr>
      </w:pPr>
    </w:p>
    <w:p w14:paraId="75BA2BCA" w14:textId="77777777" w:rsidR="00AC7B3D" w:rsidRDefault="00AC7B3D" w:rsidP="00AC7B3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it is important to note that the opening of a main proceeding results in the application of the national law of the Member State where the proceeding was opened (article 7, EIR Recast) because the main proceeding has a universal scope, as understood by all debtor assets and affairs. The opening of a secondary proceeding limits the scope of the main proceeding, which won’t affect anymore of the debtor’s asset located inside of the Member State where the secondary proceeding was opened.</w:t>
      </w:r>
    </w:p>
    <w:p w14:paraId="022ED84D" w14:textId="77777777" w:rsidR="00AC7B3D" w:rsidRDefault="00AC7B3D" w:rsidP="00AC7B3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important to note that the EIR Recast ensures to foreign creditors the right to lodge its claims in the main or secondary proceeding (article 45 (1)), but as explained above, the applicable law, including the ranking of credits and preferences, is the </w:t>
      </w:r>
      <w:r w:rsidRPr="0009450A">
        <w:rPr>
          <w:rFonts w:ascii="Arial" w:hAnsi="Arial" w:cs="Arial"/>
          <w:i/>
          <w:iCs/>
          <w:color w:val="7B7B7B" w:themeColor="accent3" w:themeShade="BF"/>
          <w:sz w:val="22"/>
          <w:szCs w:val="22"/>
          <w:lang w:val="en-GB"/>
        </w:rPr>
        <w:t>lex concursus</w:t>
      </w:r>
      <w:r>
        <w:rPr>
          <w:rFonts w:ascii="Arial" w:hAnsi="Arial" w:cs="Arial"/>
          <w:color w:val="7B7B7B" w:themeColor="accent3" w:themeShade="BF"/>
          <w:sz w:val="22"/>
          <w:szCs w:val="22"/>
          <w:lang w:val="en-GB"/>
        </w:rPr>
        <w:t xml:space="preserve"> or the </w:t>
      </w:r>
      <w:r w:rsidRPr="0062155D">
        <w:rPr>
          <w:rFonts w:ascii="Arial" w:hAnsi="Arial" w:cs="Arial"/>
          <w:i/>
          <w:iCs/>
          <w:color w:val="7B7B7B" w:themeColor="accent3" w:themeShade="BF"/>
          <w:sz w:val="22"/>
          <w:szCs w:val="22"/>
          <w:lang w:val="en-GB"/>
        </w:rPr>
        <w:t xml:space="preserve">lex concursus </w:t>
      </w:r>
      <w:proofErr w:type="spellStart"/>
      <w:r w:rsidRPr="0062155D">
        <w:rPr>
          <w:rFonts w:ascii="Arial" w:hAnsi="Arial" w:cs="Arial"/>
          <w:i/>
          <w:iCs/>
          <w:color w:val="7B7B7B" w:themeColor="accent3" w:themeShade="BF"/>
          <w:sz w:val="22"/>
          <w:szCs w:val="22"/>
          <w:lang w:val="en-GB"/>
        </w:rPr>
        <w:t>sencundarii</w:t>
      </w:r>
      <w:proofErr w:type="spellEnd"/>
      <w:r>
        <w:rPr>
          <w:rFonts w:ascii="Arial" w:hAnsi="Arial" w:cs="Arial"/>
          <w:color w:val="7B7B7B" w:themeColor="accent3" w:themeShade="BF"/>
          <w:sz w:val="22"/>
          <w:szCs w:val="22"/>
          <w:lang w:val="en-GB"/>
        </w:rPr>
        <w:t xml:space="preserve">. </w:t>
      </w:r>
    </w:p>
    <w:p w14:paraId="5A2CB572" w14:textId="77777777" w:rsidR="00AC7B3D" w:rsidRDefault="00AC7B3D" w:rsidP="00AC7B3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secondary insolvency proceeding, which is the one opened after the opening of the main proceeding (article 3 (3), EIR Recast), has the goal </w:t>
      </w:r>
      <w:r w:rsidRPr="00907298">
        <w:rPr>
          <w:rFonts w:ascii="Arial" w:hAnsi="Arial" w:cs="Arial"/>
          <w:color w:val="7B7B7B" w:themeColor="accent3" w:themeShade="BF"/>
          <w:sz w:val="22"/>
          <w:szCs w:val="22"/>
          <w:lang w:val="en-GB"/>
        </w:rPr>
        <w:t>to protect</w:t>
      </w:r>
      <w:r>
        <w:rPr>
          <w:rFonts w:ascii="Arial" w:hAnsi="Arial" w:cs="Arial"/>
          <w:color w:val="7B7B7B" w:themeColor="accent3" w:themeShade="BF"/>
          <w:sz w:val="22"/>
          <w:szCs w:val="22"/>
          <w:lang w:val="en-GB"/>
        </w:rPr>
        <w:t xml:space="preserve"> local interests, especially local creditors’ rights and it can be opened where the debtor has an establishment (article 3 (2), EIR Recast) which, according to article 2 (10), means a place where a debtor had, until 3-months before the opening of main proceeding, “</w:t>
      </w:r>
      <w:r w:rsidRPr="00AE488F">
        <w:rPr>
          <w:rFonts w:ascii="Arial" w:hAnsi="Arial" w:cs="Arial"/>
          <w:i/>
          <w:iCs/>
          <w:color w:val="7B7B7B" w:themeColor="accent3" w:themeShade="BF"/>
          <w:sz w:val="22"/>
          <w:szCs w:val="22"/>
          <w:lang w:val="en-GB"/>
        </w:rPr>
        <w:t>a non-transitory economic activity with human means and assets</w:t>
      </w:r>
      <w:r>
        <w:rPr>
          <w:rFonts w:ascii="Arial" w:hAnsi="Arial" w:cs="Arial"/>
          <w:color w:val="7B7B7B" w:themeColor="accent3" w:themeShade="BF"/>
          <w:sz w:val="22"/>
          <w:szCs w:val="22"/>
          <w:lang w:val="en-GB"/>
        </w:rPr>
        <w:t>”.</w:t>
      </w:r>
    </w:p>
    <w:p w14:paraId="0039CE75" w14:textId="77777777" w:rsidR="00AC7B3D" w:rsidRDefault="00AC7B3D" w:rsidP="00AC7B3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case in the Cardinal Home study operates in Italy and has a warehouse in Milan, so it’s possible to conclude that the company has an establishment in Italy. If the proceeding opened in Dublin is considered a main proceeding and the Italian creditor wants to protect his ranking rights under the Italian law, it is possible to open a secondary insolvency proceeding under the Italian Court.</w:t>
      </w:r>
    </w:p>
    <w:p w14:paraId="77A43607" w14:textId="3766C7EB" w:rsidR="00A00FFD" w:rsidRDefault="00A00FFD" w:rsidP="00AE488F">
      <w:pPr>
        <w:ind w:firstLine="709"/>
        <w:jc w:val="both"/>
        <w:rPr>
          <w:rFonts w:ascii="Arial" w:hAnsi="Arial" w:cs="Arial"/>
          <w:color w:val="7B7B7B" w:themeColor="accent3" w:themeShade="BF"/>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25D1" w14:textId="77777777" w:rsidR="005A0ED4" w:rsidRDefault="005A0ED4" w:rsidP="00241B44">
      <w:r>
        <w:separator/>
      </w:r>
    </w:p>
  </w:endnote>
  <w:endnote w:type="continuationSeparator" w:id="0">
    <w:p w14:paraId="6812457B" w14:textId="77777777" w:rsidR="005A0ED4" w:rsidRDefault="005A0E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00BA543A">
          <w:rPr>
            <w:rStyle w:val="Nmerodepgina"/>
            <w:rFonts w:ascii="Arial" w:hAnsi="Arial" w:cs="Arial"/>
            <w:noProof/>
            <w:sz w:val="18"/>
            <w:szCs w:val="18"/>
          </w:rPr>
          <w:t>9</w:t>
        </w:r>
        <w:r w:rsidRPr="009B4976">
          <w:rPr>
            <w:rStyle w:val="Nmerodepgina"/>
            <w:rFonts w:ascii="Arial" w:hAnsi="Arial" w:cs="Arial"/>
            <w:sz w:val="18"/>
            <w:szCs w:val="18"/>
          </w:rPr>
          <w:fldChar w:fldCharType="end"/>
        </w:r>
      </w:p>
    </w:sdtContent>
  </w:sdt>
  <w:p w14:paraId="30F05E79" w14:textId="2482D10F" w:rsidR="00D509A5" w:rsidRPr="009B4976" w:rsidRDefault="005136D1" w:rsidP="009B4976">
    <w:pPr>
      <w:pStyle w:val="Rodap"/>
      <w:ind w:right="360"/>
      <w:rPr>
        <w:rFonts w:ascii="Arial" w:hAnsi="Arial" w:cs="Arial"/>
        <w:sz w:val="18"/>
        <w:szCs w:val="18"/>
        <w:lang w:val="en-GB"/>
      </w:rPr>
    </w:pPr>
    <w:r>
      <w:rPr>
        <w:rFonts w:ascii="Arial" w:hAnsi="Arial" w:cs="Arial"/>
        <w:sz w:val="18"/>
        <w:szCs w:val="18"/>
        <w:lang w:val="en-GB"/>
      </w:rPr>
      <w:t>202122-561</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C753" w14:textId="77777777" w:rsidR="005A0ED4" w:rsidRDefault="005A0ED4" w:rsidP="00241B44">
      <w:r>
        <w:separator/>
      </w:r>
    </w:p>
  </w:footnote>
  <w:footnote w:type="continuationSeparator" w:id="0">
    <w:p w14:paraId="64619979" w14:textId="77777777" w:rsidR="005A0ED4" w:rsidRDefault="005A0E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5490868">
    <w:abstractNumId w:val="1"/>
  </w:num>
  <w:num w:numId="2" w16cid:durableId="550002302">
    <w:abstractNumId w:val="8"/>
  </w:num>
  <w:num w:numId="3" w16cid:durableId="334722650">
    <w:abstractNumId w:val="3"/>
  </w:num>
  <w:num w:numId="4" w16cid:durableId="1212158605">
    <w:abstractNumId w:val="10"/>
  </w:num>
  <w:num w:numId="5" w16cid:durableId="855390777">
    <w:abstractNumId w:val="7"/>
  </w:num>
  <w:num w:numId="6" w16cid:durableId="10112452">
    <w:abstractNumId w:val="9"/>
  </w:num>
  <w:num w:numId="7" w16cid:durableId="108939464">
    <w:abstractNumId w:val="0"/>
  </w:num>
  <w:num w:numId="8" w16cid:durableId="942882759">
    <w:abstractNumId w:val="5"/>
  </w:num>
  <w:num w:numId="9" w16cid:durableId="104736632">
    <w:abstractNumId w:val="4"/>
  </w:num>
  <w:num w:numId="10" w16cid:durableId="1440223573">
    <w:abstractNumId w:val="2"/>
  </w:num>
  <w:num w:numId="11" w16cid:durableId="82412270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65990"/>
    <w:rsid w:val="000721EC"/>
    <w:rsid w:val="00082609"/>
    <w:rsid w:val="000851CC"/>
    <w:rsid w:val="00087CD6"/>
    <w:rsid w:val="00091C1C"/>
    <w:rsid w:val="00093BE8"/>
    <w:rsid w:val="0009450A"/>
    <w:rsid w:val="00094526"/>
    <w:rsid w:val="000A68ED"/>
    <w:rsid w:val="000A7BF9"/>
    <w:rsid w:val="000B5FF1"/>
    <w:rsid w:val="000B609F"/>
    <w:rsid w:val="000D55A8"/>
    <w:rsid w:val="000E3027"/>
    <w:rsid w:val="000E4841"/>
    <w:rsid w:val="000F1677"/>
    <w:rsid w:val="000F3D6C"/>
    <w:rsid w:val="000F7167"/>
    <w:rsid w:val="000F7EE6"/>
    <w:rsid w:val="00101707"/>
    <w:rsid w:val="00113E29"/>
    <w:rsid w:val="0011473D"/>
    <w:rsid w:val="0011548B"/>
    <w:rsid w:val="00115C85"/>
    <w:rsid w:val="00123855"/>
    <w:rsid w:val="00126A4D"/>
    <w:rsid w:val="001335F4"/>
    <w:rsid w:val="0014171F"/>
    <w:rsid w:val="0014622C"/>
    <w:rsid w:val="00152348"/>
    <w:rsid w:val="0015456D"/>
    <w:rsid w:val="001546AF"/>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14B3"/>
    <w:rsid w:val="001D4862"/>
    <w:rsid w:val="001D6E1C"/>
    <w:rsid w:val="001E25B9"/>
    <w:rsid w:val="001E49E0"/>
    <w:rsid w:val="001E5F8A"/>
    <w:rsid w:val="001E7B5A"/>
    <w:rsid w:val="001F7412"/>
    <w:rsid w:val="00202DFE"/>
    <w:rsid w:val="00203720"/>
    <w:rsid w:val="0020725B"/>
    <w:rsid w:val="002110F1"/>
    <w:rsid w:val="00221D36"/>
    <w:rsid w:val="00222FB5"/>
    <w:rsid w:val="002345F8"/>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24CE"/>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1D23"/>
    <w:rsid w:val="00364836"/>
    <w:rsid w:val="003650E5"/>
    <w:rsid w:val="0036565C"/>
    <w:rsid w:val="0036625E"/>
    <w:rsid w:val="00366415"/>
    <w:rsid w:val="00370B34"/>
    <w:rsid w:val="0037465A"/>
    <w:rsid w:val="00375D11"/>
    <w:rsid w:val="003772C5"/>
    <w:rsid w:val="00382C98"/>
    <w:rsid w:val="0038533C"/>
    <w:rsid w:val="00385844"/>
    <w:rsid w:val="00386568"/>
    <w:rsid w:val="00390B57"/>
    <w:rsid w:val="003948D5"/>
    <w:rsid w:val="00396821"/>
    <w:rsid w:val="00397D3A"/>
    <w:rsid w:val="003A051E"/>
    <w:rsid w:val="003B0A27"/>
    <w:rsid w:val="003B170F"/>
    <w:rsid w:val="003B3C5F"/>
    <w:rsid w:val="003C4342"/>
    <w:rsid w:val="003C4471"/>
    <w:rsid w:val="003C4BCB"/>
    <w:rsid w:val="003C636E"/>
    <w:rsid w:val="003D0A6D"/>
    <w:rsid w:val="003D1974"/>
    <w:rsid w:val="003D6FE6"/>
    <w:rsid w:val="003D7DCF"/>
    <w:rsid w:val="003E0B16"/>
    <w:rsid w:val="003E4DB0"/>
    <w:rsid w:val="003E67D1"/>
    <w:rsid w:val="0040204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36D1"/>
    <w:rsid w:val="005177FE"/>
    <w:rsid w:val="0052263B"/>
    <w:rsid w:val="00524728"/>
    <w:rsid w:val="00526904"/>
    <w:rsid w:val="005331CA"/>
    <w:rsid w:val="00537970"/>
    <w:rsid w:val="00540E3A"/>
    <w:rsid w:val="00544127"/>
    <w:rsid w:val="00544F6E"/>
    <w:rsid w:val="005463A9"/>
    <w:rsid w:val="005508FB"/>
    <w:rsid w:val="00553EB2"/>
    <w:rsid w:val="00560534"/>
    <w:rsid w:val="0056391B"/>
    <w:rsid w:val="005650E2"/>
    <w:rsid w:val="00567AD7"/>
    <w:rsid w:val="00575B2D"/>
    <w:rsid w:val="005833D0"/>
    <w:rsid w:val="005846F3"/>
    <w:rsid w:val="0058622F"/>
    <w:rsid w:val="00591280"/>
    <w:rsid w:val="00592F82"/>
    <w:rsid w:val="005A0CCA"/>
    <w:rsid w:val="005A0ED4"/>
    <w:rsid w:val="005A726D"/>
    <w:rsid w:val="005B67AC"/>
    <w:rsid w:val="005B6961"/>
    <w:rsid w:val="005B79F4"/>
    <w:rsid w:val="005C3E0B"/>
    <w:rsid w:val="005C65F4"/>
    <w:rsid w:val="005D2CD6"/>
    <w:rsid w:val="005D43E0"/>
    <w:rsid w:val="005D58A3"/>
    <w:rsid w:val="005E1B79"/>
    <w:rsid w:val="005E45F5"/>
    <w:rsid w:val="005E7008"/>
    <w:rsid w:val="005E784A"/>
    <w:rsid w:val="005F026D"/>
    <w:rsid w:val="005F2AEA"/>
    <w:rsid w:val="005F2D0B"/>
    <w:rsid w:val="005F3D4E"/>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48A"/>
    <w:rsid w:val="006639DB"/>
    <w:rsid w:val="00665B68"/>
    <w:rsid w:val="006661EF"/>
    <w:rsid w:val="00673F2F"/>
    <w:rsid w:val="00677AEB"/>
    <w:rsid w:val="00680EF2"/>
    <w:rsid w:val="00687A1D"/>
    <w:rsid w:val="00696ED8"/>
    <w:rsid w:val="00697EA1"/>
    <w:rsid w:val="006A2646"/>
    <w:rsid w:val="006A6530"/>
    <w:rsid w:val="006B435A"/>
    <w:rsid w:val="006B4C64"/>
    <w:rsid w:val="006C5D28"/>
    <w:rsid w:val="006D217A"/>
    <w:rsid w:val="006D4DC9"/>
    <w:rsid w:val="006D6BD5"/>
    <w:rsid w:val="006E481A"/>
    <w:rsid w:val="006E5287"/>
    <w:rsid w:val="006E5298"/>
    <w:rsid w:val="006F0106"/>
    <w:rsid w:val="006F2B12"/>
    <w:rsid w:val="006F4A78"/>
    <w:rsid w:val="006F734A"/>
    <w:rsid w:val="00700D83"/>
    <w:rsid w:val="00700FD1"/>
    <w:rsid w:val="00704852"/>
    <w:rsid w:val="007074E9"/>
    <w:rsid w:val="00712AD2"/>
    <w:rsid w:val="00713DA4"/>
    <w:rsid w:val="00714BF1"/>
    <w:rsid w:val="00721383"/>
    <w:rsid w:val="0073158B"/>
    <w:rsid w:val="00732599"/>
    <w:rsid w:val="007333CC"/>
    <w:rsid w:val="0073399A"/>
    <w:rsid w:val="00742938"/>
    <w:rsid w:val="00743905"/>
    <w:rsid w:val="007603F5"/>
    <w:rsid w:val="00764DB0"/>
    <w:rsid w:val="0076764D"/>
    <w:rsid w:val="0077498C"/>
    <w:rsid w:val="007772BD"/>
    <w:rsid w:val="007809BC"/>
    <w:rsid w:val="00782EE1"/>
    <w:rsid w:val="00784128"/>
    <w:rsid w:val="00784D1A"/>
    <w:rsid w:val="00793173"/>
    <w:rsid w:val="007A107A"/>
    <w:rsid w:val="007A2A33"/>
    <w:rsid w:val="007A6B8D"/>
    <w:rsid w:val="007A7B20"/>
    <w:rsid w:val="007B6F13"/>
    <w:rsid w:val="007B7856"/>
    <w:rsid w:val="007C1FCC"/>
    <w:rsid w:val="007C2B36"/>
    <w:rsid w:val="007C50AA"/>
    <w:rsid w:val="007C5DB5"/>
    <w:rsid w:val="007C6201"/>
    <w:rsid w:val="007D6041"/>
    <w:rsid w:val="007D7C92"/>
    <w:rsid w:val="007E1154"/>
    <w:rsid w:val="007E3241"/>
    <w:rsid w:val="007E39B3"/>
    <w:rsid w:val="007E44C4"/>
    <w:rsid w:val="007E6BA4"/>
    <w:rsid w:val="007F41F8"/>
    <w:rsid w:val="007F6A57"/>
    <w:rsid w:val="00800B1B"/>
    <w:rsid w:val="00800B76"/>
    <w:rsid w:val="008017F0"/>
    <w:rsid w:val="0080454E"/>
    <w:rsid w:val="00804C32"/>
    <w:rsid w:val="00804DA6"/>
    <w:rsid w:val="00806302"/>
    <w:rsid w:val="00807119"/>
    <w:rsid w:val="008107E6"/>
    <w:rsid w:val="0081737F"/>
    <w:rsid w:val="0082483F"/>
    <w:rsid w:val="00825ABC"/>
    <w:rsid w:val="008279C0"/>
    <w:rsid w:val="00841051"/>
    <w:rsid w:val="00844FBF"/>
    <w:rsid w:val="008500BD"/>
    <w:rsid w:val="00860723"/>
    <w:rsid w:val="00867E36"/>
    <w:rsid w:val="008723F3"/>
    <w:rsid w:val="00874240"/>
    <w:rsid w:val="00881DE6"/>
    <w:rsid w:val="008837A6"/>
    <w:rsid w:val="0089145D"/>
    <w:rsid w:val="00894C1D"/>
    <w:rsid w:val="00897A78"/>
    <w:rsid w:val="008A4DF2"/>
    <w:rsid w:val="008A6CFE"/>
    <w:rsid w:val="008B3394"/>
    <w:rsid w:val="008B5333"/>
    <w:rsid w:val="008B6223"/>
    <w:rsid w:val="008C126D"/>
    <w:rsid w:val="008C2D20"/>
    <w:rsid w:val="008C33B5"/>
    <w:rsid w:val="008C4AC6"/>
    <w:rsid w:val="008C66E0"/>
    <w:rsid w:val="008D62F7"/>
    <w:rsid w:val="008E0EC8"/>
    <w:rsid w:val="008E3339"/>
    <w:rsid w:val="008E7371"/>
    <w:rsid w:val="008F20FC"/>
    <w:rsid w:val="008F5FFE"/>
    <w:rsid w:val="00905A43"/>
    <w:rsid w:val="00912C79"/>
    <w:rsid w:val="00914A23"/>
    <w:rsid w:val="0092555A"/>
    <w:rsid w:val="00935A21"/>
    <w:rsid w:val="009372C8"/>
    <w:rsid w:val="00942123"/>
    <w:rsid w:val="009459AE"/>
    <w:rsid w:val="0095207B"/>
    <w:rsid w:val="0095773E"/>
    <w:rsid w:val="00962045"/>
    <w:rsid w:val="00967219"/>
    <w:rsid w:val="00971896"/>
    <w:rsid w:val="00975D2F"/>
    <w:rsid w:val="00980E61"/>
    <w:rsid w:val="00991428"/>
    <w:rsid w:val="00992676"/>
    <w:rsid w:val="009954B2"/>
    <w:rsid w:val="00996691"/>
    <w:rsid w:val="0099694E"/>
    <w:rsid w:val="009A09A0"/>
    <w:rsid w:val="009A55AF"/>
    <w:rsid w:val="009A79BC"/>
    <w:rsid w:val="009B0723"/>
    <w:rsid w:val="009B07AD"/>
    <w:rsid w:val="009B0883"/>
    <w:rsid w:val="009B15E2"/>
    <w:rsid w:val="009B4976"/>
    <w:rsid w:val="009B633D"/>
    <w:rsid w:val="009C0B8E"/>
    <w:rsid w:val="009C1BC8"/>
    <w:rsid w:val="009C2442"/>
    <w:rsid w:val="009C5E52"/>
    <w:rsid w:val="009D0811"/>
    <w:rsid w:val="009D0EE1"/>
    <w:rsid w:val="009D63E1"/>
    <w:rsid w:val="009E2AEB"/>
    <w:rsid w:val="009E2E27"/>
    <w:rsid w:val="009E39B2"/>
    <w:rsid w:val="009E4DE3"/>
    <w:rsid w:val="009E5322"/>
    <w:rsid w:val="009F275E"/>
    <w:rsid w:val="009F3D77"/>
    <w:rsid w:val="00A00FFD"/>
    <w:rsid w:val="00A02FD3"/>
    <w:rsid w:val="00A047EE"/>
    <w:rsid w:val="00A11E80"/>
    <w:rsid w:val="00A17858"/>
    <w:rsid w:val="00A2274A"/>
    <w:rsid w:val="00A235B7"/>
    <w:rsid w:val="00A27A7A"/>
    <w:rsid w:val="00A36B40"/>
    <w:rsid w:val="00A3743E"/>
    <w:rsid w:val="00A407EF"/>
    <w:rsid w:val="00A43CB5"/>
    <w:rsid w:val="00A46B4C"/>
    <w:rsid w:val="00A5117B"/>
    <w:rsid w:val="00A529FF"/>
    <w:rsid w:val="00A54CB5"/>
    <w:rsid w:val="00A60074"/>
    <w:rsid w:val="00A620A6"/>
    <w:rsid w:val="00A62FDA"/>
    <w:rsid w:val="00A6627C"/>
    <w:rsid w:val="00A71019"/>
    <w:rsid w:val="00A7353E"/>
    <w:rsid w:val="00A75F35"/>
    <w:rsid w:val="00A81029"/>
    <w:rsid w:val="00A90F10"/>
    <w:rsid w:val="00A96489"/>
    <w:rsid w:val="00AB685C"/>
    <w:rsid w:val="00AB6C2D"/>
    <w:rsid w:val="00AB6E58"/>
    <w:rsid w:val="00AC08F7"/>
    <w:rsid w:val="00AC3839"/>
    <w:rsid w:val="00AC7082"/>
    <w:rsid w:val="00AC7B3D"/>
    <w:rsid w:val="00AD151E"/>
    <w:rsid w:val="00AD2931"/>
    <w:rsid w:val="00AD513F"/>
    <w:rsid w:val="00AD6870"/>
    <w:rsid w:val="00AE2316"/>
    <w:rsid w:val="00AE488F"/>
    <w:rsid w:val="00AE74BA"/>
    <w:rsid w:val="00AF0CB5"/>
    <w:rsid w:val="00AF228E"/>
    <w:rsid w:val="00B016A8"/>
    <w:rsid w:val="00B12499"/>
    <w:rsid w:val="00B12EF7"/>
    <w:rsid w:val="00B14819"/>
    <w:rsid w:val="00B15E2F"/>
    <w:rsid w:val="00B17AA9"/>
    <w:rsid w:val="00B227CF"/>
    <w:rsid w:val="00B24580"/>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B6E48"/>
    <w:rsid w:val="00BC37C7"/>
    <w:rsid w:val="00BD6445"/>
    <w:rsid w:val="00BD73DA"/>
    <w:rsid w:val="00BE4FF3"/>
    <w:rsid w:val="00BF50F7"/>
    <w:rsid w:val="00C00B20"/>
    <w:rsid w:val="00C02F29"/>
    <w:rsid w:val="00C11E39"/>
    <w:rsid w:val="00C20AFE"/>
    <w:rsid w:val="00C22A25"/>
    <w:rsid w:val="00C35671"/>
    <w:rsid w:val="00C35B77"/>
    <w:rsid w:val="00C376EB"/>
    <w:rsid w:val="00C439AA"/>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1B95"/>
    <w:rsid w:val="00CB11C1"/>
    <w:rsid w:val="00CB1983"/>
    <w:rsid w:val="00CB2CBB"/>
    <w:rsid w:val="00CB7CAC"/>
    <w:rsid w:val="00CC0884"/>
    <w:rsid w:val="00CC5335"/>
    <w:rsid w:val="00CC5BA4"/>
    <w:rsid w:val="00CD4998"/>
    <w:rsid w:val="00CD56B6"/>
    <w:rsid w:val="00CE0503"/>
    <w:rsid w:val="00CE1035"/>
    <w:rsid w:val="00CE6E50"/>
    <w:rsid w:val="00CF2819"/>
    <w:rsid w:val="00CF4F9D"/>
    <w:rsid w:val="00CF70DC"/>
    <w:rsid w:val="00D1188B"/>
    <w:rsid w:val="00D148DC"/>
    <w:rsid w:val="00D17FDC"/>
    <w:rsid w:val="00D21F62"/>
    <w:rsid w:val="00D26E26"/>
    <w:rsid w:val="00D4149E"/>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5A1B"/>
    <w:rsid w:val="00DF669C"/>
    <w:rsid w:val="00DF75F8"/>
    <w:rsid w:val="00DF7A3A"/>
    <w:rsid w:val="00E00C00"/>
    <w:rsid w:val="00E03AF0"/>
    <w:rsid w:val="00E07C5A"/>
    <w:rsid w:val="00E15BA9"/>
    <w:rsid w:val="00E26E19"/>
    <w:rsid w:val="00E30C8A"/>
    <w:rsid w:val="00E31DF3"/>
    <w:rsid w:val="00E32885"/>
    <w:rsid w:val="00E378D2"/>
    <w:rsid w:val="00E450A4"/>
    <w:rsid w:val="00E506BE"/>
    <w:rsid w:val="00E55547"/>
    <w:rsid w:val="00E604A1"/>
    <w:rsid w:val="00E6302B"/>
    <w:rsid w:val="00E63D5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D6F9D"/>
    <w:rsid w:val="00EE4971"/>
    <w:rsid w:val="00EF090E"/>
    <w:rsid w:val="00F033DA"/>
    <w:rsid w:val="00F11512"/>
    <w:rsid w:val="00F13FB1"/>
    <w:rsid w:val="00F2607B"/>
    <w:rsid w:val="00F27CD8"/>
    <w:rsid w:val="00F30351"/>
    <w:rsid w:val="00F3323E"/>
    <w:rsid w:val="00F341F4"/>
    <w:rsid w:val="00F34F9D"/>
    <w:rsid w:val="00F35CCE"/>
    <w:rsid w:val="00F40CAB"/>
    <w:rsid w:val="00F43D21"/>
    <w:rsid w:val="00F5524B"/>
    <w:rsid w:val="00F60538"/>
    <w:rsid w:val="00F61DD2"/>
    <w:rsid w:val="00F62618"/>
    <w:rsid w:val="00F66AFF"/>
    <w:rsid w:val="00F71433"/>
    <w:rsid w:val="00F76CD4"/>
    <w:rsid w:val="00F814B4"/>
    <w:rsid w:val="00F83464"/>
    <w:rsid w:val="00F835A6"/>
    <w:rsid w:val="00F93BE7"/>
    <w:rsid w:val="00F94E40"/>
    <w:rsid w:val="00F97C5B"/>
    <w:rsid w:val="00FA3D50"/>
    <w:rsid w:val="00FB21D4"/>
    <w:rsid w:val="00FB7FBD"/>
    <w:rsid w:val="00FC374A"/>
    <w:rsid w:val="00FC3FC3"/>
    <w:rsid w:val="00FC48D8"/>
    <w:rsid w:val="00FC7B47"/>
    <w:rsid w:val="00FD035C"/>
    <w:rsid w:val="00FD1A35"/>
    <w:rsid w:val="00FD36C5"/>
    <w:rsid w:val="00FD6310"/>
    <w:rsid w:val="00FD7C7B"/>
    <w:rsid w:val="00FE1D12"/>
    <w:rsid w:val="00FE2122"/>
    <w:rsid w:val="00FE2A86"/>
    <w:rsid w:val="00FE2DE2"/>
    <w:rsid w:val="00FE6B59"/>
    <w:rsid w:val="00FF0A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5016</Words>
  <Characters>27092</Characters>
  <Application>Microsoft Office Word</Application>
  <DocSecurity>4</DocSecurity>
  <Lines>225</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Marcelly Verdam Farias</cp:lastModifiedBy>
  <cp:revision>2</cp:revision>
  <cp:lastPrinted>2019-08-27T05:42:00Z</cp:lastPrinted>
  <dcterms:created xsi:type="dcterms:W3CDTF">2022-07-27T14:19:00Z</dcterms:created>
  <dcterms:modified xsi:type="dcterms:W3CDTF">2022-07-27T14:19:00Z</dcterms:modified>
</cp:coreProperties>
</file>