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BA5602">
        <w:rPr>
          <w:rFonts w:ascii="Arial" w:eastAsia="MS Mincho" w:hAnsi="Arial" w:cs="Arial"/>
          <w:sz w:val="22"/>
          <w:szCs w:val="22"/>
          <w:highlight w:val="yellow"/>
          <w:lang w:val="en-GB"/>
        </w:rPr>
        <w:t>On the date of the order appointing the liquidator</w:t>
      </w:r>
      <w:r w:rsidRPr="008065CE">
        <w:rPr>
          <w:rFonts w:ascii="Arial" w:eastAsia="MS Mincho" w:hAnsi="Arial" w:cs="Arial"/>
          <w:sz w:val="22"/>
          <w:szCs w:val="22"/>
          <w:lang w:val="en-GB"/>
        </w:rPr>
        <w:t>.</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BA5602">
        <w:rPr>
          <w:rFonts w:ascii="Arial" w:hAnsi="Arial" w:cs="Arial"/>
          <w:sz w:val="22"/>
          <w:szCs w:val="22"/>
          <w:highlight w:val="yellow"/>
          <w:lang w:val="en-GB"/>
        </w:rPr>
        <w:t>Within 21 days of the service of the statutory demand</w:t>
      </w:r>
      <w:r>
        <w:rPr>
          <w:rFonts w:ascii="Arial" w:hAnsi="Arial" w:cs="Arial"/>
          <w:sz w:val="22"/>
          <w:szCs w:val="22"/>
          <w:lang w:val="en-GB"/>
        </w:rPr>
        <w:t>.</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sidRPr="00BA5602">
        <w:rPr>
          <w:rFonts w:ascii="Arial" w:hAnsi="Arial" w:cs="Arial"/>
          <w:sz w:val="22"/>
          <w:szCs w:val="22"/>
          <w:highlight w:val="yellow"/>
          <w:lang w:val="en-GB"/>
        </w:rPr>
        <w:t>A receive</w:t>
      </w:r>
      <w:r>
        <w:rPr>
          <w:rFonts w:ascii="Arial" w:hAnsi="Arial" w:cs="Arial"/>
          <w:sz w:val="22"/>
          <w:szCs w:val="22"/>
          <w:lang w:val="en-GB"/>
        </w:rPr>
        <w:t>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BA5602">
        <w:rPr>
          <w:rFonts w:ascii="Arial" w:hAnsi="Arial" w:cs="Arial"/>
          <w:sz w:val="22"/>
          <w:szCs w:val="22"/>
          <w:highlight w:val="yellow"/>
          <w:lang w:val="en-GB"/>
        </w:rPr>
        <w:t>The creditors, sureties, persons claiming an interest in the assets of the company and the company</w:t>
      </w:r>
      <w:r w:rsidRPr="008065CE">
        <w:rPr>
          <w:rFonts w:ascii="Arial" w:hAnsi="Arial" w:cs="Arial"/>
          <w:sz w:val="22"/>
          <w:szCs w:val="22"/>
          <w:lang w:val="en-GB"/>
        </w:rPr>
        <w:t>.</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BA5602">
        <w:rPr>
          <w:rFonts w:ascii="Arial" w:hAnsi="Arial" w:cs="Arial"/>
          <w:sz w:val="22"/>
          <w:szCs w:val="22"/>
          <w:highlight w:val="yellow"/>
          <w:lang w:val="en-GB"/>
        </w:rPr>
        <w:t>He</w:t>
      </w:r>
      <w:r w:rsidR="00903504" w:rsidRPr="00BA5602">
        <w:rPr>
          <w:rFonts w:ascii="Arial" w:hAnsi="Arial" w:cs="Arial"/>
          <w:sz w:val="22"/>
          <w:szCs w:val="22"/>
          <w:highlight w:val="yellow"/>
          <w:lang w:val="en-GB"/>
        </w:rPr>
        <w:t xml:space="preserve"> or she</w:t>
      </w:r>
      <w:r w:rsidRPr="00BA5602">
        <w:rPr>
          <w:rFonts w:ascii="Arial" w:hAnsi="Arial" w:cs="Arial"/>
          <w:sz w:val="22"/>
          <w:szCs w:val="22"/>
          <w:highlight w:val="yellow"/>
          <w:lang w:val="en-GB"/>
        </w:rPr>
        <w:t xml:space="preserve"> is a licenced insolvency practitioner; has given written consent to act; </w:t>
      </w:r>
      <w:r w:rsidR="00903504" w:rsidRPr="00BA5602">
        <w:rPr>
          <w:rFonts w:ascii="Arial" w:hAnsi="Arial" w:cs="Arial"/>
          <w:sz w:val="22"/>
          <w:szCs w:val="22"/>
          <w:highlight w:val="yellow"/>
          <w:lang w:val="en-GB"/>
        </w:rPr>
        <w:t xml:space="preserve">is </w:t>
      </w:r>
      <w:r w:rsidRPr="00BA560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BA5602">
        <w:rPr>
          <w:rFonts w:ascii="Arial" w:hAnsi="Arial" w:cs="Arial"/>
          <w:sz w:val="22"/>
          <w:szCs w:val="22"/>
          <w:highlight w:val="yellow"/>
          <w:lang w:val="en-GB"/>
        </w:rPr>
        <w:t xml:space="preserve"> or her</w:t>
      </w:r>
      <w:r w:rsidRPr="00BA5602">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BA5602">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C728B5">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C728B5">
        <w:rPr>
          <w:rFonts w:ascii="Arial" w:hAnsi="Arial" w:cs="Arial"/>
          <w:sz w:val="22"/>
          <w:szCs w:val="22"/>
          <w:highlight w:val="yellow"/>
          <w:lang w:val="en-GB"/>
        </w:rPr>
        <w:t>Two (</w:t>
      </w:r>
      <w:r w:rsidR="00802DB8" w:rsidRPr="00C728B5">
        <w:rPr>
          <w:rFonts w:ascii="Arial" w:hAnsi="Arial" w:cs="Arial"/>
          <w:sz w:val="22"/>
          <w:szCs w:val="22"/>
          <w:highlight w:val="yellow"/>
          <w:lang w:val="en-GB"/>
        </w:rPr>
        <w:t>2</w:t>
      </w:r>
      <w:r w:rsidRPr="00C728B5">
        <w:rPr>
          <w:rFonts w:ascii="Arial" w:hAnsi="Arial" w:cs="Arial"/>
          <w:sz w:val="22"/>
          <w:szCs w:val="22"/>
          <w:highlight w:val="yellow"/>
          <w:lang w:val="en-GB"/>
        </w:rPr>
        <w:t>)</w:t>
      </w:r>
      <w:r w:rsidR="00802DB8" w:rsidRPr="00C728B5">
        <w:rPr>
          <w:rFonts w:ascii="Arial" w:hAnsi="Arial" w:cs="Arial"/>
          <w:sz w:val="22"/>
          <w:szCs w:val="22"/>
          <w:highlight w:val="yellow"/>
          <w:lang w:val="en-GB"/>
        </w:rPr>
        <w:t xml:space="preserve"> years prior to the onset of insolvency</w:t>
      </w:r>
      <w:r w:rsidR="00CE62E7" w:rsidRPr="00C728B5">
        <w:rPr>
          <w:rFonts w:ascii="Arial" w:hAnsi="Arial" w:cs="Arial"/>
          <w:sz w:val="22"/>
          <w:szCs w:val="22"/>
          <w:highlight w:val="yellow"/>
          <w:lang w:val="en-GB"/>
        </w:rPr>
        <w:t xml:space="preserve"> 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C728B5">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C95003">
        <w:rPr>
          <w:rFonts w:ascii="Arial" w:hAnsi="Arial" w:cs="Arial"/>
          <w:sz w:val="22"/>
          <w:szCs w:val="22"/>
          <w:highlight w:val="yellow"/>
          <w:lang w:val="en-GB"/>
        </w:rPr>
        <w:t>On the date the voluntary liquidator files a notice of appointment with the Registrar</w:t>
      </w:r>
      <w:r>
        <w:rPr>
          <w:rFonts w:ascii="Arial" w:hAnsi="Arial" w:cs="Arial"/>
          <w:sz w:val="22"/>
          <w:szCs w:val="22"/>
          <w:lang w:val="en-GB"/>
        </w:rPr>
        <w:t>.</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6FC6D206" w:rsidR="009B07AD" w:rsidRPr="008065CE" w:rsidRDefault="00C95003"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Under to Part XII of the BCA 2004, a voluntary liquidator can be appointed if a)  it has no liabilities; or b) it is able to pay its debts when they fall due and the value of its assets is equal to or exceeds its liabilities.</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61FF89B" w:rsidR="009B07AD" w:rsidRDefault="00CA3AE9" w:rsidP="00CA3A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s289 of the Insolvency Act - An officer of a company in liquidation is deemed to have committed an offence if, at any time whilst an officer or at any time during the 12 months prior to the liquidation commencing, he or she has:</w:t>
      </w:r>
    </w:p>
    <w:p w14:paraId="02F3D973" w14:textId="32B22DF4" w:rsidR="00CA3AE9" w:rsidRDefault="00CA3AE9" w:rsidP="00CA3AE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ab/>
        <w:t>made or caused to be made any gift or transfer of, or charge on, or has caused, permitted or acquiesced in the levying of nay execution against the company's asset; or</w:t>
      </w:r>
    </w:p>
    <w:p w14:paraId="26F00E82" w14:textId="7AFE1D61" w:rsidR="00CA3AE9" w:rsidRPr="008065CE" w:rsidRDefault="00CA3AE9" w:rsidP="00CA3AE9">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ab/>
        <w:t xml:space="preserve">has concealed or removed any of the company's assets since, or within, sixty days of the date of any unsatisfied judgment or order for the payment of money obtained against the company.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4E879D3" w14:textId="77777777" w:rsidR="00CA3AE9" w:rsidRDefault="00CA3AE9" w:rsidP="008065CE">
      <w:pPr>
        <w:ind w:left="720" w:hanging="720"/>
        <w:jc w:val="both"/>
        <w:rPr>
          <w:rFonts w:ascii="Arial" w:hAnsi="Arial" w:cs="Arial"/>
          <w:color w:val="7B7B7B" w:themeColor="accent3" w:themeShade="BF"/>
          <w:sz w:val="22"/>
          <w:szCs w:val="22"/>
          <w:lang w:val="en-GB"/>
        </w:rPr>
      </w:pPr>
    </w:p>
    <w:p w14:paraId="1706C35D" w14:textId="79BE8E7D" w:rsidR="00C72848" w:rsidRDefault="00CA3AE9" w:rsidP="00CA3A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provides the powers of the BIV Court to make orders in aid of foreign proceedings. In particular, the BVI Court can recognise certain foreign insolvency proceedings and provide assistance to foreign representatives.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1FEC3CD2" w:rsidR="00802DB8" w:rsidRDefault="00C10611" w:rsidP="00C106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Part VII of the Insolvency Act a company will be considered insolvent in the BVI if:</w:t>
      </w:r>
    </w:p>
    <w:p w14:paraId="112F04F0" w14:textId="06643455" w:rsidR="00C10611" w:rsidRDefault="00C10611" w:rsidP="00C10611">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ab/>
        <w:t xml:space="preserve">A company cannot pay its debts as they fall due (see section 8(1)(c)(ii) of the Insolvency Act; see also </w:t>
      </w:r>
      <w:r>
        <w:rPr>
          <w:rFonts w:ascii="Arial" w:hAnsi="Arial" w:cs="Arial"/>
          <w:i/>
          <w:color w:val="7B7B7B" w:themeColor="accent3" w:themeShade="BF"/>
          <w:sz w:val="22"/>
          <w:szCs w:val="22"/>
          <w:lang w:val="en-GB"/>
        </w:rPr>
        <w:t xml:space="preserve">Cornhill Insurance Plc v Improvement Service Limited </w:t>
      </w:r>
      <w:r>
        <w:rPr>
          <w:rFonts w:ascii="Arial" w:hAnsi="Arial" w:cs="Arial"/>
          <w:color w:val="7B7B7B" w:themeColor="accent3" w:themeShade="BF"/>
          <w:sz w:val="22"/>
          <w:szCs w:val="22"/>
          <w:lang w:val="en-GB"/>
        </w:rPr>
        <w:t>[1986] 1 WLR 114);</w:t>
      </w:r>
    </w:p>
    <w:p w14:paraId="5B653648" w14:textId="4870940F" w:rsidR="00C10611" w:rsidRDefault="00C10611" w:rsidP="00C10611">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ab/>
        <w:t>The value of the company's liabilities exceeds the value of the its assets (see section 10(1) of the Insolvency Act provides a wide definition of liability, see section 10(2) of the Insolvency Act provides that liability can be present or future, certain or contingent, fixed or liquidated, sounding only in damages or capable of being ascertained by fixed rules or as a matter of opinion);</w:t>
      </w:r>
    </w:p>
    <w:p w14:paraId="7B1AD2DB" w14:textId="412D5E06" w:rsidR="00C10611" w:rsidRDefault="00C10611" w:rsidP="00C10611">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3. </w:t>
      </w:r>
      <w:r>
        <w:rPr>
          <w:rFonts w:ascii="Arial" w:hAnsi="Arial" w:cs="Arial"/>
          <w:color w:val="7B7B7B" w:themeColor="accent3" w:themeShade="BF"/>
          <w:sz w:val="22"/>
          <w:szCs w:val="22"/>
          <w:lang w:val="en-GB"/>
        </w:rPr>
        <w:tab/>
        <w:t>A company fails to satisfy (whether in whole or in part) execution or other process issued on a judgment, decree or order of the BVI Court in favour of a creditor of the company;</w:t>
      </w:r>
    </w:p>
    <w:p w14:paraId="734FAB71" w14:textId="575D9C9F" w:rsidR="00C10611" w:rsidRPr="008065CE" w:rsidRDefault="00C10611" w:rsidP="00C10611">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4. </w:t>
      </w:r>
      <w:r>
        <w:rPr>
          <w:rFonts w:ascii="Arial" w:hAnsi="Arial" w:cs="Arial"/>
          <w:color w:val="7B7B7B" w:themeColor="accent3" w:themeShade="BF"/>
          <w:sz w:val="22"/>
          <w:szCs w:val="22"/>
          <w:lang w:val="en-GB"/>
        </w:rPr>
        <w:tab/>
        <w:t xml:space="preserve">A company fails to comply with the terms of a statutory demand and it is not successfully set aside under section 156 and 157 of the Insolvency Act.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7F9DC1C8" w:rsidR="00544127" w:rsidRPr="008065CE" w:rsidRDefault="002D6A2E"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Insolvency Act a liquidator is required pursuant to section 234(2) to prepare a final report as soon as practicable after completing all his or her duties. This report is required to be sent to every admitted creditor and every member of the company. Further, the report must be filed with the Registrar. </w:t>
      </w:r>
    </w:p>
    <w:p w14:paraId="6909B5A2" w14:textId="6B5DC684" w:rsidR="00544127" w:rsidRDefault="00544127" w:rsidP="008065CE">
      <w:pPr>
        <w:ind w:left="720" w:hanging="720"/>
        <w:jc w:val="both"/>
        <w:rPr>
          <w:rFonts w:ascii="Arial" w:hAnsi="Arial" w:cs="Arial"/>
          <w:sz w:val="22"/>
          <w:szCs w:val="22"/>
          <w:lang w:val="en-GB"/>
        </w:rPr>
      </w:pPr>
    </w:p>
    <w:p w14:paraId="07959591" w14:textId="305FCC24" w:rsidR="002D6A2E" w:rsidRPr="002D6A2E" w:rsidRDefault="002D6A2E" w:rsidP="002D6A2E">
      <w:pPr>
        <w:jc w:val="both"/>
        <w:rPr>
          <w:rFonts w:ascii="Arial" w:hAnsi="Arial" w:cs="Arial"/>
          <w:color w:val="7B7B7B" w:themeColor="accent3" w:themeShade="BF"/>
          <w:sz w:val="22"/>
          <w:szCs w:val="22"/>
          <w:lang w:val="en-GB"/>
        </w:rPr>
      </w:pPr>
      <w:r w:rsidRPr="002D6A2E">
        <w:rPr>
          <w:rFonts w:ascii="Arial" w:hAnsi="Arial" w:cs="Arial"/>
          <w:color w:val="7B7B7B" w:themeColor="accent3" w:themeShade="BF"/>
          <w:sz w:val="22"/>
          <w:szCs w:val="22"/>
          <w:lang w:val="en-GB"/>
        </w:rPr>
        <w:t xml:space="preserve">The liquidator is also able to apply pursuant to section 235 of the Insolvency Act for their release when the appointment ends. This would discharge the liquidator of all liability in respect of any act or default in relation to his or her administration of the Company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FA9F688" w14:textId="77777777" w:rsidR="00AF3B4C" w:rsidRDefault="002D6A2E" w:rsidP="008065CE">
      <w:pPr>
        <w:jc w:val="both"/>
        <w:rPr>
          <w:rFonts w:ascii="Arial" w:hAnsi="Arial" w:cs="Arial"/>
          <w:sz w:val="22"/>
          <w:szCs w:val="22"/>
          <w:lang w:val="en-GB"/>
        </w:rPr>
      </w:pPr>
      <w:r>
        <w:rPr>
          <w:rFonts w:ascii="Arial" w:hAnsi="Arial" w:cs="Arial"/>
          <w:sz w:val="22"/>
          <w:szCs w:val="22"/>
          <w:lang w:val="en-GB"/>
        </w:rPr>
        <w:t>Pursuant to section 483 of the Insolvency Act, it is possible to appoint an overseas insolvency practitioner as a liquidator of a BVI company. However, this can only occur as a joint appointment</w:t>
      </w:r>
      <w:r w:rsidR="00AF3B4C">
        <w:rPr>
          <w:rFonts w:ascii="Arial" w:hAnsi="Arial" w:cs="Arial"/>
          <w:sz w:val="22"/>
          <w:szCs w:val="22"/>
          <w:lang w:val="en-GB"/>
        </w:rPr>
        <w:t xml:space="preserve"> and this can only occur after written notice of the intended appointment is provided to the FSC (this letter includes details such as the expertise and qualifications) then they await for confirmation from the FSC of its approval</w:t>
      </w:r>
      <w:r>
        <w:rPr>
          <w:rFonts w:ascii="Arial" w:hAnsi="Arial" w:cs="Arial"/>
          <w:sz w:val="22"/>
          <w:szCs w:val="22"/>
          <w:lang w:val="en-GB"/>
        </w:rPr>
        <w:t xml:space="preserve">. </w:t>
      </w:r>
    </w:p>
    <w:p w14:paraId="35D24E6F" w14:textId="77777777" w:rsidR="00AF3B4C" w:rsidRDefault="00AF3B4C" w:rsidP="008065CE">
      <w:pPr>
        <w:jc w:val="both"/>
        <w:rPr>
          <w:rFonts w:ascii="Arial" w:hAnsi="Arial" w:cs="Arial"/>
          <w:sz w:val="22"/>
          <w:szCs w:val="22"/>
          <w:lang w:val="en-GB"/>
        </w:rPr>
      </w:pPr>
    </w:p>
    <w:p w14:paraId="6303A96B" w14:textId="6BD3C24F" w:rsidR="00DF75F8" w:rsidRPr="008065CE" w:rsidRDefault="00AF3B4C" w:rsidP="008065CE">
      <w:pPr>
        <w:jc w:val="both"/>
        <w:rPr>
          <w:rFonts w:ascii="Arial" w:hAnsi="Arial" w:cs="Arial"/>
          <w:sz w:val="22"/>
          <w:szCs w:val="22"/>
          <w:lang w:val="en-GB"/>
        </w:rPr>
      </w:pPr>
      <w:r>
        <w:rPr>
          <w:rFonts w:ascii="Arial" w:hAnsi="Arial" w:cs="Arial"/>
          <w:sz w:val="22"/>
          <w:szCs w:val="22"/>
          <w:lang w:val="en-GB"/>
        </w:rPr>
        <w:t xml:space="preserve">Given that BVI companies often hold assets which are situated outside the BVI, it can be helpful to appoint an insolvency practitioner from the jurisdiction where the assets are held, this can have longer term cost savings from reduced travels and engaging local expertise. </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D8EFB56" w14:textId="77777777" w:rsidR="00AF3B4C" w:rsidRDefault="00AF3B4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175(2) of the Insolvency Act the appointment of a liquidator does not affect the right of a secured creditor to take possession or realise or otherwise deal with the assets over which it has security. </w:t>
      </w:r>
    </w:p>
    <w:p w14:paraId="117DF625" w14:textId="77777777" w:rsidR="00AF3B4C" w:rsidRDefault="00AF3B4C" w:rsidP="008065CE">
      <w:pPr>
        <w:ind w:left="720" w:hanging="720"/>
        <w:jc w:val="both"/>
        <w:rPr>
          <w:rFonts w:ascii="Arial" w:hAnsi="Arial" w:cs="Arial"/>
          <w:color w:val="7B7B7B" w:themeColor="accent3" w:themeShade="BF"/>
          <w:sz w:val="22"/>
          <w:szCs w:val="22"/>
          <w:lang w:val="en-GB"/>
        </w:rPr>
      </w:pPr>
    </w:p>
    <w:p w14:paraId="122DDDCD" w14:textId="77777777" w:rsidR="00AF3B4C" w:rsidRDefault="00AF3B4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211 of the Insolvency Act, the secured credit can:</w:t>
      </w:r>
    </w:p>
    <w:p w14:paraId="2A98A6ED" w14:textId="3273EFC0" w:rsidR="00AF3B4C" w:rsidRDefault="00AF3B4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891BC0">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value the assets subject to the security interest and claim in the liquidation of the company as an unsecured creditor for the balance of the debt;</w:t>
      </w:r>
    </w:p>
    <w:p w14:paraId="57A7E96D" w14:textId="4EA1344A" w:rsidR="00802DB8" w:rsidRDefault="00891BC0"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ab/>
        <w:t>surrender the secured asset to the liquidator for the benefit of the estate and claim in the liquidation as an unsecured creditor</w:t>
      </w:r>
    </w:p>
    <w:p w14:paraId="195FCBF5" w14:textId="403DAB9C" w:rsidR="00891BC0" w:rsidRDefault="00891BC0" w:rsidP="008065CE">
      <w:pPr>
        <w:ind w:left="720" w:hanging="720"/>
        <w:jc w:val="both"/>
        <w:rPr>
          <w:rFonts w:ascii="Arial" w:hAnsi="Arial" w:cs="Arial"/>
          <w:color w:val="7B7B7B" w:themeColor="accent3" w:themeShade="BF"/>
          <w:sz w:val="22"/>
          <w:szCs w:val="22"/>
          <w:lang w:val="en-GB"/>
        </w:rPr>
      </w:pPr>
    </w:p>
    <w:p w14:paraId="18ED6102" w14:textId="40AB91D0" w:rsidR="00891BC0" w:rsidRPr="008065CE" w:rsidRDefault="00891BC0"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Further, the rights of the secured creditor are not affected by orders of the Court under section 476 of the Insolvency Act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3002BDF2" w:rsidR="001A007A"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Reciprocal Enforcement of Judgments Act 1922 provides for the recognition of foreign judgments in the BVI. However, it only extends to </w:t>
      </w:r>
      <w:r>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judgments given in the High Court of England Wales and Northern Ireland. </w:t>
      </w:r>
    </w:p>
    <w:p w14:paraId="743DBB10" w14:textId="16B7076B" w:rsidR="00E60A69" w:rsidRDefault="00E60A69" w:rsidP="008065CE">
      <w:pPr>
        <w:autoSpaceDE w:val="0"/>
        <w:autoSpaceDN w:val="0"/>
        <w:adjustRightInd w:val="0"/>
        <w:jc w:val="both"/>
        <w:rPr>
          <w:rFonts w:ascii="Arial" w:hAnsi="Arial" w:cs="Arial"/>
          <w:color w:val="7B7B7B" w:themeColor="accent3" w:themeShade="BF"/>
          <w:sz w:val="22"/>
          <w:szCs w:val="22"/>
          <w:lang w:val="en-GB"/>
        </w:rPr>
      </w:pPr>
    </w:p>
    <w:p w14:paraId="06A45690" w14:textId="3E528846"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defines judgment as any </w:t>
      </w:r>
      <w:r w:rsidR="000B38C4">
        <w:rPr>
          <w:rFonts w:ascii="Arial" w:hAnsi="Arial" w:cs="Arial"/>
          <w:color w:val="7B7B7B" w:themeColor="accent3" w:themeShade="BF"/>
          <w:sz w:val="22"/>
          <w:szCs w:val="22"/>
          <w:lang w:val="en-GB"/>
        </w:rPr>
        <w:t>judgement</w:t>
      </w:r>
      <w:r>
        <w:rPr>
          <w:rFonts w:ascii="Arial" w:hAnsi="Arial" w:cs="Arial"/>
          <w:color w:val="7B7B7B" w:themeColor="accent3" w:themeShade="BF"/>
          <w:sz w:val="22"/>
          <w:szCs w:val="22"/>
          <w:lang w:val="en-GB"/>
        </w:rPr>
        <w:t xml:space="preserve"> or order given or made by a court in any civil proceedings, whether before or after the passing of the Act, whereby any sum of money is made payable. </w:t>
      </w:r>
    </w:p>
    <w:p w14:paraId="4FB189D0" w14:textId="7124207A" w:rsidR="00E60A69" w:rsidRDefault="00E60A69" w:rsidP="008065CE">
      <w:pPr>
        <w:autoSpaceDE w:val="0"/>
        <w:autoSpaceDN w:val="0"/>
        <w:adjustRightInd w:val="0"/>
        <w:jc w:val="both"/>
        <w:rPr>
          <w:rFonts w:ascii="Arial" w:hAnsi="Arial" w:cs="Arial"/>
          <w:color w:val="7B7B7B" w:themeColor="accent3" w:themeShade="BF"/>
          <w:sz w:val="22"/>
          <w:szCs w:val="22"/>
          <w:lang w:val="en-GB"/>
        </w:rPr>
      </w:pPr>
    </w:p>
    <w:p w14:paraId="11FEE2E8" w14:textId="58958304"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given Pinforth Holdings was awarded a judgment in the sum of USD4,500,000 being a conclusive monetary sum it can be enforced in the BVI. However, it would only be effective </w:t>
      </w:r>
      <w:r w:rsidR="000B38C4">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the extent that Expat Properties has assets in the BVI. </w:t>
      </w:r>
    </w:p>
    <w:p w14:paraId="05180939" w14:textId="6F7CE187" w:rsidR="00E60A69" w:rsidRDefault="00E60A69" w:rsidP="008065CE">
      <w:pPr>
        <w:autoSpaceDE w:val="0"/>
        <w:autoSpaceDN w:val="0"/>
        <w:adjustRightInd w:val="0"/>
        <w:jc w:val="both"/>
        <w:rPr>
          <w:rFonts w:ascii="Arial" w:hAnsi="Arial" w:cs="Arial"/>
          <w:color w:val="7B7B7B" w:themeColor="accent3" w:themeShade="BF"/>
          <w:sz w:val="22"/>
          <w:szCs w:val="22"/>
          <w:lang w:val="en-GB"/>
        </w:rPr>
      </w:pPr>
    </w:p>
    <w:p w14:paraId="24E4EC55" w14:textId="37B6E280"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Pinforth Holdings registers its judgmenet in the BVI, all the remedies ususally available under the CPR will be available, which include:</w:t>
      </w:r>
    </w:p>
    <w:p w14:paraId="7E1C0ABC" w14:textId="62195D98"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 charging order;</w:t>
      </w:r>
    </w:p>
    <w:p w14:paraId="02287E5E" w14:textId="4615B4F7"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 garnishee order;</w:t>
      </w:r>
    </w:p>
    <w:p w14:paraId="49CC4876" w14:textId="1783723C"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a judgment summons; </w:t>
      </w:r>
    </w:p>
    <w:p w14:paraId="28C2283D" w14:textId="4554523F"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an order for seizure and sale of goods; and</w:t>
      </w:r>
    </w:p>
    <w:p w14:paraId="4EE40F8E" w14:textId="11618484"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appointment of a receiver. </w:t>
      </w:r>
    </w:p>
    <w:p w14:paraId="65256709" w14:textId="724689FE" w:rsidR="00E60A69" w:rsidRDefault="00E60A69" w:rsidP="008065CE">
      <w:pPr>
        <w:autoSpaceDE w:val="0"/>
        <w:autoSpaceDN w:val="0"/>
        <w:adjustRightInd w:val="0"/>
        <w:jc w:val="both"/>
        <w:rPr>
          <w:rFonts w:ascii="Arial" w:hAnsi="Arial" w:cs="Arial"/>
          <w:color w:val="7B7B7B" w:themeColor="accent3" w:themeShade="BF"/>
          <w:sz w:val="22"/>
          <w:szCs w:val="22"/>
          <w:lang w:val="en-GB"/>
        </w:rPr>
      </w:pPr>
    </w:p>
    <w:p w14:paraId="1728C31F" w14:textId="7015504B" w:rsidR="00E60A69" w:rsidRDefault="00E60A6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they would need to seek to register their judgment within 12 months otherwise they would need the BVI Court to grant a longer period. </w:t>
      </w:r>
    </w:p>
    <w:p w14:paraId="7CB63B63" w14:textId="2DBFC9B5" w:rsidR="000B38C4" w:rsidRDefault="000B38C4" w:rsidP="008065CE">
      <w:pPr>
        <w:autoSpaceDE w:val="0"/>
        <w:autoSpaceDN w:val="0"/>
        <w:adjustRightInd w:val="0"/>
        <w:jc w:val="both"/>
        <w:rPr>
          <w:rFonts w:ascii="Arial" w:hAnsi="Arial" w:cs="Arial"/>
          <w:color w:val="7B7B7B" w:themeColor="accent3" w:themeShade="BF"/>
          <w:sz w:val="22"/>
          <w:szCs w:val="22"/>
          <w:lang w:val="en-GB"/>
        </w:rPr>
      </w:pPr>
    </w:p>
    <w:p w14:paraId="31A9F8D3" w14:textId="3BF89F7C" w:rsidR="000B38C4" w:rsidRDefault="000B38C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for registration must be made under Part 72 of the CPR. It must contain:</w:t>
      </w:r>
    </w:p>
    <w:p w14:paraId="4C0B2FB6" w14:textId="769B9A7E" w:rsidR="000B38C4" w:rsidRDefault="000B38C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 Certain prescribed information;</w:t>
      </w:r>
    </w:p>
    <w:p w14:paraId="4A82DBB1" w14:textId="2E888890" w:rsidR="000B38C4" w:rsidRDefault="000B38C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 exhibit a duly authenticated copy of the judgment; and</w:t>
      </w:r>
    </w:p>
    <w:p w14:paraId="46EBC36B" w14:textId="2DE90A3D" w:rsidR="000B38C4" w:rsidRDefault="000B38C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 any details of any interest htat has become due under the law of the contry in which the judgment has been entered.</w:t>
      </w:r>
    </w:p>
    <w:p w14:paraId="603A8373" w14:textId="115DABCD" w:rsidR="000B38C4" w:rsidRDefault="000B38C4" w:rsidP="008065CE">
      <w:pPr>
        <w:autoSpaceDE w:val="0"/>
        <w:autoSpaceDN w:val="0"/>
        <w:adjustRightInd w:val="0"/>
        <w:jc w:val="both"/>
        <w:rPr>
          <w:rFonts w:ascii="Arial" w:hAnsi="Arial" w:cs="Arial"/>
          <w:color w:val="7B7B7B" w:themeColor="accent3" w:themeShade="BF"/>
          <w:sz w:val="22"/>
          <w:szCs w:val="22"/>
          <w:lang w:val="en-GB"/>
        </w:rPr>
      </w:pPr>
    </w:p>
    <w:p w14:paraId="51949686" w14:textId="6193CB4E" w:rsidR="000B38C4" w:rsidRPr="00E60A69" w:rsidRDefault="000B38C4"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This application made be made without notice to the judgment debtor. However, the Court can require the Pinforth Holdings as creditor to enter security for costs.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w:t>
      </w:r>
      <w:r w:rsidR="00F07A01">
        <w:rPr>
          <w:rFonts w:ascii="Arial" w:hAnsi="Arial" w:cs="Arial"/>
          <w:sz w:val="22"/>
          <w:szCs w:val="22"/>
          <w:lang w:val="en-GB"/>
        </w:rPr>
        <w:lastRenderedPageBreak/>
        <w:t xml:space="preserve">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6A237DF7" w14:textId="77777777" w:rsidR="002038CF" w:rsidRDefault="002038C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Abbeydale could seek to wind up Dendoncker pursuant to Part VIII of the Insolvency Act. </w:t>
      </w:r>
    </w:p>
    <w:p w14:paraId="4327DEE5" w14:textId="77777777" w:rsidR="002038CF" w:rsidRDefault="002038CF" w:rsidP="008065CE">
      <w:pPr>
        <w:autoSpaceDE w:val="0"/>
        <w:autoSpaceDN w:val="0"/>
        <w:adjustRightInd w:val="0"/>
        <w:jc w:val="both"/>
        <w:rPr>
          <w:rFonts w:ascii="Arial" w:hAnsi="Arial" w:cs="Arial"/>
          <w:color w:val="7B7B7B" w:themeColor="accent3" w:themeShade="BF"/>
          <w:sz w:val="22"/>
          <w:szCs w:val="22"/>
          <w:lang w:val="en-GB"/>
        </w:rPr>
      </w:pPr>
    </w:p>
    <w:p w14:paraId="71A9929E" w14:textId="4FAD4C7C" w:rsidR="002038CF" w:rsidRDefault="002038C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that Dendoncker has failed to make any repayments under the loan agreement Abbeydale can seek repayment in full. Accordingly, Abbeydale could serve a statutory demand for the repayment of the loan (noting that a statutory demand is a written demand for payment of a debt that is due and payable and is made by a creditor in the format required under section 156 of the Insolvency Act). The statutory demand must be in writing, dated and signed by the creditor (based on the facts we cannot confirm that the demand is a statutory demand, accordingly they ought do it again). Further it must require the company to pay the debt or to secure or compound for the debt ot the reasonable satisfaction of the creditor within 21 days of the service of the stat demand. </w:t>
      </w:r>
    </w:p>
    <w:p w14:paraId="640B9869" w14:textId="1F067D8F" w:rsidR="002038CF" w:rsidRDefault="002038CF" w:rsidP="008065CE">
      <w:pPr>
        <w:autoSpaceDE w:val="0"/>
        <w:autoSpaceDN w:val="0"/>
        <w:adjustRightInd w:val="0"/>
        <w:jc w:val="both"/>
        <w:rPr>
          <w:rFonts w:ascii="Arial" w:hAnsi="Arial" w:cs="Arial"/>
          <w:color w:val="7B7B7B" w:themeColor="accent3" w:themeShade="BF"/>
          <w:sz w:val="22"/>
          <w:szCs w:val="22"/>
          <w:lang w:val="en-GB"/>
        </w:rPr>
      </w:pPr>
    </w:p>
    <w:p w14:paraId="156659E4" w14:textId="6C69AEE2" w:rsidR="002D3473" w:rsidRDefault="002038C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8 of the insolvency Act, a company is insolvent if, </w:t>
      </w:r>
      <w:r>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it fails to comply with the terms of a statutory demand and it is not successfully set aside under sections 156 and 157 of the insolvency Act. Dendoncker could attempt to set aside the statutory demand on the basis that the debt is disputed, however, this is unlikely to be successful. </w:t>
      </w:r>
    </w:p>
    <w:p w14:paraId="2D66F822" w14:textId="64259BC3" w:rsidR="0074284C" w:rsidRDefault="0074284C" w:rsidP="008065CE">
      <w:pPr>
        <w:autoSpaceDE w:val="0"/>
        <w:autoSpaceDN w:val="0"/>
        <w:adjustRightInd w:val="0"/>
        <w:jc w:val="both"/>
        <w:rPr>
          <w:rFonts w:ascii="Arial" w:hAnsi="Arial" w:cs="Arial"/>
          <w:color w:val="7B7B7B" w:themeColor="accent3" w:themeShade="BF"/>
          <w:sz w:val="22"/>
          <w:szCs w:val="22"/>
          <w:lang w:val="en-GB"/>
        </w:rPr>
      </w:pPr>
    </w:p>
    <w:p w14:paraId="11D56CC5" w14:textId="6E07307F"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they could seek the appointment of a liquidator over Dendoncker pursuant to an application as a creditor under 162 of the Insolvency Act. Pursuant to section 159(1) the Court would be able to appoint a liquidator as the company is insolvent (as set out above). </w:t>
      </w:r>
    </w:p>
    <w:p w14:paraId="24DC64A3" w14:textId="2CCE27F9" w:rsidR="0074284C" w:rsidRDefault="0074284C" w:rsidP="008065CE">
      <w:pPr>
        <w:autoSpaceDE w:val="0"/>
        <w:autoSpaceDN w:val="0"/>
        <w:adjustRightInd w:val="0"/>
        <w:jc w:val="both"/>
        <w:rPr>
          <w:rFonts w:ascii="Arial" w:hAnsi="Arial" w:cs="Arial"/>
          <w:color w:val="7B7B7B" w:themeColor="accent3" w:themeShade="BF"/>
          <w:sz w:val="22"/>
          <w:szCs w:val="22"/>
          <w:lang w:val="en-GB"/>
        </w:rPr>
      </w:pPr>
    </w:p>
    <w:p w14:paraId="2D63C160" w14:textId="13DA62CA"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could see the appointment of a provisional liquidator under section 170 of the Insolvency act on the basis that there is urgent need to preserve the assets of the company (being the house purchased with the loan money). However, pursuant to section 170(4) of the Insolvency Act, they would need to satisfy the court that the appointment is:</w:t>
      </w:r>
    </w:p>
    <w:p w14:paraId="113A21BE" w14:textId="3FD7FC4E"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necessary for the purpose of maintain the value of the assets owned or managed by the company; and</w:t>
      </w:r>
    </w:p>
    <w:p w14:paraId="5BF71C3E" w14:textId="3627D92B"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is in the public interest. </w:t>
      </w:r>
    </w:p>
    <w:p w14:paraId="31C323C2" w14:textId="1AB8D6D4" w:rsidR="0074284C" w:rsidRDefault="0074284C" w:rsidP="008065CE">
      <w:pPr>
        <w:autoSpaceDE w:val="0"/>
        <w:autoSpaceDN w:val="0"/>
        <w:adjustRightInd w:val="0"/>
        <w:jc w:val="both"/>
        <w:rPr>
          <w:rFonts w:ascii="Arial" w:hAnsi="Arial" w:cs="Arial"/>
          <w:color w:val="7B7B7B" w:themeColor="accent3" w:themeShade="BF"/>
          <w:sz w:val="22"/>
          <w:szCs w:val="22"/>
          <w:lang w:val="en-GB"/>
        </w:rPr>
      </w:pPr>
    </w:p>
    <w:p w14:paraId="40164D45" w14:textId="6028EC87"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They would also need to demonstrate to the Court: </w:t>
      </w:r>
    </w:p>
    <w:p w14:paraId="7A03B9DD" w14:textId="17C5ED41"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there is an application before the court for the appointment of a liquidator;</w:t>
      </w:r>
    </w:p>
    <w:p w14:paraId="1F2B9255" w14:textId="08C0E7C7"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there is a good arguable case that a ground for the appointment of a provisional liquidator exists;</w:t>
      </w:r>
    </w:p>
    <w:p w14:paraId="6B887E67" w14:textId="7A53C48C"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there is a good arguable case that the application has standing to make the application; and</w:t>
      </w:r>
    </w:p>
    <w:p w14:paraId="4CF26A3D" w14:textId="0315AC62" w:rsidR="0074284C" w:rsidRDefault="0074284C"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the court should exercise its discretion to maintain the status quo in relation to the company's assets. </w:t>
      </w:r>
    </w:p>
    <w:p w14:paraId="7182CF0A" w14:textId="6ED506D7" w:rsidR="0074284C" w:rsidRDefault="0074284C" w:rsidP="008065CE">
      <w:pPr>
        <w:autoSpaceDE w:val="0"/>
        <w:autoSpaceDN w:val="0"/>
        <w:adjustRightInd w:val="0"/>
        <w:jc w:val="both"/>
        <w:rPr>
          <w:rFonts w:ascii="Arial" w:hAnsi="Arial" w:cs="Arial"/>
          <w:color w:val="7B7B7B" w:themeColor="accent3" w:themeShade="BF"/>
          <w:sz w:val="22"/>
          <w:szCs w:val="22"/>
          <w:lang w:val="en-GB"/>
        </w:rPr>
      </w:pPr>
    </w:p>
    <w:bookmarkEnd w:id="0"/>
    <w:p w14:paraId="12934F08" w14:textId="706C32CD" w:rsidR="0077498C" w:rsidRDefault="0074284C"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assets do not automatically vest in the liquidator. Accordingly, the liquidator will need to apply </w:t>
      </w:r>
      <w:r w:rsidR="001E432E">
        <w:rPr>
          <w:rFonts w:ascii="Arial" w:hAnsi="Arial" w:cs="Arial"/>
          <w:color w:val="000000" w:themeColor="text1"/>
          <w:sz w:val="22"/>
          <w:szCs w:val="22"/>
          <w:lang w:val="en-GB"/>
        </w:rPr>
        <w:t>to</w:t>
      </w:r>
      <w:r>
        <w:rPr>
          <w:rFonts w:ascii="Arial" w:hAnsi="Arial" w:cs="Arial"/>
          <w:color w:val="000000" w:themeColor="text1"/>
          <w:sz w:val="22"/>
          <w:szCs w:val="22"/>
          <w:lang w:val="en-GB"/>
        </w:rPr>
        <w:t xml:space="preserve"> the court for such an order regarding the house. </w:t>
      </w:r>
      <w:r w:rsidR="001E432E">
        <w:rPr>
          <w:rFonts w:ascii="Arial" w:hAnsi="Arial" w:cs="Arial"/>
          <w:color w:val="000000" w:themeColor="text1"/>
          <w:sz w:val="22"/>
          <w:szCs w:val="22"/>
          <w:lang w:val="en-GB"/>
        </w:rPr>
        <w:t xml:space="preserve">This is relevant as there is no evidence that Abbeydale is a secured creditor and accordingly, they would likely need the liquidator to sell the house to realise the proceeds. </w:t>
      </w:r>
      <w:bookmarkStart w:id="1" w:name="_GoBack"/>
      <w:bookmarkEnd w:id="1"/>
    </w:p>
    <w:p w14:paraId="566B8166" w14:textId="74DFBFA4" w:rsidR="0074284C" w:rsidRPr="008065CE" w:rsidRDefault="0074284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67B59D06"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E432E">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1"/>
  </w:num>
  <w:num w:numId="5">
    <w:abstractNumId w:val="2"/>
  </w:num>
  <w:num w:numId="6">
    <w:abstractNumId w:val="8"/>
  </w:num>
  <w:num w:numId="7">
    <w:abstractNumId w:val="12"/>
  </w:num>
  <w:num w:numId="8">
    <w:abstractNumId w:val="18"/>
  </w:num>
  <w:num w:numId="9">
    <w:abstractNumId w:val="10"/>
  </w:num>
  <w:num w:numId="10">
    <w:abstractNumId w:val="9"/>
  </w:num>
  <w:num w:numId="11">
    <w:abstractNumId w:val="0"/>
  </w:num>
  <w:num w:numId="12">
    <w:abstractNumId w:val="16"/>
  </w:num>
  <w:num w:numId="13">
    <w:abstractNumId w:val="19"/>
  </w:num>
  <w:num w:numId="14">
    <w:abstractNumId w:val="4"/>
  </w:num>
  <w:num w:numId="15">
    <w:abstractNumId w:val="14"/>
  </w:num>
  <w:num w:numId="16">
    <w:abstractNumId w:val="3"/>
  </w:num>
  <w:num w:numId="17">
    <w:abstractNumId w:val="5"/>
  </w:num>
  <w:num w:numId="18">
    <w:abstractNumId w:val="17"/>
  </w:num>
  <w:num w:numId="19">
    <w:abstractNumId w:val="6"/>
  </w:num>
  <w:num w:numId="20">
    <w:abstractNumId w:val="13"/>
  </w:num>
  <w:num w:numId="21">
    <w:abstractNumId w:val="2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38C4"/>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32E"/>
    <w:rsid w:val="001E49E0"/>
    <w:rsid w:val="001E7B5A"/>
    <w:rsid w:val="001F7412"/>
    <w:rsid w:val="0020090A"/>
    <w:rsid w:val="00202DFE"/>
    <w:rsid w:val="002038CF"/>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D6A2E"/>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84C"/>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91BC0"/>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3B4C"/>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A5602"/>
    <w:rsid w:val="00BB0F2B"/>
    <w:rsid w:val="00BE325E"/>
    <w:rsid w:val="00BE4FF3"/>
    <w:rsid w:val="00BF50F7"/>
    <w:rsid w:val="00C02F29"/>
    <w:rsid w:val="00C10611"/>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28B5"/>
    <w:rsid w:val="00C7736C"/>
    <w:rsid w:val="00C82D87"/>
    <w:rsid w:val="00C8712A"/>
    <w:rsid w:val="00C902C8"/>
    <w:rsid w:val="00C919D1"/>
    <w:rsid w:val="00C95003"/>
    <w:rsid w:val="00C963D3"/>
    <w:rsid w:val="00CA3AE9"/>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0A69"/>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2E5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243B-7093-43F3-B9DB-EFD61E4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 Waldron</cp:lastModifiedBy>
  <cp:revision>8</cp:revision>
  <cp:lastPrinted>2019-08-27T05:42:00Z</cp:lastPrinted>
  <dcterms:created xsi:type="dcterms:W3CDTF">2022-05-09T13:58:00Z</dcterms:created>
  <dcterms:modified xsi:type="dcterms:W3CDTF">2022-07-26T19:10:00Z</dcterms:modified>
</cp:coreProperties>
</file>